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92C" w:rsidRDefault="005A61B2">
      <w:pPr>
        <w:tabs>
          <w:tab w:val="left" w:pos="0"/>
        </w:tabs>
        <w:spacing w:line="360" w:lineRule="auto"/>
        <w:ind w:right="-989"/>
        <w:jc w:val="both"/>
        <w:rPr>
          <w:rFonts w:ascii="Palatino Linotype" w:eastAsia="Palatino Linotype" w:hAnsi="Palatino Linotype" w:cs="Palatino Linotype"/>
        </w:rPr>
      </w:pPr>
      <w:bookmarkStart w:id="0" w:name="_heading=h.sre9h05q4v0b" w:colFirst="0" w:colLast="0"/>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 de junio de dos mil veintiséis</w:t>
      </w:r>
      <w:r>
        <w:rPr>
          <w:rFonts w:ascii="Palatino Linotype" w:eastAsia="Palatino Linotype" w:hAnsi="Palatino Linotype" w:cs="Palatino Linotype"/>
        </w:rPr>
        <w:t>.</w:t>
      </w:r>
    </w:p>
    <w:p w:rsidR="0072792C" w:rsidRDefault="0072792C">
      <w:pPr>
        <w:tabs>
          <w:tab w:val="left" w:pos="567"/>
        </w:tabs>
        <w:spacing w:line="360" w:lineRule="auto"/>
        <w:ind w:right="-989"/>
        <w:jc w:val="both"/>
        <w:rPr>
          <w:rFonts w:ascii="Palatino Linotype" w:eastAsia="Palatino Linotype" w:hAnsi="Palatino Linotype" w:cs="Palatino Linotype"/>
        </w:rPr>
      </w:pPr>
    </w:p>
    <w:p w:rsidR="0072792C" w:rsidRDefault="005A61B2">
      <w:pPr>
        <w:spacing w:line="360" w:lineRule="auto"/>
        <w:ind w:right="-989"/>
        <w:jc w:val="both"/>
        <w:rPr>
          <w:rFonts w:ascii="Palatino Linotype" w:eastAsia="Palatino Linotype" w:hAnsi="Palatino Linotype" w:cs="Palatino Linotype"/>
        </w:rPr>
      </w:pPr>
      <w:bookmarkStart w:id="1" w:name="_heading=h.gjdgxs" w:colFirst="0" w:colLast="0"/>
      <w:bookmarkEnd w:id="1"/>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12878/INFOEM/IP/RR/2025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9F3185">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Organismo Público Descentralizado para la Prestación de los Servicios de Agua Potable, Alcantarillado y Saneamiento del Municipio de Naucalpan de Juárez,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72792C" w:rsidRDefault="0072792C">
      <w:pPr>
        <w:spacing w:line="360" w:lineRule="auto"/>
        <w:ind w:right="-989"/>
        <w:jc w:val="both"/>
        <w:rPr>
          <w:rFonts w:ascii="Palatino Linotype" w:eastAsia="Palatino Linotype" w:hAnsi="Palatino Linotype" w:cs="Palatino Linotype"/>
        </w:rPr>
      </w:pPr>
    </w:p>
    <w:p w:rsidR="0072792C" w:rsidRDefault="005A61B2">
      <w:pPr>
        <w:pStyle w:val="Ttulo1"/>
        <w:tabs>
          <w:tab w:val="left" w:pos="567"/>
        </w:tabs>
        <w:spacing w:before="0" w:line="360" w:lineRule="auto"/>
        <w:ind w:right="-989"/>
        <w:jc w:val="center"/>
        <w:rPr>
          <w:b w:val="0"/>
          <w:bCs w:val="0"/>
        </w:rPr>
      </w:pPr>
      <w:bookmarkStart w:id="2" w:name="_heading=h.30j0zll" w:colFirst="0" w:colLast="0"/>
      <w:bookmarkEnd w:id="2"/>
      <w:r>
        <w:t>A N T E C E D E N T E S</w:t>
      </w:r>
    </w:p>
    <w:p w:rsidR="0072792C" w:rsidRDefault="0072792C">
      <w:pPr>
        <w:pStyle w:val="Ttulo1"/>
        <w:tabs>
          <w:tab w:val="left" w:pos="567"/>
        </w:tabs>
        <w:spacing w:before="0" w:line="360" w:lineRule="auto"/>
        <w:ind w:right="-989"/>
        <w:jc w:val="center"/>
      </w:pPr>
    </w:p>
    <w:p w:rsidR="0072792C" w:rsidRDefault="005A61B2">
      <w:pPr>
        <w:numPr>
          <w:ilvl w:val="0"/>
          <w:numId w:val="6"/>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trece de octubre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Pr>
          <w:rFonts w:ascii="Palatino Linotype" w:eastAsia="Palatino Linotype" w:hAnsi="Palatino Linotype" w:cs="Palatino Linotype"/>
          <w:b/>
          <w:bCs/>
          <w:color w:val="000000"/>
        </w:rPr>
        <w:t xml:space="preserve"> 00405/OASNAUCAL/IP/2025;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“Requiero todos los oficios emitidos por la gerencia de administración del año 2025”(Sic)</w:t>
      </w:r>
    </w:p>
    <w:p w:rsidR="0072792C" w:rsidRDefault="0072792C">
      <w:pPr>
        <w:pBdr>
          <w:top w:val="nil"/>
          <w:left w:val="nil"/>
          <w:bottom w:val="nil"/>
          <w:right w:val="nil"/>
          <w:between w:val="nil"/>
        </w:pBdr>
        <w:ind w:left="426" w:right="-989"/>
        <w:jc w:val="both"/>
        <w:rPr>
          <w:rFonts w:ascii="Palatino Linotype" w:eastAsia="Palatino Linotype" w:hAnsi="Palatino Linotype" w:cs="Palatino Linotype"/>
          <w:color w:val="000000"/>
        </w:rPr>
      </w:pPr>
    </w:p>
    <w:p w:rsidR="00173725" w:rsidRDefault="00173725">
      <w:pPr>
        <w:pBdr>
          <w:top w:val="nil"/>
          <w:left w:val="nil"/>
          <w:bottom w:val="nil"/>
          <w:right w:val="nil"/>
          <w:between w:val="nil"/>
        </w:pBdr>
        <w:ind w:left="426" w:right="-989"/>
        <w:jc w:val="both"/>
        <w:rPr>
          <w:rFonts w:ascii="Palatino Linotype" w:eastAsia="Palatino Linotype" w:hAnsi="Palatino Linotype" w:cs="Palatino Linotype"/>
          <w:color w:val="000000"/>
        </w:rPr>
      </w:pPr>
    </w:p>
    <w:p w:rsidR="0072792C" w:rsidRDefault="005A61B2">
      <w:pPr>
        <w:numPr>
          <w:ilvl w:val="0"/>
          <w:numId w:val="7"/>
        </w:numPr>
        <w:pBdr>
          <w:top w:val="nil"/>
          <w:left w:val="nil"/>
          <w:bottom w:val="nil"/>
          <w:right w:val="nil"/>
          <w:between w:val="nil"/>
        </w:pBdr>
        <w:ind w:left="851"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72792C" w:rsidRDefault="0072792C">
      <w:pPr>
        <w:pBdr>
          <w:top w:val="nil"/>
          <w:left w:val="nil"/>
          <w:bottom w:val="nil"/>
          <w:right w:val="nil"/>
          <w:between w:val="nil"/>
        </w:pBdr>
        <w:ind w:right="-989"/>
        <w:jc w:val="both"/>
        <w:rPr>
          <w:rFonts w:ascii="Palatino Linotype" w:eastAsia="Palatino Linotype" w:hAnsi="Palatino Linotype" w:cs="Palatino Linotype"/>
          <w:b/>
          <w:bCs/>
        </w:rPr>
      </w:pPr>
    </w:p>
    <w:p w:rsidR="0072792C" w:rsidRDefault="0072792C">
      <w:pPr>
        <w:pBdr>
          <w:top w:val="nil"/>
          <w:left w:val="nil"/>
          <w:bottom w:val="nil"/>
          <w:right w:val="nil"/>
          <w:between w:val="nil"/>
        </w:pBdr>
        <w:ind w:right="-989"/>
        <w:jc w:val="both"/>
        <w:rPr>
          <w:rFonts w:ascii="Palatino Linotype" w:eastAsia="Palatino Linotype" w:hAnsi="Palatino Linotype" w:cs="Palatino Linotype"/>
          <w:i/>
          <w:iCs/>
          <w:color w:val="000000"/>
        </w:rPr>
      </w:pPr>
    </w:p>
    <w:p w:rsidR="0072792C" w:rsidRDefault="005A61B2">
      <w:pPr>
        <w:numPr>
          <w:ilvl w:val="0"/>
          <w:numId w:val="1"/>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lastRenderedPageBreak/>
        <w:t>Derivado de lo anterior</w:t>
      </w:r>
      <w:r>
        <w:rPr>
          <w:rFonts w:ascii="Palatino Linotype" w:eastAsia="Palatino Linotype" w:hAnsi="Palatino Linotype" w:cs="Palatino Linotype"/>
          <w:b/>
          <w:bCs/>
          <w:color w:val="000000"/>
        </w:rPr>
        <w:t>, EL SUJETO OBLIGADO</w:t>
      </w:r>
      <w:r>
        <w:rPr>
          <w:rFonts w:ascii="Palatino Linotype" w:eastAsia="Palatino Linotype" w:hAnsi="Palatino Linotype" w:cs="Palatino Linotype"/>
          <w:color w:val="000000"/>
        </w:rPr>
        <w:t xml:space="preserve"> no proporcionó respuesta a la solicitud de información dentro del plazo de quince días establecido en el artículo 163 de la Ley de Transparencia y Acceso a la Información Pública del Estado de México y Municipios.</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72792C" w:rsidRDefault="005A61B2">
      <w:pPr>
        <w:numPr>
          <w:ilvl w:val="0"/>
          <w:numId w:val="1"/>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Ante la falta de respuesta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el </w:t>
      </w:r>
      <w:r>
        <w:rPr>
          <w:rFonts w:ascii="Palatino Linotype" w:eastAsia="Palatino Linotype" w:hAnsi="Palatino Linotype" w:cs="Palatino Linotype"/>
          <w:b/>
          <w:bCs/>
          <w:color w:val="000000"/>
        </w:rPr>
        <w:t xml:space="preserve">seis de noviembre de dos mil veinticinco, </w:t>
      </w:r>
      <w:r>
        <w:rPr>
          <w:rFonts w:ascii="Palatino Linotype" w:eastAsia="Palatino Linotype" w:hAnsi="Palatino Linotype" w:cs="Palatino Linotype"/>
          <w:color w:val="000000"/>
        </w:rPr>
        <w:t xml:space="preserve">registrado en 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con número de expediente </w:t>
      </w:r>
      <w:r>
        <w:rPr>
          <w:rFonts w:ascii="Palatino Linotype" w:eastAsia="Palatino Linotype" w:hAnsi="Palatino Linotype" w:cs="Palatino Linotype"/>
          <w:b/>
          <w:bCs/>
          <w:color w:val="000000"/>
        </w:rPr>
        <w:t xml:space="preserve">12878/INFOEM/IP/RR/2025, </w:t>
      </w:r>
      <w:r>
        <w:rPr>
          <w:rFonts w:ascii="Palatino Linotype" w:eastAsia="Palatino Linotype" w:hAnsi="Palatino Linotype" w:cs="Palatino Linotype"/>
          <w:color w:val="000000"/>
        </w:rPr>
        <w:t>en el cual aduce, las siguientes manifestaciones:</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numPr>
          <w:ilvl w:val="0"/>
          <w:numId w:val="3"/>
        </w:numPr>
        <w:spacing w:line="259" w:lineRule="auto"/>
        <w:ind w:left="993" w:right="-98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72792C" w:rsidRDefault="005A61B2">
      <w:pP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consideran omisos.” (Sic).</w:t>
      </w:r>
    </w:p>
    <w:p w:rsidR="0072792C" w:rsidRDefault="005A61B2">
      <w:pPr>
        <w:tabs>
          <w:tab w:val="left" w:pos="3396"/>
          <w:tab w:val="left" w:pos="3915"/>
        </w:tabs>
        <w:ind w:left="993"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b/>
      </w:r>
      <w:r>
        <w:rPr>
          <w:rFonts w:ascii="Palatino Linotype" w:eastAsia="Palatino Linotype" w:hAnsi="Palatino Linotype" w:cs="Palatino Linotype"/>
          <w:i/>
          <w:iCs/>
          <w:color w:val="000000"/>
        </w:rPr>
        <w:tab/>
      </w:r>
    </w:p>
    <w:p w:rsidR="0072792C" w:rsidRDefault="005A61B2">
      <w:pPr>
        <w:numPr>
          <w:ilvl w:val="0"/>
          <w:numId w:val="2"/>
        </w:numPr>
        <w:pBdr>
          <w:top w:val="nil"/>
          <w:left w:val="nil"/>
          <w:bottom w:val="nil"/>
          <w:right w:val="nil"/>
          <w:between w:val="nil"/>
        </w:pBdr>
        <w:ind w:left="993"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 xml:space="preserve">: </w:t>
      </w:r>
    </w:p>
    <w:p w:rsidR="0072792C" w:rsidRDefault="005A61B2">
      <w:pP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me han dado respuesta alguna, todo documento emitido por una dependencia de gobierno es PÚBLICO, porque me niegan mi derecho.” (Sic).</w:t>
      </w:r>
    </w:p>
    <w:p w:rsidR="0072792C" w:rsidRDefault="0072792C">
      <w:pPr>
        <w:ind w:right="-989"/>
        <w:jc w:val="both"/>
        <w:rPr>
          <w:rFonts w:ascii="Palatino Linotype" w:eastAsia="Palatino Linotype" w:hAnsi="Palatino Linotype" w:cs="Palatino Linotype"/>
          <w:i/>
          <w:iCs/>
          <w:color w:val="000000"/>
        </w:rPr>
      </w:pPr>
    </w:p>
    <w:p w:rsidR="0072792C" w:rsidRDefault="005A61B2">
      <w:pPr>
        <w:numPr>
          <w:ilvl w:val="0"/>
          <w:numId w:val="4"/>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diez de noviembre de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72792C" w:rsidRDefault="0072792C">
      <w:pPr>
        <w:ind w:right="-989"/>
        <w:rPr>
          <w:rFonts w:ascii="Palatino Linotype" w:eastAsia="Palatino Linotype" w:hAnsi="Palatino Linotype" w:cs="Palatino Linotype"/>
        </w:rPr>
      </w:pPr>
    </w:p>
    <w:p w:rsidR="0072792C" w:rsidRDefault="005A61B2">
      <w:pPr>
        <w:numPr>
          <w:ilvl w:val="0"/>
          <w:numId w:val="4"/>
        </w:numPr>
        <w:spacing w:line="360" w:lineRule="auto"/>
        <w:ind w:right="-989"/>
        <w:jc w:val="both"/>
        <w:rPr>
          <w:rFonts w:ascii="Palatino Linotype" w:eastAsia="Palatino Linotype" w:hAnsi="Palatino Linotype" w:cs="Palatino Linotype"/>
          <w:b/>
          <w:bCs/>
          <w:color w:val="000000"/>
        </w:rPr>
      </w:pPr>
      <w:bookmarkStart w:id="3" w:name="_heading=h.2et92p0" w:colFirst="0" w:colLast="0"/>
      <w:bookmarkEnd w:id="3"/>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rindió  informe justificado correspondiente en fecha </w:t>
      </w:r>
      <w:r>
        <w:rPr>
          <w:rFonts w:ascii="Palatino Linotype" w:eastAsia="Palatino Linotype" w:hAnsi="Palatino Linotype" w:cs="Palatino Linotype"/>
          <w:b/>
          <w:bCs/>
        </w:rPr>
        <w:t>veinte y veintiuno de noviembre de dos mil veinticinco,</w:t>
      </w:r>
      <w:r>
        <w:rPr>
          <w:rFonts w:ascii="Palatino Linotype" w:eastAsia="Palatino Linotype" w:hAnsi="Palatino Linotype" w:cs="Palatino Linotype"/>
        </w:rPr>
        <w:t xml:space="preserve"> mediante los siguientes archivos:</w:t>
      </w:r>
    </w:p>
    <w:p w:rsidR="0072792C" w:rsidRDefault="005A61B2">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1</w:t>
      </w:r>
      <w:hyperlink r:id="rId8">
        <w:r>
          <w:rPr>
            <w:rFonts w:ascii="Palatino Linotype" w:eastAsia="Palatino Linotype" w:hAnsi="Palatino Linotype" w:cs="Palatino Linotype"/>
            <w:b/>
            <w:bCs/>
            <w:color w:val="000000"/>
          </w:rPr>
          <w:t>2878 RR INFO 2025.pdf</w:t>
        </w:r>
      </w:hyperlink>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Oficio de fecha dieciocho de noviembre de dos mil veinticinco, suscrito por la Subgerente de Transparencia del OAPAS, a través del cual refiere el cambio de modalidad de entrega de la información a Consulta Directa, toda vez que supera más de 500 Mb, para lo cual el </w:t>
      </w:r>
      <w:r>
        <w:rPr>
          <w:rFonts w:ascii="Palatino Linotype" w:eastAsia="Palatino Linotype" w:hAnsi="Palatino Linotype" w:cs="Palatino Linotype"/>
          <w:b/>
          <w:bCs/>
        </w:rPr>
        <w:t>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 deberá acudir a las oficinas que ocupa la Gerencia de Administración, señalando fecha y hora de consulta, toda vez que la información supera las capacidades técnicas, administrativas y humanas de la plataforma SAIMEX, ya que se advierte que la información comprende de más de 8000 fojas y 500MB, debiendo presentar identificación vigente y copia de la solicitud de información, no omite mencionar que el cambio de modalidad fue aprobado a través del Acuerdo OAP-CT-16-E-2025-126. </w:t>
      </w:r>
    </w:p>
    <w:p w:rsidR="0072792C" w:rsidRDefault="0072792C">
      <w:pPr>
        <w:pBdr>
          <w:top w:val="nil"/>
          <w:left w:val="nil"/>
          <w:bottom w:val="nil"/>
          <w:right w:val="nil"/>
          <w:between w:val="nil"/>
        </w:pBdr>
        <w:spacing w:line="360" w:lineRule="auto"/>
        <w:ind w:left="1440" w:right="-989"/>
        <w:jc w:val="both"/>
        <w:rPr>
          <w:rFonts w:ascii="Palatino Linotype" w:eastAsia="Palatino Linotype" w:hAnsi="Palatino Linotype" w:cs="Palatino Linotype"/>
          <w:b/>
          <w:bCs/>
          <w:color w:val="000000"/>
        </w:rPr>
      </w:pPr>
    </w:p>
    <w:p w:rsidR="0072792C" w:rsidRDefault="005A61B2">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1</w:t>
      </w:r>
      <w:hyperlink r:id="rId9">
        <w:r>
          <w:rPr>
            <w:rFonts w:ascii="Palatino Linotype" w:eastAsia="Palatino Linotype" w:hAnsi="Palatino Linotype" w:cs="Palatino Linotype"/>
            <w:b/>
            <w:bCs/>
            <w:color w:val="000000"/>
          </w:rPr>
          <w:t xml:space="preserve">6 SESION </w:t>
        </w:r>
      </w:hyperlink>
      <w:hyperlink r:id="rId10">
        <w:r>
          <w:rPr>
            <w:rFonts w:ascii="Palatino Linotype" w:eastAsia="Palatino Linotype" w:hAnsi="Palatino Linotype" w:cs="Palatino Linotype"/>
            <w:b/>
            <w:bCs/>
            <w:color w:val="000000"/>
          </w:rPr>
          <w:t>E 2025.pdf</w:t>
        </w:r>
      </w:hyperlink>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Acta de la Décima Sexta Sesión Extraordinaria del Comité de Transparencia Administración 2025-2027 de fecha once de noviembre de dos mil veinticinco, mediante el cual se propuso y aprobó el cambio de modalidad de entrega de la información a Consulta Directa.</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numPr>
          <w:ilvl w:val="0"/>
          <w:numId w:val="4"/>
        </w:numP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rPr>
        <w:t>Por su parte,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dejó de realizar manifestaciones que a su derecho conviniera y asistiera. </w:t>
      </w:r>
      <w:bookmarkStart w:id="4" w:name="_GoBack"/>
      <w:bookmarkEnd w:id="4"/>
    </w:p>
    <w:p w:rsidR="0072792C" w:rsidRDefault="0072792C">
      <w:pPr>
        <w:spacing w:line="360" w:lineRule="auto"/>
        <w:ind w:right="-989"/>
        <w:jc w:val="both"/>
        <w:rPr>
          <w:rFonts w:ascii="Palatino Linotype" w:eastAsia="Palatino Linotype" w:hAnsi="Palatino Linotype" w:cs="Palatino Linotype"/>
          <w:b/>
          <w:bCs/>
          <w:color w:val="000000"/>
        </w:rPr>
      </w:pPr>
    </w:p>
    <w:p w:rsidR="0072792C" w:rsidRDefault="005A61B2">
      <w:pPr>
        <w:numPr>
          <w:ilvl w:val="0"/>
          <w:numId w:val="4"/>
        </w:numP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uno de junio de dos mil veintiséis, </w:t>
      </w:r>
      <w:r>
        <w:rPr>
          <w:rFonts w:ascii="Palatino Linotype" w:eastAsia="Palatino Linotype" w:hAnsi="Palatino Linotype" w:cs="Palatino Linotype"/>
          <w:color w:val="000000"/>
        </w:rPr>
        <w:t xml:space="preserve">este Organismo Garante realizó un requerimiento de información adicional al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fin de que informará:</w:t>
      </w:r>
    </w:p>
    <w:p w:rsidR="0072792C" w:rsidRDefault="005A61B2">
      <w:pPr>
        <w:numPr>
          <w:ilvl w:val="0"/>
          <w:numId w:val="10"/>
        </w:num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El cúmulo de información que representan los documentos, manifestando el  número de fojas; y</w:t>
      </w:r>
    </w:p>
    <w:p w:rsidR="0072792C" w:rsidRDefault="005A61B2">
      <w:pPr>
        <w:numPr>
          <w:ilvl w:val="0"/>
          <w:numId w:val="10"/>
        </w:num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peso en Megabytes o Gigabytes; </w:t>
      </w:r>
    </w:p>
    <w:p w:rsidR="0072792C" w:rsidRDefault="005A61B2">
      <w:pPr>
        <w:numPr>
          <w:ilvl w:val="0"/>
          <w:numId w:val="10"/>
        </w:num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Mayores elementos que brinden certeza sobre la imposibilidad técnica administrativa o humana de manera excepcional </w:t>
      </w:r>
      <w:r>
        <w:rPr>
          <w:rFonts w:ascii="Palatino Linotype" w:eastAsia="Palatino Linotype" w:hAnsi="Palatino Linotype" w:cs="Palatino Linotype"/>
          <w:b/>
          <w:bCs/>
          <w:i/>
          <w:iCs/>
          <w:color w:val="000000"/>
        </w:rPr>
        <w:t xml:space="preserve">con los respectivos medios de convicción; </w:t>
      </w:r>
    </w:p>
    <w:p w:rsidR="0072792C" w:rsidRDefault="005A61B2">
      <w:pPr>
        <w:numPr>
          <w:ilvl w:val="0"/>
          <w:numId w:val="10"/>
        </w:num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Realice el reporte de incidencias ante la Dirección de Informática, en el área de soporte técnico de este Instituto. </w:t>
      </w:r>
    </w:p>
    <w:p w:rsidR="0072792C" w:rsidRDefault="005A61B2">
      <w:pPr>
        <w:numPr>
          <w:ilvl w:val="0"/>
          <w:numId w:val="10"/>
        </w:numPr>
        <w:pBdr>
          <w:top w:val="nil"/>
          <w:left w:val="nil"/>
          <w:bottom w:val="nil"/>
          <w:right w:val="nil"/>
          <w:between w:val="nil"/>
        </w:pBdr>
        <w:spacing w:after="160" w:line="360" w:lineRule="auto"/>
        <w:ind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Acuerdo del Comité de Transparencia mediante el cual se </w:t>
      </w:r>
      <w:r>
        <w:rPr>
          <w:rFonts w:ascii="Palatino Linotype" w:eastAsia="Palatino Linotype" w:hAnsi="Palatino Linotype" w:cs="Palatino Linotype"/>
          <w:b/>
          <w:bCs/>
          <w:i/>
          <w:iCs/>
          <w:color w:val="000000"/>
        </w:rPr>
        <w:t xml:space="preserve">apruebe ofrecer otros tipos de modalidad de consulta de información para el RECURRENTE. </w:t>
      </w:r>
    </w:p>
    <w:p w:rsidR="0072792C" w:rsidRDefault="005A61B2">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Derivado 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omitió proporcionar la información requerida</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numPr>
          <w:ilvl w:val="0"/>
          <w:numId w:val="4"/>
        </w:num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la misma fecha señalada en el numeral que antecede, se requirió a la Dirección General de Informática de este Organismo, que informara si existe registro de incidencia reportada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al respecto informó que no se cuenta con un registro e incidencia.</w:t>
      </w:r>
    </w:p>
    <w:p w:rsidR="00173725" w:rsidRDefault="00173725" w:rsidP="00173725">
      <w:pPr>
        <w:spacing w:line="360" w:lineRule="auto"/>
        <w:ind w:right="-989"/>
        <w:jc w:val="both"/>
        <w:rPr>
          <w:rFonts w:ascii="Palatino Linotype" w:eastAsia="Palatino Linotype" w:hAnsi="Palatino Linotype" w:cs="Palatino Linotype"/>
          <w:color w:val="000000"/>
        </w:rPr>
      </w:pPr>
    </w:p>
    <w:p w:rsidR="0072792C" w:rsidRDefault="005A61B2">
      <w:pPr>
        <w:numPr>
          <w:ilvl w:val="0"/>
          <w:numId w:val="4"/>
        </w:num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junio de dos mil veintiséis</w:t>
      </w:r>
      <w:r>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numPr>
          <w:ilvl w:val="0"/>
          <w:numId w:val="4"/>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Finalmente, mediante acuerdo del </w:t>
      </w:r>
      <w:r>
        <w:rPr>
          <w:rFonts w:ascii="Palatino Linotype" w:eastAsia="Palatino Linotype" w:hAnsi="Palatino Linotype" w:cs="Palatino Linotype"/>
          <w:b/>
          <w:bCs/>
          <w:color w:val="000000"/>
        </w:rPr>
        <w:t>diez de junio de dos mil veintiséis</w:t>
      </w:r>
      <w:r>
        <w:rPr>
          <w:rFonts w:ascii="Palatino Linotype" w:eastAsia="Palatino Linotype" w:hAnsi="Palatino Linotype" w:cs="Palatino Linotype"/>
          <w:color w:val="000000"/>
        </w:rPr>
        <w:t>, se decretó el cierre de instrucción, por lo que no habiendo más que hacer constar, y</w:t>
      </w:r>
      <w:r w:rsidR="00173725">
        <w:rPr>
          <w:rFonts w:ascii="Palatino Linotype" w:eastAsia="Palatino Linotype" w:hAnsi="Palatino Linotype" w:cs="Palatino Linotype"/>
          <w:color w:val="000000"/>
        </w:rPr>
        <w:t xml:space="preserve"> -----------------------------</w:t>
      </w:r>
    </w:p>
    <w:p w:rsidR="0072792C" w:rsidRDefault="0072792C">
      <w:pPr>
        <w:pBdr>
          <w:top w:val="nil"/>
          <w:left w:val="nil"/>
          <w:bottom w:val="nil"/>
          <w:right w:val="nil"/>
          <w:between w:val="nil"/>
        </w:pBdr>
        <w:ind w:left="720" w:right="-989"/>
        <w:rPr>
          <w:rFonts w:ascii="Palatino Linotype" w:eastAsia="Palatino Linotype" w:hAnsi="Palatino Linotype" w:cs="Palatino Linotype"/>
          <w:b/>
          <w:bCs/>
          <w:color w:val="000000"/>
        </w:rPr>
      </w:pPr>
    </w:p>
    <w:p w:rsidR="0072792C" w:rsidRDefault="005A61B2">
      <w:pPr>
        <w:pStyle w:val="Ttulo1"/>
        <w:tabs>
          <w:tab w:val="left" w:pos="567"/>
        </w:tabs>
        <w:spacing w:before="0" w:line="360" w:lineRule="auto"/>
        <w:ind w:right="-989"/>
        <w:jc w:val="center"/>
      </w:pPr>
      <w:bookmarkStart w:id="5" w:name="_heading=h.tyjcwt" w:colFirst="0" w:colLast="0"/>
      <w:bookmarkEnd w:id="5"/>
      <w:r>
        <w:t>C O N S I D E R A N D O</w:t>
      </w:r>
    </w:p>
    <w:p w:rsidR="0072792C" w:rsidRDefault="0072792C">
      <w:pPr>
        <w:spacing w:line="360" w:lineRule="auto"/>
        <w:ind w:right="-989"/>
        <w:rPr>
          <w:rFonts w:ascii="Palatino Linotype" w:eastAsia="Palatino Linotype" w:hAnsi="Palatino Linotype" w:cs="Palatino Linotype"/>
        </w:rPr>
      </w:pPr>
    </w:p>
    <w:p w:rsidR="0072792C" w:rsidRDefault="005A61B2">
      <w:pPr>
        <w:pStyle w:val="Ttulo1"/>
        <w:tabs>
          <w:tab w:val="left" w:pos="567"/>
        </w:tabs>
        <w:spacing w:before="0" w:line="360" w:lineRule="auto"/>
        <w:ind w:right="-989"/>
      </w:pPr>
      <w:bookmarkStart w:id="6" w:name="_heading=h.3dy6vkm" w:colFirst="0" w:colLast="0"/>
      <w:bookmarkEnd w:id="6"/>
      <w:r>
        <w:t>PRIMERO. De la competencia</w:t>
      </w:r>
    </w:p>
    <w:p w:rsidR="0072792C" w:rsidRDefault="005A61B2">
      <w:pPr>
        <w:numPr>
          <w:ilvl w:val="0"/>
          <w:numId w:val="4"/>
        </w:num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2792C" w:rsidRDefault="0072792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72792C" w:rsidRDefault="005A61B2">
      <w:pPr>
        <w:pStyle w:val="Ttulo2"/>
        <w:spacing w:before="0" w:line="360" w:lineRule="auto"/>
        <w:ind w:right="-989"/>
      </w:pPr>
      <w:bookmarkStart w:id="7" w:name="_heading=h.1t3h5sf" w:colFirst="0" w:colLast="0"/>
      <w:bookmarkEnd w:id="7"/>
      <w:r>
        <w:t>SEGUNDO. De la oportunidad y procedencia.</w:t>
      </w: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12. </w:t>
      </w:r>
      <w:r>
        <w:rPr>
          <w:rFonts w:ascii="Palatino Linotype" w:eastAsia="Palatino Linotype" w:hAnsi="Palatino Linotype" w:cs="Palatino Linotype"/>
          <w:color w:val="000000"/>
        </w:rPr>
        <w:t xml:space="preserve"> 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dentro de los plazos establecidos en la Ley de Transparencia Local, a una solicitud de acceso a la información pública, el recurso podrá ser </w:t>
      </w:r>
      <w:r>
        <w:rPr>
          <w:rFonts w:ascii="Palatino Linotype" w:eastAsia="Palatino Linotype" w:hAnsi="Palatino Linotype" w:cs="Palatino Linotype"/>
          <w:color w:val="000000"/>
        </w:rPr>
        <w:lastRenderedPageBreak/>
        <w:t>interpuesto en cualquier momento, por lo que la interposición del presente recurso de revisión resulta oportuna.</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13.</w:t>
      </w:r>
      <w:r>
        <w:rPr>
          <w:rFonts w:ascii="Palatino Linotype" w:eastAsia="Palatino Linotype" w:hAnsi="Palatino Linotype" w:cs="Palatino Linotype"/>
        </w:rPr>
        <w:t xml:space="preserve"> 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2792C" w:rsidRDefault="0072792C">
      <w:pPr>
        <w:spacing w:line="360" w:lineRule="auto"/>
        <w:ind w:right="-989"/>
        <w:rPr>
          <w:rFonts w:ascii="Palatino Linotype" w:eastAsia="Palatino Linotype" w:hAnsi="Palatino Linotype" w:cs="Palatino Linotype"/>
        </w:rPr>
      </w:pPr>
    </w:p>
    <w:p w:rsidR="0072792C" w:rsidRDefault="005A61B2">
      <w:pPr>
        <w:pStyle w:val="Ttulo1"/>
        <w:spacing w:before="0" w:line="360" w:lineRule="auto"/>
        <w:ind w:right="-989"/>
      </w:pPr>
      <w:r>
        <w:t xml:space="preserve">TERCERO. Del planteamiento de la </w:t>
      </w:r>
      <w:r>
        <w:rPr>
          <w:i/>
          <w:iCs/>
        </w:rPr>
        <w:t>Litis</w:t>
      </w:r>
      <w:r>
        <w:t>.</w:t>
      </w: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r>
        <w:rPr>
          <w:rFonts w:ascii="Palatino Linotype" w:eastAsia="Palatino Linotype" w:hAnsi="Palatino Linotype" w:cs="Palatino Linotype"/>
          <w:b/>
          <w:bCs/>
        </w:rPr>
        <w:t>14.</w:t>
      </w:r>
      <w:r>
        <w:rPr>
          <w:rFonts w:ascii="Palatino Linotype" w:eastAsia="Palatino Linotype" w:hAnsi="Palatino Linotype" w:cs="Palatino Linotype"/>
        </w:rPr>
        <w:t xml:space="preserve">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solicitó:</w:t>
      </w:r>
    </w:p>
    <w:p w:rsidR="0072792C" w:rsidRDefault="005A61B2">
      <w:pPr>
        <w:numPr>
          <w:ilvl w:val="0"/>
          <w:numId w:val="9"/>
        </w:num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Oficios emitidos por la gerencia de administración durante el ejercicio fiscal 2025.</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rPr>
        <w:t xml:space="preserve">15. </w:t>
      </w:r>
      <w:r>
        <w:rPr>
          <w:rFonts w:ascii="Palatino Linotype" w:eastAsia="Palatino Linotype" w:hAnsi="Palatino Linotype" w:cs="Palatino Linotype"/>
          <w:color w:val="000000"/>
        </w:rPr>
        <w:t xml:space="preserve">Ante la falta de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recurso de revisión en el que se inconformó por </w:t>
      </w:r>
      <w:r>
        <w:rPr>
          <w:rFonts w:ascii="Palatino Linotype" w:eastAsia="Palatino Linotype" w:hAnsi="Palatino Linotype" w:cs="Palatino Linotype"/>
          <w:b/>
          <w:bCs/>
          <w:color w:val="000000"/>
        </w:rPr>
        <w:t>la negativa de la información.</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r>
        <w:rPr>
          <w:rFonts w:ascii="Palatino Linotype" w:eastAsia="Palatino Linotype" w:hAnsi="Palatino Linotype" w:cs="Palatino Linotype"/>
          <w:b/>
          <w:bCs/>
        </w:rPr>
        <w:t>16.</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emitió informe justificado en términos del numeral quinto de la presente resolución.</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17. </w:t>
      </w: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p>
    <w:p w:rsidR="0072792C" w:rsidRDefault="005A61B2">
      <w:pPr>
        <w:pStyle w:val="Ttulo1"/>
        <w:spacing w:before="0" w:line="360" w:lineRule="auto"/>
        <w:ind w:right="-989"/>
      </w:pPr>
      <w:r>
        <w:lastRenderedPageBreak/>
        <w:t>CUARTO. Del estudio y resolución del asunto.</w:t>
      </w: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18. </w:t>
      </w: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19. </w:t>
      </w:r>
      <w:r>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72792C" w:rsidRDefault="0072792C">
      <w:pPr>
        <w:spacing w:line="360" w:lineRule="auto"/>
        <w:ind w:right="-989"/>
        <w:jc w:val="both"/>
        <w:rPr>
          <w:rFonts w:ascii="Palatino Linotype" w:eastAsia="Palatino Linotype" w:hAnsi="Palatino Linotype" w:cs="Palatino Linotype"/>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20. </w:t>
      </w:r>
      <w:r>
        <w:rPr>
          <w:rFonts w:ascii="Palatino Linotype" w:eastAsia="Palatino Linotype" w:hAnsi="Palatino Linotype" w:cs="Palatino Linotype"/>
          <w:color w:val="000000"/>
        </w:rPr>
        <w:t xml:space="preserve">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w:t>
      </w:r>
      <w:r>
        <w:rPr>
          <w:rFonts w:ascii="Palatino Linotype" w:eastAsia="Palatino Linotype" w:hAnsi="Palatino Linotype" w:cs="Palatino Linotype"/>
          <w:color w:val="000000"/>
        </w:rPr>
        <w:lastRenderedPageBreak/>
        <w:t>18 establece que los Sujetos Obligados deberán documentar todo acto que derive del ejercicio de sus facultades, competencias o funciones desde su origen la eventual publicidad y reutilización de la información que generen.</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21. </w:t>
      </w:r>
      <w:r>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22. </w:t>
      </w:r>
      <w:r>
        <w:rPr>
          <w:rFonts w:ascii="Palatino Linotype" w:eastAsia="Palatino Linotype" w:hAnsi="Palatino Linotype" w:cs="Palatino Linotype"/>
          <w:color w:val="000000"/>
        </w:rPr>
        <w:t xml:space="preserve">Ante la falta de respuesta del Sujeto Obligado,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recurso de revisión en el que se inconformó por la negativa a la entrega de la información por parte de aquel.</w:t>
      </w:r>
    </w:p>
    <w:p w:rsidR="0072792C" w:rsidRDefault="0072792C">
      <w:pPr>
        <w:pBdr>
          <w:top w:val="nil"/>
          <w:left w:val="nil"/>
          <w:bottom w:val="nil"/>
          <w:right w:val="nil"/>
          <w:between w:val="nil"/>
        </w:pBdr>
        <w:ind w:left="720" w:right="-989"/>
        <w:rPr>
          <w:rFonts w:ascii="Palatino Linotype" w:eastAsia="Palatino Linotype" w:hAnsi="Palatino Linotype" w:cs="Palatino Linotype"/>
          <w:b/>
          <w:bCs/>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23. </w:t>
      </w:r>
      <w:r>
        <w:rPr>
          <w:rFonts w:ascii="Palatino Linotype" w:eastAsia="Palatino Linotype" w:hAnsi="Palatino Linotype" w:cs="Palatino Linotype"/>
          <w:color w:val="000000"/>
        </w:rPr>
        <w:t xml:space="preserve">No obstante, mediante un acto jurídico posterior como lo es el informe justificado,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través de la </w:t>
      </w:r>
      <w:r>
        <w:rPr>
          <w:rFonts w:ascii="Palatino Linotype" w:eastAsia="Palatino Linotype" w:hAnsi="Palatino Linotype" w:cs="Palatino Linotype"/>
        </w:rPr>
        <w:t xml:space="preserve">Subgerente de Transparencia del OAPAS, propuso el cambio de modalidad de entrega de la información a Consulta Directa, toda vez que la información supera los 500 Mb, soportados por el Sistema de Acceso a la información Mexiquense SAIMEX , indicando el procedimiento a seguir a fin de la entrega de la información, señalando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deberá acudir a las oficinas que ocupa la Gerencia de Administración, estableciendo fecha y hora de consulta, reiterando que la información supera las capacidades técnicas, administrativas y humanas de la plataforma SAIMEX, pues se advierte que la información comprende de más de 8000 fojas y 500MB, </w:t>
      </w:r>
      <w:r>
        <w:rPr>
          <w:rFonts w:ascii="Palatino Linotype" w:eastAsia="Palatino Linotype" w:hAnsi="Palatino Linotype" w:cs="Palatino Linotype"/>
        </w:rPr>
        <w:lastRenderedPageBreak/>
        <w:t>debiendo presentar identificación vigente y copia de la solicitud de información, no omite mencionar que el cambio de modalidad fue aprobado a través del Acuerdo OAP-CT-16-E-2025-16.</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24. </w:t>
      </w: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es de recordar que mediante un acto jurídico posterior como lo es el informe justificado,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informó que mediante Acuerdo el Comité de Transparencia aprobó realizar un cambio de modalidad para la entrega de la información a consulta directa, sin embargo, sin embargo no precisa datos como el número de fojas y peso en megabytes de la información a entregar, ni mucho menos existe evidencia de que haya realizado la validación ante la Dirección de Informática de este Instituto.</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25. </w:t>
      </w:r>
      <w:r>
        <w:rPr>
          <w:rFonts w:ascii="Palatino Linotype" w:eastAsia="Palatino Linotype" w:hAnsi="Palatino Linotype" w:cs="Palatino Linotype"/>
          <w:color w:val="000000"/>
        </w:rPr>
        <w:t xml:space="preserve">En ese contexto resulta necesario referir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asume de manera expresa que genera, posee y administra lo solicitado, tan es así que refiere que dicha documentación sobrepasa la cantidad permitida por SAIMEX, por lo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ofrece al particular que la consulta sea directa con las formalidades que ya han sido precisadas en líneas anteriores.</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26. </w:t>
      </w:r>
      <w:r>
        <w:rPr>
          <w:rFonts w:ascii="Palatino Linotype" w:eastAsia="Palatino Linotype" w:hAnsi="Palatino Linotype" w:cs="Palatino Linotype"/>
          <w:color w:val="000000"/>
        </w:rPr>
        <w:t xml:space="preserve">Al respecto es de suma importancia aclarar que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señaló que el particular podría acudir a la consulta directa de la información solicitada, dentro de las oficinas que ocupa la Dirección de Administración del, toda vez que implica el procesamiento de documentos, cuya entrega o reproducción sobrepasa las capacidades técnicas, administrativas y humanas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27. </w:t>
      </w:r>
      <w:r>
        <w:rPr>
          <w:rFonts w:ascii="Palatino Linotype" w:eastAsia="Palatino Linotype" w:hAnsi="Palatino Linotype" w:cs="Palatino Linotype"/>
          <w:color w:val="000000"/>
        </w:rPr>
        <w:t xml:space="preserve">Aclarado lo anterior, un segundo aspecto que resulta importante establecer, es que debido a que el mismo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 este reconoce contar con la misma. </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28.</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En efecto, el hecho de que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se haya pronunciado respecto de la información requerida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acepta que genera, posee y administra dicha información, en ejercicio de sus funciones de derecho público, motivo por el cual se actualiza el supuesto jurídico, previsto en el artículo 12 de la Ley de Transparencia y Acceso a la Información Pública del Estado de México y Municipios.</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29. </w:t>
      </w:r>
      <w:r>
        <w:rPr>
          <w:rFonts w:ascii="Palatino Linotype" w:eastAsia="Palatino Linotype" w:hAnsi="Palatino Linotype" w:cs="Palatino Linotype"/>
          <w:color w:val="000000"/>
        </w:rPr>
        <w:t>Precisado lo anterior, resulta viable establecer que a pesar de que el SUJETO OBLIGADO, cuenta con la información solicitada, este no garantizó el derecho de acceso a la información del particular, argumentando que el documento solicitado sobrepasa las capacidades técnicas, administrativas y humanas, sin embargo no precisa la cantidad de fojas que integra la información con la que pretende dar respuesta a la solicitud, ni mucho menos el peso en megabytes, ello a pesar de que este Instituto le requirió precisara el número de fojas con conforman la información; así como el pesos en Megabytes o Gigabytes; no se omite mencionar que a la fecha de la resolución no realizó el reporte de incidencias ante la Dirección de Informática, específicamente en el área de soporte técnico de este instituto, tal y como lo señala la ley de la materia, lo cual se comprueba con la siguiente captura de pantalla.</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w:drawing>
          <wp:inline distT="0" distB="0" distL="0" distR="0">
            <wp:extent cx="5581015" cy="304101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581015" cy="3041015"/>
                    </a:xfrm>
                    <a:prstGeom prst="rect">
                      <a:avLst/>
                    </a:prstGeom>
                    <a:ln/>
                  </pic:spPr>
                </pic:pic>
              </a:graphicData>
            </a:graphic>
          </wp:inline>
        </w:drawing>
      </w:r>
    </w:p>
    <w:p w:rsidR="0072792C" w:rsidRDefault="0072792C">
      <w:pP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30.</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Es así,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hizo de conocimiento que la información que intenta subir rebasa las capacidades técnicas; sin embargo no menciona el peso en MB del documento, por tanto no proporciona la certeza jurídica para este Órgano Resolutor pueda confirmar el cambio de modalidad que se pretende hacer valer, ya que si bien es cierto, el documento solicitado no sobrepasa las capacidades utilizando la resolución sugerida de 150Dpi´s en escala de grises y formato PDF, extraído del escáner, lo que conlleva a poder hacer entrega de la información vía SAIMEX.</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72792C" w:rsidRDefault="005A61B2">
      <w:pPr>
        <w:pBdr>
          <w:top w:val="nil"/>
          <w:left w:val="nil"/>
          <w:bottom w:val="nil"/>
          <w:right w:val="nil"/>
          <w:between w:val="nil"/>
        </w:pBdr>
        <w:tabs>
          <w:tab w:val="left" w:pos="284"/>
        </w:tabs>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31. </w:t>
      </w:r>
      <w:r>
        <w:rPr>
          <w:rFonts w:ascii="Palatino Linotype" w:eastAsia="Palatino Linotype" w:hAnsi="Palatino Linotype" w:cs="Palatino Linotype"/>
          <w:color w:val="000000"/>
        </w:rPr>
        <w:t xml:space="preserve">En atención a lo anterior, resulta necesario precisar que, el peso máximo de archivos que soporta el SAIMEX para adjuntar como respuesta a las solicitudes de información tiene el soporte tecnológico para que se puedan adjuntar archivos con un peso aprox. de hasta 500 </w:t>
      </w:r>
      <w:r>
        <w:rPr>
          <w:rFonts w:ascii="Palatino Linotype" w:eastAsia="Palatino Linotype" w:hAnsi="Palatino Linotype" w:cs="Palatino Linotype"/>
          <w:color w:val="000000"/>
        </w:rPr>
        <w:lastRenderedPageBreak/>
        <w:t>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72792C" w:rsidRDefault="0072792C">
      <w:pPr>
        <w:pBdr>
          <w:top w:val="nil"/>
          <w:left w:val="nil"/>
          <w:bottom w:val="nil"/>
          <w:right w:val="nil"/>
          <w:between w:val="nil"/>
        </w:pBdr>
        <w:ind w:left="720"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32. </w:t>
      </w:r>
      <w:r>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entregar contenga datos personales susceptibles de clasificarse como confidenciales,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estará a lo dispuesto en el Considerando que más adelante se enuncia.</w:t>
      </w:r>
    </w:p>
    <w:p w:rsidR="0072792C" w:rsidRDefault="0072792C">
      <w:pPr>
        <w:tabs>
          <w:tab w:val="left" w:pos="284"/>
        </w:tabs>
        <w:spacing w:line="360" w:lineRule="auto"/>
        <w:ind w:right="-989"/>
        <w:jc w:val="both"/>
        <w:rPr>
          <w:rFonts w:ascii="Palatino Linotype" w:eastAsia="Palatino Linotype" w:hAnsi="Palatino Linotype" w:cs="Palatino Linotype"/>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33. </w:t>
      </w:r>
      <w:r>
        <w:rPr>
          <w:rFonts w:ascii="Palatino Linotype" w:eastAsia="Palatino Linotype" w:hAnsi="Palatino Linotype" w:cs="Palatino Linotype"/>
          <w:color w:val="000000"/>
        </w:rPr>
        <w:t xml:space="preserve">Con la determinación a la que se arriba se concluye que quedará por colmado el Derecho de Acceso a la Información Pública del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el cual se define como: </w:t>
      </w:r>
      <w:r>
        <w:rPr>
          <w:rFonts w:ascii="Palatino Linotype" w:eastAsia="Palatino Linotype" w:hAnsi="Palatino Linotype" w:cs="Palatino Linotype"/>
          <w:i/>
          <w:iCs/>
          <w:color w:val="000000"/>
        </w:rPr>
        <w:t>La igualdad de oportunidades para recibir, buscar e impartir información</w:t>
      </w:r>
      <w:r>
        <w:rPr>
          <w:i/>
          <w:iCs/>
          <w:color w:val="000000"/>
          <w:vertAlign w:val="superscript"/>
        </w:rPr>
        <w:footnoteReference w:id="1"/>
      </w:r>
      <w:r>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w:t>
      </w:r>
      <w:r>
        <w:rPr>
          <w:rFonts w:ascii="Palatino Linotype" w:eastAsia="Palatino Linotype" w:hAnsi="Palatino Linotype" w:cs="Palatino Linotype"/>
          <w:color w:val="000000"/>
        </w:rPr>
        <w:t>física</w:t>
      </w:r>
      <w:r>
        <w:rPr>
          <w:rFonts w:ascii="Palatino Linotype" w:eastAsia="Palatino Linotype" w:hAnsi="Palatino Linotype" w:cs="Palatino Linotype"/>
          <w:i/>
          <w:iCs/>
          <w:color w:val="000000"/>
        </w:rPr>
        <w:t>, moral o sindicato que reciba y ejerza recursos públicos o realice actos de autoridad en el ámbito federal, estatal y municipal,</w:t>
      </w:r>
      <w:r>
        <w:rPr>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w:t>
      </w:r>
      <w:r>
        <w:rPr>
          <w:rFonts w:ascii="Palatino Linotype" w:eastAsia="Palatino Linotype" w:hAnsi="Palatino Linotype" w:cs="Palatino Linotype"/>
          <w:i/>
          <w:iCs/>
          <w:color w:val="000000"/>
        </w:rPr>
        <w:lastRenderedPageBreak/>
        <w:t xml:space="preserve">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72792C" w:rsidRDefault="0072792C">
      <w:pPr>
        <w:tabs>
          <w:tab w:val="left" w:pos="284"/>
        </w:tabs>
        <w:spacing w:line="360" w:lineRule="auto"/>
        <w:ind w:right="-989"/>
        <w:rPr>
          <w:rFonts w:ascii="Palatino Linotype" w:eastAsia="Palatino Linotype" w:hAnsi="Palatino Linotype" w:cs="Palatino Linotype"/>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rPr>
        <w:t>34.</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Se deduce que el derecho de acceso a la información pública es un derecho humano constitucionalmente reconocido, en consecuencia, todas las autoridades en el ámbito de sus competencias, funciones y atribuciones tienen la obligación de respetarlo, protegerlo y </w:t>
      </w:r>
      <w:r>
        <w:rPr>
          <w:rFonts w:ascii="Palatino Linotype" w:eastAsia="Palatino Linotype" w:hAnsi="Palatino Linotype" w:cs="Palatino Linotype"/>
        </w:rPr>
        <w:t>garantizar</w:t>
      </w:r>
      <w:r>
        <w:rPr>
          <w:rFonts w:ascii="Palatino Linotype" w:eastAsia="Palatino Linotype" w:hAnsi="Palatino Linotype" w:cs="Palatino Linotype"/>
          <w:color w:val="000000"/>
        </w:rPr>
        <w:t>.</w:t>
      </w:r>
    </w:p>
    <w:p w:rsidR="0072792C" w:rsidRDefault="005A61B2">
      <w:pPr>
        <w:tabs>
          <w:tab w:val="left" w:pos="284"/>
        </w:tabs>
        <w:spacing w:line="360" w:lineRule="auto"/>
        <w:ind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35.</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Pr>
          <w:rFonts w:ascii="Palatino Linotype" w:eastAsia="Palatino Linotype" w:hAnsi="Palatino Linotype" w:cs="Palatino Linotype"/>
          <w:i/>
          <w:iCs/>
          <w:color w:val="000000"/>
        </w:rPr>
        <w:t>por los principios de simplicidad, rapidez gratuidad del procedimiento, auxilio y orientación a los particulares</w:t>
      </w:r>
      <w:r>
        <w:rPr>
          <w:rFonts w:ascii="Palatino Linotype" w:eastAsia="Palatino Linotype" w:hAnsi="Palatino Linotype" w:cs="Palatino Linotype"/>
          <w:color w:val="000000"/>
        </w:rPr>
        <w:t xml:space="preserve">, contemplando el derecho de las personas con discapacidad y hablantes de lengua indígena. </w:t>
      </w:r>
    </w:p>
    <w:p w:rsidR="0072792C" w:rsidRDefault="0072792C">
      <w:pPr>
        <w:tabs>
          <w:tab w:val="left" w:pos="284"/>
        </w:tabs>
        <w:spacing w:line="360" w:lineRule="auto"/>
        <w:ind w:right="-989"/>
        <w:jc w:val="both"/>
        <w:rPr>
          <w:rFonts w:ascii="Palatino Linotype" w:eastAsia="Palatino Linotype" w:hAnsi="Palatino Linotype" w:cs="Palatino Linotype"/>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36. </w:t>
      </w:r>
      <w:r>
        <w:rPr>
          <w:rFonts w:ascii="Palatino Linotype" w:eastAsia="Palatino Linotype" w:hAnsi="Palatino Linotype" w:cs="Palatino Linotype"/>
          <w:color w:val="000000"/>
        </w:rPr>
        <w:t xml:space="preserve">Es así que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establece que </w:t>
      </w:r>
      <w:r>
        <w:rPr>
          <w:rFonts w:ascii="Palatino Linotype" w:eastAsia="Palatino Linotype" w:hAnsi="Palatino Linotype" w:cs="Palatino Linotype"/>
          <w:b/>
          <w:bCs/>
          <w:i/>
          <w:iCs/>
          <w:color w:val="000000"/>
          <w:u w:val="single"/>
        </w:rPr>
        <w:t>el recurso de revisión es la garantía secundaria</w:t>
      </w:r>
      <w:r>
        <w:rPr>
          <w:rFonts w:ascii="Palatino Linotype" w:eastAsia="Palatino Linotype" w:hAnsi="Palatino Linotype" w:cs="Palatino Linotype"/>
          <w:b/>
          <w:bCs/>
          <w:i/>
          <w:iCs/>
          <w:color w:val="000000"/>
        </w:rPr>
        <w:t xml:space="preserve"> mediante la cual se pretende reparar cualquier posible afectación al derecho de acceso a la información pública</w:t>
      </w:r>
      <w:r>
        <w:rPr>
          <w:rFonts w:ascii="Palatino Linotype" w:eastAsia="Palatino Linotype" w:hAnsi="Palatino Linotype" w:cs="Palatino Linotype"/>
          <w:b/>
          <w:bCs/>
          <w:color w:val="000000"/>
        </w:rPr>
        <w:t>, s</w:t>
      </w:r>
      <w:r>
        <w:rPr>
          <w:rFonts w:ascii="Palatino Linotype" w:eastAsia="Palatino Linotype" w:hAnsi="Palatino Linotype" w:cs="Palatino Linotype"/>
          <w:color w:val="000000"/>
        </w:rPr>
        <w:t xml:space="preserve">iendo éste el medio a través del </w:t>
      </w:r>
      <w:r>
        <w:rPr>
          <w:rFonts w:ascii="Palatino Linotype" w:eastAsia="Palatino Linotype" w:hAnsi="Palatino Linotype" w:cs="Palatino Linotype"/>
          <w:color w:val="000000"/>
        </w:rPr>
        <w:lastRenderedPageBreak/>
        <w:t xml:space="preserve">cual, este Órgano Garante después de realizar el análisis al procedimiento de acceso a la información, podrá determinar la posible afectación y de ser el caso ordenar la reparación a la violación del derecho en cuestión.  </w:t>
      </w:r>
    </w:p>
    <w:p w:rsidR="0072792C" w:rsidRDefault="0072792C">
      <w:pPr>
        <w:pBdr>
          <w:top w:val="nil"/>
          <w:left w:val="nil"/>
          <w:bottom w:val="nil"/>
          <w:right w:val="nil"/>
          <w:between w:val="nil"/>
        </w:pBdr>
        <w:spacing w:line="360" w:lineRule="auto"/>
        <w:ind w:left="708" w:right="-989"/>
        <w:rPr>
          <w:rFonts w:ascii="Palatino Linotype" w:eastAsia="Palatino Linotype" w:hAnsi="Palatino Linotype" w:cs="Palatino Linotype"/>
          <w:b/>
          <w:bCs/>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37. </w:t>
      </w:r>
      <w:r>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2792C" w:rsidRDefault="005A61B2">
      <w:pPr>
        <w:spacing w:line="360" w:lineRule="auto"/>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0002-11</w:t>
      </w: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TEMÁTICA DE LOS ARTÍCULOS 2, FRACCIÓN V, XV, Y XVI, 3, 4,11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Que se trate de información registrada en cualquier soporte documental, que en ejercicio de las atribuciones conferidas, sea administrada por los Sujetos Obligados, y</w:t>
      </w:r>
    </w:p>
    <w:p w:rsidR="0072792C" w:rsidRDefault="005A61B2">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w:t>
      </w:r>
    </w:p>
    <w:p w:rsidR="0072792C" w:rsidRDefault="0072792C">
      <w:pPr>
        <w:pBdr>
          <w:top w:val="nil"/>
          <w:left w:val="nil"/>
          <w:bottom w:val="nil"/>
          <w:right w:val="nil"/>
          <w:between w:val="nil"/>
        </w:pBdr>
        <w:tabs>
          <w:tab w:val="left" w:pos="851"/>
        </w:tabs>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38.</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2792C" w:rsidRDefault="0072792C">
      <w:pPr>
        <w:pBdr>
          <w:top w:val="nil"/>
          <w:left w:val="nil"/>
          <w:bottom w:val="nil"/>
          <w:right w:val="nil"/>
          <w:between w:val="nil"/>
        </w:pBdr>
        <w:tabs>
          <w:tab w:val="left" w:pos="851"/>
        </w:tabs>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39. </w:t>
      </w:r>
      <w:r>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40. </w:t>
      </w:r>
      <w:r>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w:t>
      </w:r>
      <w:r>
        <w:rPr>
          <w:rFonts w:ascii="Palatino Linotype" w:eastAsia="Palatino Linotype" w:hAnsi="Palatino Linotype" w:cs="Palatino Linotype"/>
          <w:color w:val="000000"/>
        </w:rPr>
        <w:lastRenderedPageBreak/>
        <w:t xml:space="preserve">Información Pública del Estado de México y Municipios, guardan una estrecha relación, puesto que los ordenamientos citados concurren refiriendo que </w:t>
      </w:r>
      <w:r>
        <w:rPr>
          <w:rFonts w:ascii="Palatino Linotype" w:eastAsia="Palatino Linotype" w:hAnsi="Palatino Linotype" w:cs="Palatino Linotype"/>
          <w:b/>
          <w:bCs/>
          <w:color w:val="000000"/>
        </w:rPr>
        <w:t>los Sujetos Obligados deberán documentar todo acto que se derive del ejercicio de sus facultades, competencias o funciones,</w:t>
      </w:r>
      <w:r>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72792C" w:rsidRDefault="0072792C">
      <w:pPr>
        <w:pBdr>
          <w:top w:val="nil"/>
          <w:left w:val="nil"/>
          <w:bottom w:val="nil"/>
          <w:right w:val="nil"/>
          <w:between w:val="nil"/>
        </w:pBdr>
        <w:ind w:left="708" w:right="-989"/>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41. </w:t>
      </w: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72792C" w:rsidRDefault="0072792C">
      <w:pPr>
        <w:spacing w:line="360" w:lineRule="auto"/>
        <w:ind w:left="567" w:right="-989"/>
        <w:jc w:val="both"/>
        <w:rPr>
          <w:rFonts w:ascii="Palatino Linotype" w:eastAsia="Palatino Linotype" w:hAnsi="Palatino Linotype" w:cs="Palatino Linotype"/>
          <w:i/>
          <w:iCs/>
        </w:rPr>
      </w:pP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2792C" w:rsidRDefault="0072792C">
      <w:pPr>
        <w:spacing w:line="360" w:lineRule="auto"/>
        <w:ind w:left="567" w:right="-989"/>
        <w:jc w:val="both"/>
        <w:rPr>
          <w:rFonts w:ascii="Palatino Linotype" w:eastAsia="Palatino Linotype" w:hAnsi="Palatino Linotype" w:cs="Palatino Linotype"/>
          <w:i/>
          <w:iCs/>
        </w:rPr>
      </w:pPr>
    </w:p>
    <w:p w:rsidR="0072792C" w:rsidRDefault="005A61B2">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Los sujetos obligados deben poner en práctica, políticas y programas de acceso a la información que se apeguen a criterios de publicidad, veracidad, oportunidad, precisión y suficiencia en beneficio de los solicitantes.</w:t>
      </w:r>
    </w:p>
    <w:p w:rsidR="0072792C" w:rsidRDefault="0072792C">
      <w:pPr>
        <w:spacing w:line="360" w:lineRule="auto"/>
        <w:ind w:left="567" w:right="-989"/>
        <w:jc w:val="both"/>
        <w:rPr>
          <w:rFonts w:ascii="Palatino Linotype" w:eastAsia="Palatino Linotype" w:hAnsi="Palatino Linotype" w:cs="Palatino Linotype"/>
          <w:i/>
          <w:iCs/>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42. </w:t>
      </w: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color w:val="000000"/>
          <w:vertAlign w:val="superscript"/>
        </w:rPr>
        <w:footnoteReference w:id="5"/>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43. </w:t>
      </w:r>
      <w:r>
        <w:rPr>
          <w:rFonts w:ascii="Palatino Linotype" w:eastAsia="Palatino Linotype" w:hAnsi="Palatino Linotype" w:cs="Palatino Linotype"/>
          <w:color w:val="000000"/>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reviste el carácter de información reservada y, en este caso, se deberá emitir un acuerdo que clasifique como reservado el procedimiento sobre responsabilidad administrativa. </w:t>
      </w: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44. </w:t>
      </w:r>
      <w:r>
        <w:rPr>
          <w:rFonts w:ascii="Palatino Linotype" w:eastAsia="Palatino Linotype" w:hAnsi="Palatino Linotype" w:cs="Palatino Linotype"/>
          <w:color w:val="000000"/>
        </w:rPr>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72792C" w:rsidRDefault="005A61B2">
      <w:pPr>
        <w:pBdr>
          <w:top w:val="nil"/>
          <w:left w:val="nil"/>
          <w:bottom w:val="nil"/>
          <w:right w:val="nil"/>
          <w:between w:val="nil"/>
        </w:pBdr>
        <w:spacing w:line="360" w:lineRule="auto"/>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72792C" w:rsidRDefault="005A61B2">
      <w:pPr>
        <w:pBdr>
          <w:top w:val="nil"/>
          <w:left w:val="nil"/>
          <w:bottom w:val="nil"/>
          <w:right w:val="nil"/>
          <w:between w:val="nil"/>
        </w:pBdr>
        <w:spacing w:line="360" w:lineRule="auto"/>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rsidR="0072792C" w:rsidRDefault="005A61B2">
      <w:pPr>
        <w:pBdr>
          <w:top w:val="nil"/>
          <w:left w:val="nil"/>
          <w:bottom w:val="nil"/>
          <w:right w:val="nil"/>
          <w:between w:val="nil"/>
        </w:pBdr>
        <w:spacing w:line="360" w:lineRule="auto"/>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45. </w:t>
      </w:r>
      <w:r>
        <w:rPr>
          <w:rFonts w:ascii="Palatino Linotype" w:eastAsia="Palatino Linotype" w:hAnsi="Palatino Linotype" w:cs="Palatino Linotype"/>
          <w:color w:val="000000"/>
        </w:rPr>
        <w:t xml:space="preserve">En ese sentido, cabe la posibilidad de que dentro de la información que se ordena, se encuentren documentos que contengan información que sí actualicen alguna de las causales de reserva o confidencialidad establecidas en los artículos 140 y 143 de la Ley de la materia, </w:t>
      </w:r>
      <w:r>
        <w:rPr>
          <w:rFonts w:ascii="Palatino Linotype" w:eastAsia="Palatino Linotype" w:hAnsi="Palatino Linotype" w:cs="Palatino Linotype"/>
          <w:color w:val="000000"/>
        </w:rPr>
        <w:lastRenderedPageBreak/>
        <w:t>dicha información reviste el carácter de información reservada y en este caso, se deberá emitir un acuerdo que clasifique como reservado.</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46.</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Expuesto lo anterior, analizadas las constancias que forman el expediente electrónico, </w:t>
      </w:r>
      <w:r>
        <w:rPr>
          <w:rFonts w:ascii="Palatino Linotype" w:eastAsia="Palatino Linotype" w:hAnsi="Palatino Linotype" w:cs="Palatino Linotype"/>
        </w:rPr>
        <w:t xml:space="preserve">resultan fundadas las razones o motivos de inconformidad hechos valer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dentro del recurso de revisión </w:t>
      </w:r>
      <w:r>
        <w:rPr>
          <w:rFonts w:ascii="Palatino Linotype" w:eastAsia="Palatino Linotype" w:hAnsi="Palatino Linotype" w:cs="Palatino Linotype"/>
          <w:b/>
          <w:bCs/>
        </w:rPr>
        <w:t xml:space="preserve">12878/INFOEM/IP/RR/2025 </w:t>
      </w:r>
      <w:r>
        <w:rPr>
          <w:rFonts w:ascii="Palatino Linotype" w:eastAsia="Palatino Linotype" w:hAnsi="Palatino Linotype" w:cs="Palatino Linotype"/>
        </w:rPr>
        <w:t xml:space="preserve">y resulta procedente ordenar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la entrega en versión pública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los oficios emitidos por la Dirección de Administración</w:t>
      </w:r>
      <w:r w:rsidR="00EB3B11">
        <w:rPr>
          <w:rFonts w:ascii="Palatino Linotype" w:eastAsia="Palatino Linotype" w:hAnsi="Palatino Linotype" w:cs="Palatino Linotype"/>
        </w:rPr>
        <w:t xml:space="preserve"> del uno de enero al doce de octubre de 2025</w:t>
      </w:r>
      <w:r>
        <w:rPr>
          <w:rFonts w:ascii="Palatino Linotype" w:eastAsia="Palatino Linotype" w:hAnsi="Palatino Linotype" w:cs="Palatino Linotype"/>
          <w:i/>
          <w:iCs/>
        </w:rPr>
        <w:t>.</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tabs>
          <w:tab w:val="left" w:pos="426"/>
        </w:tabs>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72792C" w:rsidRDefault="005A61B2">
      <w:pPr>
        <w:pBdr>
          <w:top w:val="nil"/>
          <w:left w:val="nil"/>
          <w:bottom w:val="nil"/>
          <w:right w:val="nil"/>
          <w:between w:val="nil"/>
        </w:pBdr>
        <w:tabs>
          <w:tab w:val="left" w:pos="0"/>
        </w:tabs>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47. </w:t>
      </w: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72792C" w:rsidRDefault="0072792C">
      <w:pPr>
        <w:pBdr>
          <w:top w:val="nil"/>
          <w:left w:val="nil"/>
          <w:bottom w:val="nil"/>
          <w:right w:val="nil"/>
          <w:between w:val="nil"/>
        </w:pBdr>
        <w:tabs>
          <w:tab w:val="left" w:pos="426"/>
        </w:tabs>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tabs>
          <w:tab w:val="left" w:pos="0"/>
        </w:tabs>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48. </w:t>
      </w: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72792C" w:rsidRDefault="0072792C">
      <w:pPr>
        <w:pBdr>
          <w:top w:val="nil"/>
          <w:left w:val="nil"/>
          <w:bottom w:val="nil"/>
          <w:right w:val="nil"/>
          <w:between w:val="nil"/>
        </w:pBdr>
        <w:tabs>
          <w:tab w:val="left" w:pos="426"/>
        </w:tabs>
        <w:spacing w:line="360" w:lineRule="auto"/>
        <w:ind w:right="-989"/>
        <w:jc w:val="both"/>
        <w:rPr>
          <w:rFonts w:ascii="Palatino Linotype" w:eastAsia="Palatino Linotype" w:hAnsi="Palatino Linotype" w:cs="Palatino Linotype"/>
          <w:color w:val="000000"/>
        </w:rPr>
      </w:pPr>
    </w:p>
    <w:tbl>
      <w:tblPr>
        <w:tblStyle w:val="a"/>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25"/>
        <w:gridCol w:w="7293"/>
      </w:tblGrid>
      <w:tr w:rsidR="0072792C" w:rsidTr="00173725">
        <w:tc>
          <w:tcPr>
            <w:tcW w:w="2625" w:type="dxa"/>
          </w:tcPr>
          <w:p w:rsidR="0072792C" w:rsidRDefault="005A61B2">
            <w:pPr>
              <w:spacing w:line="360" w:lineRule="auto"/>
              <w:ind w:right="-24"/>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7293" w:type="dxa"/>
          </w:tcPr>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72792C" w:rsidTr="00173725">
        <w:tc>
          <w:tcPr>
            <w:tcW w:w="2625" w:type="dxa"/>
          </w:tcPr>
          <w:p w:rsidR="0072792C" w:rsidRDefault="005A61B2">
            <w:pPr>
              <w:spacing w:line="360" w:lineRule="auto"/>
              <w:ind w:right="-24"/>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7293" w:type="dxa"/>
          </w:tcPr>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116 y 143 de la Ley Estatal y de la Ley General, respectivamente, señalan los supuestos para que la información </w:t>
            </w:r>
            <w:r>
              <w:rPr>
                <w:rFonts w:ascii="Palatino Linotype" w:eastAsia="Palatino Linotype" w:hAnsi="Palatino Linotype" w:cs="Palatino Linotype"/>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2792C" w:rsidTr="00173725">
        <w:tc>
          <w:tcPr>
            <w:tcW w:w="2625" w:type="dxa"/>
          </w:tcPr>
          <w:p w:rsidR="0072792C" w:rsidRDefault="005A61B2">
            <w:pPr>
              <w:spacing w:line="360" w:lineRule="auto"/>
              <w:ind w:right="-24"/>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293" w:type="dxa"/>
          </w:tcPr>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w:t>
            </w:r>
            <w:r>
              <w:rPr>
                <w:rFonts w:ascii="Palatino Linotype" w:eastAsia="Palatino Linotype" w:hAnsi="Palatino Linotype" w:cs="Palatino Linotype"/>
              </w:rPr>
              <w:lastRenderedPageBreak/>
              <w:t>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2792C" w:rsidTr="00173725">
        <w:tc>
          <w:tcPr>
            <w:tcW w:w="2625" w:type="dxa"/>
          </w:tcPr>
          <w:p w:rsidR="0072792C" w:rsidRDefault="0072792C">
            <w:pPr>
              <w:spacing w:line="360" w:lineRule="auto"/>
              <w:ind w:right="-24"/>
              <w:rPr>
                <w:rFonts w:ascii="Palatino Linotype" w:eastAsia="Palatino Linotype" w:hAnsi="Palatino Linotype" w:cs="Palatino Linotype"/>
              </w:rPr>
            </w:pP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7293" w:type="dxa"/>
          </w:tcPr>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w:t>
            </w:r>
            <w:r>
              <w:rPr>
                <w:rFonts w:ascii="Palatino Linotype" w:eastAsia="Palatino Linotype" w:hAnsi="Palatino Linotype" w:cs="Palatino Linotype"/>
              </w:rPr>
              <w:lastRenderedPageBreak/>
              <w:t>motivos o circunstancias que tomó en cuenta la autoridad para adecuar el hecho a los fundamentos de derecho. De este modo, la persona que se sienta afectada pueda impugnar la decisión, permitiéndole una real y auténtica defensa.</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2792C" w:rsidTr="00173725">
        <w:tc>
          <w:tcPr>
            <w:tcW w:w="2625" w:type="dxa"/>
          </w:tcPr>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72792C" w:rsidRDefault="0072792C">
            <w:pPr>
              <w:spacing w:line="360" w:lineRule="auto"/>
              <w:ind w:right="-24"/>
              <w:rPr>
                <w:rFonts w:ascii="Palatino Linotype" w:eastAsia="Palatino Linotype" w:hAnsi="Palatino Linotype" w:cs="Palatino Linotype"/>
              </w:rPr>
            </w:pPr>
          </w:p>
        </w:tc>
        <w:tc>
          <w:tcPr>
            <w:tcW w:w="7293" w:type="dxa"/>
          </w:tcPr>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72792C" w:rsidRDefault="005A61B2">
            <w:pPr>
              <w:spacing w:line="360" w:lineRule="auto"/>
              <w:ind w:right="-24"/>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w:t>
            </w:r>
            <w:r>
              <w:rPr>
                <w:rFonts w:ascii="Palatino Linotype" w:eastAsia="Palatino Linotype" w:hAnsi="Palatino Linotype" w:cs="Palatino Linotype"/>
              </w:rPr>
              <w:lastRenderedPageBreak/>
              <w:t xml:space="preserve">de la Nación, los servidores públicos nos encontramos sujetos a un régimen menor de protección. </w:t>
            </w:r>
          </w:p>
          <w:p w:rsidR="0072792C" w:rsidRDefault="005A61B2">
            <w:pPr>
              <w:spacing w:line="360" w:lineRule="auto"/>
              <w:ind w:right="-24"/>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49. </w:t>
      </w: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72792C" w:rsidRDefault="0072792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72792C" w:rsidRDefault="005A61B2">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50. </w:t>
      </w: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72792C" w:rsidRDefault="0072792C">
      <w:pPr>
        <w:pBdr>
          <w:top w:val="nil"/>
          <w:left w:val="nil"/>
          <w:bottom w:val="nil"/>
          <w:right w:val="nil"/>
          <w:between w:val="nil"/>
        </w:pBdr>
        <w:spacing w:line="480" w:lineRule="auto"/>
        <w:ind w:right="-989"/>
        <w:jc w:val="both"/>
        <w:rPr>
          <w:rFonts w:ascii="Palatino Linotype" w:eastAsia="Palatino Linotype" w:hAnsi="Palatino Linotype" w:cs="Palatino Linotype"/>
          <w:color w:val="000000"/>
        </w:rPr>
      </w:pPr>
    </w:p>
    <w:p w:rsidR="0072792C" w:rsidRDefault="005A61B2">
      <w:pPr>
        <w:pStyle w:val="Ttulo1"/>
        <w:spacing w:before="0" w:line="360" w:lineRule="auto"/>
        <w:ind w:right="-989"/>
        <w:jc w:val="center"/>
        <w:rPr>
          <w:b w:val="0"/>
          <w:bCs w:val="0"/>
        </w:rPr>
      </w:pPr>
      <w:r>
        <w:t>R E S O L U T I V O S</w:t>
      </w:r>
    </w:p>
    <w:p w:rsidR="0072792C" w:rsidRDefault="0072792C">
      <w:pPr>
        <w:spacing w:line="360" w:lineRule="auto"/>
        <w:ind w:right="-989"/>
        <w:rPr>
          <w:rFonts w:ascii="Palatino Linotype" w:eastAsia="Palatino Linotype" w:hAnsi="Palatino Linotype" w:cs="Palatino Linotype"/>
        </w:rPr>
      </w:pPr>
    </w:p>
    <w:p w:rsidR="0072792C" w:rsidRDefault="005A61B2">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Recursos de Revisión </w:t>
      </w:r>
      <w:r>
        <w:rPr>
          <w:rFonts w:ascii="Palatino Linotype" w:eastAsia="Palatino Linotype" w:hAnsi="Palatino Linotype" w:cs="Palatino Linotype"/>
          <w:b/>
          <w:bCs/>
        </w:rPr>
        <w:t xml:space="preserve">12878/INFOEM/IP/RR/2025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y QUINTO </w:t>
      </w:r>
      <w:r>
        <w:rPr>
          <w:rFonts w:ascii="Palatino Linotype" w:eastAsia="Palatino Linotype" w:hAnsi="Palatino Linotype" w:cs="Palatino Linotype"/>
        </w:rPr>
        <w:t>de la presente resolución.</w:t>
      </w:r>
    </w:p>
    <w:p w:rsidR="0072792C" w:rsidRDefault="0072792C">
      <w:pPr>
        <w:spacing w:line="360" w:lineRule="auto"/>
        <w:ind w:right="-989"/>
        <w:jc w:val="both"/>
        <w:rPr>
          <w:rFonts w:ascii="Palatino Linotype" w:eastAsia="Palatino Linotype" w:hAnsi="Palatino Linotype" w:cs="Palatino Linotype"/>
        </w:rPr>
      </w:pPr>
    </w:p>
    <w:p w:rsidR="0072792C" w:rsidRDefault="005A61B2">
      <w:pPr>
        <w:spacing w:line="360" w:lineRule="auto"/>
        <w:ind w:right="-989"/>
        <w:jc w:val="both"/>
        <w:rPr>
          <w:rFonts w:ascii="Palatino Linotype" w:eastAsia="Palatino Linotype" w:hAnsi="Palatino Linotype" w:cs="Palatino Linotype"/>
          <w:color w:val="000000"/>
        </w:rPr>
      </w:pPr>
      <w:bookmarkStart w:id="8" w:name="_heading=h.26in1rg" w:colFirst="0" w:colLast="0"/>
      <w:bookmarkEnd w:id="8"/>
      <w:r>
        <w:rPr>
          <w:rFonts w:ascii="Palatino Linotype" w:eastAsia="Palatino Linotype" w:hAnsi="Palatino Linotype" w:cs="Palatino Linotype"/>
          <w:b/>
          <w:bCs/>
        </w:rPr>
        <w:lastRenderedPageBreak/>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efecto de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de ser procedente en versión pública, la siguiente información:</w:t>
      </w:r>
    </w:p>
    <w:p w:rsidR="0072792C" w:rsidRDefault="0072792C">
      <w:pPr>
        <w:spacing w:line="360" w:lineRule="auto"/>
        <w:ind w:right="-989"/>
        <w:jc w:val="both"/>
        <w:rPr>
          <w:rFonts w:ascii="Palatino Linotype" w:eastAsia="Palatino Linotype" w:hAnsi="Palatino Linotype" w:cs="Palatino Linotype"/>
          <w:b/>
          <w:bCs/>
          <w:i/>
          <w:iCs/>
        </w:rPr>
      </w:pPr>
    </w:p>
    <w:p w:rsidR="0072792C" w:rsidRPr="00F148A5" w:rsidRDefault="005A61B2">
      <w:pPr>
        <w:numPr>
          <w:ilvl w:val="0"/>
          <w:numId w:val="5"/>
        </w:numPr>
        <w:pBdr>
          <w:top w:val="nil"/>
          <w:left w:val="nil"/>
          <w:bottom w:val="nil"/>
          <w:right w:val="nil"/>
          <w:between w:val="nil"/>
        </w:pBdr>
        <w:spacing w:line="360" w:lineRule="auto"/>
        <w:ind w:right="-989"/>
        <w:rPr>
          <w:rFonts w:ascii="Palatino Linotype" w:eastAsia="Palatino Linotype" w:hAnsi="Palatino Linotype" w:cs="Palatino Linotype"/>
          <w:b/>
          <w:bCs/>
          <w:color w:val="000000"/>
        </w:rPr>
      </w:pPr>
      <w:bookmarkStart w:id="9" w:name="_heading=h.poebna8j1o2u" w:colFirst="0" w:colLast="0"/>
      <w:bookmarkEnd w:id="9"/>
      <w:r w:rsidRPr="00F148A5">
        <w:rPr>
          <w:rFonts w:ascii="Palatino Linotype" w:eastAsia="Palatino Linotype" w:hAnsi="Palatino Linotype" w:cs="Palatino Linotype"/>
          <w:b/>
          <w:bCs/>
          <w:color w:val="000000"/>
        </w:rPr>
        <w:t>Oficios emitidos por la Dirección de Administración d</w:t>
      </w:r>
      <w:r w:rsidR="00EB3B11" w:rsidRPr="00F148A5">
        <w:rPr>
          <w:rFonts w:ascii="Palatino Linotype" w:eastAsia="Palatino Linotype" w:hAnsi="Palatino Linotype" w:cs="Palatino Linotype"/>
          <w:b/>
          <w:bCs/>
          <w:color w:val="000000"/>
        </w:rPr>
        <w:t>el 01 de enero al 1</w:t>
      </w:r>
      <w:r w:rsidR="00184C0C" w:rsidRPr="00F148A5">
        <w:rPr>
          <w:rFonts w:ascii="Palatino Linotype" w:eastAsia="Palatino Linotype" w:hAnsi="Palatino Linotype" w:cs="Palatino Linotype"/>
          <w:b/>
          <w:bCs/>
          <w:color w:val="000000"/>
        </w:rPr>
        <w:t>3</w:t>
      </w:r>
      <w:r w:rsidR="00EB3B11" w:rsidRPr="00F148A5">
        <w:rPr>
          <w:rFonts w:ascii="Palatino Linotype" w:eastAsia="Palatino Linotype" w:hAnsi="Palatino Linotype" w:cs="Palatino Linotype"/>
          <w:b/>
          <w:bCs/>
          <w:color w:val="000000"/>
        </w:rPr>
        <w:t xml:space="preserve"> de octubre de 2025 </w:t>
      </w:r>
    </w:p>
    <w:p w:rsidR="0072792C" w:rsidRDefault="005A61B2">
      <w:pPr>
        <w:tabs>
          <w:tab w:val="left" w:pos="8080"/>
        </w:tabs>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w:t>
      </w:r>
    </w:p>
    <w:p w:rsidR="0072792C" w:rsidRDefault="0072792C">
      <w:pPr>
        <w:tabs>
          <w:tab w:val="left" w:pos="8080"/>
        </w:tabs>
        <w:spacing w:line="360" w:lineRule="auto"/>
        <w:ind w:right="-989"/>
        <w:jc w:val="both"/>
        <w:rPr>
          <w:rFonts w:ascii="Palatino Linotype" w:eastAsia="Palatino Linotype" w:hAnsi="Palatino Linotype" w:cs="Palatino Linotype"/>
          <w:b/>
          <w:bCs/>
        </w:rPr>
      </w:pPr>
    </w:p>
    <w:p w:rsidR="0072792C" w:rsidRDefault="005A61B2">
      <w:p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supuesto de que el SUJETO OBLIGADO no cuente con alguno de los oficios que se ordenan, por no haber sido generados o porque se hubieran cancelado, bastará con que así lo haga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de manera clara y precisa, en términos del artículo 19, párrafo segundo de la Ley de Transparencia y Acceso a la Información pública del Estado de México y Municipios para tener por colmado el requerimiento de información.</w:t>
      </w:r>
    </w:p>
    <w:p w:rsidR="0072792C" w:rsidRDefault="0072792C">
      <w:pPr>
        <w:spacing w:line="360" w:lineRule="auto"/>
        <w:ind w:right="-989"/>
        <w:jc w:val="both"/>
        <w:rPr>
          <w:rFonts w:ascii="Palatino Linotype" w:eastAsia="Palatino Linotype" w:hAnsi="Palatino Linotype" w:cs="Palatino Linotype"/>
          <w:b/>
          <w:bCs/>
        </w:rPr>
      </w:pPr>
    </w:p>
    <w:p w:rsidR="0072792C" w:rsidRDefault="005A61B2">
      <w:pPr>
        <w:tabs>
          <w:tab w:val="left" w:pos="8080"/>
        </w:tabs>
        <w:spacing w:line="360" w:lineRule="auto"/>
        <w:ind w:right="-989"/>
        <w:jc w:val="both"/>
        <w:rPr>
          <w:rFonts w:ascii="Palatino Linotype" w:eastAsia="Palatino Linotype" w:hAnsi="Palatino Linotype" w:cs="Palatino Linotype"/>
          <w:b/>
          <w:bCs/>
        </w:rPr>
      </w:pPr>
      <w:bookmarkStart w:id="10" w:name="_heading=h.lnxbz9" w:colFirst="0" w:colLast="0"/>
      <w:bookmarkEnd w:id="10"/>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w:t>
      </w:r>
      <w:r>
        <w:rPr>
          <w:rFonts w:ascii="Palatino Linotype" w:eastAsia="Palatino Linotype" w:hAnsi="Palatino Linotype" w:cs="Palatino Linotype"/>
        </w:rPr>
        <w:lastRenderedPageBreak/>
        <w:t>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2792C" w:rsidRDefault="0072792C">
      <w:pPr>
        <w:tabs>
          <w:tab w:val="left" w:pos="8080"/>
        </w:tabs>
        <w:spacing w:line="360" w:lineRule="auto"/>
        <w:ind w:right="-989"/>
        <w:jc w:val="both"/>
        <w:rPr>
          <w:rFonts w:ascii="Palatino Linotype" w:eastAsia="Palatino Linotype" w:hAnsi="Palatino Linotype" w:cs="Palatino Linotype"/>
        </w:rPr>
      </w:pPr>
    </w:p>
    <w:p w:rsidR="0072792C" w:rsidRDefault="005A61B2">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72792C" w:rsidRDefault="0072792C">
      <w:pPr>
        <w:spacing w:line="360" w:lineRule="auto"/>
        <w:ind w:right="-989"/>
        <w:jc w:val="both"/>
        <w:rPr>
          <w:rFonts w:ascii="Palatino Linotype" w:eastAsia="Palatino Linotype" w:hAnsi="Palatino Linotype" w:cs="Palatino Linotype"/>
          <w:b/>
          <w:bCs/>
        </w:rPr>
      </w:pPr>
    </w:p>
    <w:p w:rsidR="0072792C" w:rsidRDefault="005A61B2">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Gírese </w:t>
      </w:r>
      <w:r>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w:t>
      </w:r>
    </w:p>
    <w:p w:rsidR="0072792C" w:rsidRDefault="0072792C">
      <w:pPr>
        <w:spacing w:line="360" w:lineRule="auto"/>
        <w:ind w:right="-989"/>
        <w:jc w:val="both"/>
        <w:rPr>
          <w:rFonts w:ascii="Palatino Linotype" w:eastAsia="Palatino Linotype" w:hAnsi="Palatino Linotype" w:cs="Palatino Linotype"/>
          <w:b/>
          <w:bCs/>
        </w:rPr>
      </w:pPr>
    </w:p>
    <w:p w:rsidR="0072792C" w:rsidRDefault="005A61B2">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Hágase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la respuesta que dé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Pr>
          <w:rFonts w:ascii="Palatino Linotype" w:eastAsia="Palatino Linotype" w:hAnsi="Palatino Linotype" w:cs="Palatino Linotype"/>
        </w:rPr>
        <w:tab/>
      </w:r>
    </w:p>
    <w:p w:rsidR="0072792C" w:rsidRDefault="0072792C">
      <w:pPr>
        <w:spacing w:line="360" w:lineRule="auto"/>
        <w:ind w:right="-989"/>
        <w:jc w:val="both"/>
        <w:rPr>
          <w:rFonts w:ascii="Palatino Linotype" w:eastAsia="Palatino Linotype" w:hAnsi="Palatino Linotype" w:cs="Palatino Linotype"/>
          <w:b/>
          <w:bCs/>
        </w:rPr>
      </w:pPr>
    </w:p>
    <w:p w:rsidR="0072792C" w:rsidRDefault="005A61B2">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SÉPTIMA.</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que, de conformidad con lo establecido en el artículo 196 de la Ley de Transparencia y Acceso a la Información Pública </w:t>
      </w:r>
      <w:r>
        <w:rPr>
          <w:rFonts w:ascii="Palatino Linotype" w:eastAsia="Palatino Linotype" w:hAnsi="Palatino Linotype" w:cs="Palatino Linotype"/>
        </w:rPr>
        <w:lastRenderedPageBreak/>
        <w:t>del Estado de México y Municipios, en caso de que considere que la resolución le cause algún perjuicio podrá impugnar vía juicio de amparo en los términos de las Leyes aplicables.</w:t>
      </w:r>
    </w:p>
    <w:p w:rsidR="0072792C" w:rsidRDefault="0072792C">
      <w:pPr>
        <w:shd w:val="clear" w:color="auto" w:fill="FFFFFF"/>
        <w:spacing w:line="360" w:lineRule="auto"/>
        <w:ind w:right="-989"/>
        <w:jc w:val="both"/>
        <w:rPr>
          <w:rFonts w:ascii="Palatino Linotype" w:eastAsia="Palatino Linotype" w:hAnsi="Palatino Linotype" w:cs="Palatino Linotype"/>
        </w:rPr>
      </w:pPr>
    </w:p>
    <w:p w:rsidR="002879C0" w:rsidRPr="003E2295" w:rsidRDefault="002879C0" w:rsidP="002879C0">
      <w:pPr>
        <w:spacing w:before="240" w:after="240" w:line="360" w:lineRule="auto"/>
        <w:ind w:right="-992" w:firstLine="1"/>
        <w:jc w:val="both"/>
        <w:rPr>
          <w:rFonts w:ascii="Palatino Linotype" w:hAnsi="Palatino Linotype"/>
        </w:rPr>
      </w:pPr>
      <w:bookmarkStart w:id="11" w:name="_heading=h.dipqbfvvq8qp" w:colFirst="0" w:colLast="0"/>
      <w:bookmarkStart w:id="12" w:name="_Hlk99014733"/>
      <w:bookmarkEnd w:id="11"/>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72792C" w:rsidRDefault="0072792C" w:rsidP="002879C0">
      <w:pPr>
        <w:spacing w:before="240" w:after="240" w:line="360" w:lineRule="auto"/>
        <w:ind w:right="-992" w:firstLine="1"/>
        <w:jc w:val="both"/>
        <w:rPr>
          <w:rFonts w:ascii="Palatino Linotype" w:eastAsia="Palatino Linotype" w:hAnsi="Palatino Linotype" w:cs="Palatino Linotype"/>
        </w:rPr>
      </w:pPr>
    </w:p>
    <w:p w:rsidR="0072792C" w:rsidRDefault="0072792C">
      <w:pPr>
        <w:spacing w:before="240" w:after="240" w:line="360" w:lineRule="auto"/>
        <w:ind w:right="-989" w:firstLine="1"/>
        <w:jc w:val="both"/>
        <w:rPr>
          <w:rFonts w:ascii="Palatino Linotype" w:eastAsia="Palatino Linotype" w:hAnsi="Palatino Linotype" w:cs="Palatino Linotype"/>
        </w:rPr>
      </w:pPr>
    </w:p>
    <w:p w:rsidR="0072792C" w:rsidRDefault="0072792C">
      <w:pPr>
        <w:spacing w:before="240" w:after="240" w:line="360" w:lineRule="auto"/>
        <w:ind w:right="-989" w:firstLine="1"/>
        <w:jc w:val="both"/>
        <w:rPr>
          <w:rFonts w:ascii="Palatino Linotype" w:eastAsia="Palatino Linotype" w:hAnsi="Palatino Linotype" w:cs="Palatino Linotype"/>
        </w:rPr>
      </w:pPr>
    </w:p>
    <w:p w:rsidR="0072792C" w:rsidRDefault="0072792C">
      <w:pPr>
        <w:spacing w:before="240" w:after="240" w:line="360" w:lineRule="auto"/>
        <w:ind w:right="-989" w:firstLine="1"/>
        <w:jc w:val="both"/>
        <w:rPr>
          <w:rFonts w:ascii="Palatino Linotype" w:eastAsia="Palatino Linotype" w:hAnsi="Palatino Linotype" w:cs="Palatino Linotype"/>
        </w:rPr>
      </w:pPr>
    </w:p>
    <w:p w:rsidR="0072792C" w:rsidRDefault="0072792C">
      <w:pPr>
        <w:spacing w:before="240" w:after="240" w:line="360" w:lineRule="auto"/>
        <w:ind w:right="-989" w:firstLine="1"/>
        <w:jc w:val="both"/>
        <w:rPr>
          <w:rFonts w:ascii="Palatino Linotype" w:eastAsia="Palatino Linotype" w:hAnsi="Palatino Linotype" w:cs="Palatino Linotype"/>
        </w:rPr>
      </w:pPr>
    </w:p>
    <w:p w:rsidR="0072792C" w:rsidRDefault="0072792C">
      <w:pPr>
        <w:spacing w:line="360" w:lineRule="auto"/>
        <w:ind w:right="-989"/>
        <w:jc w:val="both"/>
        <w:rPr>
          <w:rFonts w:ascii="Palatino Linotype" w:eastAsia="Palatino Linotype" w:hAnsi="Palatino Linotype" w:cs="Palatino Linotype"/>
        </w:rPr>
      </w:pPr>
    </w:p>
    <w:p w:rsidR="0072792C" w:rsidRDefault="0072792C">
      <w:pPr>
        <w:pStyle w:val="Ttulo2"/>
        <w:spacing w:before="0" w:line="360" w:lineRule="auto"/>
        <w:ind w:right="-989"/>
      </w:pPr>
    </w:p>
    <w:p w:rsidR="00173725" w:rsidRDefault="00173725" w:rsidP="00173725"/>
    <w:p w:rsidR="00173725" w:rsidRDefault="00173725" w:rsidP="00173725"/>
    <w:p w:rsidR="00173725" w:rsidRDefault="00173725" w:rsidP="00173725"/>
    <w:p w:rsidR="00173725" w:rsidRDefault="00173725" w:rsidP="00173725"/>
    <w:p w:rsidR="00173725" w:rsidRPr="00173725" w:rsidRDefault="00173725" w:rsidP="00173725"/>
    <w:sectPr w:rsidR="00173725" w:rsidRPr="00173725">
      <w:headerReference w:type="default" r:id="rId12"/>
      <w:footerReference w:type="default" r:id="rId13"/>
      <w:headerReference w:type="first" r:id="rId14"/>
      <w:footerReference w:type="first" r:id="rId15"/>
      <w:pgSz w:w="12240" w:h="15840"/>
      <w:pgMar w:top="1691" w:right="175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225" w:rsidRDefault="00BC5225">
      <w:r>
        <w:separator/>
      </w:r>
    </w:p>
  </w:endnote>
  <w:endnote w:type="continuationSeparator" w:id="0">
    <w:p w:rsidR="00BC5225" w:rsidRDefault="00BC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5E0C0E9-85E5-4814-95C7-DD54CE1EF2D6}"/>
    <w:embedBold r:id="rId2" w:fontKey="{9B4E58C8-7510-4AF2-B944-D8E7CF026BDA}"/>
    <w:embedItalic r:id="rId3" w:fontKey="{B651F9E3-36C3-4686-AB1C-6424CBAC434D}"/>
    <w:embedBoldItalic r:id="rId4" w:fontKey="{BFFA29D1-69CB-40A8-92A5-B5FFB4A1550A}"/>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009532C8-C848-4AF7-AA19-633AC192143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BC0DB0DE-C201-4A7C-9C73-E2985672F714}"/>
    <w:embedBold r:id="rId7" w:fontKey="{5A13295B-7C92-4166-AE2F-316E83DAB1AF}"/>
    <w:embedItalic r:id="rId8" w:fontKey="{E41DA300-6702-4082-B015-D5B588A16B4D}"/>
  </w:font>
  <w:font w:name="Calibri">
    <w:panose1 w:val="020F0502020204030204"/>
    <w:charset w:val="00"/>
    <w:family w:val="swiss"/>
    <w:pitch w:val="variable"/>
    <w:sig w:usb0="E4002EFF" w:usb1="C200247B" w:usb2="00000009" w:usb3="00000000" w:csb0="000001FF" w:csb1="00000000"/>
    <w:embedRegular r:id="rId9" w:fontKey="{13B7188E-96A3-4F0A-B83E-085A2A798075}"/>
    <w:embedItalic r:id="rId10" w:fontKey="{A7267DD3-F283-40BA-B6F6-3F7704066FAA}"/>
  </w:font>
  <w:font w:name="Georgia">
    <w:panose1 w:val="02040502050405020303"/>
    <w:charset w:val="00"/>
    <w:family w:val="roman"/>
    <w:pitch w:val="variable"/>
    <w:sig w:usb0="00000287" w:usb1="00000000" w:usb2="00000000" w:usb3="00000000" w:csb0="0000009F" w:csb1="00000000"/>
    <w:embedItalic r:id="rId11" w:fontKey="{7EDFAA2A-A3A6-49BA-A794-5CFC33FB23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92C" w:rsidRDefault="005A61B2">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F3185">
      <w:rPr>
        <w:rFonts w:ascii="Palatino Linotype" w:eastAsia="Palatino Linotype" w:hAnsi="Palatino Linotype" w:cs="Palatino Linotype"/>
        <w:b/>
        <w:bCs/>
        <w:noProof/>
        <w:color w:val="000000"/>
        <w:sz w:val="22"/>
        <w:szCs w:val="22"/>
      </w:rPr>
      <w:t>13</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F3185">
      <w:rPr>
        <w:rFonts w:ascii="Palatino Linotype" w:eastAsia="Palatino Linotype" w:hAnsi="Palatino Linotype" w:cs="Palatino Linotype"/>
        <w:b/>
        <w:bCs/>
        <w:noProof/>
        <w:color w:val="000000"/>
        <w:sz w:val="22"/>
        <w:szCs w:val="22"/>
      </w:rPr>
      <w:t>28</w:t>
    </w:r>
    <w:r>
      <w:rPr>
        <w:rFonts w:ascii="Palatino Linotype" w:eastAsia="Palatino Linotype" w:hAnsi="Palatino Linotype" w:cs="Palatino Linotype"/>
        <w:b/>
        <w:bCs/>
        <w:color w:val="000000"/>
        <w:sz w:val="22"/>
        <w:szCs w:val="22"/>
      </w:rPr>
      <w:fldChar w:fldCharType="end"/>
    </w:r>
  </w:p>
  <w:p w:rsidR="0072792C" w:rsidRDefault="0072792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72792C" w:rsidRDefault="007279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92C" w:rsidRDefault="005A61B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F3185">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F3185">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p>
  <w:p w:rsidR="0072792C" w:rsidRDefault="0072792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72792C" w:rsidRDefault="007279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225" w:rsidRDefault="00BC5225">
      <w:r>
        <w:separator/>
      </w:r>
    </w:p>
  </w:footnote>
  <w:footnote w:type="continuationSeparator" w:id="0">
    <w:p w:rsidR="00BC5225" w:rsidRDefault="00BC5225">
      <w:r>
        <w:continuationSeparator/>
      </w:r>
    </w:p>
  </w:footnote>
  <w:footnote w:id="1">
    <w:p w:rsidR="0072792C" w:rsidRDefault="005A61B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72792C" w:rsidRDefault="005A61B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72792C" w:rsidRDefault="005A61B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72792C" w:rsidRDefault="005A61B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72792C" w:rsidRDefault="005A61B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72792C" w:rsidRDefault="005A61B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72792C" w:rsidRDefault="005A61B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92C" w:rsidRDefault="002879C0" w:rsidP="00173725">
    <w:pPr>
      <w:pBdr>
        <w:top w:val="nil"/>
        <w:left w:val="nil"/>
        <w:bottom w:val="nil"/>
        <w:right w:val="nil"/>
        <w:between w:val="nil"/>
      </w:pBdr>
      <w:tabs>
        <w:tab w:val="center" w:pos="4252"/>
      </w:tabs>
      <w:rPr>
        <w:color w:val="000000"/>
      </w:rPr>
    </w:pPr>
    <w:r w:rsidRPr="002879C0">
      <w:rPr>
        <w:noProof/>
        <w:color w:val="000000" w:themeColor="text1"/>
        <w:lang w:val="es-MX"/>
      </w:rPr>
      <w:drawing>
        <wp:anchor distT="0" distB="0" distL="0" distR="0" simplePos="0" relativeHeight="251659264" behindDoc="1" locked="0" layoutInCell="1" hidden="0" allowOverlap="1">
          <wp:simplePos x="0" y="0"/>
          <wp:positionH relativeFrom="column">
            <wp:posOffset>-1085960</wp:posOffset>
          </wp:positionH>
          <wp:positionV relativeFrom="paragraph">
            <wp:posOffset>-420453</wp:posOffset>
          </wp:positionV>
          <wp:extent cx="7809865" cy="1016571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r w:rsidR="005A61B2">
      <w:rPr>
        <w:noProof/>
        <w:lang w:val="es-MX"/>
      </w:rPr>
      <w:drawing>
        <wp:anchor distT="0" distB="0" distL="0" distR="0" simplePos="0" relativeHeight="251658240" behindDoc="1" locked="0" layoutInCell="1" hidden="0" allowOverlap="1">
          <wp:simplePos x="0" y="0"/>
          <wp:positionH relativeFrom="column">
            <wp:posOffset>-876822</wp:posOffset>
          </wp:positionH>
          <wp:positionV relativeFrom="paragraph">
            <wp:posOffset>-420997</wp:posOffset>
          </wp:positionV>
          <wp:extent cx="7809876" cy="1016582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0"/>
      <w:tblW w:w="7937"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693"/>
      <w:gridCol w:w="4961"/>
      <w:gridCol w:w="283"/>
    </w:tblGrid>
    <w:tr w:rsidR="0072792C" w:rsidTr="00173725">
      <w:trPr>
        <w:trHeight w:val="138"/>
      </w:trPr>
      <w:tc>
        <w:tcPr>
          <w:tcW w:w="2693" w:type="dxa"/>
          <w:vAlign w:val="center"/>
        </w:tcPr>
        <w:p w:rsidR="0072792C" w:rsidRPr="002879C0" w:rsidRDefault="005A61B2">
          <w:pPr>
            <w:rPr>
              <w:rFonts w:ascii="Palatino Linotype" w:eastAsia="Palatino Linotype" w:hAnsi="Palatino Linotype" w:cs="Palatino Linotype"/>
              <w:b/>
              <w:bCs/>
              <w:color w:val="000000" w:themeColor="text1"/>
              <w:sz w:val="24"/>
              <w:szCs w:val="24"/>
            </w:rPr>
          </w:pPr>
          <w:r w:rsidRPr="002879C0">
            <w:rPr>
              <w:rFonts w:ascii="Palatino Linotype" w:eastAsia="Palatino Linotype" w:hAnsi="Palatino Linotype" w:cs="Palatino Linotype"/>
              <w:b/>
              <w:bCs/>
              <w:color w:val="000000" w:themeColor="text1"/>
              <w:sz w:val="24"/>
              <w:szCs w:val="24"/>
            </w:rPr>
            <w:t>Recurso de Revisión:</w:t>
          </w:r>
        </w:p>
      </w:tc>
      <w:tc>
        <w:tcPr>
          <w:tcW w:w="4961" w:type="dxa"/>
          <w:vAlign w:val="center"/>
        </w:tcPr>
        <w:p w:rsidR="0072792C" w:rsidRPr="002879C0" w:rsidRDefault="005A61B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themeColor="text1"/>
              <w:sz w:val="24"/>
              <w:szCs w:val="24"/>
              <w:highlight w:val="yellow"/>
            </w:rPr>
          </w:pPr>
          <w:r w:rsidRPr="002879C0">
            <w:rPr>
              <w:rFonts w:ascii="Palatino Linotype" w:eastAsia="Palatino Linotype" w:hAnsi="Palatino Linotype" w:cs="Palatino Linotype"/>
              <w:color w:val="000000" w:themeColor="text1"/>
              <w:sz w:val="24"/>
              <w:szCs w:val="24"/>
            </w:rPr>
            <w:t>12878/INFOEM/IP/RR/2025</w:t>
          </w:r>
        </w:p>
      </w:tc>
      <w:tc>
        <w:tcPr>
          <w:tcW w:w="283" w:type="dxa"/>
          <w:vAlign w:val="center"/>
        </w:tcPr>
        <w:p w:rsidR="0072792C" w:rsidRDefault="0072792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szCs w:val="24"/>
              <w:highlight w:val="yellow"/>
            </w:rPr>
          </w:pPr>
        </w:p>
      </w:tc>
    </w:tr>
    <w:tr w:rsidR="0072792C" w:rsidTr="00173725">
      <w:trPr>
        <w:trHeight w:val="321"/>
      </w:trPr>
      <w:tc>
        <w:tcPr>
          <w:tcW w:w="2693" w:type="dxa"/>
          <w:vAlign w:val="center"/>
        </w:tcPr>
        <w:p w:rsidR="0072792C" w:rsidRPr="002879C0" w:rsidRDefault="005A61B2">
          <w:pPr>
            <w:rPr>
              <w:rFonts w:ascii="Palatino Linotype" w:eastAsia="Palatino Linotype" w:hAnsi="Palatino Linotype" w:cs="Palatino Linotype"/>
              <w:b/>
              <w:bCs/>
              <w:color w:val="000000" w:themeColor="text1"/>
              <w:sz w:val="24"/>
              <w:szCs w:val="24"/>
            </w:rPr>
          </w:pPr>
          <w:r w:rsidRPr="002879C0">
            <w:rPr>
              <w:rFonts w:ascii="Palatino Linotype" w:eastAsia="Palatino Linotype" w:hAnsi="Palatino Linotype" w:cs="Palatino Linotype"/>
              <w:b/>
              <w:bCs/>
              <w:color w:val="000000" w:themeColor="text1"/>
              <w:sz w:val="24"/>
              <w:szCs w:val="24"/>
            </w:rPr>
            <w:t>Sujeto Obligado:</w:t>
          </w:r>
        </w:p>
      </w:tc>
      <w:tc>
        <w:tcPr>
          <w:tcW w:w="4961" w:type="dxa"/>
          <w:vAlign w:val="center"/>
        </w:tcPr>
        <w:p w:rsidR="002879C0" w:rsidRDefault="005A61B2" w:rsidP="00173725">
          <w:pPr>
            <w:ind w:right="-108"/>
            <w:rPr>
              <w:rFonts w:ascii="Palatino Linotype" w:eastAsia="Palatino Linotype" w:hAnsi="Palatino Linotype" w:cs="Palatino Linotype"/>
              <w:color w:val="000000" w:themeColor="text1"/>
              <w:sz w:val="24"/>
              <w:szCs w:val="24"/>
            </w:rPr>
          </w:pPr>
          <w:r w:rsidRPr="002879C0">
            <w:rPr>
              <w:rFonts w:ascii="Palatino Linotype" w:eastAsia="Palatino Linotype" w:hAnsi="Palatino Linotype" w:cs="Palatino Linotype"/>
              <w:color w:val="000000" w:themeColor="text1"/>
              <w:sz w:val="24"/>
              <w:szCs w:val="24"/>
            </w:rPr>
            <w:t xml:space="preserve">Organismo Público Descentralizado para la </w:t>
          </w:r>
        </w:p>
        <w:p w:rsidR="002879C0" w:rsidRDefault="005A61B2">
          <w:pPr>
            <w:ind w:right="-830"/>
            <w:rPr>
              <w:rFonts w:ascii="Palatino Linotype" w:eastAsia="Palatino Linotype" w:hAnsi="Palatino Linotype" w:cs="Palatino Linotype"/>
              <w:color w:val="000000" w:themeColor="text1"/>
              <w:sz w:val="24"/>
              <w:szCs w:val="24"/>
            </w:rPr>
          </w:pPr>
          <w:r w:rsidRPr="002879C0">
            <w:rPr>
              <w:rFonts w:ascii="Palatino Linotype" w:eastAsia="Palatino Linotype" w:hAnsi="Palatino Linotype" w:cs="Palatino Linotype"/>
              <w:color w:val="000000" w:themeColor="text1"/>
              <w:sz w:val="24"/>
              <w:szCs w:val="24"/>
            </w:rPr>
            <w:t xml:space="preserve">Prestación de los Servicios de Agua Potable </w:t>
          </w:r>
        </w:p>
        <w:p w:rsidR="00173725" w:rsidRDefault="005A61B2">
          <w:pPr>
            <w:ind w:right="-830"/>
            <w:rPr>
              <w:rFonts w:ascii="Palatino Linotype" w:eastAsia="Palatino Linotype" w:hAnsi="Palatino Linotype" w:cs="Palatino Linotype"/>
              <w:color w:val="000000" w:themeColor="text1"/>
              <w:sz w:val="24"/>
              <w:szCs w:val="24"/>
            </w:rPr>
          </w:pPr>
          <w:r w:rsidRPr="002879C0">
            <w:rPr>
              <w:rFonts w:ascii="Palatino Linotype" w:eastAsia="Palatino Linotype" w:hAnsi="Palatino Linotype" w:cs="Palatino Linotype"/>
              <w:color w:val="000000" w:themeColor="text1"/>
              <w:sz w:val="24"/>
              <w:szCs w:val="24"/>
            </w:rPr>
            <w:t xml:space="preserve">Alcantarillado y Saneamiento del Municipio </w:t>
          </w:r>
        </w:p>
        <w:p w:rsidR="0072792C" w:rsidRPr="002879C0" w:rsidRDefault="005A61B2">
          <w:pPr>
            <w:ind w:right="-830"/>
            <w:rPr>
              <w:rFonts w:ascii="Palatino Linotype" w:eastAsia="Palatino Linotype" w:hAnsi="Palatino Linotype" w:cs="Palatino Linotype"/>
              <w:color w:val="000000" w:themeColor="text1"/>
              <w:sz w:val="24"/>
              <w:szCs w:val="24"/>
            </w:rPr>
          </w:pPr>
          <w:r w:rsidRPr="002879C0">
            <w:rPr>
              <w:rFonts w:ascii="Palatino Linotype" w:eastAsia="Palatino Linotype" w:hAnsi="Palatino Linotype" w:cs="Palatino Linotype"/>
              <w:color w:val="000000" w:themeColor="text1"/>
              <w:sz w:val="24"/>
              <w:szCs w:val="24"/>
            </w:rPr>
            <w:t>de Naucalpan de Juárez</w:t>
          </w:r>
        </w:p>
      </w:tc>
      <w:tc>
        <w:tcPr>
          <w:tcW w:w="283" w:type="dxa"/>
          <w:vAlign w:val="center"/>
        </w:tcPr>
        <w:p w:rsidR="0072792C" w:rsidRDefault="0072792C">
          <w:pPr>
            <w:ind w:firstLine="620"/>
            <w:rPr>
              <w:rFonts w:ascii="Palatino Linotype" w:eastAsia="Palatino Linotype" w:hAnsi="Palatino Linotype" w:cs="Palatino Linotype"/>
              <w:sz w:val="24"/>
              <w:szCs w:val="24"/>
            </w:rPr>
          </w:pPr>
        </w:p>
      </w:tc>
    </w:tr>
    <w:tr w:rsidR="0072792C" w:rsidTr="00173725">
      <w:trPr>
        <w:trHeight w:val="321"/>
      </w:trPr>
      <w:tc>
        <w:tcPr>
          <w:tcW w:w="2693" w:type="dxa"/>
          <w:vAlign w:val="center"/>
        </w:tcPr>
        <w:p w:rsidR="0072792C" w:rsidRPr="002879C0" w:rsidRDefault="005A61B2">
          <w:pPr>
            <w:rPr>
              <w:rFonts w:ascii="Palatino Linotype" w:eastAsia="Palatino Linotype" w:hAnsi="Palatino Linotype" w:cs="Palatino Linotype"/>
              <w:b/>
              <w:bCs/>
              <w:color w:val="000000" w:themeColor="text1"/>
              <w:sz w:val="24"/>
              <w:szCs w:val="24"/>
            </w:rPr>
          </w:pPr>
          <w:r w:rsidRPr="002879C0">
            <w:rPr>
              <w:rFonts w:ascii="Palatino Linotype" w:eastAsia="Palatino Linotype" w:hAnsi="Palatino Linotype" w:cs="Palatino Linotype"/>
              <w:b/>
              <w:bCs/>
              <w:color w:val="000000" w:themeColor="text1"/>
              <w:sz w:val="24"/>
              <w:szCs w:val="24"/>
            </w:rPr>
            <w:t>Comisionada Ponente:</w:t>
          </w:r>
        </w:p>
      </w:tc>
      <w:tc>
        <w:tcPr>
          <w:tcW w:w="4961" w:type="dxa"/>
          <w:vAlign w:val="center"/>
        </w:tcPr>
        <w:p w:rsidR="0072792C" w:rsidRPr="002879C0" w:rsidRDefault="005A61B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themeColor="text1"/>
              <w:sz w:val="24"/>
              <w:szCs w:val="24"/>
            </w:rPr>
          </w:pPr>
          <w:r w:rsidRPr="002879C0">
            <w:rPr>
              <w:rFonts w:ascii="Palatino Linotype" w:eastAsia="Palatino Linotype" w:hAnsi="Palatino Linotype" w:cs="Palatino Linotype"/>
              <w:color w:val="000000" w:themeColor="text1"/>
              <w:sz w:val="24"/>
              <w:szCs w:val="24"/>
            </w:rPr>
            <w:t>María del Rosario Mejía Ayala</w:t>
          </w:r>
        </w:p>
      </w:tc>
      <w:tc>
        <w:tcPr>
          <w:tcW w:w="283" w:type="dxa"/>
          <w:vAlign w:val="center"/>
        </w:tcPr>
        <w:p w:rsidR="0072792C" w:rsidRDefault="0072792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szCs w:val="24"/>
            </w:rPr>
          </w:pPr>
        </w:p>
      </w:tc>
    </w:tr>
  </w:tbl>
  <w:p w:rsidR="0072792C" w:rsidRDefault="007279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28" w:type="dxa"/>
      <w:tblInd w:w="27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25"/>
      <w:gridCol w:w="279"/>
      <w:gridCol w:w="4824"/>
    </w:tblGrid>
    <w:tr w:rsidR="0072792C" w:rsidTr="00173725">
      <w:trPr>
        <w:trHeight w:val="138"/>
      </w:trPr>
      <w:tc>
        <w:tcPr>
          <w:tcW w:w="2725" w:type="dxa"/>
          <w:vAlign w:val="center"/>
        </w:tcPr>
        <w:p w:rsidR="0072792C" w:rsidRDefault="005A61B2">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279" w:type="dxa"/>
          <w:vAlign w:val="center"/>
        </w:tcPr>
        <w:p w:rsidR="0072792C" w:rsidRDefault="007279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4824" w:type="dxa"/>
          <w:vAlign w:val="center"/>
        </w:tcPr>
        <w:p w:rsidR="0072792C" w:rsidRDefault="005A61B2" w:rsidP="00173725">
          <w:pPr>
            <w:pBdr>
              <w:top w:val="nil"/>
              <w:left w:val="nil"/>
              <w:bottom w:val="nil"/>
              <w:right w:val="nil"/>
              <w:between w:val="nil"/>
            </w:pBdr>
            <w:tabs>
              <w:tab w:val="center" w:pos="4252"/>
              <w:tab w:val="right" w:pos="8504"/>
            </w:tabs>
            <w:ind w:left="-104" w:right="14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12878/INFOEM/IP/RR/2025</w:t>
          </w:r>
        </w:p>
      </w:tc>
    </w:tr>
    <w:tr w:rsidR="0072792C" w:rsidTr="00173725">
      <w:trPr>
        <w:trHeight w:val="227"/>
      </w:trPr>
      <w:tc>
        <w:tcPr>
          <w:tcW w:w="2725" w:type="dxa"/>
          <w:vAlign w:val="center"/>
        </w:tcPr>
        <w:p w:rsidR="0072792C" w:rsidRDefault="005A61B2">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279" w:type="dxa"/>
          <w:vAlign w:val="center"/>
        </w:tcPr>
        <w:p w:rsidR="0072792C" w:rsidRDefault="007279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4824" w:type="dxa"/>
          <w:vAlign w:val="center"/>
        </w:tcPr>
        <w:p w:rsidR="0072792C" w:rsidRDefault="009F3185" w:rsidP="00173725">
          <w:pPr>
            <w:pBdr>
              <w:top w:val="nil"/>
              <w:left w:val="nil"/>
              <w:bottom w:val="nil"/>
              <w:right w:val="nil"/>
              <w:between w:val="nil"/>
            </w:pBdr>
            <w:tabs>
              <w:tab w:val="center" w:pos="4252"/>
              <w:tab w:val="right" w:pos="8504"/>
            </w:tabs>
            <w:ind w:left="-104" w:right="14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XXXX</w:t>
          </w:r>
        </w:p>
      </w:tc>
    </w:tr>
    <w:tr w:rsidR="0072792C" w:rsidTr="00173725">
      <w:trPr>
        <w:trHeight w:val="232"/>
      </w:trPr>
      <w:tc>
        <w:tcPr>
          <w:tcW w:w="2725" w:type="dxa"/>
          <w:vAlign w:val="center"/>
        </w:tcPr>
        <w:p w:rsidR="0072792C" w:rsidRDefault="005A61B2">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279" w:type="dxa"/>
          <w:vAlign w:val="center"/>
        </w:tcPr>
        <w:p w:rsidR="0072792C" w:rsidRDefault="007279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4824" w:type="dxa"/>
          <w:vAlign w:val="center"/>
        </w:tcPr>
        <w:p w:rsidR="0072792C" w:rsidRDefault="005A61B2" w:rsidP="00173725">
          <w:pPr>
            <w:ind w:left="-104" w:right="143"/>
            <w:rPr>
              <w:sz w:val="24"/>
              <w:szCs w:val="24"/>
            </w:rPr>
          </w:pPr>
          <w:r>
            <w:rPr>
              <w:rFonts w:ascii="Palatino Linotype" w:eastAsia="Palatino Linotype" w:hAnsi="Palatino Linotype" w:cs="Palatino Linotype"/>
              <w:sz w:val="24"/>
              <w:szCs w:val="24"/>
            </w:rPr>
            <w:t>Organismo Público Descentralizado para la Prestación de los Servicios de Agua Potable Alcantarillado y Saneamiento del Municipio de Naucalpan de Juárez</w:t>
          </w:r>
        </w:p>
      </w:tc>
    </w:tr>
    <w:tr w:rsidR="0072792C" w:rsidTr="00173725">
      <w:trPr>
        <w:trHeight w:val="320"/>
      </w:trPr>
      <w:tc>
        <w:tcPr>
          <w:tcW w:w="2725" w:type="dxa"/>
          <w:vAlign w:val="center"/>
        </w:tcPr>
        <w:p w:rsidR="0072792C" w:rsidRDefault="005A61B2">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279" w:type="dxa"/>
          <w:vAlign w:val="center"/>
        </w:tcPr>
        <w:p w:rsidR="0072792C" w:rsidRDefault="007279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4824" w:type="dxa"/>
          <w:vAlign w:val="center"/>
        </w:tcPr>
        <w:p w:rsidR="0072792C" w:rsidRDefault="005A61B2" w:rsidP="00173725">
          <w:pPr>
            <w:pBdr>
              <w:top w:val="nil"/>
              <w:left w:val="nil"/>
              <w:bottom w:val="nil"/>
              <w:right w:val="nil"/>
              <w:between w:val="nil"/>
            </w:pBdr>
            <w:tabs>
              <w:tab w:val="center" w:pos="4252"/>
              <w:tab w:val="right" w:pos="8504"/>
            </w:tabs>
            <w:ind w:left="-104" w:right="14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72792C" w:rsidRDefault="00173725">
    <w:r>
      <w:rPr>
        <w:noProof/>
        <w:lang w:val="es-MX"/>
      </w:rPr>
      <w:drawing>
        <wp:anchor distT="0" distB="0" distL="0" distR="0" simplePos="0" relativeHeight="251660288" behindDoc="1" locked="0" layoutInCell="1" hidden="0" allowOverlap="1">
          <wp:simplePos x="0" y="0"/>
          <wp:positionH relativeFrom="page">
            <wp:posOffset>146649</wp:posOffset>
          </wp:positionH>
          <wp:positionV relativeFrom="paragraph">
            <wp:posOffset>-1760232</wp:posOffset>
          </wp:positionV>
          <wp:extent cx="7809876" cy="10165823"/>
          <wp:effectExtent l="0" t="0" r="635" b="698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A5714"/>
    <w:multiLevelType w:val="multilevel"/>
    <w:tmpl w:val="C86EB5CA"/>
    <w:lvl w:ilvl="0">
      <w:start w:val="4"/>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C30955"/>
    <w:multiLevelType w:val="multilevel"/>
    <w:tmpl w:val="4CA6037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 w15:restartNumberingAfterBreak="0">
    <w:nsid w:val="172D5795"/>
    <w:multiLevelType w:val="multilevel"/>
    <w:tmpl w:val="62BC441E"/>
    <w:lvl w:ilvl="0">
      <w:start w:val="2"/>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7F4460"/>
    <w:multiLevelType w:val="multilevel"/>
    <w:tmpl w:val="A7F4C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852D3E"/>
    <w:multiLevelType w:val="multilevel"/>
    <w:tmpl w:val="C3F2A1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CC06359"/>
    <w:multiLevelType w:val="multilevel"/>
    <w:tmpl w:val="1D42DA3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955708"/>
    <w:multiLevelType w:val="multilevel"/>
    <w:tmpl w:val="290E7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A10172"/>
    <w:multiLevelType w:val="multilevel"/>
    <w:tmpl w:val="5DE6D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542175"/>
    <w:multiLevelType w:val="multilevel"/>
    <w:tmpl w:val="7B6A0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EA117C1"/>
    <w:multiLevelType w:val="multilevel"/>
    <w:tmpl w:val="1D0A6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8"/>
  </w:num>
  <w:num w:numId="3">
    <w:abstractNumId w:val="3"/>
  </w:num>
  <w:num w:numId="4">
    <w:abstractNumId w:val="0"/>
  </w:num>
  <w:num w:numId="5">
    <w:abstractNumId w:val="6"/>
  </w:num>
  <w:num w:numId="6">
    <w:abstractNumId w:val="5"/>
  </w:num>
  <w:num w:numId="7">
    <w:abstractNumId w:val="1"/>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92C"/>
    <w:rsid w:val="001647F3"/>
    <w:rsid w:val="00173725"/>
    <w:rsid w:val="00184C0C"/>
    <w:rsid w:val="002879C0"/>
    <w:rsid w:val="005A61B2"/>
    <w:rsid w:val="0069598A"/>
    <w:rsid w:val="0072792C"/>
    <w:rsid w:val="007C0FE9"/>
    <w:rsid w:val="00956630"/>
    <w:rsid w:val="00993469"/>
    <w:rsid w:val="009F3185"/>
    <w:rsid w:val="00BC5225"/>
    <w:rsid w:val="00DC0D04"/>
    <w:rsid w:val="00EB3B11"/>
    <w:rsid w:val="00F148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7DF874-FB0F-4695-8BAA-0CED4F44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2879C0"/>
    <w:pPr>
      <w:tabs>
        <w:tab w:val="center" w:pos="4419"/>
        <w:tab w:val="right" w:pos="8838"/>
      </w:tabs>
    </w:pPr>
  </w:style>
  <w:style w:type="character" w:customStyle="1" w:styleId="EncabezadoCar">
    <w:name w:val="Encabezado Car"/>
    <w:basedOn w:val="Fuentedeprrafopredeter"/>
    <w:link w:val="Encabezado"/>
    <w:uiPriority w:val="99"/>
    <w:rsid w:val="002879C0"/>
  </w:style>
  <w:style w:type="paragraph" w:styleId="Piedepgina">
    <w:name w:val="footer"/>
    <w:basedOn w:val="Normal"/>
    <w:link w:val="PiedepginaCar"/>
    <w:uiPriority w:val="99"/>
    <w:unhideWhenUsed/>
    <w:rsid w:val="002879C0"/>
    <w:pPr>
      <w:tabs>
        <w:tab w:val="center" w:pos="4419"/>
        <w:tab w:val="right" w:pos="8838"/>
      </w:tabs>
    </w:pPr>
  </w:style>
  <w:style w:type="character" w:customStyle="1" w:styleId="PiedepginaCar">
    <w:name w:val="Pie de página Car"/>
    <w:basedOn w:val="Fuentedeprrafopredeter"/>
    <w:link w:val="Piedepgina"/>
    <w:uiPriority w:val="99"/>
    <w:rsid w:val="00287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24366.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625573.page" TargetMode="External"/><Relationship Id="rId4" Type="http://schemas.openxmlformats.org/officeDocument/2006/relationships/settings" Target="settings.xml"/><Relationship Id="rId9" Type="http://schemas.openxmlformats.org/officeDocument/2006/relationships/hyperlink" Target="https://saimex.org.mx/saimex/solicitud/downloadAttach/2625573.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CXCGFc0mw9lMU89/X1qnrIMHQ==">CgMxLjAyDmguc3JlOWgwNXE0djBiMghoLmdqZGd4czIJaC4zMGowemxsMgloLjJldDkycDAyCGgudHlqY3d0MgloLjNkeTZ2a20yCWguMXQzaDVzZjIJaC4yNmluMXJnMg5oLnBvZWJuYThqMW8ydTIIaC5sbnhiejkyDmguZGlwcWJmdnZxOHFwOAByITFiM3VnbXJKSUR3dFRpMm5mRllPREtLS0tIbEhON2RPeg==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5813</Words>
  <Characters>31972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2026-06-12T17:08:00Z</cp:lastPrinted>
  <dcterms:created xsi:type="dcterms:W3CDTF">2026-06-08T18:03:00Z</dcterms:created>
  <dcterms:modified xsi:type="dcterms:W3CDTF">2026-06-16T23:41:00Z</dcterms:modified>
</cp:coreProperties>
</file>