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FCE" w:rsidRDefault="00771FCE">
      <w:pPr>
        <w:widowControl w:val="0"/>
        <w:pBdr>
          <w:top w:val="nil"/>
          <w:left w:val="nil"/>
          <w:bottom w:val="nil"/>
          <w:right w:val="nil"/>
          <w:between w:val="nil"/>
        </w:pBdr>
        <w:spacing w:line="276" w:lineRule="auto"/>
      </w:pPr>
    </w:p>
    <w:p w:rsidR="00771FCE" w:rsidRDefault="00771FCE">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p w:rsidR="00771FCE" w:rsidRDefault="005C559E">
      <w:pPr>
        <w:spacing w:line="360" w:lineRule="auto"/>
        <w:jc w:val="both"/>
        <w:rPr>
          <w:rFonts w:ascii="Palatino Linotype" w:eastAsia="Palatino Linotype" w:hAnsi="Palatino Linotype" w:cs="Palatino Linotype"/>
          <w:sz w:val="22"/>
          <w:szCs w:val="22"/>
        </w:rPr>
      </w:pPr>
      <w:bookmarkStart w:id="0" w:name="_heading=h.3dy6vkm" w:colFirst="0" w:colLast="0"/>
      <w:bookmarkStart w:id="1" w:name="_GoBack"/>
      <w:bookmarkEnd w:id="0"/>
      <w:bookmarkEnd w:id="1"/>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bCs/>
          <w:sz w:val="22"/>
          <w:szCs w:val="22"/>
        </w:rPr>
        <w:t>veinticinco de marzo de dos mil veintiséis</w:t>
      </w:r>
      <w:r>
        <w:rPr>
          <w:rFonts w:ascii="Palatino Linotype" w:eastAsia="Palatino Linotype" w:hAnsi="Palatino Linotype" w:cs="Palatino Linotype"/>
          <w:sz w:val="22"/>
          <w:szCs w:val="22"/>
        </w:rPr>
        <w:t>.</w:t>
      </w:r>
    </w:p>
    <w:p w:rsidR="00771FCE" w:rsidRDefault="00771FCE">
      <w:pPr>
        <w:spacing w:line="360" w:lineRule="auto"/>
        <w:jc w:val="both"/>
        <w:rPr>
          <w:rFonts w:ascii="Palatino Linotype" w:eastAsia="Palatino Linotype" w:hAnsi="Palatino Linotype" w:cs="Palatino Linotype"/>
          <w:sz w:val="22"/>
          <w:szCs w:val="22"/>
        </w:rPr>
      </w:pPr>
    </w:p>
    <w:p w:rsidR="00771FCE" w:rsidRDefault="005C559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VISTO</w:t>
      </w:r>
      <w:r>
        <w:rPr>
          <w:rFonts w:ascii="Palatino Linotype" w:eastAsia="Palatino Linotype" w:hAnsi="Palatino Linotype" w:cs="Palatino Linotype"/>
          <w:sz w:val="22"/>
          <w:szCs w:val="22"/>
        </w:rPr>
        <w:t xml:space="preserve"> el expediente electrónico formado con motivo del recurso de revisión </w:t>
      </w:r>
      <w:r>
        <w:rPr>
          <w:rFonts w:ascii="Palatino Linotype" w:eastAsia="Palatino Linotype" w:hAnsi="Palatino Linotype" w:cs="Palatino Linotype"/>
          <w:b/>
          <w:bCs/>
          <w:sz w:val="22"/>
          <w:szCs w:val="22"/>
        </w:rPr>
        <w:t xml:space="preserve">10143/INFOEM/IP/RR/2025, </w:t>
      </w:r>
      <w:r>
        <w:rPr>
          <w:rFonts w:ascii="Palatino Linotype" w:eastAsia="Palatino Linotype" w:hAnsi="Palatino Linotype" w:cs="Palatino Linotype"/>
          <w:sz w:val="22"/>
          <w:szCs w:val="22"/>
        </w:rPr>
        <w:t>promovido por</w:t>
      </w:r>
      <w:r>
        <w:rPr>
          <w:rFonts w:ascii="Palatino Linotype" w:eastAsia="Palatino Linotype" w:hAnsi="Palatino Linotype" w:cs="Palatino Linotype"/>
          <w:b/>
          <w:bCs/>
          <w:color w:val="000000"/>
          <w:sz w:val="22"/>
          <w:szCs w:val="22"/>
        </w:rPr>
        <w:t xml:space="preserve"> </w:t>
      </w:r>
      <w:r w:rsidR="00AA7283">
        <w:rPr>
          <w:rFonts w:ascii="Palatino Linotype" w:eastAsia="Palatino Linotype" w:hAnsi="Palatino Linotype" w:cs="Palatino Linotype"/>
          <w:b/>
          <w:bCs/>
          <w:color w:val="000000"/>
          <w:sz w:val="22"/>
          <w:szCs w:val="22"/>
        </w:rPr>
        <w:t>XXXX</w:t>
      </w:r>
      <w:r>
        <w:rPr>
          <w:rFonts w:ascii="Palatino Linotype" w:eastAsia="Palatino Linotype" w:hAnsi="Palatino Linotype" w:cs="Palatino Linotype"/>
          <w:sz w:val="22"/>
          <w:szCs w:val="22"/>
        </w:rPr>
        <w:t xml:space="preserve">, a quien en lo sucesivo se le identificará como </w:t>
      </w:r>
      <w:r>
        <w:rPr>
          <w:rFonts w:ascii="Palatino Linotype" w:eastAsia="Palatino Linotype" w:hAnsi="Palatino Linotype" w:cs="Palatino Linotype"/>
          <w:b/>
          <w:bCs/>
          <w:sz w:val="22"/>
          <w:szCs w:val="22"/>
        </w:rPr>
        <w:t>el RECURRENTE</w:t>
      </w:r>
      <w:r>
        <w:rPr>
          <w:rFonts w:ascii="Palatino Linotype" w:eastAsia="Palatino Linotype" w:hAnsi="Palatino Linotype" w:cs="Palatino Linotype"/>
          <w:sz w:val="22"/>
          <w:szCs w:val="22"/>
        </w:rPr>
        <w:t>, en contra de la respuesta de</w:t>
      </w:r>
      <w:r w:rsidR="009C16F5">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l</w:t>
      </w:r>
      <w:r w:rsidR="009C16F5">
        <w:rPr>
          <w:rFonts w:ascii="Palatino Linotype" w:eastAsia="Palatino Linotype" w:hAnsi="Palatino Linotype" w:cs="Palatino Linotype"/>
          <w:sz w:val="22"/>
          <w:szCs w:val="22"/>
        </w:rPr>
        <w:t>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Secretaría del Medio Ambiente y Desarrollo Sostenible, </w:t>
      </w:r>
      <w:r>
        <w:rPr>
          <w:rFonts w:ascii="Palatino Linotype" w:eastAsia="Palatino Linotype" w:hAnsi="Palatino Linotype" w:cs="Palatino Linotype"/>
          <w:sz w:val="22"/>
          <w:szCs w:val="22"/>
        </w:rPr>
        <w:t>en adelante el</w:t>
      </w:r>
      <w:r>
        <w:rPr>
          <w:rFonts w:ascii="Palatino Linotype" w:eastAsia="Palatino Linotype" w:hAnsi="Palatino Linotype" w:cs="Palatino Linotype"/>
          <w:b/>
          <w:bCs/>
          <w:sz w:val="22"/>
          <w:szCs w:val="22"/>
        </w:rPr>
        <w:t xml:space="preserve"> SUJETO OBLIGADO</w:t>
      </w:r>
      <w:r>
        <w:rPr>
          <w:rFonts w:ascii="Palatino Linotype" w:eastAsia="Palatino Linotype" w:hAnsi="Palatino Linotype" w:cs="Palatino Linotype"/>
          <w:sz w:val="22"/>
          <w:szCs w:val="22"/>
        </w:rPr>
        <w:t>, se procede a dictar la presente resolución, con base en los siguientes:</w:t>
      </w:r>
    </w:p>
    <w:p w:rsidR="00771FCE" w:rsidRDefault="00771FCE">
      <w:pPr>
        <w:spacing w:line="360" w:lineRule="auto"/>
        <w:jc w:val="both"/>
        <w:rPr>
          <w:rFonts w:ascii="Palatino Linotype" w:eastAsia="Palatino Linotype" w:hAnsi="Palatino Linotype" w:cs="Palatino Linotype"/>
          <w:b/>
          <w:bCs/>
          <w:sz w:val="22"/>
          <w:szCs w:val="22"/>
        </w:rPr>
      </w:pPr>
    </w:p>
    <w:p w:rsidR="00771FCE" w:rsidRDefault="005C559E">
      <w:pPr>
        <w:pStyle w:val="Ttulo1"/>
        <w:spacing w:before="0" w:line="360" w:lineRule="auto"/>
        <w:jc w:val="center"/>
        <w:rPr>
          <w:rFonts w:ascii="Palatino Linotype" w:eastAsia="Palatino Linotype" w:hAnsi="Palatino Linotype" w:cs="Palatino Linotype"/>
          <w:b/>
          <w:bCs/>
          <w:color w:val="000000"/>
          <w:sz w:val="22"/>
          <w:szCs w:val="22"/>
        </w:rPr>
      </w:pPr>
      <w:bookmarkStart w:id="2" w:name="_heading=h.gjdgxs" w:colFirst="0" w:colLast="0"/>
      <w:bookmarkEnd w:id="2"/>
      <w:r>
        <w:rPr>
          <w:rFonts w:ascii="Palatino Linotype" w:eastAsia="Palatino Linotype" w:hAnsi="Palatino Linotype" w:cs="Palatino Linotype"/>
          <w:b/>
          <w:bCs/>
          <w:color w:val="000000"/>
          <w:sz w:val="22"/>
          <w:szCs w:val="22"/>
        </w:rPr>
        <w:t>A N T E C E D E N T E S</w:t>
      </w:r>
    </w:p>
    <w:p w:rsidR="00771FCE" w:rsidRDefault="00771FCE">
      <w:pPr>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día</w:t>
      </w:r>
      <w:r>
        <w:rPr>
          <w:rFonts w:ascii="Palatino Linotype" w:eastAsia="Palatino Linotype" w:hAnsi="Palatino Linotype" w:cs="Palatino Linotype"/>
          <w:b/>
          <w:bCs/>
          <w:color w:val="000000"/>
          <w:sz w:val="22"/>
          <w:szCs w:val="22"/>
        </w:rPr>
        <w:t xml:space="preserve"> dos de agosto de dos mil veinticinco, </w:t>
      </w:r>
      <w:r>
        <w:rPr>
          <w:rFonts w:ascii="Palatino Linotype" w:eastAsia="Palatino Linotype" w:hAnsi="Palatino Linotype" w:cs="Palatino Linotype"/>
          <w:color w:val="000000"/>
          <w:sz w:val="22"/>
          <w:szCs w:val="22"/>
        </w:rPr>
        <w:t xml:space="preserve">se presentó ante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vía Sistema de Acceso a la Información, la solicitud de información pública registrada con el número</w:t>
      </w:r>
      <w:r>
        <w:rPr>
          <w:rFonts w:ascii="Palatino Linotype" w:eastAsia="Palatino Linotype" w:hAnsi="Palatino Linotype" w:cs="Palatino Linotype"/>
          <w:b/>
          <w:bCs/>
          <w:color w:val="000000"/>
          <w:sz w:val="22"/>
          <w:szCs w:val="22"/>
        </w:rPr>
        <w:t xml:space="preserve"> 00219/SMADS/IP/2025; </w:t>
      </w:r>
      <w:r>
        <w:rPr>
          <w:rFonts w:ascii="Palatino Linotype" w:eastAsia="Palatino Linotype" w:hAnsi="Palatino Linotype" w:cs="Palatino Linotype"/>
          <w:color w:val="000000"/>
          <w:sz w:val="22"/>
          <w:szCs w:val="22"/>
        </w:rPr>
        <w:t xml:space="preserve">sin embargo </w:t>
      </w:r>
      <w:r>
        <w:rPr>
          <w:rFonts w:ascii="Palatino Linotype" w:eastAsia="Palatino Linotype" w:hAnsi="Palatino Linotype" w:cs="Palatino Linotype"/>
          <w:sz w:val="22"/>
          <w:szCs w:val="22"/>
        </w:rPr>
        <w:t xml:space="preserve">se tiene por presentada </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b/>
          <w:bCs/>
          <w:color w:val="000000"/>
          <w:sz w:val="22"/>
          <w:szCs w:val="22"/>
        </w:rPr>
        <w:t xml:space="preserve">cuatro de agosto, </w:t>
      </w:r>
      <w:r>
        <w:rPr>
          <w:rFonts w:ascii="Palatino Linotype" w:eastAsia="Palatino Linotype" w:hAnsi="Palatino Linotype" w:cs="Palatino Linotype"/>
          <w:sz w:val="22"/>
          <w:szCs w:val="22"/>
        </w:rPr>
        <w:t xml:space="preserve">al ser inhábil la fecha de </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ingreso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 xml:space="preserve">la solicitud de información consistió en obtener la siguiente </w:t>
      </w:r>
      <w:r>
        <w:rPr>
          <w:rFonts w:ascii="Palatino Linotype" w:eastAsia="Palatino Linotype" w:hAnsi="Palatino Linotype" w:cs="Palatino Linotype"/>
          <w:color w:val="000000"/>
          <w:sz w:val="22"/>
          <w:szCs w:val="22"/>
        </w:rPr>
        <w:t>información:</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“se solicita los justificantes y avisos de comisión de los servidores públicos de la Dirección de Concertación y Participación Ciudadana, Dirección de Ordenamiento Territorial y Coordinación General de Conservación Ecológica, con la evidencia de su cumplimiento del año 2025 (fotografía, oficios con sello de la dependencia a la que asistieron o todo aquello que compruebe que se cumplió la comisión).”</w:t>
      </w:r>
    </w:p>
    <w:p w:rsidR="00771FCE" w:rsidRDefault="00771FCE">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sz w:val="22"/>
          <w:szCs w:val="22"/>
        </w:rPr>
      </w:pPr>
    </w:p>
    <w:p w:rsidR="00771FCE" w:rsidRDefault="005C559E">
      <w:pPr>
        <w:numPr>
          <w:ilvl w:val="0"/>
          <w:numId w:val="5"/>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lastRenderedPageBreak/>
        <w:t>Se eligió como modalidad de entrega de la información</w:t>
      </w:r>
      <w:r>
        <w:rPr>
          <w:rFonts w:ascii="Palatino Linotype" w:eastAsia="Palatino Linotype" w:hAnsi="Palatino Linotype" w:cs="Palatino Linotype"/>
          <w:color w:val="000000"/>
          <w:sz w:val="22"/>
          <w:szCs w:val="22"/>
        </w:rPr>
        <w:t>: el  Sistema de Acceso a la Información</w:t>
      </w:r>
      <w:r>
        <w:rPr>
          <w:rFonts w:ascii="Palatino Linotype" w:eastAsia="Palatino Linotype" w:hAnsi="Palatino Linotype" w:cs="Palatino Linotype"/>
          <w:b/>
          <w:bCs/>
          <w:color w:val="000000"/>
          <w:sz w:val="22"/>
          <w:szCs w:val="22"/>
        </w:rPr>
        <w:t>.</w:t>
      </w:r>
    </w:p>
    <w:p w:rsidR="00771FCE" w:rsidRDefault="00771FCE">
      <w:p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sz w:val="22"/>
          <w:szCs w:val="22"/>
        </w:rPr>
      </w:pPr>
    </w:p>
    <w:p w:rsidR="00771FCE" w:rsidRDefault="00771FCE">
      <w:pPr>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cuatro de agosto de dos mil veinticinco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sz w:val="22"/>
          <w:szCs w:val="22"/>
        </w:rPr>
        <w:t>giró</w:t>
      </w:r>
      <w:r>
        <w:rPr>
          <w:rFonts w:ascii="Palatino Linotype" w:eastAsia="Palatino Linotype" w:hAnsi="Palatino Linotype" w:cs="Palatino Linotype"/>
          <w:color w:val="000000"/>
          <w:sz w:val="22"/>
          <w:szCs w:val="22"/>
        </w:rPr>
        <w:t xml:space="preserve"> los requerimientos para que fuera atendida la solicitud de información </w:t>
      </w:r>
      <w:r>
        <w:rPr>
          <w:rFonts w:ascii="Palatino Linotype" w:eastAsia="Palatino Linotype" w:hAnsi="Palatino Linotype" w:cs="Palatino Linotype"/>
          <w:b/>
          <w:bCs/>
          <w:color w:val="000000"/>
          <w:sz w:val="22"/>
          <w:szCs w:val="22"/>
        </w:rPr>
        <w:t xml:space="preserve">00219/SMADS/IP/2025.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cinco de agosto de dos mil veinticinco</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dio respuesta mediante cinco archivos electrónicos en formato pdf, cuyo contenido a grosso modo es el siguiente. </w:t>
      </w:r>
    </w:p>
    <w:p w:rsidR="00771FCE" w:rsidRDefault="00771FCE">
      <w:pPr>
        <w:pBdr>
          <w:top w:val="nil"/>
          <w:left w:val="nil"/>
          <w:bottom w:val="nil"/>
          <w:right w:val="nil"/>
          <w:between w:val="nil"/>
        </w:pBdr>
        <w:ind w:left="1134" w:right="900"/>
        <w:rPr>
          <w:rFonts w:ascii="Palatino Linotype" w:eastAsia="Palatino Linotype" w:hAnsi="Palatino Linotype" w:cs="Palatino Linotype"/>
          <w:color w:val="000000"/>
          <w:sz w:val="22"/>
          <w:szCs w:val="22"/>
        </w:rPr>
      </w:pP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000219-SMADS-IP-2025.pdf: </w:t>
      </w:r>
      <w:r>
        <w:rPr>
          <w:rFonts w:ascii="Palatino Linotype" w:eastAsia="Palatino Linotype" w:hAnsi="Palatino Linotype" w:cs="Palatino Linotype"/>
          <w:i/>
          <w:iCs/>
          <w:color w:val="000000"/>
          <w:sz w:val="22"/>
          <w:szCs w:val="22"/>
        </w:rPr>
        <w:t xml:space="preserve">oficio del Jefe de del Departamento de Ordenamiento Regional, mediante el cual informa que cuenta con 497 hojas relativas a la documentación que deriva la justificación de incidencias derivadas del control de puntualidad y asistencia, informa de la cual se notifica el cambio de modalidad, mismo que tiene su motivación en referir que no existe normativa que obligue a los sujetos obligados para contar con la información digitalizada.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En cuanto a las fotografías, oficio con sello de la dependencia de la comisión y documento que compruebe que se cumplió con la comisión, se informa que dentro de las normas que regulan el actuar del SUJETO OBLIGADO no existe obligación jurídica de documentar lo solicitado.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respuesta saimex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0021919-08-2025-150748.pdf: </w:t>
      </w:r>
      <w:r>
        <w:rPr>
          <w:rFonts w:ascii="Palatino Linotype" w:eastAsia="Palatino Linotype" w:hAnsi="Palatino Linotype" w:cs="Palatino Linotype"/>
          <w:i/>
          <w:iCs/>
          <w:color w:val="000000"/>
          <w:sz w:val="22"/>
          <w:szCs w:val="22"/>
        </w:rPr>
        <w:t xml:space="preserve">oficio del Subdirector de Modernización Administrativa, mediante el cual informa que anexa el oficio 23100003000300S/1620/2025.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saimex 0021918-08-2025-220028.pdf: </w:t>
      </w:r>
      <w:r>
        <w:rPr>
          <w:rFonts w:ascii="Palatino Linotype" w:eastAsia="Palatino Linotype" w:hAnsi="Palatino Linotype" w:cs="Palatino Linotype"/>
          <w:i/>
          <w:iCs/>
          <w:color w:val="000000"/>
          <w:sz w:val="22"/>
          <w:szCs w:val="22"/>
        </w:rPr>
        <w:t xml:space="preserve">oficio del Subdirector de Administración, mediante el cual informa que cuenta con 549 fojas relativas a la documentación que deriva la justificación de incidencias derivadas del control de puntualidad y asistencia, informa de la cual se notifica el cambio de modalidad, mismo que tiene su motivación en referir que no existe normativa que obligue a los sujetos obligados para contar con la información digitalizada.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En cuanto a las fotografías, oficio con sello de la dependencia de la comisión y documento que compruebe que se cumplió con la comisión, </w:t>
      </w:r>
      <w:r>
        <w:rPr>
          <w:rFonts w:ascii="Palatino Linotype" w:eastAsia="Palatino Linotype" w:hAnsi="Palatino Linotype" w:cs="Palatino Linotype"/>
          <w:b/>
          <w:bCs/>
          <w:i/>
          <w:iCs/>
          <w:color w:val="000000"/>
          <w:sz w:val="22"/>
          <w:szCs w:val="22"/>
        </w:rPr>
        <w:lastRenderedPageBreak/>
        <w:t xml:space="preserve">se informa que dentro de las normas que regulan el actuar del SUJETO OBLIGADO no existe obligación jurídica de documentar lo solicitado. </w:t>
      </w:r>
    </w:p>
    <w:p w:rsidR="00771FCE" w:rsidRDefault="00771FC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oficio 1118 respuesta SAIMEX 00219.pdf: </w:t>
      </w:r>
      <w:r>
        <w:rPr>
          <w:rFonts w:ascii="Palatino Linotype" w:eastAsia="Palatino Linotype" w:hAnsi="Palatino Linotype" w:cs="Palatino Linotype"/>
          <w:i/>
          <w:iCs/>
          <w:color w:val="000000"/>
          <w:sz w:val="22"/>
          <w:szCs w:val="22"/>
        </w:rPr>
        <w:t xml:space="preserve">oficio de la Coordinadora General de Conservación Ecológica, mediante el cual informa que cuenta con 900 fojas relativas a la documentación que deriva la justificación de incidencias derivadas del control de puntualidad y asistencia, informa de la cual se notifica el cambio de modalidad, mismo que tiene su motivación en referir que no existe normativa que obligue a los sujetos obligados para contar con la información digitalizada.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En cuanto a las fotografías, oficio con sello de la dependencia de la comisión y documento que compruebe que se cumplió con la comisión, se informa que dentro de las normas que regulan el actuar del SUJETO OBLIGADO no existe obligación jurídica de documentar lo solicitado.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Acta 20 Ext C.T..pdf: </w:t>
      </w:r>
      <w:r>
        <w:rPr>
          <w:rFonts w:ascii="Palatino Linotype" w:eastAsia="Palatino Linotype" w:hAnsi="Palatino Linotype" w:cs="Palatino Linotype"/>
          <w:i/>
          <w:iCs/>
          <w:color w:val="000000"/>
          <w:sz w:val="22"/>
          <w:szCs w:val="22"/>
        </w:rPr>
        <w:t xml:space="preserve">Acta de la Vigésima Sesión Extraordinaria, mediante la cual en el punto 3.8 se aprueba el cambio de modalidad en consulta directa, así la confidencialidad del dato de clave del servidor público y los motivos de la licencia si son personales. </w:t>
      </w:r>
    </w:p>
    <w:p w:rsidR="00771FCE" w:rsidRDefault="00771FC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iCs/>
          <w:color w:val="000000"/>
          <w:sz w:val="22"/>
          <w:szCs w:val="22"/>
        </w:rPr>
      </w:pPr>
      <w:bookmarkStart w:id="3" w:name="_heading=h.9pf8vy1dgkhd" w:colFirst="0" w:colLast="0"/>
      <w:bookmarkEnd w:id="3"/>
      <w:r>
        <w:rPr>
          <w:rFonts w:ascii="Palatino Linotype" w:eastAsia="Palatino Linotype" w:hAnsi="Palatino Linotype" w:cs="Palatino Linotype"/>
          <w:color w:val="000000"/>
          <w:sz w:val="22"/>
          <w:szCs w:val="22"/>
        </w:rPr>
        <w:t>El</w:t>
      </w:r>
      <w:r>
        <w:rPr>
          <w:rFonts w:ascii="Palatino Linotype" w:eastAsia="Palatino Linotype" w:hAnsi="Palatino Linotype" w:cs="Palatino Linotype"/>
          <w:b/>
          <w:bCs/>
          <w:color w:val="000000"/>
          <w:sz w:val="22"/>
          <w:szCs w:val="22"/>
        </w:rPr>
        <w:t xml:space="preserve"> veintiocho de agosto de dos mil veinticinco</w:t>
      </w:r>
      <w:r>
        <w:rPr>
          <w:rFonts w:ascii="Palatino Linotype" w:eastAsia="Palatino Linotype" w:hAnsi="Palatino Linotype" w:cs="Palatino Linotype"/>
          <w:color w:val="000000"/>
          <w:sz w:val="22"/>
          <w:szCs w:val="22"/>
        </w:rPr>
        <w:t>, el particular interpuso el recurso de revisión en contra de la respuesta, manifestando las siguientes razones o motivos de inconformidad:</w:t>
      </w:r>
    </w:p>
    <w:p w:rsidR="00771FCE" w:rsidRDefault="00771FCE">
      <w:pPr>
        <w:pBdr>
          <w:top w:val="nil"/>
          <w:left w:val="nil"/>
          <w:bottom w:val="nil"/>
          <w:right w:val="nil"/>
          <w:between w:val="nil"/>
        </w:pBdr>
        <w:tabs>
          <w:tab w:val="left" w:pos="0"/>
        </w:tabs>
        <w:ind w:right="49"/>
        <w:jc w:val="both"/>
        <w:rPr>
          <w:rFonts w:ascii="Palatino Linotype" w:eastAsia="Palatino Linotype" w:hAnsi="Palatino Linotype" w:cs="Palatino Linotype"/>
          <w:i/>
          <w:iCs/>
          <w:color w:val="000000"/>
          <w:sz w:val="22"/>
          <w:szCs w:val="22"/>
        </w:rPr>
      </w:pPr>
    </w:p>
    <w:p w:rsidR="00771FCE" w:rsidRDefault="005C559E">
      <w:pPr>
        <w:numPr>
          <w:ilvl w:val="0"/>
          <w:numId w:val="6"/>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sz w:val="22"/>
          <w:szCs w:val="22"/>
        </w:rPr>
      </w:pPr>
      <w:bookmarkStart w:id="4" w:name="_heading=h.bu48n3507cx8" w:colFirst="0" w:colLast="0"/>
      <w:bookmarkEnd w:id="4"/>
      <w:r>
        <w:rPr>
          <w:rFonts w:ascii="Palatino Linotype" w:eastAsia="Palatino Linotype" w:hAnsi="Palatino Linotype" w:cs="Palatino Linotype"/>
          <w:b/>
          <w:bCs/>
          <w:color w:val="000000"/>
          <w:sz w:val="22"/>
          <w:szCs w:val="22"/>
        </w:rPr>
        <w:t xml:space="preserve">Acto impugnado: </w:t>
      </w:r>
      <w:r>
        <w:rPr>
          <w:rFonts w:ascii="Palatino Linotype" w:eastAsia="Palatino Linotype" w:hAnsi="Palatino Linotype" w:cs="Palatino Linotype"/>
          <w:i/>
          <w:iCs/>
          <w:color w:val="000000"/>
          <w:sz w:val="22"/>
          <w:szCs w:val="22"/>
        </w:rPr>
        <w:t>“En el año 2023 la circular número 59 de la Coordinación Administrativa, indicaba que a partir de esa fecha todos los avisos de justificación de incidencias en la puntualidad y asistencia y el aviso de comisión, deberían ir acompañados de la evidencia documental que acreditará las actividades realizadas. Solicito me indiquen cuánto es lo que se debe pagar, para tener el acceso a los avisos de justificación, avisos de comisión y la evidencia documental a la que hacen referencia en la circular número 59, entendido esta que los formatos de aviso de comisión y oficio que firman los jefes superiores inmediatos tienen la misma finalidad, y no la de ser la evidencia documental que acredita la comisión.”</w:t>
      </w:r>
    </w:p>
    <w:p w:rsidR="00771FCE" w:rsidRDefault="005C559E">
      <w:pPr>
        <w:pBdr>
          <w:top w:val="nil"/>
          <w:left w:val="nil"/>
          <w:bottom w:val="nil"/>
          <w:right w:val="nil"/>
          <w:between w:val="nil"/>
        </w:pBdr>
        <w:tabs>
          <w:tab w:val="left" w:pos="7020"/>
        </w:tabs>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b/>
      </w:r>
    </w:p>
    <w:p w:rsidR="00771FCE" w:rsidRDefault="005C559E">
      <w:pPr>
        <w:numPr>
          <w:ilvl w:val="0"/>
          <w:numId w:val="6"/>
        </w:numPr>
        <w:pBdr>
          <w:top w:val="nil"/>
          <w:left w:val="nil"/>
          <w:bottom w:val="nil"/>
          <w:right w:val="nil"/>
          <w:between w:val="nil"/>
        </w:pBdr>
        <w:ind w:left="1134" w:right="900" w:firstLine="0"/>
        <w:jc w:val="both"/>
        <w:rPr>
          <w:rFonts w:ascii="Palatino Linotype" w:eastAsia="Palatino Linotype" w:hAnsi="Palatino Linotype" w:cs="Palatino Linotype"/>
          <w:b/>
          <w:bCs/>
          <w:i/>
          <w:iCs/>
          <w:color w:val="000000"/>
          <w:sz w:val="22"/>
          <w:szCs w:val="22"/>
        </w:rPr>
      </w:pPr>
      <w:bookmarkStart w:id="5" w:name="_heading=h.966ghff0b3fn" w:colFirst="0" w:colLast="0"/>
      <w:bookmarkEnd w:id="5"/>
      <w:r>
        <w:rPr>
          <w:rFonts w:ascii="Palatino Linotype" w:eastAsia="Palatino Linotype" w:hAnsi="Palatino Linotype" w:cs="Palatino Linotype"/>
          <w:b/>
          <w:bCs/>
          <w:color w:val="000000"/>
          <w:sz w:val="22"/>
          <w:szCs w:val="22"/>
        </w:rPr>
        <w:t xml:space="preserve">Razones o Motivos de inconformidad: </w:t>
      </w:r>
      <w:r>
        <w:rPr>
          <w:rFonts w:ascii="Palatino Linotype" w:eastAsia="Palatino Linotype" w:hAnsi="Palatino Linotype" w:cs="Palatino Linotype"/>
          <w:i/>
          <w:iCs/>
          <w:color w:val="000000"/>
          <w:sz w:val="22"/>
          <w:szCs w:val="22"/>
        </w:rPr>
        <w:t xml:space="preserve">“En el año 2023 la circular número 59 de la Coordinación Administrativa, indicaba que a partir de esa fecha todos los avisos de justificación de incidencias en la puntualidad y </w:t>
      </w:r>
      <w:r>
        <w:rPr>
          <w:rFonts w:ascii="Palatino Linotype" w:eastAsia="Palatino Linotype" w:hAnsi="Palatino Linotype" w:cs="Palatino Linotype"/>
          <w:i/>
          <w:iCs/>
          <w:color w:val="000000"/>
          <w:sz w:val="22"/>
          <w:szCs w:val="22"/>
        </w:rPr>
        <w:lastRenderedPageBreak/>
        <w:t>asistencia y el aviso de comisión, deberían ir acompañados de la evidencia documental que acreditará las actividades realizadas. Solicito me indiquen cuánto es lo que se debe pagar, para tener el acceso a los avisos de justificación, avisos de comisión y la evidencia documental a la que hacen referencia en la circular número 59, entendido esta que los formatos de aviso de comisión y oficio que firman los jefes superiores inmediatos tienen la misma finalidad, y no la de ser la evidencia documental que acredita la comisión..”</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 xml:space="preserve">Al momento de interponer el recurso de revisión el entonces </w:t>
      </w:r>
      <w:r>
        <w:rPr>
          <w:rFonts w:ascii="Palatino Linotype" w:eastAsia="Palatino Linotype" w:hAnsi="Palatino Linotype" w:cs="Palatino Linotype"/>
          <w:b/>
          <w:bCs/>
          <w:color w:val="000000"/>
          <w:sz w:val="22"/>
          <w:szCs w:val="22"/>
        </w:rPr>
        <w:t xml:space="preserve">SOLICITANTE </w:t>
      </w:r>
      <w:r>
        <w:rPr>
          <w:rFonts w:ascii="Palatino Linotype" w:eastAsia="Palatino Linotype" w:hAnsi="Palatino Linotype" w:cs="Palatino Linotype"/>
          <w:sz w:val="22"/>
          <w:szCs w:val="22"/>
        </w:rPr>
        <w:t>entregó</w:t>
      </w:r>
      <w:r>
        <w:rPr>
          <w:rFonts w:ascii="Palatino Linotype" w:eastAsia="Palatino Linotype" w:hAnsi="Palatino Linotype" w:cs="Palatino Linotype"/>
          <w:color w:val="000000"/>
          <w:sz w:val="22"/>
          <w:szCs w:val="22"/>
        </w:rPr>
        <w:t xml:space="preserve"> un archivo electrónico en formato pdf, cuyo contenido grosso modo es el siguiente.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17564086501814480167634473724476.jpg: </w:t>
      </w:r>
      <w:r>
        <w:rPr>
          <w:rFonts w:ascii="Palatino Linotype" w:eastAsia="Palatino Linotype" w:hAnsi="Palatino Linotype" w:cs="Palatino Linotype"/>
          <w:i/>
          <w:iCs/>
          <w:color w:val="000000"/>
          <w:sz w:val="22"/>
          <w:szCs w:val="22"/>
        </w:rPr>
        <w:t xml:space="preserve">foto de una circular de número 59 que se encuentra incompleta, del cual se observa que deberán de acreditarse las actividades realizadas. </w:t>
      </w:r>
    </w:p>
    <w:p w:rsidR="00771FCE" w:rsidRDefault="00771FC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La Comisionada Ponente con fundamento en lo dispuesto por el artículo 185 fracción II de la ley de la materia, a través del acuerdo de admisión de fecha</w:t>
      </w:r>
      <w:r>
        <w:rPr>
          <w:rFonts w:ascii="Palatino Linotype" w:eastAsia="Palatino Linotype" w:hAnsi="Palatino Linotype" w:cs="Palatino Linotype"/>
          <w:b/>
          <w:bCs/>
          <w:color w:val="000000"/>
          <w:sz w:val="22"/>
          <w:szCs w:val="22"/>
        </w:rPr>
        <w:t xml:space="preserve"> uno se septiembre de dos mil veinticinco</w:t>
      </w:r>
      <w:r>
        <w:rPr>
          <w:rFonts w:ascii="Palatino Linotype" w:eastAsia="Palatino Linotype" w:hAnsi="Palatino Linotype" w:cs="Palatino Linotype"/>
          <w:color w:val="000000"/>
          <w:sz w:val="22"/>
          <w:szCs w:val="22"/>
        </w:rPr>
        <w:t xml:space="preserve">, puso a disposición de las partes el expediente electrónico vía </w:t>
      </w:r>
      <w:r>
        <w:rPr>
          <w:rFonts w:ascii="Palatino Linotype" w:eastAsia="Palatino Linotype" w:hAnsi="Palatino Linotype" w:cs="Palatino Linotype"/>
          <w:b/>
          <w:bCs/>
          <w:color w:val="000000"/>
          <w:sz w:val="22"/>
          <w:szCs w:val="22"/>
        </w:rPr>
        <w:t xml:space="preserve">SAIMEX </w:t>
      </w:r>
      <w:r>
        <w:rPr>
          <w:rFonts w:ascii="Palatino Linotype" w:eastAsia="Palatino Linotype" w:hAnsi="Palatino Linotype" w:cs="Palatino Linotype"/>
          <w:color w:val="000000"/>
          <w:sz w:val="22"/>
          <w:szCs w:val="22"/>
        </w:rPr>
        <w:t xml:space="preserve">a efecto de que en un plazo máximo de siete días manifestaran lo que a su derecho conviniera, ofrecieran pruebas y alegatos según corresponda a los casos concretos, y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presentará el Informe Justificado procedente.</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 xml:space="preserve">De lo anterior, tal y como se observa en el expediente electrónico el </w:t>
      </w:r>
      <w:r>
        <w:rPr>
          <w:rFonts w:ascii="Palatino Linotype" w:eastAsia="Palatino Linotype" w:hAnsi="Palatino Linotype" w:cs="Palatino Linotype"/>
          <w:b/>
          <w:bCs/>
          <w:color w:val="000000"/>
          <w:sz w:val="22"/>
          <w:szCs w:val="22"/>
        </w:rPr>
        <w:t>ocho de septiembre de dos mil veinticinco, el</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sz w:val="22"/>
          <w:szCs w:val="22"/>
        </w:rPr>
        <w:t>entregó</w:t>
      </w:r>
      <w:r>
        <w:rPr>
          <w:rFonts w:ascii="Palatino Linotype" w:eastAsia="Palatino Linotype" w:hAnsi="Palatino Linotype" w:cs="Palatino Linotype"/>
          <w:color w:val="000000"/>
          <w:sz w:val="22"/>
          <w:szCs w:val="22"/>
        </w:rPr>
        <w:t xml:space="preserve"> un archivo electrónico en formato pdf, cuyo contenido grosso modo es el siguiente. </w:t>
      </w:r>
    </w:p>
    <w:p w:rsidR="00771FCE" w:rsidRDefault="00771FCE">
      <w:pPr>
        <w:pBdr>
          <w:top w:val="nil"/>
          <w:left w:val="nil"/>
          <w:bottom w:val="nil"/>
          <w:right w:val="nil"/>
          <w:between w:val="nil"/>
        </w:pBdr>
        <w:ind w:left="720" w:right="900"/>
        <w:rPr>
          <w:rFonts w:ascii="Palatino Linotype" w:eastAsia="Palatino Linotype" w:hAnsi="Palatino Linotype" w:cs="Palatino Linotype"/>
          <w:i/>
          <w:iCs/>
          <w:color w:val="000000"/>
          <w:sz w:val="22"/>
          <w:szCs w:val="22"/>
        </w:rPr>
      </w:pPr>
    </w:p>
    <w:p w:rsidR="00771FCE" w:rsidRDefault="005C559E">
      <w:pPr>
        <w:pBdr>
          <w:top w:val="nil"/>
          <w:left w:val="nil"/>
          <w:bottom w:val="nil"/>
          <w:right w:val="nil"/>
          <w:between w:val="nil"/>
        </w:pBdr>
        <w:tabs>
          <w:tab w:val="left" w:pos="284"/>
        </w:tabs>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Informe Justificado RR 10143_2025.pdf: </w:t>
      </w:r>
      <w:r>
        <w:rPr>
          <w:rFonts w:ascii="Palatino Linotype" w:eastAsia="Palatino Linotype" w:hAnsi="Palatino Linotype" w:cs="Palatino Linotype"/>
          <w:i/>
          <w:iCs/>
          <w:color w:val="000000"/>
          <w:sz w:val="22"/>
          <w:szCs w:val="22"/>
        </w:rPr>
        <w:t xml:space="preserve">informe justificado del Titular de la Unidad de Transparencia, mediante el cual ratifica la respuesta inicial. </w:t>
      </w:r>
      <w:r>
        <w:rPr>
          <w:rFonts w:ascii="Palatino Linotype" w:eastAsia="Palatino Linotype" w:hAnsi="Palatino Linotype" w:cs="Palatino Linotype"/>
          <w:b/>
          <w:bCs/>
          <w:i/>
          <w:iCs/>
          <w:color w:val="000000"/>
          <w:sz w:val="22"/>
          <w:szCs w:val="22"/>
        </w:rPr>
        <w:t xml:space="preserve"> </w:t>
      </w:r>
    </w:p>
    <w:p w:rsidR="00771FCE" w:rsidRDefault="00771FCE">
      <w:pPr>
        <w:pBdr>
          <w:top w:val="nil"/>
          <w:left w:val="nil"/>
          <w:bottom w:val="nil"/>
          <w:right w:val="nil"/>
          <w:between w:val="nil"/>
        </w:pBdr>
        <w:ind w:right="900"/>
        <w:jc w:val="both"/>
        <w:rPr>
          <w:rFonts w:ascii="Palatino Linotype" w:eastAsia="Palatino Linotype" w:hAnsi="Palatino Linotype" w:cs="Palatino Linotype"/>
          <w:i/>
          <w:iCs/>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Por su parte el </w:t>
      </w:r>
      <w:r>
        <w:rPr>
          <w:rFonts w:ascii="Palatino Linotype" w:eastAsia="Palatino Linotype" w:hAnsi="Palatino Linotype" w:cs="Palatino Linotype"/>
          <w:b/>
          <w:bCs/>
          <w:color w:val="000000"/>
          <w:sz w:val="22"/>
          <w:szCs w:val="22"/>
        </w:rPr>
        <w:t xml:space="preserve">RECURRENTE </w:t>
      </w:r>
      <w:r>
        <w:rPr>
          <w:rFonts w:ascii="Palatino Linotype" w:eastAsia="Palatino Linotype" w:hAnsi="Palatino Linotype" w:cs="Palatino Linotype"/>
          <w:sz w:val="22"/>
          <w:szCs w:val="22"/>
        </w:rPr>
        <w:t>dejó</w:t>
      </w:r>
      <w:r>
        <w:rPr>
          <w:rFonts w:ascii="Palatino Linotype" w:eastAsia="Palatino Linotype" w:hAnsi="Palatino Linotype" w:cs="Palatino Linotype"/>
          <w:color w:val="000000"/>
          <w:sz w:val="22"/>
          <w:szCs w:val="22"/>
        </w:rPr>
        <w:t xml:space="preserve"> de realizar manifestaciones que a su derecho conviniera y asistiera.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bookmarkStart w:id="6" w:name="_heading=h.l3xxakc7t6i0" w:colFirst="0" w:colLast="0"/>
      <w:bookmarkEnd w:id="6"/>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El </w:t>
      </w:r>
      <w:r>
        <w:rPr>
          <w:rFonts w:ascii="Palatino Linotype" w:eastAsia="Palatino Linotype" w:hAnsi="Palatino Linotype" w:cs="Palatino Linotype"/>
          <w:b/>
          <w:bCs/>
          <w:color w:val="000000"/>
          <w:sz w:val="22"/>
          <w:szCs w:val="22"/>
        </w:rPr>
        <w:t>dieciocho de marzo de dos mil veintiséis</w:t>
      </w:r>
      <w:r>
        <w:rPr>
          <w:rFonts w:ascii="Palatino Linotype" w:eastAsia="Palatino Linotype" w:hAnsi="Palatino Linotype" w:cs="Palatino Linotype"/>
          <w:color w:val="000000"/>
          <w:sz w:val="22"/>
          <w:szCs w:val="22"/>
        </w:rPr>
        <w:t xml:space="preserve">, la Comisionada Ponente notificó el acuerdo de ampliación para emitir resolución, en términos del artículo 181 párrafo tercero de la Ley de Transparencia y Acceso a la Información Pública del Estado de México y Municipios_____________________________________________________________________. </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Finalmente, la Comisionada Ponente mediante acuerdo de fecha</w:t>
      </w:r>
      <w:r>
        <w:rPr>
          <w:rFonts w:ascii="Palatino Linotype" w:eastAsia="Palatino Linotype" w:hAnsi="Palatino Linotype" w:cs="Palatino Linotype"/>
          <w:b/>
          <w:bCs/>
          <w:color w:val="000000"/>
          <w:sz w:val="22"/>
          <w:szCs w:val="22"/>
        </w:rPr>
        <w:t xml:space="preserve"> veinticuatro de marzo de dos mil veintiséis</w:t>
      </w:r>
      <w:r>
        <w:rPr>
          <w:rFonts w:ascii="Palatino Linotype" w:eastAsia="Palatino Linotype" w:hAnsi="Palatino Linotype" w:cs="Palatino Linotype"/>
          <w:color w:val="000000"/>
          <w:sz w:val="22"/>
          <w:szCs w:val="22"/>
        </w:rPr>
        <w:t>, decretó el cierre de instrucción de los expedientes, por lo que no habiendo más que hacer constar, y______________________________________________________________________________.</w:t>
      </w:r>
    </w:p>
    <w:p w:rsidR="00771FCE" w:rsidRDefault="00771FCE">
      <w:pPr>
        <w:rPr>
          <w:rFonts w:ascii="Palatino Linotype" w:eastAsia="Palatino Linotype" w:hAnsi="Palatino Linotype" w:cs="Palatino Linotype"/>
          <w:b/>
          <w:bCs/>
          <w:color w:val="000000"/>
          <w:sz w:val="22"/>
          <w:szCs w:val="22"/>
        </w:rPr>
      </w:pPr>
    </w:p>
    <w:p w:rsidR="00771FCE" w:rsidRDefault="005C559E">
      <w:pPr>
        <w:pBdr>
          <w:top w:val="nil"/>
          <w:left w:val="nil"/>
          <w:bottom w:val="nil"/>
          <w:right w:val="nil"/>
          <w:between w:val="nil"/>
        </w:pBdr>
        <w:spacing w:line="360" w:lineRule="auto"/>
        <w:jc w:val="cente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CONSIDERANDO</w:t>
      </w:r>
    </w:p>
    <w:p w:rsidR="00771FCE" w:rsidRDefault="00771FCE">
      <w:pPr>
        <w:pBdr>
          <w:top w:val="nil"/>
          <w:left w:val="nil"/>
          <w:bottom w:val="nil"/>
          <w:right w:val="nil"/>
          <w:between w:val="nil"/>
        </w:pBdr>
        <w:spacing w:line="360" w:lineRule="auto"/>
        <w:jc w:val="center"/>
        <w:rPr>
          <w:rFonts w:ascii="Palatino Linotype" w:eastAsia="Palatino Linotype" w:hAnsi="Palatino Linotype" w:cs="Palatino Linotype"/>
          <w:b/>
          <w:bCs/>
          <w:color w:val="000000"/>
          <w:sz w:val="22"/>
          <w:szCs w:val="22"/>
        </w:rPr>
      </w:pPr>
    </w:p>
    <w:p w:rsidR="00771FCE" w:rsidRDefault="005C559E">
      <w:pPr>
        <w:pStyle w:val="Ttulo2"/>
        <w:spacing w:before="0" w:line="360" w:lineRule="auto"/>
        <w:rPr>
          <w:rFonts w:ascii="Palatino Linotype" w:eastAsia="Palatino Linotype" w:hAnsi="Palatino Linotype" w:cs="Palatino Linotype"/>
          <w:b/>
          <w:bCs/>
          <w:color w:val="000000"/>
          <w:sz w:val="22"/>
          <w:szCs w:val="22"/>
        </w:rPr>
      </w:pPr>
      <w:bookmarkStart w:id="7" w:name="_heading=h.tgyb9poxpo9e" w:colFirst="0" w:colLast="0"/>
      <w:bookmarkEnd w:id="7"/>
      <w:r>
        <w:rPr>
          <w:rFonts w:ascii="Palatino Linotype" w:eastAsia="Palatino Linotype" w:hAnsi="Palatino Linotype" w:cs="Palatino Linotype"/>
          <w:b/>
          <w:bCs/>
          <w:color w:val="000000"/>
          <w:sz w:val="22"/>
          <w:szCs w:val="22"/>
        </w:rPr>
        <w:t>PRIMERO. De la competencia</w:t>
      </w:r>
    </w:p>
    <w:p w:rsidR="00771FCE" w:rsidRDefault="00771FCE">
      <w:pPr>
        <w:spacing w:line="360" w:lineRule="auto"/>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color w:val="000000"/>
          <w:sz w:val="22"/>
          <w:szCs w:val="22"/>
        </w:rPr>
      </w:pPr>
      <w:bookmarkStart w:id="8" w:name="_heading=h.8vqc9jp1uzo6" w:colFirst="0" w:colLast="0"/>
      <w:bookmarkEnd w:id="8"/>
      <w:r>
        <w:rPr>
          <w:rFonts w:ascii="Palatino Linotype" w:eastAsia="Palatino Linotype" w:hAnsi="Palatino Linotype" w:cs="Palatino Linotype"/>
          <w:color w:val="000000"/>
          <w:sz w:val="22"/>
          <w:szCs w:val="22"/>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eastAsia="Palatino Linotype" w:hAnsi="Palatino Linotype" w:cs="Palatino Linotype"/>
          <w:b/>
          <w:bCs/>
          <w:color w:val="000000"/>
          <w:sz w:val="22"/>
          <w:szCs w:val="22"/>
        </w:rPr>
        <w:t>.</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p>
    <w:p w:rsidR="00771FCE" w:rsidRDefault="005C559E">
      <w:pPr>
        <w:spacing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SEGUNDO. De la oportunidad y procedencia.</w:t>
      </w:r>
    </w:p>
    <w:p w:rsidR="00771FCE" w:rsidRDefault="00771FCE">
      <w:pPr>
        <w:spacing w:line="360" w:lineRule="auto"/>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El medio de impugnación fue presentado a través del </w:t>
      </w:r>
      <w:r>
        <w:rPr>
          <w:rFonts w:ascii="Palatino Linotype" w:eastAsia="Palatino Linotype" w:hAnsi="Palatino Linotype" w:cs="Palatino Linotype"/>
          <w:b/>
          <w:bCs/>
          <w:color w:val="000000"/>
          <w:sz w:val="22"/>
          <w:szCs w:val="22"/>
        </w:rPr>
        <w:t>SAIMEX,</w:t>
      </w:r>
      <w:r>
        <w:rPr>
          <w:rFonts w:ascii="Palatino Linotype" w:eastAsia="Palatino Linotype" w:hAnsi="Palatino Linotype" w:cs="Palatino Linotype"/>
          <w:color w:val="000000"/>
          <w:sz w:val="22"/>
          <w:szCs w:val="22"/>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entregó su respuesta el </w:t>
      </w:r>
      <w:r>
        <w:rPr>
          <w:rFonts w:ascii="Palatino Linotype" w:eastAsia="Palatino Linotype" w:hAnsi="Palatino Linotype" w:cs="Palatino Linotype"/>
          <w:b/>
          <w:bCs/>
          <w:color w:val="000000"/>
          <w:sz w:val="22"/>
          <w:szCs w:val="22"/>
        </w:rPr>
        <w:t>veintiuno de agosto de dos mil veinticinco</w:t>
      </w:r>
      <w:r>
        <w:rPr>
          <w:rFonts w:ascii="Palatino Linotype" w:eastAsia="Palatino Linotype" w:hAnsi="Palatino Linotype" w:cs="Palatino Linotype"/>
          <w:color w:val="000000"/>
          <w:sz w:val="22"/>
          <w:szCs w:val="22"/>
        </w:rPr>
        <w:t xml:space="preserve">, de tal forma que el plazo para interponer el recurso de revisión transcurrió del </w:t>
      </w:r>
      <w:r>
        <w:rPr>
          <w:rFonts w:ascii="Palatino Linotype" w:eastAsia="Palatino Linotype" w:hAnsi="Palatino Linotype" w:cs="Palatino Linotype"/>
          <w:b/>
          <w:bCs/>
          <w:color w:val="000000"/>
          <w:sz w:val="22"/>
          <w:szCs w:val="22"/>
        </w:rPr>
        <w:t>veintidós de agosto al once de septiembre de dos mil veinticinco</w:t>
      </w:r>
      <w:r>
        <w:rPr>
          <w:rFonts w:ascii="Palatino Linotype" w:eastAsia="Palatino Linotype" w:hAnsi="Palatino Linotype" w:cs="Palatino Linotype"/>
          <w:color w:val="000000"/>
          <w:sz w:val="22"/>
          <w:szCs w:val="22"/>
        </w:rPr>
        <w:t xml:space="preserve">; en consecuencia, el ahora </w:t>
      </w:r>
      <w:r>
        <w:rPr>
          <w:rFonts w:ascii="Palatino Linotype" w:eastAsia="Palatino Linotype" w:hAnsi="Palatino Linotype" w:cs="Palatino Linotype"/>
          <w:b/>
          <w:bCs/>
          <w:color w:val="000000"/>
          <w:sz w:val="22"/>
          <w:szCs w:val="22"/>
        </w:rPr>
        <w:t>RECURRENTE</w:t>
      </w:r>
      <w:r>
        <w:rPr>
          <w:rFonts w:ascii="Palatino Linotype" w:eastAsia="Palatino Linotype" w:hAnsi="Palatino Linotype" w:cs="Palatino Linotype"/>
          <w:color w:val="000000"/>
          <w:sz w:val="22"/>
          <w:szCs w:val="22"/>
        </w:rPr>
        <w:t xml:space="preserve"> presentó su inconformidad el día </w:t>
      </w:r>
      <w:r>
        <w:rPr>
          <w:rFonts w:ascii="Palatino Linotype" w:eastAsia="Palatino Linotype" w:hAnsi="Palatino Linotype" w:cs="Palatino Linotype"/>
          <w:b/>
          <w:bCs/>
          <w:color w:val="000000"/>
          <w:sz w:val="22"/>
          <w:szCs w:val="22"/>
        </w:rPr>
        <w:t>veintiuno de agosto de dos mil veinticinco</w:t>
      </w:r>
      <w:r>
        <w:rPr>
          <w:rFonts w:ascii="Palatino Linotype" w:eastAsia="Palatino Linotype" w:hAnsi="Palatino Linotype" w:cs="Palatino Linotype"/>
          <w:color w:val="000000"/>
          <w:sz w:val="22"/>
          <w:szCs w:val="22"/>
        </w:rPr>
        <w:t>; por lo que se estima que la inconformidad se presentó dentro del lapso legalmente establecido para tal efecto.</w:t>
      </w:r>
    </w:p>
    <w:p w:rsidR="00771FCE" w:rsidRDefault="00771FCE">
      <w:pPr>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555555"/>
          <w:sz w:val="22"/>
          <w:szCs w:val="22"/>
        </w:rPr>
      </w:pPr>
      <w:r>
        <w:rPr>
          <w:rFonts w:ascii="Palatino Linotype" w:eastAsia="Palatino Linotype" w:hAnsi="Palatino Linotype" w:cs="Palatino Linotype"/>
          <w:sz w:val="22"/>
          <w:szCs w:val="22"/>
        </w:rPr>
        <w:t xml:space="preserve">Al respecto </w:t>
      </w:r>
      <w:r>
        <w:rPr>
          <w:rFonts w:ascii="Palatino Linotype" w:eastAsia="Palatino Linotype" w:hAnsi="Palatino Linotype" w:cs="Palatino Linotype"/>
          <w:color w:val="000000"/>
          <w:sz w:val="22"/>
          <w:szCs w:val="22"/>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771FCE" w:rsidRDefault="00771FCE">
      <w:pPr>
        <w:spacing w:line="360" w:lineRule="auto"/>
        <w:ind w:left="360" w:hanging="360"/>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555555"/>
          <w:sz w:val="22"/>
          <w:szCs w:val="22"/>
        </w:rPr>
      </w:pPr>
      <w:r>
        <w:rPr>
          <w:rFonts w:ascii="Palatino Linotype" w:eastAsia="Palatino Linotype" w:hAnsi="Palatino Linotype" w:cs="Palatino Linotype"/>
          <w:sz w:val="22"/>
          <w:szCs w:val="22"/>
        </w:rPr>
        <w:t xml:space="preserve">Lo anterior se robustece con la jurisprudencia número 1a./J. 41/2015 (10a.), Décima </w:t>
      </w:r>
      <w:r>
        <w:rPr>
          <w:rFonts w:ascii="Palatino Linotype" w:eastAsia="Palatino Linotype" w:hAnsi="Palatino Linotype" w:cs="Palatino Linotype"/>
          <w:color w:val="000000"/>
          <w:sz w:val="22"/>
          <w:szCs w:val="22"/>
        </w:rPr>
        <w:t>época</w:t>
      </w:r>
      <w:r>
        <w:rPr>
          <w:rFonts w:ascii="Palatino Linotype" w:eastAsia="Palatino Linotype" w:hAnsi="Palatino Linotype" w:cs="Palatino Linotype"/>
          <w:sz w:val="22"/>
          <w:szCs w:val="22"/>
        </w:rPr>
        <w:t xml:space="preserve">, sustentada por la Primera Sala de la Suprema Corte de Justicia de la Nación, visible en la página 569, libro 19, tomo I, de la Gaceta del Semanario Judicial de la Federación, del diecinueve de junio de 2015, cuyo rubro y texto disponen: </w:t>
      </w:r>
    </w:p>
    <w:p w:rsidR="00771FCE" w:rsidRDefault="005C559E">
      <w:pPr>
        <w:tabs>
          <w:tab w:val="left" w:pos="3670"/>
        </w:tabs>
        <w:spacing w:line="360" w:lineRule="auto"/>
        <w:ind w:left="720"/>
        <w:rPr>
          <w:rFonts w:ascii="Palatino Linotype" w:eastAsia="Palatino Linotype" w:hAnsi="Palatino Linotype" w:cs="Palatino Linotype"/>
          <w:color w:val="555555"/>
          <w:sz w:val="22"/>
          <w:szCs w:val="22"/>
        </w:rPr>
      </w:pPr>
      <w:r>
        <w:rPr>
          <w:rFonts w:ascii="Palatino Linotype" w:eastAsia="Palatino Linotype" w:hAnsi="Palatino Linotype" w:cs="Palatino Linotype"/>
          <w:color w:val="555555"/>
          <w:sz w:val="22"/>
          <w:szCs w:val="22"/>
        </w:rPr>
        <w:tab/>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“RECURSO DE RECLAMACIÓN. SU INTERPOSICIÓN NO ES EXTEMPORÁNEA SI SE REALIZA ANTES DE QUE INICIE EL PLAZO PARA HACERLO</w:t>
      </w:r>
      <w:r>
        <w:rPr>
          <w:rFonts w:ascii="Palatino Linotype" w:eastAsia="Palatino Linotype" w:hAnsi="Palatino Linotype" w:cs="Palatino Linotype"/>
          <w:i/>
          <w:iCs/>
          <w:sz w:val="22"/>
          <w:szCs w:val="22"/>
        </w:rPr>
        <w:t xml:space="preserve">. Conforme al artículo 104, párrafo segundo, de </w:t>
      </w:r>
      <w:r>
        <w:rPr>
          <w:rFonts w:ascii="Palatino Linotype" w:eastAsia="Palatino Linotype" w:hAnsi="Palatino Linotype" w:cs="Palatino Linotype"/>
          <w:i/>
          <w:iCs/>
          <w:sz w:val="22"/>
          <w:szCs w:val="22"/>
        </w:rPr>
        <w:lastRenderedPageBreak/>
        <w:t>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771FCE" w:rsidRDefault="00771FCE">
      <w:pPr>
        <w:spacing w:line="360" w:lineRule="auto"/>
        <w:ind w:left="426" w:right="616"/>
        <w:jc w:val="both"/>
        <w:rPr>
          <w:rFonts w:ascii="Palatino Linotype" w:eastAsia="Palatino Linotype" w:hAnsi="Palatino Linotype" w:cs="Palatino Linotype"/>
          <w:i/>
          <w:i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xml:space="preserve">Esto es así porque en primer lugar es necesario que </w:t>
      </w:r>
      <w:r>
        <w:rPr>
          <w:rFonts w:ascii="Palatino Linotype" w:eastAsia="Palatino Linotype" w:hAnsi="Palatino Linotype" w:cs="Palatino Linotype"/>
          <w:b/>
          <w:bCs/>
          <w:sz w:val="22"/>
          <w:szCs w:val="22"/>
        </w:rPr>
        <w:t>EL RECURRENTE</w:t>
      </w:r>
      <w:r>
        <w:rPr>
          <w:rFonts w:ascii="Palatino Linotype" w:eastAsia="Palatino Linotype" w:hAnsi="Palatino Linotype" w:cs="Palatino Linotype"/>
          <w:sz w:val="22"/>
          <w:szCs w:val="22"/>
        </w:rPr>
        <w:t xml:space="preserve"> conozca el acto que le provoca agravio y a partir de ahí formular su recurso de revisión </w:t>
      </w:r>
      <w:r>
        <w:rPr>
          <w:rFonts w:ascii="Palatino Linotype" w:eastAsia="Palatino Linotype" w:hAnsi="Palatino Linotype" w:cs="Palatino Linotype"/>
          <w:color w:val="000000"/>
          <w:sz w:val="22"/>
          <w:szCs w:val="22"/>
        </w:rPr>
        <w:t>señalando</w:t>
      </w:r>
      <w:r>
        <w:rPr>
          <w:rFonts w:ascii="Palatino Linotype" w:eastAsia="Palatino Linotype" w:hAnsi="Palatino Linotype" w:cs="Palatino Linotype"/>
          <w:sz w:val="22"/>
          <w:szCs w:val="22"/>
        </w:rPr>
        <w:t xml:space="preserve"> tanto el acto impugnado como el motivo de inconformidad. Y si bien la ley señala que el plazo corre un día después de haber sido notificada la respuesta, en nada se afecta al proceso que el mismo día de </w:t>
      </w:r>
      <w:r>
        <w:rPr>
          <w:rFonts w:ascii="Palatino Linotype" w:eastAsia="Palatino Linotype" w:hAnsi="Palatino Linotype" w:cs="Palatino Linotype"/>
          <w:b/>
          <w:bCs/>
          <w:sz w:val="22"/>
          <w:szCs w:val="22"/>
        </w:rPr>
        <w:t>notificada EL RECURRENTE</w:t>
      </w:r>
      <w:r>
        <w:rPr>
          <w:rFonts w:ascii="Palatino Linotype" w:eastAsia="Palatino Linotype" w:hAnsi="Palatino Linotype" w:cs="Palatino Linotype"/>
          <w:sz w:val="22"/>
          <w:szCs w:val="22"/>
        </w:rPr>
        <w:t xml:space="preserve"> actúe, ya que al contrario lo que demuestra es el interés del mismo para ejercer su derecho bajo el principio constitucional de justicia expedita.</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i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771FCE" w:rsidRDefault="00771FCE">
      <w:pPr>
        <w:spacing w:line="360" w:lineRule="auto"/>
        <w:ind w:left="360" w:hanging="360"/>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Pr>
          <w:rFonts w:ascii="Palatino Linotype" w:eastAsia="Palatino Linotype" w:hAnsi="Palatino Linotype" w:cs="Palatino Linotype"/>
          <w:b/>
          <w:bCs/>
          <w:sz w:val="22"/>
          <w:szCs w:val="22"/>
        </w:rPr>
        <w:t>SUJETO OBLIGADO.</w:t>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w:t>
      </w:r>
      <w:r>
        <w:rPr>
          <w:rFonts w:ascii="Palatino Linotype" w:eastAsia="Palatino Linotype" w:hAnsi="Palatino Linotype" w:cs="Palatino Linotype"/>
          <w:color w:val="000000"/>
          <w:sz w:val="22"/>
          <w:szCs w:val="22"/>
        </w:rPr>
        <w:t>otro</w:t>
      </w:r>
      <w:r>
        <w:rPr>
          <w:rFonts w:ascii="Palatino Linotype" w:eastAsia="Palatino Linotype" w:hAnsi="Palatino Linotype" w:cs="Palatino Linotype"/>
          <w:sz w:val="22"/>
          <w:szCs w:val="22"/>
        </w:rPr>
        <w:t xml:space="preserve">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w:t>
      </w:r>
      <w:r>
        <w:rPr>
          <w:rFonts w:ascii="Palatino Linotype" w:eastAsia="Palatino Linotype" w:hAnsi="Palatino Linotype" w:cs="Palatino Linotype"/>
          <w:sz w:val="22"/>
          <w:szCs w:val="22"/>
        </w:rPr>
        <w:lastRenderedPageBreak/>
        <w:t>conforme a lo previsto en el artículo 155, penúltimo párrafo de la Ley de Transparencia y Acceso a la Información Pública del Estado de México y Municipios que establece lo siguiente:</w:t>
      </w:r>
    </w:p>
    <w:p w:rsidR="00771FCE" w:rsidRDefault="00771FCE">
      <w:pPr>
        <w:ind w:left="1134" w:right="900"/>
        <w:jc w:val="both"/>
        <w:rPr>
          <w:rFonts w:ascii="Palatino Linotype" w:eastAsia="Palatino Linotype" w:hAnsi="Palatino Linotype" w:cs="Palatino Linotype"/>
          <w:sz w:val="22"/>
          <w:szCs w:val="22"/>
        </w:rPr>
      </w:pP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Las solicitudes anónimas</w:t>
      </w:r>
      <w:r>
        <w:rPr>
          <w:rFonts w:ascii="Palatino Linotype" w:eastAsia="Palatino Linotype" w:hAnsi="Palatino Linotype" w:cs="Palatino Linotype"/>
          <w:i/>
          <w:iCs/>
          <w:sz w:val="22"/>
          <w:szCs w:val="22"/>
        </w:rPr>
        <w:t xml:space="preserve">, con nombre incompleto o seudónimo </w:t>
      </w:r>
      <w:r>
        <w:rPr>
          <w:rFonts w:ascii="Palatino Linotype" w:eastAsia="Palatino Linotype" w:hAnsi="Palatino Linotype" w:cs="Palatino Linotype"/>
          <w:b/>
          <w:bCs/>
          <w:i/>
          <w:iCs/>
          <w:sz w:val="22"/>
          <w:szCs w:val="22"/>
        </w:rPr>
        <w:t>serán procedentes para su trámite por parte del sujeto obligado ante quien se presente</w:t>
      </w:r>
      <w:r>
        <w:rPr>
          <w:rFonts w:ascii="Palatino Linotype" w:eastAsia="Palatino Linotype" w:hAnsi="Palatino Linotype" w:cs="Palatino Linotype"/>
          <w:i/>
          <w:iCs/>
          <w:sz w:val="22"/>
          <w:szCs w:val="22"/>
        </w:rPr>
        <w:t>. No podrá requerirse información adicional con motivo del nombre proporcionado por el solicitante."</w:t>
      </w:r>
    </w:p>
    <w:p w:rsidR="00771FCE" w:rsidRDefault="00771FCE">
      <w:pPr>
        <w:spacing w:line="360" w:lineRule="auto"/>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Robusteciendo</w:t>
      </w:r>
      <w:r>
        <w:rPr>
          <w:rFonts w:ascii="Palatino Linotype" w:eastAsia="Palatino Linotype" w:hAnsi="Palatino Linotype" w:cs="Palatino Linotype"/>
          <w:sz w:val="22"/>
          <w:szCs w:val="22"/>
        </w:rPr>
        <w:t xml:space="preserve"> lo anterior se encuentra lo dispuesto en el artículo 6, Apartado A, fracciones III de la Constitución Política de los Estados Unidos Mexicanos que establece:</w:t>
      </w:r>
    </w:p>
    <w:p w:rsidR="00771FCE" w:rsidRDefault="00771FCE">
      <w:pPr>
        <w:ind w:left="1134" w:right="900"/>
        <w:jc w:val="both"/>
        <w:rPr>
          <w:rFonts w:ascii="Palatino Linotype" w:eastAsia="Palatino Linotype" w:hAnsi="Palatino Linotype" w:cs="Palatino Linotype"/>
          <w:i/>
          <w:iCs/>
          <w:sz w:val="22"/>
          <w:szCs w:val="22"/>
        </w:rPr>
      </w:pP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6.-</w:t>
      </w:r>
      <w:r>
        <w:rPr>
          <w:rFonts w:ascii="Palatino Linotype" w:eastAsia="Palatino Linotype" w:hAnsi="Palatino Linotype" w:cs="Palatino Linotype"/>
          <w:i/>
          <w:iCs/>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rsidR="00771FCE" w:rsidRDefault="00771FCE">
      <w:pPr>
        <w:ind w:left="1134" w:right="900"/>
        <w:jc w:val="both"/>
        <w:rPr>
          <w:rFonts w:ascii="Palatino Linotype" w:eastAsia="Palatino Linotype" w:hAnsi="Palatino Linotype" w:cs="Palatino Linotype"/>
          <w:i/>
          <w:iCs/>
          <w:sz w:val="22"/>
          <w:szCs w:val="22"/>
        </w:rPr>
      </w:pP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 Para el ejercicio del derecho de acceso a la información, la Federación, los Estados y el Distrito Federal, en el ámbito de sus respectivas competencias, se regirán por los siguientes principios y bases:</w:t>
      </w:r>
    </w:p>
    <w:p w:rsidR="00771FCE" w:rsidRDefault="00771FCE">
      <w:pPr>
        <w:ind w:left="1134" w:right="900"/>
        <w:jc w:val="both"/>
        <w:rPr>
          <w:rFonts w:ascii="Palatino Linotype" w:eastAsia="Palatino Linotype" w:hAnsi="Palatino Linotype" w:cs="Palatino Linotype"/>
          <w:i/>
          <w:iCs/>
          <w:sz w:val="22"/>
          <w:szCs w:val="22"/>
        </w:rPr>
      </w:pP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rsidR="00771FCE" w:rsidRDefault="00771FCE">
      <w:pPr>
        <w:ind w:left="1134" w:right="900"/>
        <w:jc w:val="both"/>
        <w:rPr>
          <w:rFonts w:ascii="Palatino Linotype" w:eastAsia="Palatino Linotype" w:hAnsi="Palatino Linotype" w:cs="Palatino Linotype"/>
          <w:i/>
          <w:i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w:t>
      </w:r>
      <w:r>
        <w:rPr>
          <w:rFonts w:ascii="Palatino Linotype" w:eastAsia="Palatino Linotype" w:hAnsi="Palatino Linotype" w:cs="Palatino Linotype"/>
          <w:color w:val="000000"/>
          <w:sz w:val="22"/>
          <w:szCs w:val="22"/>
        </w:rPr>
        <w:t>como</w:t>
      </w:r>
      <w:r>
        <w:rPr>
          <w:rFonts w:ascii="Palatino Linotype" w:eastAsia="Palatino Linotype" w:hAnsi="Palatino Linotype" w:cs="Palatino Linotype"/>
          <w:sz w:val="22"/>
          <w:szCs w:val="22"/>
        </w:rPr>
        <w:t xml:space="preserve"> el artículo 5 fracción III, párrafo vigésimo noveno, trigésimo y trigésimo primero, de la Constitución Política del Estado Libre y Soberano de México, que determina lo siguiente:</w:t>
      </w:r>
    </w:p>
    <w:p w:rsidR="00771FCE" w:rsidRDefault="00771FCE">
      <w:pPr>
        <w:spacing w:line="360" w:lineRule="auto"/>
        <w:ind w:right="474"/>
        <w:jc w:val="both"/>
        <w:rPr>
          <w:rFonts w:ascii="Palatino Linotype" w:eastAsia="Palatino Linotype" w:hAnsi="Palatino Linotype" w:cs="Palatino Linotype"/>
          <w:i/>
          <w:iCs/>
          <w:sz w:val="22"/>
          <w:szCs w:val="22"/>
        </w:rPr>
      </w:pP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En el Estado de México todas las personas gozarán de los derechos humanos reconocidos en la Constitución Política de los Estados Unidos Mexicanos, en los tratados internacionales en los que el Estado </w:t>
      </w:r>
      <w:r>
        <w:rPr>
          <w:rFonts w:ascii="Palatino Linotype" w:eastAsia="Palatino Linotype" w:hAnsi="Palatino Linotype" w:cs="Palatino Linotype"/>
          <w:i/>
          <w:iCs/>
          <w:sz w:val="22"/>
          <w:szCs w:val="22"/>
        </w:rPr>
        <w:lastRenderedPageBreak/>
        <w:t>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 persona en el Estado de México, tiene derecho al libre acceso a la información plural y oportuna, así como a buscar recibir y difundir información e ideas de toda índole por cualquier medio de expresión.</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derecho a la información será garantizado por el Estado. La ley establecerá las previsiones que permitan asegurar la protección, el respeto y la difusión de este derecho.</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III. Toda persona, sin necesidad de acreditar interés alguno o justificar su utilización, tendrá acceso gratuito a la información pública, a sus datos personales o a la rectificación de éstos;</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rsidR="00771FCE" w:rsidRDefault="00771FCE">
      <w:pPr>
        <w:spacing w:line="360" w:lineRule="auto"/>
        <w:ind w:left="426" w:right="476"/>
        <w:jc w:val="both"/>
        <w:rPr>
          <w:rFonts w:ascii="Palatino Linotype" w:eastAsia="Palatino Linotype" w:hAnsi="Palatino Linotype" w:cs="Palatino Linotype"/>
          <w:i/>
          <w:i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otra parte, del contenido del artículo 1 de la Constitución Política de los Estados Unidos </w:t>
      </w:r>
      <w:r>
        <w:rPr>
          <w:rFonts w:ascii="Palatino Linotype" w:eastAsia="Palatino Linotype" w:hAnsi="Palatino Linotype" w:cs="Palatino Linotype"/>
          <w:color w:val="000000"/>
          <w:sz w:val="22"/>
          <w:szCs w:val="22"/>
        </w:rPr>
        <w:t>mexicanos</w:t>
      </w:r>
      <w:r>
        <w:rPr>
          <w:rFonts w:ascii="Palatino Linotype" w:eastAsia="Palatino Linotype" w:hAnsi="Palatino Linotype" w:cs="Palatino Linotype"/>
          <w:sz w:val="22"/>
          <w:szCs w:val="22"/>
        </w:rPr>
        <w:t>, se destaca lo siguiente:</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771FCE" w:rsidRDefault="00771FCE">
      <w:pPr>
        <w:spacing w:line="360" w:lineRule="auto"/>
        <w:ind w:left="426" w:right="474"/>
        <w:jc w:val="both"/>
        <w:rPr>
          <w:rFonts w:ascii="Palatino Linotype" w:eastAsia="Palatino Linotype" w:hAnsi="Palatino Linotype" w:cs="Palatino Linotype"/>
          <w:i/>
          <w:i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Esto es, que el derecho humano de acceso a la información pública, se aprecia que toda persona, </w:t>
      </w:r>
      <w:r>
        <w:rPr>
          <w:rFonts w:ascii="Palatino Linotype" w:eastAsia="Palatino Linotype" w:hAnsi="Palatino Linotype" w:cs="Palatino Linotype"/>
          <w:color w:val="000000"/>
          <w:sz w:val="22"/>
          <w:szCs w:val="22"/>
        </w:rPr>
        <w:t>sin</w:t>
      </w:r>
      <w:r>
        <w:rPr>
          <w:rFonts w:ascii="Palatino Linotype" w:eastAsia="Palatino Linotype" w:hAnsi="Palatino Linotype" w:cs="Palatino Linotype"/>
          <w:sz w:val="22"/>
          <w:szCs w:val="22"/>
        </w:rPr>
        <w:t xml:space="preserve"> necesidad de acreditar interés alguno o justificar su interposición, deberá tener acceso a la información pública, es decir, dicho </w:t>
      </w:r>
      <w:r>
        <w:rPr>
          <w:rFonts w:ascii="Palatino Linotype" w:eastAsia="Palatino Linotype" w:hAnsi="Palatino Linotype" w:cs="Palatino Linotype"/>
          <w:i/>
          <w:iCs/>
          <w:sz w:val="22"/>
          <w:szCs w:val="22"/>
        </w:rPr>
        <w:t>derecho fundamental exime a quien lo ejerce</w:t>
      </w:r>
      <w:r>
        <w:rPr>
          <w:rFonts w:ascii="Palatino Linotype" w:eastAsia="Palatino Linotype" w:hAnsi="Palatino Linotype" w:cs="Palatino Linotype"/>
          <w:sz w:val="22"/>
          <w:szCs w:val="22"/>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771FCE" w:rsidRDefault="00771FCE">
      <w:pPr>
        <w:spacing w:line="360" w:lineRule="auto"/>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consecuencia, dado lo expuesto y fundado con anterioridad, se estima que el requisito relativo al nombre del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no constituye un presupuesto indispensable de procedencia del Recurso de Revisión, en términos de los artículos 25 de la </w:t>
      </w:r>
      <w:r>
        <w:rPr>
          <w:rFonts w:ascii="Palatino Linotype" w:eastAsia="Palatino Linotype" w:hAnsi="Palatino Linotype" w:cs="Palatino Linotype"/>
          <w:color w:val="000000"/>
          <w:sz w:val="22"/>
          <w:szCs w:val="22"/>
        </w:rPr>
        <w:t>Convención</w:t>
      </w:r>
      <w:r>
        <w:rPr>
          <w:rFonts w:ascii="Palatino Linotype" w:eastAsia="Palatino Linotype" w:hAnsi="Palatino Linotype" w:cs="Palatino Linotype"/>
          <w:sz w:val="22"/>
          <w:szCs w:val="22"/>
        </w:rPr>
        <w:t xml:space="preserve">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w:t>
      </w:r>
      <w:r>
        <w:rPr>
          <w:rFonts w:ascii="Palatino Linotype" w:eastAsia="Palatino Linotype" w:hAnsi="Palatino Linotype" w:cs="Palatino Linotype"/>
          <w:sz w:val="22"/>
          <w:szCs w:val="22"/>
        </w:rPr>
        <w:lastRenderedPageBreak/>
        <w:t>desprende que la parte recurrente, es la misma que realizó la solicitud de acceso a la información pública que ahora se impugna.</w:t>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pStyle w:val="Ttulo1"/>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TERCERO. Planteamiento de la Litis </w:t>
      </w:r>
    </w:p>
    <w:p w:rsidR="00771FCE" w:rsidRDefault="00771FCE">
      <w:pPr>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recurrente solicitó:</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 Justificantes y avisos de comisión de los servidores públicos adscritos a la Dirección de Concertación y Participación Ciudadana, Dirección de Ordenamiento Territorial y Coordinación General de Conservación Ecológica con evidencia de su cumplimiento (fotografía, oficio con sello de la dependencia a la que asistieron o lo que compruebe que cumplieron con la comisión), del 2025. </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respuesta, se entregó la información descrita en el párrafo tres de la presente resolución. </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tanto, el presente recurso de revisión se circunscribe en determinar si se </w:t>
      </w:r>
      <w:r>
        <w:rPr>
          <w:rFonts w:ascii="Palatino Linotype" w:eastAsia="Palatino Linotype" w:hAnsi="Palatino Linotype" w:cs="Palatino Linotype"/>
          <w:sz w:val="22"/>
          <w:szCs w:val="22"/>
        </w:rPr>
        <w:t>actualiza</w:t>
      </w:r>
      <w:r>
        <w:rPr>
          <w:rFonts w:ascii="Palatino Linotype" w:eastAsia="Palatino Linotype" w:hAnsi="Palatino Linotype" w:cs="Palatino Linotype"/>
          <w:color w:val="000000"/>
          <w:sz w:val="22"/>
          <w:szCs w:val="22"/>
        </w:rPr>
        <w:t xml:space="preserve"> la causal de procedencia</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contenida en el artículo 179 fracción I relativa a la negativa de la información solicitada, de la </w:t>
      </w:r>
      <w:r>
        <w:rPr>
          <w:rFonts w:ascii="Palatino Linotype" w:eastAsia="Palatino Linotype" w:hAnsi="Palatino Linotype" w:cs="Palatino Linotype"/>
          <w:b/>
          <w:bCs/>
          <w:color w:val="000000"/>
          <w:sz w:val="22"/>
          <w:szCs w:val="22"/>
        </w:rPr>
        <w:t>Ley de Transparencia y Acceso a la Información Pública del Estado de México y Municipios</w:t>
      </w:r>
      <w:r>
        <w:rPr>
          <w:rFonts w:ascii="Palatino Linotype" w:eastAsia="Palatino Linotype" w:hAnsi="Palatino Linotype" w:cs="Palatino Linotype"/>
          <w:color w:val="000000"/>
          <w:sz w:val="22"/>
          <w:szCs w:val="22"/>
        </w:rPr>
        <w:t>.</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771FCE" w:rsidRDefault="005C559E">
      <w:pPr>
        <w:pStyle w:val="Ttulo2"/>
        <w:tabs>
          <w:tab w:val="left" w:pos="426"/>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CUARTO. Estudio y Resolución del asunto.</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bookmarkStart w:id="9" w:name="_heading=h.1t3h5sf" w:colFirst="0" w:colLast="0"/>
      <w:bookmarkEnd w:id="9"/>
    </w:p>
    <w:p w:rsidR="00771FCE" w:rsidRDefault="005C559E">
      <w:pPr>
        <w:keepNext/>
        <w:keepLines/>
        <w:numPr>
          <w:ilvl w:val="0"/>
          <w:numId w:val="7"/>
        </w:numPr>
        <w:spacing w:after="240" w:line="360" w:lineRule="auto"/>
        <w:ind w:left="786"/>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Del derecho de acceso a la información.</w:t>
      </w: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Derecho de Acceso a la Información Pública, es un derecho humano reconocido en el </w:t>
      </w:r>
      <w:r>
        <w:rPr>
          <w:rFonts w:ascii="Palatino Linotype" w:eastAsia="Palatino Linotype" w:hAnsi="Palatino Linotype" w:cs="Palatino Linotype"/>
          <w:sz w:val="22"/>
          <w:szCs w:val="22"/>
        </w:rPr>
        <w:t>Pacto</w:t>
      </w:r>
      <w:r>
        <w:rPr>
          <w:rFonts w:ascii="Palatino Linotype" w:eastAsia="Palatino Linotype" w:hAnsi="Palatino Linotype" w:cs="Palatino Linotype"/>
          <w:color w:val="000000"/>
          <w:sz w:val="22"/>
          <w:szCs w:val="22"/>
        </w:rPr>
        <w:t xml:space="preserve">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Definiendo el Derecho de Acceso a la Información Pública como: </w:t>
      </w:r>
      <w:r>
        <w:rPr>
          <w:rFonts w:ascii="Palatino Linotype" w:eastAsia="Palatino Linotype" w:hAnsi="Palatino Linotype" w:cs="Palatino Linotype"/>
          <w:i/>
          <w:iCs/>
          <w:color w:val="000000"/>
          <w:sz w:val="22"/>
          <w:szCs w:val="22"/>
        </w:rPr>
        <w:t xml:space="preserve">La igualdad de </w:t>
      </w:r>
      <w:r>
        <w:rPr>
          <w:rFonts w:ascii="Palatino Linotype" w:eastAsia="Palatino Linotype" w:hAnsi="Palatino Linotype" w:cs="Palatino Linotype"/>
          <w:sz w:val="22"/>
          <w:szCs w:val="22"/>
        </w:rPr>
        <w:t>oportunidades</w:t>
      </w:r>
      <w:r>
        <w:rPr>
          <w:rFonts w:ascii="Palatino Linotype" w:eastAsia="Palatino Linotype" w:hAnsi="Palatino Linotype" w:cs="Palatino Linotype"/>
          <w:i/>
          <w:iCs/>
          <w:color w:val="000000"/>
          <w:sz w:val="22"/>
          <w:szCs w:val="22"/>
        </w:rPr>
        <w:t xml:space="preserve"> para recibir, buscar e impartir información</w:t>
      </w:r>
      <w:r>
        <w:rPr>
          <w:rFonts w:ascii="Palatino Linotype" w:eastAsia="Palatino Linotype" w:hAnsi="Palatino Linotype" w:cs="Palatino Linotype"/>
          <w:i/>
          <w:iCs/>
          <w:sz w:val="22"/>
          <w:szCs w:val="22"/>
          <w:vertAlign w:val="superscript"/>
        </w:rPr>
        <w:footnoteReference w:id="1"/>
      </w:r>
      <w:r>
        <w:rPr>
          <w:rFonts w:ascii="Palatino Linotype" w:eastAsia="Palatino Linotype" w:hAnsi="Palatino Linotype" w:cs="Palatino Linotype"/>
          <w:i/>
          <w:iCs/>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iCs/>
          <w:sz w:val="22"/>
          <w:szCs w:val="22"/>
          <w:vertAlign w:val="superscript"/>
        </w:rPr>
        <w:footnoteReference w:id="2"/>
      </w:r>
      <w:r>
        <w:rPr>
          <w:rFonts w:ascii="Palatino Linotype" w:eastAsia="Palatino Linotype" w:hAnsi="Palatino Linotype" w:cs="Palatino Linotype"/>
          <w:color w:val="000000"/>
          <w:sz w:val="22"/>
          <w:szCs w:val="22"/>
        </w:rPr>
        <w:t>que se constituye como una herramienta fundamental para ejercer</w:t>
      </w:r>
      <w:r>
        <w:rPr>
          <w:rFonts w:ascii="Palatino Linotype" w:eastAsia="Palatino Linotype" w:hAnsi="Palatino Linotype" w:cs="Palatino Linotype"/>
          <w:i/>
          <w:iCs/>
          <w:color w:val="000000"/>
          <w:sz w:val="22"/>
          <w:szCs w:val="22"/>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iCs/>
          <w:sz w:val="22"/>
          <w:szCs w:val="22"/>
          <w:vertAlign w:val="superscript"/>
        </w:rPr>
        <w:footnoteReference w:id="3"/>
      </w:r>
      <w:r>
        <w:rPr>
          <w:rFonts w:ascii="Palatino Linotype" w:eastAsia="Palatino Linotype" w:hAnsi="Palatino Linotype" w:cs="Palatino Linotype"/>
          <w:color w:val="000000"/>
          <w:sz w:val="22"/>
          <w:szCs w:val="22"/>
        </w:rPr>
        <w:t>fomentando</w:t>
      </w:r>
      <w:r>
        <w:rPr>
          <w:rFonts w:ascii="Palatino Linotype" w:eastAsia="Palatino Linotype" w:hAnsi="Palatino Linotype" w:cs="Palatino Linotype"/>
          <w:i/>
          <w:iCs/>
          <w:color w:val="000000"/>
          <w:sz w:val="22"/>
          <w:szCs w:val="22"/>
        </w:rPr>
        <w:t xml:space="preserve"> la transparencia de las actividades estatales y </w:t>
      </w:r>
      <w:r>
        <w:rPr>
          <w:rFonts w:ascii="Palatino Linotype" w:eastAsia="Palatino Linotype" w:hAnsi="Palatino Linotype" w:cs="Palatino Linotype"/>
          <w:color w:val="000000"/>
          <w:sz w:val="22"/>
          <w:szCs w:val="22"/>
        </w:rPr>
        <w:t>promoviendo</w:t>
      </w:r>
      <w:r>
        <w:rPr>
          <w:rFonts w:ascii="Palatino Linotype" w:eastAsia="Palatino Linotype" w:hAnsi="Palatino Linotype" w:cs="Palatino Linotype"/>
          <w:i/>
          <w:iCs/>
          <w:color w:val="000000"/>
          <w:sz w:val="22"/>
          <w:szCs w:val="22"/>
        </w:rPr>
        <w:t xml:space="preserve"> la responsabilidad de los funcionarios sobre su gestión pública,</w:t>
      </w:r>
      <w:r>
        <w:rPr>
          <w:rFonts w:ascii="Palatino Linotype" w:eastAsia="Palatino Linotype" w:hAnsi="Palatino Linotype" w:cs="Palatino Linotype"/>
          <w:i/>
          <w:iCs/>
          <w:sz w:val="22"/>
          <w:szCs w:val="22"/>
          <w:vertAlign w:val="superscript"/>
        </w:rPr>
        <w:footnoteReference w:id="4"/>
      </w:r>
      <w:r>
        <w:rPr>
          <w:rFonts w:ascii="Palatino Linotype" w:eastAsia="Palatino Linotype" w:hAnsi="Palatino Linotype" w:cs="Palatino Linotype"/>
          <w:color w:val="000000"/>
          <w:sz w:val="22"/>
          <w:szCs w:val="22"/>
        </w:rPr>
        <w:t>que permite</w:t>
      </w:r>
      <w:r>
        <w:rPr>
          <w:rFonts w:ascii="Palatino Linotype" w:eastAsia="Palatino Linotype" w:hAnsi="Palatino Linotype" w:cs="Palatino Linotype"/>
          <w:i/>
          <w:iCs/>
          <w:color w:val="000000"/>
          <w:sz w:val="22"/>
          <w:szCs w:val="22"/>
        </w:rPr>
        <w:t xml:space="preserve"> saber qué están haciendo los gobiernos por sus pueblos, sin lo cual la verdad languidecería y la participación en el gobierno permanecería fragmentada.</w:t>
      </w:r>
    </w:p>
    <w:p w:rsidR="00771FCE" w:rsidRDefault="00771FCE">
      <w:pPr>
        <w:spacing w:line="360" w:lineRule="auto"/>
        <w:ind w:right="49"/>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México, además de los derechos, están reconocidas las garantías para su protección, en ese sentido el párrafo tercero de artículo primero de la Constitución Política de los Estados Unidos Mexicanos dispone lo siguiente:</w:t>
      </w:r>
    </w:p>
    <w:p w:rsidR="00771FCE" w:rsidRDefault="00771FCE">
      <w:pPr>
        <w:ind w:right="49"/>
        <w:jc w:val="both"/>
        <w:rPr>
          <w:rFonts w:ascii="Palatino Linotype" w:eastAsia="Palatino Linotype" w:hAnsi="Palatino Linotype" w:cs="Palatino Linotype"/>
          <w:sz w:val="22"/>
          <w:szCs w:val="22"/>
        </w:rPr>
      </w:pPr>
    </w:p>
    <w:p w:rsidR="00771FCE" w:rsidRDefault="005C559E">
      <w:pPr>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xml:space="preserve"> </w:t>
      </w:r>
    </w:p>
    <w:p w:rsidR="00771FCE" w:rsidRDefault="005C559E">
      <w:pPr>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771FCE" w:rsidRDefault="005C559E">
      <w:pPr>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71FCE" w:rsidRDefault="005C559E">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w:t>
      </w:r>
    </w:p>
    <w:p w:rsidR="00771FCE" w:rsidRDefault="00771FCE">
      <w:pPr>
        <w:ind w:right="1106"/>
        <w:jc w:val="both"/>
        <w:rPr>
          <w:rFonts w:ascii="Palatino Linotype" w:eastAsia="Palatino Linotype" w:hAnsi="Palatino Linotype" w:cs="Palatino Linotype"/>
          <w:b/>
          <w:b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771FCE" w:rsidRDefault="00771FCE">
      <w:pPr>
        <w:spacing w:line="360" w:lineRule="auto"/>
        <w:ind w:right="49"/>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771FCE" w:rsidRDefault="00771FCE">
      <w:pPr>
        <w:spacing w:line="360" w:lineRule="auto"/>
        <w:ind w:right="49"/>
        <w:jc w:val="both"/>
        <w:rPr>
          <w:rFonts w:ascii="Palatino Linotype" w:eastAsia="Palatino Linotype" w:hAnsi="Palatino Linotype" w:cs="Palatino Linotype"/>
          <w:sz w:val="22"/>
          <w:szCs w:val="22"/>
        </w:rPr>
      </w:pPr>
    </w:p>
    <w:p w:rsidR="00771FCE" w:rsidRDefault="005C559E">
      <w:pPr>
        <w:spacing w:after="240"/>
        <w:ind w:left="1134" w:right="110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 los Estados Unidos Mexicanos</w:t>
      </w:r>
    </w:p>
    <w:p w:rsidR="00771FCE" w:rsidRDefault="005C559E">
      <w:pPr>
        <w:spacing w:before="240" w:after="240"/>
        <w:ind w:left="1134" w:right="110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6.</w:t>
      </w:r>
    </w:p>
    <w:p w:rsidR="00771FCE" w:rsidRDefault="005C559E">
      <w:pPr>
        <w:spacing w:before="240" w:after="240"/>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771FCE" w:rsidRDefault="005C559E">
      <w:pPr>
        <w:spacing w:before="240" w:after="240"/>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rsidR="00771FCE" w:rsidRDefault="005C559E">
      <w:pPr>
        <w:spacing w:before="240" w:after="240"/>
        <w:ind w:left="1134" w:right="110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el ejercicio del derecho de acceso a la información</w:t>
      </w:r>
      <w:r>
        <w:rPr>
          <w:rFonts w:ascii="Palatino Linotype" w:eastAsia="Palatino Linotype" w:hAnsi="Palatino Linotype" w:cs="Palatino Linotype"/>
          <w:i/>
          <w:iCs/>
          <w:sz w:val="22"/>
          <w:szCs w:val="22"/>
        </w:rPr>
        <w:t xml:space="preserve">, la Federación y </w:t>
      </w:r>
      <w:r>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rsidR="00771FCE" w:rsidRDefault="005C559E">
      <w:pPr>
        <w:spacing w:before="240" w:after="240"/>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b/>
          <w:bCs/>
          <w:i/>
          <w:iCs/>
          <w:sz w:val="22"/>
          <w:szCs w:val="22"/>
        </w:rPr>
        <w:tab/>
        <w:t>Toda la información en posesión de cualquier</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autoridad</w:t>
      </w:r>
      <w:r>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bCs/>
          <w:i/>
          <w:iCs/>
          <w:sz w:val="22"/>
          <w:szCs w:val="22"/>
        </w:rPr>
        <w:t>municipal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771FCE" w:rsidRDefault="00771FCE">
      <w:pPr>
        <w:pBdr>
          <w:top w:val="nil"/>
          <w:left w:val="nil"/>
          <w:bottom w:val="nil"/>
          <w:right w:val="nil"/>
          <w:between w:val="nil"/>
        </w:pBdr>
        <w:tabs>
          <w:tab w:val="left" w:pos="567"/>
        </w:tabs>
        <w:spacing w:before="240" w:after="240"/>
        <w:ind w:left="1134" w:right="1106"/>
        <w:jc w:val="both"/>
        <w:rPr>
          <w:rFonts w:ascii="Palatino Linotype" w:eastAsia="Palatino Linotype" w:hAnsi="Palatino Linotype" w:cs="Palatino Linotype"/>
          <w:b/>
          <w:bCs/>
          <w:i/>
          <w:iCs/>
          <w:color w:val="000000"/>
          <w:sz w:val="22"/>
          <w:szCs w:val="22"/>
        </w:rPr>
      </w:pPr>
    </w:p>
    <w:p w:rsidR="00771FCE" w:rsidRDefault="005C559E">
      <w:pPr>
        <w:spacing w:before="240" w:after="240"/>
        <w:ind w:left="1134" w:right="110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del Estado Libre y Soberano de México</w:t>
      </w:r>
    </w:p>
    <w:p w:rsidR="00771FCE" w:rsidRDefault="005C559E">
      <w:pPr>
        <w:spacing w:before="240" w:after="240"/>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w:t>
      </w:r>
    </w:p>
    <w:p w:rsidR="00771FCE" w:rsidRDefault="005C559E">
      <w:pPr>
        <w:spacing w:before="240" w:after="240"/>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771FCE" w:rsidRDefault="005C559E">
      <w:pPr>
        <w:spacing w:before="240" w:after="240"/>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iCs/>
          <w:sz w:val="22"/>
          <w:szCs w:val="22"/>
        </w:rPr>
        <w:t>.</w:t>
      </w:r>
    </w:p>
    <w:p w:rsidR="00771FCE" w:rsidRDefault="005C559E">
      <w:pPr>
        <w:spacing w:before="240" w:after="240"/>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71FCE" w:rsidRDefault="005C559E">
      <w:pPr>
        <w:spacing w:before="240" w:after="240"/>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Este derecho se regirá por los principios y bases siguientes</w:t>
      </w:r>
      <w:r>
        <w:rPr>
          <w:rFonts w:ascii="Palatino Linotype" w:eastAsia="Palatino Linotype" w:hAnsi="Palatino Linotype" w:cs="Palatino Linotype"/>
          <w:i/>
          <w:iCs/>
          <w:sz w:val="22"/>
          <w:szCs w:val="22"/>
        </w:rPr>
        <w:t>:</w:t>
      </w:r>
    </w:p>
    <w:p w:rsidR="00771FCE" w:rsidRDefault="005C559E">
      <w:pPr>
        <w:spacing w:before="240" w:after="240"/>
        <w:ind w:left="1134" w:right="110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 autoridad, entidad, órgano y organismos de los</w:t>
      </w:r>
      <w:r>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w:t>
      </w:r>
      <w:r>
        <w:rPr>
          <w:rFonts w:ascii="Palatino Linotype" w:eastAsia="Palatino Linotype" w:hAnsi="Palatino Linotype" w:cs="Palatino Linotype"/>
          <w:i/>
          <w:iCs/>
          <w:sz w:val="22"/>
          <w:szCs w:val="22"/>
        </w:rPr>
        <w:lastRenderedPageBreak/>
        <w:t xml:space="preserve">estatales y </w:t>
      </w:r>
      <w:r>
        <w:rPr>
          <w:rFonts w:ascii="Palatino Linotype" w:eastAsia="Palatino Linotype" w:hAnsi="Palatino Linotype" w:cs="Palatino Linotype"/>
          <w:b/>
          <w:bCs/>
          <w:i/>
          <w:iCs/>
          <w:sz w:val="22"/>
          <w:szCs w:val="22"/>
        </w:rPr>
        <w:t>municipales</w:t>
      </w:r>
      <w:r>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771FCE" w:rsidRDefault="00771FCE">
      <w:pPr>
        <w:tabs>
          <w:tab w:val="left" w:pos="567"/>
        </w:tabs>
        <w:spacing w:before="240" w:after="240"/>
        <w:ind w:right="567"/>
        <w:jc w:val="both"/>
        <w:rPr>
          <w:rFonts w:ascii="Palatino Linotype" w:eastAsia="Palatino Linotype" w:hAnsi="Palatino Linotype" w:cs="Palatino Linotype"/>
          <w:b/>
          <w:bCs/>
          <w:i/>
          <w:i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iCs/>
          <w:sz w:val="22"/>
          <w:szCs w:val="22"/>
        </w:rPr>
        <w:t>por los principios de simplicidad, rapidez gratuidad del procedimiento, auxilio y orientación a los particulares</w:t>
      </w:r>
      <w:r>
        <w:rPr>
          <w:rFonts w:ascii="Palatino Linotype" w:eastAsia="Palatino Linotype" w:hAnsi="Palatino Linotype" w:cs="Palatino Linotype"/>
          <w:sz w:val="22"/>
          <w:szCs w:val="22"/>
        </w:rPr>
        <w:t>, contemplando el derecho de las personas con discapacidad y hablantes de lengua indígena.</w:t>
      </w:r>
    </w:p>
    <w:p w:rsidR="00771FCE" w:rsidRDefault="00771FCE">
      <w:pPr>
        <w:spacing w:line="360" w:lineRule="auto"/>
        <w:ind w:right="49"/>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Pr>
          <w:rFonts w:ascii="Palatino Linotype" w:eastAsia="Palatino Linotype" w:hAnsi="Palatino Linotype" w:cs="Palatino Linotype"/>
          <w:i/>
          <w:iCs/>
          <w:sz w:val="22"/>
          <w:szCs w:val="22"/>
        </w:rPr>
        <w:t>solicitudes de acceso a la información</w:t>
      </w:r>
      <w:r>
        <w:rPr>
          <w:rFonts w:ascii="Palatino Linotype" w:eastAsia="Palatino Linotype" w:hAnsi="Palatino Linotype" w:cs="Palatino Linotype"/>
          <w:sz w:val="22"/>
          <w:szCs w:val="22"/>
        </w:rPr>
        <w:t>.</w:t>
      </w:r>
    </w:p>
    <w:p w:rsidR="00771FCE" w:rsidRDefault="00771FCE">
      <w:pPr>
        <w:spacing w:line="360" w:lineRule="auto"/>
        <w:ind w:right="49"/>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bookmarkStart w:id="10" w:name="_heading=h.4d34og8" w:colFirst="0" w:colLast="0"/>
      <w:bookmarkEnd w:id="10"/>
      <w:r>
        <w:rPr>
          <w:rFonts w:ascii="Palatino Linotype" w:eastAsia="Palatino Linotype" w:hAnsi="Palatino Linotype" w:cs="Palatino Linotype"/>
          <w:sz w:val="22"/>
          <w:szCs w:val="22"/>
        </w:rPr>
        <w:t xml:space="preserve">Así entonces, se procede analizar, en primer lugar, si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771FCE" w:rsidRDefault="00771FCE">
      <w:pPr>
        <w:spacing w:line="360" w:lineRule="auto"/>
        <w:ind w:right="49"/>
        <w:jc w:val="both"/>
        <w:rPr>
          <w:rFonts w:ascii="Palatino Linotype" w:eastAsia="Palatino Linotype" w:hAnsi="Palatino Linotype" w:cs="Palatino Linotype"/>
          <w:sz w:val="22"/>
          <w:szCs w:val="22"/>
        </w:rPr>
      </w:pPr>
    </w:p>
    <w:p w:rsidR="00771FCE" w:rsidRDefault="005C559E">
      <w:pPr>
        <w:keepNext/>
        <w:keepLines/>
        <w:spacing w:after="24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II. De la información solicitada y la respuesta del SUJETO OBLIGADO</w:t>
      </w: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Ahora</w:t>
      </w:r>
      <w:r>
        <w:rPr>
          <w:rFonts w:ascii="Palatino Linotype" w:eastAsia="Palatino Linotype" w:hAnsi="Palatino Linotype" w:cs="Palatino Linotype"/>
          <w:color w:val="000000"/>
          <w:sz w:val="22"/>
          <w:szCs w:val="22"/>
        </w:rPr>
        <w:t xml:space="preserve"> bien, se debe de analizar mediante el siguiente cuadro si con la respuesta del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fue colmado el derecho de acceso a la información del </w:t>
      </w:r>
      <w:r>
        <w:rPr>
          <w:rFonts w:ascii="Palatino Linotype" w:eastAsia="Palatino Linotype" w:hAnsi="Palatino Linotype" w:cs="Palatino Linotype"/>
          <w:b/>
          <w:bCs/>
          <w:color w:val="000000"/>
          <w:sz w:val="22"/>
          <w:szCs w:val="22"/>
        </w:rPr>
        <w:t xml:space="preserve">RECURRENTE. </w:t>
      </w:r>
    </w:p>
    <w:p w:rsidR="00771FCE" w:rsidRDefault="00771FCE">
      <w:pPr>
        <w:pBdr>
          <w:top w:val="nil"/>
          <w:left w:val="nil"/>
          <w:bottom w:val="nil"/>
          <w:right w:val="nil"/>
          <w:between w:val="nil"/>
        </w:pBdr>
        <w:ind w:left="928"/>
        <w:rPr>
          <w:rFonts w:ascii="Palatino Linotype" w:eastAsia="Palatino Linotype" w:hAnsi="Palatino Linotype" w:cs="Palatino Linotype"/>
          <w:b/>
          <w:bCs/>
          <w:i/>
          <w:iCs/>
          <w:color w:val="000000"/>
          <w:sz w:val="22"/>
          <w:szCs w:val="22"/>
        </w:rPr>
      </w:pPr>
    </w:p>
    <w:p w:rsidR="00771FCE" w:rsidRDefault="00771FCE">
      <w:pPr>
        <w:pBdr>
          <w:top w:val="nil"/>
          <w:left w:val="nil"/>
          <w:bottom w:val="nil"/>
          <w:right w:val="nil"/>
          <w:between w:val="nil"/>
        </w:pBdr>
        <w:ind w:left="928"/>
        <w:jc w:val="both"/>
        <w:rPr>
          <w:rFonts w:ascii="Palatino Linotype" w:eastAsia="Palatino Linotype" w:hAnsi="Palatino Linotype" w:cs="Palatino Linotype"/>
          <w:b/>
          <w:bCs/>
          <w:i/>
          <w:iCs/>
          <w:color w:val="000000"/>
          <w:sz w:val="22"/>
          <w:szCs w:val="22"/>
        </w:rPr>
      </w:pPr>
    </w:p>
    <w:tbl>
      <w:tblPr>
        <w:tblStyle w:val="a"/>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8"/>
        <w:gridCol w:w="2258"/>
        <w:gridCol w:w="2259"/>
        <w:gridCol w:w="2259"/>
      </w:tblGrid>
      <w:tr w:rsidR="00771FCE">
        <w:tc>
          <w:tcPr>
            <w:tcW w:w="2258" w:type="dxa"/>
          </w:tcPr>
          <w:p w:rsidR="00771FCE" w:rsidRDefault="005C559E">
            <w:pPr>
              <w:pBdr>
                <w:top w:val="nil"/>
                <w:left w:val="nil"/>
                <w:bottom w:val="nil"/>
                <w:right w:val="nil"/>
                <w:between w:val="nil"/>
              </w:pBdr>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Información Solicitada</w:t>
            </w:r>
          </w:p>
        </w:tc>
        <w:tc>
          <w:tcPr>
            <w:tcW w:w="2258" w:type="dxa"/>
          </w:tcPr>
          <w:p w:rsidR="00771FCE" w:rsidRDefault="005C559E">
            <w:pPr>
              <w:pBdr>
                <w:top w:val="nil"/>
                <w:left w:val="nil"/>
                <w:bottom w:val="nil"/>
                <w:right w:val="nil"/>
                <w:between w:val="nil"/>
              </w:pBdr>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Respuesta inicial</w:t>
            </w:r>
          </w:p>
        </w:tc>
        <w:tc>
          <w:tcPr>
            <w:tcW w:w="2259" w:type="dxa"/>
          </w:tcPr>
          <w:p w:rsidR="00771FCE" w:rsidRDefault="005C559E">
            <w:pPr>
              <w:pBdr>
                <w:top w:val="nil"/>
                <w:left w:val="nil"/>
                <w:bottom w:val="nil"/>
                <w:right w:val="nil"/>
                <w:between w:val="nil"/>
              </w:pBdr>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Manifestaciones</w:t>
            </w:r>
          </w:p>
        </w:tc>
        <w:tc>
          <w:tcPr>
            <w:tcW w:w="2259" w:type="dxa"/>
          </w:tcPr>
          <w:p w:rsidR="00771FCE" w:rsidRDefault="005C559E">
            <w:pPr>
              <w:pBdr>
                <w:top w:val="nil"/>
                <w:left w:val="nil"/>
                <w:bottom w:val="nil"/>
                <w:right w:val="nil"/>
                <w:between w:val="nil"/>
              </w:pBdr>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Colma </w:t>
            </w:r>
          </w:p>
        </w:tc>
      </w:tr>
      <w:tr w:rsidR="00771FCE">
        <w:tc>
          <w:tcPr>
            <w:tcW w:w="2258" w:type="dxa"/>
          </w:tcPr>
          <w:p w:rsidR="00771FCE" w:rsidRDefault="005C559E">
            <w:pPr>
              <w:pBdr>
                <w:top w:val="nil"/>
                <w:left w:val="nil"/>
                <w:bottom w:val="nil"/>
                <w:right w:val="nil"/>
                <w:between w:val="nil"/>
              </w:pBdr>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 Justificantes y avisos de comisión de los servidores públicos adscritos a la Dirección de Concertación y Participación Ciudadana, Dirección de Ordenamiento Territorial y Coordinación General de Conservación Ecológica con evidencia de su cumplimiento (fotografía, oficio con sello de la dependencia a la que asistieron o lo que compruebe que cumplieron con la comisión), del 2025. </w:t>
            </w:r>
          </w:p>
          <w:p w:rsidR="00771FCE" w:rsidRDefault="00771FCE">
            <w:pPr>
              <w:pBdr>
                <w:top w:val="nil"/>
                <w:left w:val="nil"/>
                <w:bottom w:val="nil"/>
                <w:right w:val="nil"/>
                <w:between w:val="nil"/>
              </w:pBdr>
              <w:jc w:val="both"/>
              <w:rPr>
                <w:rFonts w:ascii="Palatino Linotype" w:eastAsia="Palatino Linotype" w:hAnsi="Palatino Linotype" w:cs="Palatino Linotype"/>
                <w:i/>
                <w:iCs/>
                <w:color w:val="000000"/>
                <w:sz w:val="22"/>
                <w:szCs w:val="22"/>
              </w:rPr>
            </w:pPr>
          </w:p>
          <w:p w:rsidR="00771FCE" w:rsidRDefault="00771FCE">
            <w:pPr>
              <w:pBdr>
                <w:top w:val="nil"/>
                <w:left w:val="nil"/>
                <w:bottom w:val="nil"/>
                <w:right w:val="nil"/>
                <w:between w:val="nil"/>
              </w:pBdr>
              <w:jc w:val="both"/>
              <w:rPr>
                <w:rFonts w:ascii="Palatino Linotype" w:eastAsia="Palatino Linotype" w:hAnsi="Palatino Linotype" w:cs="Palatino Linotype"/>
                <w:i/>
                <w:iCs/>
                <w:color w:val="000000"/>
                <w:sz w:val="22"/>
                <w:szCs w:val="22"/>
              </w:rPr>
            </w:pPr>
          </w:p>
        </w:tc>
        <w:tc>
          <w:tcPr>
            <w:tcW w:w="2258" w:type="dxa"/>
          </w:tcPr>
          <w:p w:rsidR="00771FCE" w:rsidRDefault="005C559E">
            <w:pPr>
              <w:pBdr>
                <w:top w:val="nil"/>
                <w:left w:val="nil"/>
                <w:bottom w:val="nil"/>
                <w:right w:val="nil"/>
                <w:between w:val="nil"/>
              </w:pBdr>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 </w:t>
            </w:r>
            <w:r>
              <w:rPr>
                <w:rFonts w:ascii="Palatino Linotype" w:eastAsia="Palatino Linotype" w:hAnsi="Palatino Linotype" w:cs="Palatino Linotype"/>
                <w:b/>
                <w:bCs/>
                <w:i/>
                <w:iCs/>
                <w:color w:val="000000"/>
                <w:sz w:val="22"/>
                <w:szCs w:val="22"/>
              </w:rPr>
              <w:t xml:space="preserve">000219-SMADS-IP-2025.pdf: </w:t>
            </w:r>
            <w:r>
              <w:rPr>
                <w:rFonts w:ascii="Palatino Linotype" w:eastAsia="Palatino Linotype" w:hAnsi="Palatino Linotype" w:cs="Palatino Linotype"/>
                <w:i/>
                <w:iCs/>
                <w:color w:val="000000"/>
                <w:sz w:val="22"/>
                <w:szCs w:val="22"/>
              </w:rPr>
              <w:t xml:space="preserve">oficio del Jefe de del Departamento de Ordenamiento Regional, mediante el cual informa que cuenta con 497 hojas relativas a la documentación que deriva la justificación de incidencias derivadas del control de puntualidad y asistencia, informa de la cual se notifica el cambio de modalidad, mismo que tiene su motivación en referir que no existe normativa que obligue a los sujetos obligados para contar con la información digitalizada. </w:t>
            </w:r>
          </w:p>
          <w:p w:rsidR="00771FCE" w:rsidRDefault="005C559E">
            <w:pPr>
              <w:pBdr>
                <w:top w:val="nil"/>
                <w:left w:val="nil"/>
                <w:bottom w:val="nil"/>
                <w:right w:val="nil"/>
                <w:between w:val="nil"/>
              </w:pBdr>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En cuanto a las fotografías, oficio con sello de la dependencia de la </w:t>
            </w:r>
            <w:r>
              <w:rPr>
                <w:rFonts w:ascii="Palatino Linotype" w:eastAsia="Palatino Linotype" w:hAnsi="Palatino Linotype" w:cs="Palatino Linotype"/>
                <w:b/>
                <w:bCs/>
                <w:i/>
                <w:iCs/>
                <w:color w:val="000000"/>
                <w:sz w:val="22"/>
                <w:szCs w:val="22"/>
              </w:rPr>
              <w:lastRenderedPageBreak/>
              <w:t xml:space="preserve">comisión y documento que compruebe que se cumplió con la comisión, se informa que dentro de las normas que regulan el actuar del SUJETO OBLIGADO no existe obligación jurídica de documentar lo solicitado. </w:t>
            </w:r>
          </w:p>
          <w:p w:rsidR="00771FCE" w:rsidRDefault="005C559E">
            <w:pPr>
              <w:pBdr>
                <w:top w:val="nil"/>
                <w:left w:val="nil"/>
                <w:bottom w:val="nil"/>
                <w:right w:val="nil"/>
                <w:between w:val="nil"/>
              </w:pBdr>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respuesta saimex </w:t>
            </w:r>
          </w:p>
          <w:p w:rsidR="00771FCE" w:rsidRDefault="005C559E">
            <w:pPr>
              <w:pBdr>
                <w:top w:val="nil"/>
                <w:left w:val="nil"/>
                <w:bottom w:val="nil"/>
                <w:right w:val="nil"/>
                <w:between w:val="nil"/>
              </w:pBdr>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0021919-08-2025-150748.pdf: </w:t>
            </w:r>
            <w:r>
              <w:rPr>
                <w:rFonts w:ascii="Palatino Linotype" w:eastAsia="Palatino Linotype" w:hAnsi="Palatino Linotype" w:cs="Palatino Linotype"/>
                <w:i/>
                <w:iCs/>
                <w:color w:val="000000"/>
                <w:sz w:val="22"/>
                <w:szCs w:val="22"/>
              </w:rPr>
              <w:t xml:space="preserve">oficio del Subdirector de Modernización Administrativa, mediante el cual informa que anexa el oficio 23100003000300S/1620/2025. </w:t>
            </w:r>
          </w:p>
          <w:p w:rsidR="00771FCE" w:rsidRDefault="005C559E">
            <w:pPr>
              <w:pBdr>
                <w:top w:val="nil"/>
                <w:left w:val="nil"/>
                <w:bottom w:val="nil"/>
                <w:right w:val="nil"/>
                <w:between w:val="nil"/>
              </w:pBdr>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saimex 0021918-08-2025-220028.pdf: </w:t>
            </w:r>
            <w:r>
              <w:rPr>
                <w:rFonts w:ascii="Palatino Linotype" w:eastAsia="Palatino Linotype" w:hAnsi="Palatino Linotype" w:cs="Palatino Linotype"/>
                <w:i/>
                <w:iCs/>
                <w:color w:val="000000"/>
                <w:sz w:val="22"/>
                <w:szCs w:val="22"/>
              </w:rPr>
              <w:t xml:space="preserve">oficio del Subdirector de Administración, mediante el cual informa que cuenta con 549 fojas relativas a la documentación que deriva la justificación de incidencias derivadas del control de puntualidad y asistencia, informa de </w:t>
            </w:r>
            <w:r>
              <w:rPr>
                <w:rFonts w:ascii="Palatino Linotype" w:eastAsia="Palatino Linotype" w:hAnsi="Palatino Linotype" w:cs="Palatino Linotype"/>
                <w:i/>
                <w:iCs/>
                <w:color w:val="000000"/>
                <w:sz w:val="22"/>
                <w:szCs w:val="22"/>
              </w:rPr>
              <w:lastRenderedPageBreak/>
              <w:t xml:space="preserve">la cual se notifica el cambio de modalidad, mismo que tiene su motivación en referir que no existe normativa que obligue a los sujetos obligados para contar con la información digitalizada. </w:t>
            </w:r>
          </w:p>
          <w:p w:rsidR="00771FCE" w:rsidRDefault="005C559E">
            <w:pPr>
              <w:pBdr>
                <w:top w:val="nil"/>
                <w:left w:val="nil"/>
                <w:bottom w:val="nil"/>
                <w:right w:val="nil"/>
                <w:between w:val="nil"/>
              </w:pBdr>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En cuanto a las fotografías, oficio con sello de la dependencia de la comisión y documento que compruebe que se cumplió con la comisión, se informa que dentro de las normas que regulan el actuar del SUJETO OBLIGADO no existe obligación jurídica de documentar lo solicitado. </w:t>
            </w:r>
          </w:p>
          <w:p w:rsidR="00771FCE" w:rsidRDefault="005C559E">
            <w:pPr>
              <w:pBdr>
                <w:top w:val="nil"/>
                <w:left w:val="nil"/>
                <w:bottom w:val="nil"/>
                <w:right w:val="nil"/>
                <w:between w:val="nil"/>
              </w:pBdr>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oficio 1118 respuesta SAIMEX 00219.pdf: </w:t>
            </w:r>
            <w:r>
              <w:rPr>
                <w:rFonts w:ascii="Palatino Linotype" w:eastAsia="Palatino Linotype" w:hAnsi="Palatino Linotype" w:cs="Palatino Linotype"/>
                <w:i/>
                <w:iCs/>
                <w:color w:val="000000"/>
                <w:sz w:val="22"/>
                <w:szCs w:val="22"/>
              </w:rPr>
              <w:t xml:space="preserve">oficio de la Coordinadora General de Conservación Ecológica, mediante el cual informa que cuenta con 900 fojas relativas a la documentación que deriva la justificación </w:t>
            </w:r>
            <w:r>
              <w:rPr>
                <w:rFonts w:ascii="Palatino Linotype" w:eastAsia="Palatino Linotype" w:hAnsi="Palatino Linotype" w:cs="Palatino Linotype"/>
                <w:i/>
                <w:iCs/>
                <w:color w:val="000000"/>
                <w:sz w:val="22"/>
                <w:szCs w:val="22"/>
              </w:rPr>
              <w:lastRenderedPageBreak/>
              <w:t xml:space="preserve">de incidencias derivadas del control de puntualidad y asistencia, informa de la cual se notifica el cambio de modalidad, mismo que tiene su motivación en referir que no existe normativa que obligue a los sujetos obligados para contar con la información digitalizada. </w:t>
            </w:r>
          </w:p>
          <w:p w:rsidR="00771FCE" w:rsidRDefault="005C559E">
            <w:pPr>
              <w:pBdr>
                <w:top w:val="nil"/>
                <w:left w:val="nil"/>
                <w:bottom w:val="nil"/>
                <w:right w:val="nil"/>
                <w:between w:val="nil"/>
              </w:pBdr>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En cuanto a las fotografías, oficio con sello de la dependencia de la comisión y documento que compruebe que se cumplió con la comisión, se informa que dentro de las normas que regulan el actuar del SUJETO OBLIGADO no existe obligación jurídica de documentar lo solicitado. </w:t>
            </w:r>
          </w:p>
          <w:p w:rsidR="00771FCE" w:rsidRDefault="005C559E">
            <w:pPr>
              <w:pBdr>
                <w:top w:val="nil"/>
                <w:left w:val="nil"/>
                <w:bottom w:val="nil"/>
                <w:right w:val="nil"/>
                <w:between w:val="nil"/>
              </w:pBdr>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Acta 20 Ext C.T..pdf: </w:t>
            </w:r>
            <w:r>
              <w:rPr>
                <w:rFonts w:ascii="Palatino Linotype" w:eastAsia="Palatino Linotype" w:hAnsi="Palatino Linotype" w:cs="Palatino Linotype"/>
                <w:i/>
                <w:iCs/>
                <w:color w:val="000000"/>
                <w:sz w:val="22"/>
                <w:szCs w:val="22"/>
              </w:rPr>
              <w:t xml:space="preserve">Acta de la Vigésima Sesión Extraordinaria, mediante la cual en el punto 3.8 se aprueba el cambio de modalidad en consulta directa, así </w:t>
            </w:r>
            <w:r>
              <w:rPr>
                <w:rFonts w:ascii="Palatino Linotype" w:eastAsia="Palatino Linotype" w:hAnsi="Palatino Linotype" w:cs="Palatino Linotype"/>
                <w:i/>
                <w:iCs/>
                <w:color w:val="000000"/>
                <w:sz w:val="22"/>
                <w:szCs w:val="22"/>
              </w:rPr>
              <w:lastRenderedPageBreak/>
              <w:t xml:space="preserve">la confidencialidad del dato de clave del servidor público y los motivos de la licencia si son personales. </w:t>
            </w:r>
          </w:p>
          <w:p w:rsidR="00771FCE" w:rsidRDefault="00771FCE">
            <w:pPr>
              <w:pBdr>
                <w:top w:val="nil"/>
                <w:left w:val="nil"/>
                <w:bottom w:val="nil"/>
                <w:right w:val="nil"/>
                <w:between w:val="nil"/>
              </w:pBdr>
              <w:jc w:val="both"/>
              <w:rPr>
                <w:rFonts w:ascii="Palatino Linotype" w:eastAsia="Palatino Linotype" w:hAnsi="Palatino Linotype" w:cs="Palatino Linotype"/>
                <w:i/>
                <w:iCs/>
                <w:color w:val="000000"/>
                <w:sz w:val="22"/>
                <w:szCs w:val="22"/>
              </w:rPr>
            </w:pPr>
          </w:p>
        </w:tc>
        <w:tc>
          <w:tcPr>
            <w:tcW w:w="2259" w:type="dxa"/>
          </w:tcPr>
          <w:p w:rsidR="00771FCE" w:rsidRDefault="005C559E">
            <w:pPr>
              <w:pBdr>
                <w:top w:val="nil"/>
                <w:left w:val="nil"/>
                <w:bottom w:val="nil"/>
                <w:right w:val="nil"/>
                <w:between w:val="nil"/>
              </w:pBdr>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lastRenderedPageBreak/>
              <w:t xml:space="preserve">Ratifica respuesta inicial </w:t>
            </w:r>
          </w:p>
        </w:tc>
        <w:tc>
          <w:tcPr>
            <w:tcW w:w="2259" w:type="dxa"/>
          </w:tcPr>
          <w:p w:rsidR="00771FCE" w:rsidRDefault="005C559E">
            <w:pPr>
              <w:pBdr>
                <w:top w:val="nil"/>
                <w:left w:val="nil"/>
                <w:bottom w:val="nil"/>
                <w:right w:val="nil"/>
                <w:between w:val="nil"/>
              </w:pBdr>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No colma toda vez que los motivos que el </w:t>
            </w:r>
            <w:r>
              <w:rPr>
                <w:rFonts w:ascii="Palatino Linotype" w:eastAsia="Palatino Linotype" w:hAnsi="Palatino Linotype" w:cs="Palatino Linotype"/>
                <w:b/>
                <w:bCs/>
                <w:i/>
                <w:iCs/>
                <w:color w:val="000000"/>
                <w:sz w:val="22"/>
                <w:szCs w:val="22"/>
              </w:rPr>
              <w:t xml:space="preserve">SUJETO OBLIGADO </w:t>
            </w:r>
            <w:r>
              <w:rPr>
                <w:rFonts w:ascii="Palatino Linotype" w:eastAsia="Palatino Linotype" w:hAnsi="Palatino Linotype" w:cs="Palatino Linotype"/>
                <w:i/>
                <w:iCs/>
                <w:color w:val="000000"/>
                <w:sz w:val="22"/>
                <w:szCs w:val="22"/>
              </w:rPr>
              <w:t xml:space="preserve">refiere no son considerados para aprobar el cambio de modalidad, además debe de señalarse que no  refiere información sobre si de los oficios de comisión se cuenta con evidencias fotográficas o sellos en el oficio de comisión de la dependencia donde </w:t>
            </w:r>
            <w:r>
              <w:rPr>
                <w:rFonts w:ascii="Palatino Linotype" w:eastAsia="Palatino Linotype" w:hAnsi="Palatino Linotype" w:cs="Palatino Linotype"/>
                <w:i/>
                <w:iCs/>
                <w:sz w:val="22"/>
                <w:szCs w:val="22"/>
              </w:rPr>
              <w:t>comisionó</w:t>
            </w:r>
            <w:r>
              <w:rPr>
                <w:rFonts w:ascii="Palatino Linotype" w:eastAsia="Palatino Linotype" w:hAnsi="Palatino Linotype" w:cs="Palatino Linotype"/>
                <w:i/>
                <w:iCs/>
                <w:color w:val="000000"/>
                <w:sz w:val="22"/>
                <w:szCs w:val="22"/>
              </w:rPr>
              <w:t xml:space="preserve"> al personal.  </w:t>
            </w:r>
          </w:p>
        </w:tc>
      </w:tr>
    </w:tbl>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la tabla anterior se determina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no </w:t>
      </w:r>
      <w:r>
        <w:rPr>
          <w:rFonts w:ascii="Palatino Linotype" w:eastAsia="Palatino Linotype" w:hAnsi="Palatino Linotype" w:cs="Palatino Linotype"/>
          <w:sz w:val="22"/>
          <w:szCs w:val="22"/>
        </w:rPr>
        <w:t>colmó</w:t>
      </w:r>
      <w:r>
        <w:rPr>
          <w:rFonts w:ascii="Palatino Linotype" w:eastAsia="Palatino Linotype" w:hAnsi="Palatino Linotype" w:cs="Palatino Linotype"/>
          <w:color w:val="000000"/>
          <w:sz w:val="22"/>
          <w:szCs w:val="22"/>
        </w:rPr>
        <w:t xml:space="preserve"> el derecho de acceso a la información del </w:t>
      </w:r>
      <w:r>
        <w:rPr>
          <w:rFonts w:ascii="Palatino Linotype" w:eastAsia="Palatino Linotype" w:hAnsi="Palatino Linotype" w:cs="Palatino Linotype"/>
          <w:b/>
          <w:bCs/>
          <w:color w:val="000000"/>
          <w:sz w:val="22"/>
          <w:szCs w:val="22"/>
        </w:rPr>
        <w:t xml:space="preserve">RECURRENTE </w:t>
      </w:r>
      <w:r>
        <w:rPr>
          <w:rFonts w:ascii="Palatino Linotype" w:eastAsia="Palatino Linotype" w:hAnsi="Palatino Linotype" w:cs="Palatino Linotype"/>
          <w:color w:val="000000"/>
          <w:sz w:val="22"/>
          <w:szCs w:val="22"/>
        </w:rPr>
        <w:t xml:space="preserve">toda vez que propone un cambio de modalidad a consulta directa motivando la respuesta en referir que no se encuentran obligados a digitalizar los archivos que se encuentran en los expedientes personales de los servidores públicos, situación que no es un motivo para avalar un cambio de modalidad de acuerdo con lo siguiente.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2"/>
        </w:numPr>
        <w:pBdr>
          <w:top w:val="nil"/>
          <w:left w:val="nil"/>
          <w:bottom w:val="nil"/>
          <w:right w:val="nil"/>
          <w:between w:val="nil"/>
        </w:pBd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Del cambio de modalidad </w:t>
      </w:r>
    </w:p>
    <w:p w:rsidR="00771FCE" w:rsidRDefault="00771FCE">
      <w:pPr>
        <w:pBdr>
          <w:top w:val="nil"/>
          <w:left w:val="nil"/>
          <w:bottom w:val="nil"/>
          <w:right w:val="nil"/>
          <w:between w:val="nil"/>
        </w:pBdr>
        <w:ind w:left="1440"/>
        <w:rPr>
          <w:rFonts w:ascii="Palatino Linotype" w:eastAsia="Palatino Linotype" w:hAnsi="Palatino Linotype" w:cs="Palatino Linotype"/>
          <w:b/>
          <w:bCs/>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De lo anterior,  se debe de mencionar que respecto al cambio de modalidad el artículo 155</w:t>
      </w:r>
      <w:r>
        <w:rPr>
          <w:rFonts w:ascii="Palatino Linotype" w:eastAsia="Palatino Linotype" w:hAnsi="Palatino Linotype" w:cs="Palatino Linotype"/>
          <w:sz w:val="22"/>
          <w:szCs w:val="22"/>
        </w:rPr>
        <w:t xml:space="preserve">, fracción V, de la Ley de </w:t>
      </w:r>
      <w:r>
        <w:rPr>
          <w:rFonts w:ascii="Palatino Linotype" w:eastAsia="Palatino Linotype" w:hAnsi="Palatino Linotype" w:cs="Palatino Linotype"/>
          <w:color w:val="000000"/>
          <w:sz w:val="22"/>
          <w:szCs w:val="22"/>
        </w:rPr>
        <w:t>Transparencia</w:t>
      </w:r>
      <w:r>
        <w:rPr>
          <w:rFonts w:ascii="Palatino Linotype" w:eastAsia="Palatino Linotype" w:hAnsi="Palatino Linotype" w:cs="Palatino Linotype"/>
          <w:sz w:val="22"/>
          <w:szCs w:val="22"/>
        </w:rPr>
        <w:t xml:space="preserve"> y Acceso a la Información Pública del Estado de México y Municipios, precisa que para presentar una solicitud, la particular podrá señalar </w:t>
      </w:r>
      <w:r>
        <w:rPr>
          <w:rFonts w:ascii="Palatino Linotype" w:eastAsia="Palatino Linotype" w:hAnsi="Palatino Linotype" w:cs="Palatino Linotype"/>
          <w:b/>
          <w:bCs/>
          <w:sz w:val="22"/>
          <w:szCs w:val="22"/>
        </w:rPr>
        <w:t>la modalidad en la que prefiere se otorgue el acceso a la información</w:t>
      </w:r>
      <w:r>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w:t>
      </w:r>
    </w:p>
    <w:p w:rsidR="00771FCE" w:rsidRDefault="00771FCE">
      <w:pPr>
        <w:spacing w:line="360" w:lineRule="auto"/>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El artículo 158, dispone que, de manera excepcional, cuando de manera fundada y motivada lo determine el Sujeto Obligado, </w:t>
      </w:r>
      <w:r>
        <w:rPr>
          <w:rFonts w:ascii="Palatino Linotype" w:eastAsia="Palatino Linotype" w:hAnsi="Palatino Linotype" w:cs="Palatino Linotype"/>
          <w:b/>
          <w:bCs/>
          <w:sz w:val="22"/>
          <w:szCs w:val="22"/>
        </w:rPr>
        <w:t xml:space="preserve">en los casos en que la entrega de la información que se encuentre a su disposición, sobrepase </w:t>
      </w:r>
      <w:r>
        <w:rPr>
          <w:rFonts w:ascii="Palatino Linotype" w:eastAsia="Palatino Linotype" w:hAnsi="Palatino Linotype" w:cs="Palatino Linotype"/>
          <w:color w:val="000000"/>
          <w:sz w:val="22"/>
          <w:szCs w:val="22"/>
        </w:rPr>
        <w:t>las</w:t>
      </w:r>
      <w:r>
        <w:rPr>
          <w:rFonts w:ascii="Palatino Linotype" w:eastAsia="Palatino Linotype" w:hAnsi="Palatino Linotype" w:cs="Palatino Linotype"/>
          <w:b/>
          <w:bCs/>
          <w:sz w:val="22"/>
          <w:szCs w:val="22"/>
        </w:rPr>
        <w:t xml:space="preserve"> capacidades técnicas, administrativas y </w:t>
      </w:r>
      <w:r>
        <w:rPr>
          <w:rFonts w:ascii="Palatino Linotype" w:eastAsia="Palatino Linotype" w:hAnsi="Palatino Linotype" w:cs="Palatino Linotype"/>
          <w:b/>
          <w:bCs/>
          <w:sz w:val="22"/>
          <w:szCs w:val="22"/>
        </w:rPr>
        <w:lastRenderedPageBreak/>
        <w:t>humanas del Sujeto Obligado para cumplir con la solicitud,  podrá poner a disposición del solicitante la información en consulta directa.</w:t>
      </w:r>
    </w:p>
    <w:p w:rsidR="00771FCE" w:rsidRDefault="00771FCE">
      <w:pPr>
        <w:pBdr>
          <w:top w:val="nil"/>
          <w:left w:val="nil"/>
          <w:bottom w:val="nil"/>
          <w:right w:val="nil"/>
          <w:between w:val="nil"/>
        </w:pBdr>
        <w:spacing w:line="360" w:lineRule="auto"/>
        <w:ind w:right="-518"/>
        <w:jc w:val="both"/>
        <w:rPr>
          <w:rFonts w:ascii="Palatino Linotype" w:eastAsia="Palatino Linotype" w:hAnsi="Palatino Linotype" w:cs="Palatino Linotype"/>
          <w:b/>
          <w:b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w:t>
      </w:r>
      <w:r>
        <w:rPr>
          <w:rFonts w:ascii="Palatino Linotype" w:eastAsia="Palatino Linotype" w:hAnsi="Palatino Linotype" w:cs="Palatino Linotype"/>
          <w:color w:val="000000"/>
          <w:sz w:val="22"/>
          <w:szCs w:val="22"/>
        </w:rPr>
        <w:t>ese</w:t>
      </w:r>
      <w:r>
        <w:rPr>
          <w:rFonts w:ascii="Palatino Linotype" w:eastAsia="Palatino Linotype" w:hAnsi="Palatino Linotype" w:cs="Palatino Linotype"/>
          <w:sz w:val="22"/>
          <w:szCs w:val="22"/>
        </w:rPr>
        <w:t xml:space="preserve"> orden de ideas, el artículo 164 de dicho ordenamiento jurídico, prevé que el acceso se dará en la modalidad de entrega y, en su caso, de envío elegidos por al solicitante. </w:t>
      </w:r>
      <w:r>
        <w:rPr>
          <w:rFonts w:ascii="Palatino Linotype" w:eastAsia="Palatino Linotype" w:hAnsi="Palatino Linotype" w:cs="Palatino Linotype"/>
          <w:b/>
          <w:bCs/>
          <w:sz w:val="22"/>
          <w:szCs w:val="22"/>
        </w:rPr>
        <w:t xml:space="preserve">Cuando la información no pueda entregarse o enviarse en la modalidad elegida, el sujeto obligado deberá ofrecer otra u otras </w:t>
      </w:r>
      <w:r>
        <w:rPr>
          <w:rFonts w:ascii="Palatino Linotype" w:eastAsia="Palatino Linotype" w:hAnsi="Palatino Linotype" w:cs="Palatino Linotype"/>
          <w:color w:val="000000"/>
          <w:sz w:val="22"/>
          <w:szCs w:val="22"/>
        </w:rPr>
        <w:t>modalidades</w:t>
      </w:r>
      <w:r>
        <w:rPr>
          <w:rFonts w:ascii="Palatino Linotype" w:eastAsia="Palatino Linotype" w:hAnsi="Palatino Linotype" w:cs="Palatino Linotype"/>
          <w:b/>
          <w:bCs/>
          <w:sz w:val="22"/>
          <w:szCs w:val="22"/>
        </w:rPr>
        <w:t xml:space="preserve"> de entrega.</w:t>
      </w:r>
      <w:r>
        <w:rPr>
          <w:rFonts w:ascii="Palatino Linotype" w:eastAsia="Palatino Linotype" w:hAnsi="Palatino Linotype" w:cs="Palatino Linotype"/>
          <w:sz w:val="22"/>
          <w:szCs w:val="22"/>
        </w:rPr>
        <w:t xml:space="preserve"> En cualquier caso, </w:t>
      </w:r>
      <w:r>
        <w:rPr>
          <w:rFonts w:ascii="Palatino Linotype" w:eastAsia="Palatino Linotype" w:hAnsi="Palatino Linotype" w:cs="Palatino Linotype"/>
          <w:b/>
          <w:bCs/>
          <w:sz w:val="22"/>
          <w:szCs w:val="22"/>
        </w:rPr>
        <w:t>se deberá fundar y motivar</w:t>
      </w:r>
      <w:r>
        <w:rPr>
          <w:rFonts w:ascii="Palatino Linotype" w:eastAsia="Palatino Linotype" w:hAnsi="Palatino Linotype" w:cs="Palatino Linotype"/>
          <w:sz w:val="22"/>
          <w:szCs w:val="22"/>
        </w:rPr>
        <w:t xml:space="preserve"> la necesidad de ofrecer otras modalidades.</w:t>
      </w:r>
    </w:p>
    <w:p w:rsidR="00771FCE" w:rsidRDefault="00771FCE">
      <w:pPr>
        <w:spacing w:line="360" w:lineRule="auto"/>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lo cual, conforme al artículo 174 de la Ley de la materia, indica que los costos de </w:t>
      </w:r>
      <w:r>
        <w:rPr>
          <w:rFonts w:ascii="Palatino Linotype" w:eastAsia="Palatino Linotype" w:hAnsi="Palatino Linotype" w:cs="Palatino Linotype"/>
          <w:color w:val="000000"/>
          <w:sz w:val="22"/>
          <w:szCs w:val="22"/>
        </w:rPr>
        <w:t>reproducción</w:t>
      </w:r>
      <w:r>
        <w:rPr>
          <w:rFonts w:ascii="Palatino Linotype" w:eastAsia="Palatino Linotype" w:hAnsi="Palatino Linotype" w:cs="Palatino Linotype"/>
          <w:sz w:val="22"/>
          <w:szCs w:val="22"/>
        </w:rPr>
        <w:t xml:space="preserve">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bCs/>
          <w:sz w:val="22"/>
          <w:szCs w:val="22"/>
        </w:rPr>
        <w:t>en la medida de lo posible, en la forma solicitada por el interesado, salvo que exista un impedimento justificado para atenderla</w:t>
      </w:r>
      <w:r>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bCs/>
          <w:sz w:val="22"/>
          <w:szCs w:val="22"/>
        </w:rPr>
        <w:t>sólo procede, en caso de que se acredite la imposibilidad de atenderla.</w:t>
      </w:r>
      <w:r>
        <w:rPr>
          <w:rFonts w:ascii="Palatino Linotype" w:eastAsia="Palatino Linotype" w:hAnsi="Palatino Linotype" w:cs="Palatino Linotype"/>
          <w:sz w:val="22"/>
          <w:szCs w:val="22"/>
        </w:rPr>
        <w:t xml:space="preserve"> </w:t>
      </w:r>
    </w:p>
    <w:p w:rsidR="00771FCE" w:rsidRDefault="00771FCE">
      <w:pPr>
        <w:pBdr>
          <w:top w:val="nil"/>
          <w:left w:val="nil"/>
          <w:bottom w:val="nil"/>
          <w:right w:val="nil"/>
          <w:between w:val="nil"/>
        </w:pBdr>
        <w:spacing w:line="360" w:lineRule="auto"/>
        <w:ind w:right="-518"/>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cuando se justifique el impedimento, los Sujetos Obligados deberán ofrecer al</w:t>
      </w:r>
      <w:r>
        <w:rPr>
          <w:rFonts w:ascii="Palatino Linotype" w:eastAsia="Palatino Linotype" w:hAnsi="Palatino Linotype" w:cs="Palatino Linotype"/>
          <w:b/>
          <w:bCs/>
          <w:sz w:val="22"/>
          <w:szCs w:val="22"/>
        </w:rPr>
        <w:t xml:space="preserve"> particular otras modalidades de </w:t>
      </w:r>
      <w:r>
        <w:rPr>
          <w:rFonts w:ascii="Palatino Linotype" w:eastAsia="Palatino Linotype" w:hAnsi="Palatino Linotype" w:cs="Palatino Linotype"/>
          <w:color w:val="000000"/>
          <w:sz w:val="22"/>
          <w:szCs w:val="22"/>
        </w:rPr>
        <w:t>entrega</w:t>
      </w:r>
      <w:r>
        <w:rPr>
          <w:rFonts w:ascii="Palatino Linotype" w:eastAsia="Palatino Linotype" w:hAnsi="Palatino Linotype" w:cs="Palatino Linotype"/>
          <w:b/>
          <w:bCs/>
          <w:sz w:val="22"/>
          <w:szCs w:val="22"/>
        </w:rPr>
        <w:t xml:space="preserve"> que permita la información</w:t>
      </w:r>
      <w:r>
        <w:rPr>
          <w:rFonts w:ascii="Palatino Linotype" w:eastAsia="Palatino Linotype" w:hAnsi="Palatino Linotype" w:cs="Palatino Linotype"/>
          <w:sz w:val="22"/>
          <w:szCs w:val="22"/>
        </w:rPr>
        <w:t>, como consulta directa en las oficinas de la Unidad de Transparencia; lo anterior, es robustecido con el Criterio 08/17, emitido por el Pleno del Instituto Nacional de Transparencia, Acceso a la Información y Protección de Datos Personales, vigente a la fecha de la solicitud de información, el cual establece lo siguiente:</w:t>
      </w:r>
    </w:p>
    <w:p w:rsidR="00771FCE" w:rsidRDefault="00771FCE">
      <w:pPr>
        <w:ind w:left="1134" w:right="900"/>
        <w:jc w:val="both"/>
        <w:rPr>
          <w:rFonts w:ascii="Palatino Linotype" w:eastAsia="Palatino Linotype" w:hAnsi="Palatino Linotype" w:cs="Palatino Linotype"/>
          <w:sz w:val="22"/>
          <w:szCs w:val="22"/>
        </w:rPr>
      </w:pPr>
    </w:p>
    <w:p w:rsidR="00771FCE" w:rsidRDefault="005C559E">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“Modalidad de entrega. Procedencia de proporcionar la información solicitada en una diversa a la elegida por el solicitante.</w:t>
      </w:r>
      <w:r>
        <w:rPr>
          <w:rFonts w:ascii="Palatino Linotype" w:eastAsia="Palatino Linotype" w:hAnsi="Palatino Linotype" w:cs="Palatino Linotype"/>
          <w:i/>
          <w:iCs/>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771FCE" w:rsidRDefault="00771FCE">
      <w:pPr>
        <w:ind w:left="1134" w:right="900"/>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Del citado criterio, se desprende que cuando no sea posible atender la modalidad elegida por los solicitantes, la obligación de acceso a la información se tendrá por cumplida cuando el Sujeto Obligado justifique el </w:t>
      </w:r>
      <w:r>
        <w:rPr>
          <w:rFonts w:ascii="Palatino Linotype" w:eastAsia="Palatino Linotype" w:hAnsi="Palatino Linotype" w:cs="Palatino Linotype"/>
          <w:color w:val="000000"/>
          <w:sz w:val="22"/>
          <w:szCs w:val="22"/>
        </w:rPr>
        <w:t>impedimento</w:t>
      </w:r>
      <w:r>
        <w:rPr>
          <w:rFonts w:ascii="Palatino Linotype" w:eastAsia="Palatino Linotype" w:hAnsi="Palatino Linotype" w:cs="Palatino Linotype"/>
          <w:sz w:val="22"/>
          <w:szCs w:val="22"/>
        </w:rPr>
        <w:t xml:space="preserve"> para atender la misma y se notifique al particular la puesta a disposición de la </w:t>
      </w:r>
      <w:r>
        <w:rPr>
          <w:rFonts w:ascii="Palatino Linotype" w:eastAsia="Palatino Linotype" w:hAnsi="Palatino Linotype" w:cs="Palatino Linotype"/>
          <w:b/>
          <w:bCs/>
          <w:sz w:val="22"/>
          <w:szCs w:val="22"/>
        </w:rPr>
        <w:t>información en todas las modalidades que lo permitan, procurando reducir los costos de entrega.</w:t>
      </w:r>
    </w:p>
    <w:p w:rsidR="00771FCE" w:rsidRDefault="00771FCE">
      <w:pPr>
        <w:spacing w:line="360" w:lineRule="auto"/>
        <w:jc w:val="both"/>
        <w:rPr>
          <w:rFonts w:ascii="Palatino Linotype" w:eastAsia="Palatino Linotype" w:hAnsi="Palatino Linotype" w:cs="Palatino Linotype"/>
          <w:b/>
          <w:b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según Calero, Natalia (2016), en la “Ley General de Transparencia y Acceso a la Información Pública Comentada”, cuando los sujetos obligados ofrezcan como modalidad de entrega de la información, </w:t>
      </w:r>
      <w:r>
        <w:rPr>
          <w:rFonts w:ascii="Palatino Linotype" w:eastAsia="Palatino Linotype" w:hAnsi="Palatino Linotype" w:cs="Palatino Linotype"/>
          <w:color w:val="000000"/>
          <w:sz w:val="22"/>
          <w:szCs w:val="22"/>
        </w:rPr>
        <w:t>consulta</w:t>
      </w:r>
      <w:r>
        <w:rPr>
          <w:rFonts w:ascii="Palatino Linotype" w:eastAsia="Palatino Linotype" w:hAnsi="Palatino Linotype" w:cs="Palatino Linotype"/>
          <w:sz w:val="22"/>
          <w:szCs w:val="22"/>
        </w:rPr>
        <w:t xml:space="preserve"> directa, estos deberán fundar y motivar las razones por las cuales no es posible otorgar el acceso a los documentos de otra forma; además que se deberá explicar de manera detallada lo siguiente:</w:t>
      </w:r>
    </w:p>
    <w:p w:rsidR="00771FCE" w:rsidRDefault="00771FCE">
      <w:pPr>
        <w:spacing w:line="360" w:lineRule="auto"/>
        <w:jc w:val="both"/>
        <w:rPr>
          <w:rFonts w:ascii="Palatino Linotype" w:eastAsia="Palatino Linotype" w:hAnsi="Palatino Linotype" w:cs="Palatino Linotype"/>
          <w:sz w:val="22"/>
          <w:szCs w:val="22"/>
        </w:rPr>
      </w:pPr>
    </w:p>
    <w:p w:rsidR="00771FCE" w:rsidRDefault="005C559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razones por las cuales la información implicaba un análisis, estudio o procesamiento de datos;</w:t>
      </w:r>
    </w:p>
    <w:p w:rsidR="00771FCE" w:rsidRDefault="005C559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tiempo no es suficiente para atender la solicitud en la modalidad elegida, y</w:t>
      </w:r>
    </w:p>
    <w:p w:rsidR="00771FCE" w:rsidRDefault="005C559E">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cantidad de recursos humanos y materiales con los que cuenta el Sujeto Obligado son insuficientes.</w:t>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esa línea se concluye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no motivo el cambio de modalidad en cuanto a lo regulador por la  Ley Local de la materia como lo es que la información sobre pase las capacidades técnicas del sistema SAIMEX y las capacidades humanas o administrativas del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toda vez que el sustento del cambio de modalidad de los servidores públicos que dieron respuesta a la solicitud de información consistió en referir que no se encontraban obligados a digitalizar los archivos de los expedientes personales de los servidores públicos situación por la cual no se puede tener por validado el cambio de modalidad propuesto a consulta directa.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en cuanto a la información analizada se debe de referir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acepta contar con la información solicitada al informa lo siguiente. </w:t>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tbl>
      <w:tblPr>
        <w:tblStyle w:val="a0"/>
        <w:tblW w:w="75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2"/>
      </w:tblGrid>
      <w:tr w:rsidR="00771FCE">
        <w:trPr>
          <w:jc w:val="center"/>
        </w:trPr>
        <w:tc>
          <w:tcPr>
            <w:tcW w:w="7572" w:type="dxa"/>
          </w:tcPr>
          <w:p w:rsidR="00771FCE" w:rsidRDefault="005C559E">
            <w:pPr>
              <w:tabs>
                <w:tab w:val="left" w:pos="0"/>
              </w:tabs>
              <w:ind w:right="49"/>
              <w:jc w:val="center"/>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Jefe del Departamento de Ordenamiento  Regional</w:t>
            </w:r>
          </w:p>
        </w:tc>
      </w:tr>
      <w:tr w:rsidR="00771FCE">
        <w:trPr>
          <w:jc w:val="center"/>
        </w:trPr>
        <w:tc>
          <w:tcPr>
            <w:tcW w:w="7572" w:type="dxa"/>
          </w:tcPr>
          <w:p w:rsidR="00771FCE" w:rsidRDefault="005C559E">
            <w:pPr>
              <w:tabs>
                <w:tab w:val="left" w:pos="0"/>
              </w:tabs>
              <w:ind w:right="49"/>
              <w:jc w:val="center"/>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noProof/>
                <w:color w:val="000000"/>
                <w:sz w:val="22"/>
                <w:szCs w:val="22"/>
                <w:lang w:val="es-MX"/>
              </w:rPr>
              <w:drawing>
                <wp:inline distT="0" distB="0" distL="0" distR="0">
                  <wp:extent cx="3138015" cy="84042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38015" cy="840425"/>
                          </a:xfrm>
                          <a:prstGeom prst="rect">
                            <a:avLst/>
                          </a:prstGeom>
                          <a:ln/>
                        </pic:spPr>
                      </pic:pic>
                    </a:graphicData>
                  </a:graphic>
                </wp:inline>
              </w:drawing>
            </w:r>
          </w:p>
        </w:tc>
      </w:tr>
      <w:tr w:rsidR="00771FCE">
        <w:trPr>
          <w:jc w:val="center"/>
        </w:trPr>
        <w:tc>
          <w:tcPr>
            <w:tcW w:w="7572" w:type="dxa"/>
          </w:tcPr>
          <w:p w:rsidR="00771FCE" w:rsidRDefault="005C559E">
            <w:pPr>
              <w:tabs>
                <w:tab w:val="left" w:pos="0"/>
              </w:tabs>
              <w:ind w:right="49"/>
              <w:jc w:val="center"/>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Subdirector de Administración </w:t>
            </w:r>
          </w:p>
        </w:tc>
      </w:tr>
      <w:tr w:rsidR="00771FCE">
        <w:trPr>
          <w:jc w:val="center"/>
        </w:trPr>
        <w:tc>
          <w:tcPr>
            <w:tcW w:w="7572" w:type="dxa"/>
          </w:tcPr>
          <w:p w:rsidR="00771FCE" w:rsidRDefault="005C559E">
            <w:pPr>
              <w:tabs>
                <w:tab w:val="left" w:pos="0"/>
              </w:tabs>
              <w:ind w:right="49"/>
              <w:jc w:val="center"/>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noProof/>
                <w:color w:val="000000"/>
                <w:sz w:val="22"/>
                <w:szCs w:val="22"/>
                <w:lang w:val="es-MX"/>
              </w:rPr>
              <w:drawing>
                <wp:inline distT="0" distB="0" distL="0" distR="0">
                  <wp:extent cx="4200988" cy="795231"/>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200988" cy="795231"/>
                          </a:xfrm>
                          <a:prstGeom prst="rect">
                            <a:avLst/>
                          </a:prstGeom>
                          <a:ln/>
                        </pic:spPr>
                      </pic:pic>
                    </a:graphicData>
                  </a:graphic>
                </wp:inline>
              </w:drawing>
            </w:r>
          </w:p>
        </w:tc>
      </w:tr>
      <w:tr w:rsidR="00771FCE">
        <w:trPr>
          <w:jc w:val="center"/>
        </w:trPr>
        <w:tc>
          <w:tcPr>
            <w:tcW w:w="7572" w:type="dxa"/>
          </w:tcPr>
          <w:p w:rsidR="00771FCE" w:rsidRDefault="005C559E">
            <w:pPr>
              <w:tabs>
                <w:tab w:val="left" w:pos="0"/>
              </w:tabs>
              <w:ind w:right="49"/>
              <w:jc w:val="center"/>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Coordinadora General de Conservación Ecológica </w:t>
            </w:r>
          </w:p>
        </w:tc>
      </w:tr>
      <w:tr w:rsidR="00771FCE">
        <w:trPr>
          <w:jc w:val="center"/>
        </w:trPr>
        <w:tc>
          <w:tcPr>
            <w:tcW w:w="7572" w:type="dxa"/>
          </w:tcPr>
          <w:p w:rsidR="00771FCE" w:rsidRDefault="005C559E">
            <w:pPr>
              <w:tabs>
                <w:tab w:val="left" w:pos="0"/>
              </w:tabs>
              <w:ind w:right="49"/>
              <w:jc w:val="center"/>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noProof/>
                <w:color w:val="000000"/>
                <w:sz w:val="22"/>
                <w:szCs w:val="22"/>
                <w:lang w:val="es-MX"/>
              </w:rPr>
              <w:drawing>
                <wp:inline distT="0" distB="0" distL="0" distR="0">
                  <wp:extent cx="4697983" cy="99881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697983" cy="998813"/>
                          </a:xfrm>
                          <a:prstGeom prst="rect">
                            <a:avLst/>
                          </a:prstGeom>
                          <a:ln/>
                        </pic:spPr>
                      </pic:pic>
                    </a:graphicData>
                  </a:graphic>
                </wp:inline>
              </w:drawing>
            </w:r>
          </w:p>
        </w:tc>
      </w:tr>
    </w:tbl>
    <w:p w:rsidR="00771FCE" w:rsidRDefault="005C559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De las respuestas proporcionadas se tiene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acepta contar con la información de los justificantes de incidencia en la puntualidad y asistencia y de los oficios de comisión de los servidores públicos, al referir que no cuenta con las versiones digitales, situación por la cual se entiende que cuenta con las versiones física integradas en los expedientes personales de los servidores públicos o en al archivo de cada dependencia solicitada situación por la cual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deberá de remitir la información solicitada por el </w:t>
      </w:r>
      <w:r>
        <w:rPr>
          <w:rFonts w:ascii="Palatino Linotype" w:eastAsia="Palatino Linotype" w:hAnsi="Palatino Linotype" w:cs="Palatino Linotype"/>
          <w:b/>
          <w:bCs/>
          <w:color w:val="000000"/>
          <w:sz w:val="22"/>
          <w:szCs w:val="22"/>
        </w:rPr>
        <w:t xml:space="preserve">RECURRENTE </w:t>
      </w:r>
      <w:r>
        <w:rPr>
          <w:rFonts w:ascii="Palatino Linotype" w:eastAsia="Palatino Linotype" w:hAnsi="Palatino Linotype" w:cs="Palatino Linotype"/>
          <w:color w:val="000000"/>
          <w:sz w:val="22"/>
          <w:szCs w:val="22"/>
        </w:rPr>
        <w:t xml:space="preserve">en la modalidad elegida que es el sistema SAIMEX.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refuerzo a lo anterior, se debe de analizar que la Subdirección de Administración de la Secretaría del Medio Ambiente y Desarrollo Sostenible, cuenta con las siguientes funciones de acuerdo con el Manual de Organización del </w:t>
      </w:r>
      <w:r>
        <w:rPr>
          <w:rFonts w:ascii="Palatino Linotype" w:eastAsia="Palatino Linotype" w:hAnsi="Palatino Linotype" w:cs="Palatino Linotype"/>
          <w:b/>
          <w:bCs/>
          <w:color w:val="000000"/>
          <w:sz w:val="22"/>
          <w:szCs w:val="22"/>
        </w:rPr>
        <w:t xml:space="preserve">SUJETO OBLIGADO.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23100003000300S SUBDIRECCIÓN DE ADMINISTRACIÓN OBJETIVO: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Controlar y supervisar la asignación de los recursos humanos y materiales de las unidades administrativas de la Secretaría, así como verificar que las actividades que realicen las delegaciones administrativas y/o unidades administrativas equivalentes se desarrollen con apego a las disposiciones legales aplicables en la materia.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FUNCIONES: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 Coordinar la ejecución de los programas orientados a la administración y el desarrollo del personal adscrito a la Secretaría, así como optimizar el uso de los recursos materiales que se adquieran por la Coordinación Administrativa y las delegaciones administrativas y/o unidades administrativas equivalentes. 2. Supervisar la elaboración del presupuesto de servicios personales de las unidades administrativas de la Secretaría.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3. Coordinar el Programa Anual de Adquisiciones y Servicios de la Secretaría, así como establecer mecanismos para su seguimiento y control.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4. Establecer coordinación permanente con las delegaciones administrativas y/o unidades administrativas equivalentes respecto a la administración y desarrollo del personal, así como para el control de los recursos materiales de las diferentes áreas.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lastRenderedPageBreak/>
        <w:t xml:space="preserve">5. Verificar que los movimientos de alta, baja, cambios de adscripción, incidencias, licencias, permisos y vacaciones del personal de la Secretaría, se realicen conforme a las disposiciones legales aplicables en la materia.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6. Establecer mecanismos para controlar y mantener actualizada la plantilla de plazas del personal adscrito a la Secretaría.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7. Promover cursos de capacitación y de formación tendientes al desarrollo individual y colectivo de las y los servidores públicos adscritos a la Secretaría. 8. Establecer mecanismos de seguimiento y control orientados a garantizar la eficiente administración de los recursos materiales y servicios generales de la Secretaría.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9. Supervisar la adquisición, almacenamiento y suministro de los recursos materiales que requieran las unidades administrativas de la Secretaría, conforme a lo establecido en la normatividad aplicable.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10. Supervisar el resguardo, baja o cambio de adscripción y, en su caso, la adquisición de los bienes muebles, equipo y vehículos asignados a la Secretaría. 11. Supervisar que se elaboraren los contratos, convenios y demás actos jurídicos de carácter administrativo o de cualquier otra índole dentro del ámbito de su competencia los que sean solicitados por la persona titular de la Secretaría y remitirlos a la persona titular de la Coordinación Administrativa.</w:t>
      </w:r>
      <w:r>
        <w:rPr>
          <w:i/>
          <w:iCs/>
          <w:color w:val="000000"/>
          <w:sz w:val="22"/>
          <w:szCs w:val="22"/>
        </w:rPr>
        <w:t xml:space="preserve"> </w:t>
      </w:r>
      <w:r>
        <w:rPr>
          <w:rFonts w:ascii="Palatino Linotype" w:eastAsia="Palatino Linotype" w:hAnsi="Palatino Linotype" w:cs="Palatino Linotype"/>
          <w:i/>
          <w:iCs/>
          <w:color w:val="000000"/>
          <w:sz w:val="22"/>
          <w:szCs w:val="22"/>
        </w:rPr>
        <w:t xml:space="preserve">12. Vigilar la elaboración de los acuerdos para habilitar días y horas para la práctica de diligencias relacionadas con los procedimientos administrativos de su competencia.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13. Supervisar que se instrumenten las actas administrativas a las personas servidoras públicas de la Secretaría, cuando incumplan las disposiciones laborales respectivas, y rescindir la relación laboral, de conformidad con los instrumentos jurídicos aplicables.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14. Desarrollar las demás funciones inherentes al área de su competencia.</w:t>
      </w:r>
    </w:p>
    <w:p w:rsidR="00771FCE" w:rsidRDefault="00771FCE">
      <w:pPr>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las funciones de la Subdirección de Administración en el Manual General de Organización se tiene que debe de </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verificar que los movimientos de alta, baja, </w:t>
      </w:r>
      <w:r>
        <w:rPr>
          <w:rFonts w:ascii="Palatino Linotype" w:eastAsia="Palatino Linotype" w:hAnsi="Palatino Linotype" w:cs="Palatino Linotype"/>
          <w:b/>
          <w:bCs/>
          <w:color w:val="000000"/>
          <w:sz w:val="22"/>
          <w:szCs w:val="22"/>
        </w:rPr>
        <w:t>cambios de adscripción, incidencias, licencias, permisos y vacaciones del personal de la Secretaría</w:t>
      </w:r>
      <w:r>
        <w:rPr>
          <w:rFonts w:ascii="Palatino Linotype" w:eastAsia="Palatino Linotype" w:hAnsi="Palatino Linotype" w:cs="Palatino Linotype"/>
          <w:color w:val="000000"/>
          <w:sz w:val="22"/>
          <w:szCs w:val="22"/>
        </w:rPr>
        <w:t xml:space="preserve">, se realicen conforme a las disposiciones legales aplicables en la materia.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esa línea, se determina que si bien se pronunciaron dos área más del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también lo es que la Subdirección de Administración es quien regula y vigila </w:t>
      </w:r>
      <w:r>
        <w:rPr>
          <w:rFonts w:ascii="Palatino Linotype" w:eastAsia="Palatino Linotype" w:hAnsi="Palatino Linotype" w:cs="Palatino Linotype"/>
          <w:color w:val="000000"/>
          <w:sz w:val="22"/>
          <w:szCs w:val="22"/>
        </w:rPr>
        <w:lastRenderedPageBreak/>
        <w:t xml:space="preserve">procedimientos para las incidencias por faltas y permisos o comisiones autorizados a los servidores públicos situación por la cual se colige que la solicitud de información fue turnada al área habilitada del </w:t>
      </w:r>
      <w:r>
        <w:rPr>
          <w:rFonts w:ascii="Palatino Linotype" w:eastAsia="Palatino Linotype" w:hAnsi="Palatino Linotype" w:cs="Palatino Linotype"/>
          <w:b/>
          <w:bCs/>
          <w:color w:val="000000"/>
          <w:sz w:val="22"/>
          <w:szCs w:val="22"/>
        </w:rPr>
        <w:t xml:space="preserve">SUJETO OBLIGADO. </w:t>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Seguidamente, se debe de referir que se localizó el procedimiento 203 denominado </w:t>
      </w:r>
      <w:r>
        <w:rPr>
          <w:rFonts w:ascii="Palatino Linotype" w:eastAsia="Palatino Linotype" w:hAnsi="Palatino Linotype" w:cs="Palatino Linotype"/>
          <w:b/>
          <w:bCs/>
          <w:color w:val="000000"/>
          <w:sz w:val="22"/>
          <w:szCs w:val="22"/>
        </w:rPr>
        <w:t xml:space="preserve">Justificación De Incidencias Derivadas Del Control De Puntualidad Y Asistencia, </w:t>
      </w:r>
      <w:r>
        <w:rPr>
          <w:rFonts w:ascii="Palatino Linotype" w:eastAsia="Palatino Linotype" w:hAnsi="Palatino Linotype" w:cs="Palatino Linotype"/>
          <w:color w:val="000000"/>
          <w:sz w:val="22"/>
          <w:szCs w:val="22"/>
        </w:rPr>
        <w:t xml:space="preserve">del cual se observa que los coordinadores administrativos o equivalentes de las dependencias </w:t>
      </w:r>
      <w:r>
        <w:rPr>
          <w:rFonts w:ascii="Palatino Linotype" w:eastAsia="Palatino Linotype" w:hAnsi="Palatino Linotype" w:cs="Palatino Linotype"/>
          <w:b/>
          <w:bCs/>
          <w:color w:val="000000"/>
          <w:sz w:val="22"/>
          <w:szCs w:val="22"/>
        </w:rPr>
        <w:t xml:space="preserve">deberán conservar los formatos de Justificación de Incidencias Derivadas del Control de Puntualidad y Asistencia, así como la documentación comprobatoria de los mismos, </w:t>
      </w:r>
      <w:r>
        <w:rPr>
          <w:rFonts w:ascii="Palatino Linotype" w:eastAsia="Palatino Linotype" w:hAnsi="Palatino Linotype" w:cs="Palatino Linotype"/>
          <w:color w:val="000000"/>
          <w:sz w:val="22"/>
          <w:szCs w:val="22"/>
        </w:rPr>
        <w:t xml:space="preserve">tal y como se observa en la siguiente captura de pantalla. </w:t>
      </w:r>
    </w:p>
    <w:p w:rsidR="00771FCE" w:rsidRDefault="005C559E">
      <w:pPr>
        <w:pBdr>
          <w:top w:val="nil"/>
          <w:left w:val="nil"/>
          <w:bottom w:val="nil"/>
          <w:right w:val="nil"/>
          <w:between w:val="nil"/>
        </w:pBdr>
        <w:ind w:left="720"/>
        <w:rPr>
          <w:rFonts w:ascii="Palatino Linotype" w:eastAsia="Palatino Linotype" w:hAnsi="Palatino Linotype" w:cs="Palatino Linotype"/>
          <w:b/>
          <w:bCs/>
          <w:color w:val="000000"/>
          <w:sz w:val="22"/>
          <w:szCs w:val="22"/>
        </w:rPr>
      </w:pPr>
      <w:r>
        <w:rPr>
          <w:noProof/>
          <w:lang w:val="es-MX"/>
        </w:rPr>
        <w:drawing>
          <wp:anchor distT="0" distB="0" distL="114300" distR="114300" simplePos="0" relativeHeight="251658240" behindDoc="0" locked="0" layoutInCell="1" hidden="0" allowOverlap="1">
            <wp:simplePos x="0" y="0"/>
            <wp:positionH relativeFrom="column">
              <wp:posOffset>-424445</wp:posOffset>
            </wp:positionH>
            <wp:positionV relativeFrom="paragraph">
              <wp:posOffset>106195</wp:posOffset>
            </wp:positionV>
            <wp:extent cx="2751161" cy="3562066"/>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51161" cy="3562066"/>
                    </a:xfrm>
                    <a:prstGeom prst="rect">
                      <a:avLst/>
                    </a:prstGeom>
                    <a:ln/>
                  </pic:spPr>
                </pic:pic>
              </a:graphicData>
            </a:graphic>
          </wp:anchor>
        </w:drawing>
      </w:r>
    </w:p>
    <w:p w:rsidR="00771FCE" w:rsidRDefault="005C559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r>
        <w:rPr>
          <w:noProof/>
          <w:lang w:val="es-MX"/>
        </w:rPr>
        <w:drawing>
          <wp:anchor distT="0" distB="0" distL="114300" distR="114300" simplePos="0" relativeHeight="251659264" behindDoc="0" locked="0" layoutInCell="1" hidden="0" allowOverlap="1">
            <wp:simplePos x="0" y="0"/>
            <wp:positionH relativeFrom="column">
              <wp:posOffset>642383</wp:posOffset>
            </wp:positionH>
            <wp:positionV relativeFrom="paragraph">
              <wp:posOffset>122403</wp:posOffset>
            </wp:positionV>
            <wp:extent cx="3889612" cy="1306659"/>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89612" cy="1306659"/>
                    </a:xfrm>
                    <a:prstGeom prst="rect">
                      <a:avLst/>
                    </a:prstGeom>
                    <a:ln/>
                  </pic:spPr>
                </pic:pic>
              </a:graphicData>
            </a:graphic>
          </wp:anchor>
        </w:drawing>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esa línea se debe establecer la razón por la cual cada una de las dependencias del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debe de contar con la información de la conservación de los formatos </w:t>
      </w:r>
      <w:r>
        <w:rPr>
          <w:rFonts w:ascii="Palatino Linotype" w:eastAsia="Palatino Linotype" w:hAnsi="Palatino Linotype" w:cs="Palatino Linotype"/>
          <w:color w:val="000000"/>
          <w:sz w:val="22"/>
          <w:szCs w:val="22"/>
        </w:rPr>
        <w:lastRenderedPageBreak/>
        <w:t xml:space="preserve">de justificación de las incidencias derivadas del control de puntualidad y asistencia, situación por la cual se debe de referir que no hubo pronunciamiento de la Dirección de Concertación y Participación Ciudadana, quien de acuerdo con el Manual General de Organización tiene las siguientes funciones.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23100000030000L DIRECCIÓN DE CONCERTACIÓN Y PARTICIPACIÓN CIUDADANA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OBJETIVO: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Establecer y administrar mecanismos de concertación y vinculación para fomentar una cultura ambiental, a través del desarrollo, gestión, ejecución y difusión de los programas que promuevan e impulsen la participación de todos los sectores de la sociedad.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FUNCIONES: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 Promover, coordinar, instrumentar e implementar acciones, eventos y programas para fomentar la cultura ambiental en la sociedad mexiquense, en coordinación con los diferentes sectores del Estado de México.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2. Promover, organizar e impartir pláticas, talleres, encuentros y exposiciones en materia ambiental para los sectores público, social y privado.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3. Coordinar y supervisar la operación de los Centros de Educación Ambiental y Cambio Climático, para conocer el grado sensibilización de la población ante los cambios climáticos.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4. Promover e incorporar los procesos de enseñanza-aprendizaje a través del Curso de Promotores Ambientales para impulsar la educación ambiental entre los sectores público, social y privado.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5. Promover, desarrollar y participar en foros y seminarios orientados a generar el intercambio de información y experiencias en materia ambiental, en los ámbitos estatal, nacional e internacional.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6. Fomentar la participación del sector social, público y privado en el desarrollo y ejecución de acciones que propicien la prevención y conservación del medio ambiente en la entidad.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7. Promover y coordinar el registro de las organizaciones de la sociedad civil que realicen actividades ambientales y de bienestar animal.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8. Planear la operación y entrega del Reconocimiento al Mérito Ambiental (REMEA), con el propósito de reconocer la trayectoria de personas, organizaciones e instituciones que han realizado acciones relevantes de prioridad ambiental en el Estado de México.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9. Verificar, supervisar y trabajar de la mano con la Red de Defensores Ambientales del Estado de México (REDAEM).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lastRenderedPageBreak/>
        <w:t xml:space="preserve">10. Proponer la coordinación de acciones de educación ambiental con la participación comunitaria, social, privada, autoridades educativas, y organizaciones de la sociedad civil.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11. Verificar la ejecución de Programa “Acreditación de Escuelas Ambientalmente Responsables” (PAEAR) para conocer la concientización de alumnos, docentes y directivos sobre el cuidado del medio ambiente.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12. Establecer como mecanismo de coordinación con el sector educativo el Proyecto “Jardines literarios del Colibrí” en las Escuelas interesadas en tenerlo, efecto de incorporar el proceso de enseñanza-aprendizaje con contenido ecológico.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13. Coordinar técnica y administrativamente las labores del Consejo Consultivo de Protección a la Biodiversidad y Desarrollo Sostenible en el Estado de México y el Consejo Ciudadano de Protección y Bienestar Animal del Estado de México.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14. Promover ante los ayuntamientos la creación y o renovación, en su caso, de los Consejos Municipales de Protección a la Biodiversidad de desarrollo sostenible, así como la creación de los Consejos Municipales para la Protección y Bienestar Animal.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15. Supervisar las acciones realizadas de las denuncias ciudadanas sobre los asuntos relacionados con la protección del ambiente y bienestar animal en la entidad recibidas a través del Sistema Estatal de Atención a la Denuncia Ciudadana en Materia Ambiental (ECOTEL).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16. Promover la celebración de convenios de coordinación y colaboración entre los sectores público, social y privado que promuevan el fomento de la cultura ambiental.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17. Promover y difundir las acciones ambientales y de protección animal que realiza el sector público, social y privado. </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18. Desarrollar las demás funciones inherentes al área de su competencia.</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En esa línea si bien en las funciones de la Dirección de Concertación y Participación Ciudadana no guardan relación con asistencias, también lo es que del </w:t>
      </w:r>
      <w:r>
        <w:rPr>
          <w:rFonts w:ascii="Palatino Linotype" w:eastAsia="Palatino Linotype" w:hAnsi="Palatino Linotype" w:cs="Palatino Linotype"/>
          <w:b/>
          <w:bCs/>
          <w:color w:val="000000"/>
          <w:sz w:val="22"/>
          <w:szCs w:val="22"/>
        </w:rPr>
        <w:t xml:space="preserve">Aviso De Justificación De Incidencias En La Puntualidad Y Asistencia </w:t>
      </w:r>
      <w:r>
        <w:rPr>
          <w:rFonts w:ascii="Palatino Linotype" w:eastAsia="Palatino Linotype" w:hAnsi="Palatino Linotype" w:cs="Palatino Linotype"/>
          <w:color w:val="000000"/>
          <w:sz w:val="22"/>
          <w:szCs w:val="22"/>
        </w:rPr>
        <w:t xml:space="preserve">se observa lo siguiente.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color w:val="000000"/>
          <w:sz w:val="22"/>
          <w:szCs w:val="22"/>
        </w:rPr>
      </w:pPr>
    </w:p>
    <w:p w:rsidR="00771FCE" w:rsidRDefault="005C559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extent cx="4918951" cy="6289778"/>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918951" cy="6289778"/>
                    </a:xfrm>
                    <a:prstGeom prst="rect">
                      <a:avLst/>
                    </a:prstGeom>
                    <a:ln/>
                  </pic:spPr>
                </pic:pic>
              </a:graphicData>
            </a:graphic>
          </wp:inline>
        </w:drawing>
      </w:r>
    </w:p>
    <w:p w:rsidR="00771FCE" w:rsidRDefault="005C559E">
      <w:pPr>
        <w:pBdr>
          <w:top w:val="nil"/>
          <w:left w:val="nil"/>
          <w:bottom w:val="nil"/>
          <w:right w:val="nil"/>
          <w:between w:val="nil"/>
        </w:pBdr>
        <w:tabs>
          <w:tab w:val="left" w:pos="0"/>
        </w:tabs>
        <w:spacing w:line="360" w:lineRule="auto"/>
        <w:ind w:right="49"/>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extent cx="4474457" cy="625276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474457" cy="6252765"/>
                    </a:xfrm>
                    <a:prstGeom prst="rect">
                      <a:avLst/>
                    </a:prstGeom>
                    <a:ln/>
                  </pic:spPr>
                </pic:pic>
              </a:graphicData>
            </a:graphic>
          </wp:inline>
        </w:drawing>
      </w: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Del formato analizado, se tiene que la dependencia a la que se encuentran adscritos los servidores públicos son quienes autorizan los justificantes por comisión, así como la generación del aviso de comisión mediante el cual se le notifica al servidor público que deberá de constituirse en un lugar, por lo que se estima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debe </w:t>
      </w:r>
      <w:r>
        <w:rPr>
          <w:rFonts w:ascii="Palatino Linotype" w:eastAsia="Palatino Linotype" w:hAnsi="Palatino Linotype" w:cs="Palatino Linotype"/>
          <w:color w:val="000000"/>
          <w:sz w:val="22"/>
          <w:szCs w:val="22"/>
        </w:rPr>
        <w:lastRenderedPageBreak/>
        <w:t xml:space="preserve">de contar con la con la información solicitada respecto del justificante y del aviso de comisión, por lo que, para colmar el derecho de acceso a la información del </w:t>
      </w:r>
      <w:r>
        <w:rPr>
          <w:rFonts w:ascii="Palatino Linotype" w:eastAsia="Palatino Linotype" w:hAnsi="Palatino Linotype" w:cs="Palatino Linotype"/>
          <w:b/>
          <w:bCs/>
          <w:color w:val="000000"/>
          <w:sz w:val="22"/>
          <w:szCs w:val="22"/>
        </w:rPr>
        <w:t xml:space="preserve">RECURRENTE </w:t>
      </w:r>
      <w:r>
        <w:rPr>
          <w:rFonts w:ascii="Palatino Linotype" w:eastAsia="Palatino Linotype" w:hAnsi="Palatino Linotype" w:cs="Palatino Linotype"/>
          <w:color w:val="000000"/>
          <w:sz w:val="22"/>
          <w:szCs w:val="22"/>
        </w:rPr>
        <w:t xml:space="preserve">se deberá de entregar la información solicitada respecto a las direcciones referidas en la solicitud de información.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Ahora bien, en cuanto a </w:t>
      </w:r>
      <w:r>
        <w:rPr>
          <w:rFonts w:ascii="Palatino Linotype" w:eastAsia="Palatino Linotype" w:hAnsi="Palatino Linotype" w:cs="Palatino Linotype"/>
          <w:b/>
          <w:bCs/>
          <w:color w:val="000000"/>
          <w:sz w:val="22"/>
          <w:szCs w:val="22"/>
        </w:rPr>
        <w:t>“</w:t>
      </w:r>
      <w:r>
        <w:rPr>
          <w:rFonts w:ascii="Palatino Linotype" w:eastAsia="Palatino Linotype" w:hAnsi="Palatino Linotype" w:cs="Palatino Linotype"/>
          <w:b/>
          <w:bCs/>
          <w:i/>
          <w:iCs/>
          <w:color w:val="000000"/>
          <w:sz w:val="22"/>
          <w:szCs w:val="22"/>
        </w:rPr>
        <w:t xml:space="preserve">con evidencia de su cumplimiento (fotografía, oficio con sello de la dependencia a la que asistieron o lo que compruebe que cumplieron con la comisión)”, </w:t>
      </w:r>
      <w:r>
        <w:rPr>
          <w:rFonts w:ascii="Palatino Linotype" w:eastAsia="Palatino Linotype" w:hAnsi="Palatino Linotype" w:cs="Palatino Linotype"/>
          <w:color w:val="000000"/>
          <w:sz w:val="22"/>
          <w:szCs w:val="22"/>
        </w:rPr>
        <w:t xml:space="preserve">se debe de precisar que en respuesta se informó que en las normativas que regulan los justificantes no los obliga a contar con fotografías o sellos, sin embargo del Procedimiento 203 Justificación De Incidencias Derivadas Del Control De Puntualidad Y Asistencia, se observa que si se debe de resguardar la información comprobatoria de los mismos tal y como se observa en la siguiente captura de pantalla. </w:t>
      </w:r>
    </w:p>
    <w:p w:rsidR="00771FCE" w:rsidRDefault="00771FCE">
      <w:pPr>
        <w:pBdr>
          <w:top w:val="nil"/>
          <w:left w:val="nil"/>
          <w:bottom w:val="nil"/>
          <w:right w:val="nil"/>
          <w:between w:val="nil"/>
        </w:pBdr>
        <w:ind w:left="720"/>
        <w:rPr>
          <w:rFonts w:ascii="Palatino Linotype" w:eastAsia="Palatino Linotype" w:hAnsi="Palatino Linotype" w:cs="Palatino Linotype"/>
          <w:b/>
          <w:bCs/>
          <w:color w:val="000000"/>
          <w:sz w:val="22"/>
          <w:szCs w:val="22"/>
        </w:rPr>
      </w:pPr>
    </w:p>
    <w:p w:rsidR="00771FCE" w:rsidRDefault="005C559E">
      <w:pPr>
        <w:pBdr>
          <w:top w:val="nil"/>
          <w:left w:val="nil"/>
          <w:bottom w:val="nil"/>
          <w:right w:val="nil"/>
          <w:between w:val="nil"/>
        </w:pBdr>
        <w:tabs>
          <w:tab w:val="left" w:pos="0"/>
        </w:tabs>
        <w:spacing w:line="360" w:lineRule="auto"/>
        <w:ind w:right="49"/>
        <w:jc w:val="cente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noProof/>
          <w:color w:val="000000"/>
          <w:sz w:val="22"/>
          <w:szCs w:val="22"/>
          <w:lang w:val="es-MX"/>
        </w:rPr>
        <w:drawing>
          <wp:inline distT="0" distB="0" distL="0" distR="0">
            <wp:extent cx="4815016" cy="783979"/>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815016" cy="783979"/>
                    </a:xfrm>
                    <a:prstGeom prst="rect">
                      <a:avLst/>
                    </a:prstGeom>
                    <a:ln/>
                  </pic:spPr>
                </pic:pic>
              </a:graphicData>
            </a:graphic>
          </wp:inline>
        </w:drawing>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Dicho procedimiento refuerza lo referido por el </w:t>
      </w:r>
      <w:r>
        <w:rPr>
          <w:rFonts w:ascii="Palatino Linotype" w:eastAsia="Palatino Linotype" w:hAnsi="Palatino Linotype" w:cs="Palatino Linotype"/>
          <w:b/>
          <w:bCs/>
          <w:color w:val="000000"/>
          <w:sz w:val="22"/>
          <w:szCs w:val="22"/>
        </w:rPr>
        <w:t xml:space="preserve">RECURRENTE </w:t>
      </w:r>
      <w:r>
        <w:rPr>
          <w:rFonts w:ascii="Palatino Linotype" w:eastAsia="Palatino Linotype" w:hAnsi="Palatino Linotype" w:cs="Palatino Linotype"/>
          <w:color w:val="000000"/>
          <w:sz w:val="22"/>
          <w:szCs w:val="22"/>
        </w:rPr>
        <w:t xml:space="preserve">en el archivo </w:t>
      </w:r>
      <w:r>
        <w:rPr>
          <w:rFonts w:ascii="Palatino Linotype" w:eastAsia="Palatino Linotype" w:hAnsi="Palatino Linotype" w:cs="Palatino Linotype"/>
          <w:b/>
          <w:bCs/>
          <w:color w:val="000000"/>
          <w:sz w:val="22"/>
          <w:szCs w:val="22"/>
        </w:rPr>
        <w:t xml:space="preserve">17564086501814480167634473724476.jpg, </w:t>
      </w:r>
      <w:r>
        <w:rPr>
          <w:rFonts w:ascii="Palatino Linotype" w:eastAsia="Palatino Linotype" w:hAnsi="Palatino Linotype" w:cs="Palatino Linotype"/>
          <w:color w:val="000000"/>
          <w:sz w:val="22"/>
          <w:szCs w:val="22"/>
        </w:rPr>
        <w:t xml:space="preserve">del cual se observa que se tiene que adjuntan evidencia que compruebe la justificación, situación por la cual lo referido por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no se puede tener por validado.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esa línea, se tiene que para colmar el derecho de acceso a la información del </w:t>
      </w:r>
      <w:r>
        <w:rPr>
          <w:rFonts w:ascii="Palatino Linotype" w:eastAsia="Palatino Linotype" w:hAnsi="Palatino Linotype" w:cs="Palatino Linotype"/>
          <w:b/>
          <w:bCs/>
          <w:color w:val="000000"/>
          <w:sz w:val="22"/>
          <w:szCs w:val="22"/>
        </w:rPr>
        <w:t xml:space="preserve">RECURRENTE </w:t>
      </w:r>
      <w:r>
        <w:rPr>
          <w:rFonts w:ascii="Palatino Linotype" w:eastAsia="Palatino Linotype" w:hAnsi="Palatino Linotype" w:cs="Palatino Linotype"/>
          <w:color w:val="000000"/>
          <w:sz w:val="22"/>
          <w:szCs w:val="22"/>
        </w:rPr>
        <w:t xml:space="preserve">se deberá de entregar la información comprobatoria que se hubiera entregado por los servidores públicos para la justificación autorizada por las dependencias referidas en la solicitud de información. </w:t>
      </w:r>
    </w:p>
    <w:p w:rsidR="00771FCE" w:rsidRDefault="00771FC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esa línea, tal y como se analizó en párrafos anteriores se tiene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no turno la solicitud de información a todas las áreas habilitadas como lo es el caso de la Dirección de Concertación y Participación Ciudadana, situación por la cual se analiza lo siguiente respecto a la búsqueda exhaustiva. </w:t>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t xml:space="preserve">De lo anterior, al artículo 162 de la de la Ley de Transparencia y Acceso a la Información Pública del Estado de México y Municipios, regula que las Unidades de Transparencia deben de garantizar que las solicitudes </w:t>
      </w:r>
      <w:r>
        <w:rPr>
          <w:rFonts w:ascii="Palatino Linotype" w:eastAsia="Palatino Linotype" w:hAnsi="Palatino Linotype" w:cs="Palatino Linotype"/>
          <w:b/>
          <w:bCs/>
          <w:color w:val="000000"/>
          <w:sz w:val="22"/>
          <w:szCs w:val="22"/>
        </w:rPr>
        <w:t>se turnen a todas las Áreas competentes que cuenten con la información o deban tenerla de acuerdo a sus facultades,</w:t>
      </w:r>
      <w:r>
        <w:rPr>
          <w:rFonts w:ascii="Palatino Linotype" w:eastAsia="Palatino Linotype" w:hAnsi="Palatino Linotype" w:cs="Palatino Linotype"/>
          <w:color w:val="000000"/>
          <w:sz w:val="22"/>
          <w:szCs w:val="22"/>
        </w:rPr>
        <w:t xml:space="preserve"> competencias y funciones, </w:t>
      </w:r>
      <w:r>
        <w:rPr>
          <w:rFonts w:ascii="Palatino Linotype" w:eastAsia="Palatino Linotype" w:hAnsi="Palatino Linotype" w:cs="Palatino Linotype"/>
          <w:b/>
          <w:bCs/>
          <w:color w:val="000000"/>
          <w:sz w:val="22"/>
          <w:szCs w:val="22"/>
          <w:u w:val="single"/>
        </w:rPr>
        <w:t>con el objeto de que realicen una búsqueda exhaustiva y razonable de la información solicitada</w:t>
      </w:r>
      <w:r>
        <w:rPr>
          <w:rFonts w:ascii="Palatino Linotype" w:eastAsia="Palatino Linotype" w:hAnsi="Palatino Linotype" w:cs="Palatino Linotype"/>
          <w:color w:val="000000"/>
          <w:sz w:val="22"/>
          <w:szCs w:val="22"/>
        </w:rPr>
        <w:t xml:space="preserve">, situación que no fue realizada por el Titular de la Unidad de Transparencia del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w:t>
      </w:r>
    </w:p>
    <w:p w:rsidR="00771FCE" w:rsidRDefault="00771FCE">
      <w:pPr>
        <w:spacing w:line="360" w:lineRule="auto"/>
        <w:ind w:right="-504"/>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t>A efecto de determinar la legalidad de dicha respuesta, es necesario tomar en cuenta las siguientes disposiciones de la Ley de la materia.</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Artículo 50.</w:t>
      </w:r>
      <w:r>
        <w:rPr>
          <w:rFonts w:ascii="Palatino Linotype" w:eastAsia="Palatino Linotype" w:hAnsi="Palatino Linotype" w:cs="Palatino Linotype"/>
          <w:i/>
          <w:iCs/>
          <w:color w:val="000000"/>
          <w:sz w:val="22"/>
          <w:szCs w:val="22"/>
        </w:rPr>
        <w:t xml:space="preserve"> Los sujetos obligados contarán con un área responsable para la atención de las solicitudes de información, a la que se le denominará Unidad de Transparencia.</w:t>
      </w:r>
    </w:p>
    <w:p w:rsidR="00771FCE" w:rsidRDefault="00771FCE">
      <w:pPr>
        <w:ind w:left="1134" w:right="900"/>
        <w:jc w:val="both"/>
        <w:rPr>
          <w:rFonts w:ascii="Palatino Linotype" w:eastAsia="Palatino Linotype" w:hAnsi="Palatino Linotype" w:cs="Palatino Linotype"/>
          <w:i/>
          <w:iCs/>
          <w:color w:val="000000"/>
          <w:sz w:val="22"/>
          <w:szCs w:val="22"/>
        </w:rPr>
      </w:pP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Artículo 51</w:t>
      </w:r>
      <w:r>
        <w:rPr>
          <w:rFonts w:ascii="Palatino Linotype" w:eastAsia="Palatino Linotype" w:hAnsi="Palatino Linotype" w:cs="Palatino Linotype"/>
          <w:i/>
          <w:iCs/>
          <w:color w:val="000000"/>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771FCE" w:rsidRDefault="00771FCE">
      <w:pPr>
        <w:ind w:left="1134" w:right="900"/>
        <w:jc w:val="both"/>
        <w:rPr>
          <w:rFonts w:ascii="Palatino Linotype" w:eastAsia="Palatino Linotype" w:hAnsi="Palatino Linotype" w:cs="Palatino Linotype"/>
          <w:i/>
          <w:iCs/>
          <w:color w:val="000000"/>
          <w:sz w:val="22"/>
          <w:szCs w:val="22"/>
        </w:rPr>
      </w:pP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Artículo 53</w:t>
      </w:r>
      <w:r>
        <w:rPr>
          <w:rFonts w:ascii="Palatino Linotype" w:eastAsia="Palatino Linotype" w:hAnsi="Palatino Linotype" w:cs="Palatino Linotype"/>
          <w:i/>
          <w:iCs/>
          <w:color w:val="000000"/>
          <w:sz w:val="22"/>
          <w:szCs w:val="22"/>
        </w:rPr>
        <w:t>. Las Unidades de Transparencia tendrán las siguientes funciones:</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w:t>
      </w:r>
      <w:r>
        <w:rPr>
          <w:rFonts w:ascii="Palatino Linotype" w:eastAsia="Palatino Linotype" w:hAnsi="Palatino Linotype" w:cs="Palatino Linotype"/>
          <w:i/>
          <w:iCs/>
          <w:color w:val="000000"/>
          <w:sz w:val="22"/>
          <w:szCs w:val="22"/>
        </w:rPr>
        <w:lastRenderedPageBreak/>
        <w:t>como propiciar que las áreas la actualicen periódicamente conforme a la normatividad aplicable;</w:t>
      </w:r>
    </w:p>
    <w:p w:rsidR="00771FCE" w:rsidRDefault="005C559E">
      <w:pP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II. Recibir, </w:t>
      </w:r>
      <w:r>
        <w:rPr>
          <w:rFonts w:ascii="Palatino Linotype" w:eastAsia="Palatino Linotype" w:hAnsi="Palatino Linotype" w:cs="Palatino Linotype"/>
          <w:b/>
          <w:bCs/>
          <w:i/>
          <w:iCs/>
          <w:color w:val="000000"/>
          <w:sz w:val="22"/>
          <w:szCs w:val="22"/>
          <w:u w:val="single"/>
        </w:rPr>
        <w:t>tramitar</w:t>
      </w:r>
      <w:r>
        <w:rPr>
          <w:rFonts w:ascii="Palatino Linotype" w:eastAsia="Palatino Linotype" w:hAnsi="Palatino Linotype" w:cs="Palatino Linotype"/>
          <w:b/>
          <w:bCs/>
          <w:i/>
          <w:iCs/>
          <w:color w:val="000000"/>
          <w:sz w:val="22"/>
          <w:szCs w:val="22"/>
        </w:rPr>
        <w:t xml:space="preserve"> y dar respuesta a las solicitudes de acceso a la información;</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III. Auxiliar a los particulares en la elaboración de solicitudes de acceso a la información y, en su caso, orientarlos sobre los sujetos obligados competentes conforme a la normatividad aplicable;</w:t>
      </w:r>
    </w:p>
    <w:p w:rsidR="00771FCE" w:rsidRDefault="005C559E">
      <w:pP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IV. Realizar, con efectividad, los trámites internos necesarios para la atención de las solicitudes de acceso a la información;</w:t>
      </w:r>
    </w:p>
    <w:p w:rsidR="00771FCE" w:rsidRDefault="005C559E">
      <w:pPr>
        <w:ind w:left="1134" w:right="90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V. Entregar, en su caso, a los particulares la información solicitada;</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VI. Efectuar las notificaciones a los solicitantes;</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VII. Proponer al Comité de Transparencia, los procedimientos internos que aseguren la mayor eficiencia en la gestión de las solicitudes de acceso a la información, conforme a la normatividad aplicable;</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VIII. Proponer a quien preside el Comité de Transparencia, personal habilitado que sea necesario para recibir y dar trámite a las solicitudes de acceso a la información;</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X. Presentar ante el Comité, el proyecto de clasificación de información;</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XI. Promover e implementar políticas de transparencia proactiva procurando su accesibilidad;</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XII. Fomentar la transparencia y accesibilidad al interior del sujeto obligado;</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XIII. Hacer del conocimiento de la instancia competente la probable responsabilidad por el incumplimiento de las obligaciones previstas en la presente Ley; y</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XIV. Las demás que resulten necesarias para facilitar el acceso a la información y aquellas que se desprenden de la presente Ley y demás disposiciones jurídicas aplicables.</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w:t>
      </w:r>
      <w:r>
        <w:rPr>
          <w:rFonts w:ascii="Palatino Linotype" w:eastAsia="Palatino Linotype" w:hAnsi="Palatino Linotype" w:cs="Palatino Linotype"/>
          <w:i/>
          <w:iCs/>
          <w:color w:val="000000"/>
          <w:sz w:val="22"/>
          <w:szCs w:val="22"/>
        </w:rPr>
        <w:lastRenderedPageBreak/>
        <w:t>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771FCE" w:rsidRDefault="00771FCE">
      <w:pPr>
        <w:ind w:left="1134" w:right="900"/>
        <w:jc w:val="both"/>
        <w:rPr>
          <w:rFonts w:ascii="Palatino Linotype" w:eastAsia="Palatino Linotype" w:hAnsi="Palatino Linotype" w:cs="Palatino Linotype"/>
          <w:i/>
          <w:iCs/>
          <w:color w:val="000000"/>
          <w:sz w:val="22"/>
          <w:szCs w:val="22"/>
        </w:rPr>
      </w:pP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Artículo 59</w:t>
      </w:r>
      <w:r>
        <w:rPr>
          <w:rFonts w:ascii="Palatino Linotype" w:eastAsia="Palatino Linotype" w:hAnsi="Palatino Linotype" w:cs="Palatino Linotype"/>
          <w:i/>
          <w:iCs/>
          <w:color w:val="000000"/>
          <w:sz w:val="22"/>
          <w:szCs w:val="22"/>
        </w:rPr>
        <w:t xml:space="preserve">. </w:t>
      </w:r>
      <w:r>
        <w:rPr>
          <w:rFonts w:ascii="Palatino Linotype" w:eastAsia="Palatino Linotype" w:hAnsi="Palatino Linotype" w:cs="Palatino Linotype"/>
          <w:b/>
          <w:bCs/>
          <w:i/>
          <w:iCs/>
          <w:color w:val="000000"/>
          <w:sz w:val="22"/>
          <w:szCs w:val="22"/>
        </w:rPr>
        <w:t>Los servidores públicos habilitados</w:t>
      </w:r>
      <w:r>
        <w:rPr>
          <w:rFonts w:ascii="Palatino Linotype" w:eastAsia="Palatino Linotype" w:hAnsi="Palatino Linotype" w:cs="Palatino Linotype"/>
          <w:i/>
          <w:iCs/>
          <w:color w:val="000000"/>
          <w:sz w:val="22"/>
          <w:szCs w:val="22"/>
        </w:rPr>
        <w:t xml:space="preserve"> tendrán las funciones siguientes:</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 Localizar la información que le solicite la Unidad de Transparencia;</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II. Proporcionar la información que obre en los archivos y que le sea solicitada por la Unidad de Transparencia;</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III. Apoyar a la Unidad de Transparencia en lo que esta le solicite para el cumplimiento de sus funciones;</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IV. Proporcionar a la Unidad de Transparencia, las modificaciones a la información pública de oficio que obre en su poder;</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V. Integrar y presentar al responsable de la Unidad de Transparencia la propuesta de clasificación de información, la cual tendrá los fundamentos y argumentos en que se basa dicha propuesta;</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VI. Verificar, una vez analizado el contenido de la información, que no se encuentre en los supuestos de información clasificada; y</w:t>
      </w: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VII. Dar cuenta a la Unidad de Transparencia del vencimiento de los plazos de reserva.</w:t>
      </w:r>
    </w:p>
    <w:p w:rsidR="00771FCE" w:rsidRDefault="00771FCE">
      <w:pPr>
        <w:ind w:left="1134" w:right="900"/>
        <w:jc w:val="both"/>
        <w:rPr>
          <w:rFonts w:ascii="Palatino Linotype" w:eastAsia="Palatino Linotype" w:hAnsi="Palatino Linotype" w:cs="Palatino Linotype"/>
          <w:i/>
          <w:iCs/>
          <w:color w:val="000000"/>
          <w:sz w:val="22"/>
          <w:szCs w:val="22"/>
        </w:rPr>
      </w:pPr>
    </w:p>
    <w:p w:rsidR="00771FCE" w:rsidRDefault="005C559E">
      <w:p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Artículo 162</w:t>
      </w:r>
      <w:r>
        <w:rPr>
          <w:rFonts w:ascii="Palatino Linotype" w:eastAsia="Palatino Linotype" w:hAnsi="Palatino Linotype" w:cs="Palatino Linotype"/>
          <w:i/>
          <w:iCs/>
          <w:color w:val="000000"/>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771FCE" w:rsidRDefault="00771FCE">
      <w:pPr>
        <w:ind w:right="900"/>
        <w:jc w:val="both"/>
        <w:rPr>
          <w:rFonts w:ascii="Palatino Linotype" w:eastAsia="Palatino Linotype" w:hAnsi="Palatino Linotype" w:cs="Palatino Linotype"/>
          <w:i/>
          <w:iCs/>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Pr>
          <w:rFonts w:ascii="Palatino Linotype" w:eastAsia="Palatino Linotype" w:hAnsi="Palatino Linotype" w:cs="Palatino Linotype"/>
          <w:b/>
          <w:bCs/>
          <w:color w:val="000000"/>
          <w:sz w:val="22"/>
          <w:szCs w:val="22"/>
        </w:rPr>
        <w:t xml:space="preserve"> SUJETO OBLIGADO</w:t>
      </w:r>
      <w:r>
        <w:rPr>
          <w:rFonts w:ascii="Palatino Linotype" w:eastAsia="Palatino Linotype" w:hAnsi="Palatino Linotype" w:cs="Palatino Linotype"/>
          <w:color w:val="000000"/>
          <w:sz w:val="22"/>
          <w:szCs w:val="22"/>
        </w:rPr>
        <w:t xml:space="preserve"> y los solicitantes, y tiene bajo su responsabilidad el tramitar internamente la solicitud de información.</w:t>
      </w:r>
    </w:p>
    <w:p w:rsidR="00771FCE" w:rsidRDefault="00771FCE">
      <w:pPr>
        <w:spacing w:line="360" w:lineRule="auto"/>
        <w:ind w:right="-504"/>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lastRenderedPageBreak/>
        <w:t xml:space="preserve">De tal manera que, si bien, el Titular de la Unidad de Transparencia dio respuesta a la solicitud de información en cuestión, tenía que haber realizado el procedimiento, de turnar dentro de las áreas que conforman la estructura del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a fin de que el responsable del área diera respuesta a la misma, tal y como lo marca la normatividad invocada, es por ello que debe turnar la solicitud a todas las áreas que y que pudieran generar, administrar o poseer la información requerida por el particular; pues los mismos, tienen como función, buscar, localizar y poseer la información, así como entregarla.</w:t>
      </w:r>
    </w:p>
    <w:p w:rsidR="00771FCE" w:rsidRDefault="00771FCE">
      <w:pPr>
        <w:spacing w:line="360" w:lineRule="auto"/>
        <w:ind w:right="-504"/>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rsidR="00771FCE" w:rsidRDefault="00771FCE">
      <w:pPr>
        <w:spacing w:line="360" w:lineRule="auto"/>
        <w:jc w:val="both"/>
        <w:rPr>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t xml:space="preserve">De lo anterior, es de precisar que la información que resulta de interés para el particular obra en los archivos del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y por lo tanto debe proceder a realizar una búsqueda exhaustiva a efecto de proporcionar los documentos donde obre la misma de tal forma que cumpla con los requisitos de la Ley en la materia.</w:t>
      </w:r>
    </w:p>
    <w:p w:rsidR="00771FCE" w:rsidRDefault="00771FCE">
      <w:pPr>
        <w:spacing w:line="360" w:lineRule="auto"/>
        <w:ind w:right="-504"/>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t xml:space="preserve">Conforme a lo anterior, se puede advertir que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no turnó la solicitud de información a todas  las unidad administrativa habilitadas de conocer de la solicitud de información, por lo que se concluye, que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 en principio, resulta necesario determinar, que es una investigación con esas características.</w:t>
      </w:r>
    </w:p>
    <w:p w:rsidR="00771FCE" w:rsidRDefault="00771FCE">
      <w:pPr>
        <w:spacing w:line="360" w:lineRule="auto"/>
        <w:ind w:right="-504"/>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lastRenderedPageBreak/>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771FCE" w:rsidRDefault="00771FCE">
      <w:pPr>
        <w:spacing w:line="360" w:lineRule="auto"/>
        <w:ind w:right="-504"/>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t xml:space="preserve">En ese contexto, de conformidad con los </w:t>
      </w:r>
      <w:r>
        <w:rPr>
          <w:rFonts w:ascii="Palatino Linotype" w:eastAsia="Palatino Linotype" w:hAnsi="Palatino Linotype" w:cs="Palatino Linotype"/>
          <w:b/>
          <w:bCs/>
          <w:color w:val="000000"/>
          <w:sz w:val="22"/>
          <w:szCs w:val="22"/>
        </w:rPr>
        <w:t>criterios 12/10 y 04/19,</w:t>
      </w:r>
      <w:r>
        <w:rPr>
          <w:rFonts w:ascii="Palatino Linotype" w:eastAsia="Palatino Linotype" w:hAnsi="Palatino Linotype" w:cs="Palatino Linotype"/>
          <w:color w:val="000000"/>
          <w:sz w:val="22"/>
          <w:szCs w:val="22"/>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Pr>
          <w:rFonts w:ascii="Palatino Linotype" w:eastAsia="Palatino Linotype" w:hAnsi="Palatino Linotype" w:cs="Palatino Linotype"/>
          <w:b/>
          <w:bCs/>
          <w:color w:val="000000"/>
          <w:sz w:val="22"/>
          <w:szCs w:val="22"/>
        </w:rPr>
        <w:t>elementos suficientes</w:t>
      </w:r>
      <w:r>
        <w:rPr>
          <w:rFonts w:ascii="Palatino Linotype" w:eastAsia="Palatino Linotype" w:hAnsi="Palatino Linotype" w:cs="Palatino Linotype"/>
          <w:color w:val="000000"/>
          <w:sz w:val="22"/>
          <w:szCs w:val="22"/>
        </w:rPr>
        <w:t xml:space="preserve"> del carácter exhaustivo de la indagación realizada, a saber, los siguientes:</w:t>
      </w:r>
    </w:p>
    <w:p w:rsidR="00771FCE" w:rsidRDefault="00771FCE">
      <w:pPr>
        <w:spacing w:line="360" w:lineRule="auto"/>
        <w:ind w:right="-504"/>
        <w:jc w:val="both"/>
        <w:rPr>
          <w:rFonts w:ascii="Palatino Linotype" w:eastAsia="Palatino Linotype" w:hAnsi="Palatino Linotype" w:cs="Palatino Linotype"/>
          <w:color w:val="000000"/>
          <w:sz w:val="22"/>
          <w:szCs w:val="22"/>
        </w:rPr>
      </w:pPr>
    </w:p>
    <w:p w:rsidR="00771FCE" w:rsidRDefault="005C559E">
      <w:pPr>
        <w:numPr>
          <w:ilvl w:val="0"/>
          <w:numId w:val="3"/>
        </w:num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Motivación por las que se buscó la información, en determinadas unidades administrativas;</w:t>
      </w:r>
    </w:p>
    <w:p w:rsidR="00771FCE" w:rsidRDefault="005C559E">
      <w:pPr>
        <w:numPr>
          <w:ilvl w:val="0"/>
          <w:numId w:val="3"/>
        </w:num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Los criterios de búsqueda utilizados, y</w:t>
      </w:r>
    </w:p>
    <w:p w:rsidR="00771FCE" w:rsidRDefault="005C559E">
      <w:pPr>
        <w:numPr>
          <w:ilvl w:val="0"/>
          <w:numId w:val="3"/>
        </w:numP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Las circunstancias que fueron tomadas en cuenta.</w:t>
      </w:r>
    </w:p>
    <w:p w:rsidR="00771FCE" w:rsidRDefault="00771FCE">
      <w:pPr>
        <w:spacing w:line="360" w:lineRule="auto"/>
        <w:ind w:right="-504"/>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t>De tales circunstancias, se considera que para que los Sujetos Obligado justifiquen que realizaron una búsqueda exhaustiva y razonable, deben indicar de manera clara, lo siguiente:</w:t>
      </w:r>
    </w:p>
    <w:p w:rsidR="00771FCE" w:rsidRDefault="005C559E">
      <w:pPr>
        <w:numPr>
          <w:ilvl w:val="0"/>
          <w:numId w:val="4"/>
        </w:numPr>
        <w:ind w:left="1134" w:right="900" w:firstLine="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Las áreas donde se buscó la información;</w:t>
      </w:r>
    </w:p>
    <w:p w:rsidR="00771FCE" w:rsidRDefault="005C559E">
      <w:pPr>
        <w:numPr>
          <w:ilvl w:val="0"/>
          <w:numId w:val="4"/>
        </w:numPr>
        <w:ind w:left="1134" w:right="900" w:firstLine="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Tipo de archivos buscados (físicos o electrónicos);</w:t>
      </w:r>
    </w:p>
    <w:p w:rsidR="00771FCE" w:rsidRDefault="005C559E">
      <w:pPr>
        <w:numPr>
          <w:ilvl w:val="0"/>
          <w:numId w:val="4"/>
        </w:numPr>
        <w:ind w:left="1134" w:right="900" w:firstLine="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Los criterios de búsqueda utilizados, y </w:t>
      </w:r>
    </w:p>
    <w:p w:rsidR="00771FCE" w:rsidRDefault="005C559E">
      <w:pPr>
        <w:numPr>
          <w:ilvl w:val="0"/>
          <w:numId w:val="4"/>
        </w:numPr>
        <w:ind w:left="1134" w:right="900" w:firstLine="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Las circunstancias que fueron tomadas en cuenta.</w:t>
      </w:r>
      <w:r>
        <w:rPr>
          <w:rFonts w:ascii="Palatino Linotype" w:eastAsia="Palatino Linotype" w:hAnsi="Palatino Linotype" w:cs="Palatino Linotype"/>
          <w:b/>
          <w:bCs/>
          <w:i/>
          <w:iCs/>
          <w:color w:val="000000"/>
          <w:sz w:val="22"/>
          <w:szCs w:val="22"/>
        </w:rPr>
        <w:tab/>
      </w:r>
    </w:p>
    <w:p w:rsidR="00771FCE" w:rsidRDefault="00771FCE">
      <w:pPr>
        <w:spacing w:line="360" w:lineRule="auto"/>
        <w:ind w:right="-504"/>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Conforme a lo anterior, este Instituto considera que la </w:t>
      </w:r>
      <w:r>
        <w:rPr>
          <w:rFonts w:ascii="Palatino Linotype" w:eastAsia="Palatino Linotype" w:hAnsi="Palatino Linotype" w:cs="Palatino Linotype"/>
          <w:b/>
          <w:bCs/>
          <w:color w:val="000000"/>
          <w:sz w:val="22"/>
          <w:szCs w:val="22"/>
        </w:rPr>
        <w:t>Secretaría del Medio Ambiente y Desarrollo Sostenible</w:t>
      </w:r>
      <w:r>
        <w:rPr>
          <w:rFonts w:ascii="Palatino Linotype" w:eastAsia="Palatino Linotype" w:hAnsi="Palatino Linotype" w:cs="Palatino Linotype"/>
          <w:color w:val="000000"/>
          <w:sz w:val="22"/>
          <w:szCs w:val="22"/>
        </w:rPr>
        <w:t xml:space="preserve">, no cumplió con ninguno de los requisitos previamente señalados por lo consiguiente no turnó la solicitud de información a las diversas áreas, toda </w:t>
      </w:r>
      <w:r>
        <w:rPr>
          <w:rFonts w:ascii="Palatino Linotype" w:eastAsia="Palatino Linotype" w:hAnsi="Palatino Linotype" w:cs="Palatino Linotype"/>
          <w:color w:val="000000"/>
          <w:sz w:val="22"/>
          <w:szCs w:val="22"/>
        </w:rPr>
        <w:lastRenderedPageBreak/>
        <w:t xml:space="preserve">vez que de la respuesta entregada no se pronuncian todos los servidores públicos habilitados, por lo que, no se logró advertir que esta haya realizado una indagación de lo requerido, </w:t>
      </w:r>
      <w:r>
        <w:rPr>
          <w:rFonts w:ascii="Palatino Linotype" w:eastAsia="Palatino Linotype" w:hAnsi="Palatino Linotype" w:cs="Palatino Linotype"/>
          <w:b/>
          <w:bCs/>
          <w:color w:val="000000"/>
          <w:sz w:val="22"/>
          <w:szCs w:val="22"/>
        </w:rPr>
        <w:t>no se indago en documentos físicos o también electrónicos y no se logró desprender los criterios de búsqueda utilizados, pues no precisó cómo realizó la misma.</w:t>
      </w:r>
    </w:p>
    <w:p w:rsidR="00771FCE" w:rsidRDefault="00771FCE">
      <w:pPr>
        <w:spacing w:line="360" w:lineRule="auto"/>
        <w:ind w:right="-504"/>
        <w:jc w:val="both"/>
        <w:rPr>
          <w:rFonts w:ascii="Palatino Linotype" w:eastAsia="Palatino Linotype" w:hAnsi="Palatino Linotype" w:cs="Palatino Linotype"/>
          <w:i/>
          <w:iCs/>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color w:val="000000"/>
          <w:sz w:val="22"/>
          <w:szCs w:val="22"/>
        </w:rPr>
      </w:pPr>
      <w:r>
        <w:rPr>
          <w:rFonts w:ascii="Palatino Linotype" w:eastAsia="Palatino Linotype" w:hAnsi="Palatino Linotype" w:cs="Palatino Linotype"/>
          <w:color w:val="000000"/>
          <w:sz w:val="22"/>
          <w:szCs w:val="22"/>
        </w:rPr>
        <w:t>De lo anterior, se concluye que la búsqueda exhaustiva y razonable de la información debe estar sustentada con los respectivos criterios de búsqueda exhaustiva que el sujeto obligado utilizó.</w:t>
      </w:r>
    </w:p>
    <w:p w:rsidR="00771FCE" w:rsidRDefault="00771FCE" w:rsidP="008F1A1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8F1A12" w:rsidRDefault="008F1A1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Finalmente, se debe de señalar que el </w:t>
      </w:r>
      <w:r>
        <w:rPr>
          <w:rFonts w:ascii="Palatino Linotype" w:eastAsia="Palatino Linotype" w:hAnsi="Palatino Linotype" w:cs="Palatino Linotype"/>
          <w:b/>
          <w:bCs/>
          <w:color w:val="000000"/>
          <w:sz w:val="22"/>
          <w:szCs w:val="22"/>
        </w:rPr>
        <w:t xml:space="preserve">RECURRENTE </w:t>
      </w:r>
      <w:r>
        <w:rPr>
          <w:rFonts w:ascii="Palatino Linotype" w:eastAsia="Palatino Linotype" w:hAnsi="Palatino Linotype" w:cs="Palatino Linotype"/>
          <w:color w:val="000000"/>
          <w:sz w:val="22"/>
          <w:szCs w:val="22"/>
        </w:rPr>
        <w:t>solicita información del año 2025, sin embargo posterior al cuatro de agosto del dos mil veinticinco, no se puede entregar información toda vez que del cinco de agosto al treinta y uno de enero de dos mil veinticinco son fechas que no han transcurrido, situación por la cual no se puede entregar información de un periodo que no ha sucedido.</w:t>
      </w:r>
    </w:p>
    <w:p w:rsidR="00771FCE" w:rsidRDefault="00771FCE">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Sirve como </w:t>
      </w:r>
      <w:r>
        <w:rPr>
          <w:rFonts w:ascii="Palatino Linotype" w:eastAsia="Palatino Linotype" w:hAnsi="Palatino Linotype" w:cs="Palatino Linotype"/>
          <w:sz w:val="22"/>
          <w:szCs w:val="22"/>
        </w:rPr>
        <w:t>referencia</w:t>
      </w:r>
      <w:r>
        <w:rPr>
          <w:rFonts w:ascii="Palatino Linotype" w:eastAsia="Palatino Linotype" w:hAnsi="Palatino Linotype" w:cs="Palatino Linotype"/>
          <w:color w:val="000000"/>
          <w:sz w:val="22"/>
          <w:szCs w:val="22"/>
        </w:rPr>
        <w:t xml:space="preserve"> la Jurisprudencia emitida por la Suprema Corte de Justicia de la Nación, que es del texto y rubro siguiente:</w:t>
      </w:r>
    </w:p>
    <w:p w:rsidR="00771FCE" w:rsidRDefault="005C559E">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Pr>
          <w:rFonts w:ascii="Palatino Linotype" w:eastAsia="Palatino Linotype" w:hAnsi="Palatino Linotype" w:cs="Palatino Linotype"/>
          <w:i/>
          <w:iCs/>
          <w:color w:val="000000"/>
          <w:sz w:val="22"/>
          <w:szCs w:val="22"/>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w:t>
      </w:r>
      <w:r>
        <w:rPr>
          <w:rFonts w:ascii="Palatino Linotype" w:eastAsia="Palatino Linotype" w:hAnsi="Palatino Linotype" w:cs="Palatino Linotype"/>
          <w:i/>
          <w:iCs/>
          <w:color w:val="000000"/>
          <w:sz w:val="22"/>
          <w:szCs w:val="22"/>
        </w:rPr>
        <w:lastRenderedPageBreak/>
        <w:t xml:space="preserve">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numeral.No obstante, en términos del artículo 6 de la Constitución Política de los Estados Unidos Mexicanos, toda persona sin necesidad de acreditar interés alguno, tendrá acceso gratuito a la información pública </w:t>
      </w:r>
      <w:r>
        <w:rPr>
          <w:rFonts w:ascii="Palatino Linotype" w:eastAsia="Palatino Linotype" w:hAnsi="Palatino Linotype" w:cs="Palatino Linotype"/>
          <w:b/>
          <w:bCs/>
          <w:i/>
          <w:iCs/>
          <w:color w:val="000000"/>
          <w:sz w:val="22"/>
          <w:szCs w:val="22"/>
        </w:rPr>
        <w:t>en posesión</w:t>
      </w:r>
      <w:r>
        <w:rPr>
          <w:rFonts w:ascii="Palatino Linotype" w:eastAsia="Palatino Linotype" w:hAnsi="Palatino Linotype" w:cs="Palatino Linotype"/>
          <w:i/>
          <w:iCs/>
          <w:color w:val="000000"/>
          <w:sz w:val="22"/>
          <w:szCs w:val="22"/>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rsidR="00771FCE" w:rsidRDefault="00771FCE">
      <w:pPr>
        <w:pBdr>
          <w:top w:val="nil"/>
          <w:left w:val="nil"/>
          <w:bottom w:val="nil"/>
          <w:right w:val="nil"/>
          <w:between w:val="nil"/>
        </w:pBdr>
        <w:ind w:right="-1987"/>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sentido,  se determina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deberá de entrega la información la información solicitada del uno de enero al cuatro de agosto de dos mil veinticinco. </w:t>
      </w:r>
    </w:p>
    <w:p w:rsidR="00771FCE" w:rsidRDefault="00771FCE">
      <w:pPr>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w:t>
      </w:r>
      <w:r>
        <w:rPr>
          <w:rFonts w:ascii="Palatino Linotype" w:eastAsia="Palatino Linotype" w:hAnsi="Palatino Linotype" w:cs="Palatino Linotype"/>
          <w:sz w:val="22"/>
          <w:szCs w:val="22"/>
        </w:rPr>
        <w:t>lo</w:t>
      </w:r>
      <w:r>
        <w:rPr>
          <w:rFonts w:ascii="Palatino Linotype" w:eastAsia="Palatino Linotype" w:hAnsi="Palatino Linotype" w:cs="Palatino Linotype"/>
          <w:color w:val="000000"/>
          <w:sz w:val="22"/>
          <w:szCs w:val="22"/>
        </w:rPr>
        <w:t xml:space="preserve"> tanto, en consecuencia y en mérito de lo expuesto en líneas anteriores, resultan fundadas las razones o motivos de inconformidad hechos valer por el </w:t>
      </w:r>
      <w:r>
        <w:rPr>
          <w:rFonts w:ascii="Palatino Linotype" w:eastAsia="Palatino Linotype" w:hAnsi="Palatino Linotype" w:cs="Palatino Linotype"/>
          <w:b/>
          <w:bCs/>
          <w:color w:val="000000"/>
          <w:sz w:val="22"/>
          <w:szCs w:val="22"/>
        </w:rPr>
        <w:t>RECURRENTE</w:t>
      </w:r>
      <w:r>
        <w:rPr>
          <w:rFonts w:ascii="Palatino Linotype" w:eastAsia="Palatino Linotype" w:hAnsi="Palatino Linotype" w:cs="Palatino Linotype"/>
          <w:color w:val="000000"/>
          <w:sz w:val="22"/>
          <w:szCs w:val="22"/>
        </w:rPr>
        <w:t xml:space="preserve"> en el recurso de revisión</w:t>
      </w:r>
      <w:r>
        <w:rPr>
          <w:rFonts w:ascii="Palatino Linotype" w:eastAsia="Palatino Linotype" w:hAnsi="Palatino Linotype" w:cs="Palatino Linotype"/>
          <w:b/>
          <w:bCs/>
          <w:color w:val="000000"/>
          <w:sz w:val="22"/>
          <w:szCs w:val="22"/>
        </w:rPr>
        <w:t xml:space="preserve"> 10143/INFOEM/IP/RR/2025</w:t>
      </w:r>
      <w:r>
        <w:rPr>
          <w:rFonts w:ascii="Palatino Linotype" w:eastAsia="Palatino Linotype" w:hAnsi="Palatino Linotype" w:cs="Palatino Linotype"/>
          <w:color w:val="000000"/>
          <w:sz w:val="22"/>
          <w:szCs w:val="22"/>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bCs/>
          <w:color w:val="000000"/>
          <w:sz w:val="22"/>
          <w:szCs w:val="22"/>
        </w:rPr>
        <w:t xml:space="preserve">REVOCA </w:t>
      </w:r>
      <w:r>
        <w:rPr>
          <w:rFonts w:ascii="Palatino Linotype" w:eastAsia="Palatino Linotype" w:hAnsi="Palatino Linotype" w:cs="Palatino Linotype"/>
          <w:color w:val="000000"/>
          <w:sz w:val="22"/>
          <w:szCs w:val="22"/>
        </w:rPr>
        <w:t xml:space="preserve">la respuesta a la solicitud de información </w:t>
      </w:r>
      <w:r>
        <w:rPr>
          <w:rFonts w:ascii="Palatino Linotype" w:eastAsia="Palatino Linotype" w:hAnsi="Palatino Linotype" w:cs="Palatino Linotype"/>
          <w:b/>
          <w:bCs/>
          <w:color w:val="000000"/>
          <w:sz w:val="22"/>
          <w:szCs w:val="22"/>
        </w:rPr>
        <w:t xml:space="preserve">00219/SMADS/IP/2025  y se ORDENA </w:t>
      </w:r>
      <w:r>
        <w:rPr>
          <w:rFonts w:ascii="Palatino Linotype" w:eastAsia="Palatino Linotype" w:hAnsi="Palatino Linotype" w:cs="Palatino Linotype"/>
          <w:color w:val="000000"/>
          <w:sz w:val="22"/>
          <w:szCs w:val="22"/>
        </w:rPr>
        <w:t>la entrega de</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las </w:t>
      </w:r>
      <w:r>
        <w:rPr>
          <w:rFonts w:ascii="Palatino Linotype" w:eastAsia="Palatino Linotype" w:hAnsi="Palatino Linotype" w:cs="Palatino Linotype"/>
          <w:b/>
          <w:bCs/>
          <w:color w:val="000000"/>
          <w:sz w:val="22"/>
          <w:szCs w:val="22"/>
        </w:rPr>
        <w:t xml:space="preserve">cédulas </w:t>
      </w:r>
      <w:r>
        <w:rPr>
          <w:rFonts w:ascii="Palatino Linotype" w:eastAsia="Palatino Linotype" w:hAnsi="Palatino Linotype" w:cs="Palatino Linotype"/>
          <w:b/>
          <w:bCs/>
          <w:color w:val="000000"/>
          <w:sz w:val="22"/>
          <w:szCs w:val="22"/>
        </w:rPr>
        <w:lastRenderedPageBreak/>
        <w:t xml:space="preserve">de evaluación de protocolos de investigación, del Comité de Dictaminación Técnica y Metodológica de Proyectos de Investigación, en correcta versión pública.  </w:t>
      </w:r>
      <w:r>
        <w:rPr>
          <w:rFonts w:ascii="Palatino Linotype" w:eastAsia="Palatino Linotype" w:hAnsi="Palatino Linotype" w:cs="Palatino Linotype"/>
          <w:color w:val="000000"/>
          <w:sz w:val="22"/>
          <w:szCs w:val="22"/>
        </w:rPr>
        <w:t xml:space="preserve"> </w:t>
      </w:r>
    </w:p>
    <w:p w:rsidR="00771FCE" w:rsidRDefault="00771FC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771FCE" w:rsidRDefault="005C559E">
      <w:pPr>
        <w:keepNext/>
        <w:keepLines/>
        <w:spacing w:after="16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QUINTO. De la versión pública.</w:t>
      </w:r>
    </w:p>
    <w:p w:rsidR="00771FCE" w:rsidRDefault="005C559E">
      <w:pPr>
        <w:keepNext/>
        <w:keepLines/>
        <w:numPr>
          <w:ilvl w:val="0"/>
          <w:numId w:val="8"/>
        </w:numPr>
        <w:tabs>
          <w:tab w:val="left" w:pos="284"/>
        </w:tabs>
        <w:spacing w:after="160" w:line="360" w:lineRule="auto"/>
        <w:ind w:left="0" w:firstLine="0"/>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Nociones generales. </w:t>
      </w: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Debe destacarse, que debido a la información solicitada por el </w:t>
      </w:r>
      <w:r>
        <w:rPr>
          <w:rFonts w:ascii="Palatino Linotype" w:eastAsia="Palatino Linotype" w:hAnsi="Palatino Linotype" w:cs="Palatino Linotype"/>
          <w:b/>
          <w:bCs/>
          <w:color w:val="000000"/>
          <w:sz w:val="22"/>
          <w:szCs w:val="22"/>
        </w:rPr>
        <w:t xml:space="preserve">RECURRENTE, pueden obrar </w:t>
      </w:r>
      <w:r>
        <w:rPr>
          <w:rFonts w:ascii="Palatino Linotype" w:eastAsia="Palatino Linotype" w:hAnsi="Palatino Linotype" w:cs="Palatino Linotype"/>
          <w:sz w:val="22"/>
          <w:szCs w:val="22"/>
        </w:rPr>
        <w:t>datos</w:t>
      </w:r>
      <w:r>
        <w:rPr>
          <w:rFonts w:ascii="Palatino Linotype" w:eastAsia="Palatino Linotype" w:hAnsi="Palatino Linotype" w:cs="Palatino Linotype"/>
          <w:color w:val="000000"/>
          <w:sz w:val="22"/>
          <w:szCs w:val="22"/>
        </w:rPr>
        <w:t xml:space="preserve"> personales susceptibles de protegerse, así como información susceptible de clasificarse,  por lo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rsidR="00771FCE" w:rsidRDefault="00771FCE">
      <w:pPr>
        <w:tabs>
          <w:tab w:val="left" w:pos="0"/>
          <w:tab w:val="left" w:pos="284"/>
        </w:tabs>
        <w:spacing w:line="360" w:lineRule="auto"/>
        <w:ind w:right="49"/>
        <w:jc w:val="both"/>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pasa desapercibido para este Órgano Garante que los sujetos obligados</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 xml:space="preserve">serán responsables de los datos personales en su posesión y que, en caso de localizarse datos </w:t>
      </w:r>
      <w:r>
        <w:rPr>
          <w:rFonts w:ascii="Palatino Linotype" w:eastAsia="Palatino Linotype" w:hAnsi="Palatino Linotype" w:cs="Palatino Linotype"/>
          <w:sz w:val="22"/>
          <w:szCs w:val="22"/>
        </w:rPr>
        <w:t>concernientes</w:t>
      </w:r>
      <w:r>
        <w:rPr>
          <w:rFonts w:ascii="Palatino Linotype" w:eastAsia="Palatino Linotype" w:hAnsi="Palatino Linotype" w:cs="Palatino Linotype"/>
          <w:color w:val="000000"/>
          <w:sz w:val="22"/>
          <w:szCs w:val="22"/>
        </w:rPr>
        <w:t xml:space="preserve">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71FCE" w:rsidRDefault="00771FCE">
      <w:pPr>
        <w:tabs>
          <w:tab w:val="left" w:pos="284"/>
        </w:tabs>
        <w:spacing w:after="160" w:line="360" w:lineRule="auto"/>
        <w:ind w:right="49"/>
        <w:jc w:val="both"/>
        <w:rPr>
          <w:rFonts w:ascii="Palatino Linotype" w:eastAsia="Palatino Linotype" w:hAnsi="Palatino Linotype" w:cs="Palatino Linotype"/>
          <w:color w:val="000000"/>
          <w:sz w:val="22"/>
          <w:szCs w:val="22"/>
        </w:rPr>
      </w:pPr>
    </w:p>
    <w:tbl>
      <w:tblPr>
        <w:tblStyle w:val="a1"/>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771FCE">
        <w:tc>
          <w:tcPr>
            <w:tcW w:w="2689" w:type="dxa"/>
          </w:tcPr>
          <w:p w:rsidR="00771FCE" w:rsidRDefault="005C559E">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Requisitos previos.</w:t>
            </w:r>
          </w:p>
        </w:tc>
        <w:tc>
          <w:tcPr>
            <w:tcW w:w="6520" w:type="dxa"/>
          </w:tcPr>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Además, se debe señalar el procedimiento, de los tres que establecen los artículos 132 y 106 de la Ley Estatal y General, respectivamente.</w:t>
            </w:r>
          </w:p>
          <w:p w:rsidR="00771FCE" w:rsidRDefault="005C559E">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771FCE">
        <w:tc>
          <w:tcPr>
            <w:tcW w:w="2689" w:type="dxa"/>
          </w:tcPr>
          <w:p w:rsidR="00771FCE" w:rsidRDefault="005C559E">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b) Supuestos de clasificación.</w:t>
            </w:r>
          </w:p>
        </w:tc>
        <w:tc>
          <w:tcPr>
            <w:tcW w:w="6520" w:type="dxa"/>
          </w:tcPr>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71FCE" w:rsidRDefault="005C559E">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w:t>
            </w:r>
            <w:r>
              <w:rPr>
                <w:rFonts w:ascii="Palatino Linotype" w:eastAsia="Palatino Linotype" w:hAnsi="Palatino Linotype" w:cs="Palatino Linotype"/>
                <w:color w:val="000000"/>
                <w:sz w:val="22"/>
                <w:szCs w:val="22"/>
              </w:rPr>
              <w:lastRenderedPageBreak/>
              <w:t>público habilitado y el titular del área que administra la información.</w:t>
            </w:r>
          </w:p>
        </w:tc>
      </w:tr>
      <w:tr w:rsidR="00771FCE">
        <w:tc>
          <w:tcPr>
            <w:tcW w:w="2689" w:type="dxa"/>
          </w:tcPr>
          <w:p w:rsidR="00771FCE" w:rsidRDefault="005C559E">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 Formalidades para emitir el acuerdo de clasificación.</w:t>
            </w:r>
          </w:p>
        </w:tc>
        <w:tc>
          <w:tcPr>
            <w:tcW w:w="6520" w:type="dxa"/>
          </w:tcPr>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necesario que </w:t>
            </w:r>
            <w:r>
              <w:rPr>
                <w:rFonts w:ascii="Palatino Linotype" w:eastAsia="Palatino Linotype" w:hAnsi="Palatino Linotype" w:cs="Palatino Linotype"/>
                <w:b/>
                <w:bCs/>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771FCE" w:rsidRDefault="005C559E">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71FCE">
        <w:tc>
          <w:tcPr>
            <w:tcW w:w="2689" w:type="dxa"/>
          </w:tcPr>
          <w:p w:rsidR="00771FCE" w:rsidRDefault="00771FCE">
            <w:pPr>
              <w:tabs>
                <w:tab w:val="left" w:pos="284"/>
              </w:tabs>
              <w:spacing w:line="360" w:lineRule="auto"/>
              <w:rPr>
                <w:rFonts w:ascii="Palatino Linotype" w:eastAsia="Palatino Linotype" w:hAnsi="Palatino Linotype" w:cs="Palatino Linotype"/>
                <w:sz w:val="22"/>
                <w:szCs w:val="22"/>
              </w:rPr>
            </w:pPr>
          </w:p>
          <w:p w:rsidR="00771FCE" w:rsidRDefault="005C559E">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d) Requisitos de fondo del acuerdo de clasificación. </w:t>
            </w:r>
          </w:p>
        </w:tc>
        <w:tc>
          <w:tcPr>
            <w:tcW w:w="6520" w:type="dxa"/>
          </w:tcPr>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De lo anterior, se desprende que para una correcta </w:t>
            </w:r>
            <w:r>
              <w:rPr>
                <w:rFonts w:ascii="Palatino Linotype" w:eastAsia="Palatino Linotype" w:hAnsi="Palatino Linotype" w:cs="Palatino Linotype"/>
                <w:b/>
                <w:bCs/>
                <w:color w:val="000000"/>
                <w:sz w:val="22"/>
                <w:szCs w:val="22"/>
              </w:rPr>
              <w:t>clasificación total o parcial</w:t>
            </w:r>
            <w:r>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bCs/>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71FCE">
        <w:tc>
          <w:tcPr>
            <w:tcW w:w="2689" w:type="dxa"/>
          </w:tcPr>
          <w:p w:rsidR="00771FCE" w:rsidRDefault="005C559E">
            <w:pPr>
              <w:tabs>
                <w:tab w:val="left" w:pos="284"/>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520" w:type="dxa"/>
          </w:tcPr>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771FCE" w:rsidRDefault="005C559E">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71FCE" w:rsidRDefault="005C559E">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71FCE" w:rsidRDefault="00771FCE">
      <w:pPr>
        <w:tabs>
          <w:tab w:val="left" w:pos="284"/>
        </w:tabs>
        <w:spacing w:line="360" w:lineRule="auto"/>
        <w:jc w:val="both"/>
        <w:rPr>
          <w:rFonts w:ascii="Palatino Linotype" w:eastAsia="Palatino Linotype" w:hAnsi="Palatino Linotype" w:cs="Palatino Linotype"/>
          <w:color w:val="000000"/>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 el servidor público incumple con estas formalidades y entrega la información sin proteger los datos personales incumple con lo que estipula las disposiciones legales establecidas. </w:t>
      </w:r>
    </w:p>
    <w:p w:rsidR="00771FCE" w:rsidRDefault="00771FCE">
      <w:pPr>
        <w:rPr>
          <w:rFonts w:ascii="Palatino Linotype" w:eastAsia="Palatino Linotype" w:hAnsi="Palatino Linotype" w:cs="Palatino Linotype"/>
          <w:sz w:val="22"/>
          <w:szCs w:val="22"/>
        </w:rPr>
      </w:pPr>
    </w:p>
    <w:p w:rsidR="00771FCE" w:rsidRDefault="005C559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w:t>
      </w:r>
      <w:r>
        <w:rPr>
          <w:rFonts w:ascii="Palatino Linotype" w:eastAsia="Palatino Linotype" w:hAnsi="Palatino Linotype" w:cs="Palatino Linotype"/>
          <w:color w:val="222222"/>
          <w:sz w:val="22"/>
          <w:szCs w:val="22"/>
        </w:rPr>
        <w:t xml:space="preserve"> lo anteriormente expuesto y fundado, este </w:t>
      </w:r>
      <w:r>
        <w:rPr>
          <w:rFonts w:ascii="Palatino Linotype" w:eastAsia="Palatino Linotype" w:hAnsi="Palatino Linotype" w:cs="Palatino Linotype"/>
          <w:b/>
          <w:bCs/>
          <w:color w:val="222222"/>
          <w:sz w:val="22"/>
          <w:szCs w:val="22"/>
        </w:rPr>
        <w:t>ÓRGANO GARANTE</w:t>
      </w:r>
      <w:r>
        <w:rPr>
          <w:rFonts w:ascii="Palatino Linotype" w:eastAsia="Palatino Linotype" w:hAnsi="Palatino Linotype" w:cs="Palatino Linotype"/>
          <w:color w:val="222222"/>
          <w:sz w:val="22"/>
          <w:szCs w:val="22"/>
        </w:rPr>
        <w:t xml:space="preserve"> emite los siguientes: </w:t>
      </w:r>
    </w:p>
    <w:p w:rsidR="00771FCE" w:rsidRDefault="005C559E">
      <w:pPr>
        <w:pStyle w:val="Ttulo1"/>
        <w:jc w:val="center"/>
        <w:rPr>
          <w:rFonts w:ascii="Palatino Linotype" w:eastAsia="Palatino Linotype" w:hAnsi="Palatino Linotype" w:cs="Palatino Linotype"/>
          <w:b/>
          <w:bCs/>
          <w:color w:val="000000"/>
          <w:sz w:val="22"/>
          <w:szCs w:val="22"/>
        </w:rPr>
      </w:pPr>
      <w:bookmarkStart w:id="11" w:name="_heading=h.17dp8vu" w:colFirst="0" w:colLast="0"/>
      <w:bookmarkEnd w:id="11"/>
      <w:r>
        <w:rPr>
          <w:rFonts w:ascii="Palatino Linotype" w:eastAsia="Palatino Linotype" w:hAnsi="Palatino Linotype" w:cs="Palatino Linotype"/>
          <w:b/>
          <w:bCs/>
          <w:color w:val="000000"/>
          <w:sz w:val="22"/>
          <w:szCs w:val="22"/>
        </w:rPr>
        <w:t>R E S O L U T I V O S</w:t>
      </w:r>
    </w:p>
    <w:p w:rsidR="00771FCE" w:rsidRDefault="00771FCE">
      <w:pPr>
        <w:keepNext/>
        <w:keepLines/>
        <w:spacing w:line="360" w:lineRule="auto"/>
        <w:jc w:val="center"/>
        <w:rPr>
          <w:rFonts w:ascii="Palatino Linotype" w:eastAsia="Palatino Linotype" w:hAnsi="Palatino Linotype" w:cs="Palatino Linotype"/>
          <w:b/>
          <w:bCs/>
          <w:sz w:val="22"/>
          <w:szCs w:val="22"/>
        </w:rPr>
      </w:pPr>
    </w:p>
    <w:p w:rsidR="00771FCE" w:rsidRDefault="005C559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Resultan  fundadas las</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razones o motivos de inconformidad hechos valer en los recurso de revisión </w:t>
      </w:r>
      <w:r>
        <w:rPr>
          <w:rFonts w:ascii="Palatino Linotype" w:eastAsia="Palatino Linotype" w:hAnsi="Palatino Linotype" w:cs="Palatino Linotype"/>
          <w:b/>
          <w:bCs/>
          <w:sz w:val="22"/>
          <w:szCs w:val="22"/>
        </w:rPr>
        <w:t xml:space="preserve">10143/INFOEM/IP/RR/2025, </w:t>
      </w:r>
      <w:r>
        <w:rPr>
          <w:rFonts w:ascii="Palatino Linotype" w:eastAsia="Palatino Linotype" w:hAnsi="Palatino Linotype" w:cs="Palatino Linotype"/>
          <w:sz w:val="22"/>
          <w:szCs w:val="22"/>
        </w:rPr>
        <w:t>en términos de los</w:t>
      </w:r>
      <w:r>
        <w:rPr>
          <w:rFonts w:ascii="Palatino Linotype" w:eastAsia="Palatino Linotype" w:hAnsi="Palatino Linotype" w:cs="Palatino Linotype"/>
          <w:b/>
          <w:bCs/>
          <w:sz w:val="22"/>
          <w:szCs w:val="22"/>
        </w:rPr>
        <w:t xml:space="preserve"> Considerandos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CUARTO </w:t>
      </w:r>
      <w:r>
        <w:rPr>
          <w:rFonts w:ascii="Palatino Linotype" w:eastAsia="Palatino Linotype" w:hAnsi="Palatino Linotype" w:cs="Palatino Linotype"/>
          <w:sz w:val="22"/>
          <w:szCs w:val="22"/>
        </w:rPr>
        <w:t>y</w:t>
      </w:r>
      <w:r>
        <w:rPr>
          <w:rFonts w:ascii="Palatino Linotype" w:eastAsia="Palatino Linotype" w:hAnsi="Palatino Linotype" w:cs="Palatino Linotype"/>
          <w:b/>
          <w:bCs/>
          <w:sz w:val="22"/>
          <w:szCs w:val="22"/>
        </w:rPr>
        <w:t xml:space="preserve"> QUINTO </w:t>
      </w:r>
      <w:r>
        <w:rPr>
          <w:rFonts w:ascii="Palatino Linotype" w:eastAsia="Palatino Linotype" w:hAnsi="Palatino Linotype" w:cs="Palatino Linotype"/>
          <w:sz w:val="22"/>
          <w:szCs w:val="22"/>
        </w:rPr>
        <w:t>de la presente resolución.</w:t>
      </w:r>
    </w:p>
    <w:p w:rsidR="00771FCE" w:rsidRDefault="00771FCE">
      <w:pPr>
        <w:spacing w:line="360" w:lineRule="auto"/>
        <w:jc w:val="both"/>
        <w:rPr>
          <w:rFonts w:ascii="Palatino Linotype" w:eastAsia="Palatino Linotype" w:hAnsi="Palatino Linotype" w:cs="Palatino Linotype"/>
          <w:b/>
          <w:bCs/>
          <w:sz w:val="22"/>
          <w:szCs w:val="22"/>
        </w:rPr>
      </w:pPr>
    </w:p>
    <w:p w:rsidR="00771FCE" w:rsidRDefault="005C559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bookmarkStart w:id="12" w:name="_heading=h.e1jfhpq2lxph" w:colFirst="0" w:colLast="0"/>
      <w:bookmarkEnd w:id="12"/>
      <w:r>
        <w:rPr>
          <w:rFonts w:ascii="Palatino Linotype" w:eastAsia="Palatino Linotype" w:hAnsi="Palatino Linotype" w:cs="Palatino Linotype"/>
          <w:b/>
          <w:bCs/>
          <w:color w:val="000000"/>
          <w:sz w:val="22"/>
          <w:szCs w:val="22"/>
        </w:rPr>
        <w:t xml:space="preserve">SEGUNDO.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bCs/>
          <w:color w:val="000000"/>
          <w:sz w:val="22"/>
          <w:szCs w:val="22"/>
        </w:rPr>
        <w:t xml:space="preserve">REVOCA </w:t>
      </w:r>
      <w:r>
        <w:rPr>
          <w:rFonts w:ascii="Palatino Linotype" w:eastAsia="Palatino Linotype" w:hAnsi="Palatino Linotype" w:cs="Palatino Linotype"/>
          <w:color w:val="000000"/>
          <w:sz w:val="22"/>
          <w:szCs w:val="22"/>
        </w:rPr>
        <w:t xml:space="preserve"> la respuesta y se </w:t>
      </w:r>
      <w:r>
        <w:rPr>
          <w:rFonts w:ascii="Palatino Linotype" w:eastAsia="Palatino Linotype" w:hAnsi="Palatino Linotype" w:cs="Palatino Linotype"/>
          <w:b/>
          <w:bCs/>
          <w:color w:val="000000"/>
          <w:sz w:val="22"/>
          <w:szCs w:val="22"/>
        </w:rPr>
        <w:t xml:space="preserve">ORDENA </w:t>
      </w:r>
      <w:r>
        <w:rPr>
          <w:rFonts w:ascii="Palatino Linotype" w:eastAsia="Palatino Linotype" w:hAnsi="Palatino Linotype" w:cs="Palatino Linotype"/>
          <w:color w:val="000000"/>
          <w:sz w:val="22"/>
          <w:szCs w:val="22"/>
        </w:rPr>
        <w:t>a</w:t>
      </w:r>
      <w:r w:rsidR="009C16F5">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t>l</w:t>
      </w:r>
      <w:r w:rsidR="009C16F5">
        <w:rPr>
          <w:rFonts w:ascii="Palatino Linotype" w:eastAsia="Palatino Linotype" w:hAnsi="Palatino Linotype" w:cs="Palatino Linotype"/>
          <w:color w:val="000000"/>
          <w:sz w:val="22"/>
          <w:szCs w:val="22"/>
        </w:rPr>
        <w:t>a</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color w:val="000000"/>
          <w:sz w:val="22"/>
          <w:szCs w:val="22"/>
        </w:rPr>
        <w:t>Secretaría del Medio Ambiente y Desarrollo Sostenible</w:t>
      </w:r>
      <w:r>
        <w:rPr>
          <w:rFonts w:ascii="Palatino Linotype" w:eastAsia="Palatino Linotype" w:hAnsi="Palatino Linotype" w:cs="Palatino Linotype"/>
          <w:color w:val="000000"/>
          <w:sz w:val="22"/>
          <w:szCs w:val="22"/>
        </w:rPr>
        <w:t xml:space="preserve"> entregar, vía Sistema de Acceso a la Información Mexiquense (SAIMEX), de ser procedente en versión pública, previa búsqueda exhaustivo y razonable, la siguiente información:</w:t>
      </w:r>
    </w:p>
    <w:p w:rsidR="00771FCE" w:rsidRDefault="00771FCE">
      <w:pPr>
        <w:pBdr>
          <w:top w:val="nil"/>
          <w:left w:val="nil"/>
          <w:bottom w:val="nil"/>
          <w:right w:val="nil"/>
          <w:between w:val="nil"/>
        </w:pBdr>
        <w:spacing w:line="360" w:lineRule="auto"/>
        <w:ind w:right="822"/>
        <w:jc w:val="both"/>
        <w:rPr>
          <w:rFonts w:ascii="Palatino Linotype" w:eastAsia="Palatino Linotype" w:hAnsi="Palatino Linotype" w:cs="Palatino Linotype"/>
          <w:b/>
          <w:bCs/>
          <w:color w:val="000000"/>
          <w:sz w:val="22"/>
          <w:szCs w:val="22"/>
        </w:rPr>
      </w:pPr>
    </w:p>
    <w:p w:rsidR="00771FCE" w:rsidRDefault="005C559E" w:rsidP="007B7077">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 Justificantes y avisos de comisión de los servidores públicos adscritos a la Dirección de Concertación y Participación Ciudadana, Dirección de Ordenamiento Territorial y Coordinación General de Conservación Ecológica con la documentación </w:t>
      </w:r>
      <w:r w:rsidRPr="00134ABF">
        <w:rPr>
          <w:rFonts w:ascii="Palatino Linotype" w:eastAsia="Palatino Linotype" w:hAnsi="Palatino Linotype" w:cs="Palatino Linotype"/>
          <w:i/>
          <w:iCs/>
          <w:color w:val="000000"/>
          <w:sz w:val="22"/>
          <w:szCs w:val="22"/>
        </w:rPr>
        <w:t xml:space="preserve">comprobatoria, </w:t>
      </w:r>
      <w:r w:rsidR="007B7077" w:rsidRPr="00134ABF">
        <w:rPr>
          <w:rFonts w:ascii="Palatino Linotype" w:eastAsia="Palatino Linotype" w:hAnsi="Palatino Linotype" w:cs="Palatino Linotype"/>
          <w:i/>
          <w:iCs/>
          <w:color w:val="000000"/>
          <w:sz w:val="22"/>
          <w:szCs w:val="22"/>
        </w:rPr>
        <w:t>referidos en respuesta.</w:t>
      </w:r>
    </w:p>
    <w:p w:rsidR="009C16F5" w:rsidRDefault="009C16F5" w:rsidP="007B7077">
      <w:pPr>
        <w:pBdr>
          <w:top w:val="nil"/>
          <w:left w:val="nil"/>
          <w:bottom w:val="nil"/>
          <w:right w:val="nil"/>
          <w:between w:val="nil"/>
        </w:pBdr>
        <w:ind w:left="1134" w:right="900"/>
        <w:jc w:val="both"/>
        <w:rPr>
          <w:rFonts w:ascii="Palatino Linotype" w:eastAsia="Palatino Linotype" w:hAnsi="Palatino Linotype" w:cs="Palatino Linotype"/>
          <w:b/>
          <w:bCs/>
          <w:sz w:val="22"/>
          <w:szCs w:val="22"/>
        </w:rPr>
      </w:pPr>
    </w:p>
    <w:p w:rsidR="00771FCE" w:rsidRDefault="005C559E">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bookmarkStart w:id="13" w:name="_heading=h.w0ycrbvxzrwb" w:colFirst="0" w:colLast="0"/>
      <w:bookmarkEnd w:id="13"/>
      <w:r>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bCs/>
          <w:sz w:val="22"/>
          <w:szCs w:val="22"/>
        </w:rPr>
        <w:t>RECURRENTE.</w:t>
      </w:r>
    </w:p>
    <w:p w:rsidR="00771FCE" w:rsidRDefault="00771FCE">
      <w:pPr>
        <w:pBdr>
          <w:top w:val="nil"/>
          <w:left w:val="nil"/>
          <w:bottom w:val="nil"/>
          <w:right w:val="nil"/>
          <w:between w:val="nil"/>
        </w:pBdr>
        <w:spacing w:line="360" w:lineRule="auto"/>
        <w:ind w:right="822"/>
        <w:jc w:val="both"/>
        <w:rPr>
          <w:rFonts w:ascii="Palatino Linotype" w:eastAsia="Palatino Linotype" w:hAnsi="Palatino Linotype" w:cs="Palatino Linotype"/>
          <w:b/>
          <w:bCs/>
          <w:color w:val="000000"/>
          <w:sz w:val="22"/>
          <w:szCs w:val="22"/>
        </w:rPr>
      </w:pPr>
      <w:bookmarkStart w:id="14" w:name="_heading=h.8oitbmf0i9ll" w:colFirst="0" w:colLast="0"/>
      <w:bookmarkEnd w:id="14"/>
    </w:p>
    <w:p w:rsidR="00771FCE" w:rsidRDefault="005C559E">
      <w:pPr>
        <w:tabs>
          <w:tab w:val="left" w:pos="284"/>
          <w:tab w:val="left" w:pos="8080"/>
        </w:tabs>
        <w:spacing w:line="360" w:lineRule="auto"/>
        <w:ind w:right="49"/>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b/>
          <w:bCs/>
          <w:color w:val="222222"/>
          <w:sz w:val="22"/>
          <w:szCs w:val="22"/>
        </w:rPr>
        <w:t>NOTIFÍQUESE</w:t>
      </w:r>
      <w:r>
        <w:rPr>
          <w:rFonts w:ascii="Palatino Linotype" w:eastAsia="Palatino Linotype" w:hAnsi="Palatino Linotype" w:cs="Palatino Linotype"/>
          <w:color w:val="222222"/>
          <w:sz w:val="22"/>
          <w:szCs w:val="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sz w:val="22"/>
          <w:szCs w:val="22"/>
        </w:rPr>
        <w:t>dé cumplimiento a lo ordenado dentro del plazo de diez días hábiles</w:t>
      </w:r>
      <w:r>
        <w:rPr>
          <w:rFonts w:ascii="Palatino Linotype" w:eastAsia="Palatino Linotype" w:hAnsi="Palatino Linotype" w:cs="Palatino Linotype"/>
          <w:color w:val="222222"/>
          <w:sz w:val="22"/>
          <w:szCs w:val="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71FCE" w:rsidRDefault="00771FCE">
      <w:pPr>
        <w:tabs>
          <w:tab w:val="left" w:pos="284"/>
          <w:tab w:val="left" w:pos="8080"/>
        </w:tabs>
        <w:spacing w:line="360" w:lineRule="auto"/>
        <w:ind w:right="49"/>
        <w:jc w:val="both"/>
        <w:rPr>
          <w:rFonts w:ascii="Palatino Linotype" w:eastAsia="Palatino Linotype" w:hAnsi="Palatino Linotype" w:cs="Palatino Linotype"/>
          <w:color w:val="222222"/>
          <w:sz w:val="22"/>
          <w:szCs w:val="22"/>
        </w:rPr>
      </w:pPr>
    </w:p>
    <w:p w:rsidR="00771FCE" w:rsidRDefault="005C559E">
      <w:pPr>
        <w:shd w:val="clear" w:color="auto" w:fill="FFFFFF"/>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CUARTO. </w:t>
      </w:r>
      <w:r>
        <w:rPr>
          <w:rFonts w:ascii="Palatino Linotype" w:eastAsia="Palatino Linotype" w:hAnsi="Palatino Linotype" w:cs="Palatino Linotype"/>
          <w:b/>
          <w:bCs/>
          <w:color w:val="222222"/>
          <w:sz w:val="22"/>
          <w:szCs w:val="22"/>
        </w:rPr>
        <w:t xml:space="preserve">Notifíquese </w:t>
      </w:r>
      <w:r>
        <w:rPr>
          <w:rFonts w:ascii="Palatino Linotype" w:eastAsia="Palatino Linotype" w:hAnsi="Palatino Linotype" w:cs="Palatino Linotype"/>
          <w:color w:val="222222"/>
          <w:sz w:val="22"/>
          <w:szCs w:val="22"/>
        </w:rPr>
        <w:t xml:space="preserve">al </w:t>
      </w:r>
      <w:r>
        <w:rPr>
          <w:rFonts w:ascii="Palatino Linotype" w:eastAsia="Palatino Linotype" w:hAnsi="Palatino Linotype" w:cs="Palatino Linotype"/>
          <w:b/>
          <w:bCs/>
          <w:color w:val="222222"/>
          <w:sz w:val="22"/>
          <w:szCs w:val="22"/>
        </w:rPr>
        <w:t xml:space="preserve">RECURRENTE </w:t>
      </w:r>
      <w:r>
        <w:rPr>
          <w:rFonts w:ascii="Palatino Linotype" w:eastAsia="Palatino Linotype" w:hAnsi="Palatino Linotype" w:cs="Palatino Linotype"/>
          <w:sz w:val="22"/>
          <w:szCs w:val="22"/>
        </w:rPr>
        <w:t xml:space="preserve">la presente resolución a través del Sistema de Acceso a la Información Mexiquense (SAIMEX). </w:t>
      </w:r>
    </w:p>
    <w:p w:rsidR="00771FCE" w:rsidRDefault="00771FCE">
      <w:pPr>
        <w:shd w:val="clear" w:color="auto" w:fill="FFFFFF"/>
        <w:tabs>
          <w:tab w:val="left" w:pos="284"/>
        </w:tabs>
        <w:spacing w:line="360" w:lineRule="auto"/>
        <w:jc w:val="both"/>
        <w:rPr>
          <w:rFonts w:ascii="Palatino Linotype" w:eastAsia="Palatino Linotype" w:hAnsi="Palatino Linotype" w:cs="Palatino Linotype"/>
          <w:sz w:val="22"/>
          <w:szCs w:val="22"/>
        </w:rPr>
      </w:pPr>
    </w:p>
    <w:p w:rsidR="00771FCE" w:rsidRDefault="005C559E">
      <w:pPr>
        <w:spacing w:line="360" w:lineRule="auto"/>
        <w:jc w:val="both"/>
        <w:rPr>
          <w:rFonts w:ascii="Palatino Linotype" w:eastAsia="Palatino Linotype" w:hAnsi="Palatino Linotype" w:cs="Palatino Linotype"/>
          <w:sz w:val="22"/>
          <w:szCs w:val="22"/>
        </w:rPr>
      </w:pPr>
      <w:bookmarkStart w:id="15" w:name="_heading=h.sceulnhlo9aw" w:colFirst="0" w:colLast="0"/>
      <w:bookmarkEnd w:id="15"/>
      <w:r>
        <w:rPr>
          <w:rFonts w:ascii="Palatino Linotype" w:eastAsia="Palatino Linotype" w:hAnsi="Palatino Linotype" w:cs="Palatino Linotype"/>
          <w:b/>
          <w:bCs/>
          <w:sz w:val="22"/>
          <w:szCs w:val="22"/>
        </w:rPr>
        <w:t xml:space="preserve">QUINTO. </w:t>
      </w:r>
      <w:r>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771FCE" w:rsidRDefault="005C559E">
      <w:pPr>
        <w:shd w:val="clear" w:color="auto" w:fill="FFFFFF"/>
        <w:spacing w:before="240" w:after="360" w:line="360" w:lineRule="auto"/>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sz w:val="22"/>
          <w:szCs w:val="22"/>
        </w:rPr>
        <w:t>SEXTO.</w:t>
      </w:r>
      <w:r>
        <w:rPr>
          <w:rFonts w:ascii="Palatino Linotype" w:eastAsia="Palatino Linotype" w:hAnsi="Palatino Linotype" w:cs="Palatino Linotype"/>
          <w:color w:val="222222"/>
          <w:sz w:val="22"/>
          <w:szCs w:val="22"/>
        </w:rPr>
        <w:t xml:space="preserve"> </w:t>
      </w:r>
      <w:r>
        <w:rPr>
          <w:rFonts w:ascii="Palatino Linotype" w:eastAsia="Palatino Linotype" w:hAnsi="Palatino Linotype" w:cs="Palatino Linotype"/>
          <w:sz w:val="22"/>
          <w:szCs w:val="22"/>
        </w:rPr>
        <w:t xml:space="preserve">Se hace del conocimiento del RECURRENTE que, de conformidad con lo establecido en el artículo 196 de la Ley de Transparencia y Acceso a la Información Pública del Estado de México y Municipios, </w:t>
      </w:r>
      <w:r>
        <w:rPr>
          <w:rFonts w:ascii="Palatino Linotype" w:eastAsia="Palatino Linotype" w:hAnsi="Palatino Linotype" w:cs="Palatino Linotype"/>
          <w:color w:val="000000"/>
          <w:sz w:val="22"/>
          <w:szCs w:val="22"/>
        </w:rPr>
        <w:t xml:space="preserve">en caso de que considere que la resolución le cause algún perjuicio podrá </w:t>
      </w:r>
      <w:r>
        <w:rPr>
          <w:rFonts w:ascii="Palatino Linotype" w:eastAsia="Palatino Linotype" w:hAnsi="Palatino Linotype" w:cs="Palatino Linotype"/>
          <w:sz w:val="22"/>
          <w:szCs w:val="22"/>
        </w:rPr>
        <w:t>impugnar vía</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juicio de amparo en los términos de las leyes aplicables.</w:t>
      </w:r>
    </w:p>
    <w:p w:rsidR="009C16F5" w:rsidRPr="009C16F5" w:rsidRDefault="009C16F5" w:rsidP="009C16F5">
      <w:pPr>
        <w:spacing w:before="240" w:after="240" w:line="360" w:lineRule="auto"/>
        <w:ind w:firstLine="1"/>
        <w:jc w:val="both"/>
        <w:rPr>
          <w:rFonts w:ascii="Palatino Linotype" w:hAnsi="Palatino Linotype"/>
          <w:sz w:val="22"/>
        </w:rPr>
      </w:pPr>
      <w:bookmarkStart w:id="16" w:name="_Hlk99014733"/>
      <w:r w:rsidRPr="009C16F5">
        <w:rPr>
          <w:rFonts w:ascii="Palatino Linotype" w:hAnsi="Palatino Linotype" w:cs="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(25) DE MARZO DE DOS MIL VEINTISÉIS, ANTE EL SECRETARIO TÉCNICO DEL PLENO </w:t>
      </w:r>
      <w:r w:rsidRPr="009C16F5">
        <w:rPr>
          <w:rFonts w:ascii="Palatino Linotype" w:hAnsi="Palatino Linotype" w:cs="Palatino Linotype"/>
          <w:color w:val="000000" w:themeColor="text1"/>
          <w:sz w:val="22"/>
        </w:rPr>
        <w:t>ALEXIS TAPIA RAMÍREZ.</w:t>
      </w:r>
    </w:p>
    <w:bookmarkEnd w:id="16"/>
    <w:p w:rsidR="00771FCE" w:rsidRDefault="00771FCE">
      <w:pPr>
        <w:rPr>
          <w:sz w:val="22"/>
          <w:szCs w:val="22"/>
        </w:rPr>
      </w:pPr>
    </w:p>
    <w:p w:rsidR="00134ABF" w:rsidRDefault="00134ABF">
      <w:pPr>
        <w:rPr>
          <w:sz w:val="22"/>
          <w:szCs w:val="22"/>
        </w:rPr>
      </w:pPr>
    </w:p>
    <w:p w:rsidR="00134ABF" w:rsidRDefault="00134ABF">
      <w:pPr>
        <w:rPr>
          <w:sz w:val="22"/>
          <w:szCs w:val="22"/>
        </w:rPr>
      </w:pPr>
    </w:p>
    <w:p w:rsidR="00134ABF" w:rsidRDefault="00134ABF">
      <w:pPr>
        <w:rPr>
          <w:sz w:val="22"/>
          <w:szCs w:val="22"/>
        </w:rPr>
      </w:pPr>
    </w:p>
    <w:p w:rsidR="00134ABF" w:rsidRDefault="00134ABF">
      <w:pPr>
        <w:rPr>
          <w:sz w:val="22"/>
          <w:szCs w:val="22"/>
        </w:rPr>
      </w:pPr>
    </w:p>
    <w:p w:rsidR="00134ABF" w:rsidRDefault="00134ABF">
      <w:pPr>
        <w:rPr>
          <w:sz w:val="22"/>
          <w:szCs w:val="22"/>
        </w:rPr>
      </w:pPr>
    </w:p>
    <w:p w:rsidR="00134ABF" w:rsidRDefault="00134ABF">
      <w:pPr>
        <w:rPr>
          <w:sz w:val="22"/>
          <w:szCs w:val="22"/>
        </w:rPr>
      </w:pPr>
    </w:p>
    <w:p w:rsidR="00134ABF" w:rsidRDefault="00134ABF">
      <w:pPr>
        <w:rPr>
          <w:sz w:val="22"/>
          <w:szCs w:val="22"/>
        </w:rPr>
      </w:pPr>
    </w:p>
    <w:p w:rsidR="00134ABF" w:rsidRDefault="00134ABF">
      <w:pPr>
        <w:rPr>
          <w:sz w:val="22"/>
          <w:szCs w:val="22"/>
        </w:rPr>
      </w:pPr>
    </w:p>
    <w:p w:rsidR="00134ABF" w:rsidRDefault="00134ABF">
      <w:pPr>
        <w:rPr>
          <w:sz w:val="22"/>
          <w:szCs w:val="22"/>
        </w:rPr>
      </w:pPr>
    </w:p>
    <w:p w:rsidR="00134ABF" w:rsidRDefault="00134ABF">
      <w:pPr>
        <w:rPr>
          <w:sz w:val="22"/>
          <w:szCs w:val="22"/>
        </w:rPr>
      </w:pPr>
    </w:p>
    <w:sectPr w:rsidR="00134ABF">
      <w:headerReference w:type="even" r:id="rId16"/>
      <w:headerReference w:type="default" r:id="rId17"/>
      <w:footerReference w:type="default" r:id="rId18"/>
      <w:headerReference w:type="first" r:id="rId19"/>
      <w:footerReference w:type="first" r:id="rId20"/>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DC9" w:rsidRDefault="002A6DC9">
      <w:r>
        <w:separator/>
      </w:r>
    </w:p>
  </w:endnote>
  <w:endnote w:type="continuationSeparator" w:id="0">
    <w:p w:rsidR="002A6DC9" w:rsidRDefault="002A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1159B02-DDE1-41B8-8FBA-2C7D364762A4}"/>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2" w:fontKey="{0D8D6AB7-A1AB-4910-BA07-167495B6A1A6}"/>
    <w:embedBold r:id="rId3" w:fontKey="{3679B1E9-28D3-4EB1-958D-96F32027D52B}"/>
    <w:embedItalic r:id="rId4" w:fontKey="{34F3344F-7EE4-4EDF-8545-3DA04BBDD2D3}"/>
    <w:embedBoldItalic r:id="rId5" w:fontKey="{2CA13BC0-A33C-45BF-9439-1DE8EC7458C9}"/>
  </w:font>
  <w:font w:name="Calibri">
    <w:panose1 w:val="020F0502020204030204"/>
    <w:charset w:val="00"/>
    <w:family w:val="swiss"/>
    <w:pitch w:val="variable"/>
    <w:sig w:usb0="E4002EFF" w:usb1="C200247B" w:usb2="00000009" w:usb3="00000000" w:csb0="000001FF" w:csb1="00000000"/>
    <w:embedRegular r:id="rId6" w:fontKey="{960FA4E8-E92C-4919-BED5-C9A0D47D137F}"/>
    <w:embedBold r:id="rId7" w:fontKey="{8386133A-9F24-46A3-A9DB-6D0B0716E79D}"/>
    <w:embedItalic r:id="rId8" w:fontKey="{4C2043C7-D96A-4F95-906E-B4A9BD71462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6530AAC9-9877-4E6D-85D4-E15199C07F0E}"/>
  </w:font>
  <w:font w:name="Georgia">
    <w:panose1 w:val="02040502050405020303"/>
    <w:charset w:val="00"/>
    <w:family w:val="roman"/>
    <w:pitch w:val="variable"/>
    <w:sig w:usb0="00000287" w:usb1="00000000" w:usb2="00000000" w:usb3="00000000" w:csb0="0000009F" w:csb1="00000000"/>
    <w:embedItalic r:id="rId10" w:fontKey="{93755E7F-381E-47B7-9E57-632E98CBF3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FCE" w:rsidRDefault="005C559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A7283">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A7283">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p>
  <w:p w:rsidR="00771FCE" w:rsidRDefault="00771FC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FCE" w:rsidRDefault="005C559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A728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A7283">
      <w:rPr>
        <w:rFonts w:ascii="Palatino Linotype" w:eastAsia="Palatino Linotype" w:hAnsi="Palatino Linotype" w:cs="Palatino Linotype"/>
        <w:noProof/>
        <w:color w:val="000000"/>
        <w:sz w:val="20"/>
        <w:szCs w:val="20"/>
      </w:rPr>
      <w:t>46</w:t>
    </w:r>
    <w:r>
      <w:rPr>
        <w:rFonts w:ascii="Palatino Linotype" w:eastAsia="Palatino Linotype" w:hAnsi="Palatino Linotype" w:cs="Palatino Linotype"/>
        <w:color w:val="000000"/>
        <w:sz w:val="20"/>
        <w:szCs w:val="20"/>
      </w:rPr>
      <w:fldChar w:fldCharType="end"/>
    </w:r>
  </w:p>
  <w:p w:rsidR="00771FCE" w:rsidRDefault="00771FC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DC9" w:rsidRDefault="002A6DC9">
      <w:r>
        <w:separator/>
      </w:r>
    </w:p>
  </w:footnote>
  <w:footnote w:type="continuationSeparator" w:id="0">
    <w:p w:rsidR="002A6DC9" w:rsidRDefault="002A6DC9">
      <w:r>
        <w:continuationSeparator/>
      </w:r>
    </w:p>
  </w:footnote>
  <w:footnote w:id="1">
    <w:p w:rsidR="00771FCE" w:rsidRDefault="005C559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771FCE" w:rsidRDefault="005C559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771FCE" w:rsidRDefault="005C559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771FCE" w:rsidRDefault="005C559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FCE" w:rsidRDefault="002A6DC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FCE" w:rsidRDefault="00771FCE">
    <w:pPr>
      <w:widowControl w:val="0"/>
      <w:pBdr>
        <w:top w:val="nil"/>
        <w:left w:val="nil"/>
        <w:bottom w:val="nil"/>
        <w:right w:val="nil"/>
        <w:between w:val="nil"/>
      </w:pBdr>
      <w:spacing w:line="276" w:lineRule="auto"/>
      <w:rPr>
        <w:color w:val="000000"/>
      </w:rPr>
    </w:pPr>
  </w:p>
  <w:tbl>
    <w:tblPr>
      <w:tblStyle w:val="a2"/>
      <w:tblW w:w="6519" w:type="dxa"/>
      <w:tblInd w:w="3032" w:type="dxa"/>
      <w:tblLayout w:type="fixed"/>
      <w:tblLook w:val="0400" w:firstRow="0" w:lastRow="0" w:firstColumn="0" w:lastColumn="0" w:noHBand="0" w:noVBand="1"/>
    </w:tblPr>
    <w:tblGrid>
      <w:gridCol w:w="2976"/>
      <w:gridCol w:w="3543"/>
    </w:tblGrid>
    <w:tr w:rsidR="00771FCE">
      <w:trPr>
        <w:trHeight w:val="227"/>
      </w:trPr>
      <w:tc>
        <w:tcPr>
          <w:tcW w:w="2976" w:type="dxa"/>
          <w:vAlign w:val="center"/>
        </w:tcPr>
        <w:p w:rsidR="00771FCE" w:rsidRDefault="005C559E">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543" w:type="dxa"/>
          <w:vAlign w:val="center"/>
        </w:tcPr>
        <w:p w:rsidR="00771FCE" w:rsidRDefault="005C559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10143/INFOEM/IP/RR/2025</w:t>
          </w:r>
        </w:p>
      </w:tc>
    </w:tr>
    <w:tr w:rsidR="00771FCE">
      <w:trPr>
        <w:trHeight w:val="242"/>
      </w:trPr>
      <w:tc>
        <w:tcPr>
          <w:tcW w:w="2976" w:type="dxa"/>
          <w:vAlign w:val="center"/>
        </w:tcPr>
        <w:p w:rsidR="00771FCE" w:rsidRDefault="005C559E">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543" w:type="dxa"/>
          <w:vAlign w:val="center"/>
        </w:tcPr>
        <w:p w:rsidR="00771FCE" w:rsidRDefault="005C559E">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bCs/>
              <w:color w:val="000000"/>
              <w:sz w:val="22"/>
              <w:szCs w:val="22"/>
            </w:rPr>
            <w:t>Secretaría del Medio Ambiente y Desarrollo Sostenible</w:t>
          </w:r>
        </w:p>
      </w:tc>
    </w:tr>
    <w:tr w:rsidR="00771FCE">
      <w:trPr>
        <w:trHeight w:val="342"/>
      </w:trPr>
      <w:tc>
        <w:tcPr>
          <w:tcW w:w="2976" w:type="dxa"/>
          <w:vAlign w:val="center"/>
        </w:tcPr>
        <w:p w:rsidR="00771FCE" w:rsidRDefault="005C559E">
          <w:pPr>
            <w:ind w:right="34"/>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543" w:type="dxa"/>
          <w:vAlign w:val="center"/>
        </w:tcPr>
        <w:p w:rsidR="00771FCE" w:rsidRDefault="005C559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771FCE" w:rsidRDefault="002A6DC9">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FCE" w:rsidRDefault="00771FCE">
    <w:pPr>
      <w:widowControl w:val="0"/>
      <w:pBdr>
        <w:top w:val="nil"/>
        <w:left w:val="nil"/>
        <w:bottom w:val="nil"/>
        <w:right w:val="nil"/>
        <w:between w:val="nil"/>
      </w:pBdr>
      <w:spacing w:line="276" w:lineRule="auto"/>
      <w:rPr>
        <w:color w:val="000000"/>
        <w:sz w:val="14"/>
        <w:szCs w:val="14"/>
      </w:rPr>
    </w:pPr>
  </w:p>
  <w:tbl>
    <w:tblPr>
      <w:tblStyle w:val="a3"/>
      <w:tblW w:w="6660" w:type="dxa"/>
      <w:tblInd w:w="3207" w:type="dxa"/>
      <w:tblLayout w:type="fixed"/>
      <w:tblLook w:val="0400" w:firstRow="0" w:lastRow="0" w:firstColumn="0" w:lastColumn="0" w:noHBand="0" w:noVBand="1"/>
    </w:tblPr>
    <w:tblGrid>
      <w:gridCol w:w="2977"/>
      <w:gridCol w:w="3683"/>
    </w:tblGrid>
    <w:tr w:rsidR="00771FCE">
      <w:trPr>
        <w:trHeight w:val="227"/>
      </w:trPr>
      <w:tc>
        <w:tcPr>
          <w:tcW w:w="2977" w:type="dxa"/>
          <w:vAlign w:val="center"/>
        </w:tcPr>
        <w:p w:rsidR="00771FCE" w:rsidRDefault="005C559E">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83" w:type="dxa"/>
          <w:vAlign w:val="center"/>
        </w:tcPr>
        <w:p w:rsidR="00771FCE" w:rsidRDefault="005C559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10143/INFOEM/IP/RR/2025</w:t>
          </w:r>
        </w:p>
      </w:tc>
    </w:tr>
    <w:tr w:rsidR="00771FCE">
      <w:trPr>
        <w:trHeight w:val="242"/>
      </w:trPr>
      <w:tc>
        <w:tcPr>
          <w:tcW w:w="2977" w:type="dxa"/>
          <w:vAlign w:val="center"/>
        </w:tcPr>
        <w:p w:rsidR="00771FCE" w:rsidRDefault="005C559E">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83" w:type="dxa"/>
        </w:tcPr>
        <w:p w:rsidR="00771FCE" w:rsidRDefault="00AA7283">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bCs/>
              <w:color w:val="000000"/>
              <w:sz w:val="22"/>
              <w:szCs w:val="22"/>
            </w:rPr>
            <w:t>XXXX</w:t>
          </w:r>
        </w:p>
      </w:tc>
    </w:tr>
    <w:tr w:rsidR="00771FCE">
      <w:trPr>
        <w:trHeight w:val="342"/>
      </w:trPr>
      <w:tc>
        <w:tcPr>
          <w:tcW w:w="2977" w:type="dxa"/>
          <w:vAlign w:val="center"/>
        </w:tcPr>
        <w:p w:rsidR="00771FCE" w:rsidRDefault="005C559E">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83" w:type="dxa"/>
          <w:vAlign w:val="center"/>
        </w:tcPr>
        <w:p w:rsidR="00771FCE" w:rsidRDefault="005C559E">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bCs/>
              <w:color w:val="000000"/>
              <w:sz w:val="22"/>
              <w:szCs w:val="22"/>
            </w:rPr>
            <w:t>Secretaría del Medio Ambiente y Desarrollo Sostenible</w:t>
          </w:r>
        </w:p>
      </w:tc>
    </w:tr>
    <w:tr w:rsidR="00771FCE">
      <w:trPr>
        <w:trHeight w:val="342"/>
      </w:trPr>
      <w:tc>
        <w:tcPr>
          <w:tcW w:w="2977" w:type="dxa"/>
          <w:vAlign w:val="center"/>
        </w:tcPr>
        <w:p w:rsidR="00771FCE" w:rsidRDefault="005C559E">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83" w:type="dxa"/>
          <w:vAlign w:val="center"/>
        </w:tcPr>
        <w:p w:rsidR="00771FCE" w:rsidRDefault="005C559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771FCE" w:rsidRDefault="002A6DC9">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94315"/>
    <w:multiLevelType w:val="multilevel"/>
    <w:tmpl w:val="585C48E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 w15:restartNumberingAfterBreak="0">
    <w:nsid w:val="0B2A0089"/>
    <w:multiLevelType w:val="multilevel"/>
    <w:tmpl w:val="665C4C00"/>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 w15:restartNumberingAfterBreak="0">
    <w:nsid w:val="0D676789"/>
    <w:multiLevelType w:val="multilevel"/>
    <w:tmpl w:val="977A99A8"/>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FC1C8C"/>
    <w:multiLevelType w:val="multilevel"/>
    <w:tmpl w:val="CF928ABE"/>
    <w:lvl w:ilvl="0">
      <w:start w:val="1"/>
      <w:numFmt w:val="bullet"/>
      <w:pStyle w:val="Listaconvietas2"/>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159E714D"/>
    <w:multiLevelType w:val="multilevel"/>
    <w:tmpl w:val="D8F840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B1D5988"/>
    <w:multiLevelType w:val="multilevel"/>
    <w:tmpl w:val="E076C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015B65"/>
    <w:multiLevelType w:val="multilevel"/>
    <w:tmpl w:val="D5222B1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29EC76E0"/>
    <w:multiLevelType w:val="multilevel"/>
    <w:tmpl w:val="89F2A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951740"/>
    <w:multiLevelType w:val="multilevel"/>
    <w:tmpl w:val="3092C1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FCE"/>
    <w:rsid w:val="000F38F0"/>
    <w:rsid w:val="00134ABF"/>
    <w:rsid w:val="00217718"/>
    <w:rsid w:val="002A6DC9"/>
    <w:rsid w:val="005C559E"/>
    <w:rsid w:val="006439F1"/>
    <w:rsid w:val="00771FCE"/>
    <w:rsid w:val="007B7077"/>
    <w:rsid w:val="008F1A12"/>
    <w:rsid w:val="0091223B"/>
    <w:rsid w:val="009C16F5"/>
    <w:rsid w:val="00AA7283"/>
    <w:rsid w:val="00C612B3"/>
    <w:rsid w:val="00C877BD"/>
    <w:rsid w:val="00D15A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D8B6852-B2EE-4532-9F7E-F7B382D28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E75B5"/>
      <w:sz w:val="32"/>
      <w:szCs w:val="32"/>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064E68"/>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064E68"/>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64E6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64E68"/>
    <w:rPr>
      <w:rFonts w:ascii="Calibri" w:eastAsiaTheme="minorEastAsia" w:hAnsi="Calibri" w:cs="Calibri"/>
      <w:sz w:val="24"/>
      <w:szCs w:val="24"/>
      <w:lang w:val="es-ES_tradnl" w:eastAsia="es-ES"/>
    </w:rPr>
  </w:style>
  <w:style w:type="paragraph" w:styleId="Listaconvietas2">
    <w:name w:val="List Bullet 2"/>
    <w:basedOn w:val="Normal"/>
    <w:uiPriority w:val="99"/>
    <w:unhideWhenUsed/>
    <w:rsid w:val="00064E68"/>
    <w:pPr>
      <w:numPr>
        <w:numId w:val="6"/>
      </w:numPr>
      <w:contextualSpacing/>
    </w:pPr>
    <w:rPr>
      <w:rFonts w:ascii="Times New Roman" w:eastAsia="Times New Roman" w:hAnsi="Times New Roman" w:cs="Times New Roman"/>
      <w:lang w:val="es-MX"/>
    </w:rPr>
  </w:style>
  <w:style w:type="character" w:styleId="Hipervnculo">
    <w:name w:val="Hyperlink"/>
    <w:basedOn w:val="Fuentedeprrafopredeter"/>
    <w:uiPriority w:val="99"/>
    <w:unhideWhenUsed/>
    <w:rsid w:val="00064E68"/>
    <w:rPr>
      <w:color w:val="0563C1" w:themeColor="hyperlink"/>
      <w:u w:val="single"/>
    </w:rPr>
  </w:style>
  <w:style w:type="paragraph" w:styleId="Piedepgina">
    <w:name w:val="footer"/>
    <w:basedOn w:val="Normal"/>
    <w:link w:val="PiedepginaCar"/>
    <w:uiPriority w:val="99"/>
    <w:unhideWhenUsed/>
    <w:rsid w:val="00064E68"/>
    <w:pPr>
      <w:tabs>
        <w:tab w:val="center" w:pos="4419"/>
        <w:tab w:val="right" w:pos="8838"/>
      </w:tabs>
    </w:pPr>
  </w:style>
  <w:style w:type="character" w:customStyle="1" w:styleId="PiedepginaCar">
    <w:name w:val="Pie de página Car"/>
    <w:basedOn w:val="Fuentedeprrafopredeter"/>
    <w:link w:val="Piedepgina"/>
    <w:uiPriority w:val="99"/>
    <w:rsid w:val="00064E68"/>
    <w:rPr>
      <w:rFonts w:ascii="Calibri" w:eastAsiaTheme="minorEastAsia" w:hAnsi="Calibri" w:cs="Calibri"/>
      <w:sz w:val="24"/>
      <w:szCs w:val="24"/>
      <w:lang w:val="es-ES_tradnl" w:eastAsia="es-ES"/>
    </w:rPr>
  </w:style>
  <w:style w:type="table" w:styleId="Tablaconcuadrcula">
    <w:name w:val="Table Grid"/>
    <w:basedOn w:val="Tablanormal"/>
    <w:uiPriority w:val="39"/>
    <w:rsid w:val="00925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tBMEdUai31sLzsc+KN7zUf1ow==">CgMxLjAyCWguM2R5NnZrbTIIaC5namRneHMyDmguOXBmOHZ5MWRna2hkMg5oLmJ1NDhuMzUwN2N4ODIOaC45NjZnaGZmMGIzZm4yDmgubDN4eGFrYzd0NmkwMg5oLnRneWI5cG94cG85ZTIOaC44dnFjOWpwMXV6bzYyCWguMXQzaDVzZjIJaC40ZDM0b2c4MgloLjE3ZHA4dnUyDmguZTFqZmhwcTJseHBoMg5oLncweWNyYnZ4enJ3YjIOaC44b2l0Ym1mMGk5bGwyDmguc2NldWxuaGxvOWF3OAByITF0a0VrZkNUYjVvU25hSS15QnNRTk4ySEowMnI4ZUd2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11168</Words>
  <Characters>61425</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9</cp:revision>
  <cp:lastPrinted>2026-03-26T21:21:00Z</cp:lastPrinted>
  <dcterms:created xsi:type="dcterms:W3CDTF">2026-03-23T17:57:00Z</dcterms:created>
  <dcterms:modified xsi:type="dcterms:W3CDTF">2026-04-08T19:54:00Z</dcterms:modified>
</cp:coreProperties>
</file>