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74" w:rsidRPr="009A6FEE" w:rsidRDefault="00B05C77">
      <w:pPr>
        <w:tabs>
          <w:tab w:val="left" w:pos="0"/>
        </w:tabs>
        <w:spacing w:line="360" w:lineRule="auto"/>
        <w:jc w:val="both"/>
        <w:rPr>
          <w:rFonts w:ascii="Palatino Linotype" w:eastAsia="Palatino Linotype" w:hAnsi="Palatino Linotype" w:cs="Palatino Linotype"/>
          <w:szCs w:val="22"/>
        </w:rPr>
      </w:pPr>
      <w:bookmarkStart w:id="0" w:name="_heading=h.sre9h05q4v0b" w:colFirst="0" w:colLast="0"/>
      <w:bookmarkEnd w:id="0"/>
      <w:r w:rsidRPr="009A6FEE">
        <w:rPr>
          <w:rFonts w:ascii="Palatino Linotype" w:eastAsia="Palatino Linotype" w:hAnsi="Palatino Linotype" w:cs="Palatino Linotype"/>
          <w:szCs w:val="22"/>
        </w:rPr>
        <w:t>R</w:t>
      </w:r>
      <w:bookmarkStart w:id="1" w:name="_GoBack"/>
      <w:bookmarkEnd w:id="1"/>
      <w:r w:rsidRPr="009A6FEE">
        <w:rPr>
          <w:rFonts w:ascii="Palatino Linotype" w:eastAsia="Palatino Linotype" w:hAnsi="Palatino Linotype" w:cs="Palatino Linotype"/>
          <w:szCs w:val="22"/>
        </w:rPr>
        <w:t xml:space="preserve">esolución del Pleno del Instituto de Transparencia, Acceso a la Información Pública y Protección de Datos Personales del Estado de México y Municipios, con domicilio en Metepec, Estado de México; de fecha </w:t>
      </w:r>
      <w:r w:rsidR="001F7125">
        <w:rPr>
          <w:rFonts w:ascii="Palatino Linotype" w:eastAsia="Palatino Linotype" w:hAnsi="Palatino Linotype" w:cs="Palatino Linotype"/>
          <w:szCs w:val="22"/>
        </w:rPr>
        <w:t>veinticinco de marzo de dos mil veintiséis</w:t>
      </w:r>
    </w:p>
    <w:p w:rsidR="00D86E74" w:rsidRPr="009A6FEE" w:rsidRDefault="00D86E74">
      <w:pPr>
        <w:tabs>
          <w:tab w:val="left" w:pos="567"/>
        </w:tabs>
        <w:spacing w:line="360" w:lineRule="auto"/>
        <w:jc w:val="both"/>
        <w:rPr>
          <w:rFonts w:ascii="Palatino Linotype" w:eastAsia="Palatino Linotype" w:hAnsi="Palatino Linotype" w:cs="Palatino Linotype"/>
          <w:szCs w:val="22"/>
        </w:rPr>
      </w:pPr>
    </w:p>
    <w:p w:rsidR="00D86E74" w:rsidRPr="009A6FEE" w:rsidRDefault="00B05C77">
      <w:pPr>
        <w:spacing w:line="360" w:lineRule="auto"/>
        <w:jc w:val="both"/>
        <w:rPr>
          <w:rFonts w:ascii="Palatino Linotype" w:eastAsia="Palatino Linotype" w:hAnsi="Palatino Linotype" w:cs="Palatino Linotype"/>
          <w:szCs w:val="22"/>
        </w:rPr>
      </w:pPr>
      <w:bookmarkStart w:id="2" w:name="_heading=h.gjdgxs" w:colFirst="0" w:colLast="0"/>
      <w:bookmarkEnd w:id="2"/>
      <w:r w:rsidRPr="009A6FEE">
        <w:rPr>
          <w:rFonts w:ascii="Palatino Linotype" w:eastAsia="Palatino Linotype" w:hAnsi="Palatino Linotype" w:cs="Palatino Linotype"/>
          <w:b/>
          <w:szCs w:val="22"/>
        </w:rPr>
        <w:t>VISTO</w:t>
      </w:r>
      <w:r w:rsidRPr="009A6FEE">
        <w:rPr>
          <w:rFonts w:ascii="Palatino Linotype" w:eastAsia="Palatino Linotype" w:hAnsi="Palatino Linotype" w:cs="Palatino Linotype"/>
          <w:szCs w:val="22"/>
        </w:rPr>
        <w:t xml:space="preserve"> el expediente electrónico formado con motivo del recurso de revisión </w:t>
      </w:r>
      <w:r w:rsidR="001F7125">
        <w:rPr>
          <w:rFonts w:ascii="Palatino Linotype" w:eastAsia="Palatino Linotype" w:hAnsi="Palatino Linotype" w:cs="Palatino Linotype"/>
          <w:b/>
          <w:szCs w:val="22"/>
        </w:rPr>
        <w:t>13163</w:t>
      </w:r>
      <w:r w:rsidRPr="009A6FEE">
        <w:rPr>
          <w:rFonts w:ascii="Palatino Linotype" w:eastAsia="Palatino Linotype" w:hAnsi="Palatino Linotype" w:cs="Palatino Linotype"/>
          <w:b/>
          <w:szCs w:val="22"/>
        </w:rPr>
        <w:t>/INFOEM/IP/RR/2025</w:t>
      </w:r>
      <w:r w:rsidRPr="009A6FEE">
        <w:rPr>
          <w:rFonts w:ascii="Palatino Linotype" w:eastAsia="Palatino Linotype" w:hAnsi="Palatino Linotype" w:cs="Palatino Linotype"/>
          <w:szCs w:val="22"/>
        </w:rPr>
        <w:t>,</w:t>
      </w:r>
      <w:r w:rsidRPr="009A6FEE">
        <w:rPr>
          <w:rFonts w:ascii="Palatino Linotype" w:eastAsia="Palatino Linotype" w:hAnsi="Palatino Linotype" w:cs="Palatino Linotype"/>
          <w:b/>
          <w:szCs w:val="22"/>
        </w:rPr>
        <w:t xml:space="preserve"> </w:t>
      </w:r>
      <w:r w:rsidRPr="009A6FEE">
        <w:rPr>
          <w:rFonts w:ascii="Palatino Linotype" w:eastAsia="Palatino Linotype" w:hAnsi="Palatino Linotype" w:cs="Palatino Linotype"/>
          <w:szCs w:val="22"/>
        </w:rPr>
        <w:t xml:space="preserve">promovido por </w:t>
      </w:r>
      <w:r w:rsidR="00C241EC">
        <w:rPr>
          <w:rFonts w:ascii="Palatino Linotype" w:eastAsia="Palatino Linotype" w:hAnsi="Palatino Linotype" w:cs="Palatino Linotype"/>
          <w:b/>
          <w:szCs w:val="22"/>
        </w:rPr>
        <w:t xml:space="preserve">XXXX </w:t>
      </w:r>
      <w:r w:rsidR="0059239A">
        <w:rPr>
          <w:rFonts w:ascii="Palatino Linotype" w:eastAsia="Palatino Linotype" w:hAnsi="Palatino Linotype" w:cs="Palatino Linotype"/>
          <w:szCs w:val="22"/>
        </w:rPr>
        <w:t xml:space="preserve">a quien en lo sucesivo se le denominará como </w:t>
      </w:r>
      <w:r w:rsidR="0059239A" w:rsidRPr="0059239A">
        <w:rPr>
          <w:rFonts w:ascii="Palatino Linotype" w:eastAsia="Palatino Linotype" w:hAnsi="Palatino Linotype" w:cs="Palatino Linotype"/>
          <w:b/>
          <w:szCs w:val="22"/>
        </w:rPr>
        <w:t>“EL</w:t>
      </w:r>
      <w:r w:rsidR="0059239A">
        <w:rPr>
          <w:rFonts w:ascii="Palatino Linotype" w:eastAsia="Palatino Linotype" w:hAnsi="Palatino Linotype" w:cs="Palatino Linotype"/>
          <w:szCs w:val="22"/>
        </w:rPr>
        <w:t xml:space="preserve"> </w:t>
      </w:r>
      <w:r w:rsidR="00B93ACB" w:rsidRPr="009A6FEE">
        <w:rPr>
          <w:rFonts w:ascii="Palatino Linotype" w:eastAsia="Palatino Linotype" w:hAnsi="Palatino Linotype" w:cs="Palatino Linotype"/>
          <w:b/>
          <w:szCs w:val="22"/>
        </w:rPr>
        <w:t>RECURRENTE</w:t>
      </w:r>
      <w:r w:rsidR="0059239A">
        <w:rPr>
          <w:rFonts w:ascii="Palatino Linotype" w:eastAsia="Palatino Linotype" w:hAnsi="Palatino Linotype" w:cs="Palatino Linotype"/>
          <w:b/>
          <w:szCs w:val="22"/>
        </w:rPr>
        <w:t>”</w:t>
      </w:r>
      <w:r w:rsidRPr="009A6FEE">
        <w:rPr>
          <w:rFonts w:ascii="Palatino Linotype" w:eastAsia="Palatino Linotype" w:hAnsi="Palatino Linotype" w:cs="Palatino Linotype"/>
          <w:b/>
          <w:szCs w:val="22"/>
        </w:rPr>
        <w:t>,</w:t>
      </w:r>
      <w:r w:rsidRPr="009A6FEE">
        <w:rPr>
          <w:rFonts w:ascii="Palatino Linotype" w:eastAsia="Palatino Linotype" w:hAnsi="Palatino Linotype" w:cs="Palatino Linotype"/>
          <w:szCs w:val="22"/>
        </w:rPr>
        <w:t xml:space="preserve"> en contra de la respuesta del </w:t>
      </w:r>
      <w:r w:rsidRPr="009A6FEE">
        <w:rPr>
          <w:rFonts w:ascii="Palatino Linotype" w:eastAsia="Palatino Linotype" w:hAnsi="Palatino Linotype" w:cs="Palatino Linotype"/>
          <w:b/>
          <w:szCs w:val="22"/>
        </w:rPr>
        <w:t xml:space="preserve">Ayuntamiento de </w:t>
      </w:r>
      <w:r w:rsidR="001F7125">
        <w:rPr>
          <w:rFonts w:ascii="Palatino Linotype" w:eastAsia="Palatino Linotype" w:hAnsi="Palatino Linotype" w:cs="Palatino Linotype"/>
          <w:b/>
          <w:szCs w:val="22"/>
        </w:rPr>
        <w:t>Nicolás Romero</w:t>
      </w:r>
      <w:r w:rsidRPr="009A6FEE">
        <w:rPr>
          <w:rFonts w:ascii="Palatino Linotype" w:eastAsia="Palatino Linotype" w:hAnsi="Palatino Linotype" w:cs="Palatino Linotype"/>
          <w:b/>
          <w:szCs w:val="22"/>
        </w:rPr>
        <w:t xml:space="preserve"> </w:t>
      </w:r>
      <w:r w:rsidRPr="009A6FEE">
        <w:rPr>
          <w:rFonts w:ascii="Palatino Linotype" w:eastAsia="Palatino Linotype" w:hAnsi="Palatino Linotype" w:cs="Palatino Linotype"/>
          <w:szCs w:val="22"/>
        </w:rPr>
        <w:t>en adelante el</w:t>
      </w:r>
      <w:r w:rsidRPr="009A6FEE">
        <w:rPr>
          <w:rFonts w:ascii="Palatino Linotype" w:eastAsia="Palatino Linotype" w:hAnsi="Palatino Linotype" w:cs="Palatino Linotype"/>
          <w:b/>
          <w:szCs w:val="22"/>
        </w:rPr>
        <w:t xml:space="preserve"> SUJETO OBLIGADO</w:t>
      </w:r>
      <w:r w:rsidRPr="009A6FEE">
        <w:rPr>
          <w:rFonts w:ascii="Palatino Linotype" w:eastAsia="Palatino Linotype" w:hAnsi="Palatino Linotype" w:cs="Palatino Linotype"/>
          <w:szCs w:val="22"/>
        </w:rPr>
        <w:t>, se procede a dictar la presente resolución, con base en los siguientes:</w:t>
      </w:r>
    </w:p>
    <w:p w:rsidR="00D86E74" w:rsidRPr="004D2425" w:rsidRDefault="00D86E74">
      <w:pPr>
        <w:spacing w:line="360" w:lineRule="auto"/>
        <w:jc w:val="both"/>
        <w:rPr>
          <w:rFonts w:ascii="Palatino Linotype" w:eastAsia="Palatino Linotype" w:hAnsi="Palatino Linotype" w:cs="Palatino Linotype"/>
          <w:sz w:val="22"/>
          <w:szCs w:val="22"/>
        </w:rPr>
      </w:pPr>
    </w:p>
    <w:p w:rsidR="00D86E74" w:rsidRPr="00BC5978" w:rsidRDefault="00B05C77">
      <w:pPr>
        <w:pStyle w:val="Ttulo1"/>
        <w:tabs>
          <w:tab w:val="left" w:pos="567"/>
        </w:tabs>
        <w:spacing w:before="0" w:line="360" w:lineRule="auto"/>
        <w:jc w:val="center"/>
        <w:rPr>
          <w:b w:val="0"/>
          <w:szCs w:val="22"/>
        </w:rPr>
      </w:pPr>
      <w:bookmarkStart w:id="3" w:name="_heading=h.30j0zll" w:colFirst="0" w:colLast="0"/>
      <w:bookmarkEnd w:id="3"/>
      <w:r w:rsidRPr="00BC5978">
        <w:rPr>
          <w:szCs w:val="22"/>
        </w:rPr>
        <w:t>A N T E C E D E N T E S</w:t>
      </w:r>
    </w:p>
    <w:p w:rsidR="00D86E74" w:rsidRPr="004D2425" w:rsidRDefault="00D86E74">
      <w:pPr>
        <w:pStyle w:val="Ttulo1"/>
        <w:tabs>
          <w:tab w:val="left" w:pos="567"/>
        </w:tabs>
        <w:spacing w:before="0" w:line="360" w:lineRule="auto"/>
        <w:rPr>
          <w:sz w:val="22"/>
          <w:szCs w:val="22"/>
        </w:rPr>
      </w:pPr>
    </w:p>
    <w:p w:rsidR="00D86E74" w:rsidRPr="009A6FEE" w:rsidRDefault="00B05C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sidRPr="009A6FEE">
        <w:rPr>
          <w:rFonts w:ascii="Palatino Linotype" w:eastAsia="Palatino Linotype" w:hAnsi="Palatino Linotype" w:cs="Palatino Linotype"/>
          <w:color w:val="000000"/>
          <w:szCs w:val="22"/>
        </w:rPr>
        <w:t xml:space="preserve">El </w:t>
      </w:r>
      <w:r w:rsidR="001F7125">
        <w:rPr>
          <w:rFonts w:ascii="Palatino Linotype" w:eastAsia="Palatino Linotype" w:hAnsi="Palatino Linotype" w:cs="Palatino Linotype"/>
          <w:b/>
          <w:color w:val="000000"/>
          <w:szCs w:val="22"/>
        </w:rPr>
        <w:t>diecisiete de octubre</w:t>
      </w:r>
      <w:r w:rsidRPr="009A6FEE">
        <w:rPr>
          <w:rFonts w:ascii="Palatino Linotype" w:eastAsia="Palatino Linotype" w:hAnsi="Palatino Linotype" w:cs="Palatino Linotype"/>
          <w:b/>
          <w:color w:val="000000"/>
          <w:szCs w:val="22"/>
        </w:rPr>
        <w:t xml:space="preserve"> de dos mil veinticinco, </w:t>
      </w:r>
      <w:r w:rsidRPr="009A6FEE">
        <w:rPr>
          <w:rFonts w:ascii="Palatino Linotype" w:eastAsia="Palatino Linotype" w:hAnsi="Palatino Linotype" w:cs="Palatino Linotype"/>
          <w:color w:val="000000"/>
          <w:szCs w:val="22"/>
        </w:rPr>
        <w:t xml:space="preserve">se presentó ante el </w:t>
      </w:r>
      <w:r w:rsidRPr="009A6FEE">
        <w:rPr>
          <w:rFonts w:ascii="Palatino Linotype" w:eastAsia="Palatino Linotype" w:hAnsi="Palatino Linotype" w:cs="Palatino Linotype"/>
          <w:b/>
          <w:color w:val="000000"/>
          <w:szCs w:val="22"/>
        </w:rPr>
        <w:t>SUJETO OBLIGADO</w:t>
      </w:r>
      <w:r w:rsidRPr="009A6FEE">
        <w:rPr>
          <w:rFonts w:ascii="Palatino Linotype" w:eastAsia="Palatino Linotype" w:hAnsi="Palatino Linotype" w:cs="Palatino Linotype"/>
          <w:color w:val="000000"/>
          <w:szCs w:val="22"/>
        </w:rPr>
        <w:t xml:space="preserve"> vía SAIMEX, la solicitud de información pública registrada con el número</w:t>
      </w:r>
      <w:r w:rsidR="001F7125">
        <w:rPr>
          <w:rFonts w:ascii="Palatino Linotype" w:eastAsia="Palatino Linotype" w:hAnsi="Palatino Linotype" w:cs="Palatino Linotype"/>
          <w:b/>
          <w:color w:val="000000"/>
          <w:szCs w:val="22"/>
        </w:rPr>
        <w:t xml:space="preserve"> 00445</w:t>
      </w:r>
      <w:r w:rsidRPr="009A6FEE">
        <w:rPr>
          <w:rFonts w:ascii="Palatino Linotype" w:eastAsia="Palatino Linotype" w:hAnsi="Palatino Linotype" w:cs="Palatino Linotype"/>
          <w:b/>
          <w:color w:val="000000"/>
          <w:szCs w:val="22"/>
        </w:rPr>
        <w:t>/</w:t>
      </w:r>
      <w:r w:rsidR="001F7125">
        <w:rPr>
          <w:rFonts w:ascii="Palatino Linotype" w:eastAsia="Palatino Linotype" w:hAnsi="Palatino Linotype" w:cs="Palatino Linotype"/>
          <w:b/>
          <w:color w:val="000000"/>
          <w:szCs w:val="22"/>
        </w:rPr>
        <w:t>NICOROM</w:t>
      </w:r>
      <w:r w:rsidRPr="009A6FEE">
        <w:rPr>
          <w:rFonts w:ascii="Palatino Linotype" w:eastAsia="Palatino Linotype" w:hAnsi="Palatino Linotype" w:cs="Palatino Linotype"/>
          <w:b/>
          <w:color w:val="000000"/>
          <w:szCs w:val="22"/>
        </w:rPr>
        <w:t xml:space="preserve">/IP/2025; </w:t>
      </w:r>
      <w:r w:rsidRPr="009A6FEE">
        <w:rPr>
          <w:rFonts w:ascii="Palatino Linotype" w:eastAsia="Palatino Linotype" w:hAnsi="Palatino Linotype" w:cs="Palatino Linotype"/>
          <w:color w:val="000000"/>
          <w:szCs w:val="22"/>
        </w:rPr>
        <w:t>mediante la cual se solicitó la siguiente información:</w:t>
      </w:r>
    </w:p>
    <w:p w:rsidR="00D86E74" w:rsidRPr="004D2425" w:rsidRDefault="00D86E74">
      <w:p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p>
    <w:p w:rsidR="00D86E74" w:rsidRPr="004D2425" w:rsidRDefault="00B05C77" w:rsidP="000706F4">
      <w:pPr>
        <w:pBdr>
          <w:top w:val="nil"/>
          <w:left w:val="nil"/>
          <w:bottom w:val="nil"/>
          <w:right w:val="nil"/>
          <w:between w:val="nil"/>
        </w:pBdr>
        <w:ind w:left="1134" w:right="851"/>
        <w:jc w:val="center"/>
        <w:rPr>
          <w:rFonts w:ascii="Palatino Linotype" w:eastAsia="Palatino Linotype" w:hAnsi="Palatino Linotype" w:cs="Palatino Linotype"/>
          <w:i/>
          <w:color w:val="000000"/>
          <w:sz w:val="22"/>
          <w:szCs w:val="22"/>
        </w:rPr>
      </w:pPr>
      <w:r w:rsidRPr="004D2425">
        <w:rPr>
          <w:rFonts w:ascii="Palatino Linotype" w:eastAsia="Palatino Linotype" w:hAnsi="Palatino Linotype" w:cs="Palatino Linotype"/>
          <w:i/>
          <w:color w:val="000000"/>
          <w:sz w:val="22"/>
          <w:szCs w:val="22"/>
        </w:rPr>
        <w:t>“</w:t>
      </w:r>
      <w:r w:rsidR="001F7125" w:rsidRPr="001F7125">
        <w:rPr>
          <w:rFonts w:ascii="Palatino Linotype" w:hAnsi="Palatino Linotype"/>
          <w:i/>
          <w:color w:val="000000"/>
          <w:sz w:val="22"/>
          <w:szCs w:val="22"/>
        </w:rPr>
        <w:t>SOLICITO ME SEAN PROPORCIONADOS LOS SOPORTES CONTABLES (CON TODOS Y CADA UNO DE LOS ANEXOS, COMO SON POLIZA CONTABLE, REQUISICIÓN, FACTURA, SUFICIENCIA PRESUPUESTAL, EVIDENCIA DOCUMENTAL Y/O FOTOGRÁFICA), CORRESPONDIENTES A LA CONTRATACIÓN DE SISTEMAS CONTABLES, SISTEMAS DE INGRESOS, SISTEMAS DE CONTROL PATRIMONIAL, SISTEMAS DE ENT</w:t>
      </w:r>
      <w:r w:rsidR="001F7125">
        <w:rPr>
          <w:rFonts w:ascii="Palatino Linotype" w:hAnsi="Palatino Linotype"/>
          <w:i/>
          <w:color w:val="000000"/>
          <w:sz w:val="22"/>
          <w:szCs w:val="22"/>
        </w:rPr>
        <w:t>REGA-RECEPCIÓN</w:t>
      </w:r>
      <w:r w:rsidR="009A6FEE" w:rsidRPr="009A6FEE">
        <w:rPr>
          <w:rFonts w:ascii="Palatino Linotype" w:hAnsi="Palatino Linotype"/>
          <w:i/>
          <w:color w:val="000000"/>
          <w:sz w:val="22"/>
          <w:szCs w:val="22"/>
        </w:rPr>
        <w:t>.</w:t>
      </w:r>
      <w:r w:rsidRPr="004D2425">
        <w:rPr>
          <w:rFonts w:ascii="Palatino Linotype" w:eastAsia="Palatino Linotype" w:hAnsi="Palatino Linotype" w:cs="Palatino Linotype"/>
          <w:i/>
          <w:color w:val="000000"/>
          <w:sz w:val="22"/>
          <w:szCs w:val="22"/>
        </w:rPr>
        <w:t>” (Sic)</w:t>
      </w:r>
    </w:p>
    <w:p w:rsidR="00D86E74" w:rsidRDefault="00D86E74" w:rsidP="000706F4">
      <w:pPr>
        <w:pBdr>
          <w:top w:val="nil"/>
          <w:left w:val="nil"/>
          <w:bottom w:val="nil"/>
          <w:right w:val="nil"/>
          <w:between w:val="nil"/>
        </w:pBdr>
        <w:ind w:left="1134" w:right="851"/>
        <w:jc w:val="center"/>
        <w:rPr>
          <w:rFonts w:ascii="Palatino Linotype" w:eastAsia="Palatino Linotype" w:hAnsi="Palatino Linotype" w:cs="Palatino Linotype"/>
          <w:i/>
          <w:color w:val="000000"/>
          <w:sz w:val="22"/>
          <w:szCs w:val="22"/>
        </w:rPr>
      </w:pPr>
    </w:p>
    <w:p w:rsidR="009A6FEE" w:rsidRDefault="009A6FEE" w:rsidP="009A6FEE">
      <w:pPr>
        <w:pBdr>
          <w:top w:val="nil"/>
          <w:left w:val="nil"/>
          <w:bottom w:val="nil"/>
          <w:right w:val="nil"/>
          <w:between w:val="nil"/>
        </w:pBdr>
        <w:spacing w:line="360" w:lineRule="auto"/>
        <w:ind w:left="414" w:right="-141" w:firstLine="57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Modalidad de entrega: </w:t>
      </w:r>
      <w:r>
        <w:rPr>
          <w:rFonts w:ascii="Palatino Linotype" w:eastAsia="Palatino Linotype" w:hAnsi="Palatino Linotype" w:cs="Palatino Linotype"/>
          <w:color w:val="000000"/>
        </w:rPr>
        <w:t xml:space="preserve">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9A6FEE" w:rsidRPr="004D2425" w:rsidRDefault="009A6FEE">
      <w:pPr>
        <w:pBdr>
          <w:top w:val="nil"/>
          <w:left w:val="nil"/>
          <w:bottom w:val="nil"/>
          <w:right w:val="nil"/>
          <w:between w:val="nil"/>
        </w:pBdr>
        <w:ind w:right="476"/>
        <w:jc w:val="both"/>
        <w:rPr>
          <w:rFonts w:ascii="Palatino Linotype" w:eastAsia="Palatino Linotype" w:hAnsi="Palatino Linotype" w:cs="Palatino Linotype"/>
          <w:i/>
          <w:color w:val="000000"/>
          <w:sz w:val="22"/>
          <w:szCs w:val="22"/>
        </w:rPr>
      </w:pPr>
    </w:p>
    <w:p w:rsidR="001F7125" w:rsidRPr="00D37A00" w:rsidRDefault="001F7125" w:rsidP="001F7125">
      <w:pPr>
        <w:numPr>
          <w:ilvl w:val="0"/>
          <w:numId w:val="1"/>
        </w:numPr>
        <w:pBdr>
          <w:top w:val="nil"/>
          <w:left w:val="nil"/>
          <w:bottom w:val="nil"/>
          <w:right w:val="nil"/>
          <w:between w:val="nil"/>
        </w:pBdr>
        <w:spacing w:line="360" w:lineRule="auto"/>
        <w:jc w:val="both"/>
        <w:rPr>
          <w:rFonts w:ascii="Palatino Linotype" w:hAnsi="Palatino Linotype"/>
          <w:color w:val="000000"/>
          <w:szCs w:val="22"/>
        </w:rPr>
      </w:pPr>
      <w:r>
        <w:rPr>
          <w:rFonts w:ascii="Palatino Linotype" w:hAnsi="Palatino Linotype"/>
          <w:color w:val="000000"/>
          <w:szCs w:val="22"/>
        </w:rPr>
        <w:t>El veinticuatro de octubre atendiendo al</w:t>
      </w:r>
      <w:r>
        <w:rPr>
          <w:rFonts w:ascii="Palatino Linotype" w:hAnsi="Palatino Linotype" w:cs="Arial"/>
          <w:bCs/>
        </w:rPr>
        <w:t xml:space="preserve"> </w:t>
      </w:r>
      <w:r>
        <w:rPr>
          <w:rFonts w:ascii="Palatino Linotype" w:hAnsi="Palatino Linotype" w:cs="Arial"/>
        </w:rPr>
        <w:t xml:space="preserve">criterio de oportunidad previsto en el numeral 159 de la Ley de Transparencia el Sujeto Obligado presentó solicitud de Aclaración al particular requiriéndole ser </w:t>
      </w:r>
      <w:r w:rsidRPr="002427BA">
        <w:rPr>
          <w:rFonts w:ascii="Palatino Linotype" w:hAnsi="Palatino Linotype" w:cs="Arial"/>
          <w:i/>
        </w:rPr>
        <w:t>más claro en cuanto a su requerimiento para estar en posibilidad de atenderla</w:t>
      </w:r>
      <w:r>
        <w:rPr>
          <w:rFonts w:ascii="Palatino Linotype" w:hAnsi="Palatino Linotype" w:cs="Arial"/>
        </w:rPr>
        <w:t>; de lo expuesto, se advierte que el Soli</w:t>
      </w:r>
      <w:r w:rsidR="002427BA">
        <w:rPr>
          <w:rFonts w:ascii="Palatino Linotype" w:hAnsi="Palatino Linotype" w:cs="Arial"/>
        </w:rPr>
        <w:t xml:space="preserve">citante fue omiso en atender tal solicitud de aclaración; a lo cual el Sujeto Obligado en fecha diez de noviembre tuvo por </w:t>
      </w:r>
      <w:r w:rsidR="002427BA" w:rsidRPr="002427BA">
        <w:rPr>
          <w:rFonts w:ascii="Palatino Linotype" w:hAnsi="Palatino Linotype" w:cs="Arial"/>
          <w:i/>
        </w:rPr>
        <w:t>no presentada y archivada de manera definitiva</w:t>
      </w:r>
      <w:r w:rsidR="002427BA">
        <w:rPr>
          <w:rFonts w:ascii="Palatino Linotype" w:hAnsi="Palatino Linotype" w:cs="Arial"/>
        </w:rPr>
        <w:t xml:space="preserve"> la solicitud del particular dejando a salvo sus derechos para volver a presentarla.</w:t>
      </w:r>
    </w:p>
    <w:p w:rsidR="001F7125" w:rsidRPr="001F7125" w:rsidRDefault="001F7125" w:rsidP="001F7125">
      <w:pPr>
        <w:pBdr>
          <w:top w:val="nil"/>
          <w:left w:val="nil"/>
          <w:bottom w:val="nil"/>
          <w:right w:val="nil"/>
          <w:between w:val="nil"/>
        </w:pBdr>
        <w:spacing w:line="360" w:lineRule="auto"/>
        <w:ind w:right="-141"/>
        <w:jc w:val="both"/>
        <w:rPr>
          <w:rFonts w:ascii="Palatino Linotype" w:eastAsia="Palatino Linotype" w:hAnsi="Palatino Linotype" w:cs="Palatino Linotype"/>
          <w:b/>
          <w:color w:val="000000"/>
        </w:rPr>
      </w:pPr>
    </w:p>
    <w:p w:rsidR="009A6FEE" w:rsidRPr="009A6FEE" w:rsidRDefault="009A6FEE" w:rsidP="009A6FEE">
      <w:pPr>
        <w:numPr>
          <w:ilvl w:val="0"/>
          <w:numId w:val="1"/>
        </w:numPr>
        <w:pBdr>
          <w:top w:val="nil"/>
          <w:left w:val="nil"/>
          <w:bottom w:val="nil"/>
          <w:right w:val="nil"/>
          <w:between w:val="nil"/>
        </w:pBdr>
        <w:spacing w:line="360" w:lineRule="auto"/>
        <w:ind w:right="-141"/>
        <w:jc w:val="both"/>
        <w:rPr>
          <w:rFonts w:ascii="Palatino Linotype" w:eastAsia="Palatino Linotype" w:hAnsi="Palatino Linotype" w:cs="Palatino Linotype"/>
          <w:b/>
          <w:color w:val="000000"/>
        </w:rPr>
      </w:pPr>
      <w:r w:rsidRPr="003D23F2">
        <w:rPr>
          <w:rFonts w:ascii="Palatino Linotype" w:eastAsia="Palatino Linotype" w:hAnsi="Palatino Linotype" w:cs="Palatino Linotype"/>
          <w:color w:val="000000"/>
        </w:rPr>
        <w:t>Derivado de lo anterior</w:t>
      </w:r>
      <w:r>
        <w:rPr>
          <w:rFonts w:ascii="Palatino Linotype" w:eastAsia="Palatino Linotype" w:hAnsi="Palatino Linotype" w:cs="Palatino Linotype"/>
          <w:b/>
          <w:color w:val="000000"/>
        </w:rPr>
        <w:t>, EL SUJETO OBLIGADO</w:t>
      </w:r>
      <w:r>
        <w:rPr>
          <w:rFonts w:ascii="Palatino Linotype" w:eastAsia="Palatino Linotype" w:hAnsi="Palatino Linotype" w:cs="Palatino Linotype"/>
          <w:color w:val="000000"/>
        </w:rPr>
        <w:t xml:space="preserve"> no proporcionó respuesta a la solicitud de información dentro del plazo de quince días establecido en el artículo 163 de la Ley de Transparencia y Acceso a la Información Pública del Estado de México y Municipios.</w:t>
      </w:r>
    </w:p>
    <w:p w:rsidR="009A6FEE" w:rsidRDefault="009A6FEE" w:rsidP="009A6FEE">
      <w:pPr>
        <w:pBdr>
          <w:top w:val="nil"/>
          <w:left w:val="nil"/>
          <w:bottom w:val="nil"/>
          <w:right w:val="nil"/>
          <w:between w:val="nil"/>
        </w:pBdr>
        <w:spacing w:line="360" w:lineRule="auto"/>
        <w:ind w:right="-141"/>
        <w:jc w:val="both"/>
        <w:rPr>
          <w:rFonts w:ascii="Palatino Linotype" w:eastAsia="Palatino Linotype" w:hAnsi="Palatino Linotype" w:cs="Palatino Linotype"/>
          <w:b/>
          <w:color w:val="000000"/>
        </w:rPr>
      </w:pPr>
    </w:p>
    <w:p w:rsidR="009A6FEE" w:rsidRDefault="009A6FEE" w:rsidP="002427BA">
      <w:pPr>
        <w:numPr>
          <w:ilvl w:val="0"/>
          <w:numId w:val="16"/>
        </w:numPr>
        <w:pBdr>
          <w:top w:val="nil"/>
          <w:left w:val="nil"/>
          <w:bottom w:val="nil"/>
          <w:right w:val="nil"/>
          <w:between w:val="nil"/>
        </w:pBdr>
        <w:spacing w:line="360" w:lineRule="auto"/>
        <w:ind w:left="0" w:right="-14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Ante la falta de respuesta</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interpuso el Recurso de Revisión el </w:t>
      </w:r>
      <w:r w:rsidR="002427BA">
        <w:rPr>
          <w:rFonts w:ascii="Palatino Linotype" w:eastAsia="Palatino Linotype" w:hAnsi="Palatino Linotype" w:cs="Palatino Linotype"/>
          <w:b/>
          <w:color w:val="000000"/>
        </w:rPr>
        <w:t>veintiuno de noviembre</w:t>
      </w:r>
      <w:r>
        <w:rPr>
          <w:rFonts w:ascii="Palatino Linotype" w:eastAsia="Palatino Linotype" w:hAnsi="Palatino Linotype" w:cs="Palatino Linotype"/>
          <w:b/>
          <w:color w:val="000000"/>
        </w:rPr>
        <w:t xml:space="preserve"> de dos mil veinticinco, </w:t>
      </w:r>
      <w:r>
        <w:rPr>
          <w:rFonts w:ascii="Palatino Linotype" w:eastAsia="Palatino Linotype" w:hAnsi="Palatino Linotype" w:cs="Palatino Linotype"/>
          <w:color w:val="000000"/>
        </w:rPr>
        <w:t xml:space="preserve">registrado en el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 xml:space="preserve">con número de expediente </w:t>
      </w:r>
      <w:r w:rsidR="002427BA">
        <w:rPr>
          <w:rFonts w:ascii="Palatino Linotype" w:eastAsia="Palatino Linotype" w:hAnsi="Palatino Linotype" w:cs="Palatino Linotype"/>
          <w:b/>
          <w:color w:val="000000"/>
        </w:rPr>
        <w:t>1316</w:t>
      </w:r>
      <w:r>
        <w:rPr>
          <w:rFonts w:ascii="Palatino Linotype" w:eastAsia="Palatino Linotype" w:hAnsi="Palatino Linotype" w:cs="Palatino Linotype"/>
          <w:b/>
          <w:color w:val="000000"/>
        </w:rPr>
        <w:t xml:space="preserve">3/INFOEM/IP/RR/2025, </w:t>
      </w:r>
      <w:r>
        <w:rPr>
          <w:rFonts w:ascii="Palatino Linotype" w:eastAsia="Palatino Linotype" w:hAnsi="Palatino Linotype" w:cs="Palatino Linotype"/>
          <w:color w:val="000000"/>
        </w:rPr>
        <w:t>en el cual aduce, las siguientes manifestaciones:</w:t>
      </w:r>
    </w:p>
    <w:p w:rsidR="009A6FEE" w:rsidRDefault="009A6FEE" w:rsidP="009A6FEE">
      <w:pPr>
        <w:pBdr>
          <w:top w:val="nil"/>
          <w:left w:val="nil"/>
          <w:bottom w:val="nil"/>
          <w:right w:val="nil"/>
          <w:between w:val="nil"/>
        </w:pBdr>
        <w:spacing w:line="360" w:lineRule="auto"/>
        <w:ind w:right="-141"/>
        <w:jc w:val="both"/>
        <w:rPr>
          <w:rFonts w:ascii="Palatino Linotype" w:eastAsia="Palatino Linotype" w:hAnsi="Palatino Linotype" w:cs="Palatino Linotype"/>
          <w:color w:val="000000"/>
        </w:rPr>
      </w:pPr>
    </w:p>
    <w:p w:rsidR="009A6FEE" w:rsidRPr="000E1363" w:rsidRDefault="002427BA" w:rsidP="009A6FEE">
      <w:pPr>
        <w:numPr>
          <w:ilvl w:val="0"/>
          <w:numId w:val="18"/>
        </w:numPr>
        <w:spacing w:line="259" w:lineRule="auto"/>
        <w:ind w:left="993" w:right="-141"/>
        <w:jc w:val="both"/>
        <w:rPr>
          <w:rFonts w:ascii="Palatino Linotype" w:eastAsia="Palatino Linotype" w:hAnsi="Palatino Linotype" w:cs="Palatino Linotype"/>
          <w:b/>
        </w:rPr>
      </w:pPr>
      <w:r w:rsidRPr="000E1363">
        <w:rPr>
          <w:rFonts w:ascii="Palatino Linotype" w:eastAsia="Palatino Linotype" w:hAnsi="Palatino Linotype" w:cs="Palatino Linotype"/>
          <w:b/>
        </w:rPr>
        <w:t xml:space="preserve">ACTO IMPUGNADO: </w:t>
      </w:r>
    </w:p>
    <w:p w:rsidR="009A6FEE" w:rsidRPr="003C44D6" w:rsidRDefault="009A6FEE" w:rsidP="002427BA">
      <w:pPr>
        <w:ind w:left="851" w:right="-141" w:hanging="142"/>
        <w:jc w:val="both"/>
        <w:rPr>
          <w:rFonts w:ascii="Times New Roman" w:eastAsia="Times New Roman" w:hAnsi="Times New Roman" w:cs="Times New Roman"/>
          <w:sz w:val="22"/>
          <w:szCs w:val="22"/>
          <w:lang w:val="es-MX"/>
        </w:rPr>
      </w:pPr>
      <w:r w:rsidRPr="003C44D6">
        <w:rPr>
          <w:rFonts w:ascii="Palatino Linotype" w:eastAsia="Palatino Linotype" w:hAnsi="Palatino Linotype" w:cs="Palatino Linotype"/>
          <w:i/>
          <w:color w:val="000000"/>
          <w:sz w:val="22"/>
          <w:szCs w:val="22"/>
        </w:rPr>
        <w:t>“</w:t>
      </w:r>
      <w:r w:rsidR="002427BA" w:rsidRPr="002427BA">
        <w:rPr>
          <w:rFonts w:ascii="Palatino Linotype" w:hAnsi="Palatino Linotype"/>
          <w:i/>
          <w:color w:val="000000"/>
          <w:sz w:val="22"/>
          <w:szCs w:val="22"/>
        </w:rPr>
        <w:t>NO SE ENTREGA INFORMACION</w:t>
      </w:r>
      <w:r w:rsidRPr="003C44D6">
        <w:rPr>
          <w:rFonts w:ascii="Palatino Linotype" w:eastAsia="Palatino Linotype" w:hAnsi="Palatino Linotype" w:cs="Palatino Linotype"/>
          <w:i/>
          <w:color w:val="000000"/>
          <w:sz w:val="22"/>
          <w:szCs w:val="22"/>
        </w:rPr>
        <w:t>” (Sic).</w:t>
      </w:r>
    </w:p>
    <w:p w:rsidR="009A6FEE" w:rsidRPr="000E1363" w:rsidRDefault="009A6FEE" w:rsidP="009A6FEE">
      <w:pPr>
        <w:tabs>
          <w:tab w:val="left" w:pos="3396"/>
          <w:tab w:val="left" w:pos="3915"/>
        </w:tabs>
        <w:ind w:left="993" w:right="-141"/>
        <w:jc w:val="both"/>
        <w:rPr>
          <w:rFonts w:ascii="Palatino Linotype" w:eastAsia="Palatino Linotype" w:hAnsi="Palatino Linotype" w:cs="Palatino Linotype"/>
          <w:i/>
          <w:color w:val="000000"/>
        </w:rPr>
      </w:pPr>
      <w:r w:rsidRPr="000E1363">
        <w:rPr>
          <w:rFonts w:ascii="Palatino Linotype" w:eastAsia="Palatino Linotype" w:hAnsi="Palatino Linotype" w:cs="Palatino Linotype"/>
          <w:i/>
          <w:color w:val="000000"/>
        </w:rPr>
        <w:tab/>
      </w:r>
      <w:r>
        <w:rPr>
          <w:rFonts w:ascii="Palatino Linotype" w:eastAsia="Palatino Linotype" w:hAnsi="Palatino Linotype" w:cs="Palatino Linotype"/>
          <w:i/>
          <w:color w:val="000000"/>
        </w:rPr>
        <w:tab/>
      </w:r>
    </w:p>
    <w:p w:rsidR="009A6FEE" w:rsidRPr="000E1363" w:rsidRDefault="002427BA" w:rsidP="009A6FEE">
      <w:pPr>
        <w:numPr>
          <w:ilvl w:val="0"/>
          <w:numId w:val="17"/>
        </w:numPr>
        <w:pBdr>
          <w:top w:val="nil"/>
          <w:left w:val="nil"/>
          <w:bottom w:val="nil"/>
          <w:right w:val="nil"/>
          <w:between w:val="nil"/>
        </w:pBdr>
        <w:ind w:left="993" w:right="-141"/>
        <w:jc w:val="both"/>
        <w:rPr>
          <w:rFonts w:ascii="Palatino Linotype" w:eastAsia="Palatino Linotype" w:hAnsi="Palatino Linotype" w:cs="Palatino Linotype"/>
          <w:color w:val="000000"/>
        </w:rPr>
      </w:pPr>
      <w:r w:rsidRPr="000E1363">
        <w:rPr>
          <w:rFonts w:ascii="Palatino Linotype" w:eastAsia="Palatino Linotype" w:hAnsi="Palatino Linotype" w:cs="Palatino Linotype"/>
          <w:b/>
          <w:color w:val="000000"/>
        </w:rPr>
        <w:t>RAZONES O MOTIVOS DE INCONFORMIDAD</w:t>
      </w:r>
      <w:r w:rsidRPr="000E1363">
        <w:rPr>
          <w:rFonts w:ascii="Palatino Linotype" w:eastAsia="Palatino Linotype" w:hAnsi="Palatino Linotype" w:cs="Palatino Linotype"/>
          <w:color w:val="000000"/>
        </w:rPr>
        <w:t xml:space="preserve">: </w:t>
      </w:r>
    </w:p>
    <w:p w:rsidR="009A6FEE" w:rsidRPr="003C44D6" w:rsidRDefault="009A6FEE" w:rsidP="002427BA">
      <w:pPr>
        <w:spacing w:line="276" w:lineRule="auto"/>
        <w:ind w:left="709" w:right="851" w:firstLine="11"/>
        <w:jc w:val="both"/>
        <w:rPr>
          <w:rFonts w:ascii="Palatino Linotype" w:eastAsia="Palatino Linotype" w:hAnsi="Palatino Linotype" w:cs="Palatino Linotype"/>
          <w:sz w:val="22"/>
          <w:szCs w:val="22"/>
        </w:rPr>
      </w:pPr>
      <w:r w:rsidRPr="003C44D6">
        <w:rPr>
          <w:rFonts w:ascii="Palatino Linotype" w:eastAsia="Palatino Linotype" w:hAnsi="Palatino Linotype" w:cs="Palatino Linotype"/>
          <w:i/>
          <w:color w:val="000000"/>
          <w:sz w:val="22"/>
          <w:szCs w:val="22"/>
        </w:rPr>
        <w:t>“</w:t>
      </w:r>
      <w:r w:rsidR="002427BA" w:rsidRPr="002427BA">
        <w:rPr>
          <w:rFonts w:ascii="Palatino Linotype" w:hAnsi="Palatino Linotype"/>
          <w:i/>
          <w:color w:val="000000"/>
          <w:sz w:val="22"/>
          <w:szCs w:val="22"/>
        </w:rPr>
        <w:t xml:space="preserve">TITULAR DE LA UNIDAD DE TRANSPARENCIA H. AYUNTAMIENTO CONSTITUCIONAL DE NICOLÁS ROMERO PRESENTE. Con la más </w:t>
      </w:r>
      <w:r w:rsidR="002427BA" w:rsidRPr="002427BA">
        <w:rPr>
          <w:rFonts w:ascii="Palatino Linotype" w:hAnsi="Palatino Linotype"/>
          <w:i/>
          <w:color w:val="000000"/>
          <w:sz w:val="22"/>
          <w:szCs w:val="22"/>
        </w:rPr>
        <w:lastRenderedPageBreak/>
        <w:t>enérgica y absoluta disconformidad, me dirijo a usted en relación con su Oficio No. NR/DIG/UT/USI/479/2025, mediante el cual pretenden dar por "no presentada" y archivar de manera definitiva la Solicitud de Información 00445/NICOROM/IP/2025. Es inadmisible, inaceptable y arbitrario que se escuden en un supuesto requerimiento de "mayor claridad" para negarse a entregar información que es de carácter público y obligatorio. La solicitud original era meridianamente clara e inequívoca: "SOLICITO ME SEAN PROPORCIONADOS LOS SOPORTES CONTABLES (CON TODOS Y CADA UNO DE LOS ANEXOS, COMO SON POLIZA CONTABLE, REQUISICIÓN, FACTURA, SUFICIENCIA PRESUPUESTAL, EVIDENCIA DOCUMENTAL Y/O FOTOGRÁFICA), CORRESPONDIENTES A LA CONTRATACIÓN DE SISTEMAS CONTABLES, SISTEMAS DE INGRESOS, SISTEMAS DE CONTROL PATRIMONIAL, SISTEMAS DE ENTREGA-RECEPCIÓN." Si su Unidad de Transparencia considera que solicitar la documentación COMPLETA y específica (Pólizas, Facturas, Requisiciones, etc.) de las contrataciones de sistemas esenciales (Contables, Ingresos, Patrimonial) es "vago", la realidad es que lo que se evidencia es una negativa deliberada a colaborar y un claro intento de opacidad. Su acción contraviene el espíritu de la Ley de Transparencia al buscar pretextos formales para bloquear el acceso a la información. Por lo anterior, EXIJO Y REQUIERO lo siguiente: 1. DEJAR SIN EFECTO la determinación de dar por no presentada la solicitud 00445/NICOROM/IP/2025, reconociendo que la misma fue clara, precisa y se encuentra debidamente fundamentada. 2. ENTREGAR DE INMEDIATO la totalidad de los soportes contables y documentales solicitados, sin más dilaciones ni pretextos legalistas. Se están negando a cumplir con su obligación constitucional y legal. 3. ADVERTIR que, de persistir en esta negativa injustificada, se procederá a interponer el Recurso de Revisión ante el Órgano Garante, señalando expresamente el incumplimiento y la obstrucción al derecho de acceso a la información. Es su responsabilidad garantizar la transparencia, no convertirse en un obstáculo. Espero la entrega inmediata de la documentación solicitada.</w:t>
      </w:r>
      <w:r w:rsidRPr="003C44D6">
        <w:rPr>
          <w:rFonts w:ascii="Palatino Linotype" w:eastAsia="Palatino Linotype" w:hAnsi="Palatino Linotype" w:cs="Palatino Linotype"/>
          <w:i/>
          <w:color w:val="000000"/>
          <w:sz w:val="22"/>
          <w:szCs w:val="22"/>
        </w:rPr>
        <w:t>” (Sic).</w:t>
      </w:r>
    </w:p>
    <w:p w:rsidR="00D86E74" w:rsidRPr="004D2425" w:rsidRDefault="00D86E74">
      <w:pPr>
        <w:ind w:right="567"/>
        <w:jc w:val="both"/>
        <w:rPr>
          <w:rFonts w:ascii="Palatino Linotype" w:eastAsia="Palatino Linotype" w:hAnsi="Palatino Linotype" w:cs="Palatino Linotype"/>
          <w:i/>
          <w:color w:val="000000"/>
          <w:sz w:val="22"/>
          <w:szCs w:val="22"/>
        </w:rPr>
      </w:pPr>
    </w:p>
    <w:p w:rsidR="00D86E74" w:rsidRPr="003C44D6" w:rsidRDefault="00B05C77" w:rsidP="00AC1968">
      <w:pPr>
        <w:numPr>
          <w:ilvl w:val="0"/>
          <w:numId w:val="25"/>
        </w:num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sidRPr="003C44D6">
        <w:rPr>
          <w:rFonts w:ascii="Palatino Linotype" w:eastAsia="Palatino Linotype" w:hAnsi="Palatino Linotype" w:cs="Palatino Linotype"/>
          <w:color w:val="000000"/>
          <w:szCs w:val="22"/>
        </w:rPr>
        <w:t xml:space="preserve">La Comisionada Ponente con fundamento en lo dispuesto por el artículo 185 fracción II de la ley de la materia, a través del acuerdo de admisión </w:t>
      </w:r>
      <w:r w:rsidRPr="003C44D6">
        <w:rPr>
          <w:rFonts w:ascii="Palatino Linotype" w:eastAsia="Palatino Linotype" w:hAnsi="Palatino Linotype" w:cs="Palatino Linotype"/>
          <w:szCs w:val="22"/>
        </w:rPr>
        <w:t>del</w:t>
      </w:r>
      <w:r w:rsidRPr="003C44D6">
        <w:rPr>
          <w:rFonts w:ascii="Palatino Linotype" w:eastAsia="Palatino Linotype" w:hAnsi="Palatino Linotype" w:cs="Palatino Linotype"/>
          <w:color w:val="000000"/>
          <w:szCs w:val="22"/>
        </w:rPr>
        <w:t xml:space="preserve"> </w:t>
      </w:r>
      <w:r w:rsidR="002427BA">
        <w:rPr>
          <w:rFonts w:ascii="Palatino Linotype" w:eastAsia="Palatino Linotype" w:hAnsi="Palatino Linotype" w:cs="Palatino Linotype"/>
          <w:b/>
          <w:color w:val="000000"/>
          <w:szCs w:val="22"/>
        </w:rPr>
        <w:t xml:space="preserve">veintiocho </w:t>
      </w:r>
      <w:r w:rsidR="002427BA">
        <w:rPr>
          <w:rFonts w:ascii="Palatino Linotype" w:eastAsia="Palatino Linotype" w:hAnsi="Palatino Linotype" w:cs="Palatino Linotype"/>
          <w:b/>
          <w:color w:val="000000"/>
          <w:szCs w:val="22"/>
        </w:rPr>
        <w:lastRenderedPageBreak/>
        <w:t>de noviembre</w:t>
      </w:r>
      <w:r w:rsidRPr="003C44D6">
        <w:rPr>
          <w:rFonts w:ascii="Palatino Linotype" w:eastAsia="Palatino Linotype" w:hAnsi="Palatino Linotype" w:cs="Palatino Linotype"/>
          <w:b/>
          <w:color w:val="000000"/>
          <w:szCs w:val="22"/>
        </w:rPr>
        <w:t xml:space="preserve"> de dos mil veinticinco</w:t>
      </w:r>
      <w:r w:rsidRPr="003C44D6">
        <w:rPr>
          <w:rFonts w:ascii="Palatino Linotype" w:eastAsia="Palatino Linotype" w:hAnsi="Palatino Linotype" w:cs="Palatino Linotype"/>
          <w:color w:val="000000"/>
          <w:szCs w:val="22"/>
        </w:rPr>
        <w:t xml:space="preserve">, puso a disposición de las partes el expediente electrónico vía </w:t>
      </w:r>
      <w:r w:rsidRPr="003C44D6">
        <w:rPr>
          <w:rFonts w:ascii="Palatino Linotype" w:eastAsia="Palatino Linotype" w:hAnsi="Palatino Linotype" w:cs="Palatino Linotype"/>
          <w:b/>
          <w:color w:val="000000"/>
          <w:szCs w:val="22"/>
        </w:rPr>
        <w:t xml:space="preserve">SAIMEX </w:t>
      </w:r>
      <w:r w:rsidRPr="003C44D6">
        <w:rPr>
          <w:rFonts w:ascii="Palatino Linotype" w:eastAsia="Palatino Linotype" w:hAnsi="Palatino Linotype" w:cs="Palatino Linotype"/>
          <w:color w:val="000000"/>
          <w:szCs w:val="22"/>
        </w:rPr>
        <w:t xml:space="preserve">a efecto de que en un plazo máximo de siete días </w:t>
      </w:r>
      <w:r w:rsidRPr="003C44D6">
        <w:rPr>
          <w:rFonts w:ascii="Palatino Linotype" w:eastAsia="Palatino Linotype" w:hAnsi="Palatino Linotype" w:cs="Palatino Linotype"/>
          <w:szCs w:val="22"/>
        </w:rPr>
        <w:t>manifestara</w:t>
      </w:r>
      <w:r w:rsidRPr="003C44D6">
        <w:rPr>
          <w:rFonts w:ascii="Palatino Linotype" w:eastAsia="Palatino Linotype" w:hAnsi="Palatino Linotype" w:cs="Palatino Linotype"/>
          <w:color w:val="000000"/>
          <w:szCs w:val="22"/>
        </w:rPr>
        <w:t xml:space="preserve"> lo que a su derecho conviniera, </w:t>
      </w:r>
      <w:r w:rsidRPr="003C44D6">
        <w:rPr>
          <w:rFonts w:ascii="Palatino Linotype" w:eastAsia="Palatino Linotype" w:hAnsi="Palatino Linotype" w:cs="Palatino Linotype"/>
          <w:szCs w:val="22"/>
        </w:rPr>
        <w:t>ofreciera</w:t>
      </w:r>
      <w:r w:rsidRPr="003C44D6">
        <w:rPr>
          <w:rFonts w:ascii="Palatino Linotype" w:eastAsia="Palatino Linotype" w:hAnsi="Palatino Linotype" w:cs="Palatino Linotype"/>
          <w:color w:val="000000"/>
          <w:szCs w:val="22"/>
        </w:rPr>
        <w:t xml:space="preserve"> pruebas y alegatos según corresponda a los casos concretos, y el </w:t>
      </w:r>
      <w:r w:rsidRPr="003C44D6">
        <w:rPr>
          <w:rFonts w:ascii="Palatino Linotype" w:eastAsia="Palatino Linotype" w:hAnsi="Palatino Linotype" w:cs="Palatino Linotype"/>
          <w:b/>
          <w:color w:val="000000"/>
          <w:szCs w:val="22"/>
        </w:rPr>
        <w:t>SUJETO OBLIGADO</w:t>
      </w:r>
      <w:r w:rsidRPr="003C44D6">
        <w:rPr>
          <w:rFonts w:ascii="Palatino Linotype" w:eastAsia="Palatino Linotype" w:hAnsi="Palatino Linotype" w:cs="Palatino Linotype"/>
          <w:color w:val="000000"/>
          <w:szCs w:val="22"/>
        </w:rPr>
        <w:t xml:space="preserve"> presentará el Informe Justificado procedente.</w:t>
      </w:r>
    </w:p>
    <w:p w:rsidR="00D86E74" w:rsidRPr="004D2425" w:rsidRDefault="00D86E74">
      <w:pPr>
        <w:rPr>
          <w:rFonts w:ascii="Palatino Linotype" w:eastAsia="Palatino Linotype" w:hAnsi="Palatino Linotype" w:cs="Palatino Linotype"/>
          <w:sz w:val="22"/>
          <w:szCs w:val="22"/>
        </w:rPr>
      </w:pPr>
    </w:p>
    <w:p w:rsidR="0079058E" w:rsidRPr="0059239A" w:rsidRDefault="00B93ACB" w:rsidP="00144BAC">
      <w:pPr>
        <w:numPr>
          <w:ilvl w:val="0"/>
          <w:numId w:val="25"/>
        </w:numPr>
        <w:spacing w:line="360" w:lineRule="auto"/>
        <w:jc w:val="both"/>
        <w:rPr>
          <w:rFonts w:ascii="Palatino Linotype" w:eastAsia="Palatino Linotype" w:hAnsi="Palatino Linotype" w:cs="Palatino Linotype"/>
          <w:b/>
          <w:color w:val="000000"/>
          <w:szCs w:val="22"/>
        </w:rPr>
      </w:pPr>
      <w:bookmarkStart w:id="4" w:name="_heading=h.2et92p0" w:colFirst="0" w:colLast="0"/>
      <w:bookmarkEnd w:id="4"/>
      <w:r w:rsidRPr="0059239A">
        <w:rPr>
          <w:rFonts w:ascii="Palatino Linotype" w:eastAsia="Palatino Linotype" w:hAnsi="Palatino Linotype" w:cs="Palatino Linotype"/>
          <w:szCs w:val="22"/>
        </w:rPr>
        <w:t>E</w:t>
      </w:r>
      <w:r w:rsidR="00B05C77" w:rsidRPr="0059239A">
        <w:rPr>
          <w:rFonts w:ascii="Palatino Linotype" w:eastAsia="Palatino Linotype" w:hAnsi="Palatino Linotype" w:cs="Palatino Linotype"/>
          <w:szCs w:val="22"/>
        </w:rPr>
        <w:t xml:space="preserve">l </w:t>
      </w:r>
      <w:r w:rsidR="00B05C77" w:rsidRPr="0059239A">
        <w:rPr>
          <w:rFonts w:ascii="Palatino Linotype" w:eastAsia="Palatino Linotype" w:hAnsi="Palatino Linotype" w:cs="Palatino Linotype"/>
          <w:b/>
          <w:szCs w:val="22"/>
        </w:rPr>
        <w:t xml:space="preserve">SUJETO OBLIGADO </w:t>
      </w:r>
      <w:r w:rsidR="003C44D6" w:rsidRPr="0059239A">
        <w:rPr>
          <w:rFonts w:ascii="Palatino Linotype" w:eastAsia="Palatino Linotype" w:hAnsi="Palatino Linotype" w:cs="Palatino Linotype"/>
          <w:szCs w:val="22"/>
        </w:rPr>
        <w:t xml:space="preserve">rindió </w:t>
      </w:r>
      <w:r w:rsidR="00B05C77" w:rsidRPr="0059239A">
        <w:rPr>
          <w:rFonts w:ascii="Palatino Linotype" w:eastAsia="Palatino Linotype" w:hAnsi="Palatino Linotype" w:cs="Palatino Linotype"/>
          <w:szCs w:val="22"/>
        </w:rPr>
        <w:t xml:space="preserve"> info</w:t>
      </w:r>
      <w:r w:rsidRPr="0059239A">
        <w:rPr>
          <w:rFonts w:ascii="Palatino Linotype" w:eastAsia="Palatino Linotype" w:hAnsi="Palatino Linotype" w:cs="Palatino Linotype"/>
          <w:szCs w:val="22"/>
        </w:rPr>
        <w:t>rme justificado correspondiente</w:t>
      </w:r>
      <w:r w:rsidR="0079058E" w:rsidRPr="0059239A">
        <w:rPr>
          <w:rFonts w:ascii="Palatino Linotype" w:eastAsia="Palatino Linotype" w:hAnsi="Palatino Linotype" w:cs="Palatino Linotype"/>
          <w:szCs w:val="22"/>
        </w:rPr>
        <w:t xml:space="preserve"> en fecha </w:t>
      </w:r>
      <w:r w:rsidR="002427BA">
        <w:rPr>
          <w:rFonts w:ascii="Palatino Linotype" w:eastAsia="Palatino Linotype" w:hAnsi="Palatino Linotype" w:cs="Palatino Linotype"/>
          <w:szCs w:val="22"/>
        </w:rPr>
        <w:t>nueve de diciembre de dos mil veinticinco</w:t>
      </w:r>
      <w:r w:rsidR="0079058E" w:rsidRPr="0059239A">
        <w:rPr>
          <w:rFonts w:ascii="Palatino Linotype" w:eastAsia="Palatino Linotype" w:hAnsi="Palatino Linotype" w:cs="Palatino Linotype"/>
          <w:szCs w:val="22"/>
        </w:rPr>
        <w:t xml:space="preserve"> mediante un archivo pdf que medul</w:t>
      </w:r>
      <w:r w:rsidR="00EA1BAE">
        <w:rPr>
          <w:rFonts w:ascii="Palatino Linotype" w:eastAsia="Palatino Linotype" w:hAnsi="Palatino Linotype" w:cs="Palatino Linotype"/>
          <w:szCs w:val="22"/>
        </w:rPr>
        <w:t xml:space="preserve">armente contiene lo siguiente: </w:t>
      </w:r>
    </w:p>
    <w:p w:rsidR="0059239A" w:rsidRDefault="00EA1BAE" w:rsidP="0079058E">
      <w:pPr>
        <w:pStyle w:val="Prrafodelista"/>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r w:rsidRPr="00EA1BAE">
        <w:rPr>
          <w:rFonts w:ascii="Palatino Linotype" w:eastAsia="Palatino Linotype" w:hAnsi="Palatino Linotype" w:cs="Palatino Linotype"/>
          <w:b/>
          <w:sz w:val="22"/>
          <w:szCs w:val="22"/>
        </w:rPr>
        <w:t>Informe Justificado Solicitud 445.pdf</w:t>
      </w:r>
      <w:r>
        <w:rPr>
          <w:rFonts w:ascii="Palatino Linotype" w:eastAsia="Palatino Linotype" w:hAnsi="Palatino Linotype" w:cs="Palatino Linotype"/>
          <w:b/>
          <w:sz w:val="22"/>
          <w:szCs w:val="22"/>
        </w:rPr>
        <w:t>:</w:t>
      </w:r>
      <w:r w:rsidR="0079058E">
        <w:rPr>
          <w:rFonts w:ascii="Palatino Linotype" w:eastAsia="Palatino Linotype" w:hAnsi="Palatino Linotype" w:cs="Palatino Linotype"/>
          <w:b/>
          <w:sz w:val="22"/>
          <w:szCs w:val="22"/>
        </w:rPr>
        <w:t xml:space="preserve"> </w:t>
      </w:r>
    </w:p>
    <w:p w:rsidR="00EA1BAE" w:rsidRPr="00EA1BAE" w:rsidRDefault="00EA1BAE" w:rsidP="00EA1BAE">
      <w:pPr>
        <w:ind w:left="709"/>
        <w:rPr>
          <w:rFonts w:ascii="Palatino Linotype" w:eastAsia="Palatino Linotype" w:hAnsi="Palatino Linotype" w:cs="Palatino Linotype"/>
          <w:i/>
          <w:sz w:val="22"/>
          <w:szCs w:val="22"/>
        </w:rPr>
      </w:pPr>
      <w:r w:rsidRPr="00EA1BAE">
        <w:rPr>
          <w:rFonts w:ascii="Palatino Linotype" w:eastAsia="Palatino Linotype" w:hAnsi="Palatino Linotype" w:cs="Palatino Linotype"/>
          <w:i/>
          <w:sz w:val="22"/>
          <w:szCs w:val="22"/>
        </w:rPr>
        <w:t>Donde el Sujeto Obligado pretende fundar y motivar el desechamiento del presente recurso en razón de la omisión del particular a atender su solicitud de aclaración.</w:t>
      </w:r>
    </w:p>
    <w:p w:rsidR="0059239A" w:rsidRPr="00EA1BAE" w:rsidRDefault="00EA1BAE" w:rsidP="00EA1BAE">
      <w:pPr>
        <w:ind w:left="360"/>
        <w:rPr>
          <w:rFonts w:ascii="Palatino Linotype" w:eastAsia="Palatino Linotype" w:hAnsi="Palatino Linotype" w:cs="Palatino Linotype"/>
          <w:i/>
          <w:sz w:val="22"/>
          <w:szCs w:val="22"/>
        </w:rPr>
      </w:pPr>
      <w:r w:rsidRPr="00EA1BAE">
        <w:rPr>
          <w:rFonts w:ascii="Palatino Linotype" w:eastAsia="Palatino Linotype" w:hAnsi="Palatino Linotype" w:cs="Palatino Linotype"/>
          <w:i/>
          <w:sz w:val="22"/>
          <w:szCs w:val="22"/>
        </w:rPr>
        <w:t xml:space="preserve"> </w:t>
      </w:r>
    </w:p>
    <w:p w:rsidR="0051138E" w:rsidRPr="000706F4" w:rsidRDefault="0059239A" w:rsidP="00144BAC">
      <w:pPr>
        <w:numPr>
          <w:ilvl w:val="0"/>
          <w:numId w:val="25"/>
        </w:numPr>
        <w:spacing w:line="360" w:lineRule="auto"/>
        <w:jc w:val="both"/>
        <w:rPr>
          <w:rFonts w:ascii="Palatino Linotype" w:eastAsia="Palatino Linotype" w:hAnsi="Palatino Linotype" w:cs="Palatino Linotype"/>
          <w:b/>
          <w:color w:val="000000"/>
          <w:szCs w:val="22"/>
        </w:rPr>
      </w:pPr>
      <w:r w:rsidRPr="000706F4">
        <w:rPr>
          <w:rFonts w:ascii="Palatino Linotype" w:eastAsia="Palatino Linotype" w:hAnsi="Palatino Linotype" w:cs="Palatino Linotype"/>
          <w:szCs w:val="22"/>
        </w:rPr>
        <w:t>P</w:t>
      </w:r>
      <w:r w:rsidR="00B05C77" w:rsidRPr="000706F4">
        <w:rPr>
          <w:rFonts w:ascii="Palatino Linotype" w:eastAsia="Palatino Linotype" w:hAnsi="Palatino Linotype" w:cs="Palatino Linotype"/>
          <w:szCs w:val="22"/>
        </w:rPr>
        <w:t>or su parte, la parte</w:t>
      </w:r>
      <w:r w:rsidR="00B05C77" w:rsidRPr="000706F4">
        <w:rPr>
          <w:rFonts w:ascii="Palatino Linotype" w:eastAsia="Palatino Linotype" w:hAnsi="Palatino Linotype" w:cs="Palatino Linotype"/>
          <w:b/>
          <w:szCs w:val="22"/>
        </w:rPr>
        <w:t xml:space="preserve"> RECURRENTE </w:t>
      </w:r>
      <w:r w:rsidR="00B05C77" w:rsidRPr="000706F4">
        <w:rPr>
          <w:rFonts w:ascii="Palatino Linotype" w:eastAsia="Palatino Linotype" w:hAnsi="Palatino Linotype" w:cs="Palatino Linotype"/>
          <w:szCs w:val="22"/>
        </w:rPr>
        <w:t xml:space="preserve">dejó de realizar manifestaciones que a su derecho conviniera y asistiera. </w:t>
      </w:r>
    </w:p>
    <w:p w:rsidR="0051138E" w:rsidRPr="004D2425" w:rsidRDefault="0051138E" w:rsidP="0051138E">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rsidR="00EA1BAE" w:rsidRPr="006C6346" w:rsidRDefault="00EA1BAE" w:rsidP="00EA1BAE">
      <w:pPr>
        <w:pStyle w:val="Prrafodelista"/>
        <w:numPr>
          <w:ilvl w:val="0"/>
          <w:numId w:val="25"/>
        </w:numPr>
        <w:spacing w:line="360" w:lineRule="auto"/>
        <w:ind w:right="27"/>
        <w:contextualSpacing w:val="0"/>
        <w:jc w:val="both"/>
        <w:rPr>
          <w:rFonts w:ascii="Palatino Linotype" w:hAnsi="Palatino Linotype"/>
          <w:b/>
          <w:color w:val="000000" w:themeColor="text1"/>
        </w:rPr>
      </w:pPr>
      <w:r w:rsidRPr="006C6346">
        <w:rPr>
          <w:rFonts w:ascii="Palatino Linotype" w:hAnsi="Palatino Linotype"/>
        </w:rPr>
        <w:t xml:space="preserve">En </w:t>
      </w:r>
      <w:r w:rsidRPr="006C6346">
        <w:rPr>
          <w:rFonts w:ascii="Palatino Linotype" w:hAnsi="Palatino Linotype"/>
          <w:b/>
        </w:rPr>
        <w:t xml:space="preserve">fecha </w:t>
      </w:r>
      <w:r>
        <w:rPr>
          <w:rFonts w:ascii="Palatino Linotype" w:hAnsi="Palatino Linotype"/>
          <w:b/>
        </w:rPr>
        <w:t>veintisiete de enero de dos mil veintiséis</w:t>
      </w:r>
      <w:r w:rsidRPr="006C6346">
        <w:rPr>
          <w:rFonts w:ascii="Palatino Linotype" w:hAnsi="Palatino Linotype"/>
        </w:rPr>
        <w:t>, se acordó ampliar el término para resolver el presente asunto.</w:t>
      </w:r>
    </w:p>
    <w:p w:rsidR="00EA1BAE" w:rsidRPr="006C6346" w:rsidRDefault="00EA1BAE" w:rsidP="00EA1BAE">
      <w:pPr>
        <w:pStyle w:val="Prrafodelista"/>
        <w:ind w:right="27"/>
        <w:rPr>
          <w:rFonts w:ascii="Palatino Linotype" w:hAnsi="Palatino Linotype"/>
          <w:b/>
          <w:color w:val="000000" w:themeColor="text1"/>
        </w:rPr>
      </w:pPr>
    </w:p>
    <w:p w:rsidR="00EA1BAE" w:rsidRPr="006C6346" w:rsidRDefault="00EA1BAE" w:rsidP="00EA1BAE">
      <w:pPr>
        <w:numPr>
          <w:ilvl w:val="0"/>
          <w:numId w:val="25"/>
        </w:numPr>
        <w:pBdr>
          <w:top w:val="nil"/>
          <w:left w:val="nil"/>
          <w:bottom w:val="nil"/>
          <w:right w:val="nil"/>
          <w:between w:val="nil"/>
        </w:pBdr>
        <w:spacing w:line="360" w:lineRule="auto"/>
        <w:ind w:right="27"/>
        <w:jc w:val="both"/>
        <w:rPr>
          <w:rFonts w:ascii="Palatino Linotype" w:hAnsi="Palatino Linotype"/>
          <w:color w:val="000000"/>
        </w:rPr>
      </w:pPr>
      <w:r w:rsidRPr="006C6346">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EA1BAE" w:rsidRPr="00EA1BAE" w:rsidRDefault="00EA1BAE" w:rsidP="00144BAC">
      <w:pPr>
        <w:numPr>
          <w:ilvl w:val="0"/>
          <w:numId w:val="25"/>
        </w:numPr>
        <w:pBdr>
          <w:top w:val="nil"/>
          <w:left w:val="nil"/>
          <w:bottom w:val="nil"/>
          <w:right w:val="nil"/>
          <w:between w:val="nil"/>
        </w:pBdr>
        <w:spacing w:line="360" w:lineRule="auto"/>
        <w:jc w:val="both"/>
        <w:rPr>
          <w:rFonts w:ascii="Palatino Linotype" w:eastAsia="Palatino Linotype" w:hAnsi="Palatino Linotype" w:cs="Palatino Linotype"/>
          <w:b/>
          <w:color w:val="000000"/>
          <w:szCs w:val="22"/>
        </w:rPr>
      </w:pPr>
    </w:p>
    <w:p w:rsidR="00EA1BAE" w:rsidRDefault="00EA1BAE" w:rsidP="00EA1BAE">
      <w:pPr>
        <w:pStyle w:val="Prrafodelista"/>
        <w:rPr>
          <w:rFonts w:ascii="Palatino Linotype" w:eastAsia="Palatino Linotype" w:hAnsi="Palatino Linotype" w:cs="Palatino Linotype"/>
          <w:color w:val="000000"/>
          <w:szCs w:val="22"/>
        </w:rPr>
      </w:pPr>
    </w:p>
    <w:p w:rsidR="00EA1BAE" w:rsidRDefault="00EA1BAE" w:rsidP="00EA1BAE">
      <w:pPr>
        <w:numPr>
          <w:ilvl w:val="0"/>
          <w:numId w:val="34"/>
        </w:numPr>
        <w:spacing w:line="360" w:lineRule="auto"/>
        <w:ind w:left="0" w:right="-29" w:firstLine="0"/>
        <w:jc w:val="both"/>
        <w:rPr>
          <w:rFonts w:ascii="Palatino Linotype" w:eastAsia="Palatino Linotype" w:hAnsi="Palatino Linotype" w:cs="Palatino Linotype"/>
        </w:rPr>
      </w:pPr>
      <w:r w:rsidRPr="008F6C6E">
        <w:rPr>
          <w:rFonts w:ascii="Palatino Linotype" w:eastAsia="Palatino Linotype" w:hAnsi="Palatino Linotype" w:cs="Palatino Linotype"/>
        </w:rPr>
        <w:t xml:space="preserve">La Comisionada Ponente decretó el cierre de instrucción mediante el acuerdo del </w:t>
      </w:r>
      <w:r>
        <w:rPr>
          <w:rFonts w:ascii="Palatino Linotype" w:eastAsia="Palatino Linotype" w:hAnsi="Palatino Linotype" w:cs="Palatino Linotype"/>
          <w:b/>
        </w:rPr>
        <w:t>veinticuatro de marzo</w:t>
      </w:r>
      <w:r w:rsidRPr="008F6C6E">
        <w:rPr>
          <w:rFonts w:ascii="Palatino Linotype" w:eastAsia="Palatino Linotype" w:hAnsi="Palatino Linotype" w:cs="Palatino Linotype"/>
          <w:b/>
        </w:rPr>
        <w:t xml:space="preserve"> de dos mil </w:t>
      </w:r>
      <w:r>
        <w:rPr>
          <w:rFonts w:ascii="Palatino Linotype" w:eastAsia="Palatino Linotype" w:hAnsi="Palatino Linotype" w:cs="Palatino Linotype"/>
          <w:b/>
        </w:rPr>
        <w:t xml:space="preserve">veintiséis; </w:t>
      </w:r>
      <w:r>
        <w:rPr>
          <w:rFonts w:ascii="Palatino Linotype" w:eastAsia="Palatino Linotype" w:hAnsi="Palatino Linotype" w:cs="Palatino Linotype"/>
        </w:rPr>
        <w:t>por lo que en virtud de que el expediente electrónico ha sido debidamente substanciado y no existe diligencia pendiente de desahogo, se procede a emitir la presente resolución que conforme a Derecho corresponda y;</w:t>
      </w:r>
    </w:p>
    <w:p w:rsidR="0059239A" w:rsidRDefault="0059239A" w:rsidP="00EA1BAE">
      <w:pPr>
        <w:pStyle w:val="Prrafodelista"/>
        <w:spacing w:line="720" w:lineRule="auto"/>
        <w:rPr>
          <w:rFonts w:ascii="Palatino Linotype" w:eastAsia="Palatino Linotype" w:hAnsi="Palatino Linotype" w:cs="Palatino Linotype"/>
          <w:b/>
          <w:color w:val="000000"/>
          <w:sz w:val="22"/>
          <w:szCs w:val="22"/>
        </w:rPr>
      </w:pPr>
    </w:p>
    <w:p w:rsidR="00D86E74" w:rsidRPr="00EA1BAE" w:rsidRDefault="00B05C77">
      <w:pPr>
        <w:pStyle w:val="Ttulo1"/>
        <w:tabs>
          <w:tab w:val="left" w:pos="567"/>
        </w:tabs>
        <w:spacing w:before="0" w:line="360" w:lineRule="auto"/>
        <w:jc w:val="center"/>
        <w:rPr>
          <w:sz w:val="28"/>
          <w:szCs w:val="22"/>
        </w:rPr>
      </w:pPr>
      <w:bookmarkStart w:id="5" w:name="_heading=h.tyjcwt" w:colFirst="0" w:colLast="0"/>
      <w:bookmarkEnd w:id="5"/>
      <w:r w:rsidRPr="00EA1BAE">
        <w:rPr>
          <w:sz w:val="28"/>
          <w:szCs w:val="22"/>
        </w:rPr>
        <w:t>C O N S I D E R A N D O</w:t>
      </w:r>
    </w:p>
    <w:p w:rsidR="00D86E74" w:rsidRPr="000706F4" w:rsidRDefault="00D86E74">
      <w:pPr>
        <w:spacing w:line="360" w:lineRule="auto"/>
        <w:rPr>
          <w:rFonts w:ascii="Palatino Linotype" w:eastAsia="Palatino Linotype" w:hAnsi="Palatino Linotype" w:cs="Palatino Linotype"/>
          <w:szCs w:val="22"/>
        </w:rPr>
      </w:pPr>
    </w:p>
    <w:p w:rsidR="00D86E74" w:rsidRPr="000706F4" w:rsidRDefault="00B05C77">
      <w:pPr>
        <w:pStyle w:val="Ttulo1"/>
        <w:tabs>
          <w:tab w:val="left" w:pos="567"/>
        </w:tabs>
        <w:spacing w:before="0" w:line="360" w:lineRule="auto"/>
        <w:rPr>
          <w:szCs w:val="22"/>
        </w:rPr>
      </w:pPr>
      <w:bookmarkStart w:id="6" w:name="_heading=h.3dy6vkm" w:colFirst="0" w:colLast="0"/>
      <w:bookmarkEnd w:id="6"/>
      <w:r w:rsidRPr="000706F4">
        <w:rPr>
          <w:szCs w:val="22"/>
        </w:rPr>
        <w:t>PRIMERO. De la competencia</w:t>
      </w:r>
    </w:p>
    <w:p w:rsidR="00D86E74" w:rsidRPr="000706F4" w:rsidRDefault="00B05C77" w:rsidP="00144BAC">
      <w:pPr>
        <w:numPr>
          <w:ilvl w:val="0"/>
          <w:numId w:val="25"/>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szCs w:val="22"/>
        </w:rPr>
      </w:pPr>
      <w:r w:rsidRPr="000706F4">
        <w:rPr>
          <w:rFonts w:ascii="Palatino Linotype" w:eastAsia="Palatino Linotype" w:hAnsi="Palatino Linotype" w:cs="Palatino Linotype"/>
          <w:szCs w:val="22"/>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86E74" w:rsidRDefault="00D86E7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22"/>
          <w:szCs w:val="22"/>
        </w:rPr>
      </w:pPr>
    </w:p>
    <w:p w:rsidR="00EA1BAE" w:rsidRPr="004D2425" w:rsidRDefault="00EA1BA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22"/>
          <w:szCs w:val="22"/>
        </w:rPr>
      </w:pPr>
    </w:p>
    <w:p w:rsidR="00D86E74" w:rsidRPr="000706F4" w:rsidRDefault="00B05C77">
      <w:pPr>
        <w:pStyle w:val="Ttulo2"/>
        <w:spacing w:before="0" w:line="360" w:lineRule="auto"/>
      </w:pPr>
      <w:bookmarkStart w:id="7" w:name="_heading=h.1t3h5sf" w:colFirst="0" w:colLast="0"/>
      <w:bookmarkEnd w:id="7"/>
      <w:r w:rsidRPr="000706F4">
        <w:lastRenderedPageBreak/>
        <w:t>SEGUNDO. De la oportunidad y procedencia.</w:t>
      </w:r>
    </w:p>
    <w:p w:rsidR="0059239A" w:rsidRPr="000706F4" w:rsidRDefault="00B05C77" w:rsidP="00144BAC">
      <w:pPr>
        <w:numPr>
          <w:ilvl w:val="0"/>
          <w:numId w:val="26"/>
        </w:numPr>
        <w:pBdr>
          <w:top w:val="nil"/>
          <w:left w:val="nil"/>
          <w:bottom w:val="nil"/>
          <w:right w:val="nil"/>
          <w:between w:val="nil"/>
        </w:pBdr>
        <w:spacing w:line="360" w:lineRule="auto"/>
        <w:ind w:left="0" w:right="-141" w:firstLine="0"/>
        <w:jc w:val="both"/>
        <w:rPr>
          <w:rFonts w:ascii="Palatino Linotype" w:eastAsia="Palatino Linotype" w:hAnsi="Palatino Linotype" w:cs="Palatino Linotype"/>
          <w:b/>
          <w:color w:val="000000"/>
        </w:rPr>
      </w:pPr>
      <w:r w:rsidRPr="000706F4">
        <w:rPr>
          <w:rFonts w:ascii="Palatino Linotype" w:eastAsia="Palatino Linotype" w:hAnsi="Palatino Linotype" w:cs="Palatino Linotype"/>
          <w:color w:val="000000"/>
        </w:rPr>
        <w:t xml:space="preserve"> </w:t>
      </w:r>
      <w:r w:rsidR="0059239A" w:rsidRPr="000706F4">
        <w:rPr>
          <w:rFonts w:ascii="Palatino Linotype" w:eastAsia="Palatino Linotype" w:hAnsi="Palatino Linotype" w:cs="Palatino Linotype"/>
          <w:color w:val="000000"/>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0059239A" w:rsidRPr="000706F4">
        <w:rPr>
          <w:rFonts w:ascii="Palatino Linotype" w:eastAsia="Palatino Linotype" w:hAnsi="Palatino Linotype" w:cs="Palatino Linotype"/>
          <w:b/>
          <w:color w:val="000000"/>
        </w:rPr>
        <w:t xml:space="preserve"> SUJETO OBLIGADO</w:t>
      </w:r>
      <w:r w:rsidR="0059239A" w:rsidRPr="000706F4">
        <w:rPr>
          <w:rFonts w:ascii="Palatino Linotype" w:eastAsia="Palatino Linotype" w:hAnsi="Palatino Linotype" w:cs="Palatino Linotype"/>
          <w:color w:val="000000"/>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86E74" w:rsidRPr="000706F4" w:rsidRDefault="00D86E74" w:rsidP="000706F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86E74" w:rsidRPr="000706F4" w:rsidRDefault="00B05C77" w:rsidP="00144BAC">
      <w:pPr>
        <w:numPr>
          <w:ilvl w:val="0"/>
          <w:numId w:val="27"/>
        </w:numPr>
        <w:spacing w:line="360" w:lineRule="auto"/>
        <w:jc w:val="both"/>
        <w:rPr>
          <w:rFonts w:ascii="Palatino Linotype" w:eastAsia="Palatino Linotype" w:hAnsi="Palatino Linotype" w:cs="Palatino Linotype"/>
          <w:b/>
        </w:rPr>
      </w:pPr>
      <w:r w:rsidRPr="000706F4">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86E74" w:rsidRPr="004D2425" w:rsidRDefault="00D86E74">
      <w:pPr>
        <w:spacing w:line="360" w:lineRule="auto"/>
        <w:rPr>
          <w:rFonts w:ascii="Palatino Linotype" w:eastAsia="Palatino Linotype" w:hAnsi="Palatino Linotype" w:cs="Palatino Linotype"/>
          <w:sz w:val="22"/>
          <w:szCs w:val="22"/>
        </w:rPr>
      </w:pPr>
    </w:p>
    <w:p w:rsidR="00D86E74" w:rsidRPr="000706F4" w:rsidRDefault="00B05C77">
      <w:pPr>
        <w:pStyle w:val="Ttulo1"/>
        <w:spacing w:before="0" w:line="360" w:lineRule="auto"/>
        <w:rPr>
          <w:szCs w:val="22"/>
        </w:rPr>
      </w:pPr>
      <w:r w:rsidRPr="000706F4">
        <w:rPr>
          <w:szCs w:val="22"/>
        </w:rPr>
        <w:t xml:space="preserve">TERCERO. Del planteamiento de la </w:t>
      </w:r>
      <w:r w:rsidRPr="000706F4">
        <w:rPr>
          <w:i/>
          <w:szCs w:val="22"/>
        </w:rPr>
        <w:t>Litis</w:t>
      </w:r>
      <w:r w:rsidRPr="000706F4">
        <w:rPr>
          <w:szCs w:val="22"/>
        </w:rPr>
        <w:t>.</w:t>
      </w:r>
    </w:p>
    <w:p w:rsidR="00D86E74" w:rsidRDefault="00B05C77" w:rsidP="0053655E">
      <w:pPr>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i/>
          <w:szCs w:val="22"/>
        </w:rPr>
      </w:pPr>
      <w:r w:rsidRPr="000706F4">
        <w:rPr>
          <w:rFonts w:ascii="Palatino Linotype" w:eastAsia="Palatino Linotype" w:hAnsi="Palatino Linotype" w:cs="Palatino Linotype"/>
          <w:szCs w:val="22"/>
        </w:rPr>
        <w:t xml:space="preserve">La parte </w:t>
      </w:r>
      <w:r w:rsidRPr="000706F4">
        <w:rPr>
          <w:rFonts w:ascii="Palatino Linotype" w:eastAsia="Palatino Linotype" w:hAnsi="Palatino Linotype" w:cs="Palatino Linotype"/>
          <w:b/>
          <w:szCs w:val="22"/>
        </w:rPr>
        <w:t>RECURRENTE</w:t>
      </w:r>
      <w:r w:rsidR="000706F4">
        <w:rPr>
          <w:rFonts w:ascii="Palatino Linotype" w:eastAsia="Palatino Linotype" w:hAnsi="Palatino Linotype" w:cs="Palatino Linotype"/>
          <w:szCs w:val="22"/>
        </w:rPr>
        <w:t xml:space="preserve"> solicitó</w:t>
      </w:r>
      <w:r w:rsidR="0053655E">
        <w:rPr>
          <w:rFonts w:ascii="Palatino Linotype" w:eastAsia="Palatino Linotype" w:hAnsi="Palatino Linotype" w:cs="Palatino Linotype"/>
          <w:szCs w:val="22"/>
        </w:rPr>
        <w:t>:</w:t>
      </w:r>
      <w:r w:rsidR="000706F4">
        <w:rPr>
          <w:rFonts w:ascii="Palatino Linotype" w:eastAsia="Palatino Linotype" w:hAnsi="Palatino Linotype" w:cs="Palatino Linotype"/>
          <w:szCs w:val="22"/>
        </w:rPr>
        <w:t xml:space="preserve"> </w:t>
      </w:r>
      <w:r w:rsidR="00327D9C" w:rsidRPr="000706F4">
        <w:rPr>
          <w:rFonts w:ascii="Palatino Linotype" w:eastAsia="Palatino Linotype" w:hAnsi="Palatino Linotype" w:cs="Palatino Linotype"/>
          <w:szCs w:val="22"/>
        </w:rPr>
        <w:t xml:space="preserve"> </w:t>
      </w:r>
    </w:p>
    <w:p w:rsidR="0053655E" w:rsidRPr="0053655E" w:rsidRDefault="0053655E" w:rsidP="0053655E">
      <w:pPr>
        <w:pBdr>
          <w:top w:val="nil"/>
          <w:left w:val="nil"/>
          <w:bottom w:val="nil"/>
          <w:right w:val="nil"/>
          <w:between w:val="nil"/>
        </w:pBdr>
        <w:spacing w:line="276" w:lineRule="auto"/>
        <w:ind w:left="1134" w:right="851"/>
        <w:jc w:val="both"/>
        <w:rPr>
          <w:rFonts w:ascii="Palatino Linotype" w:eastAsia="Palatino Linotype" w:hAnsi="Palatino Linotype" w:cs="Palatino Linotype"/>
          <w:i/>
          <w:sz w:val="22"/>
          <w:szCs w:val="22"/>
        </w:rPr>
      </w:pPr>
      <w:r w:rsidRPr="0053655E">
        <w:rPr>
          <w:rFonts w:ascii="Palatino Linotype" w:eastAsia="Palatino Linotype" w:hAnsi="Palatino Linotype" w:cs="Palatino Linotype"/>
          <w:i/>
          <w:sz w:val="22"/>
          <w:szCs w:val="22"/>
        </w:rPr>
        <w:t xml:space="preserve">SOPORTES CONTABLES CON TODOS Y CADA UNO DE LOS ANEXOS (POLIZA CONTABLE, REQUISICIÓN, FACTURA, SUFICIENCIA PRESUPUESTAL, EVIDENCIA DOCUMENTAL Y/O FOTOGRÁFICA), DEL 17 DE OCTUBRE DE 2024 AL 17 DE OCTUBRE </w:t>
      </w:r>
      <w:r w:rsidRPr="0053655E">
        <w:rPr>
          <w:rFonts w:ascii="Palatino Linotype" w:eastAsia="Palatino Linotype" w:hAnsi="Palatino Linotype" w:cs="Palatino Linotype"/>
          <w:i/>
          <w:sz w:val="22"/>
          <w:szCs w:val="22"/>
        </w:rPr>
        <w:lastRenderedPageBreak/>
        <w:t xml:space="preserve">DE 2025,  CORRESPONDIENTES A LA ADQUISICIÓN DE LICENCIAS, ACTUALIZACIONES O MANTENIMIENTO DE: </w:t>
      </w:r>
    </w:p>
    <w:p w:rsidR="0053655E" w:rsidRPr="0053655E" w:rsidRDefault="0053655E" w:rsidP="0053655E">
      <w:pPr>
        <w:pStyle w:val="Prrafodelista"/>
        <w:numPr>
          <w:ilvl w:val="3"/>
          <w:numId w:val="24"/>
        </w:numPr>
        <w:pBdr>
          <w:top w:val="nil"/>
          <w:left w:val="nil"/>
          <w:bottom w:val="nil"/>
          <w:right w:val="nil"/>
          <w:between w:val="nil"/>
        </w:pBdr>
        <w:spacing w:line="276" w:lineRule="auto"/>
        <w:ind w:right="851"/>
        <w:jc w:val="both"/>
        <w:rPr>
          <w:rFonts w:ascii="Palatino Linotype" w:eastAsia="Palatino Linotype" w:hAnsi="Palatino Linotype" w:cs="Palatino Linotype"/>
          <w:i/>
          <w:color w:val="000000"/>
          <w:sz w:val="22"/>
          <w:szCs w:val="22"/>
        </w:rPr>
      </w:pPr>
      <w:r w:rsidRPr="0053655E">
        <w:rPr>
          <w:rFonts w:ascii="Palatino Linotype" w:eastAsia="Palatino Linotype" w:hAnsi="Palatino Linotype" w:cs="Palatino Linotype"/>
          <w:i/>
          <w:sz w:val="22"/>
          <w:szCs w:val="22"/>
        </w:rPr>
        <w:t xml:space="preserve">SISTEMAS CONTABLES, </w:t>
      </w:r>
    </w:p>
    <w:p w:rsidR="0053655E" w:rsidRPr="0053655E" w:rsidRDefault="0053655E" w:rsidP="0053655E">
      <w:pPr>
        <w:pStyle w:val="Prrafodelista"/>
        <w:numPr>
          <w:ilvl w:val="3"/>
          <w:numId w:val="24"/>
        </w:numPr>
        <w:pBdr>
          <w:top w:val="nil"/>
          <w:left w:val="nil"/>
          <w:bottom w:val="nil"/>
          <w:right w:val="nil"/>
          <w:between w:val="nil"/>
        </w:pBdr>
        <w:spacing w:line="276" w:lineRule="auto"/>
        <w:ind w:right="851"/>
        <w:jc w:val="both"/>
        <w:rPr>
          <w:rFonts w:ascii="Palatino Linotype" w:eastAsia="Palatino Linotype" w:hAnsi="Palatino Linotype" w:cs="Palatino Linotype"/>
          <w:i/>
          <w:color w:val="000000"/>
          <w:sz w:val="22"/>
          <w:szCs w:val="22"/>
        </w:rPr>
      </w:pPr>
      <w:r w:rsidRPr="0053655E">
        <w:rPr>
          <w:rFonts w:ascii="Palatino Linotype" w:eastAsia="Palatino Linotype" w:hAnsi="Palatino Linotype" w:cs="Palatino Linotype"/>
          <w:i/>
          <w:sz w:val="22"/>
          <w:szCs w:val="22"/>
        </w:rPr>
        <w:t xml:space="preserve">SISTEMAS DE INGRESOS, </w:t>
      </w:r>
    </w:p>
    <w:p w:rsidR="0053655E" w:rsidRPr="0053655E" w:rsidRDefault="0053655E" w:rsidP="0053655E">
      <w:pPr>
        <w:pStyle w:val="Prrafodelista"/>
        <w:numPr>
          <w:ilvl w:val="3"/>
          <w:numId w:val="24"/>
        </w:numPr>
        <w:pBdr>
          <w:top w:val="nil"/>
          <w:left w:val="nil"/>
          <w:bottom w:val="nil"/>
          <w:right w:val="nil"/>
          <w:between w:val="nil"/>
        </w:pBdr>
        <w:spacing w:line="276" w:lineRule="auto"/>
        <w:ind w:right="851"/>
        <w:jc w:val="both"/>
        <w:rPr>
          <w:rFonts w:ascii="Palatino Linotype" w:eastAsia="Palatino Linotype" w:hAnsi="Palatino Linotype" w:cs="Palatino Linotype"/>
          <w:i/>
          <w:color w:val="000000"/>
          <w:sz w:val="22"/>
          <w:szCs w:val="22"/>
        </w:rPr>
      </w:pPr>
      <w:r w:rsidRPr="0053655E">
        <w:rPr>
          <w:rFonts w:ascii="Palatino Linotype" w:eastAsia="Palatino Linotype" w:hAnsi="Palatino Linotype" w:cs="Palatino Linotype"/>
          <w:i/>
          <w:sz w:val="22"/>
          <w:szCs w:val="22"/>
        </w:rPr>
        <w:t xml:space="preserve">SISTEMAS DE CONTROL PATRIMONIAL </w:t>
      </w:r>
    </w:p>
    <w:p w:rsidR="0053655E" w:rsidRPr="0053655E" w:rsidRDefault="0053655E" w:rsidP="0053655E">
      <w:pPr>
        <w:pStyle w:val="Prrafodelista"/>
        <w:numPr>
          <w:ilvl w:val="3"/>
          <w:numId w:val="24"/>
        </w:numPr>
        <w:pBdr>
          <w:top w:val="nil"/>
          <w:left w:val="nil"/>
          <w:bottom w:val="nil"/>
          <w:right w:val="nil"/>
          <w:between w:val="nil"/>
        </w:pBdr>
        <w:spacing w:line="276" w:lineRule="auto"/>
        <w:ind w:right="851"/>
        <w:jc w:val="both"/>
        <w:rPr>
          <w:rFonts w:ascii="Palatino Linotype" w:eastAsia="Palatino Linotype" w:hAnsi="Palatino Linotype" w:cs="Palatino Linotype"/>
          <w:i/>
          <w:color w:val="000000"/>
          <w:sz w:val="22"/>
          <w:szCs w:val="22"/>
        </w:rPr>
      </w:pPr>
      <w:r w:rsidRPr="0053655E">
        <w:rPr>
          <w:rFonts w:ascii="Palatino Linotype" w:eastAsia="Palatino Linotype" w:hAnsi="Palatino Linotype" w:cs="Palatino Linotype"/>
          <w:i/>
          <w:sz w:val="22"/>
          <w:szCs w:val="22"/>
        </w:rPr>
        <w:t xml:space="preserve">SISTEMAS DE ENTREGA-RECEPCIÓN </w:t>
      </w:r>
    </w:p>
    <w:p w:rsidR="0053655E" w:rsidRDefault="0053655E" w:rsidP="0053655E">
      <w:pPr>
        <w:tabs>
          <w:tab w:val="left" w:pos="7938"/>
        </w:tabs>
        <w:ind w:left="1134" w:right="851"/>
        <w:jc w:val="both"/>
        <w:rPr>
          <w:rFonts w:ascii="Palatino Linotype" w:eastAsia="Palatino Linotype" w:hAnsi="Palatino Linotype" w:cs="Palatino Linotype"/>
          <w:i/>
          <w:sz w:val="22"/>
        </w:rPr>
      </w:pPr>
    </w:p>
    <w:p w:rsidR="00D86E74" w:rsidRPr="000706F4" w:rsidRDefault="00B05C77" w:rsidP="00144BAC">
      <w:pPr>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i/>
          <w:szCs w:val="22"/>
        </w:rPr>
      </w:pPr>
      <w:r w:rsidRPr="000706F4">
        <w:rPr>
          <w:rFonts w:ascii="Palatino Linotype" w:eastAsia="Palatino Linotype" w:hAnsi="Palatino Linotype" w:cs="Palatino Linotype"/>
          <w:color w:val="000000"/>
          <w:szCs w:val="22"/>
        </w:rPr>
        <w:t xml:space="preserve">El </w:t>
      </w:r>
      <w:r w:rsidRPr="000706F4">
        <w:rPr>
          <w:rFonts w:ascii="Palatino Linotype" w:eastAsia="Palatino Linotype" w:hAnsi="Palatino Linotype" w:cs="Palatino Linotype"/>
          <w:b/>
          <w:color w:val="000000"/>
          <w:szCs w:val="22"/>
        </w:rPr>
        <w:t xml:space="preserve">SUJETO OBLIGADO </w:t>
      </w:r>
      <w:r w:rsidRPr="000706F4">
        <w:rPr>
          <w:rFonts w:ascii="Palatino Linotype" w:eastAsia="Palatino Linotype" w:hAnsi="Palatino Linotype" w:cs="Palatino Linotype"/>
          <w:color w:val="000000"/>
          <w:szCs w:val="22"/>
        </w:rPr>
        <w:t xml:space="preserve">emitió </w:t>
      </w:r>
      <w:r w:rsidR="000706F4">
        <w:rPr>
          <w:rFonts w:ascii="Palatino Linotype" w:eastAsia="Palatino Linotype" w:hAnsi="Palatino Linotype" w:cs="Palatino Linotype"/>
          <w:color w:val="000000"/>
          <w:szCs w:val="22"/>
        </w:rPr>
        <w:t xml:space="preserve">informe justificado </w:t>
      </w:r>
      <w:r w:rsidRPr="000706F4">
        <w:rPr>
          <w:rFonts w:ascii="Palatino Linotype" w:eastAsia="Palatino Linotype" w:hAnsi="Palatino Linotype" w:cs="Palatino Linotype"/>
          <w:color w:val="000000"/>
          <w:szCs w:val="22"/>
        </w:rPr>
        <w:t xml:space="preserve"> en términos del </w:t>
      </w:r>
      <w:r w:rsidR="00144BAC">
        <w:rPr>
          <w:rFonts w:ascii="Palatino Linotype" w:eastAsia="Palatino Linotype" w:hAnsi="Palatino Linotype" w:cs="Palatino Linotype"/>
          <w:color w:val="000000"/>
          <w:szCs w:val="22"/>
        </w:rPr>
        <w:t>num</w:t>
      </w:r>
      <w:r w:rsidR="00AC1968">
        <w:rPr>
          <w:rFonts w:ascii="Palatino Linotype" w:eastAsia="Palatino Linotype" w:hAnsi="Palatino Linotype" w:cs="Palatino Linotype"/>
          <w:color w:val="000000"/>
          <w:szCs w:val="22"/>
        </w:rPr>
        <w:t>eral sex</w:t>
      </w:r>
      <w:r w:rsidR="00144BAC">
        <w:rPr>
          <w:rFonts w:ascii="Palatino Linotype" w:eastAsia="Palatino Linotype" w:hAnsi="Palatino Linotype" w:cs="Palatino Linotype"/>
          <w:color w:val="000000"/>
          <w:szCs w:val="22"/>
        </w:rPr>
        <w:t>t</w:t>
      </w:r>
      <w:r w:rsidR="000706F4" w:rsidRPr="000706F4">
        <w:rPr>
          <w:rFonts w:ascii="Palatino Linotype" w:eastAsia="Palatino Linotype" w:hAnsi="Palatino Linotype" w:cs="Palatino Linotype"/>
          <w:color w:val="000000"/>
          <w:szCs w:val="22"/>
        </w:rPr>
        <w:t>o</w:t>
      </w:r>
      <w:r w:rsidRPr="000706F4">
        <w:rPr>
          <w:rFonts w:ascii="Palatino Linotype" w:eastAsia="Palatino Linotype" w:hAnsi="Palatino Linotype" w:cs="Palatino Linotype"/>
          <w:color w:val="000000"/>
          <w:szCs w:val="22"/>
        </w:rPr>
        <w:t xml:space="preserve"> de la presente resolución.</w:t>
      </w:r>
    </w:p>
    <w:p w:rsidR="00D86E74" w:rsidRPr="000706F4" w:rsidRDefault="00D86E74">
      <w:pPr>
        <w:pBdr>
          <w:top w:val="nil"/>
          <w:left w:val="nil"/>
          <w:bottom w:val="nil"/>
          <w:right w:val="nil"/>
          <w:between w:val="nil"/>
        </w:pBdr>
        <w:spacing w:line="360" w:lineRule="auto"/>
        <w:jc w:val="both"/>
        <w:rPr>
          <w:rFonts w:ascii="Palatino Linotype" w:eastAsia="Palatino Linotype" w:hAnsi="Palatino Linotype" w:cs="Palatino Linotype"/>
          <w:i/>
          <w:szCs w:val="22"/>
        </w:rPr>
      </w:pPr>
    </w:p>
    <w:p w:rsidR="00D86E74" w:rsidRPr="000706F4" w:rsidRDefault="00B05C77" w:rsidP="00144BAC">
      <w:pPr>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i/>
          <w:szCs w:val="22"/>
        </w:rPr>
      </w:pPr>
      <w:r w:rsidRPr="000706F4">
        <w:rPr>
          <w:rFonts w:ascii="Palatino Linotype" w:eastAsia="Palatino Linotype" w:hAnsi="Palatino Linotype" w:cs="Palatino Linotype"/>
          <w:color w:val="000000"/>
          <w:szCs w:val="22"/>
        </w:rPr>
        <w:t xml:space="preserve">Posteriormente, la parte </w:t>
      </w:r>
      <w:r w:rsidRPr="000706F4">
        <w:rPr>
          <w:rFonts w:ascii="Palatino Linotype" w:eastAsia="Palatino Linotype" w:hAnsi="Palatino Linotype" w:cs="Palatino Linotype"/>
          <w:b/>
          <w:color w:val="000000"/>
          <w:szCs w:val="22"/>
        </w:rPr>
        <w:t xml:space="preserve">RECURRENTE </w:t>
      </w:r>
      <w:r w:rsidRPr="000706F4">
        <w:rPr>
          <w:rFonts w:ascii="Palatino Linotype" w:eastAsia="Palatino Linotype" w:hAnsi="Palatino Linotype" w:cs="Palatino Linotype"/>
          <w:color w:val="000000"/>
          <w:szCs w:val="22"/>
        </w:rPr>
        <w:t>interpuso recurso de revisió</w:t>
      </w:r>
      <w:r w:rsidR="00144BAC">
        <w:rPr>
          <w:rFonts w:ascii="Palatino Linotype" w:eastAsia="Palatino Linotype" w:hAnsi="Palatino Linotype" w:cs="Palatino Linotype"/>
          <w:color w:val="000000"/>
          <w:szCs w:val="22"/>
        </w:rPr>
        <w:t>n en el que se inconformó por</w:t>
      </w:r>
      <w:r w:rsidRPr="000706F4">
        <w:rPr>
          <w:rFonts w:ascii="Palatino Linotype" w:eastAsia="Palatino Linotype" w:hAnsi="Palatino Linotype" w:cs="Palatino Linotype"/>
          <w:color w:val="000000"/>
          <w:szCs w:val="22"/>
        </w:rPr>
        <w:t xml:space="preserve"> </w:t>
      </w:r>
      <w:r w:rsidR="00211124" w:rsidRPr="000706F4">
        <w:rPr>
          <w:rFonts w:ascii="Palatino Linotype" w:eastAsia="Palatino Linotype" w:hAnsi="Palatino Linotype" w:cs="Palatino Linotype"/>
          <w:b/>
          <w:color w:val="000000"/>
          <w:szCs w:val="22"/>
        </w:rPr>
        <w:t>la negativa de la información.</w:t>
      </w:r>
    </w:p>
    <w:p w:rsidR="00D86E74" w:rsidRPr="000706F4" w:rsidRDefault="00D86E74">
      <w:pPr>
        <w:pBdr>
          <w:top w:val="nil"/>
          <w:left w:val="nil"/>
          <w:bottom w:val="nil"/>
          <w:right w:val="nil"/>
          <w:between w:val="nil"/>
        </w:pBdr>
        <w:spacing w:line="360" w:lineRule="auto"/>
        <w:jc w:val="both"/>
        <w:rPr>
          <w:rFonts w:ascii="Palatino Linotype" w:eastAsia="Palatino Linotype" w:hAnsi="Palatino Linotype" w:cs="Palatino Linotype"/>
          <w:i/>
          <w:szCs w:val="22"/>
        </w:rPr>
      </w:pPr>
    </w:p>
    <w:p w:rsidR="00D86E74" w:rsidRPr="000706F4" w:rsidRDefault="00B05C77" w:rsidP="00144BAC">
      <w:pPr>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i/>
          <w:szCs w:val="22"/>
        </w:rPr>
      </w:pPr>
      <w:r w:rsidRPr="000706F4">
        <w:rPr>
          <w:rFonts w:ascii="Palatino Linotype" w:eastAsia="Palatino Linotype" w:hAnsi="Palatino Linotype" w:cs="Palatino Linotype"/>
          <w:color w:val="000000"/>
          <w:szCs w:val="22"/>
        </w:rPr>
        <w:t xml:space="preserve">En dichas condiciones, la </w:t>
      </w:r>
      <w:r w:rsidRPr="000706F4">
        <w:rPr>
          <w:rFonts w:ascii="Palatino Linotype" w:eastAsia="Palatino Linotype" w:hAnsi="Palatino Linotype" w:cs="Palatino Linotype"/>
          <w:i/>
          <w:color w:val="000000"/>
          <w:szCs w:val="22"/>
        </w:rPr>
        <w:t>Litis</w:t>
      </w:r>
      <w:r w:rsidRPr="000706F4">
        <w:rPr>
          <w:rFonts w:ascii="Palatino Linotype" w:eastAsia="Palatino Linotype" w:hAnsi="Palatino Linotype" w:cs="Palatino Linotype"/>
          <w:color w:val="000000"/>
          <w:szCs w:val="22"/>
        </w:rPr>
        <w:t xml:space="preserve"> a resolver en este recurso se circunscribe a determinar si se actualizan las causales de procedencia previstas en el artículo 179, </w:t>
      </w:r>
      <w:r w:rsidR="000706F4">
        <w:rPr>
          <w:rFonts w:ascii="Palatino Linotype" w:eastAsia="Palatino Linotype" w:hAnsi="Palatino Linotype" w:cs="Palatino Linotype"/>
          <w:b/>
          <w:color w:val="000000"/>
          <w:szCs w:val="22"/>
        </w:rPr>
        <w:t xml:space="preserve">fracción I </w:t>
      </w:r>
      <w:r w:rsidR="00211124" w:rsidRPr="000706F4">
        <w:rPr>
          <w:rFonts w:ascii="Palatino Linotype" w:eastAsia="Palatino Linotype" w:hAnsi="Palatino Linotype" w:cs="Palatino Linotype"/>
          <w:b/>
          <w:color w:val="000000"/>
          <w:szCs w:val="22"/>
        </w:rPr>
        <w:t xml:space="preserve"> </w:t>
      </w:r>
      <w:r w:rsidRPr="000706F4">
        <w:rPr>
          <w:rFonts w:ascii="Palatino Linotype" w:eastAsia="Palatino Linotype" w:hAnsi="Palatino Linotype" w:cs="Palatino Linotype"/>
          <w:color w:val="000000"/>
          <w:szCs w:val="22"/>
        </w:rPr>
        <w:t>de la Ley</w:t>
      </w:r>
      <w:r w:rsidRPr="000706F4">
        <w:rPr>
          <w:rFonts w:ascii="Palatino Linotype" w:eastAsia="Palatino Linotype" w:hAnsi="Palatino Linotype" w:cs="Palatino Linotype"/>
          <w:b/>
          <w:color w:val="000000"/>
          <w:szCs w:val="22"/>
        </w:rPr>
        <w:t xml:space="preserve"> de Transparencia y Acceso a la Información Pública del Estado de </w:t>
      </w:r>
      <w:r w:rsidRPr="000706F4">
        <w:rPr>
          <w:rFonts w:ascii="Palatino Linotype" w:eastAsia="Palatino Linotype" w:hAnsi="Palatino Linotype" w:cs="Palatino Linotype"/>
          <w:color w:val="000000"/>
          <w:szCs w:val="22"/>
        </w:rPr>
        <w:t>México</w:t>
      </w:r>
      <w:r w:rsidRPr="000706F4">
        <w:rPr>
          <w:rFonts w:ascii="Palatino Linotype" w:eastAsia="Palatino Linotype" w:hAnsi="Palatino Linotype" w:cs="Palatino Linotype"/>
          <w:b/>
          <w:color w:val="000000"/>
          <w:szCs w:val="22"/>
        </w:rPr>
        <w:t xml:space="preserve"> y Municipios</w:t>
      </w:r>
      <w:r w:rsidR="00211124" w:rsidRPr="000706F4">
        <w:rPr>
          <w:rFonts w:ascii="Palatino Linotype" w:eastAsia="Palatino Linotype" w:hAnsi="Palatino Linotype" w:cs="Palatino Linotype"/>
          <w:color w:val="000000"/>
          <w:szCs w:val="22"/>
        </w:rPr>
        <w:t>.</w:t>
      </w:r>
    </w:p>
    <w:p w:rsidR="00D86E74" w:rsidRPr="004D2425" w:rsidRDefault="00D86E74">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rsidR="00D86E74" w:rsidRPr="000706F4" w:rsidRDefault="00B05C77">
      <w:pPr>
        <w:pStyle w:val="Ttulo1"/>
        <w:spacing w:before="0" w:line="360" w:lineRule="auto"/>
        <w:rPr>
          <w:szCs w:val="22"/>
        </w:rPr>
      </w:pPr>
      <w:r w:rsidRPr="000706F4">
        <w:rPr>
          <w:szCs w:val="22"/>
        </w:rPr>
        <w:t>CUARTO. Del estudio y resolución del asunto.</w:t>
      </w:r>
    </w:p>
    <w:p w:rsidR="00D86E74" w:rsidRPr="000706F4" w:rsidRDefault="00D86E74">
      <w:pPr>
        <w:rPr>
          <w:rFonts w:ascii="Palatino Linotype" w:eastAsia="Palatino Linotype" w:hAnsi="Palatino Linotype" w:cs="Palatino Linotype"/>
          <w:szCs w:val="22"/>
        </w:rPr>
      </w:pPr>
    </w:p>
    <w:p w:rsidR="00D86E74" w:rsidRPr="000706F4" w:rsidRDefault="00B05C77" w:rsidP="00144BAC">
      <w:pPr>
        <w:numPr>
          <w:ilvl w:val="0"/>
          <w:numId w:val="27"/>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szCs w:val="22"/>
        </w:rPr>
      </w:pPr>
      <w:r w:rsidRPr="000706F4">
        <w:rPr>
          <w:rFonts w:ascii="Palatino Linotype" w:eastAsia="Palatino Linotype" w:hAnsi="Palatino Linotype" w:cs="Palatino Linotype"/>
          <w:color w:val="000000"/>
          <w:szCs w:val="22"/>
        </w:rPr>
        <w:t xml:space="preserve">Acotada la </w:t>
      </w:r>
      <w:r w:rsidRPr="000706F4">
        <w:rPr>
          <w:rFonts w:ascii="Palatino Linotype" w:eastAsia="Palatino Linotype" w:hAnsi="Palatino Linotype" w:cs="Palatino Linotype"/>
          <w:i/>
          <w:color w:val="000000"/>
          <w:szCs w:val="22"/>
        </w:rPr>
        <w:t>Litis</w:t>
      </w:r>
      <w:r w:rsidRPr="000706F4">
        <w:rPr>
          <w:rFonts w:ascii="Palatino Linotype" w:eastAsia="Palatino Linotype" w:hAnsi="Palatino Linotype" w:cs="Palatino Linotype"/>
          <w:color w:val="000000"/>
          <w:szCs w:val="22"/>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w:t>
      </w:r>
      <w:r w:rsidRPr="000706F4">
        <w:rPr>
          <w:rFonts w:ascii="Palatino Linotype" w:eastAsia="Palatino Linotype" w:hAnsi="Palatino Linotype" w:cs="Palatino Linotype"/>
          <w:color w:val="000000"/>
          <w:szCs w:val="22"/>
        </w:rPr>
        <w:lastRenderedPageBreak/>
        <w:t>posesión de cualquier autoridad es pública y sólo podrá ser reservada temporalmente por razones de interés público.</w:t>
      </w:r>
    </w:p>
    <w:p w:rsidR="00D86E74" w:rsidRPr="000706F4" w:rsidRDefault="00B05C77" w:rsidP="00144BAC">
      <w:pPr>
        <w:numPr>
          <w:ilvl w:val="0"/>
          <w:numId w:val="27"/>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szCs w:val="22"/>
        </w:rPr>
      </w:pPr>
      <w:r w:rsidRPr="000706F4">
        <w:rPr>
          <w:rFonts w:ascii="Palatino Linotype" w:eastAsia="Palatino Linotype" w:hAnsi="Palatino Linotype" w:cs="Palatino Linotype"/>
          <w:color w:val="000000"/>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86E74" w:rsidRPr="004D2425" w:rsidRDefault="00D86E74">
      <w:pPr>
        <w:spacing w:line="360" w:lineRule="auto"/>
        <w:jc w:val="both"/>
        <w:rPr>
          <w:rFonts w:ascii="Palatino Linotype" w:eastAsia="Palatino Linotype" w:hAnsi="Palatino Linotype" w:cs="Palatino Linotype"/>
          <w:sz w:val="22"/>
          <w:szCs w:val="22"/>
        </w:rPr>
      </w:pPr>
    </w:p>
    <w:p w:rsidR="00D86E74" w:rsidRPr="000706F4" w:rsidRDefault="00B05C77" w:rsidP="00144BAC">
      <w:pPr>
        <w:numPr>
          <w:ilvl w:val="0"/>
          <w:numId w:val="27"/>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706F4">
        <w:rPr>
          <w:rFonts w:ascii="Palatino Linotype" w:eastAsia="Palatino Linotype" w:hAnsi="Palatino Linotype" w:cs="Palatino Linotype"/>
          <w:color w:val="000000"/>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86E74" w:rsidRPr="000706F4" w:rsidRDefault="00D86E74">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D86E74" w:rsidRPr="000706F4" w:rsidRDefault="00B05C77" w:rsidP="00144BAC">
      <w:pPr>
        <w:numPr>
          <w:ilvl w:val="0"/>
          <w:numId w:val="27"/>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706F4">
        <w:rPr>
          <w:rFonts w:ascii="Palatino Linotype" w:eastAsia="Palatino Linotype" w:hAnsi="Palatino Linotype" w:cs="Palatino Linotype"/>
          <w:color w:val="000000"/>
        </w:rPr>
        <w:t xml:space="preserve">Finalmente, es relevante mencionar que el artículo 19 del ordenamiento local de la materia señala que se presume que la información debe existir si se refiere a las facultades, competencias y funciones que los ordenamientos jurídicos aplicables </w:t>
      </w:r>
      <w:r w:rsidRPr="000706F4">
        <w:rPr>
          <w:rFonts w:ascii="Palatino Linotype" w:eastAsia="Palatino Linotype" w:hAnsi="Palatino Linotype" w:cs="Palatino Linotype"/>
          <w:color w:val="000000"/>
        </w:rPr>
        <w:lastRenderedPageBreak/>
        <w:t>otorgan a los sujetos obligados y en caso de que dichas facultades no se hayan ejercido, se deberá motivar la respuesta en función de las causas que motivaron tal circunstancia.</w:t>
      </w:r>
    </w:p>
    <w:p w:rsidR="00D86E74" w:rsidRPr="000706F4" w:rsidRDefault="00D86E74">
      <w:pPr>
        <w:pBdr>
          <w:top w:val="nil"/>
          <w:left w:val="nil"/>
          <w:bottom w:val="nil"/>
          <w:right w:val="nil"/>
          <w:between w:val="nil"/>
        </w:pBdr>
        <w:spacing w:line="360" w:lineRule="auto"/>
        <w:ind w:right="757"/>
        <w:jc w:val="both"/>
        <w:rPr>
          <w:rFonts w:ascii="Palatino Linotype" w:eastAsia="Palatino Linotype" w:hAnsi="Palatino Linotype" w:cs="Palatino Linotype"/>
          <w:b/>
          <w:color w:val="000000"/>
        </w:rPr>
      </w:pPr>
    </w:p>
    <w:p w:rsidR="00457C02" w:rsidRPr="00457C02" w:rsidRDefault="00457C02" w:rsidP="00144BAC">
      <w:pPr>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color w:val="000000"/>
          <w:szCs w:val="22"/>
        </w:rPr>
      </w:pPr>
      <w:r>
        <w:rPr>
          <w:rFonts w:ascii="Palatino Linotype" w:eastAsia="Palatino Linotype" w:hAnsi="Palatino Linotype" w:cs="Palatino Linotype"/>
          <w:color w:val="000000"/>
          <w:szCs w:val="22"/>
        </w:rPr>
        <w:t>Ante la falta de respuesta del Sujeto Obligado</w:t>
      </w:r>
      <w:r w:rsidRPr="00457C02">
        <w:rPr>
          <w:rFonts w:ascii="Palatino Linotype" w:eastAsia="Palatino Linotype" w:hAnsi="Palatino Linotype" w:cs="Palatino Linotype"/>
          <w:color w:val="000000"/>
          <w:szCs w:val="22"/>
        </w:rPr>
        <w:t xml:space="preserve">, la parte </w:t>
      </w:r>
      <w:r w:rsidRPr="00457C02">
        <w:rPr>
          <w:rFonts w:ascii="Palatino Linotype" w:eastAsia="Palatino Linotype" w:hAnsi="Palatino Linotype" w:cs="Palatino Linotype"/>
          <w:b/>
          <w:color w:val="000000"/>
          <w:szCs w:val="22"/>
        </w:rPr>
        <w:t xml:space="preserve">RECURRENTE </w:t>
      </w:r>
      <w:r w:rsidRPr="00457C02">
        <w:rPr>
          <w:rFonts w:ascii="Palatino Linotype" w:eastAsia="Palatino Linotype" w:hAnsi="Palatino Linotype" w:cs="Palatino Linotype"/>
          <w:color w:val="000000"/>
          <w:szCs w:val="22"/>
        </w:rPr>
        <w:t xml:space="preserve">interpuso recurso de revisión en el que se inconformó </w:t>
      </w:r>
      <w:r>
        <w:rPr>
          <w:rFonts w:ascii="Palatino Linotype" w:eastAsia="Palatino Linotype" w:hAnsi="Palatino Linotype" w:cs="Palatino Linotype"/>
          <w:color w:val="000000"/>
          <w:szCs w:val="22"/>
        </w:rPr>
        <w:t>por la negativa a la entrega de la información por parte de aquel.</w:t>
      </w:r>
    </w:p>
    <w:p w:rsidR="00457C02" w:rsidRDefault="00457C02" w:rsidP="00457C02">
      <w:pPr>
        <w:pStyle w:val="Prrafodelista"/>
        <w:rPr>
          <w:rFonts w:ascii="Palatino Linotype" w:eastAsia="Palatino Linotype" w:hAnsi="Palatino Linotype" w:cs="Palatino Linotype"/>
          <w:color w:val="000000"/>
          <w:szCs w:val="22"/>
        </w:rPr>
      </w:pPr>
    </w:p>
    <w:p w:rsidR="00AC1968" w:rsidRPr="006C6346" w:rsidRDefault="00AC1968" w:rsidP="00AC1968">
      <w:pPr>
        <w:pStyle w:val="NormalWeb"/>
        <w:numPr>
          <w:ilvl w:val="0"/>
          <w:numId w:val="27"/>
        </w:numPr>
        <w:spacing w:before="0" w:beforeAutospacing="0" w:after="0" w:afterAutospacing="0" w:line="360" w:lineRule="auto"/>
        <w:ind w:right="27"/>
        <w:jc w:val="both"/>
        <w:rPr>
          <w:rFonts w:ascii="Palatino Linotype" w:hAnsi="Palatino Linotype"/>
          <w:color w:val="000000"/>
        </w:rPr>
      </w:pPr>
      <w:r w:rsidRPr="006C6346">
        <w:rPr>
          <w:rFonts w:ascii="Palatino Linotype" w:eastAsia="Palatino Linotype" w:hAnsi="Palatino Linotype" w:cs="Palatino Linotype"/>
          <w:lang w:eastAsia="en-US"/>
        </w:rPr>
        <w:t xml:space="preserve">Sobre el requerimiento de nuestra atención, se aprecia que el particular fue omiso en precisar temporalidad; siendo aplicable el criterio orientador </w:t>
      </w:r>
      <w:r w:rsidRPr="006C6346">
        <w:rPr>
          <w:rFonts w:ascii="Palatino Linotype" w:hAnsi="Palatino Linotype"/>
          <w:color w:val="000000"/>
        </w:rPr>
        <w:t>03/19 emitido por el entonces Instituto Nacional de Transparencia Acceso a la Información y Protección de Datos Personales, INAI, en el cual es del tenor literal siguiente:</w:t>
      </w:r>
    </w:p>
    <w:p w:rsidR="00AC1968" w:rsidRPr="006C6346" w:rsidRDefault="00AC1968" w:rsidP="00AC1968">
      <w:pPr>
        <w:pStyle w:val="NormalWeb"/>
        <w:spacing w:before="0" w:beforeAutospacing="0" w:after="0" w:afterAutospacing="0" w:line="360" w:lineRule="auto"/>
        <w:ind w:right="27"/>
        <w:jc w:val="both"/>
        <w:rPr>
          <w:rFonts w:ascii="Palatino Linotype" w:hAnsi="Palatino Linotype"/>
        </w:rPr>
      </w:pPr>
    </w:p>
    <w:p w:rsidR="00AC1968" w:rsidRPr="00AC1968" w:rsidRDefault="00AC1968" w:rsidP="00AC1968">
      <w:pPr>
        <w:pStyle w:val="NormalWeb"/>
        <w:spacing w:before="0" w:beforeAutospacing="0" w:after="0" w:afterAutospacing="0"/>
        <w:ind w:left="1134" w:right="851"/>
        <w:jc w:val="both"/>
        <w:rPr>
          <w:rFonts w:ascii="Palatino Linotype" w:hAnsi="Palatino Linotype"/>
          <w:i/>
          <w:iCs/>
          <w:color w:val="000000"/>
          <w:sz w:val="22"/>
        </w:rPr>
      </w:pPr>
      <w:r w:rsidRPr="00AC1968">
        <w:rPr>
          <w:rFonts w:ascii="Palatino Linotype" w:hAnsi="Palatino Linotype"/>
          <w:i/>
          <w:iCs/>
          <w:color w:val="000000"/>
          <w:sz w:val="22"/>
        </w:rPr>
        <w:t>“</w:t>
      </w:r>
      <w:r w:rsidRPr="00AC1968">
        <w:rPr>
          <w:rFonts w:ascii="Palatino Linotype" w:hAnsi="Palatino Linotype"/>
          <w:b/>
          <w:bCs/>
          <w:i/>
          <w:iCs/>
          <w:color w:val="000000"/>
          <w:sz w:val="22"/>
        </w:rPr>
        <w:t>Periodo de búsqueda de la información</w:t>
      </w:r>
      <w:r w:rsidRPr="00AC1968">
        <w:rPr>
          <w:rFonts w:ascii="Palatino Linotype" w:hAnsi="Palatino Linotype"/>
          <w:i/>
          <w:iCs/>
          <w:color w:val="000000"/>
          <w:sz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rsidR="00AC1968" w:rsidRPr="006C6346" w:rsidRDefault="00AC1968" w:rsidP="00AC1968">
      <w:pPr>
        <w:pStyle w:val="NormalWeb"/>
        <w:spacing w:before="0" w:beforeAutospacing="0" w:after="0" w:afterAutospacing="0"/>
        <w:ind w:right="27"/>
        <w:jc w:val="both"/>
        <w:rPr>
          <w:rFonts w:ascii="Palatino Linotype" w:hAnsi="Palatino Linotype"/>
        </w:rPr>
      </w:pPr>
    </w:p>
    <w:p w:rsidR="00AC1968" w:rsidRPr="0053655E" w:rsidRDefault="00AC1968" w:rsidP="00AC1968">
      <w:pPr>
        <w:pStyle w:val="NormalWeb"/>
        <w:numPr>
          <w:ilvl w:val="0"/>
          <w:numId w:val="27"/>
        </w:numPr>
        <w:spacing w:before="0" w:beforeAutospacing="0" w:after="0" w:afterAutospacing="0" w:line="360" w:lineRule="auto"/>
        <w:ind w:right="27"/>
        <w:jc w:val="both"/>
        <w:rPr>
          <w:rFonts w:ascii="Palatino Linotype" w:hAnsi="Palatino Linotype"/>
        </w:rPr>
      </w:pPr>
      <w:r w:rsidRPr="006C6346">
        <w:rPr>
          <w:rFonts w:ascii="Palatino Linotype" w:hAnsi="Palatino Linotype"/>
          <w:color w:val="000000"/>
        </w:rPr>
        <w:t xml:space="preserve">De manera que, ante la omisión por parte de la solicitante, la información que es susceptible de entrega, en su caso, corresponde a la que el </w:t>
      </w:r>
      <w:r w:rsidRPr="006C6346">
        <w:rPr>
          <w:rFonts w:ascii="Palatino Linotype" w:hAnsi="Palatino Linotype"/>
          <w:b/>
          <w:bCs/>
          <w:color w:val="000000"/>
        </w:rPr>
        <w:t xml:space="preserve">Sujeto Obligado </w:t>
      </w:r>
      <w:r w:rsidRPr="006C6346">
        <w:rPr>
          <w:rFonts w:ascii="Palatino Linotype" w:hAnsi="Palatino Linotype"/>
          <w:color w:val="000000"/>
        </w:rPr>
        <w:t xml:space="preserve"> hubiera generado, administre o posea en el año inmediato anterior contado a partir de la fecha de presentación de la solicitud, es decir, del </w:t>
      </w:r>
      <w:r>
        <w:rPr>
          <w:rFonts w:ascii="Palatino Linotype" w:hAnsi="Palatino Linotype"/>
          <w:b/>
          <w:color w:val="000000"/>
        </w:rPr>
        <w:t>diecisiete de octubre de dos mil veinticuatro al diecisiete de octubre de dos mil veinticinco.</w:t>
      </w:r>
    </w:p>
    <w:p w:rsidR="0053655E" w:rsidRPr="0053655E" w:rsidRDefault="0053655E" w:rsidP="0053655E">
      <w:pPr>
        <w:pStyle w:val="Prrafodelista"/>
        <w:numPr>
          <w:ilvl w:val="3"/>
          <w:numId w:val="3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2"/>
          <w:szCs w:val="22"/>
        </w:rPr>
      </w:pPr>
      <w:r w:rsidRPr="0053655E">
        <w:rPr>
          <w:rFonts w:ascii="Palatino Linotype" w:hAnsi="Palatino Linotype"/>
          <w:color w:val="000000"/>
        </w:rPr>
        <w:lastRenderedPageBreak/>
        <w:t xml:space="preserve">En este tenor se reitera que la información requerida por el entonces Solicitante consistía en conocer </w:t>
      </w:r>
      <w:r w:rsidRPr="0053655E">
        <w:rPr>
          <w:rFonts w:ascii="Palatino Linotype" w:eastAsia="Palatino Linotype" w:hAnsi="Palatino Linotype" w:cs="Palatino Linotype"/>
          <w:i/>
          <w:sz w:val="22"/>
          <w:szCs w:val="22"/>
        </w:rPr>
        <w:t xml:space="preserve">soportes contables con todos y cada uno de los anexos (poliza contable, requisición, factura, suficiencia presupuestal, evidencia documental y/o fotográfica), del 17 de octubre de 2024 al 17 de octubre de 2025,  correspondientes a la adquisición de licencias, actualizaciones o mantenimiento de sistemas contables, sistemas de ingresos, sistemas de control patrimonial </w:t>
      </w:r>
      <w:r>
        <w:rPr>
          <w:rFonts w:ascii="Palatino Linotype" w:eastAsia="Palatino Linotype" w:hAnsi="Palatino Linotype" w:cs="Palatino Linotype"/>
          <w:i/>
          <w:sz w:val="22"/>
          <w:szCs w:val="22"/>
        </w:rPr>
        <w:t xml:space="preserve">y </w:t>
      </w:r>
      <w:r w:rsidRPr="0053655E">
        <w:rPr>
          <w:rFonts w:ascii="Palatino Linotype" w:eastAsia="Palatino Linotype" w:hAnsi="Palatino Linotype" w:cs="Palatino Linotype"/>
          <w:i/>
          <w:sz w:val="22"/>
          <w:szCs w:val="22"/>
        </w:rPr>
        <w:t>sistemas de entrega-recepción</w:t>
      </w:r>
      <w:r>
        <w:rPr>
          <w:rFonts w:ascii="Palatino Linotype" w:eastAsia="Palatino Linotype" w:hAnsi="Palatino Linotype" w:cs="Palatino Linotype"/>
          <w:i/>
          <w:sz w:val="22"/>
          <w:szCs w:val="22"/>
        </w:rPr>
        <w:t>.</w:t>
      </w:r>
      <w:r w:rsidRPr="0053655E">
        <w:rPr>
          <w:rFonts w:ascii="Palatino Linotype" w:eastAsia="Palatino Linotype" w:hAnsi="Palatino Linotype" w:cs="Palatino Linotype"/>
          <w:i/>
          <w:sz w:val="22"/>
          <w:szCs w:val="22"/>
        </w:rPr>
        <w:t xml:space="preserve"> </w:t>
      </w:r>
    </w:p>
    <w:p w:rsidR="0053655E" w:rsidRPr="006C6346" w:rsidRDefault="0053655E" w:rsidP="0053655E">
      <w:pPr>
        <w:pStyle w:val="NormalWeb"/>
        <w:spacing w:before="0" w:beforeAutospacing="0" w:after="0" w:afterAutospacing="0" w:line="360" w:lineRule="auto"/>
        <w:ind w:right="27"/>
        <w:jc w:val="both"/>
        <w:rPr>
          <w:rFonts w:ascii="Palatino Linotype" w:hAnsi="Palatino Linotype"/>
        </w:rPr>
      </w:pPr>
    </w:p>
    <w:p w:rsidR="009A2ADA" w:rsidRDefault="0053655E" w:rsidP="00583D6D">
      <w:pPr>
        <w:numPr>
          <w:ilvl w:val="0"/>
          <w:numId w:val="27"/>
        </w:numPr>
        <w:spacing w:line="360" w:lineRule="auto"/>
        <w:ind w:right="49"/>
        <w:jc w:val="both"/>
        <w:rPr>
          <w:rFonts w:ascii="Palatino Linotype" w:hAnsi="Palatino Linotype"/>
        </w:rPr>
      </w:pPr>
      <w:r>
        <w:rPr>
          <w:rFonts w:ascii="Palatino Linotype" w:hAnsi="Palatino Linotype"/>
        </w:rPr>
        <w:t>Por lo que es de referir que l</w:t>
      </w:r>
      <w:r w:rsidR="009A2ADA" w:rsidRPr="00FA5E2B">
        <w:rPr>
          <w:rFonts w:ascii="Palatino Linotype" w:hAnsi="Palatino Linotype"/>
        </w:rPr>
        <w:t xml:space="preserve">a contabilidad gubernamental se sustenta en el marco jurídico aplicable en cumplimiento de lo dispuesto en la Ley General de Contabilidad Gubernamental, de cuyos ordenamientos se desprenden criterios generales que </w:t>
      </w:r>
      <w:r>
        <w:rPr>
          <w:rFonts w:ascii="Palatino Linotype" w:hAnsi="Palatino Linotype"/>
        </w:rPr>
        <w:t xml:space="preserve"> </w:t>
      </w:r>
      <w:r w:rsidR="009A2ADA" w:rsidRPr="00FA5E2B">
        <w:rPr>
          <w:rFonts w:ascii="Palatino Linotype" w:hAnsi="Palatino Linotype"/>
        </w:rPr>
        <w:t>regirán la contabilidad gubernamental y la emisión de información financiera de los entes públicos, con el fin de lograr su adecuada armonización</w:t>
      </w:r>
      <w:r w:rsidR="009A2ADA">
        <w:rPr>
          <w:rStyle w:val="Refdenotaalpie"/>
          <w:rFonts w:ascii="Palatino Linotype" w:hAnsi="Palatino Linotype"/>
        </w:rPr>
        <w:footnoteReference w:id="1"/>
      </w:r>
      <w:r w:rsidR="009A2ADA" w:rsidRPr="00FA5E2B">
        <w:rPr>
          <w:rFonts w:ascii="Palatino Linotype" w:hAnsi="Palatino Linotype"/>
        </w:rPr>
        <w:t xml:space="preserve">. </w:t>
      </w:r>
    </w:p>
    <w:p w:rsidR="00FA5E2B" w:rsidRPr="00FA5E2B" w:rsidRDefault="00FA5E2B" w:rsidP="00FA5E2B">
      <w:pPr>
        <w:spacing w:line="360" w:lineRule="auto"/>
        <w:ind w:right="49"/>
        <w:jc w:val="both"/>
        <w:rPr>
          <w:rFonts w:ascii="Palatino Linotype" w:hAnsi="Palatino Linotype"/>
        </w:rPr>
      </w:pPr>
    </w:p>
    <w:p w:rsidR="009A2ADA" w:rsidRPr="00FA5E2B" w:rsidRDefault="009A2ADA" w:rsidP="00FA5E2B">
      <w:pPr>
        <w:numPr>
          <w:ilvl w:val="0"/>
          <w:numId w:val="27"/>
        </w:numPr>
        <w:spacing w:line="360" w:lineRule="auto"/>
        <w:ind w:right="49"/>
        <w:jc w:val="both"/>
        <w:rPr>
          <w:rFonts w:ascii="Palatino Linotype" w:hAnsi="Palatino Linotype"/>
        </w:rPr>
      </w:pPr>
      <w:r w:rsidRPr="009A2ADA">
        <w:rPr>
          <w:rFonts w:ascii="Palatino Linotype" w:hAnsi="Palatino Linotype"/>
        </w:rPr>
        <w:t>La evolución de la técnica contable del Gobierno del Estado, se encuentra determinada en el actual Sistema Integral de Contabilidad Gubernamental, el cual contribuye a dar mayor fluidez a las tareas contables, adicionándose a este sistema los Municipios del Estado, reflejando un mayor c</w:t>
      </w:r>
      <w:r w:rsidR="00FA5E2B">
        <w:rPr>
          <w:rFonts w:ascii="Palatino Linotype" w:hAnsi="Palatino Linotype"/>
        </w:rPr>
        <w:t xml:space="preserve">ontrol en las Finanzas Públicas cuyos </w:t>
      </w:r>
      <w:r w:rsidRPr="00FA5E2B">
        <w:rPr>
          <w:rFonts w:ascii="Palatino Linotype" w:hAnsi="Palatino Linotype"/>
        </w:rPr>
        <w:t>objetivos son los siguientes</w:t>
      </w:r>
      <w:r w:rsidR="00F533CA">
        <w:rPr>
          <w:rStyle w:val="Refdenotaalpie"/>
          <w:rFonts w:ascii="Palatino Linotype" w:hAnsi="Palatino Linotype"/>
        </w:rPr>
        <w:footnoteReference w:id="2"/>
      </w:r>
      <w:r w:rsidRPr="00FA5E2B">
        <w:rPr>
          <w:rFonts w:ascii="Palatino Linotype" w:hAnsi="Palatino Linotype"/>
        </w:rPr>
        <w:t>:</w:t>
      </w:r>
    </w:p>
    <w:p w:rsidR="009A2ADA" w:rsidRPr="00FA5E2B" w:rsidRDefault="009A2ADA" w:rsidP="00FA5E2B">
      <w:pPr>
        <w:pStyle w:val="Prrafodelista"/>
        <w:numPr>
          <w:ilvl w:val="0"/>
          <w:numId w:val="35"/>
        </w:numPr>
        <w:spacing w:line="276" w:lineRule="auto"/>
        <w:ind w:right="851"/>
        <w:jc w:val="both"/>
        <w:rPr>
          <w:rFonts w:ascii="Palatino Linotype" w:hAnsi="Palatino Linotype"/>
          <w:i/>
        </w:rPr>
      </w:pPr>
      <w:r w:rsidRPr="00FA5E2B">
        <w:rPr>
          <w:rFonts w:ascii="Palatino Linotype" w:hAnsi="Palatino Linotype"/>
          <w:i/>
        </w:rPr>
        <w:t>Establecer los criterios generales que regirán la contabilidad gubernamental y la emisión de información financiera de los entes públicos, con el fin de lograr su adecuada armonización.</w:t>
      </w:r>
    </w:p>
    <w:p w:rsidR="009A2ADA" w:rsidRPr="00FA5E2B" w:rsidRDefault="009A2ADA" w:rsidP="00FA5E2B">
      <w:pPr>
        <w:spacing w:line="276" w:lineRule="auto"/>
        <w:ind w:left="1134" w:right="851" w:firstLine="60"/>
        <w:jc w:val="both"/>
        <w:rPr>
          <w:rFonts w:ascii="Palatino Linotype" w:hAnsi="Palatino Linotype"/>
          <w:i/>
        </w:rPr>
      </w:pPr>
    </w:p>
    <w:p w:rsidR="009A2ADA" w:rsidRPr="00FA5E2B" w:rsidRDefault="009A2ADA" w:rsidP="00FA5E2B">
      <w:pPr>
        <w:pStyle w:val="Prrafodelista"/>
        <w:numPr>
          <w:ilvl w:val="0"/>
          <w:numId w:val="35"/>
        </w:numPr>
        <w:spacing w:line="276" w:lineRule="auto"/>
        <w:ind w:right="851"/>
        <w:jc w:val="both"/>
        <w:rPr>
          <w:rFonts w:ascii="Palatino Linotype" w:hAnsi="Palatino Linotype"/>
          <w:i/>
        </w:rPr>
      </w:pPr>
      <w:r w:rsidRPr="00FA5E2B">
        <w:rPr>
          <w:rFonts w:ascii="Palatino Linotype" w:hAnsi="Palatino Linotype"/>
          <w:i/>
        </w:rPr>
        <w:t xml:space="preserve">Facilitar el registro y la fiscalización de los activos, pasivos, ingresos y gastos y, en general, contribuir a medir la eficacia </w:t>
      </w:r>
      <w:r w:rsidRPr="00FA5E2B">
        <w:rPr>
          <w:rFonts w:ascii="Palatino Linotype" w:hAnsi="Palatino Linotype"/>
          <w:i/>
        </w:rPr>
        <w:lastRenderedPageBreak/>
        <w:t>economía y eficiencia del gasto e ingresos públicos, la administración de la deuda pública, incluyendo las obligaciones contingentes y el patrimonio del Estado.</w:t>
      </w:r>
    </w:p>
    <w:p w:rsidR="00FA5E2B" w:rsidRPr="00FA5E2B" w:rsidRDefault="00FA5E2B" w:rsidP="00FA5E2B">
      <w:pPr>
        <w:spacing w:line="276" w:lineRule="auto"/>
        <w:ind w:left="1134" w:right="851"/>
        <w:jc w:val="both"/>
        <w:rPr>
          <w:rFonts w:ascii="Palatino Linotype" w:hAnsi="Palatino Linotype"/>
          <w:i/>
        </w:rPr>
      </w:pPr>
    </w:p>
    <w:p w:rsidR="009A2ADA" w:rsidRDefault="009A2ADA" w:rsidP="00FA5E2B">
      <w:pPr>
        <w:pStyle w:val="Prrafodelista"/>
        <w:numPr>
          <w:ilvl w:val="0"/>
          <w:numId w:val="35"/>
        </w:numPr>
        <w:spacing w:line="276" w:lineRule="auto"/>
        <w:ind w:right="851"/>
        <w:jc w:val="both"/>
        <w:rPr>
          <w:rFonts w:ascii="Palatino Linotype" w:hAnsi="Palatino Linotype"/>
          <w:i/>
        </w:rPr>
      </w:pPr>
      <w:r w:rsidRPr="00FA5E2B">
        <w:rPr>
          <w:rFonts w:ascii="Palatino Linotype" w:hAnsi="Palatino Linotype"/>
          <w:i/>
        </w:rPr>
        <w:t>Los entes públicos deberán seguir las mejores prácticas contables nacionales e internacionales en apoyo a las tareas de planeación financiera, control de recursos, análisis y fiscalización.</w:t>
      </w:r>
    </w:p>
    <w:p w:rsidR="00F533CA" w:rsidRPr="00F533CA" w:rsidRDefault="00F533CA" w:rsidP="00F533CA">
      <w:pPr>
        <w:pStyle w:val="Prrafodelista"/>
        <w:rPr>
          <w:rFonts w:ascii="Palatino Linotype" w:hAnsi="Palatino Linotype"/>
          <w:i/>
        </w:rPr>
      </w:pPr>
    </w:p>
    <w:p w:rsidR="00583D6D" w:rsidRDefault="00F533CA" w:rsidP="00144BAC">
      <w:pPr>
        <w:numPr>
          <w:ilvl w:val="0"/>
          <w:numId w:val="27"/>
        </w:numPr>
        <w:spacing w:line="360" w:lineRule="auto"/>
        <w:ind w:right="49"/>
        <w:jc w:val="both"/>
        <w:rPr>
          <w:rFonts w:ascii="Palatino Linotype" w:hAnsi="Palatino Linotype"/>
        </w:rPr>
      </w:pPr>
      <w:r>
        <w:rPr>
          <w:rFonts w:ascii="Palatino Linotype" w:hAnsi="Palatino Linotype"/>
        </w:rPr>
        <w:t>Por lo que el Sistema de Contabilidad Gubernamental</w:t>
      </w:r>
      <w:r w:rsidR="00583D6D">
        <w:rPr>
          <w:rStyle w:val="Refdenotaalpie"/>
          <w:rFonts w:ascii="Palatino Linotype" w:hAnsi="Palatino Linotype"/>
        </w:rPr>
        <w:footnoteReference w:id="3"/>
      </w:r>
      <w:r>
        <w:rPr>
          <w:rFonts w:ascii="Palatino Linotype" w:hAnsi="Palatino Linotype"/>
        </w:rPr>
        <w:t xml:space="preserve"> operado por la Secretaría de Finanzas,  constituye la herramienta </w:t>
      </w:r>
      <w:r w:rsidR="0053655E">
        <w:rPr>
          <w:rFonts w:ascii="Palatino Linotype" w:hAnsi="Palatino Linotype"/>
        </w:rPr>
        <w:t xml:space="preserve">digital Institucional </w:t>
      </w:r>
      <w:r>
        <w:rPr>
          <w:rFonts w:ascii="Palatino Linotype" w:hAnsi="Palatino Linotype"/>
        </w:rPr>
        <w:t>de uso obligatorio para las dependencias, organismos auxiliares, entes autónomos y Municipios del Estado de México para registrar las operaciones presupuestales y contables de manera estandarizada, a fin de agilizar la fiscalización y uso conforme a derecho de los recursos públicos</w:t>
      </w:r>
      <w:r w:rsidR="00583D6D">
        <w:rPr>
          <w:rFonts w:ascii="Palatino Linotype" w:hAnsi="Palatino Linotype"/>
        </w:rPr>
        <w:t>.</w:t>
      </w:r>
    </w:p>
    <w:p w:rsidR="00583D6D" w:rsidRDefault="00583D6D" w:rsidP="00583D6D">
      <w:pPr>
        <w:spacing w:line="360" w:lineRule="auto"/>
        <w:ind w:right="49"/>
        <w:jc w:val="both"/>
        <w:rPr>
          <w:rFonts w:ascii="Palatino Linotype" w:hAnsi="Palatino Linotype"/>
        </w:rPr>
      </w:pPr>
    </w:p>
    <w:p w:rsidR="00622F27" w:rsidRDefault="00F533CA" w:rsidP="00144BAC">
      <w:pPr>
        <w:numPr>
          <w:ilvl w:val="0"/>
          <w:numId w:val="27"/>
        </w:numPr>
        <w:spacing w:line="360" w:lineRule="auto"/>
        <w:ind w:right="49"/>
        <w:jc w:val="both"/>
        <w:rPr>
          <w:rFonts w:ascii="Palatino Linotype" w:hAnsi="Palatino Linotype"/>
        </w:rPr>
      </w:pPr>
      <w:r>
        <w:rPr>
          <w:rFonts w:ascii="Palatino Linotype" w:hAnsi="Palatino Linotype"/>
        </w:rPr>
        <w:t xml:space="preserve"> </w:t>
      </w:r>
      <w:r w:rsidR="00583D6D">
        <w:rPr>
          <w:rFonts w:ascii="Palatino Linotype" w:hAnsi="Palatino Linotype"/>
        </w:rPr>
        <w:t xml:space="preserve">De lo anterior se advierte que la utilización de tal herramienta no genera erogaciones, en este caso para el Municipio, sin embargo del propio Manual de referencia se señala la preparación de los datos </w:t>
      </w:r>
      <w:r w:rsidR="00622F27">
        <w:rPr>
          <w:rFonts w:ascii="Palatino Linotype" w:hAnsi="Palatino Linotype"/>
        </w:rPr>
        <w:t>financieros y contables que haya realizado el ente público durante un periodo determinado entre los que se encuentran:</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a)</w:t>
      </w:r>
      <w:r w:rsidRPr="0053655E">
        <w:rPr>
          <w:rFonts w:ascii="Palatino Linotype" w:hAnsi="Palatino Linotype"/>
          <w:i/>
          <w:sz w:val="22"/>
        </w:rPr>
        <w:tab/>
        <w:t>Estado de Situación Financiera</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b)</w:t>
      </w:r>
      <w:r w:rsidRPr="0053655E">
        <w:rPr>
          <w:rFonts w:ascii="Palatino Linotype" w:hAnsi="Palatino Linotype"/>
          <w:i/>
          <w:sz w:val="22"/>
        </w:rPr>
        <w:tab/>
        <w:t>Estado de Actividades para Entidades con fines no lucrativos</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c)</w:t>
      </w:r>
      <w:r w:rsidRPr="0053655E">
        <w:rPr>
          <w:rFonts w:ascii="Palatino Linotype" w:hAnsi="Palatino Linotype"/>
          <w:i/>
          <w:sz w:val="22"/>
        </w:rPr>
        <w:tab/>
        <w:t>Estado de Resultados para Entidades con fines lucrativos</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d)</w:t>
      </w:r>
      <w:r w:rsidRPr="0053655E">
        <w:rPr>
          <w:rFonts w:ascii="Palatino Linotype" w:hAnsi="Palatino Linotype"/>
          <w:i/>
          <w:sz w:val="22"/>
        </w:rPr>
        <w:tab/>
        <w:t>Estado de Variación en la Hacienda Pública</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e)</w:t>
      </w:r>
      <w:r w:rsidRPr="0053655E">
        <w:rPr>
          <w:rFonts w:ascii="Palatino Linotype" w:hAnsi="Palatino Linotype"/>
          <w:i/>
          <w:sz w:val="22"/>
        </w:rPr>
        <w:tab/>
        <w:t>Estado de Cambios en la Situación Financiera</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f)</w:t>
      </w:r>
      <w:r w:rsidRPr="0053655E">
        <w:rPr>
          <w:rFonts w:ascii="Palatino Linotype" w:hAnsi="Palatino Linotype"/>
          <w:i/>
          <w:sz w:val="22"/>
        </w:rPr>
        <w:tab/>
        <w:t>Estado de Flujos de Efectivo</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lastRenderedPageBreak/>
        <w:t>g)</w:t>
      </w:r>
      <w:r w:rsidRPr="0053655E">
        <w:rPr>
          <w:rFonts w:ascii="Palatino Linotype" w:hAnsi="Palatino Linotype"/>
          <w:i/>
          <w:sz w:val="22"/>
        </w:rPr>
        <w:tab/>
        <w:t>Estado Analítico del Activo</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h)</w:t>
      </w:r>
      <w:r w:rsidRPr="0053655E">
        <w:rPr>
          <w:rFonts w:ascii="Palatino Linotype" w:hAnsi="Palatino Linotype"/>
          <w:i/>
          <w:sz w:val="22"/>
        </w:rPr>
        <w:tab/>
        <w:t>Estado Analítico de la Deuda y Otros Pasivos</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i)</w:t>
      </w:r>
      <w:r w:rsidRPr="0053655E">
        <w:rPr>
          <w:rFonts w:ascii="Palatino Linotype" w:hAnsi="Palatino Linotype"/>
          <w:i/>
          <w:sz w:val="22"/>
        </w:rPr>
        <w:tab/>
        <w:t>Informe sobre Pasivos Contingentes</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j)</w:t>
      </w:r>
      <w:r w:rsidRPr="0053655E">
        <w:rPr>
          <w:rFonts w:ascii="Palatino Linotype" w:hAnsi="Palatino Linotype"/>
          <w:i/>
          <w:sz w:val="22"/>
        </w:rPr>
        <w:tab/>
        <w:t>Notas a los Estados Financieros; en forma periódica y en la cuenta pública.</w:t>
      </w:r>
    </w:p>
    <w:p w:rsidR="00622F27" w:rsidRPr="0053655E" w:rsidRDefault="00622F27" w:rsidP="00622F27">
      <w:pPr>
        <w:pStyle w:val="Prrafodelista"/>
        <w:rPr>
          <w:rFonts w:ascii="Palatino Linotype" w:hAnsi="Palatino Linotype"/>
          <w:i/>
          <w:sz w:val="22"/>
        </w:rPr>
      </w:pP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Los estados e informes presupuestarios que establece la Ley estarán conformados por los siguientes agregados:</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a)</w:t>
      </w:r>
      <w:r w:rsidRPr="0053655E">
        <w:rPr>
          <w:rFonts w:ascii="Palatino Linotype" w:hAnsi="Palatino Linotype"/>
          <w:i/>
          <w:sz w:val="22"/>
        </w:rPr>
        <w:tab/>
        <w:t>Estado Analítico de Ingresos.</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1.</w:t>
      </w:r>
      <w:r w:rsidRPr="0053655E">
        <w:rPr>
          <w:rFonts w:ascii="Palatino Linotype" w:hAnsi="Palatino Linotype"/>
          <w:i/>
          <w:sz w:val="22"/>
        </w:rPr>
        <w:tab/>
        <w:t>Estado Analítico del Ejercicio del Presupuesto de Egresos:</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I)</w:t>
      </w:r>
      <w:r w:rsidRPr="0053655E">
        <w:rPr>
          <w:rFonts w:ascii="Palatino Linotype" w:hAnsi="Palatino Linotype"/>
          <w:i/>
          <w:sz w:val="22"/>
        </w:rPr>
        <w:tab/>
        <w:t>Clasificación por Objeto del Gasto (Capítulo y Concepto)</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II)</w:t>
      </w:r>
      <w:r w:rsidRPr="0053655E">
        <w:rPr>
          <w:rFonts w:ascii="Palatino Linotype" w:hAnsi="Palatino Linotype"/>
          <w:i/>
          <w:sz w:val="22"/>
        </w:rPr>
        <w:tab/>
        <w:t>Clasificación Económica (por Tipo de Gasto)</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III)</w:t>
      </w:r>
      <w:r w:rsidRPr="0053655E">
        <w:rPr>
          <w:rFonts w:ascii="Palatino Linotype" w:hAnsi="Palatino Linotype"/>
          <w:i/>
          <w:sz w:val="22"/>
        </w:rPr>
        <w:tab/>
        <w:t>Clasificación Administrativa</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IV)</w:t>
      </w:r>
      <w:r w:rsidRPr="0053655E">
        <w:rPr>
          <w:rFonts w:ascii="Palatino Linotype" w:hAnsi="Palatino Linotype"/>
          <w:i/>
          <w:sz w:val="22"/>
        </w:rPr>
        <w:tab/>
        <w:t>Clasificación Funcional (Finalidad y Función)</w:t>
      </w:r>
    </w:p>
    <w:p w:rsidR="00622F27" w:rsidRPr="0053655E" w:rsidRDefault="00622F27" w:rsidP="00622F27">
      <w:pPr>
        <w:pStyle w:val="Prrafodelista"/>
        <w:rPr>
          <w:rFonts w:ascii="Palatino Linotype" w:hAnsi="Palatino Linotype"/>
          <w:i/>
          <w:sz w:val="22"/>
        </w:rPr>
      </w:pPr>
      <w:r w:rsidRPr="0053655E">
        <w:rPr>
          <w:rFonts w:ascii="Palatino Linotype" w:hAnsi="Palatino Linotype"/>
          <w:i/>
          <w:sz w:val="22"/>
        </w:rPr>
        <w:t>V)</w:t>
      </w:r>
      <w:r w:rsidRPr="0053655E">
        <w:rPr>
          <w:rFonts w:ascii="Palatino Linotype" w:hAnsi="Palatino Linotype"/>
          <w:i/>
          <w:sz w:val="22"/>
        </w:rPr>
        <w:tab/>
        <w:t>Clasificación Programática</w:t>
      </w:r>
    </w:p>
    <w:p w:rsidR="00622F27" w:rsidRPr="0053655E" w:rsidRDefault="00622F27" w:rsidP="00622F27">
      <w:pPr>
        <w:pStyle w:val="Prrafodelista"/>
        <w:rPr>
          <w:rFonts w:ascii="Palatino Linotype" w:hAnsi="Palatino Linotype"/>
          <w:i/>
          <w:sz w:val="22"/>
        </w:rPr>
      </w:pPr>
    </w:p>
    <w:p w:rsidR="009A2ADA" w:rsidRDefault="00622F27" w:rsidP="00622F27">
      <w:pPr>
        <w:spacing w:line="360" w:lineRule="auto"/>
        <w:ind w:right="49"/>
        <w:jc w:val="both"/>
        <w:rPr>
          <w:rFonts w:ascii="Palatino Linotype" w:hAnsi="Palatino Linotype"/>
        </w:rPr>
      </w:pPr>
      <w:r>
        <w:rPr>
          <w:rFonts w:ascii="Palatino Linotype" w:hAnsi="Palatino Linotype"/>
        </w:rPr>
        <w:t>Información que una vez preparada será exportada</w:t>
      </w:r>
      <w:r w:rsidR="00583D6D">
        <w:rPr>
          <w:rFonts w:ascii="Palatino Linotype" w:hAnsi="Palatino Linotype"/>
        </w:rPr>
        <w:t xml:space="preserve"> al SCG, por lo que la utilización de herramientas que faciliten el tratamiento de la información y que sea compatible con el Sistema </w:t>
      </w:r>
      <w:r w:rsidR="001437F3">
        <w:rPr>
          <w:rFonts w:ascii="Palatino Linotype" w:hAnsi="Palatino Linotype"/>
        </w:rPr>
        <w:t>pudiera</w:t>
      </w:r>
      <w:r w:rsidR="00583D6D">
        <w:rPr>
          <w:rFonts w:ascii="Palatino Linotype" w:hAnsi="Palatino Linotype"/>
        </w:rPr>
        <w:t xml:space="preserve"> incluir el uso de software especializado y que amerite la erogación de recursos públicos.</w:t>
      </w:r>
    </w:p>
    <w:p w:rsidR="00583D6D" w:rsidRDefault="00583D6D" w:rsidP="00583D6D">
      <w:pPr>
        <w:pStyle w:val="Prrafodelista"/>
        <w:rPr>
          <w:rFonts w:ascii="Palatino Linotype" w:hAnsi="Palatino Linotype"/>
        </w:rPr>
      </w:pPr>
    </w:p>
    <w:p w:rsidR="00426FBD" w:rsidRDefault="00674713" w:rsidP="00CC2A4A">
      <w:pPr>
        <w:numPr>
          <w:ilvl w:val="0"/>
          <w:numId w:val="27"/>
        </w:numPr>
        <w:spacing w:line="360" w:lineRule="auto"/>
        <w:ind w:right="49"/>
        <w:jc w:val="both"/>
        <w:rPr>
          <w:rFonts w:ascii="Palatino Linotype" w:hAnsi="Palatino Linotype"/>
        </w:rPr>
      </w:pPr>
      <w:r w:rsidRPr="00426FBD">
        <w:rPr>
          <w:rFonts w:ascii="Palatino Linotype" w:hAnsi="Palatino Linotype"/>
        </w:rPr>
        <w:t xml:space="preserve">Referente a los sistemas de ingresos, el Sistema Integral de Administración Tributaria Municipal emplea “COBRA” que es </w:t>
      </w:r>
      <w:r w:rsidR="00C30CF0" w:rsidRPr="00426FBD">
        <w:rPr>
          <w:rFonts w:ascii="Palatino Linotype" w:hAnsi="Palatino Linotype"/>
        </w:rPr>
        <w:t xml:space="preserve">una plataforma </w:t>
      </w:r>
      <w:r w:rsidR="00426FBD">
        <w:rPr>
          <w:rFonts w:ascii="Palatino Linotype" w:hAnsi="Palatino Linotype"/>
        </w:rPr>
        <w:t xml:space="preserve">Institucional </w:t>
      </w:r>
      <w:r w:rsidR="00C30CF0" w:rsidRPr="00426FBD">
        <w:rPr>
          <w:rFonts w:ascii="Palatino Linotype" w:hAnsi="Palatino Linotype"/>
        </w:rPr>
        <w:t xml:space="preserve">proporcionada </w:t>
      </w:r>
      <w:r w:rsidR="00426FBD" w:rsidRPr="00426FBD">
        <w:rPr>
          <w:rFonts w:ascii="Palatino Linotype" w:hAnsi="Palatino Linotype"/>
        </w:rPr>
        <w:t xml:space="preserve">a los Ayuntamientos por medio de convenios </w:t>
      </w:r>
      <w:r w:rsidR="00C30CF0" w:rsidRPr="00426FBD">
        <w:rPr>
          <w:rFonts w:ascii="Palatino Linotype" w:hAnsi="Palatino Linotype"/>
        </w:rPr>
        <w:t>por el Instituto Hacendario del Estado de México</w:t>
      </w:r>
      <w:r w:rsidR="00C30CF0">
        <w:rPr>
          <w:rStyle w:val="Refdenotaalpie"/>
          <w:rFonts w:ascii="Palatino Linotype" w:hAnsi="Palatino Linotype"/>
        </w:rPr>
        <w:footnoteReference w:id="4"/>
      </w:r>
      <w:r w:rsidRPr="00426FBD">
        <w:rPr>
          <w:rFonts w:ascii="Palatino Linotype" w:hAnsi="Palatino Linotype"/>
        </w:rPr>
        <w:t xml:space="preserve"> que permite fortalecer la hacienda pública municipal de los 125 municipios del Estado de México, privilegiando la recaudación y agilizando los procedimientos de fiscalización y cobranza, permitiendo dar un mejor servicio para el pago de impuestos y derechos municipales.</w:t>
      </w:r>
      <w:r w:rsidR="00426FBD">
        <w:rPr>
          <w:rStyle w:val="Refdenotaalpie"/>
          <w:rFonts w:ascii="Palatino Linotype" w:hAnsi="Palatino Linotype"/>
        </w:rPr>
        <w:footnoteReference w:id="5"/>
      </w:r>
      <w:r w:rsidRPr="00426FBD">
        <w:rPr>
          <w:rFonts w:ascii="Palatino Linotype" w:hAnsi="Palatino Linotype"/>
        </w:rPr>
        <w:t xml:space="preserve"> </w:t>
      </w:r>
    </w:p>
    <w:p w:rsidR="00426FBD" w:rsidRDefault="00426FBD" w:rsidP="00426FBD">
      <w:pPr>
        <w:pStyle w:val="Prrafodelista"/>
        <w:rPr>
          <w:rFonts w:ascii="Palatino Linotype" w:hAnsi="Palatino Linotype"/>
        </w:rPr>
      </w:pPr>
    </w:p>
    <w:p w:rsidR="00674713" w:rsidRPr="00426FBD" w:rsidRDefault="00674713" w:rsidP="00CC2A4A">
      <w:pPr>
        <w:numPr>
          <w:ilvl w:val="0"/>
          <w:numId w:val="27"/>
        </w:numPr>
        <w:spacing w:line="360" w:lineRule="auto"/>
        <w:ind w:right="49"/>
        <w:jc w:val="both"/>
        <w:rPr>
          <w:rFonts w:ascii="Palatino Linotype" w:hAnsi="Palatino Linotype"/>
        </w:rPr>
      </w:pPr>
      <w:r w:rsidRPr="00426FBD">
        <w:rPr>
          <w:rFonts w:ascii="Palatino Linotype" w:hAnsi="Palatino Linotype"/>
        </w:rPr>
        <w:t>El sistema Integral de Administración Tributaria Municipal, está alineado y opera de acuerdo a la Ley de Ingresos de los Municipios del Estado de México, al Código de Procedimientos Administrativos del Estado de México, al Código Financiero de Estado de México y Municipios y al Manual Único de Cont</w:t>
      </w:r>
      <w:r w:rsidR="00C30CF0" w:rsidRPr="00426FBD">
        <w:rPr>
          <w:rFonts w:ascii="Palatino Linotype" w:hAnsi="Palatino Linotype"/>
        </w:rPr>
        <w:t>abilidad Gubernamental vigente, teniendo como funciones más importantes</w:t>
      </w:r>
      <w:r w:rsidR="00426FBD">
        <w:rPr>
          <w:rStyle w:val="Refdenotaalpie"/>
          <w:rFonts w:ascii="Palatino Linotype" w:hAnsi="Palatino Linotype"/>
        </w:rPr>
        <w:footnoteReference w:id="6"/>
      </w:r>
      <w:r w:rsidR="00C30CF0" w:rsidRPr="00426FBD">
        <w:rPr>
          <w:rFonts w:ascii="Palatino Linotype" w:hAnsi="Palatino Linotype"/>
        </w:rPr>
        <w:t>:</w:t>
      </w:r>
    </w:p>
    <w:p w:rsidR="00674713" w:rsidRPr="00674713" w:rsidRDefault="00674713" w:rsidP="00C30CF0">
      <w:pPr>
        <w:spacing w:line="360" w:lineRule="auto"/>
        <w:ind w:right="49"/>
        <w:jc w:val="both"/>
        <w:rPr>
          <w:rFonts w:ascii="Palatino Linotype" w:hAnsi="Palatino Linotype"/>
        </w:rPr>
      </w:pPr>
    </w:p>
    <w:p w:rsidR="00674713" w:rsidRPr="00C30CF0" w:rsidRDefault="00674713" w:rsidP="00C30CF0">
      <w:pPr>
        <w:pStyle w:val="Prrafodelista"/>
        <w:numPr>
          <w:ilvl w:val="0"/>
          <w:numId w:val="36"/>
        </w:numPr>
        <w:spacing w:line="276" w:lineRule="auto"/>
        <w:ind w:right="851"/>
        <w:jc w:val="both"/>
        <w:rPr>
          <w:rFonts w:ascii="Palatino Linotype" w:hAnsi="Palatino Linotype"/>
          <w:i/>
          <w:sz w:val="22"/>
        </w:rPr>
      </w:pPr>
      <w:r w:rsidRPr="00C30CF0">
        <w:rPr>
          <w:rFonts w:ascii="Palatino Linotype" w:hAnsi="Palatino Linotype"/>
          <w:i/>
          <w:sz w:val="22"/>
        </w:rPr>
        <w:t>El Sistema liquida impuestos y derechos municipales estipulados en la Ley de Ingresos de los Municipios del Estado de México, a partir del Código Financiero del Estado de México y Municipios.</w:t>
      </w:r>
    </w:p>
    <w:p w:rsidR="00674713" w:rsidRPr="00C30CF0" w:rsidRDefault="00674713" w:rsidP="00C30CF0">
      <w:pPr>
        <w:spacing w:line="276" w:lineRule="auto"/>
        <w:ind w:left="1134" w:right="851"/>
        <w:jc w:val="both"/>
        <w:rPr>
          <w:rFonts w:ascii="Palatino Linotype" w:hAnsi="Palatino Linotype"/>
          <w:i/>
          <w:sz w:val="22"/>
        </w:rPr>
      </w:pPr>
    </w:p>
    <w:p w:rsidR="00674713" w:rsidRPr="00C30CF0" w:rsidRDefault="00674713" w:rsidP="00C30CF0">
      <w:pPr>
        <w:pStyle w:val="Prrafodelista"/>
        <w:numPr>
          <w:ilvl w:val="0"/>
          <w:numId w:val="36"/>
        </w:numPr>
        <w:spacing w:line="276" w:lineRule="auto"/>
        <w:ind w:right="851"/>
        <w:jc w:val="both"/>
        <w:rPr>
          <w:rFonts w:ascii="Palatino Linotype" w:hAnsi="Palatino Linotype"/>
          <w:i/>
          <w:sz w:val="22"/>
        </w:rPr>
      </w:pPr>
      <w:r w:rsidRPr="00C30CF0">
        <w:rPr>
          <w:rFonts w:ascii="Palatino Linotype" w:hAnsi="Palatino Linotype"/>
          <w:i/>
          <w:sz w:val="22"/>
        </w:rPr>
        <w:t>Registra los ingresos por productos y aprovechamientos, registro de participaciones federales y estatales.</w:t>
      </w:r>
    </w:p>
    <w:p w:rsidR="00674713" w:rsidRPr="00C30CF0" w:rsidRDefault="00674713" w:rsidP="00C30CF0">
      <w:pPr>
        <w:spacing w:line="276" w:lineRule="auto"/>
        <w:ind w:left="1134" w:right="851"/>
        <w:jc w:val="both"/>
        <w:rPr>
          <w:rFonts w:ascii="Palatino Linotype" w:hAnsi="Palatino Linotype"/>
          <w:i/>
          <w:sz w:val="22"/>
        </w:rPr>
      </w:pPr>
    </w:p>
    <w:p w:rsidR="00674713" w:rsidRPr="00C30CF0" w:rsidRDefault="00674713" w:rsidP="00C30CF0">
      <w:pPr>
        <w:pStyle w:val="Prrafodelista"/>
        <w:numPr>
          <w:ilvl w:val="0"/>
          <w:numId w:val="36"/>
        </w:numPr>
        <w:spacing w:line="276" w:lineRule="auto"/>
        <w:ind w:right="851"/>
        <w:jc w:val="both"/>
        <w:rPr>
          <w:rFonts w:ascii="Palatino Linotype" w:hAnsi="Palatino Linotype"/>
          <w:i/>
          <w:sz w:val="22"/>
        </w:rPr>
      </w:pPr>
      <w:r w:rsidRPr="00C30CF0">
        <w:rPr>
          <w:rFonts w:ascii="Palatino Linotype" w:hAnsi="Palatino Linotype"/>
          <w:i/>
          <w:sz w:val="22"/>
        </w:rPr>
        <w:t>Permite generar los documentos para accesorios de cobranza y los documentos del Procedimiento Administrativo de Ejecución (PAE).</w:t>
      </w:r>
    </w:p>
    <w:p w:rsidR="00674713" w:rsidRPr="00C30CF0" w:rsidRDefault="00674713" w:rsidP="00C30CF0">
      <w:pPr>
        <w:spacing w:line="276" w:lineRule="auto"/>
        <w:ind w:left="1134" w:right="851"/>
        <w:jc w:val="both"/>
        <w:rPr>
          <w:rFonts w:ascii="Palatino Linotype" w:hAnsi="Palatino Linotype"/>
          <w:i/>
          <w:sz w:val="22"/>
        </w:rPr>
      </w:pPr>
    </w:p>
    <w:p w:rsidR="00674713" w:rsidRPr="00C30CF0" w:rsidRDefault="00674713" w:rsidP="00C30CF0">
      <w:pPr>
        <w:pStyle w:val="Prrafodelista"/>
        <w:numPr>
          <w:ilvl w:val="0"/>
          <w:numId w:val="36"/>
        </w:numPr>
        <w:spacing w:line="276" w:lineRule="auto"/>
        <w:ind w:right="851"/>
        <w:jc w:val="both"/>
        <w:rPr>
          <w:rFonts w:ascii="Palatino Linotype" w:hAnsi="Palatino Linotype"/>
          <w:i/>
          <w:sz w:val="22"/>
        </w:rPr>
      </w:pPr>
      <w:r w:rsidRPr="00C30CF0">
        <w:rPr>
          <w:rFonts w:ascii="Palatino Linotype" w:hAnsi="Palatino Linotype"/>
          <w:i/>
          <w:sz w:val="22"/>
        </w:rPr>
        <w:t>Permite integrar la cartografía del municipio y vincularla a los padrones cautivos que maneja el Sistema COBRA para visualizar los contribuyentes al corriente o en rezago.</w:t>
      </w:r>
    </w:p>
    <w:p w:rsidR="00674713" w:rsidRPr="00C30CF0" w:rsidRDefault="00674713" w:rsidP="00C30CF0">
      <w:pPr>
        <w:spacing w:line="276" w:lineRule="auto"/>
        <w:ind w:left="1134" w:right="851"/>
        <w:jc w:val="both"/>
        <w:rPr>
          <w:rFonts w:ascii="Palatino Linotype" w:hAnsi="Palatino Linotype"/>
          <w:i/>
          <w:sz w:val="22"/>
        </w:rPr>
      </w:pPr>
    </w:p>
    <w:p w:rsidR="00674713" w:rsidRPr="00C30CF0" w:rsidRDefault="00674713" w:rsidP="00C30CF0">
      <w:pPr>
        <w:pStyle w:val="Prrafodelista"/>
        <w:numPr>
          <w:ilvl w:val="0"/>
          <w:numId w:val="36"/>
        </w:numPr>
        <w:spacing w:line="276" w:lineRule="auto"/>
        <w:ind w:right="851"/>
        <w:jc w:val="both"/>
        <w:rPr>
          <w:rFonts w:ascii="Palatino Linotype" w:hAnsi="Palatino Linotype"/>
          <w:i/>
          <w:sz w:val="22"/>
        </w:rPr>
      </w:pPr>
      <w:r w:rsidRPr="00C30CF0">
        <w:rPr>
          <w:rFonts w:ascii="Palatino Linotype" w:hAnsi="Palatino Linotype"/>
          <w:i/>
          <w:sz w:val="22"/>
        </w:rPr>
        <w:t>Contiene la cédula de fiscalización o de campo para detectar contribuyentes omisos, remisos o morosos</w:t>
      </w:r>
    </w:p>
    <w:p w:rsidR="00674713" w:rsidRPr="00C30CF0" w:rsidRDefault="00674713" w:rsidP="00C30CF0">
      <w:pPr>
        <w:pStyle w:val="Prrafodelista"/>
        <w:spacing w:line="276" w:lineRule="auto"/>
        <w:ind w:left="1134" w:right="851"/>
        <w:rPr>
          <w:rFonts w:ascii="Palatino Linotype" w:hAnsi="Palatino Linotype"/>
          <w:i/>
          <w:sz w:val="22"/>
        </w:rPr>
      </w:pPr>
    </w:p>
    <w:p w:rsidR="00246E35" w:rsidRPr="00246E35" w:rsidRDefault="005714F4" w:rsidP="00246E35">
      <w:pPr>
        <w:numPr>
          <w:ilvl w:val="0"/>
          <w:numId w:val="27"/>
        </w:numPr>
        <w:spacing w:line="360" w:lineRule="auto"/>
        <w:ind w:right="49"/>
        <w:jc w:val="both"/>
        <w:rPr>
          <w:rFonts w:ascii="Palatino Linotype" w:hAnsi="Palatino Linotype"/>
        </w:rPr>
      </w:pPr>
      <w:r>
        <w:rPr>
          <w:rFonts w:ascii="Palatino Linotype" w:hAnsi="Palatino Linotype"/>
        </w:rPr>
        <w:t xml:space="preserve">Por cuanto hace a los Sistemas de Control patrimonial, el </w:t>
      </w:r>
      <w:r w:rsidR="00246E35">
        <w:rPr>
          <w:rFonts w:ascii="Palatino Linotype" w:hAnsi="Palatino Linotype"/>
        </w:rPr>
        <w:t xml:space="preserve"> propio Manual Único de Contabilidad Gubernamental refiere que e</w:t>
      </w:r>
      <w:r w:rsidR="00246E35" w:rsidRPr="00246E35">
        <w:rPr>
          <w:rFonts w:ascii="Palatino Linotype" w:hAnsi="Palatino Linotype"/>
        </w:rPr>
        <w:t xml:space="preserve">n el caso de los Municipios y sus Organismos Descentralizados el control del patrimonio será de acuerdo a los Lineamientos para el Registro y Control del Inventario y la Conciliación y </w:t>
      </w:r>
      <w:r w:rsidR="00246E35" w:rsidRPr="00246E35">
        <w:rPr>
          <w:rFonts w:ascii="Palatino Linotype" w:hAnsi="Palatino Linotype"/>
        </w:rPr>
        <w:lastRenderedPageBreak/>
        <w:t>Desincorporación de Bienes Muebles e Inmuebles para las Entidades Fiscalizables M</w:t>
      </w:r>
      <w:r w:rsidR="00246E35">
        <w:rPr>
          <w:rFonts w:ascii="Palatino Linotype" w:hAnsi="Palatino Linotype"/>
        </w:rPr>
        <w:t xml:space="preserve">unicipales del Estado de México mediante la utilización de CREG, que constituye una herramienta proporcionada por el OSFEM como método de control de inventarios. </w:t>
      </w:r>
    </w:p>
    <w:p w:rsidR="00246E35" w:rsidRPr="00246E35" w:rsidRDefault="00246E35" w:rsidP="00246E35">
      <w:pPr>
        <w:spacing w:line="360" w:lineRule="auto"/>
        <w:ind w:right="49"/>
        <w:jc w:val="both"/>
        <w:rPr>
          <w:rFonts w:ascii="Palatino Linotype" w:hAnsi="Palatino Linotype"/>
        </w:rPr>
      </w:pPr>
    </w:p>
    <w:p w:rsidR="005714F4" w:rsidRPr="002978E5" w:rsidRDefault="00246E35" w:rsidP="002978E5">
      <w:pPr>
        <w:numPr>
          <w:ilvl w:val="0"/>
          <w:numId w:val="27"/>
        </w:numPr>
        <w:spacing w:line="360" w:lineRule="auto"/>
        <w:ind w:right="49"/>
        <w:jc w:val="both"/>
        <w:rPr>
          <w:rFonts w:ascii="Palatino Linotype" w:hAnsi="Palatino Linotype"/>
        </w:rPr>
      </w:pPr>
      <w:r w:rsidRPr="002978E5">
        <w:rPr>
          <w:rFonts w:ascii="Palatino Linotype" w:hAnsi="Palatino Linotype"/>
        </w:rPr>
        <w:t xml:space="preserve">El CREG-patrimonial, es un sistema automatizado que integra y controla la información de las cuentas de Bienes muebles e inmuebles de las entidades fiscalizables, permitiendo la consolidación del expediente de cada bien, proporcionando información de manera ágil y oportuna para su consulta y fiscalización, a través de la emisión de los listados de inventarios en los diferentes reportes utilizados, por lo que las entidades fiscalizables podrán utilizar el CREG-patrimonial como una herramienta informática que les permita el control de sus Bienes muebles e inmuebles; sin embargo a diferencia del SCG, la licencia y actualizaciones generan erogaciones que deben ser cubiertas por el Sujeto Obligado al proveedor, en este caso INDESOFT, siendo pues dable ordenar las documentales relacionadas a sustentar </w:t>
      </w:r>
      <w:r w:rsidR="002978E5">
        <w:rPr>
          <w:rFonts w:ascii="Palatino Linotype" w:hAnsi="Palatino Linotype"/>
        </w:rPr>
        <w:t>la adquisición de licencias, actualizaciones o mantenimiento.</w:t>
      </w:r>
      <w:r w:rsidR="002978E5">
        <w:rPr>
          <w:rStyle w:val="Refdenotaalpie"/>
          <w:rFonts w:ascii="Palatino Linotype" w:hAnsi="Palatino Linotype"/>
        </w:rPr>
        <w:footnoteReference w:id="7"/>
      </w:r>
    </w:p>
    <w:p w:rsidR="00246E35" w:rsidRDefault="00246E35" w:rsidP="00246E35">
      <w:pPr>
        <w:pStyle w:val="Prrafodelista"/>
        <w:ind w:left="0"/>
        <w:jc w:val="center"/>
        <w:rPr>
          <w:rFonts w:ascii="Palatino Linotype" w:hAnsi="Palatino Linotype"/>
        </w:rPr>
      </w:pPr>
    </w:p>
    <w:p w:rsidR="00246E35" w:rsidRDefault="002978E5" w:rsidP="002978E5">
      <w:pPr>
        <w:spacing w:line="360" w:lineRule="auto"/>
        <w:ind w:right="49"/>
        <w:jc w:val="center"/>
        <w:rPr>
          <w:rFonts w:ascii="Palatino Linotype" w:hAnsi="Palatino Linotype"/>
        </w:rPr>
      </w:pPr>
      <w:r w:rsidRPr="005714F4">
        <w:rPr>
          <w:rFonts w:ascii="Palatino Linotype" w:hAnsi="Palatino Linotype"/>
          <w:noProof/>
          <w:lang w:val="es-MX"/>
        </w:rPr>
        <w:drawing>
          <wp:inline distT="0" distB="0" distL="0" distR="0" wp14:anchorId="642349BF" wp14:editId="38D120FE">
            <wp:extent cx="3660002" cy="1385045"/>
            <wp:effectExtent l="19050" t="19050" r="17145" b="2476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09665" cy="1403839"/>
                    </a:xfrm>
                    <a:prstGeom prst="rect">
                      <a:avLst/>
                    </a:prstGeom>
                    <a:ln>
                      <a:solidFill>
                        <a:schemeClr val="accent1"/>
                      </a:solidFill>
                    </a:ln>
                  </pic:spPr>
                </pic:pic>
              </a:graphicData>
            </a:graphic>
          </wp:inline>
        </w:drawing>
      </w:r>
    </w:p>
    <w:p w:rsidR="009A2ADA" w:rsidRDefault="009A2ADA" w:rsidP="00774619">
      <w:pPr>
        <w:numPr>
          <w:ilvl w:val="0"/>
          <w:numId w:val="27"/>
        </w:numPr>
        <w:spacing w:line="360" w:lineRule="auto"/>
        <w:ind w:right="49"/>
        <w:jc w:val="both"/>
        <w:rPr>
          <w:rFonts w:ascii="Palatino Linotype" w:hAnsi="Palatino Linotype"/>
        </w:rPr>
      </w:pPr>
      <w:r>
        <w:rPr>
          <w:rFonts w:ascii="Palatino Linotype" w:hAnsi="Palatino Linotype"/>
        </w:rPr>
        <w:lastRenderedPageBreak/>
        <w:t xml:space="preserve">Ahora bien por cuanto hace a los Sistemas </w:t>
      </w:r>
      <w:r w:rsidR="00622F27">
        <w:rPr>
          <w:rFonts w:ascii="Palatino Linotype" w:hAnsi="Palatino Linotype"/>
        </w:rPr>
        <w:t xml:space="preserve">de Entrega </w:t>
      </w:r>
      <w:r w:rsidR="005714F4">
        <w:rPr>
          <w:rFonts w:ascii="Palatino Linotype" w:hAnsi="Palatino Linotype"/>
        </w:rPr>
        <w:t>–</w:t>
      </w:r>
      <w:r w:rsidR="00622F27">
        <w:rPr>
          <w:rFonts w:ascii="Palatino Linotype" w:hAnsi="Palatino Linotype"/>
        </w:rPr>
        <w:t xml:space="preserve"> Recepción</w:t>
      </w:r>
      <w:r w:rsidR="002978E5">
        <w:rPr>
          <w:rFonts w:ascii="Palatino Linotype" w:hAnsi="Palatino Linotype"/>
        </w:rPr>
        <w:t xml:space="preserve">, </w:t>
      </w:r>
      <w:r w:rsidR="00774619">
        <w:rPr>
          <w:rFonts w:ascii="Palatino Linotype" w:hAnsi="Palatino Linotype"/>
        </w:rPr>
        <w:t xml:space="preserve">la Secretaría de </w:t>
      </w:r>
      <w:r w:rsidR="004B5B34">
        <w:rPr>
          <w:rFonts w:ascii="Palatino Linotype" w:hAnsi="Palatino Linotype"/>
        </w:rPr>
        <w:t xml:space="preserve">Finanzas en coordinación con </w:t>
      </w:r>
      <w:r w:rsidR="00774619">
        <w:rPr>
          <w:rFonts w:ascii="Palatino Linotype" w:hAnsi="Palatino Linotype"/>
        </w:rPr>
        <w:t>la Contraloría</w:t>
      </w:r>
      <w:r w:rsidR="005A57F6">
        <w:rPr>
          <w:rFonts w:ascii="Palatino Linotype" w:hAnsi="Palatino Linotype"/>
        </w:rPr>
        <w:t>; dentro del ámbito de su competencia,</w:t>
      </w:r>
      <w:r w:rsidR="00774619">
        <w:rPr>
          <w:rFonts w:ascii="Palatino Linotype" w:hAnsi="Palatino Linotype"/>
        </w:rPr>
        <w:t xml:space="preserve"> ha</w:t>
      </w:r>
      <w:r w:rsidR="009946E1">
        <w:rPr>
          <w:rFonts w:ascii="Palatino Linotype" w:hAnsi="Palatino Linotype"/>
        </w:rPr>
        <w:t>n</w:t>
      </w:r>
      <w:r w:rsidR="00774619">
        <w:rPr>
          <w:rFonts w:ascii="Palatino Linotype" w:hAnsi="Palatino Linotype"/>
        </w:rPr>
        <w:t xml:space="preserve"> instaurado  y opera</w:t>
      </w:r>
      <w:r w:rsidR="009946E1">
        <w:rPr>
          <w:rFonts w:ascii="Palatino Linotype" w:hAnsi="Palatino Linotype"/>
        </w:rPr>
        <w:t>do</w:t>
      </w:r>
      <w:r w:rsidR="00774619">
        <w:rPr>
          <w:rFonts w:ascii="Palatino Linotype" w:hAnsi="Palatino Linotype"/>
        </w:rPr>
        <w:t xml:space="preserve"> la plataforma </w:t>
      </w:r>
      <w:r w:rsidR="005A57F6">
        <w:rPr>
          <w:rFonts w:ascii="Palatino Linotype" w:hAnsi="Palatino Linotype"/>
        </w:rPr>
        <w:t xml:space="preserve">Institucional </w:t>
      </w:r>
      <w:r w:rsidR="00774619">
        <w:rPr>
          <w:rFonts w:ascii="Palatino Linotype" w:hAnsi="Palatino Linotype"/>
        </w:rPr>
        <w:t xml:space="preserve">digital  SISER-WEB misma </w:t>
      </w:r>
      <w:r w:rsidR="005A57F6">
        <w:rPr>
          <w:rFonts w:ascii="Palatino Linotype" w:hAnsi="Palatino Linotype"/>
        </w:rPr>
        <w:t xml:space="preserve">que es de uso y </w:t>
      </w:r>
      <w:r w:rsidR="00774619">
        <w:rPr>
          <w:rFonts w:ascii="Palatino Linotype" w:hAnsi="Palatino Linotype"/>
        </w:rPr>
        <w:t xml:space="preserve"> observancia obligatoria para la Administración Pública en nuestro Estado</w:t>
      </w:r>
      <w:r w:rsidR="005A57F6">
        <w:rPr>
          <w:rFonts w:ascii="Palatino Linotype" w:hAnsi="Palatino Linotype"/>
        </w:rPr>
        <w:t xml:space="preserve"> y  Municipios</w:t>
      </w:r>
      <w:r w:rsidR="005A57F6">
        <w:rPr>
          <w:rStyle w:val="Refdenotaalpie"/>
          <w:rFonts w:ascii="Palatino Linotype" w:hAnsi="Palatino Linotype"/>
        </w:rPr>
        <w:footnoteReference w:id="8"/>
      </w:r>
      <w:r w:rsidR="00774619">
        <w:rPr>
          <w:rFonts w:ascii="Palatino Linotype" w:hAnsi="Palatino Linotype"/>
        </w:rPr>
        <w:t>, a fin de automatizar y estandarizar</w:t>
      </w:r>
      <w:r w:rsidR="00F51EA5">
        <w:rPr>
          <w:rStyle w:val="Refdenotaalpie"/>
          <w:rFonts w:ascii="Palatino Linotype" w:hAnsi="Palatino Linotype"/>
        </w:rPr>
        <w:footnoteReference w:id="9"/>
      </w:r>
      <w:r w:rsidR="00774619">
        <w:rPr>
          <w:rFonts w:ascii="Palatino Linotype" w:hAnsi="Palatino Linotype"/>
        </w:rPr>
        <w:t xml:space="preserve"> la entrega y recepción de unidades administrativas</w:t>
      </w:r>
      <w:r w:rsidR="005A57F6">
        <w:rPr>
          <w:rFonts w:ascii="Palatino Linotype" w:hAnsi="Palatino Linotype"/>
        </w:rPr>
        <w:t>.</w:t>
      </w:r>
    </w:p>
    <w:p w:rsidR="005714F4" w:rsidRDefault="005714F4" w:rsidP="005714F4">
      <w:pPr>
        <w:pStyle w:val="Prrafodelista"/>
        <w:jc w:val="center"/>
        <w:rPr>
          <w:rFonts w:ascii="Palatino Linotype" w:hAnsi="Palatino Linotype"/>
        </w:rPr>
      </w:pPr>
      <w:r w:rsidRPr="005714F4">
        <w:rPr>
          <w:rFonts w:ascii="Palatino Linotype" w:hAnsi="Palatino Linotype"/>
          <w:noProof/>
          <w:lang w:val="es-MX"/>
        </w:rPr>
        <w:drawing>
          <wp:inline distT="0" distB="0" distL="0" distR="0" wp14:anchorId="5C31FC40" wp14:editId="15312E11">
            <wp:extent cx="2326346" cy="3417570"/>
            <wp:effectExtent l="19050" t="19050" r="17145" b="114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45479" cy="3445677"/>
                    </a:xfrm>
                    <a:prstGeom prst="rect">
                      <a:avLst/>
                    </a:prstGeom>
                    <a:ln>
                      <a:solidFill>
                        <a:schemeClr val="accent1"/>
                      </a:solidFill>
                    </a:ln>
                  </pic:spPr>
                </pic:pic>
              </a:graphicData>
            </a:graphic>
          </wp:inline>
        </w:drawing>
      </w:r>
      <w:r>
        <w:rPr>
          <w:rStyle w:val="Refdenotaalpie"/>
          <w:rFonts w:ascii="Palatino Linotype" w:hAnsi="Palatino Linotype"/>
        </w:rPr>
        <w:footnoteReference w:id="10"/>
      </w:r>
    </w:p>
    <w:p w:rsidR="005714F4" w:rsidRPr="009A2ADA" w:rsidRDefault="005714F4" w:rsidP="005A57F6">
      <w:pPr>
        <w:spacing w:line="360" w:lineRule="auto"/>
        <w:ind w:right="49"/>
        <w:jc w:val="both"/>
        <w:rPr>
          <w:rFonts w:ascii="Palatino Linotype" w:hAnsi="Palatino Linotype"/>
        </w:rPr>
      </w:pPr>
    </w:p>
    <w:p w:rsidR="009946E1" w:rsidRDefault="009946E1" w:rsidP="00F55221">
      <w:pPr>
        <w:numPr>
          <w:ilvl w:val="0"/>
          <w:numId w:val="27"/>
        </w:numPr>
        <w:spacing w:line="360" w:lineRule="auto"/>
        <w:ind w:right="49"/>
        <w:jc w:val="both"/>
        <w:rPr>
          <w:rFonts w:ascii="Palatino Linotype" w:hAnsi="Palatino Linotype"/>
        </w:rPr>
      </w:pPr>
      <w:r w:rsidRPr="009946E1">
        <w:rPr>
          <w:rFonts w:ascii="Palatino Linotype" w:hAnsi="Palatino Linotype"/>
        </w:rPr>
        <w:t xml:space="preserve">Resulta entonces necesario señalar la gratuidad de la operación de tal plataforma </w:t>
      </w:r>
      <w:r w:rsidR="00F55221">
        <w:rPr>
          <w:rFonts w:ascii="Palatino Linotype" w:hAnsi="Palatino Linotype"/>
        </w:rPr>
        <w:t>y que al interior del</w:t>
      </w:r>
      <w:r w:rsidRPr="009946E1">
        <w:rPr>
          <w:rFonts w:ascii="Palatino Linotype" w:hAnsi="Palatino Linotype"/>
        </w:rPr>
        <w:t xml:space="preserve"> Sujeto Obligado depende de un Coordinador </w:t>
      </w:r>
      <w:r w:rsidRPr="009946E1">
        <w:rPr>
          <w:rFonts w:ascii="Palatino Linotype" w:hAnsi="Palatino Linotype"/>
        </w:rPr>
        <w:lastRenderedPageBreak/>
        <w:t>Institucional Responsable, sin embargo de la información vertida en la misma se requiere la verificación y opinión del titular del Órgano Interno de Control.</w:t>
      </w:r>
    </w:p>
    <w:p w:rsidR="009946E1" w:rsidRDefault="009946E1" w:rsidP="009946E1">
      <w:pPr>
        <w:spacing w:line="360" w:lineRule="auto"/>
        <w:ind w:right="49"/>
        <w:jc w:val="both"/>
        <w:rPr>
          <w:rFonts w:ascii="Palatino Linotype" w:hAnsi="Palatino Linotype"/>
        </w:rPr>
      </w:pPr>
    </w:p>
    <w:p w:rsidR="007D746D" w:rsidRPr="00CC2A4A" w:rsidRDefault="00CC2A4A" w:rsidP="00F55221">
      <w:pPr>
        <w:numPr>
          <w:ilvl w:val="0"/>
          <w:numId w:val="27"/>
        </w:numPr>
        <w:spacing w:line="360" w:lineRule="auto"/>
        <w:ind w:right="49"/>
        <w:jc w:val="both"/>
        <w:rPr>
          <w:rFonts w:ascii="Palatino Linotype" w:hAnsi="Palatino Linotype"/>
          <w:b/>
        </w:rPr>
      </w:pPr>
      <w:r>
        <w:rPr>
          <w:rFonts w:ascii="Palatino Linotype" w:hAnsi="Palatino Linotype"/>
        </w:rPr>
        <w:t xml:space="preserve">De lo expuesto se advierte que si el Sujeto Obligado </w:t>
      </w:r>
      <w:r w:rsidRPr="00CC2A4A">
        <w:rPr>
          <w:rFonts w:ascii="Palatino Linotype" w:hAnsi="Palatino Linotype"/>
          <w:b/>
        </w:rPr>
        <w:t>erogó recursos públicos</w:t>
      </w:r>
      <w:r>
        <w:rPr>
          <w:rFonts w:ascii="Palatino Linotype" w:hAnsi="Palatino Linotype"/>
        </w:rPr>
        <w:t xml:space="preserve"> en la adquisición de licencias de software, actualizaciones o mantenimiento  cuyo objetivo sea el de </w:t>
      </w:r>
      <w:r w:rsidRPr="00CC2A4A">
        <w:rPr>
          <w:rFonts w:ascii="Palatino Linotype" w:hAnsi="Palatino Linotype"/>
          <w:b/>
        </w:rPr>
        <w:t xml:space="preserve">preparar la información previa a ser exportada a las plataformas digitales definitivas, deberá hacer la entrega de las documentales que acrediten tales transacciones, de ser procedente en versión pública y acompañadas del Acuerdo del Comité de transparencia las  sustente. </w:t>
      </w:r>
    </w:p>
    <w:p w:rsidR="00CC2A4A" w:rsidRDefault="00CC2A4A" w:rsidP="00CC2A4A">
      <w:pPr>
        <w:pStyle w:val="Prrafodelista"/>
        <w:rPr>
          <w:rFonts w:ascii="Palatino Linotype" w:hAnsi="Palatino Linotype"/>
        </w:rPr>
      </w:pPr>
    </w:p>
    <w:p w:rsidR="00F55221" w:rsidRDefault="00F55221" w:rsidP="00F55221">
      <w:pPr>
        <w:numPr>
          <w:ilvl w:val="0"/>
          <w:numId w:val="27"/>
        </w:numPr>
        <w:spacing w:line="360" w:lineRule="auto"/>
        <w:ind w:right="49"/>
        <w:jc w:val="both"/>
        <w:rPr>
          <w:rFonts w:ascii="Palatino Linotype" w:hAnsi="Palatino Linotype"/>
        </w:rPr>
      </w:pPr>
      <w:r w:rsidRPr="00F55221">
        <w:rPr>
          <w:rFonts w:ascii="Palatino Linotype" w:hAnsi="Palatino Linotype"/>
        </w:rPr>
        <w:t>Ahora bien, según el Bando Municipal la Tesorería</w:t>
      </w:r>
      <w:r>
        <w:rPr>
          <w:rStyle w:val="Refdenotaalpie"/>
          <w:rFonts w:ascii="Palatino Linotype" w:hAnsi="Palatino Linotype"/>
        </w:rPr>
        <w:footnoteReference w:id="11"/>
      </w:r>
      <w:r w:rsidRPr="00F55221">
        <w:t xml:space="preserve"> </w:t>
      </w:r>
      <w:r w:rsidRPr="00F55221">
        <w:rPr>
          <w:rFonts w:ascii="Palatino Linotype" w:hAnsi="Palatino Linotype"/>
        </w:rPr>
        <w:t>es la dependencia encargada de dirigir la política hacendaria municipal, así como de la recaudación de los ingresos municipales y de las erogaciones que deba hacer el Ayuntamiento, siempre con estricto apego a la legislación de la materia</w:t>
      </w:r>
      <w:r>
        <w:rPr>
          <w:rFonts w:ascii="Palatino Linotype" w:hAnsi="Palatino Linotype"/>
        </w:rPr>
        <w:t xml:space="preserve">, teniendo </w:t>
      </w:r>
      <w:r w:rsidRPr="00F55221">
        <w:rPr>
          <w:rFonts w:ascii="Palatino Linotype" w:hAnsi="Palatino Linotype"/>
        </w:rPr>
        <w:t xml:space="preserve">a su cargo el despacho de los asuntos que le encomienda la Ley Orgánica Municipal del Estado de México, el Código Financiero del Estado de México y Municipios, la Ley de Fiscalización Superior del Estado de México, la Ley de Contratación Pública del Estado de México y Municipios y demás </w:t>
      </w:r>
      <w:r>
        <w:rPr>
          <w:rFonts w:ascii="Palatino Linotype" w:hAnsi="Palatino Linotype"/>
        </w:rPr>
        <w:t>disposiciones aplicables, misma que se encuentra conformada por las siguientes áreas:</w:t>
      </w:r>
    </w:p>
    <w:p w:rsidR="00F55221" w:rsidRDefault="00F55221" w:rsidP="00F55221">
      <w:pPr>
        <w:pStyle w:val="Prrafodelista"/>
        <w:rPr>
          <w:rFonts w:ascii="Palatino Linotype" w:hAnsi="Palatino Linotype"/>
        </w:rPr>
      </w:pPr>
    </w:p>
    <w:p w:rsidR="00F55221" w:rsidRPr="00F55221" w:rsidRDefault="00F55221" w:rsidP="00F55221">
      <w:pPr>
        <w:spacing w:line="360" w:lineRule="auto"/>
        <w:ind w:left="709" w:right="49"/>
        <w:jc w:val="both"/>
        <w:rPr>
          <w:rFonts w:ascii="Palatino Linotype" w:hAnsi="Palatino Linotype"/>
          <w:i/>
          <w:sz w:val="22"/>
        </w:rPr>
      </w:pPr>
      <w:r w:rsidRPr="00F55221">
        <w:rPr>
          <w:rFonts w:ascii="Palatino Linotype" w:hAnsi="Palatino Linotype"/>
          <w:i/>
          <w:sz w:val="22"/>
        </w:rPr>
        <w:t>I. Enlace Administrativo;</w:t>
      </w:r>
    </w:p>
    <w:p w:rsidR="00F55221" w:rsidRPr="00F55221" w:rsidRDefault="00F55221" w:rsidP="00F55221">
      <w:pPr>
        <w:pStyle w:val="Prrafodelista"/>
        <w:rPr>
          <w:rFonts w:ascii="Palatino Linotype" w:hAnsi="Palatino Linotype"/>
          <w:i/>
          <w:sz w:val="22"/>
        </w:rPr>
      </w:pPr>
      <w:r w:rsidRPr="00F55221">
        <w:rPr>
          <w:rFonts w:ascii="Palatino Linotype" w:hAnsi="Palatino Linotype"/>
          <w:i/>
          <w:sz w:val="22"/>
        </w:rPr>
        <w:t>II. Coordinación Jurídica;</w:t>
      </w:r>
    </w:p>
    <w:p w:rsidR="00F55221" w:rsidRPr="00F55221" w:rsidRDefault="00F55221" w:rsidP="00F55221">
      <w:pPr>
        <w:pStyle w:val="Prrafodelista"/>
        <w:rPr>
          <w:rFonts w:ascii="Palatino Linotype" w:hAnsi="Palatino Linotype"/>
          <w:i/>
          <w:sz w:val="22"/>
        </w:rPr>
      </w:pPr>
      <w:r w:rsidRPr="00F55221">
        <w:rPr>
          <w:rFonts w:ascii="Palatino Linotype" w:hAnsi="Palatino Linotype"/>
          <w:i/>
          <w:sz w:val="22"/>
        </w:rPr>
        <w:t>III. Subtesorería de Ingresos;</w:t>
      </w:r>
    </w:p>
    <w:p w:rsidR="00F55221" w:rsidRPr="00F55221" w:rsidRDefault="00F55221" w:rsidP="00F55221">
      <w:pPr>
        <w:pStyle w:val="Prrafodelista"/>
        <w:rPr>
          <w:rFonts w:ascii="Palatino Linotype" w:hAnsi="Palatino Linotype"/>
          <w:i/>
          <w:sz w:val="22"/>
        </w:rPr>
      </w:pPr>
      <w:r w:rsidRPr="00F55221">
        <w:rPr>
          <w:rFonts w:ascii="Palatino Linotype" w:hAnsi="Palatino Linotype"/>
          <w:i/>
          <w:sz w:val="22"/>
        </w:rPr>
        <w:t>a. Departamento de Impuesto Predial;</w:t>
      </w:r>
    </w:p>
    <w:p w:rsidR="00F55221" w:rsidRPr="00F55221" w:rsidRDefault="00F55221" w:rsidP="00F55221">
      <w:pPr>
        <w:pStyle w:val="Prrafodelista"/>
        <w:rPr>
          <w:rFonts w:ascii="Palatino Linotype" w:hAnsi="Palatino Linotype"/>
          <w:i/>
          <w:sz w:val="22"/>
        </w:rPr>
      </w:pPr>
      <w:r w:rsidRPr="00F55221">
        <w:rPr>
          <w:rFonts w:ascii="Palatino Linotype" w:hAnsi="Palatino Linotype"/>
          <w:i/>
          <w:sz w:val="22"/>
        </w:rPr>
        <w:lastRenderedPageBreak/>
        <w:t>a.1 Área de Cajas.</w:t>
      </w:r>
    </w:p>
    <w:p w:rsidR="00F55221" w:rsidRPr="00F55221" w:rsidRDefault="00F55221" w:rsidP="00F55221">
      <w:pPr>
        <w:pStyle w:val="Prrafodelista"/>
        <w:rPr>
          <w:rFonts w:ascii="Palatino Linotype" w:hAnsi="Palatino Linotype"/>
          <w:i/>
          <w:sz w:val="22"/>
        </w:rPr>
      </w:pPr>
      <w:r w:rsidRPr="00F55221">
        <w:rPr>
          <w:rFonts w:ascii="Palatino Linotype" w:hAnsi="Palatino Linotype"/>
          <w:i/>
          <w:sz w:val="22"/>
        </w:rPr>
        <w:t>b. Departamento de Traslado de Dominio;</w:t>
      </w:r>
    </w:p>
    <w:p w:rsidR="00F55221" w:rsidRPr="00F55221" w:rsidRDefault="00F55221" w:rsidP="00F55221">
      <w:pPr>
        <w:pStyle w:val="Prrafodelista"/>
        <w:rPr>
          <w:rFonts w:ascii="Palatino Linotype" w:hAnsi="Palatino Linotype"/>
          <w:i/>
          <w:sz w:val="22"/>
        </w:rPr>
      </w:pPr>
      <w:r w:rsidRPr="00F55221">
        <w:rPr>
          <w:rFonts w:ascii="Palatino Linotype" w:hAnsi="Palatino Linotype"/>
          <w:i/>
          <w:sz w:val="22"/>
        </w:rPr>
        <w:t>c. Departamento de Ejecución Fiscal;</w:t>
      </w:r>
    </w:p>
    <w:p w:rsidR="00F55221" w:rsidRPr="00F55221" w:rsidRDefault="00F55221" w:rsidP="00F55221">
      <w:pPr>
        <w:pStyle w:val="Prrafodelista"/>
        <w:rPr>
          <w:rFonts w:ascii="Palatino Linotype" w:hAnsi="Palatino Linotype"/>
          <w:i/>
          <w:sz w:val="22"/>
        </w:rPr>
      </w:pPr>
      <w:r w:rsidRPr="00F55221">
        <w:rPr>
          <w:rFonts w:ascii="Palatino Linotype" w:hAnsi="Palatino Linotype"/>
          <w:i/>
          <w:sz w:val="22"/>
        </w:rPr>
        <w:t>c.1. Central de Notificaciones, Verificaciones y Ejecuciones.</w:t>
      </w:r>
    </w:p>
    <w:p w:rsidR="00F55221" w:rsidRPr="00F55221" w:rsidRDefault="00F55221" w:rsidP="00F55221">
      <w:pPr>
        <w:pStyle w:val="Prrafodelista"/>
        <w:rPr>
          <w:rFonts w:ascii="Palatino Linotype" w:hAnsi="Palatino Linotype"/>
          <w:i/>
          <w:sz w:val="22"/>
        </w:rPr>
      </w:pPr>
      <w:r w:rsidRPr="00F55221">
        <w:rPr>
          <w:rFonts w:ascii="Palatino Linotype" w:hAnsi="Palatino Linotype"/>
          <w:i/>
          <w:sz w:val="22"/>
        </w:rPr>
        <w:t>d. Caja General;</w:t>
      </w:r>
    </w:p>
    <w:p w:rsidR="00F55221" w:rsidRPr="00F55221" w:rsidRDefault="00F55221" w:rsidP="00F55221">
      <w:pPr>
        <w:pStyle w:val="Prrafodelista"/>
        <w:rPr>
          <w:rFonts w:ascii="Palatino Linotype" w:hAnsi="Palatino Linotype"/>
          <w:i/>
          <w:sz w:val="22"/>
        </w:rPr>
      </w:pPr>
      <w:r w:rsidRPr="00F55221">
        <w:rPr>
          <w:rFonts w:ascii="Palatino Linotype" w:hAnsi="Palatino Linotype"/>
          <w:i/>
          <w:sz w:val="22"/>
        </w:rPr>
        <w:t>e. Archivo de la Subtesorería de Ingresos;</w:t>
      </w:r>
    </w:p>
    <w:p w:rsidR="00F55221" w:rsidRPr="00057427" w:rsidRDefault="00F55221" w:rsidP="00F55221">
      <w:pPr>
        <w:pStyle w:val="Prrafodelista"/>
        <w:rPr>
          <w:rFonts w:ascii="Palatino Linotype" w:hAnsi="Palatino Linotype"/>
          <w:b/>
          <w:i/>
          <w:sz w:val="22"/>
        </w:rPr>
      </w:pPr>
      <w:r w:rsidRPr="00057427">
        <w:rPr>
          <w:rFonts w:ascii="Palatino Linotype" w:hAnsi="Palatino Linotype"/>
          <w:b/>
          <w:i/>
          <w:sz w:val="22"/>
        </w:rPr>
        <w:t>IV. Subtesorería de Egresos;</w:t>
      </w:r>
    </w:p>
    <w:p w:rsidR="00F55221" w:rsidRPr="00057427" w:rsidRDefault="00F55221" w:rsidP="00F55221">
      <w:pPr>
        <w:pStyle w:val="Prrafodelista"/>
        <w:rPr>
          <w:rFonts w:ascii="Palatino Linotype" w:hAnsi="Palatino Linotype"/>
          <w:i/>
          <w:sz w:val="22"/>
        </w:rPr>
      </w:pPr>
      <w:r w:rsidRPr="00057427">
        <w:rPr>
          <w:rFonts w:ascii="Palatino Linotype" w:hAnsi="Palatino Linotype"/>
          <w:i/>
          <w:sz w:val="22"/>
        </w:rPr>
        <w:t>a. Departamento de Contabilidad;</w:t>
      </w:r>
    </w:p>
    <w:p w:rsidR="00F55221" w:rsidRPr="00057427" w:rsidRDefault="00F55221" w:rsidP="00F55221">
      <w:pPr>
        <w:pStyle w:val="Prrafodelista"/>
        <w:rPr>
          <w:rFonts w:ascii="Palatino Linotype" w:hAnsi="Palatino Linotype"/>
          <w:b/>
          <w:i/>
          <w:sz w:val="22"/>
        </w:rPr>
      </w:pPr>
      <w:r w:rsidRPr="00057427">
        <w:rPr>
          <w:rFonts w:ascii="Palatino Linotype" w:hAnsi="Palatino Linotype"/>
          <w:b/>
          <w:i/>
          <w:sz w:val="22"/>
        </w:rPr>
        <w:t>a.1. Unidad de Recursos Financieros;</w:t>
      </w:r>
    </w:p>
    <w:p w:rsidR="00F55221" w:rsidRPr="00057427" w:rsidRDefault="00F55221" w:rsidP="00F55221">
      <w:pPr>
        <w:pStyle w:val="Prrafodelista"/>
        <w:rPr>
          <w:rFonts w:ascii="Palatino Linotype" w:hAnsi="Palatino Linotype"/>
          <w:i/>
          <w:sz w:val="22"/>
        </w:rPr>
      </w:pPr>
      <w:r w:rsidRPr="00057427">
        <w:rPr>
          <w:rFonts w:ascii="Palatino Linotype" w:hAnsi="Palatino Linotype"/>
          <w:i/>
          <w:sz w:val="22"/>
        </w:rPr>
        <w:t>a.2. Unidad de Digitalización;</w:t>
      </w:r>
    </w:p>
    <w:p w:rsidR="00F55221" w:rsidRPr="00F55221" w:rsidRDefault="00F55221" w:rsidP="00F55221">
      <w:pPr>
        <w:pStyle w:val="Prrafodelista"/>
        <w:rPr>
          <w:rFonts w:ascii="Palatino Linotype" w:hAnsi="Palatino Linotype"/>
          <w:i/>
          <w:sz w:val="22"/>
        </w:rPr>
      </w:pPr>
      <w:r w:rsidRPr="00F55221">
        <w:rPr>
          <w:rFonts w:ascii="Palatino Linotype" w:hAnsi="Palatino Linotype"/>
          <w:i/>
          <w:sz w:val="22"/>
        </w:rPr>
        <w:t>b. Departamento de Registro y Control Presupuestal;</w:t>
      </w:r>
    </w:p>
    <w:p w:rsidR="00F55221" w:rsidRPr="00F55221" w:rsidRDefault="00F55221" w:rsidP="00F55221">
      <w:pPr>
        <w:pStyle w:val="Prrafodelista"/>
        <w:rPr>
          <w:rFonts w:ascii="Palatino Linotype" w:hAnsi="Palatino Linotype"/>
          <w:i/>
          <w:sz w:val="22"/>
        </w:rPr>
      </w:pPr>
      <w:r w:rsidRPr="00F55221">
        <w:rPr>
          <w:rFonts w:ascii="Palatino Linotype" w:hAnsi="Palatino Linotype"/>
          <w:i/>
          <w:sz w:val="22"/>
        </w:rPr>
        <w:t>c. Departamento de Programas Federales;</w:t>
      </w:r>
    </w:p>
    <w:p w:rsidR="00F55221" w:rsidRPr="00F55221" w:rsidRDefault="00F55221" w:rsidP="00F55221">
      <w:pPr>
        <w:pStyle w:val="Prrafodelista"/>
        <w:rPr>
          <w:rFonts w:ascii="Palatino Linotype" w:hAnsi="Palatino Linotype"/>
          <w:i/>
          <w:sz w:val="22"/>
        </w:rPr>
      </w:pPr>
      <w:r w:rsidRPr="00F55221">
        <w:rPr>
          <w:rFonts w:ascii="Palatino Linotype" w:hAnsi="Palatino Linotype"/>
          <w:i/>
          <w:sz w:val="22"/>
        </w:rPr>
        <w:t>V. Coordinación de Catastro;</w:t>
      </w:r>
    </w:p>
    <w:p w:rsidR="00F55221" w:rsidRPr="00F55221" w:rsidRDefault="00F55221" w:rsidP="00F55221">
      <w:pPr>
        <w:pStyle w:val="Prrafodelista"/>
        <w:rPr>
          <w:rFonts w:ascii="Palatino Linotype" w:hAnsi="Palatino Linotype"/>
          <w:i/>
          <w:sz w:val="22"/>
        </w:rPr>
      </w:pPr>
      <w:r w:rsidRPr="00F55221">
        <w:rPr>
          <w:rFonts w:ascii="Palatino Linotype" w:hAnsi="Palatino Linotype"/>
          <w:i/>
          <w:sz w:val="22"/>
        </w:rPr>
        <w:t>a. Unidad de Padrón Catastral;</w:t>
      </w:r>
    </w:p>
    <w:p w:rsidR="00F55221" w:rsidRDefault="00F55221" w:rsidP="00F55221">
      <w:pPr>
        <w:pStyle w:val="Prrafodelista"/>
        <w:rPr>
          <w:rFonts w:ascii="Palatino Linotype" w:hAnsi="Palatino Linotype"/>
          <w:i/>
          <w:sz w:val="22"/>
        </w:rPr>
      </w:pPr>
      <w:r w:rsidRPr="00F55221">
        <w:rPr>
          <w:rFonts w:ascii="Palatino Linotype" w:hAnsi="Palatino Linotype"/>
          <w:i/>
          <w:sz w:val="22"/>
        </w:rPr>
        <w:t>b. Unidad de Cartografía Catastral;</w:t>
      </w:r>
    </w:p>
    <w:p w:rsidR="00057427" w:rsidRPr="00F55221" w:rsidRDefault="00057427" w:rsidP="00F55221">
      <w:pPr>
        <w:pStyle w:val="Prrafodelista"/>
        <w:rPr>
          <w:rFonts w:ascii="Palatino Linotype" w:hAnsi="Palatino Linotype"/>
          <w:i/>
          <w:sz w:val="22"/>
        </w:rPr>
      </w:pPr>
    </w:p>
    <w:p w:rsidR="00057427" w:rsidRDefault="00057427" w:rsidP="00057427">
      <w:pPr>
        <w:numPr>
          <w:ilvl w:val="0"/>
          <w:numId w:val="27"/>
        </w:numPr>
        <w:spacing w:line="360" w:lineRule="auto"/>
        <w:ind w:right="49"/>
        <w:jc w:val="both"/>
        <w:rPr>
          <w:rFonts w:ascii="Palatino Linotype" w:hAnsi="Palatino Linotype"/>
        </w:rPr>
      </w:pPr>
      <w:r>
        <w:rPr>
          <w:rFonts w:ascii="Palatino Linotype" w:hAnsi="Palatino Linotype"/>
        </w:rPr>
        <w:t xml:space="preserve">Por lo que, respecto a la </w:t>
      </w:r>
      <w:r w:rsidRPr="00057427">
        <w:rPr>
          <w:rFonts w:ascii="Palatino Linotype" w:hAnsi="Palatino Linotype"/>
        </w:rPr>
        <w:t>Subtesorería de Egresos</w:t>
      </w:r>
      <w:r>
        <w:rPr>
          <w:rFonts w:ascii="Palatino Linotype" w:hAnsi="Palatino Linotype"/>
        </w:rPr>
        <w:t>, el mismo ordenamiento le en su artículo 83, confiere las siguientes atribuciones:</w:t>
      </w:r>
    </w:p>
    <w:p w:rsidR="00057427" w:rsidRPr="00057427" w:rsidRDefault="00057427" w:rsidP="00057427">
      <w:pPr>
        <w:spacing w:line="276" w:lineRule="auto"/>
        <w:ind w:left="1134" w:right="851"/>
        <w:jc w:val="both"/>
        <w:rPr>
          <w:rFonts w:ascii="Palatino Linotype" w:hAnsi="Palatino Linotype"/>
          <w:b/>
          <w:i/>
          <w:sz w:val="22"/>
        </w:rPr>
      </w:pPr>
      <w:r w:rsidRPr="00057427">
        <w:rPr>
          <w:rFonts w:ascii="Palatino Linotype" w:hAnsi="Palatino Linotype"/>
          <w:i/>
          <w:sz w:val="22"/>
        </w:rPr>
        <w:t xml:space="preserve">I. </w:t>
      </w:r>
      <w:r w:rsidRPr="00057427">
        <w:rPr>
          <w:rFonts w:ascii="Palatino Linotype" w:hAnsi="Palatino Linotype"/>
          <w:b/>
          <w:i/>
          <w:sz w:val="22"/>
        </w:rPr>
        <w:t>Aprobar y programar las erogaciones necesarias para el ejercicio de la Administración Pública Municipal;</w:t>
      </w:r>
    </w:p>
    <w:p w:rsidR="00057427" w:rsidRPr="00057427" w:rsidRDefault="00057427" w:rsidP="00057427">
      <w:pPr>
        <w:spacing w:line="276" w:lineRule="auto"/>
        <w:ind w:left="1134" w:right="851"/>
        <w:jc w:val="both"/>
        <w:rPr>
          <w:rFonts w:ascii="Palatino Linotype" w:hAnsi="Palatino Linotype"/>
          <w:i/>
          <w:sz w:val="22"/>
        </w:rPr>
      </w:pPr>
      <w:r w:rsidRPr="00057427">
        <w:rPr>
          <w:rFonts w:ascii="Palatino Linotype" w:hAnsi="Palatino Linotype"/>
          <w:i/>
          <w:sz w:val="22"/>
        </w:rPr>
        <w:t>II. Supervisar que la documentación contable cumpla con los requisitos</w:t>
      </w:r>
      <w:r>
        <w:rPr>
          <w:rFonts w:ascii="Palatino Linotype" w:hAnsi="Palatino Linotype"/>
          <w:i/>
          <w:sz w:val="22"/>
        </w:rPr>
        <w:t xml:space="preserve"> </w:t>
      </w:r>
      <w:r w:rsidRPr="00057427">
        <w:rPr>
          <w:rFonts w:ascii="Palatino Linotype" w:hAnsi="Palatino Linotype"/>
          <w:i/>
          <w:sz w:val="22"/>
        </w:rPr>
        <w:t>81 formales y legales;</w:t>
      </w:r>
    </w:p>
    <w:p w:rsidR="00057427" w:rsidRPr="00057427" w:rsidRDefault="00057427" w:rsidP="00057427">
      <w:pPr>
        <w:spacing w:line="276" w:lineRule="auto"/>
        <w:ind w:left="1134" w:right="851"/>
        <w:jc w:val="both"/>
        <w:rPr>
          <w:rFonts w:ascii="Palatino Linotype" w:hAnsi="Palatino Linotype"/>
          <w:b/>
          <w:i/>
          <w:sz w:val="22"/>
        </w:rPr>
      </w:pPr>
      <w:r w:rsidRPr="00057427">
        <w:rPr>
          <w:rFonts w:ascii="Palatino Linotype" w:hAnsi="Palatino Linotype"/>
          <w:b/>
          <w:i/>
          <w:sz w:val="22"/>
        </w:rPr>
        <w:t>III. Vigilar la correcta y eficaz aplicación del gasto público, observando que la misma se realice cumpliendo con todos y cada uno de los requisitos jurídicos establecidos bajo los criterios de legalidad, honestidad, eficiencia, eficacia, economía, racionalidad, austeridad, transparencia, control, rendición de cuentas y equidad de género;</w:t>
      </w:r>
    </w:p>
    <w:p w:rsidR="00057427" w:rsidRPr="00057427" w:rsidRDefault="00057427" w:rsidP="00057427">
      <w:pPr>
        <w:spacing w:line="276" w:lineRule="auto"/>
        <w:ind w:left="1134" w:right="851"/>
        <w:jc w:val="both"/>
        <w:rPr>
          <w:rFonts w:ascii="Palatino Linotype" w:hAnsi="Palatino Linotype"/>
          <w:b/>
          <w:i/>
          <w:sz w:val="22"/>
        </w:rPr>
      </w:pPr>
      <w:r w:rsidRPr="00057427">
        <w:rPr>
          <w:rFonts w:ascii="Palatino Linotype" w:hAnsi="Palatino Linotype"/>
          <w:i/>
          <w:sz w:val="22"/>
        </w:rPr>
        <w:t xml:space="preserve">IV. </w:t>
      </w:r>
      <w:r w:rsidRPr="00057427">
        <w:rPr>
          <w:rFonts w:ascii="Palatino Linotype" w:hAnsi="Palatino Linotype"/>
          <w:b/>
          <w:i/>
          <w:sz w:val="22"/>
        </w:rPr>
        <w:t>Autorizar la correcta contabilización de las pólizas de egresos y la codificación de las erogaciones respecto al objeto del gasto;</w:t>
      </w:r>
    </w:p>
    <w:p w:rsidR="00057427" w:rsidRPr="00057427" w:rsidRDefault="00057427" w:rsidP="00057427">
      <w:pPr>
        <w:spacing w:line="276" w:lineRule="auto"/>
        <w:ind w:left="1134" w:right="851"/>
        <w:jc w:val="both"/>
        <w:rPr>
          <w:rFonts w:ascii="Palatino Linotype" w:hAnsi="Palatino Linotype"/>
          <w:i/>
          <w:sz w:val="22"/>
        </w:rPr>
      </w:pPr>
      <w:r w:rsidRPr="00057427">
        <w:rPr>
          <w:rFonts w:ascii="Palatino Linotype" w:hAnsi="Palatino Linotype"/>
          <w:i/>
          <w:sz w:val="22"/>
        </w:rPr>
        <w:t>V. Verificar la suficiencia presupuestal para la asignación de las nuevas</w:t>
      </w:r>
      <w:r>
        <w:rPr>
          <w:rFonts w:ascii="Palatino Linotype" w:hAnsi="Palatino Linotype"/>
          <w:i/>
          <w:sz w:val="22"/>
        </w:rPr>
        <w:t xml:space="preserve"> </w:t>
      </w:r>
      <w:r w:rsidRPr="00057427">
        <w:rPr>
          <w:rFonts w:ascii="Palatino Linotype" w:hAnsi="Palatino Linotype"/>
          <w:i/>
          <w:sz w:val="22"/>
        </w:rPr>
        <w:t>plazas, conjuntamente con la o el titular del Departamento de Recursos</w:t>
      </w:r>
      <w:r>
        <w:rPr>
          <w:rFonts w:ascii="Palatino Linotype" w:hAnsi="Palatino Linotype"/>
          <w:i/>
          <w:sz w:val="22"/>
        </w:rPr>
        <w:t xml:space="preserve"> </w:t>
      </w:r>
      <w:r w:rsidRPr="00057427">
        <w:rPr>
          <w:rFonts w:ascii="Palatino Linotype" w:hAnsi="Palatino Linotype"/>
          <w:i/>
          <w:sz w:val="22"/>
        </w:rPr>
        <w:t>Humanos;</w:t>
      </w:r>
    </w:p>
    <w:p w:rsidR="00057427" w:rsidRPr="00057427" w:rsidRDefault="00057427" w:rsidP="00057427">
      <w:pPr>
        <w:spacing w:line="276" w:lineRule="auto"/>
        <w:ind w:left="1134" w:right="851"/>
        <w:jc w:val="both"/>
        <w:rPr>
          <w:rFonts w:ascii="Palatino Linotype" w:hAnsi="Palatino Linotype"/>
          <w:i/>
          <w:sz w:val="22"/>
        </w:rPr>
      </w:pPr>
      <w:r w:rsidRPr="00057427">
        <w:rPr>
          <w:rFonts w:ascii="Palatino Linotype" w:hAnsi="Palatino Linotype"/>
          <w:i/>
          <w:sz w:val="22"/>
        </w:rPr>
        <w:t>VI. Supervisar las conciliaciones bancarias respecto de las cuentas públicas</w:t>
      </w:r>
      <w:r>
        <w:rPr>
          <w:rFonts w:ascii="Palatino Linotype" w:hAnsi="Palatino Linotype"/>
          <w:i/>
          <w:sz w:val="22"/>
        </w:rPr>
        <w:t xml:space="preserve"> </w:t>
      </w:r>
      <w:r w:rsidRPr="00057427">
        <w:rPr>
          <w:rFonts w:ascii="Palatino Linotype" w:hAnsi="Palatino Linotype"/>
          <w:i/>
          <w:sz w:val="22"/>
        </w:rPr>
        <w:t>de los ramos federales;</w:t>
      </w:r>
    </w:p>
    <w:p w:rsidR="00057427" w:rsidRPr="00057427" w:rsidRDefault="00057427" w:rsidP="00057427">
      <w:pPr>
        <w:spacing w:line="276" w:lineRule="auto"/>
        <w:ind w:left="1134" w:right="851"/>
        <w:jc w:val="both"/>
        <w:rPr>
          <w:rFonts w:ascii="Palatino Linotype" w:hAnsi="Palatino Linotype"/>
          <w:b/>
          <w:i/>
          <w:sz w:val="22"/>
        </w:rPr>
      </w:pPr>
      <w:r w:rsidRPr="00057427">
        <w:rPr>
          <w:rFonts w:ascii="Palatino Linotype" w:hAnsi="Palatino Linotype"/>
          <w:b/>
          <w:i/>
          <w:sz w:val="22"/>
        </w:rPr>
        <w:lastRenderedPageBreak/>
        <w:t>VII. Elaborar el anteproyecto y presupuesto definitivo de egresos del municipio;</w:t>
      </w:r>
    </w:p>
    <w:p w:rsidR="00057427" w:rsidRPr="00057427" w:rsidRDefault="00057427" w:rsidP="00057427">
      <w:pPr>
        <w:spacing w:line="276" w:lineRule="auto"/>
        <w:ind w:left="1134" w:right="851"/>
        <w:jc w:val="both"/>
        <w:rPr>
          <w:rFonts w:ascii="Palatino Linotype" w:hAnsi="Palatino Linotype"/>
          <w:i/>
          <w:sz w:val="22"/>
        </w:rPr>
      </w:pPr>
      <w:r w:rsidRPr="00057427">
        <w:rPr>
          <w:rFonts w:ascii="Palatino Linotype" w:hAnsi="Palatino Linotype"/>
          <w:i/>
          <w:sz w:val="22"/>
        </w:rPr>
        <w:t>VIII. Colaborar en la solventación de las observaciones fincadas por las</w:t>
      </w:r>
      <w:r>
        <w:rPr>
          <w:rFonts w:ascii="Palatino Linotype" w:hAnsi="Palatino Linotype"/>
          <w:i/>
          <w:sz w:val="22"/>
        </w:rPr>
        <w:t xml:space="preserve"> </w:t>
      </w:r>
      <w:r w:rsidRPr="00057427">
        <w:rPr>
          <w:rFonts w:ascii="Palatino Linotype" w:hAnsi="Palatino Linotype"/>
          <w:i/>
          <w:sz w:val="22"/>
        </w:rPr>
        <w:t>entidades fiscalizadoras;</w:t>
      </w:r>
    </w:p>
    <w:p w:rsidR="00057427" w:rsidRPr="00057427" w:rsidRDefault="00057427" w:rsidP="00057427">
      <w:pPr>
        <w:spacing w:line="276" w:lineRule="auto"/>
        <w:ind w:left="1134" w:right="851"/>
        <w:jc w:val="both"/>
        <w:rPr>
          <w:rFonts w:ascii="Palatino Linotype" w:hAnsi="Palatino Linotype"/>
          <w:i/>
          <w:sz w:val="22"/>
        </w:rPr>
      </w:pPr>
      <w:r w:rsidRPr="00057427">
        <w:rPr>
          <w:rFonts w:ascii="Palatino Linotype" w:hAnsi="Palatino Linotype"/>
          <w:i/>
          <w:sz w:val="22"/>
        </w:rPr>
        <w:t>IX. Generar los estados financieros de la cuenta pública e informes</w:t>
      </w:r>
      <w:r>
        <w:rPr>
          <w:rFonts w:ascii="Palatino Linotype" w:hAnsi="Palatino Linotype"/>
          <w:i/>
          <w:sz w:val="22"/>
        </w:rPr>
        <w:t xml:space="preserve"> </w:t>
      </w:r>
      <w:r w:rsidRPr="00057427">
        <w:rPr>
          <w:rFonts w:ascii="Palatino Linotype" w:hAnsi="Palatino Linotype"/>
          <w:i/>
          <w:sz w:val="22"/>
        </w:rPr>
        <w:t>mensuales del municipio;</w:t>
      </w:r>
    </w:p>
    <w:p w:rsidR="00057427" w:rsidRPr="00057427" w:rsidRDefault="00057427" w:rsidP="00057427">
      <w:pPr>
        <w:spacing w:line="276" w:lineRule="auto"/>
        <w:ind w:left="1134" w:right="851"/>
        <w:jc w:val="both"/>
        <w:rPr>
          <w:rFonts w:ascii="Palatino Linotype" w:hAnsi="Palatino Linotype"/>
          <w:i/>
          <w:sz w:val="22"/>
        </w:rPr>
      </w:pPr>
      <w:r w:rsidRPr="00057427">
        <w:rPr>
          <w:rFonts w:ascii="Palatino Linotype" w:hAnsi="Palatino Linotype"/>
          <w:i/>
          <w:sz w:val="22"/>
        </w:rPr>
        <w:t>X. Cuidar el control del ejercicio presupuestal de la cuenta pública</w:t>
      </w:r>
      <w:r>
        <w:rPr>
          <w:rFonts w:ascii="Palatino Linotype" w:hAnsi="Palatino Linotype"/>
          <w:i/>
          <w:sz w:val="22"/>
        </w:rPr>
        <w:t xml:space="preserve"> </w:t>
      </w:r>
      <w:r w:rsidRPr="00057427">
        <w:rPr>
          <w:rFonts w:ascii="Palatino Linotype" w:hAnsi="Palatino Linotype"/>
          <w:i/>
          <w:sz w:val="22"/>
        </w:rPr>
        <w:t>municipal;</w:t>
      </w:r>
    </w:p>
    <w:p w:rsidR="00057427" w:rsidRPr="00057427" w:rsidRDefault="00057427" w:rsidP="00057427">
      <w:pPr>
        <w:spacing w:line="276" w:lineRule="auto"/>
        <w:ind w:left="1134" w:right="851"/>
        <w:jc w:val="both"/>
        <w:rPr>
          <w:rFonts w:ascii="Palatino Linotype" w:hAnsi="Palatino Linotype"/>
          <w:b/>
          <w:i/>
          <w:sz w:val="22"/>
        </w:rPr>
      </w:pPr>
      <w:r w:rsidRPr="00057427">
        <w:rPr>
          <w:rFonts w:ascii="Palatino Linotype" w:hAnsi="Palatino Linotype"/>
          <w:b/>
          <w:i/>
          <w:sz w:val="22"/>
        </w:rPr>
        <w:t>XI. Preparar información mensual a la o el Tesorero Municipal para efectos de rendir informe ante el H. Ayuntamiento;</w:t>
      </w:r>
    </w:p>
    <w:p w:rsidR="00057427" w:rsidRPr="00057427" w:rsidRDefault="00057427" w:rsidP="00057427">
      <w:pPr>
        <w:spacing w:line="276" w:lineRule="auto"/>
        <w:ind w:left="1134" w:right="851"/>
        <w:jc w:val="both"/>
        <w:rPr>
          <w:rFonts w:ascii="Palatino Linotype" w:hAnsi="Palatino Linotype"/>
          <w:i/>
          <w:sz w:val="22"/>
        </w:rPr>
      </w:pPr>
      <w:r w:rsidRPr="00057427">
        <w:rPr>
          <w:rFonts w:ascii="Palatino Linotype" w:hAnsi="Palatino Linotype"/>
          <w:i/>
          <w:sz w:val="22"/>
        </w:rPr>
        <w:t>XII. Proponer a la o el titular de la Tesorería Municipal la adición líquida o</w:t>
      </w:r>
      <w:r>
        <w:rPr>
          <w:rFonts w:ascii="Palatino Linotype" w:hAnsi="Palatino Linotype"/>
          <w:i/>
          <w:sz w:val="22"/>
        </w:rPr>
        <w:t xml:space="preserve"> </w:t>
      </w:r>
      <w:r w:rsidRPr="00057427">
        <w:rPr>
          <w:rFonts w:ascii="Palatino Linotype" w:hAnsi="Palatino Linotype"/>
          <w:i/>
          <w:sz w:val="22"/>
        </w:rPr>
        <w:t>compensada del presupuesto cuando este se requiera para evitar</w:t>
      </w:r>
      <w:r>
        <w:rPr>
          <w:rFonts w:ascii="Palatino Linotype" w:hAnsi="Palatino Linotype"/>
          <w:i/>
          <w:sz w:val="22"/>
        </w:rPr>
        <w:t xml:space="preserve"> </w:t>
      </w:r>
      <w:r w:rsidRPr="00057427">
        <w:rPr>
          <w:rFonts w:ascii="Palatino Linotype" w:hAnsi="Palatino Linotype"/>
          <w:i/>
          <w:sz w:val="22"/>
        </w:rPr>
        <w:t>sobregiros;</w:t>
      </w:r>
    </w:p>
    <w:p w:rsidR="00057427" w:rsidRPr="00057427" w:rsidRDefault="00057427" w:rsidP="00057427">
      <w:pPr>
        <w:spacing w:line="276" w:lineRule="auto"/>
        <w:ind w:left="1134" w:right="851"/>
        <w:jc w:val="both"/>
        <w:rPr>
          <w:rFonts w:ascii="Palatino Linotype" w:hAnsi="Palatino Linotype"/>
          <w:i/>
          <w:sz w:val="22"/>
        </w:rPr>
      </w:pPr>
      <w:r w:rsidRPr="00057427">
        <w:rPr>
          <w:rFonts w:ascii="Palatino Linotype" w:hAnsi="Palatino Linotype"/>
          <w:i/>
          <w:sz w:val="22"/>
        </w:rPr>
        <w:t>XIII. Verificar una disciplina presupuestaria de todas las dependencias del</w:t>
      </w:r>
      <w:r>
        <w:rPr>
          <w:rFonts w:ascii="Palatino Linotype" w:hAnsi="Palatino Linotype"/>
          <w:i/>
          <w:sz w:val="22"/>
        </w:rPr>
        <w:t xml:space="preserve"> </w:t>
      </w:r>
      <w:r w:rsidRPr="00057427">
        <w:rPr>
          <w:rFonts w:ascii="Palatino Linotype" w:hAnsi="Palatino Linotype"/>
          <w:i/>
          <w:sz w:val="22"/>
        </w:rPr>
        <w:t>municipio; y</w:t>
      </w:r>
    </w:p>
    <w:p w:rsidR="00057427" w:rsidRDefault="00057427" w:rsidP="00057427">
      <w:pPr>
        <w:spacing w:line="276" w:lineRule="auto"/>
        <w:ind w:left="1134" w:right="851"/>
        <w:jc w:val="both"/>
        <w:rPr>
          <w:rFonts w:ascii="Palatino Linotype" w:hAnsi="Palatino Linotype"/>
          <w:i/>
          <w:sz w:val="22"/>
        </w:rPr>
      </w:pPr>
      <w:r w:rsidRPr="00057427">
        <w:rPr>
          <w:rFonts w:ascii="Palatino Linotype" w:hAnsi="Palatino Linotype"/>
          <w:i/>
          <w:sz w:val="22"/>
        </w:rPr>
        <w:t>XIV. Las demás que señalen otras disposiciones legales de carácter federal,</w:t>
      </w:r>
      <w:r>
        <w:rPr>
          <w:rFonts w:ascii="Palatino Linotype" w:hAnsi="Palatino Linotype"/>
          <w:i/>
          <w:sz w:val="22"/>
        </w:rPr>
        <w:t xml:space="preserve"> </w:t>
      </w:r>
      <w:r w:rsidRPr="00057427">
        <w:rPr>
          <w:rFonts w:ascii="Palatino Linotype" w:hAnsi="Palatino Linotype"/>
          <w:i/>
          <w:sz w:val="22"/>
        </w:rPr>
        <w:t>estatal o municipal en el ámbito de su competencia, el H. Ayuntamiento,</w:t>
      </w:r>
      <w:r>
        <w:rPr>
          <w:rFonts w:ascii="Palatino Linotype" w:hAnsi="Palatino Linotype"/>
          <w:i/>
          <w:sz w:val="22"/>
        </w:rPr>
        <w:t xml:space="preserve"> </w:t>
      </w:r>
      <w:r w:rsidRPr="00057427">
        <w:rPr>
          <w:rFonts w:ascii="Palatino Linotype" w:hAnsi="Palatino Linotype"/>
          <w:i/>
          <w:sz w:val="22"/>
        </w:rPr>
        <w:t>la Presidenta Municipal y demás superiores, en su caso</w:t>
      </w:r>
    </w:p>
    <w:p w:rsidR="00057427" w:rsidRPr="00057427" w:rsidRDefault="00057427" w:rsidP="00057427">
      <w:pPr>
        <w:spacing w:line="276" w:lineRule="auto"/>
        <w:ind w:left="1134" w:right="851"/>
        <w:jc w:val="both"/>
        <w:rPr>
          <w:rFonts w:ascii="Palatino Linotype" w:hAnsi="Palatino Linotype"/>
          <w:i/>
          <w:sz w:val="22"/>
        </w:rPr>
      </w:pPr>
    </w:p>
    <w:p w:rsidR="00471856" w:rsidRPr="00471856" w:rsidRDefault="009946E1" w:rsidP="00FF646F">
      <w:pPr>
        <w:numPr>
          <w:ilvl w:val="0"/>
          <w:numId w:val="27"/>
        </w:numPr>
        <w:spacing w:line="360" w:lineRule="auto"/>
        <w:ind w:right="49"/>
        <w:jc w:val="both"/>
        <w:rPr>
          <w:rFonts w:ascii="Palatino Linotype" w:hAnsi="Palatino Linotype"/>
          <w:color w:val="000000" w:themeColor="text1"/>
        </w:rPr>
      </w:pPr>
      <w:r w:rsidRPr="00471856">
        <w:rPr>
          <w:rFonts w:ascii="Palatino Linotype" w:hAnsi="Palatino Linotype"/>
        </w:rPr>
        <w:t xml:space="preserve"> </w:t>
      </w:r>
      <w:r w:rsidR="007879FD" w:rsidRPr="00471856">
        <w:rPr>
          <w:rFonts w:ascii="Palatino Linotype" w:hAnsi="Palatino Linotype"/>
          <w:color w:val="000000" w:themeColor="text1"/>
        </w:rPr>
        <w:t xml:space="preserve">A más de lo anterior, </w:t>
      </w:r>
      <w:r w:rsidR="00471856" w:rsidRPr="00471856">
        <w:rPr>
          <w:rFonts w:ascii="Palatino Linotype" w:hAnsi="Palatino Linotype"/>
          <w:color w:val="000000" w:themeColor="text1"/>
        </w:rPr>
        <w:t>con respecto a</w:t>
      </w:r>
      <w:r w:rsidR="00471856" w:rsidRPr="00471856">
        <w:t xml:space="preserve"> </w:t>
      </w:r>
      <w:r w:rsidR="00471856" w:rsidRPr="00471856">
        <w:rPr>
          <w:rFonts w:ascii="Palatino Linotype" w:hAnsi="Palatino Linotype"/>
          <w:color w:val="000000" w:themeColor="text1"/>
        </w:rPr>
        <w:t>La Unidad de Recursos Financieros tendrá las siguientes facultades y obligaciones:</w:t>
      </w:r>
    </w:p>
    <w:p w:rsidR="00471856" w:rsidRPr="00471856" w:rsidRDefault="00471856" w:rsidP="00471856">
      <w:pPr>
        <w:spacing w:line="276" w:lineRule="auto"/>
        <w:ind w:left="1134" w:right="851"/>
        <w:jc w:val="both"/>
        <w:rPr>
          <w:rFonts w:ascii="Palatino Linotype" w:hAnsi="Palatino Linotype"/>
          <w:i/>
          <w:color w:val="000000" w:themeColor="text1"/>
          <w:sz w:val="22"/>
        </w:rPr>
      </w:pPr>
      <w:r w:rsidRPr="00471856">
        <w:rPr>
          <w:rFonts w:ascii="Palatino Linotype" w:hAnsi="Palatino Linotype"/>
          <w:i/>
          <w:color w:val="000000" w:themeColor="text1"/>
          <w:sz w:val="22"/>
        </w:rPr>
        <w:t>I. Determinar el flujo de efectivo para el pago del gasto público, acorde a</w:t>
      </w:r>
      <w:r>
        <w:rPr>
          <w:rFonts w:ascii="Palatino Linotype" w:hAnsi="Palatino Linotype"/>
          <w:i/>
          <w:color w:val="000000" w:themeColor="text1"/>
          <w:sz w:val="22"/>
        </w:rPr>
        <w:t xml:space="preserve"> </w:t>
      </w:r>
      <w:r w:rsidRPr="00471856">
        <w:rPr>
          <w:rFonts w:ascii="Palatino Linotype" w:hAnsi="Palatino Linotype"/>
          <w:i/>
          <w:color w:val="000000" w:themeColor="text1"/>
          <w:sz w:val="22"/>
        </w:rPr>
        <w:t>la disponibilidad de recursos existentes;</w:t>
      </w:r>
    </w:p>
    <w:p w:rsidR="00471856" w:rsidRPr="00471856" w:rsidRDefault="00471856" w:rsidP="00471856">
      <w:pPr>
        <w:spacing w:line="276" w:lineRule="auto"/>
        <w:ind w:left="1134" w:right="851"/>
        <w:jc w:val="both"/>
        <w:rPr>
          <w:rFonts w:ascii="Palatino Linotype" w:hAnsi="Palatino Linotype"/>
          <w:b/>
          <w:i/>
          <w:color w:val="000000" w:themeColor="text1"/>
          <w:sz w:val="22"/>
        </w:rPr>
      </w:pPr>
      <w:r w:rsidRPr="00471856">
        <w:rPr>
          <w:rFonts w:ascii="Palatino Linotype" w:hAnsi="Palatino Linotype"/>
          <w:b/>
          <w:i/>
          <w:color w:val="000000" w:themeColor="text1"/>
          <w:sz w:val="22"/>
        </w:rPr>
        <w:t>II. Generar los cheques y efectuar los pagos con cargo al Presupuesto de Egresos de cada dependencia que, conforme a las disposiciones legales, deba realizar la Tesorería Municipal;</w:t>
      </w:r>
    </w:p>
    <w:p w:rsidR="00471856" w:rsidRPr="00471856" w:rsidRDefault="00471856" w:rsidP="00471856">
      <w:pPr>
        <w:spacing w:line="276" w:lineRule="auto"/>
        <w:ind w:left="1134" w:right="851"/>
        <w:jc w:val="both"/>
        <w:rPr>
          <w:rFonts w:ascii="Palatino Linotype" w:hAnsi="Palatino Linotype"/>
          <w:i/>
          <w:color w:val="000000" w:themeColor="text1"/>
          <w:sz w:val="22"/>
        </w:rPr>
      </w:pPr>
      <w:r w:rsidRPr="00471856">
        <w:rPr>
          <w:rFonts w:ascii="Palatino Linotype" w:hAnsi="Palatino Linotype"/>
          <w:i/>
          <w:color w:val="000000" w:themeColor="text1"/>
          <w:sz w:val="22"/>
        </w:rPr>
        <w:t>III. Recibir, custodiar y manejar los fondos, valores y cuentas bancarias de</w:t>
      </w:r>
      <w:r>
        <w:rPr>
          <w:rFonts w:ascii="Palatino Linotype" w:hAnsi="Palatino Linotype"/>
          <w:i/>
          <w:color w:val="000000" w:themeColor="text1"/>
          <w:sz w:val="22"/>
        </w:rPr>
        <w:t xml:space="preserve"> </w:t>
      </w:r>
      <w:r w:rsidRPr="00471856">
        <w:rPr>
          <w:rFonts w:ascii="Palatino Linotype" w:hAnsi="Palatino Linotype"/>
          <w:i/>
          <w:color w:val="000000" w:themeColor="text1"/>
          <w:sz w:val="22"/>
        </w:rPr>
        <w:t>la Tesorería Municipal, emitiendo la documentación necesaria para tales</w:t>
      </w:r>
      <w:r>
        <w:rPr>
          <w:rFonts w:ascii="Palatino Linotype" w:hAnsi="Palatino Linotype"/>
          <w:i/>
          <w:color w:val="000000" w:themeColor="text1"/>
          <w:sz w:val="22"/>
        </w:rPr>
        <w:t xml:space="preserve"> </w:t>
      </w:r>
      <w:r w:rsidRPr="00471856">
        <w:rPr>
          <w:rFonts w:ascii="Palatino Linotype" w:hAnsi="Palatino Linotype"/>
          <w:i/>
          <w:color w:val="000000" w:themeColor="text1"/>
          <w:sz w:val="22"/>
        </w:rPr>
        <w:t>efectos;</w:t>
      </w:r>
    </w:p>
    <w:p w:rsidR="00471856" w:rsidRPr="00471856" w:rsidRDefault="00471856" w:rsidP="00471856">
      <w:pPr>
        <w:spacing w:line="276" w:lineRule="auto"/>
        <w:ind w:left="1134" w:right="851"/>
        <w:jc w:val="both"/>
        <w:rPr>
          <w:rFonts w:ascii="Palatino Linotype" w:hAnsi="Palatino Linotype"/>
          <w:i/>
          <w:color w:val="000000" w:themeColor="text1"/>
          <w:sz w:val="22"/>
        </w:rPr>
      </w:pPr>
      <w:r w:rsidRPr="00471856">
        <w:rPr>
          <w:rFonts w:ascii="Palatino Linotype" w:hAnsi="Palatino Linotype"/>
          <w:i/>
          <w:color w:val="000000" w:themeColor="text1"/>
          <w:sz w:val="22"/>
        </w:rPr>
        <w:t>IV. Reportar diariamente a la o el titular de la Tesorería Municipal la posición</w:t>
      </w:r>
    </w:p>
    <w:p w:rsidR="00471856" w:rsidRPr="00471856" w:rsidRDefault="00471856" w:rsidP="00471856">
      <w:pPr>
        <w:spacing w:line="276" w:lineRule="auto"/>
        <w:ind w:left="1134" w:right="851"/>
        <w:jc w:val="both"/>
        <w:rPr>
          <w:rFonts w:ascii="Palatino Linotype" w:hAnsi="Palatino Linotype"/>
          <w:i/>
          <w:color w:val="000000" w:themeColor="text1"/>
          <w:sz w:val="22"/>
        </w:rPr>
      </w:pPr>
      <w:r w:rsidRPr="00471856">
        <w:rPr>
          <w:rFonts w:ascii="Palatino Linotype" w:hAnsi="Palatino Linotype"/>
          <w:i/>
          <w:color w:val="000000" w:themeColor="text1"/>
          <w:sz w:val="22"/>
        </w:rPr>
        <w:t>financiera del municipio, en relación con las obligaciones de gasto, así</w:t>
      </w:r>
      <w:r>
        <w:rPr>
          <w:rFonts w:ascii="Palatino Linotype" w:hAnsi="Palatino Linotype"/>
          <w:i/>
          <w:color w:val="000000" w:themeColor="text1"/>
          <w:sz w:val="22"/>
        </w:rPr>
        <w:t xml:space="preserve"> </w:t>
      </w:r>
      <w:r w:rsidRPr="00471856">
        <w:rPr>
          <w:rFonts w:ascii="Palatino Linotype" w:hAnsi="Palatino Linotype"/>
          <w:i/>
          <w:color w:val="000000" w:themeColor="text1"/>
          <w:sz w:val="22"/>
        </w:rPr>
        <w:t>como de las disponibilidades de fondos en efectivo y en valores;</w:t>
      </w:r>
    </w:p>
    <w:p w:rsidR="00471856" w:rsidRPr="00471856" w:rsidRDefault="00471856" w:rsidP="00471856">
      <w:pPr>
        <w:spacing w:line="276" w:lineRule="auto"/>
        <w:ind w:left="1134" w:right="851"/>
        <w:jc w:val="both"/>
        <w:rPr>
          <w:rFonts w:ascii="Palatino Linotype" w:hAnsi="Palatino Linotype"/>
          <w:b/>
          <w:i/>
          <w:color w:val="000000" w:themeColor="text1"/>
          <w:sz w:val="22"/>
        </w:rPr>
      </w:pPr>
      <w:r w:rsidRPr="00471856">
        <w:rPr>
          <w:rFonts w:ascii="Palatino Linotype" w:hAnsi="Palatino Linotype"/>
          <w:b/>
          <w:i/>
          <w:color w:val="000000" w:themeColor="text1"/>
          <w:sz w:val="22"/>
        </w:rPr>
        <w:t>V. Elaborar los reportes diarios de entradas y salidas de fondos, los cuales deberán ser acompañados de la documentación comprobatoria;</w:t>
      </w:r>
    </w:p>
    <w:p w:rsidR="00471856" w:rsidRPr="00471856" w:rsidRDefault="00471856" w:rsidP="00471856">
      <w:pPr>
        <w:spacing w:line="276" w:lineRule="auto"/>
        <w:ind w:left="1134" w:right="851"/>
        <w:jc w:val="both"/>
        <w:rPr>
          <w:rFonts w:ascii="Palatino Linotype" w:hAnsi="Palatino Linotype"/>
          <w:i/>
          <w:color w:val="000000" w:themeColor="text1"/>
          <w:sz w:val="22"/>
        </w:rPr>
      </w:pPr>
      <w:r w:rsidRPr="00471856">
        <w:rPr>
          <w:rFonts w:ascii="Palatino Linotype" w:hAnsi="Palatino Linotype"/>
          <w:i/>
          <w:color w:val="000000" w:themeColor="text1"/>
          <w:sz w:val="22"/>
        </w:rPr>
        <w:lastRenderedPageBreak/>
        <w:t>VI. Invertir, previo acuerdo con la o el Tesorero Municipal y con apego a las</w:t>
      </w:r>
      <w:r>
        <w:rPr>
          <w:rFonts w:ascii="Palatino Linotype" w:hAnsi="Palatino Linotype"/>
          <w:i/>
          <w:color w:val="000000" w:themeColor="text1"/>
          <w:sz w:val="22"/>
        </w:rPr>
        <w:t xml:space="preserve"> </w:t>
      </w:r>
      <w:r w:rsidRPr="00471856">
        <w:rPr>
          <w:rFonts w:ascii="Palatino Linotype" w:hAnsi="Palatino Linotype"/>
          <w:i/>
          <w:color w:val="000000" w:themeColor="text1"/>
          <w:sz w:val="22"/>
        </w:rPr>
        <w:t>normas legales conducentes, los recursos financieros disponibles del</w:t>
      </w:r>
      <w:r>
        <w:rPr>
          <w:rFonts w:ascii="Palatino Linotype" w:hAnsi="Palatino Linotype"/>
          <w:i/>
          <w:color w:val="000000" w:themeColor="text1"/>
          <w:sz w:val="22"/>
        </w:rPr>
        <w:t xml:space="preserve"> </w:t>
      </w:r>
      <w:r w:rsidRPr="00471856">
        <w:rPr>
          <w:rFonts w:ascii="Palatino Linotype" w:hAnsi="Palatino Linotype"/>
          <w:i/>
          <w:color w:val="000000" w:themeColor="text1"/>
          <w:sz w:val="22"/>
        </w:rPr>
        <w:t>municipio;</w:t>
      </w:r>
    </w:p>
    <w:p w:rsidR="00471856" w:rsidRPr="00471856" w:rsidRDefault="00471856" w:rsidP="00471856">
      <w:pPr>
        <w:spacing w:line="276" w:lineRule="auto"/>
        <w:ind w:left="1134" w:right="851"/>
        <w:jc w:val="both"/>
        <w:rPr>
          <w:rFonts w:ascii="Palatino Linotype" w:hAnsi="Palatino Linotype"/>
          <w:i/>
          <w:color w:val="000000" w:themeColor="text1"/>
          <w:sz w:val="22"/>
        </w:rPr>
      </w:pPr>
      <w:r w:rsidRPr="00471856">
        <w:rPr>
          <w:rFonts w:ascii="Palatino Linotype" w:hAnsi="Palatino Linotype"/>
          <w:i/>
          <w:color w:val="000000" w:themeColor="text1"/>
          <w:sz w:val="22"/>
        </w:rPr>
        <w:t>VII. Registrar las obligaciones contingentes del municipio y prever los</w:t>
      </w:r>
      <w:r>
        <w:rPr>
          <w:rFonts w:ascii="Palatino Linotype" w:hAnsi="Palatino Linotype"/>
          <w:i/>
          <w:color w:val="000000" w:themeColor="text1"/>
          <w:sz w:val="22"/>
        </w:rPr>
        <w:t xml:space="preserve"> </w:t>
      </w:r>
      <w:r w:rsidRPr="00471856">
        <w:rPr>
          <w:rFonts w:ascii="Palatino Linotype" w:hAnsi="Palatino Linotype"/>
          <w:i/>
          <w:color w:val="000000" w:themeColor="text1"/>
          <w:sz w:val="22"/>
        </w:rPr>
        <w:t>recursos necesarios para su cumplimiento; y</w:t>
      </w:r>
    </w:p>
    <w:p w:rsidR="00057427" w:rsidRDefault="00471856" w:rsidP="00471856">
      <w:pPr>
        <w:spacing w:line="276" w:lineRule="auto"/>
        <w:ind w:left="1134" w:right="851"/>
        <w:jc w:val="both"/>
        <w:rPr>
          <w:rFonts w:ascii="Palatino Linotype" w:hAnsi="Palatino Linotype"/>
          <w:i/>
          <w:color w:val="000000" w:themeColor="text1"/>
          <w:sz w:val="22"/>
        </w:rPr>
      </w:pPr>
      <w:r w:rsidRPr="00471856">
        <w:rPr>
          <w:rFonts w:ascii="Palatino Linotype" w:hAnsi="Palatino Linotype"/>
          <w:i/>
          <w:color w:val="000000" w:themeColor="text1"/>
          <w:sz w:val="22"/>
        </w:rPr>
        <w:t>VIII. Las demás que señalen otras disposiciones legales de carácter federal,</w:t>
      </w:r>
      <w:r>
        <w:rPr>
          <w:rFonts w:ascii="Palatino Linotype" w:hAnsi="Palatino Linotype"/>
          <w:i/>
          <w:color w:val="000000" w:themeColor="text1"/>
          <w:sz w:val="22"/>
        </w:rPr>
        <w:t xml:space="preserve"> </w:t>
      </w:r>
      <w:r w:rsidRPr="00471856">
        <w:rPr>
          <w:rFonts w:ascii="Palatino Linotype" w:hAnsi="Palatino Linotype"/>
          <w:i/>
          <w:color w:val="000000" w:themeColor="text1"/>
          <w:sz w:val="22"/>
        </w:rPr>
        <w:t>estatal o municipal en el ámbito de su competencia, el H. Ayuntamiento,</w:t>
      </w:r>
      <w:r>
        <w:rPr>
          <w:rFonts w:ascii="Palatino Linotype" w:hAnsi="Palatino Linotype"/>
          <w:i/>
          <w:color w:val="000000" w:themeColor="text1"/>
          <w:sz w:val="22"/>
        </w:rPr>
        <w:t xml:space="preserve"> </w:t>
      </w:r>
      <w:r w:rsidRPr="00471856">
        <w:rPr>
          <w:rFonts w:ascii="Palatino Linotype" w:hAnsi="Palatino Linotype"/>
          <w:i/>
          <w:color w:val="000000" w:themeColor="text1"/>
          <w:sz w:val="22"/>
        </w:rPr>
        <w:t>la Presidencia Municipal y demás superiores, en su caso.</w:t>
      </w:r>
    </w:p>
    <w:p w:rsidR="00471856" w:rsidRPr="00471856" w:rsidRDefault="00471856" w:rsidP="00471856">
      <w:pPr>
        <w:spacing w:line="276" w:lineRule="auto"/>
        <w:ind w:left="1134" w:right="851"/>
        <w:jc w:val="both"/>
        <w:rPr>
          <w:rFonts w:ascii="Palatino Linotype" w:hAnsi="Palatino Linotype"/>
          <w:i/>
          <w:sz w:val="22"/>
        </w:rPr>
      </w:pPr>
    </w:p>
    <w:p w:rsidR="00761701" w:rsidRDefault="001437F3" w:rsidP="00471856">
      <w:pPr>
        <w:numPr>
          <w:ilvl w:val="0"/>
          <w:numId w:val="27"/>
        </w:numPr>
        <w:spacing w:line="360" w:lineRule="auto"/>
        <w:ind w:right="49"/>
        <w:jc w:val="both"/>
        <w:rPr>
          <w:rFonts w:ascii="Palatino Linotype" w:hAnsi="Palatino Linotype"/>
        </w:rPr>
      </w:pPr>
      <w:r>
        <w:rPr>
          <w:rFonts w:ascii="Palatino Linotype" w:hAnsi="Palatino Linotype"/>
        </w:rPr>
        <w:t>Así</w:t>
      </w:r>
      <w:r w:rsidR="00CE5DF3">
        <w:rPr>
          <w:rFonts w:ascii="Palatino Linotype" w:hAnsi="Palatino Linotype"/>
        </w:rPr>
        <w:t xml:space="preserve"> también por cuanto hace a la Dirección de Administración, el ordenamiento en cita refiere:</w:t>
      </w:r>
    </w:p>
    <w:p w:rsidR="00CE5DF3" w:rsidRPr="00CE5DF3" w:rsidRDefault="00CE5DF3" w:rsidP="00CE5DF3">
      <w:pPr>
        <w:tabs>
          <w:tab w:val="left" w:pos="7938"/>
        </w:tabs>
        <w:spacing w:line="276" w:lineRule="auto"/>
        <w:ind w:left="1134" w:right="851"/>
        <w:jc w:val="both"/>
        <w:rPr>
          <w:rFonts w:ascii="Palatino Linotype" w:hAnsi="Palatino Linotype"/>
          <w:i/>
          <w:sz w:val="22"/>
        </w:rPr>
      </w:pPr>
      <w:r w:rsidRPr="00CE5DF3">
        <w:rPr>
          <w:rFonts w:ascii="Palatino Linotype" w:hAnsi="Palatino Linotype"/>
          <w:i/>
          <w:sz w:val="22"/>
        </w:rPr>
        <w:t>Artículo 92. La Dirección de Administración es el área responsable de planear,</w:t>
      </w:r>
      <w:r>
        <w:rPr>
          <w:rFonts w:ascii="Palatino Linotype" w:hAnsi="Palatino Linotype"/>
          <w:i/>
          <w:sz w:val="22"/>
        </w:rPr>
        <w:t xml:space="preserve"> </w:t>
      </w:r>
      <w:r w:rsidRPr="00CE5DF3">
        <w:rPr>
          <w:rFonts w:ascii="Palatino Linotype" w:hAnsi="Palatino Linotype"/>
          <w:i/>
          <w:sz w:val="22"/>
        </w:rPr>
        <w:t>administrar, dirigir y manejar los recursos humanos, materiales y los servicios</w:t>
      </w:r>
      <w:r>
        <w:rPr>
          <w:rFonts w:ascii="Palatino Linotype" w:hAnsi="Palatino Linotype"/>
          <w:i/>
          <w:sz w:val="22"/>
        </w:rPr>
        <w:t xml:space="preserve"> </w:t>
      </w:r>
      <w:r w:rsidRPr="00CE5DF3">
        <w:rPr>
          <w:rFonts w:ascii="Palatino Linotype" w:hAnsi="Palatino Linotype"/>
          <w:i/>
          <w:sz w:val="22"/>
        </w:rPr>
        <w:t>de la Administración Pública Municipal conforme a la normatividad y demás disposiciones vigentes, teniendo las siguientes atribuciones:</w:t>
      </w:r>
    </w:p>
    <w:p w:rsidR="00CE5DF3" w:rsidRPr="00CE5DF3" w:rsidRDefault="00CE5DF3" w:rsidP="00CE5DF3">
      <w:pPr>
        <w:spacing w:line="276" w:lineRule="auto"/>
        <w:ind w:left="1276" w:right="851"/>
        <w:jc w:val="both"/>
        <w:rPr>
          <w:rFonts w:ascii="Palatino Linotype" w:hAnsi="Palatino Linotype"/>
          <w:i/>
          <w:sz w:val="22"/>
        </w:rPr>
      </w:pPr>
      <w:r w:rsidRPr="00CE5DF3">
        <w:rPr>
          <w:rFonts w:ascii="Palatino Linotype" w:hAnsi="Palatino Linotype"/>
          <w:i/>
          <w:sz w:val="22"/>
        </w:rPr>
        <w:t>(…)</w:t>
      </w:r>
    </w:p>
    <w:p w:rsidR="00CE5DF3" w:rsidRPr="00CC2A4A" w:rsidRDefault="00CE5DF3" w:rsidP="00CE5DF3">
      <w:pPr>
        <w:spacing w:line="276" w:lineRule="auto"/>
        <w:ind w:left="1276" w:right="851"/>
        <w:jc w:val="both"/>
        <w:rPr>
          <w:rFonts w:ascii="Palatino Linotype" w:hAnsi="Palatino Linotype"/>
          <w:b/>
          <w:i/>
          <w:sz w:val="22"/>
        </w:rPr>
      </w:pPr>
      <w:r w:rsidRPr="00CE5DF3">
        <w:rPr>
          <w:rFonts w:ascii="Palatino Linotype" w:hAnsi="Palatino Linotype"/>
          <w:i/>
          <w:sz w:val="22"/>
        </w:rPr>
        <w:t xml:space="preserve">XXIV. </w:t>
      </w:r>
      <w:r w:rsidRPr="00CC2A4A">
        <w:rPr>
          <w:rFonts w:ascii="Palatino Linotype" w:hAnsi="Palatino Linotype"/>
          <w:b/>
          <w:i/>
          <w:sz w:val="22"/>
        </w:rPr>
        <w:t>Suscribir contratos de adquisiciones de bienes muebles y contratación de servicios en términos de lo dispuesto en la normatividad aplicable y demás disposiciones a que haya lugar;</w:t>
      </w:r>
    </w:p>
    <w:p w:rsidR="00CE5DF3" w:rsidRPr="00CE5DF3" w:rsidRDefault="00CE5DF3" w:rsidP="00CE5DF3">
      <w:pPr>
        <w:spacing w:line="276" w:lineRule="auto"/>
        <w:ind w:left="1276" w:right="851"/>
        <w:jc w:val="both"/>
        <w:rPr>
          <w:rFonts w:ascii="Palatino Linotype" w:hAnsi="Palatino Linotype"/>
          <w:i/>
          <w:sz w:val="22"/>
        </w:rPr>
      </w:pPr>
      <w:r w:rsidRPr="00CE5DF3">
        <w:rPr>
          <w:rFonts w:ascii="Palatino Linotype" w:hAnsi="Palatino Linotype"/>
          <w:i/>
          <w:sz w:val="22"/>
        </w:rPr>
        <w:t>(…)</w:t>
      </w:r>
    </w:p>
    <w:p w:rsidR="00CE5DF3" w:rsidRDefault="00CE5DF3" w:rsidP="00CE5DF3">
      <w:pPr>
        <w:spacing w:line="360" w:lineRule="auto"/>
        <w:ind w:right="49"/>
        <w:jc w:val="both"/>
        <w:rPr>
          <w:rFonts w:ascii="Palatino Linotype" w:hAnsi="Palatino Linotype"/>
        </w:rPr>
      </w:pPr>
    </w:p>
    <w:p w:rsidR="00CE5DF3" w:rsidRDefault="00CE5DF3" w:rsidP="00CE5DF3">
      <w:pPr>
        <w:spacing w:line="360" w:lineRule="auto"/>
        <w:ind w:right="49"/>
        <w:jc w:val="both"/>
        <w:rPr>
          <w:rFonts w:ascii="Palatino Linotype" w:hAnsi="Palatino Linotype"/>
        </w:rPr>
      </w:pPr>
      <w:r>
        <w:rPr>
          <w:rFonts w:ascii="Palatino Linotype" w:hAnsi="Palatino Linotype"/>
        </w:rPr>
        <w:t>Para efectos de lo anterior la Dirección cuanta con una Unidad de Adquisiciones y contratos, que cuenta con las siguientes facultades y obligaciones:</w:t>
      </w:r>
      <w:r>
        <w:rPr>
          <w:rStyle w:val="Refdenotaalpie"/>
          <w:rFonts w:ascii="Palatino Linotype" w:hAnsi="Palatino Linotype"/>
        </w:rPr>
        <w:footnoteReference w:id="12"/>
      </w:r>
    </w:p>
    <w:p w:rsidR="00CE5DF3" w:rsidRDefault="00CE5DF3" w:rsidP="00CE5DF3">
      <w:pPr>
        <w:spacing w:line="360" w:lineRule="auto"/>
        <w:ind w:right="49"/>
        <w:jc w:val="both"/>
        <w:rPr>
          <w:rFonts w:ascii="Palatino Linotype" w:hAnsi="Palatino Linotype"/>
        </w:rPr>
      </w:pPr>
    </w:p>
    <w:p w:rsidR="00CE5DF3" w:rsidRPr="00CE5DF3" w:rsidRDefault="00CE5DF3" w:rsidP="00CE5DF3">
      <w:pPr>
        <w:spacing w:line="360" w:lineRule="auto"/>
        <w:ind w:left="1134" w:right="851"/>
        <w:jc w:val="both"/>
        <w:rPr>
          <w:rFonts w:ascii="Palatino Linotype" w:hAnsi="Palatino Linotype"/>
          <w:b/>
          <w:i/>
          <w:sz w:val="22"/>
          <w:szCs w:val="22"/>
        </w:rPr>
      </w:pPr>
      <w:r w:rsidRPr="00CE5DF3">
        <w:rPr>
          <w:rFonts w:ascii="Palatino Linotype" w:hAnsi="Palatino Linotype"/>
          <w:b/>
          <w:i/>
          <w:sz w:val="22"/>
          <w:szCs w:val="22"/>
        </w:rPr>
        <w:t xml:space="preserve">I.Planear, organizar, programar y ejecutar los procedimientos de adquisiciones y servicios en sus diferentes modalidades y etapas como elaboración de bases, convocatoria, invitación a los integrantes del Comité de Adquisiciones y Servicios, venta y entrega de bases, junta </w:t>
      </w:r>
      <w:r w:rsidRPr="00CE5DF3">
        <w:rPr>
          <w:rFonts w:ascii="Palatino Linotype" w:hAnsi="Palatino Linotype"/>
          <w:b/>
          <w:i/>
          <w:sz w:val="22"/>
          <w:szCs w:val="22"/>
        </w:rPr>
        <w:lastRenderedPageBreak/>
        <w:t>aclaratoria, apertura y evaluación de propuestas, dictamen y fallo de las licitaciones públicas, invitación a cuando menos tres personas o invitación restringida y adjudicación directa;</w:t>
      </w:r>
    </w:p>
    <w:p w:rsidR="00CE5DF3" w:rsidRPr="00CE5DF3" w:rsidRDefault="00CE5DF3" w:rsidP="00CE5DF3">
      <w:pPr>
        <w:spacing w:line="360" w:lineRule="auto"/>
        <w:ind w:left="1134" w:right="851"/>
        <w:jc w:val="both"/>
        <w:rPr>
          <w:rFonts w:ascii="Palatino Linotype" w:hAnsi="Palatino Linotype"/>
          <w:i/>
          <w:sz w:val="22"/>
          <w:szCs w:val="22"/>
        </w:rPr>
      </w:pPr>
      <w:r w:rsidRPr="00CE5DF3">
        <w:rPr>
          <w:rFonts w:ascii="Palatino Linotype" w:hAnsi="Palatino Linotype"/>
          <w:i/>
          <w:sz w:val="22"/>
          <w:szCs w:val="22"/>
        </w:rPr>
        <w:t>II. Organizar, documentar y transparentar los procedimientos de</w:t>
      </w:r>
      <w:r>
        <w:rPr>
          <w:rFonts w:ascii="Palatino Linotype" w:hAnsi="Palatino Linotype"/>
          <w:i/>
          <w:sz w:val="22"/>
          <w:szCs w:val="22"/>
        </w:rPr>
        <w:t xml:space="preserve"> </w:t>
      </w:r>
      <w:r w:rsidRPr="00CE5DF3">
        <w:rPr>
          <w:rFonts w:ascii="Palatino Linotype" w:hAnsi="Palatino Linotype"/>
          <w:i/>
          <w:sz w:val="22"/>
          <w:szCs w:val="22"/>
        </w:rPr>
        <w:t>adjudicación;</w:t>
      </w:r>
    </w:p>
    <w:p w:rsidR="00CE5DF3" w:rsidRDefault="00CE5DF3" w:rsidP="00CE5DF3">
      <w:pPr>
        <w:spacing w:line="360" w:lineRule="auto"/>
        <w:ind w:left="1134" w:right="851"/>
        <w:jc w:val="both"/>
        <w:rPr>
          <w:rFonts w:ascii="Palatino Linotype" w:hAnsi="Palatino Linotype"/>
          <w:i/>
          <w:sz w:val="22"/>
          <w:szCs w:val="22"/>
        </w:rPr>
      </w:pPr>
      <w:r w:rsidRPr="00CE5DF3">
        <w:rPr>
          <w:rFonts w:ascii="Palatino Linotype" w:hAnsi="Palatino Linotype"/>
          <w:i/>
          <w:sz w:val="22"/>
          <w:szCs w:val="22"/>
        </w:rPr>
        <w:t>III. Integrar, organizar y presentar ante el Comité de Adquisiciones y</w:t>
      </w:r>
      <w:r>
        <w:rPr>
          <w:rFonts w:ascii="Palatino Linotype" w:hAnsi="Palatino Linotype"/>
          <w:i/>
          <w:sz w:val="22"/>
          <w:szCs w:val="22"/>
        </w:rPr>
        <w:t xml:space="preserve"> </w:t>
      </w:r>
      <w:r w:rsidRPr="00CE5DF3">
        <w:rPr>
          <w:rFonts w:ascii="Palatino Linotype" w:hAnsi="Palatino Linotype"/>
          <w:i/>
          <w:sz w:val="22"/>
          <w:szCs w:val="22"/>
        </w:rPr>
        <w:t>Servicios, para su análisis, evaluación y dictaminación, los expedientes</w:t>
      </w:r>
      <w:r>
        <w:rPr>
          <w:rFonts w:ascii="Palatino Linotype" w:hAnsi="Palatino Linotype"/>
          <w:i/>
          <w:sz w:val="22"/>
          <w:szCs w:val="22"/>
        </w:rPr>
        <w:t xml:space="preserve"> </w:t>
      </w:r>
      <w:r w:rsidRPr="00CE5DF3">
        <w:rPr>
          <w:rFonts w:ascii="Palatino Linotype" w:hAnsi="Palatino Linotype"/>
          <w:i/>
          <w:sz w:val="22"/>
          <w:szCs w:val="22"/>
        </w:rPr>
        <w:t>de la adjudicación y demás asuntos competencia del citado órgano</w:t>
      </w:r>
      <w:r>
        <w:rPr>
          <w:rFonts w:ascii="Palatino Linotype" w:hAnsi="Palatino Linotype"/>
          <w:i/>
          <w:sz w:val="22"/>
          <w:szCs w:val="22"/>
        </w:rPr>
        <w:t xml:space="preserve"> </w:t>
      </w:r>
      <w:r w:rsidRPr="00CE5DF3">
        <w:rPr>
          <w:rFonts w:ascii="Palatino Linotype" w:hAnsi="Palatino Linotype"/>
          <w:i/>
          <w:sz w:val="22"/>
          <w:szCs w:val="22"/>
        </w:rPr>
        <w:t>colegiado;</w:t>
      </w:r>
      <w:r>
        <w:rPr>
          <w:rFonts w:ascii="Palatino Linotype" w:hAnsi="Palatino Linotype"/>
          <w:i/>
          <w:sz w:val="22"/>
          <w:szCs w:val="22"/>
        </w:rPr>
        <w:t xml:space="preserve"> </w:t>
      </w:r>
    </w:p>
    <w:p w:rsidR="00CE5DF3" w:rsidRPr="00CE5DF3" w:rsidRDefault="00CE5DF3" w:rsidP="00CE5DF3">
      <w:pPr>
        <w:spacing w:line="360" w:lineRule="auto"/>
        <w:ind w:left="1134" w:right="851"/>
        <w:jc w:val="both"/>
        <w:rPr>
          <w:rFonts w:ascii="Palatino Linotype" w:hAnsi="Palatino Linotype"/>
          <w:b/>
          <w:i/>
          <w:sz w:val="22"/>
          <w:szCs w:val="22"/>
        </w:rPr>
      </w:pPr>
      <w:r w:rsidRPr="00CE5DF3">
        <w:rPr>
          <w:rFonts w:ascii="Palatino Linotype" w:hAnsi="Palatino Linotype"/>
          <w:b/>
          <w:i/>
          <w:sz w:val="22"/>
          <w:szCs w:val="22"/>
        </w:rPr>
        <w:t>IV. Integrar los expedientes derivados de los diversos procedimientos de adjudicación;</w:t>
      </w:r>
    </w:p>
    <w:p w:rsidR="00CE5DF3" w:rsidRPr="00CE5DF3" w:rsidRDefault="00CE5DF3" w:rsidP="00CE5DF3">
      <w:pPr>
        <w:spacing w:line="360" w:lineRule="auto"/>
        <w:ind w:left="1134" w:right="851"/>
        <w:jc w:val="both"/>
        <w:rPr>
          <w:rFonts w:ascii="Palatino Linotype" w:hAnsi="Palatino Linotype"/>
          <w:i/>
          <w:sz w:val="22"/>
          <w:szCs w:val="22"/>
        </w:rPr>
      </w:pPr>
      <w:r w:rsidRPr="00CE5DF3">
        <w:rPr>
          <w:rFonts w:ascii="Palatino Linotype" w:hAnsi="Palatino Linotype"/>
          <w:i/>
          <w:sz w:val="22"/>
          <w:szCs w:val="22"/>
        </w:rPr>
        <w:t>V. Recibir, analizar y verificar que las requisiciones de adquisición de bienes</w:t>
      </w:r>
      <w:r>
        <w:rPr>
          <w:rFonts w:ascii="Palatino Linotype" w:hAnsi="Palatino Linotype"/>
          <w:i/>
          <w:sz w:val="22"/>
          <w:szCs w:val="22"/>
        </w:rPr>
        <w:t xml:space="preserve"> </w:t>
      </w:r>
      <w:r w:rsidRPr="00CE5DF3">
        <w:rPr>
          <w:rFonts w:ascii="Palatino Linotype" w:hAnsi="Palatino Linotype"/>
          <w:i/>
          <w:sz w:val="22"/>
          <w:szCs w:val="22"/>
        </w:rPr>
        <w:t>y contratación para la prestación de servicios hayan sido elaboradas con</w:t>
      </w:r>
      <w:r>
        <w:rPr>
          <w:rFonts w:ascii="Palatino Linotype" w:hAnsi="Palatino Linotype"/>
          <w:i/>
          <w:sz w:val="22"/>
          <w:szCs w:val="22"/>
        </w:rPr>
        <w:t xml:space="preserve"> </w:t>
      </w:r>
      <w:r w:rsidRPr="00CE5DF3">
        <w:rPr>
          <w:rFonts w:ascii="Palatino Linotype" w:hAnsi="Palatino Linotype"/>
          <w:i/>
          <w:sz w:val="22"/>
          <w:szCs w:val="22"/>
        </w:rPr>
        <w:t>los elementos y soportes técnico-administrativos suficientes para ser</w:t>
      </w:r>
      <w:r>
        <w:rPr>
          <w:rFonts w:ascii="Palatino Linotype" w:hAnsi="Palatino Linotype"/>
          <w:i/>
          <w:sz w:val="22"/>
          <w:szCs w:val="22"/>
        </w:rPr>
        <w:t xml:space="preserve"> </w:t>
      </w:r>
      <w:r w:rsidRPr="00CE5DF3">
        <w:rPr>
          <w:rFonts w:ascii="Palatino Linotype" w:hAnsi="Palatino Linotype"/>
          <w:i/>
          <w:sz w:val="22"/>
          <w:szCs w:val="22"/>
        </w:rPr>
        <w:t>atendidas de acuerdo con las necesidades de la Administración Pública</w:t>
      </w:r>
      <w:r>
        <w:rPr>
          <w:rFonts w:ascii="Palatino Linotype" w:hAnsi="Palatino Linotype"/>
          <w:i/>
          <w:sz w:val="22"/>
          <w:szCs w:val="22"/>
        </w:rPr>
        <w:t xml:space="preserve"> </w:t>
      </w:r>
      <w:r w:rsidRPr="00CE5DF3">
        <w:rPr>
          <w:rFonts w:ascii="Palatino Linotype" w:hAnsi="Palatino Linotype"/>
          <w:i/>
          <w:sz w:val="22"/>
          <w:szCs w:val="22"/>
        </w:rPr>
        <w:t>Municipal;</w:t>
      </w:r>
    </w:p>
    <w:p w:rsidR="00CE5DF3" w:rsidRPr="00CE5DF3" w:rsidRDefault="00CE5DF3" w:rsidP="00CE5DF3">
      <w:pPr>
        <w:spacing w:line="360" w:lineRule="auto"/>
        <w:ind w:left="1134" w:right="851"/>
        <w:jc w:val="both"/>
        <w:rPr>
          <w:rFonts w:ascii="Palatino Linotype" w:hAnsi="Palatino Linotype"/>
          <w:i/>
          <w:sz w:val="22"/>
          <w:szCs w:val="22"/>
        </w:rPr>
      </w:pPr>
      <w:r w:rsidRPr="00CE5DF3">
        <w:rPr>
          <w:rFonts w:ascii="Palatino Linotype" w:hAnsi="Palatino Linotype"/>
          <w:i/>
          <w:sz w:val="22"/>
          <w:szCs w:val="22"/>
        </w:rPr>
        <w:t>VI. Realizar las solicitudes de cotizaciones a efecto de elaborar el</w:t>
      </w:r>
      <w:r>
        <w:rPr>
          <w:rFonts w:ascii="Palatino Linotype" w:hAnsi="Palatino Linotype"/>
          <w:i/>
          <w:sz w:val="22"/>
          <w:szCs w:val="22"/>
        </w:rPr>
        <w:t xml:space="preserve"> </w:t>
      </w:r>
      <w:r w:rsidRPr="00CE5DF3">
        <w:rPr>
          <w:rFonts w:ascii="Palatino Linotype" w:hAnsi="Palatino Linotype"/>
          <w:i/>
          <w:sz w:val="22"/>
          <w:szCs w:val="22"/>
        </w:rPr>
        <w:t>correspondiente cuadro comparativo y/o estudio de mercado con</w:t>
      </w:r>
      <w:r>
        <w:rPr>
          <w:rFonts w:ascii="Palatino Linotype" w:hAnsi="Palatino Linotype"/>
          <w:i/>
          <w:sz w:val="22"/>
          <w:szCs w:val="22"/>
        </w:rPr>
        <w:t xml:space="preserve"> </w:t>
      </w:r>
      <w:r w:rsidRPr="00CE5DF3">
        <w:rPr>
          <w:rFonts w:ascii="Palatino Linotype" w:hAnsi="Palatino Linotype"/>
          <w:i/>
          <w:sz w:val="22"/>
          <w:szCs w:val="22"/>
        </w:rPr>
        <w:t>imparcialidad y transparencia, y apego a las disposiciones jurídicas,</w:t>
      </w:r>
      <w:r>
        <w:rPr>
          <w:rFonts w:ascii="Palatino Linotype" w:hAnsi="Palatino Linotype"/>
          <w:i/>
          <w:sz w:val="22"/>
          <w:szCs w:val="22"/>
        </w:rPr>
        <w:t xml:space="preserve"> </w:t>
      </w:r>
      <w:r w:rsidRPr="00CE5DF3">
        <w:rPr>
          <w:rFonts w:ascii="Palatino Linotype" w:hAnsi="Palatino Linotype"/>
          <w:i/>
          <w:sz w:val="22"/>
          <w:szCs w:val="22"/>
        </w:rPr>
        <w:t>presupuestales y técnicas a que haya lugar;</w:t>
      </w:r>
    </w:p>
    <w:p w:rsidR="00CE5DF3" w:rsidRPr="00CE5DF3" w:rsidRDefault="00CE5DF3" w:rsidP="00CE5DF3">
      <w:pPr>
        <w:spacing w:line="360" w:lineRule="auto"/>
        <w:ind w:left="1134" w:right="851"/>
        <w:jc w:val="both"/>
        <w:rPr>
          <w:rFonts w:ascii="Palatino Linotype" w:hAnsi="Palatino Linotype"/>
          <w:i/>
          <w:sz w:val="22"/>
          <w:szCs w:val="22"/>
        </w:rPr>
      </w:pPr>
      <w:r w:rsidRPr="00CE5DF3">
        <w:rPr>
          <w:rFonts w:ascii="Palatino Linotype" w:hAnsi="Palatino Linotype"/>
          <w:i/>
          <w:sz w:val="22"/>
          <w:szCs w:val="22"/>
        </w:rPr>
        <w:t>VII. Revisar las cotizaciones con la finalidad de que correspondan con las</w:t>
      </w:r>
      <w:r>
        <w:rPr>
          <w:rFonts w:ascii="Palatino Linotype" w:hAnsi="Palatino Linotype"/>
          <w:i/>
          <w:sz w:val="22"/>
          <w:szCs w:val="22"/>
        </w:rPr>
        <w:t xml:space="preserve"> </w:t>
      </w:r>
      <w:r w:rsidRPr="00CE5DF3">
        <w:rPr>
          <w:rFonts w:ascii="Palatino Linotype" w:hAnsi="Palatino Linotype"/>
          <w:i/>
          <w:sz w:val="22"/>
          <w:szCs w:val="22"/>
        </w:rPr>
        <w:t>características y especificaciones solicitadas por la Dirección de</w:t>
      </w:r>
      <w:r>
        <w:rPr>
          <w:rFonts w:ascii="Palatino Linotype" w:hAnsi="Palatino Linotype"/>
          <w:i/>
          <w:sz w:val="22"/>
          <w:szCs w:val="22"/>
        </w:rPr>
        <w:t xml:space="preserve"> </w:t>
      </w:r>
      <w:r w:rsidRPr="00CE5DF3">
        <w:rPr>
          <w:rFonts w:ascii="Palatino Linotype" w:hAnsi="Palatino Linotype"/>
          <w:i/>
          <w:sz w:val="22"/>
          <w:szCs w:val="22"/>
        </w:rPr>
        <w:t>Administración;</w:t>
      </w:r>
    </w:p>
    <w:p w:rsidR="00CE5DF3" w:rsidRPr="00CE5DF3" w:rsidRDefault="00CE5DF3" w:rsidP="00CE5DF3">
      <w:pPr>
        <w:spacing w:line="360" w:lineRule="auto"/>
        <w:ind w:left="1134" w:right="851"/>
        <w:jc w:val="both"/>
        <w:rPr>
          <w:rFonts w:ascii="Palatino Linotype" w:hAnsi="Palatino Linotype"/>
          <w:i/>
          <w:sz w:val="22"/>
          <w:szCs w:val="22"/>
        </w:rPr>
      </w:pPr>
      <w:r w:rsidRPr="00CE5DF3">
        <w:rPr>
          <w:rFonts w:ascii="Palatino Linotype" w:hAnsi="Palatino Linotype"/>
          <w:i/>
          <w:sz w:val="22"/>
          <w:szCs w:val="22"/>
        </w:rPr>
        <w:t>VIII. Verificar que los bienes y servicios cotizados cumplan con las</w:t>
      </w:r>
      <w:r>
        <w:rPr>
          <w:rFonts w:ascii="Palatino Linotype" w:hAnsi="Palatino Linotype"/>
          <w:i/>
          <w:sz w:val="22"/>
          <w:szCs w:val="22"/>
        </w:rPr>
        <w:t xml:space="preserve"> </w:t>
      </w:r>
      <w:r w:rsidRPr="00CE5DF3">
        <w:rPr>
          <w:rFonts w:ascii="Palatino Linotype" w:hAnsi="Palatino Linotype"/>
          <w:i/>
          <w:sz w:val="22"/>
          <w:szCs w:val="22"/>
        </w:rPr>
        <w:t>especificaciones y características contenidas en las requisiciones;</w:t>
      </w:r>
    </w:p>
    <w:p w:rsidR="00CE5DF3" w:rsidRPr="00CE5DF3" w:rsidRDefault="00CE5DF3" w:rsidP="00CE5DF3">
      <w:pPr>
        <w:spacing w:line="360" w:lineRule="auto"/>
        <w:ind w:left="1134" w:right="851"/>
        <w:jc w:val="both"/>
        <w:rPr>
          <w:rFonts w:ascii="Palatino Linotype" w:hAnsi="Palatino Linotype"/>
          <w:i/>
          <w:sz w:val="22"/>
          <w:szCs w:val="22"/>
        </w:rPr>
      </w:pPr>
      <w:r w:rsidRPr="00CE5DF3">
        <w:rPr>
          <w:rFonts w:ascii="Palatino Linotype" w:hAnsi="Palatino Linotype"/>
          <w:i/>
          <w:sz w:val="22"/>
          <w:szCs w:val="22"/>
        </w:rPr>
        <w:t>IX. Contar con la documentación suficiente que sustente el correspondiente</w:t>
      </w:r>
      <w:r>
        <w:rPr>
          <w:rFonts w:ascii="Palatino Linotype" w:hAnsi="Palatino Linotype"/>
          <w:i/>
          <w:sz w:val="22"/>
          <w:szCs w:val="22"/>
        </w:rPr>
        <w:t xml:space="preserve"> </w:t>
      </w:r>
      <w:r w:rsidRPr="00CE5DF3">
        <w:rPr>
          <w:rFonts w:ascii="Palatino Linotype" w:hAnsi="Palatino Linotype"/>
          <w:i/>
          <w:sz w:val="22"/>
          <w:szCs w:val="22"/>
        </w:rPr>
        <w:t>estudio de mercado;</w:t>
      </w:r>
    </w:p>
    <w:p w:rsidR="00CE5DF3" w:rsidRPr="00CE5DF3" w:rsidRDefault="00CE5DF3" w:rsidP="00CE5DF3">
      <w:pPr>
        <w:spacing w:line="360" w:lineRule="auto"/>
        <w:ind w:left="1134" w:right="851"/>
        <w:jc w:val="both"/>
        <w:rPr>
          <w:rFonts w:ascii="Palatino Linotype" w:hAnsi="Palatino Linotype"/>
          <w:i/>
          <w:sz w:val="22"/>
          <w:szCs w:val="22"/>
        </w:rPr>
      </w:pPr>
      <w:r w:rsidRPr="00CE5DF3">
        <w:rPr>
          <w:rFonts w:ascii="Palatino Linotype" w:hAnsi="Palatino Linotype"/>
          <w:i/>
          <w:sz w:val="22"/>
          <w:szCs w:val="22"/>
        </w:rPr>
        <w:lastRenderedPageBreak/>
        <w:t>X. Integrar, actualizar, resguardar y controlar el catálogo de proveedores y</w:t>
      </w:r>
      <w:r>
        <w:rPr>
          <w:rFonts w:ascii="Palatino Linotype" w:hAnsi="Palatino Linotype"/>
          <w:i/>
          <w:sz w:val="22"/>
          <w:szCs w:val="22"/>
        </w:rPr>
        <w:t xml:space="preserve"> </w:t>
      </w:r>
      <w:r w:rsidRPr="00CE5DF3">
        <w:rPr>
          <w:rFonts w:ascii="Palatino Linotype" w:hAnsi="Palatino Linotype"/>
          <w:i/>
          <w:sz w:val="22"/>
          <w:szCs w:val="22"/>
        </w:rPr>
        <w:t>prestadores de servicios de la Administración Pública Municipal;</w:t>
      </w:r>
    </w:p>
    <w:p w:rsidR="00CE5DF3" w:rsidRPr="00CE5DF3" w:rsidRDefault="00CE5DF3" w:rsidP="00CE5DF3">
      <w:pPr>
        <w:spacing w:line="360" w:lineRule="auto"/>
        <w:ind w:left="1134" w:right="851"/>
        <w:jc w:val="both"/>
        <w:rPr>
          <w:rFonts w:ascii="Palatino Linotype" w:hAnsi="Palatino Linotype"/>
          <w:i/>
          <w:sz w:val="22"/>
          <w:szCs w:val="22"/>
        </w:rPr>
      </w:pPr>
      <w:r w:rsidRPr="00CE5DF3">
        <w:rPr>
          <w:rFonts w:ascii="Palatino Linotype" w:hAnsi="Palatino Linotype"/>
          <w:i/>
          <w:sz w:val="22"/>
          <w:szCs w:val="22"/>
        </w:rPr>
        <w:t>XI. Proporcionar la documentación e información a su cargo, a las áreas del</w:t>
      </w:r>
      <w:r>
        <w:rPr>
          <w:rFonts w:ascii="Palatino Linotype" w:hAnsi="Palatino Linotype"/>
          <w:i/>
          <w:sz w:val="22"/>
          <w:szCs w:val="22"/>
        </w:rPr>
        <w:t xml:space="preserve"> </w:t>
      </w:r>
      <w:r w:rsidRPr="00CE5DF3">
        <w:rPr>
          <w:rFonts w:ascii="Palatino Linotype" w:hAnsi="Palatino Linotype"/>
          <w:i/>
          <w:sz w:val="22"/>
          <w:szCs w:val="22"/>
        </w:rPr>
        <w:t>Departamento de Recursos Materiales, para el cumplimiento de sus</w:t>
      </w:r>
      <w:r>
        <w:rPr>
          <w:rFonts w:ascii="Palatino Linotype" w:hAnsi="Palatino Linotype"/>
          <w:i/>
          <w:sz w:val="22"/>
          <w:szCs w:val="22"/>
        </w:rPr>
        <w:t xml:space="preserve"> </w:t>
      </w:r>
      <w:r w:rsidRPr="00CE5DF3">
        <w:rPr>
          <w:rFonts w:ascii="Palatino Linotype" w:hAnsi="Palatino Linotype"/>
          <w:i/>
          <w:sz w:val="22"/>
          <w:szCs w:val="22"/>
        </w:rPr>
        <w:t>funciones que les correspondan;</w:t>
      </w:r>
    </w:p>
    <w:p w:rsidR="00CE5DF3" w:rsidRPr="00CE5DF3" w:rsidRDefault="00CE5DF3" w:rsidP="00CE5DF3">
      <w:pPr>
        <w:spacing w:line="360" w:lineRule="auto"/>
        <w:ind w:left="1134" w:right="851"/>
        <w:jc w:val="both"/>
        <w:rPr>
          <w:rFonts w:ascii="Palatino Linotype" w:hAnsi="Palatino Linotype"/>
          <w:b/>
          <w:i/>
          <w:sz w:val="22"/>
          <w:szCs w:val="22"/>
        </w:rPr>
      </w:pPr>
      <w:r w:rsidRPr="00CE5DF3">
        <w:rPr>
          <w:rFonts w:ascii="Palatino Linotype" w:hAnsi="Palatino Linotype"/>
          <w:b/>
          <w:i/>
          <w:sz w:val="22"/>
          <w:szCs w:val="22"/>
        </w:rPr>
        <w:t>XII. Integrar en el expediente a que haya lugar, el contrato debidamente firmado por las partes que en el intervienen;</w:t>
      </w:r>
    </w:p>
    <w:p w:rsidR="00CE5DF3" w:rsidRPr="00CE5DF3" w:rsidRDefault="00CE5DF3" w:rsidP="00CE5DF3">
      <w:pPr>
        <w:spacing w:line="360" w:lineRule="auto"/>
        <w:ind w:left="1134" w:right="851"/>
        <w:jc w:val="both"/>
        <w:rPr>
          <w:rFonts w:ascii="Palatino Linotype" w:hAnsi="Palatino Linotype"/>
          <w:i/>
          <w:sz w:val="22"/>
          <w:szCs w:val="22"/>
        </w:rPr>
      </w:pPr>
      <w:r w:rsidRPr="00CE5DF3">
        <w:rPr>
          <w:rFonts w:ascii="Palatino Linotype" w:hAnsi="Palatino Linotype"/>
          <w:i/>
          <w:sz w:val="22"/>
          <w:szCs w:val="22"/>
        </w:rPr>
        <w:t>XIII. Contar con la validación de Consejería Jurídica y Consultiva en los</w:t>
      </w:r>
      <w:r>
        <w:rPr>
          <w:rFonts w:ascii="Palatino Linotype" w:hAnsi="Palatino Linotype"/>
          <w:i/>
          <w:sz w:val="22"/>
          <w:szCs w:val="22"/>
        </w:rPr>
        <w:t xml:space="preserve"> </w:t>
      </w:r>
      <w:r w:rsidRPr="00CE5DF3">
        <w:rPr>
          <w:rFonts w:ascii="Palatino Linotype" w:hAnsi="Palatino Linotype"/>
          <w:i/>
          <w:sz w:val="22"/>
          <w:szCs w:val="22"/>
        </w:rPr>
        <w:t>contratos derivados de los procedimientos de adjudicación;</w:t>
      </w:r>
    </w:p>
    <w:p w:rsidR="00CE5DF3" w:rsidRPr="00CE5DF3" w:rsidRDefault="00CE5DF3" w:rsidP="00CE5DF3">
      <w:pPr>
        <w:spacing w:line="360" w:lineRule="auto"/>
        <w:ind w:left="1134" w:right="851"/>
        <w:jc w:val="both"/>
        <w:rPr>
          <w:rFonts w:ascii="Palatino Linotype" w:hAnsi="Palatino Linotype"/>
          <w:b/>
          <w:i/>
          <w:sz w:val="22"/>
          <w:szCs w:val="22"/>
        </w:rPr>
      </w:pPr>
      <w:r w:rsidRPr="00CE5DF3">
        <w:rPr>
          <w:rFonts w:ascii="Palatino Linotype" w:hAnsi="Palatino Linotype"/>
          <w:b/>
          <w:i/>
          <w:sz w:val="22"/>
          <w:szCs w:val="22"/>
        </w:rPr>
        <w:t>XIV. Implementar los mecanismos necesarios para formalizar y validar los contratos, recabar rúbricas y firmas de las y los proveedores, las y los prestadores de servicios, así como de las y los titulares de las Dependencias solicitantes, la o el titular de la Secretaría del Ayuntamiento y la Presidenta Municipal, según correspondan;</w:t>
      </w:r>
    </w:p>
    <w:p w:rsidR="00CE5DF3" w:rsidRPr="00CE5DF3" w:rsidRDefault="00CE5DF3" w:rsidP="00CE5DF3">
      <w:pPr>
        <w:spacing w:line="360" w:lineRule="auto"/>
        <w:ind w:left="1134" w:right="851"/>
        <w:jc w:val="both"/>
        <w:rPr>
          <w:rFonts w:ascii="Palatino Linotype" w:hAnsi="Palatino Linotype"/>
          <w:i/>
          <w:sz w:val="22"/>
          <w:szCs w:val="22"/>
        </w:rPr>
      </w:pPr>
      <w:r w:rsidRPr="00CE5DF3">
        <w:rPr>
          <w:rFonts w:ascii="Palatino Linotype" w:hAnsi="Palatino Linotype"/>
          <w:i/>
          <w:sz w:val="22"/>
          <w:szCs w:val="22"/>
        </w:rPr>
        <w:t>XV. Solicitar a las o los proveedores y a las o los prestadores de servicio las</w:t>
      </w:r>
      <w:r>
        <w:rPr>
          <w:rFonts w:ascii="Palatino Linotype" w:hAnsi="Palatino Linotype"/>
          <w:i/>
          <w:sz w:val="22"/>
          <w:szCs w:val="22"/>
        </w:rPr>
        <w:t xml:space="preserve"> </w:t>
      </w:r>
      <w:r w:rsidRPr="00CE5DF3">
        <w:rPr>
          <w:rFonts w:ascii="Palatino Linotype" w:hAnsi="Palatino Linotype"/>
          <w:i/>
          <w:sz w:val="22"/>
          <w:szCs w:val="22"/>
        </w:rPr>
        <w:t>garantías correspondientes en los tiempos estipulados en la</w:t>
      </w:r>
      <w:r>
        <w:rPr>
          <w:rFonts w:ascii="Palatino Linotype" w:hAnsi="Palatino Linotype"/>
          <w:i/>
          <w:sz w:val="22"/>
          <w:szCs w:val="22"/>
        </w:rPr>
        <w:t xml:space="preserve"> </w:t>
      </w:r>
      <w:r w:rsidRPr="00CE5DF3">
        <w:rPr>
          <w:rFonts w:ascii="Palatino Linotype" w:hAnsi="Palatino Linotype"/>
          <w:i/>
          <w:sz w:val="22"/>
          <w:szCs w:val="22"/>
        </w:rPr>
        <w:t>normatividad vigente;</w:t>
      </w:r>
    </w:p>
    <w:p w:rsidR="00CE5DF3" w:rsidRPr="00CE5DF3" w:rsidRDefault="00CE5DF3" w:rsidP="00CE5DF3">
      <w:pPr>
        <w:spacing w:line="360" w:lineRule="auto"/>
        <w:ind w:left="1134" w:right="851"/>
        <w:jc w:val="both"/>
        <w:rPr>
          <w:rFonts w:ascii="Palatino Linotype" w:hAnsi="Palatino Linotype"/>
          <w:i/>
          <w:sz w:val="22"/>
          <w:szCs w:val="22"/>
        </w:rPr>
      </w:pPr>
      <w:r w:rsidRPr="00CE5DF3">
        <w:rPr>
          <w:rFonts w:ascii="Palatino Linotype" w:hAnsi="Palatino Linotype"/>
          <w:i/>
          <w:sz w:val="22"/>
          <w:szCs w:val="22"/>
        </w:rPr>
        <w:t>XVI. Proporcionar a la Unidad de Almacén un tanto en fotocopia completa y</w:t>
      </w:r>
      <w:r>
        <w:rPr>
          <w:rFonts w:ascii="Palatino Linotype" w:hAnsi="Palatino Linotype"/>
          <w:i/>
          <w:sz w:val="22"/>
          <w:szCs w:val="22"/>
        </w:rPr>
        <w:t xml:space="preserve"> </w:t>
      </w:r>
      <w:r w:rsidRPr="00CE5DF3">
        <w:rPr>
          <w:rFonts w:ascii="Palatino Linotype" w:hAnsi="Palatino Linotype"/>
          <w:i/>
          <w:sz w:val="22"/>
          <w:szCs w:val="22"/>
        </w:rPr>
        <w:t>legible de los contratos de adquisiciones, a efecto de que cuente con la</w:t>
      </w:r>
      <w:r>
        <w:rPr>
          <w:rFonts w:ascii="Palatino Linotype" w:hAnsi="Palatino Linotype"/>
          <w:i/>
          <w:sz w:val="22"/>
          <w:szCs w:val="22"/>
        </w:rPr>
        <w:t xml:space="preserve"> </w:t>
      </w:r>
      <w:r w:rsidRPr="00CE5DF3">
        <w:rPr>
          <w:rFonts w:ascii="Palatino Linotype" w:hAnsi="Palatino Linotype"/>
          <w:i/>
          <w:sz w:val="22"/>
          <w:szCs w:val="22"/>
        </w:rPr>
        <w:t>información suficiente para la recepción de los bienes; y</w:t>
      </w:r>
    </w:p>
    <w:p w:rsidR="00CE5DF3" w:rsidRPr="00CE5DF3" w:rsidRDefault="00CE5DF3" w:rsidP="00CE5DF3">
      <w:pPr>
        <w:spacing w:line="360" w:lineRule="auto"/>
        <w:ind w:left="1134" w:right="851"/>
        <w:jc w:val="both"/>
        <w:rPr>
          <w:rFonts w:ascii="Palatino Linotype" w:hAnsi="Palatino Linotype"/>
          <w:i/>
          <w:sz w:val="22"/>
          <w:szCs w:val="22"/>
        </w:rPr>
      </w:pPr>
      <w:r w:rsidRPr="00CE5DF3">
        <w:rPr>
          <w:rFonts w:ascii="Palatino Linotype" w:hAnsi="Palatino Linotype"/>
          <w:i/>
          <w:sz w:val="22"/>
          <w:szCs w:val="22"/>
        </w:rPr>
        <w:t>XVII. Las demás que señalen otras disposiciones legales de carácter federal,</w:t>
      </w:r>
      <w:r>
        <w:rPr>
          <w:rFonts w:ascii="Palatino Linotype" w:hAnsi="Palatino Linotype"/>
          <w:i/>
          <w:sz w:val="22"/>
          <w:szCs w:val="22"/>
        </w:rPr>
        <w:t xml:space="preserve"> E</w:t>
      </w:r>
      <w:r w:rsidRPr="00CE5DF3">
        <w:rPr>
          <w:rFonts w:ascii="Palatino Linotype" w:hAnsi="Palatino Linotype"/>
          <w:i/>
          <w:sz w:val="22"/>
          <w:szCs w:val="22"/>
        </w:rPr>
        <w:t>statal o municipal en el ámbito de su competencia, la o el titular de la</w:t>
      </w:r>
      <w:r>
        <w:rPr>
          <w:rFonts w:ascii="Palatino Linotype" w:hAnsi="Palatino Linotype"/>
          <w:i/>
          <w:sz w:val="22"/>
          <w:szCs w:val="22"/>
        </w:rPr>
        <w:t xml:space="preserve"> </w:t>
      </w:r>
      <w:r w:rsidRPr="00CE5DF3">
        <w:rPr>
          <w:rFonts w:ascii="Palatino Linotype" w:hAnsi="Palatino Linotype"/>
          <w:i/>
          <w:sz w:val="22"/>
          <w:szCs w:val="22"/>
        </w:rPr>
        <w:t>Tesorería Municipal, la o el titular de la Dirección de Administración, y/o</w:t>
      </w:r>
      <w:r>
        <w:rPr>
          <w:rFonts w:ascii="Palatino Linotype" w:hAnsi="Palatino Linotype"/>
          <w:i/>
          <w:sz w:val="22"/>
          <w:szCs w:val="22"/>
        </w:rPr>
        <w:t xml:space="preserve"> </w:t>
      </w:r>
      <w:r w:rsidRPr="00CE5DF3">
        <w:rPr>
          <w:rFonts w:ascii="Palatino Linotype" w:hAnsi="Palatino Linotype"/>
          <w:i/>
          <w:sz w:val="22"/>
          <w:szCs w:val="22"/>
        </w:rPr>
        <w:t>su superior jerárquico.</w:t>
      </w:r>
    </w:p>
    <w:p w:rsidR="00471856" w:rsidRPr="00A83E2B" w:rsidRDefault="00471856" w:rsidP="00A83E2B">
      <w:pPr>
        <w:pStyle w:val="Prrafodelista"/>
        <w:numPr>
          <w:ilvl w:val="0"/>
          <w:numId w:val="27"/>
        </w:numPr>
        <w:spacing w:line="360" w:lineRule="auto"/>
        <w:ind w:right="49"/>
        <w:jc w:val="both"/>
        <w:rPr>
          <w:rFonts w:ascii="Palatino Linotype" w:hAnsi="Palatino Linotype"/>
        </w:rPr>
      </w:pPr>
      <w:r w:rsidRPr="00A83E2B">
        <w:rPr>
          <w:rFonts w:ascii="Palatino Linotype" w:hAnsi="Palatino Linotype"/>
        </w:rPr>
        <w:lastRenderedPageBreak/>
        <w:t>Por lo que se advierte que en el Sujeto Obligado existen unidades administrativas en las que enunciativamente pudieran obrar las documentales que colmen lo requerido por el particular.</w:t>
      </w:r>
    </w:p>
    <w:p w:rsidR="00CE5DF3" w:rsidRDefault="00CE5DF3" w:rsidP="00CE5DF3">
      <w:pPr>
        <w:spacing w:line="360" w:lineRule="auto"/>
        <w:ind w:right="49"/>
        <w:jc w:val="both"/>
        <w:rPr>
          <w:rFonts w:ascii="Palatino Linotype" w:hAnsi="Palatino Linotype"/>
        </w:rPr>
      </w:pPr>
    </w:p>
    <w:p w:rsidR="00327D5F" w:rsidRPr="00327D5F" w:rsidRDefault="00327D5F" w:rsidP="00327D5F">
      <w:pPr>
        <w:numPr>
          <w:ilvl w:val="0"/>
          <w:numId w:val="27"/>
        </w:numPr>
        <w:spacing w:line="360" w:lineRule="auto"/>
        <w:ind w:right="49"/>
        <w:jc w:val="both"/>
        <w:rPr>
          <w:rFonts w:ascii="Palatino Linotype" w:hAnsi="Palatino Linotype"/>
        </w:rPr>
      </w:pPr>
      <w:r w:rsidRPr="00327D5F">
        <w:rPr>
          <w:rFonts w:ascii="Palatino Linotype" w:hAnsi="Palatino Linotype"/>
        </w:rPr>
        <w:t>Es así que, EL SUJETO OBLIGADO debe contar con la información pública solicitada, en ejercicio de sus funciones de derecho público, motivo por el cual se actualiza el supuesto jurídico, previsto en el artículo 12 de la Ley de Transparencia y Acceso a la Información Pública del Estado de México y Municipios.</w:t>
      </w:r>
    </w:p>
    <w:p w:rsidR="00327D5F" w:rsidRPr="00327D5F" w:rsidRDefault="00327D5F" w:rsidP="00952455">
      <w:pPr>
        <w:spacing w:line="360" w:lineRule="auto"/>
        <w:ind w:right="49"/>
        <w:jc w:val="both"/>
        <w:rPr>
          <w:rFonts w:ascii="Palatino Linotype" w:hAnsi="Palatino Linotype"/>
        </w:rPr>
      </w:pP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“Artículo 12. Quienes generen, recopilen, administren, manejen, procesen, archiven o conserven información pública serán responsables de la misma en los términos de las disposiciones jurídicas aplicables.</w:t>
      </w:r>
    </w:p>
    <w:p w:rsidR="00327D5F" w:rsidRPr="00327D5F" w:rsidRDefault="00327D5F" w:rsidP="00327D5F">
      <w:pPr>
        <w:spacing w:line="360" w:lineRule="auto"/>
        <w:ind w:right="49"/>
        <w:jc w:val="both"/>
        <w:rPr>
          <w:rFonts w:ascii="Palatino Linotype" w:hAnsi="Palatino Linotype"/>
        </w:rPr>
      </w:pPr>
    </w:p>
    <w:p w:rsidR="00327D5F" w:rsidRPr="00327D5F" w:rsidRDefault="00327D5F" w:rsidP="00327D5F">
      <w:pPr>
        <w:numPr>
          <w:ilvl w:val="0"/>
          <w:numId w:val="27"/>
        </w:numPr>
        <w:spacing w:line="360" w:lineRule="auto"/>
        <w:ind w:right="49"/>
        <w:jc w:val="both"/>
        <w:rPr>
          <w:rFonts w:ascii="Palatino Linotype" w:hAnsi="Palatino Linotype"/>
        </w:rPr>
      </w:pPr>
      <w:r w:rsidRPr="00327D5F">
        <w:rPr>
          <w:rFonts w:ascii="Palatino Linotype" w:hAnsi="Palatino Linotyp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27D5F" w:rsidRPr="00327D5F" w:rsidRDefault="00327D5F" w:rsidP="00327D5F">
      <w:pPr>
        <w:spacing w:line="360" w:lineRule="auto"/>
        <w:ind w:right="49"/>
        <w:jc w:val="both"/>
        <w:rPr>
          <w:rFonts w:ascii="Palatino Linotype" w:hAnsi="Palatino Linotype"/>
        </w:rPr>
      </w:pPr>
    </w:p>
    <w:p w:rsidR="00327D5F" w:rsidRPr="00327D5F" w:rsidRDefault="00327D5F" w:rsidP="00327D5F">
      <w:pPr>
        <w:numPr>
          <w:ilvl w:val="0"/>
          <w:numId w:val="27"/>
        </w:numPr>
        <w:spacing w:line="360" w:lineRule="auto"/>
        <w:ind w:right="49"/>
        <w:jc w:val="both"/>
        <w:rPr>
          <w:rFonts w:ascii="Palatino Linotype" w:hAnsi="Palatino Linotype"/>
        </w:rPr>
      </w:pPr>
      <w:r w:rsidRPr="00327D5F">
        <w:rPr>
          <w:rFonts w:ascii="Palatino Linotype" w:hAnsi="Palatino Linotype"/>
        </w:rPr>
        <w:t>No obstante, como ya fue señalado en párrafos anteriores, el Sujeto Obligado tiene el deber de documentar todos los actos que deriven del ejercicio de sus funciones y al mismo tiempo hacer pública la información que se les requiera y que obre en sus archivos.</w:t>
      </w:r>
    </w:p>
    <w:p w:rsidR="00327D5F" w:rsidRPr="00327D5F" w:rsidRDefault="00327D5F" w:rsidP="00327D5F">
      <w:pPr>
        <w:spacing w:line="360" w:lineRule="auto"/>
        <w:ind w:right="49"/>
        <w:jc w:val="both"/>
        <w:rPr>
          <w:rFonts w:ascii="Palatino Linotype" w:hAnsi="Palatino Linotype"/>
        </w:rPr>
      </w:pPr>
    </w:p>
    <w:p w:rsidR="00327D5F" w:rsidRPr="00327D5F" w:rsidRDefault="00327D5F" w:rsidP="00327D5F">
      <w:pPr>
        <w:numPr>
          <w:ilvl w:val="0"/>
          <w:numId w:val="27"/>
        </w:numPr>
        <w:spacing w:line="360" w:lineRule="auto"/>
        <w:ind w:right="49"/>
        <w:jc w:val="both"/>
        <w:rPr>
          <w:rFonts w:ascii="Palatino Linotype" w:hAnsi="Palatino Linotype"/>
        </w:rPr>
      </w:pPr>
      <w:r w:rsidRPr="00327D5F">
        <w:rPr>
          <w:rFonts w:ascii="Palatino Linotype" w:hAnsi="Palatino Linotype"/>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327D5F" w:rsidRPr="00327D5F" w:rsidRDefault="00327D5F" w:rsidP="00327D5F">
      <w:pPr>
        <w:spacing w:line="360" w:lineRule="auto"/>
        <w:ind w:right="49"/>
        <w:jc w:val="both"/>
        <w:rPr>
          <w:rFonts w:ascii="Palatino Linotype" w:hAnsi="Palatino Linotype"/>
        </w:rPr>
      </w:pPr>
    </w:p>
    <w:p w:rsidR="00327D5F" w:rsidRPr="00327D5F" w:rsidRDefault="00327D5F" w:rsidP="00327D5F">
      <w:pPr>
        <w:numPr>
          <w:ilvl w:val="0"/>
          <w:numId w:val="27"/>
        </w:numPr>
        <w:spacing w:line="360" w:lineRule="auto"/>
        <w:ind w:right="49"/>
        <w:jc w:val="both"/>
        <w:rPr>
          <w:rFonts w:ascii="Palatino Linotype" w:hAnsi="Palatino Linotype"/>
        </w:rPr>
      </w:pPr>
      <w:r w:rsidRPr="00327D5F">
        <w:rPr>
          <w:rFonts w:ascii="Palatino Linotype" w:hAnsi="Palatino Linotype"/>
        </w:rPr>
        <w:t>Ahora bien, derivado de la información solicitada, también es necesario traer a contexto lo dispuesto en la Ley de la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rsidR="00327D5F" w:rsidRPr="00327D5F" w:rsidRDefault="00327D5F" w:rsidP="00327D5F">
      <w:pPr>
        <w:spacing w:line="360" w:lineRule="auto"/>
        <w:ind w:right="49"/>
        <w:jc w:val="both"/>
        <w:rPr>
          <w:rFonts w:ascii="Palatino Linotype" w:hAnsi="Palatino Linotype"/>
        </w:rPr>
      </w:pP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 xml:space="preserve">“Artículo 4.- Para los efectos de esta Ley, en las adquisiciones, enajenaciones, arrendamientos y servicios, quedan comprendidos: </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 xml:space="preserve">I. La adquisición de bienes muebles. </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 xml:space="preserve">II. La adquisición de bienes inmuebles, a través de compraventa. </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 xml:space="preserve">III. La enajenación de bienes muebles e inmuebles. </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 xml:space="preserve">IV. El arrendamiento de bienes muebles e inmuebles. </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 xml:space="preserve">V. La contratación de los servicios, relacionados con bienes muebles que se encuentran incorporados o adheridos a bienes inmuebles, cuya instalación o mantenimiento no implique modificación al bien inmueble. </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 xml:space="preserve">VI. La contratación de los servicios de reconstrucción y mantenimiento de bienes muebles. </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lastRenderedPageBreak/>
        <w:t>VII. La contratación de los servicios de maquila, seguros y transportación, así como de los de limpieza y vigilancia de bienes inmuebles</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 xml:space="preserve">VIII. La prestación de servicios profesionales, la contratación de consultorías, asesorías y estudios e investigaciones, excepto la contratación de servicios personales de personas físicas bajo el régimen de honorarios. </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En general, otros actos que impliquen la contratación de servicios de cualquier naturaleza.</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Artículo 26.- Las adquisiciones, arrendamientos y servicios se adjudicarán a través de licitaciones públicas, mediante convocatoria pública.</w:t>
      </w:r>
    </w:p>
    <w:p w:rsidR="00327D5F" w:rsidRPr="00952455" w:rsidRDefault="00327D5F" w:rsidP="00952455">
      <w:pPr>
        <w:spacing w:line="276" w:lineRule="auto"/>
        <w:ind w:left="1134" w:right="851"/>
        <w:jc w:val="both"/>
        <w:rPr>
          <w:rFonts w:ascii="Palatino Linotype" w:hAnsi="Palatino Linotype"/>
          <w:i/>
          <w:sz w:val="22"/>
        </w:rPr>
      </w:pP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 xml:space="preserve">Artículo 27.- La Secretaría, las entidades, los tribunales administrativos y los ayuntamientos podrán adjudicar adquisiciones, arrendamientos y servicios, mediante las excepciones al procedimiento de licitación que a continuación se señalan: </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 xml:space="preserve">I. Invitación restringida. </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II. Adjudicación directa.”</w:t>
      </w:r>
    </w:p>
    <w:p w:rsidR="00327D5F" w:rsidRPr="00327D5F" w:rsidRDefault="00327D5F" w:rsidP="00327D5F">
      <w:pPr>
        <w:numPr>
          <w:ilvl w:val="0"/>
          <w:numId w:val="27"/>
        </w:numPr>
        <w:spacing w:line="360" w:lineRule="auto"/>
        <w:ind w:right="49"/>
        <w:jc w:val="both"/>
        <w:rPr>
          <w:rFonts w:ascii="Palatino Linotype" w:hAnsi="Palatino Linotype"/>
        </w:rPr>
      </w:pPr>
      <w:r w:rsidRPr="00327D5F">
        <w:rPr>
          <w:rFonts w:ascii="Palatino Linotype" w:hAnsi="Palatino Linotype"/>
        </w:rPr>
        <w:t>En este sentido, debe decirse que lo relativo a las información solicitada,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rsidR="00327D5F" w:rsidRPr="00327D5F" w:rsidRDefault="00327D5F" w:rsidP="00952455">
      <w:pPr>
        <w:spacing w:line="360" w:lineRule="auto"/>
        <w:ind w:right="49"/>
        <w:jc w:val="both"/>
        <w:rPr>
          <w:rFonts w:ascii="Palatino Linotype" w:hAnsi="Palatino Linotype"/>
        </w:rPr>
      </w:pP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lastRenderedPageBreak/>
        <w:t>(…)</w:t>
      </w:r>
    </w:p>
    <w:p w:rsidR="00327D5F" w:rsidRPr="00952455" w:rsidRDefault="00327D5F" w:rsidP="00952455">
      <w:pPr>
        <w:spacing w:line="276" w:lineRule="auto"/>
        <w:ind w:left="1134" w:right="851"/>
        <w:jc w:val="both"/>
        <w:rPr>
          <w:rFonts w:ascii="Palatino Linotype" w:hAnsi="Palatino Linotype"/>
          <w:i/>
          <w:sz w:val="22"/>
        </w:rPr>
      </w:pP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a) De licitaciones públicas o procedimientos de invitación restringida:</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1) La convocatoria o invitación emitida, así como los fundamentos legales aplicados para llevarla a cabo;</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2) Los nombres de los participantes o invitados;</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3) El nombre del ganador y las razones que lo justifican;</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4) El área solicitante y la responsable de su ejecución;</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5) Las convocatorias e invitaciones emitidas;</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6) Los dictámenes y fallo de adjudicación;</w:t>
      </w:r>
    </w:p>
    <w:p w:rsidR="00327D5F" w:rsidRPr="00952455" w:rsidRDefault="00327D5F" w:rsidP="00952455">
      <w:pPr>
        <w:spacing w:line="276" w:lineRule="auto"/>
        <w:ind w:left="1134" w:right="851"/>
        <w:jc w:val="both"/>
        <w:rPr>
          <w:rFonts w:ascii="Palatino Linotype" w:hAnsi="Palatino Linotype"/>
          <w:b/>
          <w:i/>
          <w:sz w:val="22"/>
        </w:rPr>
      </w:pPr>
      <w:r w:rsidRPr="00952455">
        <w:rPr>
          <w:rFonts w:ascii="Palatino Linotype" w:hAnsi="Palatino Linotype"/>
          <w:b/>
          <w:i/>
          <w:sz w:val="22"/>
        </w:rPr>
        <w:t>7) El contrato y, en su caso, sus anexos;</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8) Los mecanismos de vigilancia y supervisión, incluyendo en su caso, los estudios de impacto urbano y ambiental, según corresponda;</w:t>
      </w:r>
    </w:p>
    <w:p w:rsidR="00327D5F" w:rsidRPr="00952455" w:rsidRDefault="00327D5F" w:rsidP="00952455">
      <w:pPr>
        <w:spacing w:line="276" w:lineRule="auto"/>
        <w:ind w:left="1134" w:right="851"/>
        <w:jc w:val="both"/>
        <w:rPr>
          <w:rFonts w:ascii="Palatino Linotype" w:hAnsi="Palatino Linotype"/>
          <w:b/>
          <w:i/>
          <w:sz w:val="22"/>
        </w:rPr>
      </w:pPr>
      <w:r w:rsidRPr="00952455">
        <w:rPr>
          <w:rFonts w:ascii="Palatino Linotype" w:hAnsi="Palatino Linotype"/>
          <w:b/>
          <w:i/>
          <w:sz w:val="22"/>
        </w:rPr>
        <w:t>9) La partida presupuestal, de conformidad con el clasificador por objeto del gasto, en el caso de ser aplicable;</w:t>
      </w:r>
    </w:p>
    <w:p w:rsidR="00327D5F" w:rsidRPr="00952455" w:rsidRDefault="00327D5F" w:rsidP="00952455">
      <w:pPr>
        <w:spacing w:line="276" w:lineRule="auto"/>
        <w:ind w:left="1134" w:right="851"/>
        <w:jc w:val="both"/>
        <w:rPr>
          <w:rFonts w:ascii="Palatino Linotype" w:hAnsi="Palatino Linotype"/>
          <w:b/>
          <w:i/>
          <w:sz w:val="22"/>
        </w:rPr>
      </w:pPr>
      <w:r w:rsidRPr="00952455">
        <w:rPr>
          <w:rFonts w:ascii="Palatino Linotype" w:hAnsi="Palatino Linotype"/>
          <w:b/>
          <w:i/>
          <w:sz w:val="22"/>
        </w:rPr>
        <w:t>10) Origen de los recursos especificando si son federales, estatales o municipales, así como el tipo de fondo de participación o aportación respectiva;</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11) Los convenios modificatorios que, en su caso, sean firmados, precisando el objeto y la fecha de celebración;</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12) Los informes de avance físico y financiero sobre las obras o servicios contratados;</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13) El convenio de terminación; y</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14) El finiquito.</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b) De las adjudicaciones directas:</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1) La propuesta enviada por el participante;</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2) Los motivos y fundamentos legales aplicados para llevarla a cabo;</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3) La autorización del ejercicio de la opción;</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4) En su caso, las cotizaciones consideradas, especificando los nombres de los proveedores y sus montos;</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lastRenderedPageBreak/>
        <w:t>5) El nombre de la persona física o jurídica colectiva adjudicada;</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6) La unidad administrativa solicitante y la responsable de su ejecución;</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7) El número, fecha, el monto del contrato y el plazo de entrega o de ejecución de los servicios u obra;</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8) Los mecanismos de vigilancia y supervisión, incluyendo, en su caso, los estudios de impacto urbano y ambiental, según corresponda;</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9) Los informes de avance sobre las obras o servicios contratados;</w:t>
      </w:r>
    </w:p>
    <w:p w:rsidR="00327D5F" w:rsidRPr="00952455"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10) El convenio de terminación; y</w:t>
      </w:r>
    </w:p>
    <w:p w:rsidR="00327D5F" w:rsidRDefault="00327D5F" w:rsidP="00952455">
      <w:pPr>
        <w:spacing w:line="276" w:lineRule="auto"/>
        <w:ind w:left="1134" w:right="851"/>
        <w:jc w:val="both"/>
        <w:rPr>
          <w:rFonts w:ascii="Palatino Linotype" w:hAnsi="Palatino Linotype"/>
          <w:i/>
          <w:sz w:val="22"/>
        </w:rPr>
      </w:pPr>
      <w:r w:rsidRPr="00952455">
        <w:rPr>
          <w:rFonts w:ascii="Palatino Linotype" w:hAnsi="Palatino Linotype"/>
          <w:i/>
          <w:sz w:val="22"/>
        </w:rPr>
        <w:t>11) El finiquito.”</w:t>
      </w:r>
    </w:p>
    <w:p w:rsidR="00952455" w:rsidRPr="00952455" w:rsidRDefault="00952455" w:rsidP="00952455">
      <w:pPr>
        <w:spacing w:line="276" w:lineRule="auto"/>
        <w:ind w:left="1134" w:right="851"/>
        <w:jc w:val="both"/>
        <w:rPr>
          <w:rFonts w:ascii="Palatino Linotype" w:hAnsi="Palatino Linotype"/>
          <w:i/>
          <w:sz w:val="22"/>
        </w:rPr>
      </w:pPr>
    </w:p>
    <w:p w:rsidR="00327D5F" w:rsidRDefault="00327D5F" w:rsidP="00327D5F">
      <w:pPr>
        <w:numPr>
          <w:ilvl w:val="0"/>
          <w:numId w:val="27"/>
        </w:numPr>
        <w:spacing w:line="360" w:lineRule="auto"/>
        <w:ind w:right="49"/>
        <w:jc w:val="both"/>
        <w:rPr>
          <w:rFonts w:ascii="Palatino Linotype" w:hAnsi="Palatino Linotype"/>
        </w:rPr>
      </w:pPr>
      <w:r w:rsidRPr="00327D5F">
        <w:rPr>
          <w:rFonts w:ascii="Palatino Linotype" w:hAnsi="Palatino Linotype"/>
        </w:rPr>
        <w:t>En consecuencia, se determina que existe fuente obligacional para celebrar contratos relacionados con la adquisición de bienes y servicios, a través de 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rsidR="00471856" w:rsidRDefault="00471856" w:rsidP="00471856">
      <w:pPr>
        <w:pStyle w:val="Prrafodelista"/>
        <w:rPr>
          <w:rFonts w:ascii="Palatino Linotype" w:hAnsi="Palatino Linotype"/>
          <w:color w:val="000000" w:themeColor="text1"/>
          <w:highlight w:val="yellow"/>
        </w:rPr>
      </w:pPr>
    </w:p>
    <w:p w:rsidR="00F31397" w:rsidRPr="002913F9" w:rsidRDefault="00647351" w:rsidP="00A83E2B">
      <w:pPr>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2913F9">
        <w:rPr>
          <w:rFonts w:ascii="Palatino Linotype" w:hAnsi="Palatino Linotype"/>
          <w:color w:val="000000" w:themeColor="text1"/>
          <w:szCs w:val="22"/>
        </w:rPr>
        <w:t>Expuesto lo anterior</w:t>
      </w:r>
      <w:r w:rsidR="00211124" w:rsidRPr="002913F9">
        <w:rPr>
          <w:rFonts w:ascii="Palatino Linotype" w:hAnsi="Palatino Linotype"/>
          <w:color w:val="000000" w:themeColor="text1"/>
          <w:szCs w:val="22"/>
        </w:rPr>
        <w:t>, analizadas las constancias que fo</w:t>
      </w:r>
      <w:r w:rsidR="00D675D0" w:rsidRPr="002913F9">
        <w:rPr>
          <w:rFonts w:ascii="Palatino Linotype" w:hAnsi="Palatino Linotype"/>
          <w:color w:val="000000" w:themeColor="text1"/>
          <w:szCs w:val="22"/>
        </w:rPr>
        <w:t xml:space="preserve">rman el expediente electrónico, </w:t>
      </w:r>
      <w:r w:rsidR="00211124" w:rsidRPr="002913F9">
        <w:rPr>
          <w:rFonts w:ascii="Palatino Linotype" w:eastAsia="MS Mincho" w:hAnsi="Palatino Linotype" w:cstheme="majorBidi"/>
          <w:szCs w:val="22"/>
          <w:lang w:val="es-ES"/>
        </w:rPr>
        <w:t>resultan</w:t>
      </w:r>
      <w:r w:rsidR="004D2425" w:rsidRPr="002913F9">
        <w:rPr>
          <w:rFonts w:ascii="Palatino Linotype" w:eastAsia="MS Mincho" w:hAnsi="Palatino Linotype" w:cstheme="majorBidi"/>
          <w:szCs w:val="22"/>
          <w:lang w:val="es-ES"/>
        </w:rPr>
        <w:t xml:space="preserve"> </w:t>
      </w:r>
      <w:r w:rsidR="00144BAC" w:rsidRPr="002913F9">
        <w:rPr>
          <w:rFonts w:ascii="Palatino Linotype" w:eastAsia="MS Mincho" w:hAnsi="Palatino Linotype" w:cstheme="majorBidi"/>
          <w:szCs w:val="22"/>
          <w:lang w:val="es-ES"/>
        </w:rPr>
        <w:t xml:space="preserve"> </w:t>
      </w:r>
      <w:r w:rsidR="00211124" w:rsidRPr="002913F9">
        <w:rPr>
          <w:rFonts w:ascii="Palatino Linotype" w:eastAsia="MS Mincho" w:hAnsi="Palatino Linotype" w:cstheme="majorBidi"/>
          <w:szCs w:val="22"/>
          <w:lang w:val="es-ES"/>
        </w:rPr>
        <w:t xml:space="preserve">fundadas las razones o motivos de inconformidad hechos valer por el </w:t>
      </w:r>
      <w:r w:rsidR="00211124" w:rsidRPr="002913F9">
        <w:rPr>
          <w:rFonts w:ascii="Palatino Linotype" w:eastAsia="MS Mincho" w:hAnsi="Palatino Linotype" w:cstheme="majorBidi"/>
          <w:b/>
          <w:szCs w:val="22"/>
          <w:lang w:val="es-ES"/>
        </w:rPr>
        <w:t>RECURRENTE</w:t>
      </w:r>
      <w:r w:rsidR="00211124" w:rsidRPr="002913F9">
        <w:rPr>
          <w:rFonts w:ascii="Palatino Linotype" w:eastAsia="MS Mincho" w:hAnsi="Palatino Linotype" w:cstheme="majorBidi"/>
          <w:szCs w:val="22"/>
          <w:lang w:val="es-ES"/>
        </w:rPr>
        <w:t xml:space="preserve"> dentro del recurso de revisión </w:t>
      </w:r>
      <w:r w:rsidR="002913F9" w:rsidRPr="002913F9">
        <w:rPr>
          <w:rFonts w:ascii="Palatino Linotype" w:eastAsia="MS Mincho" w:hAnsi="Palatino Linotype" w:cstheme="majorBidi"/>
          <w:b/>
          <w:bCs/>
          <w:szCs w:val="22"/>
          <w:lang w:val="es-ES"/>
        </w:rPr>
        <w:t>1316</w:t>
      </w:r>
      <w:r w:rsidRPr="002913F9">
        <w:rPr>
          <w:rFonts w:ascii="Palatino Linotype" w:eastAsia="MS Mincho" w:hAnsi="Palatino Linotype" w:cstheme="majorBidi"/>
          <w:b/>
          <w:bCs/>
          <w:szCs w:val="22"/>
          <w:lang w:val="es-ES"/>
        </w:rPr>
        <w:t>3</w:t>
      </w:r>
      <w:r w:rsidR="00C90CBB" w:rsidRPr="002913F9">
        <w:rPr>
          <w:rFonts w:ascii="Palatino Linotype" w:eastAsia="MS Mincho" w:hAnsi="Palatino Linotype" w:cstheme="majorBidi"/>
          <w:b/>
          <w:bCs/>
          <w:szCs w:val="22"/>
          <w:lang w:val="es-ES"/>
        </w:rPr>
        <w:t xml:space="preserve">/INFOEM/IP/RR/2025 </w:t>
      </w:r>
      <w:r w:rsidR="00C90CBB" w:rsidRPr="002913F9">
        <w:rPr>
          <w:rFonts w:ascii="Palatino Linotype" w:eastAsia="MS Mincho" w:hAnsi="Palatino Linotype" w:cstheme="majorBidi"/>
          <w:bCs/>
          <w:szCs w:val="22"/>
          <w:lang w:val="es-ES"/>
        </w:rPr>
        <w:t xml:space="preserve">y </w:t>
      </w:r>
      <w:r w:rsidRPr="002913F9">
        <w:rPr>
          <w:rFonts w:ascii="Palatino Linotype" w:eastAsia="MS Mincho" w:hAnsi="Palatino Linotype" w:cstheme="majorBidi"/>
          <w:szCs w:val="22"/>
          <w:lang w:val="es-ES"/>
        </w:rPr>
        <w:t xml:space="preserve">resulta procedente </w:t>
      </w:r>
      <w:r w:rsidR="00D675D0" w:rsidRPr="002913F9">
        <w:rPr>
          <w:rFonts w:ascii="Palatino Linotype" w:eastAsia="MS Mincho" w:hAnsi="Palatino Linotype" w:cstheme="majorBidi"/>
          <w:szCs w:val="22"/>
          <w:lang w:val="es-ES"/>
        </w:rPr>
        <w:t xml:space="preserve">ordenar al </w:t>
      </w:r>
      <w:r w:rsidR="00211124" w:rsidRPr="002913F9">
        <w:rPr>
          <w:rFonts w:ascii="Palatino Linotype" w:eastAsia="MS Mincho" w:hAnsi="Palatino Linotype" w:cstheme="majorBidi"/>
          <w:szCs w:val="22"/>
          <w:lang w:val="es-ES"/>
        </w:rPr>
        <w:t xml:space="preserve"> </w:t>
      </w:r>
      <w:r w:rsidR="00211124" w:rsidRPr="002913F9">
        <w:rPr>
          <w:rFonts w:ascii="Palatino Linotype" w:eastAsia="MS Mincho" w:hAnsi="Palatino Linotype" w:cstheme="majorBidi"/>
          <w:b/>
          <w:szCs w:val="22"/>
          <w:lang w:val="es-ES"/>
        </w:rPr>
        <w:t>SUJETO OBLIGADO</w:t>
      </w:r>
      <w:r w:rsidR="00211124" w:rsidRPr="002913F9">
        <w:rPr>
          <w:rFonts w:ascii="Palatino Linotype" w:eastAsia="MS Mincho" w:hAnsi="Palatino Linotype" w:cstheme="majorBidi"/>
          <w:szCs w:val="22"/>
          <w:lang w:val="es-ES"/>
        </w:rPr>
        <w:t xml:space="preserve"> </w:t>
      </w:r>
      <w:r w:rsidR="00D675D0" w:rsidRPr="002913F9">
        <w:rPr>
          <w:rFonts w:ascii="Palatino Linotype" w:eastAsia="MS Mincho" w:hAnsi="Palatino Linotype" w:cstheme="majorBidi"/>
          <w:szCs w:val="22"/>
          <w:lang w:val="es-ES"/>
        </w:rPr>
        <w:t>la entrega</w:t>
      </w:r>
      <w:r w:rsidR="00211124" w:rsidRPr="002913F9">
        <w:rPr>
          <w:rFonts w:ascii="Palatino Linotype" w:eastAsia="MS Mincho" w:hAnsi="Palatino Linotype" w:cstheme="majorBidi"/>
          <w:szCs w:val="22"/>
          <w:lang w:val="es-ES"/>
        </w:rPr>
        <w:t xml:space="preserve"> </w:t>
      </w:r>
      <w:r w:rsidR="004D2425" w:rsidRPr="002913F9">
        <w:rPr>
          <w:rFonts w:ascii="Palatino Linotype" w:eastAsia="Palatino Linotype" w:hAnsi="Palatino Linotype" w:cs="Palatino Linotype"/>
          <w:color w:val="000000"/>
          <w:szCs w:val="22"/>
        </w:rPr>
        <w:t>de</w:t>
      </w:r>
      <w:r w:rsidR="00F31397" w:rsidRPr="002913F9">
        <w:rPr>
          <w:rFonts w:ascii="Palatino Linotype" w:eastAsia="Palatino Linotype" w:hAnsi="Palatino Linotype" w:cs="Palatino Linotype"/>
          <w:szCs w:val="22"/>
        </w:rPr>
        <w:t xml:space="preserve"> </w:t>
      </w:r>
      <w:r w:rsidR="002913F9" w:rsidRPr="002913F9">
        <w:rPr>
          <w:rFonts w:ascii="Palatino Linotype" w:eastAsia="Palatino Linotype" w:hAnsi="Palatino Linotype" w:cs="Palatino Linotype"/>
          <w:szCs w:val="22"/>
        </w:rPr>
        <w:t>los soportes contables (con todos y cada uno de los anexos, como son póliza contable, requisición, factura, suficiencia presupuestal, evidencia documental y/o fotográfica), correspondientes a la contratación de sistemas contables, sistemas de ingresos, sistemas de control patrimonial</w:t>
      </w:r>
      <w:r w:rsidR="002913F9">
        <w:rPr>
          <w:rFonts w:ascii="Palatino Linotype" w:eastAsia="Palatino Linotype" w:hAnsi="Palatino Linotype" w:cs="Palatino Linotype"/>
          <w:szCs w:val="22"/>
        </w:rPr>
        <w:t>, sistemas de entrega-recepción, de ser procedente con el Acuerdo del Comité de Transparencia que sustente la versión pública.</w:t>
      </w:r>
    </w:p>
    <w:p w:rsidR="00B516F7" w:rsidRDefault="00B516F7" w:rsidP="00B516F7">
      <w:pPr>
        <w:keepNext/>
        <w:keepLines/>
        <w:tabs>
          <w:tab w:val="left" w:pos="284"/>
        </w:tabs>
        <w:spacing w:before="240"/>
        <w:outlineLvl w:val="0"/>
        <w:rPr>
          <w:rFonts w:ascii="Palatino Linotype" w:eastAsia="MS Gothic" w:hAnsi="Palatino Linotype" w:cstheme="majorBidi"/>
          <w:b/>
        </w:rPr>
      </w:pPr>
      <w:r w:rsidRPr="00202618">
        <w:rPr>
          <w:rFonts w:ascii="Palatino Linotype" w:eastAsia="MS Gothic" w:hAnsi="Palatino Linotype" w:cstheme="majorBidi"/>
          <w:b/>
        </w:rPr>
        <w:lastRenderedPageBreak/>
        <w:t>QUINTO. Vista al órgano de control interno competente.</w:t>
      </w:r>
    </w:p>
    <w:p w:rsidR="00B516F7" w:rsidRPr="00202618" w:rsidRDefault="00B516F7" w:rsidP="00B516F7">
      <w:pPr>
        <w:spacing w:line="360" w:lineRule="auto"/>
        <w:contextualSpacing/>
        <w:jc w:val="both"/>
      </w:pPr>
    </w:p>
    <w:p w:rsidR="00B516F7" w:rsidRDefault="00B516F7" w:rsidP="00B516F7">
      <w:pPr>
        <w:numPr>
          <w:ilvl w:val="0"/>
          <w:numId w:val="40"/>
        </w:numPr>
        <w:spacing w:line="360" w:lineRule="auto"/>
        <w:contextualSpacing/>
        <w:jc w:val="both"/>
        <w:rPr>
          <w:rFonts w:ascii="Palatino Linotype" w:hAnsi="Palatino Linotype" w:cs="Arial"/>
        </w:rPr>
      </w:pPr>
      <w:r w:rsidRPr="00202618">
        <w:rPr>
          <w:rFonts w:ascii="Palatino Linotype" w:hAnsi="Palatino Linotype" w:cs="Arial"/>
        </w:rPr>
        <w:t xml:space="preserve">La </w:t>
      </w:r>
      <w:r w:rsidRPr="00202618">
        <w:rPr>
          <w:rFonts w:ascii="Palatino Linotype" w:eastAsia="Palatino Linotype" w:hAnsi="Palatino Linotype" w:cs="Palatino Linotype"/>
        </w:rPr>
        <w:t>Ley</w:t>
      </w:r>
      <w:r w:rsidRPr="00202618">
        <w:rPr>
          <w:rFonts w:ascii="Palatino Linotype" w:hAnsi="Palatino Linotype" w:cs="Arial"/>
        </w:rPr>
        <w:t xml:space="preserve"> </w:t>
      </w:r>
      <w:r w:rsidRPr="00202618">
        <w:rPr>
          <w:rFonts w:ascii="Palatino Linotype" w:eastAsia="Palatino Linotype" w:hAnsi="Palatino Linotype" w:cs="Palatino Linotype"/>
        </w:rPr>
        <w:t>de</w:t>
      </w:r>
      <w:r w:rsidRPr="00202618">
        <w:rPr>
          <w:rFonts w:ascii="Palatino Linotype" w:hAnsi="Palatino Linotype" w:cs="Arial"/>
        </w:rPr>
        <w:t xml:space="preserve"> Transparencia y Acceso a la Información Pública del Estado de México y </w:t>
      </w:r>
      <w:r w:rsidRPr="00E60755">
        <w:rPr>
          <w:rFonts w:ascii="Palatino Linotype" w:hAnsi="Palatino Linotype"/>
        </w:rPr>
        <w:t>Municipios</w:t>
      </w:r>
      <w:r w:rsidRPr="00202618">
        <w:rPr>
          <w:rFonts w:ascii="Palatino Linotype" w:hAnsi="Palatino Linotype" w:cs="Arial"/>
        </w:rPr>
        <w:t xml:space="preserve"> en los artículos 222 fracción I y II, 162 y 59 fracción I y II establecen los siguiente:</w:t>
      </w:r>
    </w:p>
    <w:p w:rsidR="00B516F7" w:rsidRPr="00202618" w:rsidRDefault="00B516F7" w:rsidP="00B516F7">
      <w:pPr>
        <w:pBdr>
          <w:top w:val="nil"/>
          <w:left w:val="nil"/>
          <w:bottom w:val="nil"/>
          <w:right w:val="nil"/>
          <w:between w:val="nil"/>
        </w:pBdr>
        <w:tabs>
          <w:tab w:val="left" w:pos="0"/>
        </w:tabs>
        <w:spacing w:line="360" w:lineRule="auto"/>
        <w:ind w:right="49"/>
        <w:jc w:val="both"/>
        <w:rPr>
          <w:rFonts w:ascii="Palatino Linotype" w:hAnsi="Palatino Linotype" w:cs="Arial"/>
        </w:rPr>
      </w:pPr>
    </w:p>
    <w:p w:rsidR="00B516F7" w:rsidRPr="00202618" w:rsidRDefault="00B516F7" w:rsidP="00B516F7">
      <w:pPr>
        <w:tabs>
          <w:tab w:val="left" w:pos="284"/>
        </w:tabs>
        <w:ind w:left="1134" w:right="900"/>
        <w:contextualSpacing/>
        <w:jc w:val="both"/>
        <w:rPr>
          <w:rFonts w:ascii="Palatino Linotype" w:hAnsi="Palatino Linotype"/>
          <w:i/>
          <w:iCs/>
        </w:rPr>
      </w:pPr>
      <w:r w:rsidRPr="0020261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rsidR="00B516F7" w:rsidRPr="00202618" w:rsidRDefault="00B516F7" w:rsidP="00B516F7">
      <w:pPr>
        <w:tabs>
          <w:tab w:val="left" w:pos="284"/>
        </w:tabs>
        <w:ind w:left="1134" w:right="900"/>
        <w:contextualSpacing/>
        <w:jc w:val="both"/>
        <w:rPr>
          <w:rFonts w:ascii="Palatino Linotype" w:hAnsi="Palatino Linotype"/>
          <w:i/>
          <w:iCs/>
        </w:rPr>
      </w:pPr>
      <w:r w:rsidRPr="00202618">
        <w:rPr>
          <w:rFonts w:ascii="Palatino Linotype" w:hAnsi="Palatino Linotype"/>
          <w:i/>
          <w:iCs/>
        </w:rPr>
        <w:t xml:space="preserve">I. Cualquier acto u omisión que provoque la suspensión o deficiencia en la atención de las solicitudes de información; </w:t>
      </w:r>
    </w:p>
    <w:p w:rsidR="00B516F7" w:rsidRPr="00202618" w:rsidRDefault="00B516F7" w:rsidP="00B516F7">
      <w:pPr>
        <w:tabs>
          <w:tab w:val="left" w:pos="284"/>
        </w:tabs>
        <w:ind w:left="1134" w:right="900"/>
        <w:contextualSpacing/>
        <w:jc w:val="both"/>
        <w:rPr>
          <w:rFonts w:ascii="Palatino Linotype" w:hAnsi="Palatino Linotype"/>
          <w:i/>
          <w:iCs/>
        </w:rPr>
      </w:pPr>
      <w:r w:rsidRPr="00202618">
        <w:rPr>
          <w:rFonts w:ascii="Palatino Linotype" w:hAnsi="Palatino Linotype"/>
          <w:i/>
          <w:iCs/>
        </w:rPr>
        <w:t>II. La falta de respuesta a las solicitudes de información en los plazos señalados en la normatividad aplicable;</w:t>
      </w:r>
    </w:p>
    <w:p w:rsidR="00B516F7" w:rsidRPr="00202618" w:rsidRDefault="00B516F7" w:rsidP="00B516F7">
      <w:pPr>
        <w:tabs>
          <w:tab w:val="left" w:pos="284"/>
        </w:tabs>
        <w:ind w:left="1134" w:right="900"/>
        <w:contextualSpacing/>
        <w:jc w:val="both"/>
        <w:rPr>
          <w:rFonts w:ascii="Palatino Linotype" w:hAnsi="Palatino Linotype"/>
          <w:i/>
          <w:iCs/>
        </w:rPr>
      </w:pPr>
      <w:r w:rsidRPr="00202618">
        <w:rPr>
          <w:rFonts w:ascii="Palatino Linotype" w:hAnsi="Palatino Linotype"/>
          <w:i/>
          <w:iCs/>
        </w:rPr>
        <w:t>III. a XXI. …</w:t>
      </w:r>
    </w:p>
    <w:p w:rsidR="00B516F7" w:rsidRPr="00202618" w:rsidRDefault="00B516F7" w:rsidP="00B516F7">
      <w:pPr>
        <w:tabs>
          <w:tab w:val="left" w:pos="284"/>
        </w:tabs>
        <w:ind w:left="1134" w:right="900"/>
        <w:contextualSpacing/>
        <w:jc w:val="both"/>
        <w:rPr>
          <w:rFonts w:ascii="Palatino Linotype" w:hAnsi="Palatino Linotype"/>
          <w:i/>
          <w:iCs/>
        </w:rPr>
      </w:pPr>
      <w:r w:rsidRPr="00202618">
        <w:rPr>
          <w:rFonts w:ascii="Palatino Linotype" w:hAnsi="Palatino Linotype"/>
          <w:i/>
          <w:iC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516F7" w:rsidRPr="00202618" w:rsidRDefault="00B516F7" w:rsidP="00B516F7">
      <w:pPr>
        <w:tabs>
          <w:tab w:val="left" w:pos="284"/>
        </w:tabs>
        <w:ind w:left="1134" w:right="900"/>
        <w:contextualSpacing/>
        <w:jc w:val="both"/>
        <w:rPr>
          <w:rFonts w:ascii="Palatino Linotype" w:hAnsi="Palatino Linotype"/>
          <w:i/>
          <w:iCs/>
        </w:rPr>
      </w:pPr>
    </w:p>
    <w:p w:rsidR="00B516F7" w:rsidRPr="00202618" w:rsidRDefault="00B516F7" w:rsidP="00B516F7">
      <w:pPr>
        <w:tabs>
          <w:tab w:val="left" w:pos="284"/>
        </w:tabs>
        <w:ind w:left="1134" w:right="900"/>
        <w:contextualSpacing/>
        <w:jc w:val="both"/>
        <w:rPr>
          <w:rFonts w:ascii="Palatino Linotype" w:hAnsi="Palatino Linotype"/>
          <w:i/>
          <w:iCs/>
        </w:rPr>
      </w:pPr>
      <w:r w:rsidRPr="00202618">
        <w:rPr>
          <w:rFonts w:ascii="Palatino Linotype" w:hAnsi="Palatino Linotype"/>
          <w:i/>
          <w:iCs/>
        </w:rPr>
        <w:t>Artículo 59. Los servidores públicos habilitados tendrán las funciones siguientes:</w:t>
      </w:r>
    </w:p>
    <w:p w:rsidR="00B516F7" w:rsidRPr="00202618" w:rsidRDefault="00B516F7" w:rsidP="00B516F7">
      <w:pPr>
        <w:tabs>
          <w:tab w:val="left" w:pos="284"/>
        </w:tabs>
        <w:ind w:left="1134" w:right="900"/>
        <w:contextualSpacing/>
        <w:jc w:val="both"/>
        <w:rPr>
          <w:rFonts w:ascii="Palatino Linotype" w:hAnsi="Palatino Linotype"/>
          <w:i/>
          <w:iCs/>
        </w:rPr>
      </w:pPr>
    </w:p>
    <w:p w:rsidR="00B516F7" w:rsidRPr="00202618" w:rsidRDefault="00B516F7" w:rsidP="00B516F7">
      <w:pPr>
        <w:tabs>
          <w:tab w:val="left" w:pos="284"/>
        </w:tabs>
        <w:ind w:left="1134" w:right="900"/>
        <w:contextualSpacing/>
        <w:jc w:val="both"/>
        <w:rPr>
          <w:rFonts w:ascii="Palatino Linotype" w:hAnsi="Palatino Linotype"/>
          <w:i/>
          <w:iCs/>
        </w:rPr>
      </w:pPr>
      <w:r w:rsidRPr="00202618">
        <w:rPr>
          <w:rFonts w:ascii="Palatino Linotype" w:hAnsi="Palatino Linotype"/>
          <w:i/>
          <w:iCs/>
        </w:rPr>
        <w:t xml:space="preserve">I. Localizar la información que le solicite la Unidad de Transparencia; </w:t>
      </w:r>
    </w:p>
    <w:p w:rsidR="00B516F7" w:rsidRPr="00202618" w:rsidRDefault="00B516F7" w:rsidP="00B516F7">
      <w:pPr>
        <w:tabs>
          <w:tab w:val="left" w:pos="284"/>
        </w:tabs>
        <w:ind w:left="1134" w:right="900"/>
        <w:contextualSpacing/>
        <w:jc w:val="both"/>
        <w:rPr>
          <w:rFonts w:ascii="Palatino Linotype" w:hAnsi="Palatino Linotype"/>
          <w:i/>
          <w:iCs/>
        </w:rPr>
      </w:pPr>
      <w:r w:rsidRPr="00202618">
        <w:rPr>
          <w:rFonts w:ascii="Palatino Linotype" w:hAnsi="Palatino Linotype"/>
          <w:i/>
          <w:iCs/>
        </w:rPr>
        <w:t>II. Proporcionar la información que obre en los archivos y que le sea solicitada por la Unidad de Transparencia;</w:t>
      </w:r>
    </w:p>
    <w:p w:rsidR="00B516F7" w:rsidRPr="00202618" w:rsidRDefault="00B516F7" w:rsidP="00B516F7">
      <w:pPr>
        <w:tabs>
          <w:tab w:val="left" w:pos="284"/>
        </w:tabs>
        <w:ind w:left="1134" w:right="900"/>
        <w:contextualSpacing/>
        <w:jc w:val="both"/>
        <w:rPr>
          <w:rFonts w:ascii="Palatino Linotype" w:hAnsi="Palatino Linotype"/>
          <w:i/>
          <w:iCs/>
        </w:rPr>
      </w:pPr>
      <w:r w:rsidRPr="00202618">
        <w:rPr>
          <w:rFonts w:ascii="Palatino Linotype" w:hAnsi="Palatino Linotype"/>
          <w:i/>
          <w:iCs/>
        </w:rPr>
        <w:t>III. a VII. …”</w:t>
      </w:r>
    </w:p>
    <w:p w:rsidR="00B516F7" w:rsidRPr="00202618" w:rsidRDefault="00B516F7" w:rsidP="00B516F7">
      <w:pPr>
        <w:tabs>
          <w:tab w:val="left" w:pos="284"/>
        </w:tabs>
        <w:spacing w:line="360" w:lineRule="auto"/>
        <w:ind w:left="567" w:right="567"/>
        <w:contextualSpacing/>
        <w:jc w:val="both"/>
        <w:rPr>
          <w:rFonts w:ascii="Palatino Linotype" w:hAnsi="Palatino Linotype" w:cs="Arial"/>
          <w:i/>
          <w:iCs/>
        </w:rPr>
      </w:pPr>
    </w:p>
    <w:p w:rsidR="00B516F7" w:rsidRPr="00202618" w:rsidRDefault="00B516F7" w:rsidP="00B516F7">
      <w:pPr>
        <w:numPr>
          <w:ilvl w:val="0"/>
          <w:numId w:val="40"/>
        </w:numPr>
        <w:spacing w:line="360" w:lineRule="auto"/>
        <w:contextualSpacing/>
        <w:jc w:val="both"/>
        <w:rPr>
          <w:rFonts w:ascii="Palatino Linotype" w:hAnsi="Palatino Linotype" w:cs="Arial"/>
        </w:rPr>
      </w:pPr>
      <w:r w:rsidRPr="004273A8">
        <w:rPr>
          <w:rFonts w:ascii="Palatino Linotype" w:eastAsiaTheme="minorHAnsi" w:hAnsi="Palatino Linotype"/>
          <w:szCs w:val="22"/>
          <w:lang w:eastAsia="en-US"/>
        </w:rPr>
        <w:t>Las</w:t>
      </w:r>
      <w:r w:rsidRPr="00202618">
        <w:rPr>
          <w:rFonts w:ascii="Palatino Linotype" w:hAnsi="Palatino Linotype" w:cs="Arial"/>
        </w:rPr>
        <w:t xml:space="preserve"> Unidades de Transparencia cuando reciben solicitudes deben identificar la </w:t>
      </w:r>
      <w:r w:rsidRPr="00202618">
        <w:rPr>
          <w:rFonts w:ascii="Palatino Linotype" w:eastAsia="Palatino Linotype" w:hAnsi="Palatino Linotype" w:cs="Palatino Linotype"/>
        </w:rPr>
        <w:t>información</w:t>
      </w:r>
      <w:r w:rsidRPr="00202618">
        <w:rPr>
          <w:rFonts w:ascii="Palatino Linotype" w:hAnsi="Palatino Linotype" w:cs="Arial"/>
        </w:rPr>
        <w:t xml:space="preserve"> solicitada, a efecto de realizar el turno a las áreas que de acuerdo a sus atribuciones, </w:t>
      </w:r>
      <w:r w:rsidRPr="00202618">
        <w:rPr>
          <w:rFonts w:ascii="Palatino Linotype" w:eastAsia="Palatino Linotype" w:hAnsi="Palatino Linotype" w:cs="Palatino Linotype"/>
        </w:rPr>
        <w:t>facultades</w:t>
      </w:r>
      <w:r w:rsidRPr="00202618">
        <w:rPr>
          <w:rFonts w:ascii="Palatino Linotype" w:hAnsi="Palatino Linotype" w:cs="Arial"/>
        </w:rPr>
        <w:t xml:space="preserve"> y competencias deban generar, administrar y/o poseer </w:t>
      </w:r>
      <w:r w:rsidRPr="00202618">
        <w:rPr>
          <w:rFonts w:ascii="Palatino Linotype" w:hAnsi="Palatino Linotype" w:cs="Arial"/>
        </w:rPr>
        <w:lastRenderedPageBreak/>
        <w:t>lo requerido; para que, a su vez, realicen la búsqueda exhaustiva y razonable y entreguen los documentos necesarios para generar la respuesta y proporcionarla al recurrente.</w:t>
      </w:r>
    </w:p>
    <w:p w:rsidR="00B516F7" w:rsidRPr="00202618" w:rsidRDefault="00B516F7" w:rsidP="00B516F7">
      <w:pPr>
        <w:tabs>
          <w:tab w:val="left" w:pos="284"/>
        </w:tabs>
        <w:spacing w:line="360" w:lineRule="auto"/>
        <w:jc w:val="both"/>
        <w:rPr>
          <w:rFonts w:ascii="Palatino Linotype" w:hAnsi="Palatino Linotype" w:cs="Arial"/>
        </w:rPr>
      </w:pPr>
    </w:p>
    <w:p w:rsidR="00B516F7" w:rsidRPr="00202618" w:rsidRDefault="00B516F7" w:rsidP="00B516F7">
      <w:pPr>
        <w:numPr>
          <w:ilvl w:val="0"/>
          <w:numId w:val="40"/>
        </w:numPr>
        <w:spacing w:line="360" w:lineRule="auto"/>
        <w:contextualSpacing/>
        <w:jc w:val="both"/>
        <w:rPr>
          <w:rFonts w:ascii="Palatino Linotype" w:hAnsi="Palatino Linotype" w:cs="Arial"/>
        </w:rPr>
      </w:pPr>
      <w:r w:rsidRPr="00202618">
        <w:rPr>
          <w:rFonts w:ascii="Palatino Linotype" w:hAnsi="Palatino Linotype" w:cs="Arial"/>
        </w:rPr>
        <w:t xml:space="preserve">La omisión a las obligaciones, tanto del Titular de la Unidad de Transparencia como de los </w:t>
      </w:r>
      <w:r w:rsidRPr="00202618">
        <w:rPr>
          <w:rFonts w:ascii="Palatino Linotype" w:eastAsia="Palatino Linotype" w:hAnsi="Palatino Linotype" w:cs="Palatino Linotype"/>
        </w:rPr>
        <w:t>servidores</w:t>
      </w:r>
      <w:r w:rsidRPr="00202618">
        <w:rPr>
          <w:rFonts w:ascii="Palatino Linotype" w:hAnsi="Palatino Linotype" w:cs="Arial"/>
        </w:rPr>
        <w:t xml:space="preserve"> públicos habilitados puede causar la suspensión, deficiencia o la falta de respuesta a las solicitudes de acceso a la información que formulen los particulares, siendo esto una causa de responsabilidad.</w:t>
      </w:r>
    </w:p>
    <w:p w:rsidR="00B516F7" w:rsidRPr="00202618" w:rsidRDefault="00B516F7" w:rsidP="00B516F7">
      <w:pPr>
        <w:tabs>
          <w:tab w:val="left" w:pos="284"/>
        </w:tabs>
        <w:spacing w:line="360" w:lineRule="auto"/>
        <w:jc w:val="both"/>
        <w:rPr>
          <w:rFonts w:ascii="Palatino Linotype" w:hAnsi="Palatino Linotype" w:cs="Arial"/>
        </w:rPr>
      </w:pPr>
    </w:p>
    <w:p w:rsidR="00B516F7" w:rsidRDefault="00B516F7" w:rsidP="00B516F7">
      <w:pPr>
        <w:numPr>
          <w:ilvl w:val="0"/>
          <w:numId w:val="40"/>
        </w:numPr>
        <w:spacing w:line="360" w:lineRule="auto"/>
        <w:contextualSpacing/>
        <w:jc w:val="both"/>
        <w:rPr>
          <w:rFonts w:ascii="Palatino Linotype" w:hAnsi="Palatino Linotype" w:cs="Arial"/>
        </w:rPr>
      </w:pPr>
      <w:r w:rsidRPr="00202618">
        <w:rPr>
          <w:rFonts w:ascii="Palatino Linotype" w:hAnsi="Palatino Linotype" w:cs="Arial"/>
        </w:rPr>
        <w:t xml:space="preserve">En el </w:t>
      </w:r>
      <w:r w:rsidRPr="00202618">
        <w:rPr>
          <w:rFonts w:ascii="Palatino Linotype" w:eastAsia="Palatino Linotype" w:hAnsi="Palatino Linotype" w:cs="Palatino Linotype"/>
        </w:rPr>
        <w:t>presente</w:t>
      </w:r>
      <w:r w:rsidRPr="00202618">
        <w:rPr>
          <w:rFonts w:ascii="Palatino Linotype" w:hAnsi="Palatino Linotype" w:cs="Arial"/>
        </w:rPr>
        <w:t xml:space="preserve"> asunto en particular, se tiene que</w:t>
      </w:r>
      <w:r>
        <w:rPr>
          <w:rFonts w:ascii="Palatino Linotype" w:hAnsi="Palatino Linotype" w:cs="Arial"/>
        </w:rPr>
        <w:t xml:space="preserve"> no obstante,</w:t>
      </w:r>
      <w:r w:rsidRPr="00202618">
        <w:rPr>
          <w:rFonts w:ascii="Palatino Linotype" w:hAnsi="Palatino Linotype" w:cs="Arial"/>
        </w:rPr>
        <w:t xml:space="preserve"> el Titular de la Unidad de </w:t>
      </w:r>
      <w:r w:rsidRPr="00202618">
        <w:rPr>
          <w:rFonts w:ascii="Palatino Linotype" w:eastAsia="Palatino Linotype" w:hAnsi="Palatino Linotype" w:cs="Palatino Linotype"/>
        </w:rPr>
        <w:t>Transparencia</w:t>
      </w:r>
      <w:r>
        <w:rPr>
          <w:rFonts w:ascii="Palatino Linotype" w:hAnsi="Palatino Linotype" w:cs="Arial"/>
        </w:rPr>
        <w:t xml:space="preserve"> </w:t>
      </w:r>
      <w:r w:rsidRPr="00202618">
        <w:rPr>
          <w:rFonts w:ascii="Palatino Linotype" w:hAnsi="Palatino Linotype" w:cs="Arial"/>
        </w:rPr>
        <w:t>turnó la solicitud</w:t>
      </w:r>
      <w:r>
        <w:rPr>
          <w:rFonts w:ascii="Palatino Linotype" w:hAnsi="Palatino Linotype" w:cs="Arial"/>
        </w:rPr>
        <w:t xml:space="preserve"> al Servidor Público Habilitado que pudiera generar, poseer y/o administrar la información solicitada, este fue omiso en dar respuesta a la solicitud de información que nos ocupa.</w:t>
      </w:r>
    </w:p>
    <w:p w:rsidR="00B516F7" w:rsidRPr="00D306EE" w:rsidRDefault="00B516F7" w:rsidP="00B516F7">
      <w:pPr>
        <w:spacing w:line="360" w:lineRule="auto"/>
        <w:contextualSpacing/>
        <w:jc w:val="both"/>
        <w:rPr>
          <w:rFonts w:ascii="Palatino Linotype" w:hAnsi="Palatino Linotype" w:cs="Arial"/>
        </w:rPr>
      </w:pPr>
    </w:p>
    <w:p w:rsidR="00B516F7" w:rsidRPr="00202618" w:rsidRDefault="00B516F7" w:rsidP="00B516F7">
      <w:pPr>
        <w:numPr>
          <w:ilvl w:val="0"/>
          <w:numId w:val="40"/>
        </w:numPr>
        <w:spacing w:line="360" w:lineRule="auto"/>
        <w:contextualSpacing/>
        <w:jc w:val="both"/>
        <w:rPr>
          <w:rFonts w:ascii="Palatino Linotype" w:hAnsi="Palatino Linotype"/>
        </w:rPr>
      </w:pPr>
      <w:r>
        <w:rPr>
          <w:rFonts w:ascii="Palatino Linotype" w:hAnsi="Palatino Linotype"/>
        </w:rPr>
        <w:t>Es así que</w:t>
      </w:r>
      <w:r w:rsidRPr="00202618">
        <w:rPr>
          <w:rFonts w:ascii="Palatino Linotype" w:hAnsi="Palatino Linotype"/>
        </w:rPr>
        <w:t xml:space="preserve">, la falta de respuesta a las solicitudes de acceso a la información pública </w:t>
      </w:r>
      <w:r w:rsidRPr="004273A8">
        <w:rPr>
          <w:rFonts w:ascii="Palatino Linotype" w:eastAsiaTheme="minorHAnsi" w:hAnsi="Palatino Linotype"/>
          <w:szCs w:val="22"/>
          <w:lang w:eastAsia="en-US"/>
        </w:rPr>
        <w:t>por</w:t>
      </w:r>
      <w:r w:rsidRPr="00202618">
        <w:rPr>
          <w:rFonts w:ascii="Palatino Linotype" w:hAnsi="Palatino Linotype"/>
        </w:rPr>
        <w:t xml:space="preserve"> parte del Sujeto Obligado actualiza una causa de responsabilidad, por lo que, de acuerdo a </w:t>
      </w:r>
      <w:r w:rsidRPr="00202618">
        <w:rPr>
          <w:rFonts w:ascii="Palatino Linotype" w:eastAsia="Palatino Linotype" w:hAnsi="Palatino Linotype" w:cs="Palatino Linotype"/>
        </w:rPr>
        <w:t>los</w:t>
      </w:r>
      <w:r w:rsidRPr="00202618">
        <w:rPr>
          <w:rFonts w:ascii="Palatino Linotype" w:hAnsi="Palatino Linotype"/>
        </w:rPr>
        <w:t xml:space="preserve"> artículos 190 y 36 fracción X, de la Ley de Trasparencia y Acceso a la Información Pública del Estado de México y Municipios, la Secretaría Técnica del Pleno hará del conocimiento del </w:t>
      </w:r>
      <w:r w:rsidRPr="00202618">
        <w:rPr>
          <w:rFonts w:ascii="Palatino Linotype" w:eastAsia="MS Gothic" w:hAnsi="Palatino Linotype" w:cstheme="majorBidi"/>
        </w:rPr>
        <w:t xml:space="preserve">órgano interno de </w:t>
      </w:r>
      <w:r w:rsidRPr="00202618">
        <w:rPr>
          <w:rFonts w:ascii="Palatino Linotype" w:eastAsia="Palatino Linotype" w:hAnsi="Palatino Linotype" w:cs="Palatino Linotype"/>
        </w:rPr>
        <w:t>control</w:t>
      </w:r>
      <w:r w:rsidRPr="00202618">
        <w:rPr>
          <w:rFonts w:ascii="Palatino Linotype" w:eastAsia="MS Gothic" w:hAnsi="Palatino Linotype" w:cstheme="majorBidi"/>
        </w:rPr>
        <w:t xml:space="preserve"> </w:t>
      </w:r>
      <w:r w:rsidRPr="00202618">
        <w:rPr>
          <w:rFonts w:ascii="Palatino Linotype" w:hAnsi="Palatino Linotype"/>
        </w:rPr>
        <w:t>competente, para que inicie, en su caso, el procedimiento de responsabilidad respectivo.</w:t>
      </w:r>
    </w:p>
    <w:p w:rsidR="00B516F7" w:rsidRDefault="00B516F7" w:rsidP="002913F9">
      <w:pPr>
        <w:pBdr>
          <w:top w:val="nil"/>
          <w:left w:val="nil"/>
          <w:bottom w:val="nil"/>
          <w:right w:val="nil"/>
          <w:between w:val="nil"/>
        </w:pBdr>
        <w:jc w:val="both"/>
        <w:rPr>
          <w:rFonts w:ascii="Palatino Linotype" w:eastAsia="Palatino Linotype" w:hAnsi="Palatino Linotype" w:cs="Palatino Linotype"/>
          <w:b/>
          <w:color w:val="000000"/>
        </w:rPr>
      </w:pPr>
    </w:p>
    <w:p w:rsidR="00C90CBB" w:rsidRPr="00B516F7" w:rsidRDefault="00B516F7" w:rsidP="00B516F7">
      <w:pPr>
        <w:pBdr>
          <w:top w:val="nil"/>
          <w:left w:val="nil"/>
          <w:bottom w:val="nil"/>
          <w:right w:val="nil"/>
          <w:between w:val="nil"/>
        </w:pBdr>
        <w:jc w:val="both"/>
        <w:rPr>
          <w:rFonts w:ascii="Palatino Linotype" w:eastAsia="Palatino Linotype" w:hAnsi="Palatino Linotype" w:cs="Palatino Linotype"/>
        </w:rPr>
      </w:pPr>
      <w:r>
        <w:rPr>
          <w:rFonts w:ascii="Palatino Linotype" w:eastAsia="Palatino Linotype" w:hAnsi="Palatino Linotype" w:cs="Palatino Linotype"/>
          <w:b/>
          <w:color w:val="000000"/>
        </w:rPr>
        <w:t>SEXTO</w:t>
      </w:r>
      <w:r w:rsidR="00C90CBB">
        <w:rPr>
          <w:rFonts w:ascii="Palatino Linotype" w:eastAsia="Palatino Linotype" w:hAnsi="Palatino Linotype" w:cs="Palatino Linotype"/>
          <w:b/>
          <w:color w:val="000000"/>
        </w:rPr>
        <w:t>.  De la versión pública.</w:t>
      </w:r>
    </w:p>
    <w:p w:rsidR="00C90CBB" w:rsidRDefault="00C90CBB" w:rsidP="002913F9">
      <w:pPr>
        <w:keepNext/>
        <w:keepLines/>
        <w:numPr>
          <w:ilvl w:val="0"/>
          <w:numId w:val="22"/>
        </w:numPr>
        <w:tabs>
          <w:tab w:val="left" w:pos="284"/>
        </w:tabs>
        <w:spacing w:after="160"/>
        <w:ind w:left="0" w:firstLine="0"/>
        <w:rPr>
          <w:rFonts w:ascii="Palatino Linotype" w:eastAsia="Palatino Linotype" w:hAnsi="Palatino Linotype" w:cs="Palatino Linotype"/>
          <w:b/>
          <w:color w:val="000000"/>
        </w:rPr>
      </w:pPr>
      <w:bookmarkStart w:id="8" w:name="_heading=h.8porszv8ww1h" w:colFirst="0" w:colLast="0"/>
      <w:bookmarkEnd w:id="8"/>
      <w:r>
        <w:rPr>
          <w:rFonts w:ascii="Palatino Linotype" w:eastAsia="Palatino Linotype" w:hAnsi="Palatino Linotype" w:cs="Palatino Linotype"/>
          <w:b/>
          <w:color w:val="000000"/>
        </w:rPr>
        <w:lastRenderedPageBreak/>
        <w:t xml:space="preserve">Nociones generales. </w:t>
      </w:r>
    </w:p>
    <w:p w:rsidR="00C90CBB" w:rsidRDefault="00C90CBB" w:rsidP="00A83E2B">
      <w:pPr>
        <w:numPr>
          <w:ilvl w:val="0"/>
          <w:numId w:val="23"/>
        </w:numPr>
        <w:tabs>
          <w:tab w:val="left" w:pos="284"/>
        </w:tabs>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Debe destacarse, que debido a la información solicitada por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pueden obrar datos personales susceptibles de protegerse, así como información susceptible de clasificarse como confidencial,  por lo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C90CBB" w:rsidRDefault="00C90CBB" w:rsidP="00C90CBB">
      <w:pPr>
        <w:tabs>
          <w:tab w:val="left" w:pos="0"/>
          <w:tab w:val="left" w:pos="284"/>
        </w:tabs>
        <w:spacing w:line="360" w:lineRule="auto"/>
        <w:ind w:right="49"/>
        <w:jc w:val="both"/>
        <w:rPr>
          <w:rFonts w:ascii="Palatino Linotype" w:eastAsia="Palatino Linotype" w:hAnsi="Palatino Linotype" w:cs="Palatino Linotype"/>
          <w:highlight w:val="yellow"/>
        </w:rPr>
      </w:pPr>
    </w:p>
    <w:p w:rsidR="00C90CBB" w:rsidRDefault="00C90CBB" w:rsidP="00C90CBB">
      <w:pPr>
        <w:numPr>
          <w:ilvl w:val="0"/>
          <w:numId w:val="23"/>
        </w:numPr>
        <w:tabs>
          <w:tab w:val="left" w:pos="284"/>
        </w:tabs>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pasa desapercibido para este Órgano Garante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85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520"/>
      </w:tblGrid>
      <w:tr w:rsidR="00C90CBB" w:rsidTr="00855618">
        <w:tc>
          <w:tcPr>
            <w:tcW w:w="1980" w:type="dxa"/>
          </w:tcPr>
          <w:p w:rsidR="00C90CBB" w:rsidRDefault="00C90CBB" w:rsidP="00855618">
            <w:pPr>
              <w:tabs>
                <w:tab w:val="left" w:pos="284"/>
              </w:tabs>
              <w:spacing w:line="360" w:lineRule="auto"/>
              <w:rPr>
                <w:rFonts w:ascii="Palatino Linotype" w:eastAsia="Palatino Linotype" w:hAnsi="Palatino Linotype" w:cs="Palatino Linotype"/>
              </w:rPr>
            </w:pPr>
            <w:r>
              <w:rPr>
                <w:rFonts w:ascii="Palatino Linotype" w:eastAsia="Palatino Linotype" w:hAnsi="Palatino Linotype" w:cs="Palatino Linotype"/>
              </w:rPr>
              <w:t>a) Requisitos previos.</w:t>
            </w:r>
          </w:p>
        </w:tc>
        <w:tc>
          <w:tcPr>
            <w:tcW w:w="6520" w:type="dxa"/>
          </w:tcPr>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Al hacerlo tienen que precisar de qué información se trata, señalando el supuesto de clasificación (confidencialidad o reserva).</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Además, se debe señalar el procedimiento, de los tres que establecen los artículos 132 y 106 de la Ley Estatal y General, respectivamente.</w:t>
            </w:r>
          </w:p>
          <w:p w:rsidR="00C90CBB" w:rsidRPr="00D873B8" w:rsidRDefault="00C90CBB" w:rsidP="00855618">
            <w:pPr>
              <w:tabs>
                <w:tab w:val="left" w:pos="284"/>
              </w:tabs>
              <w:spacing w:line="276" w:lineRule="auto"/>
              <w:jc w:val="both"/>
              <w:rPr>
                <w:rFonts w:ascii="Palatino Linotype" w:eastAsia="Palatino Linotype" w:hAnsi="Palatino Linotype" w:cs="Palatino Linotype"/>
                <w:i/>
                <w:sz w:val="22"/>
              </w:rPr>
            </w:pPr>
            <w:r w:rsidRPr="00D873B8">
              <w:rPr>
                <w:rFonts w:ascii="Palatino Linotype" w:eastAsia="Palatino Linotype" w:hAnsi="Palatino Linotype" w:cs="Palatino Linotype"/>
                <w:i/>
                <w:color w:val="000000"/>
                <w:sz w:val="22"/>
              </w:rPr>
              <w:t xml:space="preserve">El último de estos requisitos previos consiste en que no se pueden emitir acuerdos de carácter general ni particular, esto es, </w:t>
            </w:r>
            <w:r w:rsidRPr="00D873B8">
              <w:rPr>
                <w:rFonts w:ascii="Palatino Linotype" w:eastAsia="Palatino Linotype" w:hAnsi="Palatino Linotype" w:cs="Palatino Linotype"/>
                <w:i/>
                <w:color w:val="000000"/>
                <w:sz w:val="22"/>
                <w:u w:val="single"/>
              </w:rPr>
              <w:t>no se puede hacer un acuerdo para clasificar de manera general todos los documentos de un expediente o área, sin</w:t>
            </w:r>
            <w:r w:rsidRPr="00D873B8">
              <w:rPr>
                <w:rFonts w:ascii="Palatino Linotype" w:eastAsia="Palatino Linotype" w:hAnsi="Palatino Linotype" w:cs="Palatino Linotype"/>
                <w:i/>
                <w:color w:val="000000"/>
                <w:sz w:val="22"/>
              </w:rPr>
              <w:t xml:space="preserve"> individualizar su análisis y tampoco se puede hacer un acuerdo por cada dato que se vaya a clasificar dentro de un documento con diez datos, por ejemplo, susceptibles de ser clasificados.</w:t>
            </w:r>
          </w:p>
        </w:tc>
      </w:tr>
      <w:tr w:rsidR="00C90CBB" w:rsidTr="00C90CBB">
        <w:tc>
          <w:tcPr>
            <w:tcW w:w="1980" w:type="dxa"/>
          </w:tcPr>
          <w:p w:rsidR="00C90CBB" w:rsidRDefault="00C90CBB" w:rsidP="00855618">
            <w:pPr>
              <w:tabs>
                <w:tab w:val="left" w:pos="284"/>
              </w:tabs>
              <w:spacing w:line="360" w:lineRule="auto"/>
              <w:rPr>
                <w:rFonts w:ascii="Palatino Linotype" w:eastAsia="Palatino Linotype" w:hAnsi="Palatino Linotype" w:cs="Palatino Linotype"/>
              </w:rPr>
            </w:pPr>
            <w:r>
              <w:rPr>
                <w:rFonts w:ascii="Palatino Linotype" w:eastAsia="Palatino Linotype" w:hAnsi="Palatino Linotype" w:cs="Palatino Linotype"/>
              </w:rPr>
              <w:lastRenderedPageBreak/>
              <w:t>b) Supuestos de clasificación.</w:t>
            </w:r>
          </w:p>
        </w:tc>
        <w:tc>
          <w:tcPr>
            <w:tcW w:w="6520" w:type="dxa"/>
            <w:shd w:val="clear" w:color="auto" w:fill="F2F2F2" w:themeFill="background1" w:themeFillShade="F2"/>
          </w:tcPr>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Las disposiciones constitucionales y legales en la materia establecen los dos supuestos generales para clasificar la información: por reserva y por confidencialidad.</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90CBB" w:rsidRPr="00D873B8" w:rsidRDefault="00C90CBB" w:rsidP="00855618">
            <w:pPr>
              <w:tabs>
                <w:tab w:val="left" w:pos="284"/>
              </w:tabs>
              <w:spacing w:line="276" w:lineRule="auto"/>
              <w:jc w:val="both"/>
              <w:rPr>
                <w:rFonts w:ascii="Palatino Linotype" w:eastAsia="Palatino Linotype" w:hAnsi="Palatino Linotype" w:cs="Palatino Linotype"/>
                <w:i/>
                <w:sz w:val="22"/>
              </w:rPr>
            </w:pPr>
            <w:r w:rsidRPr="00D873B8">
              <w:rPr>
                <w:rFonts w:ascii="Palatino Linotype" w:eastAsia="Palatino Linotype" w:hAnsi="Palatino Linotype" w:cs="Palatino Linotype"/>
                <w:i/>
                <w:color w:val="000000"/>
                <w:sz w:val="22"/>
              </w:rPr>
              <w:t xml:space="preserve">El </w:t>
            </w:r>
            <w:r w:rsidRPr="00D873B8">
              <w:rPr>
                <w:rFonts w:ascii="Palatino Linotype" w:eastAsia="Palatino Linotype" w:hAnsi="Palatino Linotype" w:cs="Palatino Linotype"/>
                <w:b/>
                <w:i/>
                <w:color w:val="000000"/>
                <w:sz w:val="22"/>
              </w:rPr>
              <w:t>Sujeto Obligado</w:t>
            </w:r>
            <w:r w:rsidRPr="00D873B8">
              <w:rPr>
                <w:rFonts w:ascii="Palatino Linotype" w:eastAsia="Palatino Linotype" w:hAnsi="Palatino Linotype" w:cs="Palatino Linotype"/>
                <w:i/>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90CBB" w:rsidTr="00855618">
        <w:tc>
          <w:tcPr>
            <w:tcW w:w="1980" w:type="dxa"/>
          </w:tcPr>
          <w:p w:rsidR="00C90CBB" w:rsidRDefault="00C90CBB" w:rsidP="00855618">
            <w:pPr>
              <w:tabs>
                <w:tab w:val="left" w:pos="284"/>
              </w:tabs>
              <w:spacing w:line="360" w:lineRule="auto"/>
              <w:rPr>
                <w:rFonts w:ascii="Palatino Linotype" w:eastAsia="Palatino Linotype" w:hAnsi="Palatino Linotype" w:cs="Palatino Linotype"/>
              </w:rPr>
            </w:pPr>
            <w:r>
              <w:rPr>
                <w:rFonts w:ascii="Palatino Linotype" w:eastAsia="Palatino Linotype" w:hAnsi="Palatino Linotype" w:cs="Palatino Linotype"/>
              </w:rPr>
              <w:t>c) Formalidades para emitir el acuerdo de clasificación.</w:t>
            </w:r>
          </w:p>
        </w:tc>
        <w:tc>
          <w:tcPr>
            <w:tcW w:w="6520" w:type="dxa"/>
          </w:tcPr>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 xml:space="preserve">El Comité de Transparencia, según lo dispuesto en los artículos cuenta con las facultades para aprobar, modificar o revocar la clasificación de la información que haya propuesto. </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 xml:space="preserve">Es necesario que </w:t>
            </w:r>
            <w:r w:rsidRPr="00D873B8">
              <w:rPr>
                <w:rFonts w:ascii="Palatino Linotype" w:eastAsia="Palatino Linotype" w:hAnsi="Palatino Linotype" w:cs="Palatino Linotype"/>
                <w:b/>
                <w:i/>
                <w:color w:val="000000"/>
                <w:sz w:val="22"/>
                <w:u w:val="single"/>
              </w:rPr>
              <w:t>el acto reúna con los requisitos elementales</w:t>
            </w:r>
            <w:r w:rsidRPr="00D873B8">
              <w:rPr>
                <w:rFonts w:ascii="Palatino Linotype" w:eastAsia="Palatino Linotype" w:hAnsi="Palatino Linotype" w:cs="Palatino Linotype"/>
                <w:i/>
                <w:color w:val="000000"/>
                <w:sz w:val="22"/>
              </w:rPr>
              <w:t>, entre ellos, que la autoridad que va a emitir el acto de autoridad sea la legalmente facultada para ello.</w:t>
            </w:r>
          </w:p>
          <w:p w:rsidR="00C90CBB" w:rsidRPr="00D873B8" w:rsidRDefault="00C90CBB" w:rsidP="00855618">
            <w:pPr>
              <w:tabs>
                <w:tab w:val="left" w:pos="284"/>
              </w:tabs>
              <w:spacing w:line="276" w:lineRule="auto"/>
              <w:jc w:val="both"/>
              <w:rPr>
                <w:rFonts w:ascii="Palatino Linotype" w:eastAsia="Palatino Linotype" w:hAnsi="Palatino Linotype" w:cs="Palatino Linotype"/>
                <w:i/>
                <w:sz w:val="22"/>
              </w:rPr>
            </w:pPr>
            <w:r w:rsidRPr="00D873B8">
              <w:rPr>
                <w:rFonts w:ascii="Palatino Linotype" w:eastAsia="Palatino Linotype" w:hAnsi="Palatino Linotype" w:cs="Palatino Linotype"/>
                <w:i/>
                <w:color w:val="000000"/>
                <w:sz w:val="22"/>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90CBB" w:rsidTr="00C90CBB">
        <w:tc>
          <w:tcPr>
            <w:tcW w:w="1980" w:type="dxa"/>
          </w:tcPr>
          <w:p w:rsidR="00C90CBB" w:rsidRDefault="00C90CBB" w:rsidP="00855618">
            <w:pPr>
              <w:tabs>
                <w:tab w:val="left" w:pos="284"/>
              </w:tabs>
              <w:spacing w:line="360" w:lineRule="auto"/>
              <w:rPr>
                <w:rFonts w:ascii="Palatino Linotype" w:eastAsia="Palatino Linotype" w:hAnsi="Palatino Linotype" w:cs="Palatino Linotype"/>
              </w:rPr>
            </w:pPr>
          </w:p>
          <w:p w:rsidR="00C90CBB" w:rsidRDefault="00C90CBB" w:rsidP="00855618">
            <w:pPr>
              <w:tabs>
                <w:tab w:val="left" w:pos="28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 xml:space="preserve">d) Requisitos de fondo del acuerdo de clasificación. </w:t>
            </w:r>
          </w:p>
        </w:tc>
        <w:tc>
          <w:tcPr>
            <w:tcW w:w="6520" w:type="dxa"/>
            <w:shd w:val="clear" w:color="auto" w:fill="F2F2F2" w:themeFill="background1" w:themeFillShade="F2"/>
          </w:tcPr>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w:t>
            </w:r>
            <w:r w:rsidRPr="00D873B8">
              <w:rPr>
                <w:rFonts w:ascii="Palatino Linotype" w:eastAsia="Palatino Linotype" w:hAnsi="Palatino Linotype" w:cs="Palatino Linotype"/>
                <w:i/>
                <w:color w:val="000000"/>
                <w:sz w:val="22"/>
              </w:rPr>
              <w:lastRenderedPageBreak/>
              <w:t xml:space="preserve">la ley señala que la carga de la prueba, para justificar las restricciones, corresponde a los </w:t>
            </w:r>
            <w:r w:rsidRPr="00D873B8">
              <w:rPr>
                <w:rFonts w:ascii="Palatino Linotype" w:eastAsia="Palatino Linotype" w:hAnsi="Palatino Linotype" w:cs="Palatino Linotype"/>
                <w:b/>
                <w:i/>
                <w:color w:val="000000"/>
                <w:sz w:val="22"/>
              </w:rPr>
              <w:t>Sujetos Obligados</w:t>
            </w:r>
            <w:r w:rsidRPr="00D873B8">
              <w:rPr>
                <w:rFonts w:ascii="Palatino Linotype" w:eastAsia="Palatino Linotype" w:hAnsi="Palatino Linotype" w:cs="Palatino Linotype"/>
                <w:i/>
                <w:color w:val="000000"/>
                <w:sz w:val="22"/>
              </w:rPr>
              <w:t xml:space="preserve">, por lo que deberán fundar y motivar debidamente la clasificación. </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 xml:space="preserve">De lo anterior, se desprende que para una correcta </w:t>
            </w:r>
            <w:r w:rsidRPr="00D873B8">
              <w:rPr>
                <w:rFonts w:ascii="Palatino Linotype" w:eastAsia="Palatino Linotype" w:hAnsi="Palatino Linotype" w:cs="Palatino Linotype"/>
                <w:b/>
                <w:i/>
                <w:color w:val="000000"/>
                <w:sz w:val="22"/>
              </w:rPr>
              <w:t>clasificación total o parcial</w:t>
            </w:r>
            <w:r w:rsidRPr="00D873B8">
              <w:rPr>
                <w:rFonts w:ascii="Palatino Linotype" w:eastAsia="Palatino Linotype" w:hAnsi="Palatino Linotype" w:cs="Palatino Linotype"/>
                <w:i/>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En ese mismo sentido, el numeral trigésimo tercero fracción V de los Lineamientos Generales, precisa que para motivar la clasificación se deben acreditar las circunstancias de tiempo, modo y lugar.</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 xml:space="preserve">Ahora bien, </w:t>
            </w:r>
            <w:r w:rsidRPr="00D873B8">
              <w:rPr>
                <w:rFonts w:ascii="Palatino Linotype" w:eastAsia="Palatino Linotype" w:hAnsi="Palatino Linotype" w:cs="Palatino Linotype"/>
                <w:b/>
                <w:i/>
                <w:color w:val="000000"/>
                <w:sz w:val="22"/>
                <w:u w:val="single"/>
              </w:rPr>
              <w:t>para cada caso además de fundar y motivar</w:t>
            </w:r>
            <w:r w:rsidRPr="00D873B8">
              <w:rPr>
                <w:rFonts w:ascii="Palatino Linotype" w:eastAsia="Palatino Linotype" w:hAnsi="Palatino Linotype" w:cs="Palatino Linotype"/>
                <w:i/>
                <w:color w:val="000000"/>
                <w:sz w:val="22"/>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90CBB" w:rsidTr="00855618">
        <w:tc>
          <w:tcPr>
            <w:tcW w:w="1980" w:type="dxa"/>
          </w:tcPr>
          <w:p w:rsidR="00C90CBB" w:rsidRDefault="00C90CBB" w:rsidP="00855618">
            <w:pPr>
              <w:tabs>
                <w:tab w:val="left" w:pos="284"/>
              </w:tabs>
              <w:spacing w:line="360" w:lineRule="auto"/>
              <w:ind w:right="49"/>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 Condiciones especiales de la clasificación de la información </w:t>
            </w:r>
            <w:r>
              <w:rPr>
                <w:rFonts w:ascii="Palatino Linotype" w:eastAsia="Palatino Linotype" w:hAnsi="Palatino Linotype" w:cs="Palatino Linotype"/>
              </w:rPr>
              <w:lastRenderedPageBreak/>
              <w:t>como confidencial.</w:t>
            </w:r>
          </w:p>
        </w:tc>
        <w:tc>
          <w:tcPr>
            <w:tcW w:w="6520" w:type="dxa"/>
          </w:tcPr>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lastRenderedPageBreak/>
              <w:t xml:space="preserve">Los artículos 148 y 120 de la Ley Estatal y de la Ley General, respectivamente, establecen que aun tratándose de datos personales, se podrán proporcionar, incluso sin solicitar el consentimiento de su titular. </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 xml:space="preserve">En el caso de lo señalado en la fracción IV, será el Instituto quien deba aplicar la prueba de interés público, considerando también que como recientemente ha discutido la Suprema Corte de Justicia de la Nación, </w:t>
            </w:r>
            <w:r w:rsidRPr="00D873B8">
              <w:rPr>
                <w:rFonts w:ascii="Palatino Linotype" w:eastAsia="Palatino Linotype" w:hAnsi="Palatino Linotype" w:cs="Palatino Linotype"/>
                <w:i/>
                <w:color w:val="000000"/>
                <w:sz w:val="22"/>
              </w:rPr>
              <w:lastRenderedPageBreak/>
              <w:t xml:space="preserve">los servidores públicos nos encontramos sujetos a un régimen menor de protección. </w:t>
            </w:r>
          </w:p>
          <w:p w:rsidR="00C90CBB" w:rsidRPr="00D873B8" w:rsidRDefault="00C90CBB" w:rsidP="00855618">
            <w:pPr>
              <w:tabs>
                <w:tab w:val="left" w:pos="284"/>
              </w:tabs>
              <w:spacing w:line="276" w:lineRule="auto"/>
              <w:rPr>
                <w:rFonts w:ascii="Palatino Linotype" w:eastAsia="Palatino Linotype" w:hAnsi="Palatino Linotype" w:cs="Palatino Linotype"/>
                <w:i/>
                <w:sz w:val="22"/>
              </w:rPr>
            </w:pPr>
            <w:r w:rsidRPr="00D873B8">
              <w:rPr>
                <w:rFonts w:ascii="Palatino Linotype" w:eastAsia="Palatino Linotype" w:hAnsi="Palatino Linotype" w:cs="Palatino Linotype"/>
                <w:i/>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90CBB" w:rsidRDefault="00C90CBB" w:rsidP="00C90CBB">
      <w:pPr>
        <w:tabs>
          <w:tab w:val="left" w:pos="284"/>
        </w:tabs>
        <w:spacing w:after="160" w:line="360" w:lineRule="auto"/>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FF646F" w:rsidRPr="00FF646F" w:rsidRDefault="00FF646F" w:rsidP="00FF646F">
      <w:pPr>
        <w:pBdr>
          <w:top w:val="nil"/>
          <w:left w:val="nil"/>
          <w:bottom w:val="nil"/>
          <w:right w:val="nil"/>
          <w:between w:val="nil"/>
        </w:pBdr>
        <w:spacing w:line="360" w:lineRule="auto"/>
        <w:ind w:left="285"/>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w:t>
      </w:r>
      <w:r w:rsidRPr="00FF646F">
        <w:rPr>
          <w:rFonts w:ascii="Palatino Linotype" w:eastAsia="Palatino Linotype" w:hAnsi="Palatino Linotype" w:cs="Palatino Linotype"/>
          <w:color w:val="000000"/>
        </w:rPr>
        <w:lastRenderedPageBreak/>
        <w:t>en donde únicamente se privilegie la publicidad de los datos esenciales para la transparencia y rendición de cuentas, sin afectar la vida privada de las personas.</w:t>
      </w:r>
    </w:p>
    <w:p w:rsidR="00FF646F" w:rsidRPr="00FF646F" w:rsidRDefault="00FF646F" w:rsidP="00FF646F">
      <w:pPr>
        <w:pBdr>
          <w:top w:val="nil"/>
          <w:left w:val="nil"/>
          <w:bottom w:val="nil"/>
          <w:right w:val="nil"/>
          <w:between w:val="nil"/>
        </w:pBdr>
        <w:spacing w:line="360" w:lineRule="auto"/>
        <w:ind w:left="285"/>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el Registro Federal de Contribuyentes (RFC) y la Clave Única de Registro de Población (CURP), el nombre de representante legal de una persona jurídico colectiva; entre otros, ya que son datos que obran en los documentos solicitados.</w:t>
      </w:r>
    </w:p>
    <w:p w:rsidR="00FF646F" w:rsidRPr="00FF646F" w:rsidRDefault="00FF646F" w:rsidP="00FF64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pBdr>
          <w:top w:val="nil"/>
          <w:left w:val="nil"/>
          <w:bottom w:val="nil"/>
          <w:right w:val="nil"/>
          <w:between w:val="nil"/>
        </w:pBdr>
        <w:jc w:val="both"/>
        <w:rPr>
          <w:rFonts w:ascii="Palatino Linotype" w:eastAsia="Palatino Linotype" w:hAnsi="Palatino Linotype" w:cs="Palatino Linotype"/>
          <w:b/>
          <w:color w:val="000000"/>
        </w:rPr>
      </w:pPr>
      <w:r w:rsidRPr="00FF646F">
        <w:rPr>
          <w:rFonts w:ascii="Palatino Linotype" w:eastAsia="Palatino Linotype" w:hAnsi="Palatino Linotype" w:cs="Palatino Linotype"/>
          <w:b/>
          <w:color w:val="000000"/>
        </w:rPr>
        <w:t>Registro Federal de Contribuyentes (RFC)</w:t>
      </w:r>
    </w:p>
    <w:p w:rsidR="00FF646F" w:rsidRPr="00FF646F" w:rsidRDefault="00FF646F" w:rsidP="00FF646F">
      <w:pPr>
        <w:pBdr>
          <w:top w:val="nil"/>
          <w:left w:val="nil"/>
          <w:bottom w:val="nil"/>
          <w:right w:val="nil"/>
          <w:between w:val="nil"/>
        </w:pBdr>
        <w:jc w:val="both"/>
        <w:rPr>
          <w:rFonts w:ascii="Palatino Linotype" w:eastAsia="Palatino Linotype" w:hAnsi="Palatino Linotype" w:cs="Palatino Linotype"/>
          <w:b/>
          <w:color w:val="000000"/>
        </w:rPr>
      </w:pPr>
      <w:r w:rsidRPr="00FF646F">
        <w:rPr>
          <w:rFonts w:ascii="Palatino Linotype" w:eastAsia="Palatino Linotype" w:hAnsi="Palatino Linotype" w:cs="Palatino Linotype"/>
          <w:b/>
          <w:color w:val="000000"/>
        </w:rPr>
        <w:t>Persona física.</w:t>
      </w: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FF646F" w:rsidRPr="00FF646F" w:rsidRDefault="00FF646F" w:rsidP="00FF646F">
      <w:pPr>
        <w:pBdr>
          <w:top w:val="nil"/>
          <w:left w:val="nil"/>
          <w:bottom w:val="nil"/>
          <w:right w:val="nil"/>
          <w:between w:val="nil"/>
        </w:pBdr>
        <w:spacing w:line="360" w:lineRule="auto"/>
        <w:ind w:left="285"/>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 xml:space="preserve">De acuerdo con lo establecido en el artículo en comento, esta clave se compone de trece caracteres alfanuméricos, con datos obtenidos de los apellidos, </w:t>
      </w:r>
      <w:r w:rsidRPr="00FF646F">
        <w:rPr>
          <w:rFonts w:ascii="Palatino Linotype" w:eastAsia="Palatino Linotype" w:hAnsi="Palatino Linotype" w:cs="Palatino Linotype"/>
          <w:color w:val="000000"/>
        </w:rPr>
        <w:lastRenderedPageBreak/>
        <w:t>nombre(s), fecha de nacimiento del titular, más una homoclave que establece el sistema automático del Servicio de Administración Tributaria.</w:t>
      </w:r>
    </w:p>
    <w:p w:rsidR="00FF646F" w:rsidRPr="00FF646F" w:rsidRDefault="00FF646F" w:rsidP="00FF646F">
      <w:pPr>
        <w:pBdr>
          <w:top w:val="nil"/>
          <w:left w:val="nil"/>
          <w:bottom w:val="nil"/>
          <w:right w:val="nil"/>
          <w:between w:val="nil"/>
        </w:pBdr>
        <w:spacing w:line="360" w:lineRule="auto"/>
        <w:ind w:left="285"/>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FF646F" w:rsidRPr="00FF646F" w:rsidRDefault="00FF646F" w:rsidP="00FF64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FF646F" w:rsidRPr="00FF646F" w:rsidRDefault="00FF646F" w:rsidP="00FF646F">
      <w:pPr>
        <w:pBdr>
          <w:top w:val="nil"/>
          <w:left w:val="nil"/>
          <w:bottom w:val="nil"/>
          <w:right w:val="nil"/>
          <w:between w:val="nil"/>
        </w:pBdr>
        <w:spacing w:line="360" w:lineRule="auto"/>
        <w:ind w:left="285"/>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Lo anterior, resulta congruente con el Criterio orientador 19/17 emitido por el Instituto Nacional de Transparencia, Acceso a la Información y Protección de Datos Personales, en el cual se señala lo siguiente:</w:t>
      </w:r>
    </w:p>
    <w:p w:rsidR="00FF646F" w:rsidRPr="00FF646F" w:rsidRDefault="00FF646F" w:rsidP="00FF64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lastRenderedPageBreak/>
        <w:t>Registro Federal de Contribuyentes (RFC) de personas físicas. El RFC es una clave de carácter fiscal, única e irrepetible, que permite identificar al titular, su edad y fecha de nacimiento, por lo que es un dato personal de carácter confidencial.</w:t>
      </w:r>
    </w:p>
    <w:p w:rsidR="00FF646F" w:rsidRPr="00FF646F" w:rsidRDefault="00FF646F" w:rsidP="00CC2A4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De tal suerte, el Registro Federal de Contribuyentes de persona físicas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rsidR="00FF646F" w:rsidRPr="00FF646F" w:rsidRDefault="00FF646F" w:rsidP="00CC2A4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CC2A4A" w:rsidRDefault="00FF646F" w:rsidP="00CC2A4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C2A4A">
        <w:rPr>
          <w:rFonts w:ascii="Palatino Linotype" w:eastAsia="Palatino Linotype" w:hAnsi="Palatino Linotype" w:cs="Palatino Linotype"/>
          <w:b/>
          <w:color w:val="000000"/>
        </w:rPr>
        <w:t>Persona Jurídico-colectiva.</w:t>
      </w: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rsidR="00FF646F" w:rsidRPr="00FF646F" w:rsidRDefault="00FF646F" w:rsidP="00CC2A4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lastRenderedPageBreak/>
        <w:t>Por ende, la información correspondiente al Registro Federal de Contribuyentes de una persona moral da cuenta del cumplimiento o no en sus obligaciones fiscales; por tanto, no se actualiza su clasificación como confidencial.</w:t>
      </w:r>
    </w:p>
    <w:p w:rsidR="00FF646F" w:rsidRPr="00FF646F" w:rsidRDefault="00FF646F" w:rsidP="00CC2A4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Además, resulta aplicable el Criterio orientador 08/19 emitido por el Instituto Nacional de Transparencia, Acceso a la Información y Protección de Datos Personales, que señala lo siguiente:</w:t>
      </w:r>
    </w:p>
    <w:p w:rsidR="00FF646F" w:rsidRPr="00CC2A4A" w:rsidRDefault="00FF646F" w:rsidP="00CC2A4A">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CC2A4A">
        <w:rPr>
          <w:rFonts w:ascii="Palatino Linotype" w:eastAsia="Palatino Linotype" w:hAnsi="Palatino Linotype" w:cs="Palatino Linotype"/>
          <w:i/>
          <w:color w:val="000000"/>
          <w:sz w:val="22"/>
        </w:rPr>
        <w:t>Razón social y RFC de personas morales.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FF646F" w:rsidRPr="00FF646F" w:rsidRDefault="00FF646F" w:rsidP="00CC2A4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Dicho criterio, precisa que el Registro Federal de Contribuyentes de personas morales, es público, al no referir a hechos o actos de carácter económico, contable, jurídico o administrativo que sean útiles o representen una ventaja a sus competidores.</w:t>
      </w:r>
    </w:p>
    <w:p w:rsidR="00FF646F" w:rsidRPr="00FF646F" w:rsidRDefault="00FF646F" w:rsidP="00CC2A4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rsidR="00FF646F" w:rsidRPr="00FF646F" w:rsidRDefault="00FF646F" w:rsidP="00CC2A4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 xml:space="preserve">Además, las personas físicas que realicen las actividades contratadas por las instituciones, renuncian implícitamente a una parte de su derecho a la intimidad al </w:t>
      </w:r>
      <w:r w:rsidRPr="00FF646F">
        <w:rPr>
          <w:rFonts w:ascii="Palatino Linotype" w:eastAsia="Palatino Linotype" w:hAnsi="Palatino Linotype" w:cs="Palatino Linotype"/>
          <w:color w:val="000000"/>
        </w:rPr>
        <w:lastRenderedPageBreak/>
        <w:t>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FF646F" w:rsidRPr="00FF646F" w:rsidRDefault="00FF646F" w:rsidP="00CC2A4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Robustece lo anterior el criterio orientador 04/21 emitido por el Instituto Nacional de Transparencia, Acceso a la Información y Protección de Datos Personales, INAI, el cual refiere:</w:t>
      </w:r>
    </w:p>
    <w:p w:rsidR="00FF646F" w:rsidRPr="00FF646F" w:rsidRDefault="00FF646F" w:rsidP="00FF64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pBdr>
          <w:top w:val="nil"/>
          <w:left w:val="nil"/>
          <w:bottom w:val="nil"/>
          <w:right w:val="nil"/>
          <w:between w:val="nil"/>
        </w:pBdr>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“Registro Federal de Contribuyentes (RFC) de personas físicas proveedoras o contratistas. 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FF646F" w:rsidRPr="00FF646F" w:rsidRDefault="00FF646F" w:rsidP="00FF646F">
      <w:pPr>
        <w:pBdr>
          <w:top w:val="nil"/>
          <w:left w:val="nil"/>
          <w:bottom w:val="nil"/>
          <w:right w:val="nil"/>
          <w:between w:val="nil"/>
        </w:pBdr>
        <w:ind w:left="1134" w:right="851"/>
        <w:jc w:val="both"/>
        <w:rPr>
          <w:rFonts w:ascii="Palatino Linotype" w:eastAsia="Palatino Linotype" w:hAnsi="Palatino Linotype" w:cs="Palatino Linotype"/>
          <w:i/>
          <w:color w:val="000000"/>
          <w:sz w:val="22"/>
        </w:rPr>
      </w:pPr>
    </w:p>
    <w:p w:rsidR="00FF646F" w:rsidRPr="00FF646F" w:rsidRDefault="00FF646F" w:rsidP="00FF646F">
      <w:pPr>
        <w:pBdr>
          <w:top w:val="nil"/>
          <w:left w:val="nil"/>
          <w:bottom w:val="nil"/>
          <w:right w:val="nil"/>
          <w:between w:val="nil"/>
        </w:pBdr>
        <w:ind w:left="1134" w:right="851"/>
        <w:jc w:val="both"/>
        <w:rPr>
          <w:rFonts w:ascii="Palatino Linotype" w:eastAsia="Palatino Linotype" w:hAnsi="Palatino Linotype" w:cs="Palatino Linotype"/>
          <w:i/>
          <w:color w:val="000000"/>
          <w:sz w:val="22"/>
        </w:rPr>
      </w:pPr>
    </w:p>
    <w:p w:rsidR="00FF646F" w:rsidRPr="00FF646F" w:rsidRDefault="00FF646F" w:rsidP="00FF646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F646F">
        <w:rPr>
          <w:rFonts w:ascii="Palatino Linotype" w:eastAsia="Palatino Linotype" w:hAnsi="Palatino Linotype" w:cs="Palatino Linotype"/>
          <w:b/>
          <w:color w:val="000000"/>
        </w:rPr>
        <w:t>Clave Única de Registro de Población (CURP).</w:t>
      </w: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lastRenderedPageBreak/>
        <w:t xml:space="preserve">Argumento que es compartido por el Instituto Nacional de Transparencia, Acceso a la Información y Protección de Datos Personales, INAI, conforme al criterio orientador 18/17, el cual refiere: </w:t>
      </w:r>
    </w:p>
    <w:p w:rsidR="00FF646F" w:rsidRPr="00FF646F" w:rsidRDefault="00FF646F" w:rsidP="00FF646F">
      <w:pPr>
        <w:pBdr>
          <w:top w:val="nil"/>
          <w:left w:val="nil"/>
          <w:bottom w:val="nil"/>
          <w:right w:val="nil"/>
          <w:between w:val="nil"/>
        </w:pBdr>
        <w:ind w:left="1134" w:right="992"/>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F646F" w:rsidRPr="00FF646F" w:rsidRDefault="00FF646F" w:rsidP="00A83E2B">
      <w:pPr>
        <w:pBdr>
          <w:top w:val="nil"/>
          <w:left w:val="nil"/>
          <w:bottom w:val="nil"/>
          <w:right w:val="nil"/>
          <w:between w:val="nil"/>
        </w:pBdr>
        <w:spacing w:line="480" w:lineRule="auto"/>
        <w:ind w:left="1134" w:right="992"/>
        <w:jc w:val="both"/>
        <w:rPr>
          <w:rFonts w:ascii="Palatino Linotype" w:eastAsia="Palatino Linotype" w:hAnsi="Palatino Linotype" w:cs="Palatino Linotype"/>
          <w:i/>
          <w:color w:val="000000"/>
          <w:sz w:val="22"/>
        </w:rPr>
      </w:pPr>
    </w:p>
    <w:p w:rsidR="00FF646F" w:rsidRPr="00A83E2B" w:rsidRDefault="00A83E2B" w:rsidP="00FF646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A83E2B">
        <w:rPr>
          <w:rFonts w:ascii="Palatino Linotype" w:eastAsia="Palatino Linotype" w:hAnsi="Palatino Linotype" w:cs="Palatino Linotype"/>
          <w:b/>
          <w:color w:val="000000"/>
        </w:rPr>
        <w:t>CUENTAS BANCARIAS O CLABES INTERBANCARIAS</w:t>
      </w: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Resulta importante señalar que tratándose de las cuentas bancarias o clabes interbancarias de los Sujetos Obligados ya que su publicidad cede a la rendición de cuentas al transparentar la forma en que son administrados los recursos públicos.</w:t>
      </w:r>
    </w:p>
    <w:p w:rsidR="00FF646F" w:rsidRPr="00FF646F" w:rsidRDefault="00FF646F" w:rsidP="00FF64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Lo argumentado encuentra sustento en los criterios orientadores 10/17 y 11/17 emitidos por el Instituto Nacional de Transparencia, Acceso a la Información y Protección de Datos Personales, INAI, que llevan por rubro y texto los siguientes:</w:t>
      </w:r>
    </w:p>
    <w:p w:rsid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“Cuentas bancarias y/o CLABE interbancaria de personas físicas y morales privadas.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p>
    <w:p w:rsidR="00FF646F" w:rsidRPr="00CC2A4A" w:rsidRDefault="00FF646F" w:rsidP="00CC2A4A">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CC2A4A">
        <w:rPr>
          <w:rFonts w:ascii="Palatino Linotype" w:eastAsia="Palatino Linotype" w:hAnsi="Palatino Linotype" w:cs="Palatino Linotype"/>
          <w:i/>
          <w:color w:val="000000"/>
          <w:sz w:val="22"/>
        </w:rPr>
        <w:lastRenderedPageBreak/>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CC2A4A" w:rsidRPr="00CC2A4A" w:rsidRDefault="00CC2A4A" w:rsidP="00CC2A4A">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Si bien las cuentas bancarias y/o CLABE de personas que reciben y/o transfieren recursos públicos corresponden a datos personales, no actualizan la causal de clasificación establecida en el artículo 143, fracción I, de la Ley de Transparencia y Acceso a la Información Pública del Estado de México y Municipios.</w:t>
      </w:r>
    </w:p>
    <w:p w:rsidR="00FF646F" w:rsidRPr="00FF646F" w:rsidRDefault="00FF646F" w:rsidP="00FF64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F646F">
        <w:rPr>
          <w:rFonts w:ascii="Palatino Linotype" w:eastAsia="Palatino Linotype" w:hAnsi="Palatino Linotype" w:cs="Palatino Linotype"/>
          <w:b/>
          <w:color w:val="000000"/>
        </w:rPr>
        <w:t>Nombre, firma y rúbrica de representante legal.</w:t>
      </w: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Al respecto, resulta necesario señalar que las personas jurídico colectivas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solicitar y recibir diversas Licencias de Funcionamiento.</w:t>
      </w:r>
    </w:p>
    <w:p w:rsidR="00FF646F" w:rsidRPr="00FF646F" w:rsidRDefault="00FF646F" w:rsidP="00FF64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FF646F" w:rsidRPr="00FF646F" w:rsidRDefault="00FF646F" w:rsidP="00FF64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En esa tesitura, la representación de las personas morales se realizará por medio de representantes o apoderados, y en el caso específico de las sociedades mercantiles, dicha representación se otorgará mediante instrumento público.</w:t>
      </w:r>
    </w:p>
    <w:p w:rsidR="00FF646F" w:rsidRPr="00FF646F" w:rsidRDefault="00FF646F" w:rsidP="00FF64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rsidR="00FF646F" w:rsidRPr="00FF646F" w:rsidRDefault="00FF646F" w:rsidP="00FF64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la firma y la rúbrica del apoderado legal de una empresa, es público, 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FF646F" w:rsidRPr="00FF646F" w:rsidRDefault="00FF646F" w:rsidP="00FF64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Lo anterior, se robustece con el criterio orientador 01/19, emitido por el Instituto Nacional de Transparencia, Acceso a la Información Pública y Protección de Datos Personales, que establece lo siguiente:</w:t>
      </w:r>
    </w:p>
    <w:p w:rsidR="00FF646F" w:rsidRPr="00FF646F" w:rsidRDefault="00FF646F" w:rsidP="00FF646F">
      <w:pPr>
        <w:pBdr>
          <w:top w:val="nil"/>
          <w:left w:val="nil"/>
          <w:bottom w:val="nil"/>
          <w:right w:val="nil"/>
          <w:between w:val="nil"/>
        </w:pBdr>
        <w:spacing w:line="360" w:lineRule="auto"/>
        <w:ind w:left="142"/>
        <w:jc w:val="both"/>
        <w:rPr>
          <w:rFonts w:ascii="Palatino Linotype" w:eastAsia="Palatino Linotype" w:hAnsi="Palatino Linotype" w:cs="Palatino Linotype"/>
          <w:color w:val="000000"/>
        </w:rPr>
      </w:pPr>
    </w:p>
    <w:p w:rsidR="00FF646F" w:rsidRPr="00FF646F" w:rsidRDefault="00FF646F" w:rsidP="00FF646F">
      <w:pPr>
        <w:pBdr>
          <w:top w:val="nil"/>
          <w:left w:val="nil"/>
          <w:bottom w:val="nil"/>
          <w:right w:val="nil"/>
          <w:between w:val="nil"/>
        </w:pBdr>
        <w:spacing w:line="360"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Datos de identificación del representante o apoderado legal. Naturaleza jurídica. 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FF646F" w:rsidRPr="00FF646F" w:rsidRDefault="00FF646F" w:rsidP="00FF646F">
      <w:pPr>
        <w:pBdr>
          <w:top w:val="nil"/>
          <w:left w:val="nil"/>
          <w:bottom w:val="nil"/>
          <w:right w:val="nil"/>
          <w:between w:val="nil"/>
        </w:pBdr>
        <w:spacing w:line="360" w:lineRule="auto"/>
        <w:ind w:left="1134" w:right="851"/>
        <w:jc w:val="both"/>
        <w:rPr>
          <w:rFonts w:ascii="Palatino Linotype" w:eastAsia="Palatino Linotype" w:hAnsi="Palatino Linotype" w:cs="Palatino Linotype"/>
          <w:i/>
          <w:color w:val="000000"/>
          <w:sz w:val="22"/>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Ante tales situaciones, el nombre, firma y rúbrica del representante legal, de una persona jurídica colectiva que solicitó una Licencia de Funcionamiento, no es susceptible de ser clasificado como confidencial, en términos del artículo 143, fracción I de la Ley Federal de Transparencia y Acceso a la Información Pública; inclusive ayuda a rendir cuentas, de que dicha autorización fue entregada a la persona adecuada.</w:t>
      </w:r>
    </w:p>
    <w:p w:rsidR="00FF646F" w:rsidRPr="00FF646F" w:rsidRDefault="00FF646F" w:rsidP="00FF646F">
      <w:pPr>
        <w:pBdr>
          <w:top w:val="nil"/>
          <w:left w:val="nil"/>
          <w:bottom w:val="nil"/>
          <w:right w:val="nil"/>
          <w:between w:val="nil"/>
        </w:pBdr>
        <w:spacing w:line="360" w:lineRule="auto"/>
        <w:ind w:left="142"/>
        <w:jc w:val="both"/>
        <w:rPr>
          <w:rFonts w:ascii="Palatino Linotype" w:eastAsia="Palatino Linotype" w:hAnsi="Palatino Linotype" w:cs="Palatino Linotype"/>
          <w:color w:val="000000"/>
        </w:rPr>
      </w:pPr>
    </w:p>
    <w:p w:rsidR="00FF646F" w:rsidRPr="00FF646F" w:rsidRDefault="00FF646F" w:rsidP="00FF646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F646F">
        <w:rPr>
          <w:rFonts w:ascii="Palatino Linotype" w:eastAsia="Palatino Linotype" w:hAnsi="Palatino Linotype" w:cs="Palatino Linotype"/>
          <w:b/>
          <w:color w:val="000000"/>
        </w:rPr>
        <w:t>Domicilio Fiscal o legal (proveedor persona física o moral)</w:t>
      </w: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FF646F" w:rsidRPr="00FF646F" w:rsidRDefault="00FF646F" w:rsidP="00FF646F">
      <w:pPr>
        <w:pBdr>
          <w:top w:val="nil"/>
          <w:left w:val="nil"/>
          <w:bottom w:val="nil"/>
          <w:right w:val="nil"/>
          <w:between w:val="nil"/>
        </w:pBdr>
        <w:spacing w:line="360" w:lineRule="auto"/>
        <w:ind w:left="142"/>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Además, respecto al domicilio fiscal, resulta necesario traer el artículo 22 del Código Financiero del Estado de México y Municipios, que establece:</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lastRenderedPageBreak/>
        <w:t xml:space="preserve">Artículo 22.- Se considera domicilio fiscal de las personas físicas y jurídicas colectivas: </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 xml:space="preserve">I. El lugar o establecimiento donde se realicen actividades que generen obligaciones fiscales. </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 xml:space="preserve">II. El lugar o establecimiento en que se realice el hecho generador de la obligación fiscal, cuando las actividades no se realicen en forma habitual. </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 xml:space="preserve">III. El inmueble en el que residan en el territorio del Estado de México, cuando realicen sus actividades en la vía pública, en puestos fijos y semifijos; </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 xml:space="preserve">IV. La residencia que identifique la autoridad fiscal, cuando exista certeza de que es el único lugar posible de localización del contribuyente. </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V. 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p>
    <w:p w:rsidR="00FF646F" w:rsidRPr="00FF646F" w:rsidRDefault="00FF646F" w:rsidP="00FF646F">
      <w:pPr>
        <w:pBdr>
          <w:top w:val="nil"/>
          <w:left w:val="nil"/>
          <w:bottom w:val="nil"/>
          <w:right w:val="nil"/>
          <w:between w:val="nil"/>
        </w:pBdr>
        <w:spacing w:line="360" w:lineRule="auto"/>
        <w:ind w:left="142"/>
        <w:jc w:val="both"/>
        <w:rPr>
          <w:rFonts w:ascii="Palatino Linotype" w:eastAsia="Palatino Linotype" w:hAnsi="Palatino Linotype" w:cs="Palatino Linotype"/>
          <w:b/>
          <w:color w:val="000000"/>
        </w:rPr>
      </w:pPr>
      <w:r w:rsidRPr="00FF646F">
        <w:rPr>
          <w:rFonts w:ascii="Palatino Linotype" w:eastAsia="Palatino Linotype" w:hAnsi="Palatino Linotype" w:cs="Palatino Linotype"/>
          <w:b/>
          <w:color w:val="000000"/>
        </w:rPr>
        <w:t>Número telefónico</w:t>
      </w: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Un número de teléfono es una secuencia de dígitos utilizada para identificar una línea telefónica dentro de una Red Telefónica Conmutada, el número contiene la información necesaria para identificar el punto final de la llamada. Los números de teléfono están a menudo asignados a líneas que tienen conectados dispositivos distintos de un teléfono, tales como faxes y módems. Cada uno de esos puntos de terminación de red deben de tener un número único en la red para poder realizar una llamada telefónica.</w:t>
      </w:r>
    </w:p>
    <w:p w:rsidR="00FF646F" w:rsidRPr="00FF646F" w:rsidRDefault="00FF646F" w:rsidP="00FF646F">
      <w:pPr>
        <w:pBdr>
          <w:top w:val="nil"/>
          <w:left w:val="nil"/>
          <w:bottom w:val="nil"/>
          <w:right w:val="nil"/>
          <w:between w:val="nil"/>
        </w:pBdr>
        <w:spacing w:line="360" w:lineRule="auto"/>
        <w:ind w:left="142"/>
        <w:jc w:val="both"/>
        <w:rPr>
          <w:rFonts w:ascii="Palatino Linotype" w:eastAsia="Palatino Linotype" w:hAnsi="Palatino Linotype" w:cs="Palatino Linotype"/>
          <w:color w:val="000000"/>
        </w:rPr>
      </w:pPr>
    </w:p>
    <w:p w:rsidR="00FF646F" w:rsidRPr="00FF646F" w:rsidRDefault="00FF646F" w:rsidP="00FF646F">
      <w:pPr>
        <w:pBdr>
          <w:top w:val="nil"/>
          <w:left w:val="nil"/>
          <w:bottom w:val="nil"/>
          <w:right w:val="nil"/>
          <w:between w:val="nil"/>
        </w:pBdr>
        <w:spacing w:line="360" w:lineRule="auto"/>
        <w:ind w:left="142"/>
        <w:jc w:val="both"/>
        <w:rPr>
          <w:rFonts w:ascii="Palatino Linotype" w:eastAsia="Palatino Linotype" w:hAnsi="Palatino Linotype" w:cs="Palatino Linotype"/>
          <w:b/>
          <w:color w:val="000000"/>
        </w:rPr>
      </w:pPr>
      <w:r w:rsidRPr="00FF646F">
        <w:rPr>
          <w:rFonts w:ascii="Palatino Linotype" w:eastAsia="Palatino Linotype" w:hAnsi="Palatino Linotype" w:cs="Palatino Linotype"/>
          <w:b/>
          <w:color w:val="000000"/>
        </w:rPr>
        <w:lastRenderedPageBreak/>
        <w:t>Correo electrónico</w:t>
      </w: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El correo electrónico es un sistema de transmisión de mensajes a través de internet.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FF646F" w:rsidRPr="00FF646F" w:rsidRDefault="00FF646F" w:rsidP="00FF646F">
      <w:pPr>
        <w:pBdr>
          <w:top w:val="nil"/>
          <w:left w:val="nil"/>
          <w:bottom w:val="nil"/>
          <w:right w:val="nil"/>
          <w:between w:val="nil"/>
        </w:pBdr>
        <w:spacing w:line="360" w:lineRule="auto"/>
        <w:ind w:left="142"/>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Al respecto debe mencionarse que conforme a lo establecido en los criterios números 16, 18 y 19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artículo 70, el domicilio fiscal, y datos de contacto como teléfono y correo electrónico de los proveedores y contratistas, es un dato que debe ser público, motivo por el cual no es procedente que se realice su clasificación como confidencial.</w:t>
      </w:r>
    </w:p>
    <w:p w:rsidR="00FF646F" w:rsidRPr="00FF646F" w:rsidRDefault="00FF646F" w:rsidP="00FF646F">
      <w:pPr>
        <w:pBdr>
          <w:top w:val="nil"/>
          <w:left w:val="nil"/>
          <w:bottom w:val="nil"/>
          <w:right w:val="nil"/>
          <w:between w:val="nil"/>
        </w:pBdr>
        <w:spacing w:line="360" w:lineRule="auto"/>
        <w:ind w:left="142"/>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 xml:space="preserve">Asimismo, existe diversa información en los documentos fiscales que constituyen un elemento adicional que permite a cualquier persona verificar la legitimidad del documento, por sí solos no contienen datos personales susceptibles de clasificación, ya que no hacen identificable al titular, pues dichos datos sólo son </w:t>
      </w:r>
      <w:r w:rsidRPr="00FF646F">
        <w:rPr>
          <w:rFonts w:ascii="Palatino Linotype" w:eastAsia="Palatino Linotype" w:hAnsi="Palatino Linotype" w:cs="Palatino Linotype"/>
          <w:color w:val="000000"/>
        </w:rPr>
        <w:lastRenderedPageBreak/>
        <w:t>de utilidad de manera directa a la Secretaría de Hacienda y Crédito Público y si bien, en un momento derivan información personal de los contribuyentes, esta se encuentra encriptada como se verá a continuación.</w:t>
      </w:r>
    </w:p>
    <w:p w:rsidR="00FF646F" w:rsidRPr="00FF646F" w:rsidRDefault="00FF646F" w:rsidP="00FF646F">
      <w:pPr>
        <w:pBdr>
          <w:top w:val="nil"/>
          <w:left w:val="nil"/>
          <w:bottom w:val="nil"/>
          <w:right w:val="nil"/>
          <w:between w:val="nil"/>
        </w:pBdr>
        <w:spacing w:line="360" w:lineRule="auto"/>
        <w:ind w:left="142"/>
        <w:jc w:val="both"/>
        <w:rPr>
          <w:rFonts w:ascii="Palatino Linotype" w:eastAsia="Palatino Linotype" w:hAnsi="Palatino Linotype" w:cs="Palatino Linotype"/>
          <w:color w:val="000000"/>
        </w:rPr>
      </w:pPr>
    </w:p>
    <w:p w:rsidR="00FF646F" w:rsidRPr="00FF646F" w:rsidRDefault="00FF646F" w:rsidP="00FF646F">
      <w:pPr>
        <w:pBdr>
          <w:top w:val="nil"/>
          <w:left w:val="nil"/>
          <w:bottom w:val="nil"/>
          <w:right w:val="nil"/>
          <w:between w:val="nil"/>
        </w:pBdr>
        <w:spacing w:line="360" w:lineRule="auto"/>
        <w:ind w:left="142"/>
        <w:jc w:val="both"/>
        <w:rPr>
          <w:rFonts w:ascii="Palatino Linotype" w:eastAsia="Palatino Linotype" w:hAnsi="Palatino Linotype" w:cs="Palatino Linotype"/>
          <w:b/>
          <w:color w:val="000000"/>
        </w:rPr>
      </w:pPr>
      <w:r w:rsidRPr="00FF646F">
        <w:rPr>
          <w:rFonts w:ascii="Palatino Linotype" w:eastAsia="Palatino Linotype" w:hAnsi="Palatino Linotype" w:cs="Palatino Linotype"/>
          <w:b/>
          <w:color w:val="000000"/>
        </w:rPr>
        <w:t xml:space="preserve">Código Bidimensional o QR. </w:t>
      </w:r>
    </w:p>
    <w:p w:rsidR="0053655E"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 xml:space="preserve">En principio, resulta necesario señalar que los comprobantes fiscales digitales por Internet, deben de incluir el código de barras bidimensional generado conforme a las especificaciones técnicas que se establecen en el rubro I.D. del Anexo 20; en tal sentido, el Anexo 20 de la Resolución Miscelánea Fiscal para 2022, publicado el 23 de enero de 2022, en el Diario Oficial de la Federación, consultable en la </w:t>
      </w:r>
      <w:r w:rsidR="0053655E">
        <w:rPr>
          <w:rFonts w:ascii="Palatino Linotype" w:eastAsia="Palatino Linotype" w:hAnsi="Palatino Linotype" w:cs="Palatino Linotype"/>
          <w:color w:val="000000"/>
        </w:rPr>
        <w:t xml:space="preserve"> siguiente liga</w:t>
      </w:r>
      <w:r w:rsidRPr="00FF646F">
        <w:rPr>
          <w:rFonts w:ascii="Palatino Linotype" w:eastAsia="Palatino Linotype" w:hAnsi="Palatino Linotype" w:cs="Palatino Linotype"/>
          <w:color w:val="000000"/>
        </w:rPr>
        <w:t xml:space="preserve"> electrónica</w:t>
      </w:r>
      <w:r w:rsidR="0053655E">
        <w:rPr>
          <w:rFonts w:ascii="Palatino Linotype" w:eastAsia="Palatino Linotype" w:hAnsi="Palatino Linotype" w:cs="Palatino Linotype"/>
          <w:color w:val="000000"/>
        </w:rPr>
        <w:t xml:space="preserve">: </w:t>
      </w:r>
    </w:p>
    <w:p w:rsidR="0053655E" w:rsidRDefault="00BB0B9E" w:rsidP="0053655E">
      <w:pPr>
        <w:pBdr>
          <w:top w:val="nil"/>
          <w:left w:val="nil"/>
          <w:bottom w:val="nil"/>
          <w:right w:val="nil"/>
          <w:between w:val="nil"/>
        </w:pBdr>
        <w:spacing w:line="360" w:lineRule="auto"/>
        <w:jc w:val="center"/>
        <w:rPr>
          <w:rFonts w:ascii="Palatino Linotype" w:eastAsia="Palatino Linotype" w:hAnsi="Palatino Linotype" w:cs="Palatino Linotype"/>
          <w:i/>
          <w:color w:val="000000"/>
          <w:sz w:val="22"/>
        </w:rPr>
      </w:pPr>
      <w:hyperlink r:id="rId11" w:history="1">
        <w:r w:rsidR="00FF646F" w:rsidRPr="0053655E">
          <w:rPr>
            <w:rStyle w:val="Hipervnculo"/>
            <w:rFonts w:ascii="Palatino Linotype" w:eastAsia="Palatino Linotype" w:hAnsi="Palatino Linotype" w:cs="Palatino Linotype"/>
            <w:i/>
            <w:sz w:val="22"/>
          </w:rPr>
          <w:t>https://www.dof.gob.mx/nota_detalle_popup.php?codigo=5640565</w:t>
        </w:r>
      </w:hyperlink>
      <w:r w:rsidR="00FF646F" w:rsidRPr="0053655E">
        <w:rPr>
          <w:rFonts w:ascii="Palatino Linotype" w:eastAsia="Palatino Linotype" w:hAnsi="Palatino Linotype" w:cs="Palatino Linotype"/>
          <w:i/>
          <w:color w:val="000000"/>
          <w:sz w:val="22"/>
        </w:rPr>
        <w:t xml:space="preserve">  </w:t>
      </w:r>
    </w:p>
    <w:p w:rsidR="00FF646F" w:rsidRPr="00FF646F" w:rsidRDefault="0053655E" w:rsidP="0053655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Refieriendo</w:t>
      </w:r>
      <w:r w:rsidR="00FF646F" w:rsidRPr="00FF646F">
        <w:rPr>
          <w:rFonts w:ascii="Palatino Linotype" w:eastAsia="Palatino Linotype" w:hAnsi="Palatino Linotype" w:cs="Palatino Linotype"/>
          <w:color w:val="000000"/>
        </w:rPr>
        <w:t xml:space="preserve"> lo siguiente:</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 xml:space="preserve">D. Especificación técnica del código de barras bidimensional a incorporar en la representación impresa. </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 xml:space="preserve">Las representaciones impresas de los dos tipos de comprobantes fiscales digitales por Internet deben incluir un QR conforme a lo, descrito en el estándar ISO/IEC18004, con base en los siguientes lineamientos. </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 xml:space="preserve">a) Debe contener los siguientes datos en la siguiente secuencia: </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 xml:space="preserve">1. La URL del acceso al servicio que pueda mostrar los datos de la versión pública del comprobante. </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 xml:space="preserve">2. Número de folio fiscal del comprobante (UUID). </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 xml:space="preserve">3. RFC del emisor. </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 xml:space="preserve">4. RFC del receptor. </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 xml:space="preserve">5. Total del comprobante. </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6. Ocho últimos caracteres del sello digital del emisor del comprobante.</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 xml:space="preserve">Incluso con la captura de dicho código, a través de la aplicación móvil del Servicio de Administración Tributaria, permite el acceso al Registro Federal de Contribuyentes, como del Sujeto Obligado, como del proveedor, persona física o moral. </w:t>
      </w:r>
    </w:p>
    <w:p w:rsidR="00FF646F" w:rsidRPr="00FF646F" w:rsidRDefault="00FF646F" w:rsidP="00FF646F">
      <w:pPr>
        <w:pBdr>
          <w:top w:val="nil"/>
          <w:left w:val="nil"/>
          <w:bottom w:val="nil"/>
          <w:right w:val="nil"/>
          <w:between w:val="nil"/>
        </w:pBdr>
        <w:spacing w:line="360" w:lineRule="auto"/>
        <w:ind w:left="142"/>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únicamente da cuenta de datos que como se analizó en párrafos anteriores, no son susceptibles a testar.</w:t>
      </w:r>
    </w:p>
    <w:p w:rsidR="00FF646F" w:rsidRDefault="00FF646F" w:rsidP="00FF646F">
      <w:pPr>
        <w:pBdr>
          <w:top w:val="nil"/>
          <w:left w:val="nil"/>
          <w:bottom w:val="nil"/>
          <w:right w:val="nil"/>
          <w:between w:val="nil"/>
        </w:pBdr>
        <w:spacing w:line="360" w:lineRule="auto"/>
        <w:ind w:left="142"/>
        <w:jc w:val="both"/>
        <w:rPr>
          <w:rFonts w:ascii="Palatino Linotype" w:eastAsia="Palatino Linotype" w:hAnsi="Palatino Linotype" w:cs="Palatino Linotype"/>
          <w:color w:val="000000"/>
        </w:rPr>
      </w:pPr>
    </w:p>
    <w:p w:rsidR="00FF646F" w:rsidRPr="00FF646F" w:rsidRDefault="00FF646F" w:rsidP="00FF646F">
      <w:pPr>
        <w:pBdr>
          <w:top w:val="nil"/>
          <w:left w:val="nil"/>
          <w:bottom w:val="nil"/>
          <w:right w:val="nil"/>
          <w:between w:val="nil"/>
        </w:pBdr>
        <w:spacing w:line="360" w:lineRule="auto"/>
        <w:ind w:left="142"/>
        <w:jc w:val="both"/>
        <w:rPr>
          <w:rFonts w:ascii="Palatino Linotype" w:eastAsia="Palatino Linotype" w:hAnsi="Palatino Linotype" w:cs="Palatino Linotype"/>
          <w:b/>
          <w:color w:val="000000"/>
        </w:rPr>
      </w:pPr>
      <w:r w:rsidRPr="00FF646F">
        <w:rPr>
          <w:rFonts w:ascii="Palatino Linotype" w:eastAsia="Palatino Linotype" w:hAnsi="Palatino Linotype" w:cs="Palatino Linotype"/>
          <w:b/>
          <w:color w:val="000000"/>
        </w:rPr>
        <w:t>Cadenas originales y sellos.</w:t>
      </w: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“Elementos utilizados en la generación de Sellos Digitales:</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w:t>
      </w:r>
      <w:r w:rsidRPr="00FF646F">
        <w:rPr>
          <w:rFonts w:ascii="Palatino Linotype" w:eastAsia="Palatino Linotype" w:hAnsi="Palatino Linotype" w:cs="Palatino Linotype"/>
          <w:i/>
          <w:color w:val="000000"/>
          <w:sz w:val="22"/>
        </w:rPr>
        <w:tab/>
        <w:t>Cadena Original, el elemento a sellar, en este caso de un comprobante fiscal digital a través de Internet.</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w:t>
      </w:r>
      <w:r w:rsidRPr="00FF646F">
        <w:rPr>
          <w:rFonts w:ascii="Palatino Linotype" w:eastAsia="Palatino Linotype" w:hAnsi="Palatino Linotype" w:cs="Palatino Linotype"/>
          <w:i/>
          <w:color w:val="000000"/>
          <w:sz w:val="22"/>
        </w:rPr>
        <w:tab/>
        <w:t>Certificado de Sello Digital y su correspondiente clave privada.</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lastRenderedPageBreak/>
        <w:t>•</w:t>
      </w:r>
      <w:r w:rsidRPr="00FF646F">
        <w:rPr>
          <w:rFonts w:ascii="Palatino Linotype" w:eastAsia="Palatino Linotype" w:hAnsi="Palatino Linotype" w:cs="Palatino Linotype"/>
          <w:i/>
          <w:color w:val="000000"/>
          <w:sz w:val="22"/>
        </w:rPr>
        <w:tab/>
        <w:t>Algoritmos de criptografía de clave pública para firma electrónica avanzada.</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w:t>
      </w:r>
      <w:r w:rsidRPr="00FF646F">
        <w:rPr>
          <w:rFonts w:ascii="Palatino Linotype" w:eastAsia="Palatino Linotype" w:hAnsi="Palatino Linotype" w:cs="Palatino Linotype"/>
          <w:i/>
          <w:color w:val="000000"/>
          <w:sz w:val="22"/>
        </w:rPr>
        <w:tab/>
        <w:t>Especificaciones de conversión de la firma electrónica avanzada a Base 64.</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Para la generación de sellos digitales se utiliza criptografía de clave pública aplicada a una cadena original.</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Criptografía de la Clave Pública</w:t>
      </w:r>
    </w:p>
    <w:p w:rsidR="00FF646F" w:rsidRPr="00FF646F" w:rsidRDefault="00FF646F"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sz w:val="22"/>
        </w:rPr>
      </w:pPr>
      <w:r w:rsidRPr="00FF646F">
        <w:rPr>
          <w:rFonts w:ascii="Palatino Linotype" w:eastAsia="Palatino Linotype" w:hAnsi="Palatino Linotype" w:cs="Palatino Linotype"/>
          <w:i/>
          <w:color w:val="000000"/>
          <w:sz w:val="22"/>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FF646F" w:rsidRPr="00FF646F" w:rsidRDefault="00FF646F" w:rsidP="00FF646F">
      <w:pPr>
        <w:pBdr>
          <w:top w:val="nil"/>
          <w:left w:val="nil"/>
          <w:bottom w:val="nil"/>
          <w:right w:val="nil"/>
          <w:between w:val="nil"/>
        </w:pBdr>
        <w:spacing w:line="360" w:lineRule="auto"/>
        <w:ind w:left="142"/>
        <w:jc w:val="both"/>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8A55E6" w:rsidRDefault="008A55E6" w:rsidP="00FF64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90CBB" w:rsidRDefault="00FF646F" w:rsidP="00C90CBB">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expuesto</w:t>
      </w:r>
      <w:r w:rsidR="00C90CBB">
        <w:rPr>
          <w:rFonts w:ascii="Palatino Linotype" w:eastAsia="Palatino Linotype" w:hAnsi="Palatino Linotype" w:cs="Palatino Linotype"/>
          <w:color w:val="000000"/>
        </w:rPr>
        <w:t>,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C90CBB" w:rsidRPr="00A424A4" w:rsidRDefault="00C90CBB" w:rsidP="00C90CBB">
      <w:pPr>
        <w:numPr>
          <w:ilvl w:val="0"/>
          <w:numId w:val="23"/>
        </w:numPr>
        <w:tabs>
          <w:tab w:val="left" w:pos="284"/>
        </w:tabs>
        <w:spacing w:line="360" w:lineRule="auto"/>
        <w:ind w:left="0" w:firstLine="0"/>
        <w:jc w:val="both"/>
        <w:rPr>
          <w:rFonts w:ascii="Palatino Linotype" w:eastAsia="Palatino Linotype" w:hAnsi="Palatino Linotype" w:cs="Palatino Linotype"/>
          <w:color w:val="000000"/>
        </w:rPr>
      </w:pPr>
      <w:r w:rsidRPr="00A424A4">
        <w:rPr>
          <w:rFonts w:ascii="Palatino Linotype" w:eastAsia="Palatino Linotype" w:hAnsi="Palatino Linotype" w:cs="Palatino Linotype"/>
          <w:color w:val="000000"/>
        </w:rPr>
        <w:lastRenderedPageBreak/>
        <w:t xml:space="preserve"> </w:t>
      </w:r>
      <w:r w:rsidRPr="00A424A4">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rsidR="00C90CBB" w:rsidRDefault="00C90CBB" w:rsidP="00C90CBB">
      <w:pPr>
        <w:tabs>
          <w:tab w:val="left" w:pos="284"/>
        </w:tabs>
        <w:spacing w:line="360" w:lineRule="auto"/>
        <w:jc w:val="both"/>
        <w:rPr>
          <w:rFonts w:ascii="Palatino Linotype" w:eastAsia="Palatino Linotype" w:hAnsi="Palatino Linotype" w:cs="Palatino Linotype"/>
          <w:color w:val="000000"/>
          <w:sz w:val="22"/>
          <w:szCs w:val="22"/>
        </w:rPr>
      </w:pPr>
    </w:p>
    <w:p w:rsidR="00D675D0" w:rsidRPr="00BF0631" w:rsidRDefault="00D675D0" w:rsidP="00A83E2B">
      <w:pPr>
        <w:numPr>
          <w:ilvl w:val="0"/>
          <w:numId w:val="38"/>
        </w:numPr>
        <w:spacing w:line="360" w:lineRule="auto"/>
        <w:ind w:left="0" w:right="49" w:firstLine="0"/>
        <w:jc w:val="both"/>
        <w:rPr>
          <w:rFonts w:ascii="Palatino Linotype" w:eastAsia="Palatino Linotype" w:hAnsi="Palatino Linotype" w:cs="Palatino Linotype"/>
          <w:color w:val="000000"/>
        </w:rPr>
      </w:pPr>
      <w:r w:rsidRPr="00BF0631">
        <w:rPr>
          <w:rFonts w:ascii="Palatino Linotype" w:eastAsia="Palatino Linotype" w:hAnsi="Palatino Linotype" w:cs="Palatino Linotype"/>
          <w:color w:val="000000"/>
        </w:rPr>
        <w:t xml:space="preserve">Por lo anteriormente expuesto y fundado, este </w:t>
      </w:r>
      <w:r w:rsidRPr="00BF0631">
        <w:rPr>
          <w:rFonts w:ascii="Palatino Linotype" w:eastAsia="Palatino Linotype" w:hAnsi="Palatino Linotype" w:cs="Palatino Linotype"/>
          <w:b/>
          <w:color w:val="000000"/>
        </w:rPr>
        <w:t>ÓRGANO GARANTE</w:t>
      </w:r>
      <w:r w:rsidRPr="00BF0631">
        <w:rPr>
          <w:rFonts w:ascii="Palatino Linotype" w:eastAsia="Palatino Linotype" w:hAnsi="Palatino Linotype" w:cs="Palatino Linotype"/>
          <w:color w:val="000000"/>
        </w:rPr>
        <w:t xml:space="preserve"> emite los siguientes:</w:t>
      </w:r>
    </w:p>
    <w:p w:rsidR="00D86E74" w:rsidRPr="004D2425" w:rsidRDefault="00D86E74" w:rsidP="00C90CBB">
      <w:pPr>
        <w:pBdr>
          <w:top w:val="nil"/>
          <w:left w:val="nil"/>
          <w:bottom w:val="nil"/>
          <w:right w:val="nil"/>
          <w:between w:val="nil"/>
        </w:pBdr>
        <w:spacing w:line="480" w:lineRule="auto"/>
        <w:ind w:right="48"/>
        <w:jc w:val="both"/>
        <w:rPr>
          <w:rFonts w:ascii="Palatino Linotype" w:eastAsia="Palatino Linotype" w:hAnsi="Palatino Linotype" w:cs="Palatino Linotype"/>
          <w:color w:val="000000"/>
          <w:sz w:val="22"/>
          <w:szCs w:val="22"/>
        </w:rPr>
      </w:pPr>
    </w:p>
    <w:p w:rsidR="00D86E74" w:rsidRPr="00647351" w:rsidRDefault="00B05C77">
      <w:pPr>
        <w:pStyle w:val="Ttulo1"/>
        <w:spacing w:before="0" w:line="360" w:lineRule="auto"/>
        <w:jc w:val="center"/>
        <w:rPr>
          <w:b w:val="0"/>
        </w:rPr>
      </w:pPr>
      <w:r w:rsidRPr="00647351">
        <w:t>R E S O L U T I V O S</w:t>
      </w:r>
    </w:p>
    <w:p w:rsidR="00D86E74" w:rsidRPr="00647351" w:rsidRDefault="00D86E74">
      <w:pPr>
        <w:spacing w:line="360" w:lineRule="auto"/>
        <w:rPr>
          <w:rFonts w:ascii="Palatino Linotype" w:eastAsia="Palatino Linotype" w:hAnsi="Palatino Linotype" w:cs="Palatino Linotype"/>
        </w:rPr>
      </w:pPr>
    </w:p>
    <w:p w:rsidR="00D86E74" w:rsidRPr="00647351" w:rsidRDefault="00B05C77">
      <w:pPr>
        <w:spacing w:line="360" w:lineRule="auto"/>
        <w:jc w:val="both"/>
        <w:rPr>
          <w:rFonts w:ascii="Palatino Linotype" w:eastAsia="Palatino Linotype" w:hAnsi="Palatino Linotype" w:cs="Palatino Linotype"/>
        </w:rPr>
      </w:pPr>
      <w:r w:rsidRPr="00647351">
        <w:rPr>
          <w:rFonts w:ascii="Palatino Linotype" w:eastAsia="Palatino Linotype" w:hAnsi="Palatino Linotype" w:cs="Palatino Linotype"/>
          <w:b/>
        </w:rPr>
        <w:t>PRIMERO</w:t>
      </w:r>
      <w:r w:rsidRPr="00647351">
        <w:rPr>
          <w:rFonts w:ascii="Palatino Linotype" w:eastAsia="Palatino Linotype" w:hAnsi="Palatino Linotype" w:cs="Palatino Linotype"/>
        </w:rPr>
        <w:t>. Resultan</w:t>
      </w:r>
      <w:r w:rsidR="000261F9" w:rsidRPr="00647351">
        <w:rPr>
          <w:rFonts w:ascii="Palatino Linotype" w:eastAsia="Palatino Linotype" w:hAnsi="Palatino Linotype" w:cs="Palatino Linotype"/>
        </w:rPr>
        <w:t xml:space="preserve"> </w:t>
      </w:r>
      <w:r w:rsidRPr="00647351">
        <w:rPr>
          <w:rFonts w:ascii="Palatino Linotype" w:eastAsia="Palatino Linotype" w:hAnsi="Palatino Linotype" w:cs="Palatino Linotype"/>
        </w:rPr>
        <w:t xml:space="preserve">fundadas las razones o motivos de inconformidad hechos valer en el Recursos de Revisión </w:t>
      </w:r>
      <w:r w:rsidR="002B15F2">
        <w:rPr>
          <w:rFonts w:ascii="Palatino Linotype" w:eastAsia="Palatino Linotype" w:hAnsi="Palatino Linotype" w:cs="Palatino Linotype"/>
          <w:b/>
        </w:rPr>
        <w:t>1316</w:t>
      </w:r>
      <w:r w:rsidR="00647351">
        <w:rPr>
          <w:rFonts w:ascii="Palatino Linotype" w:eastAsia="Palatino Linotype" w:hAnsi="Palatino Linotype" w:cs="Palatino Linotype"/>
          <w:b/>
        </w:rPr>
        <w:t>3</w:t>
      </w:r>
      <w:r w:rsidRPr="00647351">
        <w:rPr>
          <w:rFonts w:ascii="Palatino Linotype" w:eastAsia="Palatino Linotype" w:hAnsi="Palatino Linotype" w:cs="Palatino Linotype"/>
          <w:b/>
        </w:rPr>
        <w:t xml:space="preserve">/INFOEM/IP/RR/2025 </w:t>
      </w:r>
      <w:r w:rsidRPr="00647351">
        <w:rPr>
          <w:rFonts w:ascii="Palatino Linotype" w:eastAsia="Palatino Linotype" w:hAnsi="Palatino Linotype" w:cs="Palatino Linotype"/>
        </w:rPr>
        <w:t xml:space="preserve">en términos del </w:t>
      </w:r>
      <w:r w:rsidRPr="00647351">
        <w:rPr>
          <w:rFonts w:ascii="Palatino Linotype" w:eastAsia="Palatino Linotype" w:hAnsi="Palatino Linotype" w:cs="Palatino Linotype"/>
          <w:b/>
        </w:rPr>
        <w:t xml:space="preserve">Considerando CUARTO y QUINTO </w:t>
      </w:r>
      <w:r w:rsidRPr="00647351">
        <w:rPr>
          <w:rFonts w:ascii="Palatino Linotype" w:eastAsia="Palatino Linotype" w:hAnsi="Palatino Linotype" w:cs="Palatino Linotype"/>
        </w:rPr>
        <w:t>de la presente resolución.</w:t>
      </w:r>
    </w:p>
    <w:p w:rsidR="00D86E74" w:rsidRPr="00647351" w:rsidRDefault="00D86E74">
      <w:pPr>
        <w:spacing w:line="360" w:lineRule="auto"/>
        <w:jc w:val="both"/>
        <w:rPr>
          <w:rFonts w:ascii="Palatino Linotype" w:eastAsia="Palatino Linotype" w:hAnsi="Palatino Linotype" w:cs="Palatino Linotype"/>
        </w:rPr>
      </w:pPr>
    </w:p>
    <w:p w:rsidR="00D675D0" w:rsidRPr="006248F0" w:rsidRDefault="00B05C77" w:rsidP="00D675D0">
      <w:pPr>
        <w:spacing w:line="360" w:lineRule="auto"/>
        <w:jc w:val="both"/>
        <w:rPr>
          <w:rFonts w:ascii="Palatino Linotype" w:eastAsia="Palatino Linotype" w:hAnsi="Palatino Linotype" w:cs="Palatino Linotype"/>
          <w:color w:val="000000"/>
        </w:rPr>
      </w:pPr>
      <w:bookmarkStart w:id="9" w:name="_heading=h.26in1rg" w:colFirst="0" w:colLast="0"/>
      <w:bookmarkEnd w:id="9"/>
      <w:r w:rsidRPr="00647351">
        <w:rPr>
          <w:rFonts w:ascii="Palatino Linotype" w:eastAsia="Palatino Linotype" w:hAnsi="Palatino Linotype" w:cs="Palatino Linotype"/>
          <w:b/>
        </w:rPr>
        <w:t xml:space="preserve">SEGUNDO. </w:t>
      </w:r>
      <w:r w:rsidR="00D675D0" w:rsidRPr="00964679">
        <w:rPr>
          <w:rFonts w:ascii="Palatino Linotype" w:eastAsia="Palatino Linotype" w:hAnsi="Palatino Linotype" w:cs="Palatino Linotype"/>
          <w:color w:val="000000"/>
        </w:rPr>
        <w:t xml:space="preserve">Se </w:t>
      </w:r>
      <w:r w:rsidR="00D675D0" w:rsidRPr="00964679">
        <w:rPr>
          <w:rFonts w:ascii="Palatino Linotype" w:eastAsia="Palatino Linotype" w:hAnsi="Palatino Linotype" w:cs="Palatino Linotype"/>
          <w:b/>
          <w:color w:val="000000"/>
        </w:rPr>
        <w:t xml:space="preserve">ORDENA </w:t>
      </w:r>
      <w:r w:rsidR="00D675D0" w:rsidRPr="00964679">
        <w:rPr>
          <w:rFonts w:ascii="Palatino Linotype" w:eastAsia="Palatino Linotype" w:hAnsi="Palatino Linotype" w:cs="Palatino Linotype"/>
          <w:color w:val="000000"/>
        </w:rPr>
        <w:t xml:space="preserve">al </w:t>
      </w:r>
      <w:r w:rsidR="00D675D0" w:rsidRPr="00964679">
        <w:rPr>
          <w:rFonts w:ascii="Palatino Linotype" w:eastAsia="Palatino Linotype" w:hAnsi="Palatino Linotype" w:cs="Palatino Linotype"/>
          <w:b/>
          <w:color w:val="000000"/>
        </w:rPr>
        <w:t xml:space="preserve">SUJETO OBLIGADO, </w:t>
      </w:r>
      <w:r w:rsidR="00D675D0" w:rsidRPr="00964679">
        <w:rPr>
          <w:rFonts w:ascii="Palatino Linotype" w:eastAsia="Palatino Linotype" w:hAnsi="Palatino Linotype" w:cs="Palatino Linotype"/>
          <w:color w:val="000000"/>
        </w:rPr>
        <w:t xml:space="preserve">a efecto de entregar vía Sistema de Acceso a la Información Mexiquense </w:t>
      </w:r>
      <w:r w:rsidR="00D675D0" w:rsidRPr="00964679">
        <w:rPr>
          <w:rFonts w:ascii="Palatino Linotype" w:eastAsia="Palatino Linotype" w:hAnsi="Palatino Linotype" w:cs="Palatino Linotype"/>
          <w:b/>
          <w:color w:val="000000"/>
        </w:rPr>
        <w:t>(SAIMEX)</w:t>
      </w:r>
      <w:r w:rsidR="00D675D0" w:rsidRPr="00964679">
        <w:rPr>
          <w:rFonts w:ascii="Palatino Linotype" w:eastAsia="Palatino Linotype" w:hAnsi="Palatino Linotype" w:cs="Palatino Linotype"/>
          <w:color w:val="000000"/>
        </w:rPr>
        <w:t>, la siguiente información</w:t>
      </w:r>
      <w:r w:rsidR="004C493A">
        <w:rPr>
          <w:rFonts w:ascii="Palatino Linotype" w:eastAsia="Palatino Linotype" w:hAnsi="Palatino Linotype" w:cs="Palatino Linotype"/>
          <w:color w:val="000000"/>
        </w:rPr>
        <w:t xml:space="preserve"> de ser procedente en versión pública</w:t>
      </w:r>
      <w:r w:rsidR="00D675D0">
        <w:rPr>
          <w:rFonts w:ascii="Palatino Linotype" w:eastAsia="Palatino Linotype" w:hAnsi="Palatino Linotype" w:cs="Palatino Linotype"/>
          <w:color w:val="000000"/>
        </w:rPr>
        <w:t>:</w:t>
      </w:r>
    </w:p>
    <w:p w:rsidR="00D675D0" w:rsidRDefault="00D675D0" w:rsidP="00D675D0">
      <w:pPr>
        <w:spacing w:line="360" w:lineRule="auto"/>
        <w:jc w:val="both"/>
        <w:rPr>
          <w:rFonts w:ascii="Palatino Linotype" w:eastAsia="Palatino Linotype" w:hAnsi="Palatino Linotype" w:cs="Palatino Linotype"/>
          <w:b/>
          <w:i/>
          <w:sz w:val="22"/>
          <w:szCs w:val="22"/>
        </w:rPr>
      </w:pPr>
    </w:p>
    <w:p w:rsidR="00FF646F" w:rsidRDefault="008B1D56" w:rsidP="00FF646F">
      <w:pPr>
        <w:pBdr>
          <w:top w:val="nil"/>
          <w:left w:val="nil"/>
          <w:bottom w:val="nil"/>
          <w:right w:val="nil"/>
          <w:between w:val="nil"/>
        </w:pBdr>
        <w:spacing w:line="276" w:lineRule="auto"/>
        <w:ind w:left="1134" w:right="851"/>
        <w:jc w:val="both"/>
        <w:rPr>
          <w:rFonts w:ascii="Palatino Linotype" w:eastAsia="Palatino Linotype" w:hAnsi="Palatino Linotype" w:cs="Palatino Linotype"/>
          <w:b/>
          <w:i/>
          <w:sz w:val="22"/>
          <w:szCs w:val="22"/>
        </w:rPr>
      </w:pPr>
      <w:r w:rsidRPr="00FF646F">
        <w:rPr>
          <w:rFonts w:ascii="Palatino Linotype" w:eastAsia="Palatino Linotype" w:hAnsi="Palatino Linotype" w:cs="Palatino Linotype"/>
          <w:b/>
          <w:i/>
          <w:sz w:val="22"/>
          <w:szCs w:val="22"/>
        </w:rPr>
        <w:t>Soportes contables con todos y cada uno de los anexos</w:t>
      </w:r>
      <w:r w:rsidR="00FF646F" w:rsidRPr="00FF646F">
        <w:rPr>
          <w:rFonts w:ascii="Palatino Linotype" w:eastAsia="Palatino Linotype" w:hAnsi="Palatino Linotype" w:cs="Palatino Linotype"/>
          <w:b/>
          <w:i/>
          <w:sz w:val="22"/>
          <w:szCs w:val="22"/>
        </w:rPr>
        <w:t xml:space="preserve"> </w:t>
      </w:r>
      <w:r w:rsidR="004514F0">
        <w:rPr>
          <w:rFonts w:ascii="Palatino Linotype" w:eastAsia="Palatino Linotype" w:hAnsi="Palatino Linotype" w:cs="Palatino Linotype"/>
          <w:b/>
          <w:i/>
          <w:sz w:val="22"/>
          <w:szCs w:val="22"/>
        </w:rPr>
        <w:t>(</w:t>
      </w:r>
      <w:r w:rsidRPr="00FF646F">
        <w:rPr>
          <w:rFonts w:ascii="Palatino Linotype" w:eastAsia="Palatino Linotype" w:hAnsi="Palatino Linotype" w:cs="Palatino Linotype"/>
          <w:b/>
          <w:i/>
          <w:sz w:val="22"/>
          <w:szCs w:val="22"/>
        </w:rPr>
        <w:t>poliza contable, requisición, factura, suficiencia presupuestal, evidencia documental y/o fotográfica),</w:t>
      </w:r>
      <w:r>
        <w:rPr>
          <w:rFonts w:ascii="Palatino Linotype" w:eastAsia="Palatino Linotype" w:hAnsi="Palatino Linotype" w:cs="Palatino Linotype"/>
          <w:b/>
          <w:i/>
          <w:sz w:val="22"/>
          <w:szCs w:val="22"/>
        </w:rPr>
        <w:t xml:space="preserve"> del 17 de octubre de 2024 al 17 de octubre de 2025, </w:t>
      </w:r>
      <w:r w:rsidRPr="00FF646F">
        <w:rPr>
          <w:rFonts w:ascii="Palatino Linotype" w:eastAsia="Palatino Linotype" w:hAnsi="Palatino Linotype" w:cs="Palatino Linotype"/>
          <w:b/>
          <w:i/>
          <w:sz w:val="22"/>
          <w:szCs w:val="22"/>
        </w:rPr>
        <w:t xml:space="preserve"> correspondientes a la </w:t>
      </w:r>
      <w:r>
        <w:rPr>
          <w:rFonts w:ascii="Palatino Linotype" w:eastAsia="Palatino Linotype" w:hAnsi="Palatino Linotype" w:cs="Palatino Linotype"/>
          <w:b/>
          <w:i/>
          <w:sz w:val="22"/>
          <w:szCs w:val="22"/>
        </w:rPr>
        <w:t>adquisición de licencias, actualizaciones o mantenimiento</w:t>
      </w:r>
      <w:r w:rsidRPr="00FF646F">
        <w:rPr>
          <w:rFonts w:ascii="Palatino Linotype" w:eastAsia="Palatino Linotype" w:hAnsi="Palatino Linotype" w:cs="Palatino Linotype"/>
          <w:b/>
          <w:i/>
          <w:sz w:val="22"/>
          <w:szCs w:val="22"/>
        </w:rPr>
        <w:t xml:space="preserve"> de: </w:t>
      </w:r>
    </w:p>
    <w:p w:rsidR="00FF646F" w:rsidRPr="00FF646F" w:rsidRDefault="008B1D56" w:rsidP="008B1D56">
      <w:pPr>
        <w:pStyle w:val="Prrafodelista"/>
        <w:numPr>
          <w:ilvl w:val="3"/>
          <w:numId w:val="39"/>
        </w:numPr>
        <w:pBdr>
          <w:top w:val="nil"/>
          <w:left w:val="nil"/>
          <w:bottom w:val="nil"/>
          <w:right w:val="nil"/>
          <w:between w:val="nil"/>
        </w:pBdr>
        <w:spacing w:line="276" w:lineRule="auto"/>
        <w:ind w:right="851"/>
        <w:jc w:val="both"/>
        <w:rPr>
          <w:rFonts w:ascii="Palatino Linotype" w:eastAsia="Palatino Linotype" w:hAnsi="Palatino Linotype" w:cs="Palatino Linotype"/>
          <w:b/>
          <w:i/>
          <w:color w:val="000000"/>
          <w:sz w:val="22"/>
          <w:szCs w:val="22"/>
        </w:rPr>
      </w:pPr>
      <w:r w:rsidRPr="00FF646F">
        <w:rPr>
          <w:rFonts w:ascii="Palatino Linotype" w:eastAsia="Palatino Linotype" w:hAnsi="Palatino Linotype" w:cs="Palatino Linotype"/>
          <w:b/>
          <w:i/>
          <w:sz w:val="22"/>
          <w:szCs w:val="22"/>
        </w:rPr>
        <w:t xml:space="preserve">Sistemas Contables, </w:t>
      </w:r>
    </w:p>
    <w:p w:rsidR="00FF646F" w:rsidRPr="00FF646F" w:rsidRDefault="008B1D56" w:rsidP="008B1D56">
      <w:pPr>
        <w:pStyle w:val="Prrafodelista"/>
        <w:numPr>
          <w:ilvl w:val="3"/>
          <w:numId w:val="39"/>
        </w:numPr>
        <w:pBdr>
          <w:top w:val="nil"/>
          <w:left w:val="nil"/>
          <w:bottom w:val="nil"/>
          <w:right w:val="nil"/>
          <w:between w:val="nil"/>
        </w:pBdr>
        <w:spacing w:line="276" w:lineRule="auto"/>
        <w:ind w:right="851"/>
        <w:jc w:val="both"/>
        <w:rPr>
          <w:rFonts w:ascii="Palatino Linotype" w:eastAsia="Palatino Linotype" w:hAnsi="Palatino Linotype" w:cs="Palatino Linotype"/>
          <w:b/>
          <w:i/>
          <w:color w:val="000000"/>
          <w:sz w:val="22"/>
          <w:szCs w:val="22"/>
        </w:rPr>
      </w:pPr>
      <w:r w:rsidRPr="00FF646F">
        <w:rPr>
          <w:rFonts w:ascii="Palatino Linotype" w:eastAsia="Palatino Linotype" w:hAnsi="Palatino Linotype" w:cs="Palatino Linotype"/>
          <w:b/>
          <w:i/>
          <w:sz w:val="22"/>
          <w:szCs w:val="22"/>
        </w:rPr>
        <w:t xml:space="preserve">Sistemas De Ingresos, </w:t>
      </w:r>
    </w:p>
    <w:p w:rsidR="00FF646F" w:rsidRPr="00FF646F" w:rsidRDefault="008B1D56" w:rsidP="008B1D56">
      <w:pPr>
        <w:pStyle w:val="Prrafodelista"/>
        <w:numPr>
          <w:ilvl w:val="3"/>
          <w:numId w:val="39"/>
        </w:numPr>
        <w:pBdr>
          <w:top w:val="nil"/>
          <w:left w:val="nil"/>
          <w:bottom w:val="nil"/>
          <w:right w:val="nil"/>
          <w:between w:val="nil"/>
        </w:pBdr>
        <w:spacing w:line="276" w:lineRule="auto"/>
        <w:ind w:right="851"/>
        <w:jc w:val="both"/>
        <w:rPr>
          <w:rFonts w:ascii="Palatino Linotype" w:eastAsia="Palatino Linotype" w:hAnsi="Palatino Linotype" w:cs="Palatino Linotype"/>
          <w:b/>
          <w:i/>
          <w:color w:val="000000"/>
          <w:sz w:val="22"/>
          <w:szCs w:val="22"/>
        </w:rPr>
      </w:pPr>
      <w:r w:rsidRPr="00FF646F">
        <w:rPr>
          <w:rFonts w:ascii="Palatino Linotype" w:eastAsia="Palatino Linotype" w:hAnsi="Palatino Linotype" w:cs="Palatino Linotype"/>
          <w:b/>
          <w:i/>
          <w:sz w:val="22"/>
          <w:szCs w:val="22"/>
        </w:rPr>
        <w:t>Sistemas De Control Patrimonial</w:t>
      </w:r>
      <w:r>
        <w:rPr>
          <w:rFonts w:ascii="Palatino Linotype" w:eastAsia="Palatino Linotype" w:hAnsi="Palatino Linotype" w:cs="Palatino Linotype"/>
          <w:b/>
          <w:i/>
          <w:sz w:val="22"/>
          <w:szCs w:val="22"/>
        </w:rPr>
        <w:t xml:space="preserve"> </w:t>
      </w:r>
    </w:p>
    <w:p w:rsidR="00D675D0" w:rsidRPr="00C17E52" w:rsidRDefault="008B1D56" w:rsidP="008B1D56">
      <w:pPr>
        <w:pStyle w:val="Prrafodelista"/>
        <w:numPr>
          <w:ilvl w:val="3"/>
          <w:numId w:val="39"/>
        </w:numPr>
        <w:pBdr>
          <w:top w:val="nil"/>
          <w:left w:val="nil"/>
          <w:bottom w:val="nil"/>
          <w:right w:val="nil"/>
          <w:between w:val="nil"/>
        </w:pBdr>
        <w:spacing w:line="276" w:lineRule="auto"/>
        <w:ind w:right="851"/>
        <w:jc w:val="both"/>
        <w:rPr>
          <w:rFonts w:ascii="Palatino Linotype" w:eastAsia="Palatino Linotype" w:hAnsi="Palatino Linotype" w:cs="Palatino Linotype"/>
          <w:b/>
          <w:i/>
          <w:color w:val="000000"/>
          <w:sz w:val="22"/>
          <w:szCs w:val="22"/>
        </w:rPr>
      </w:pPr>
      <w:r w:rsidRPr="00C17E52">
        <w:rPr>
          <w:rFonts w:ascii="Palatino Linotype" w:eastAsia="Palatino Linotype" w:hAnsi="Palatino Linotype" w:cs="Palatino Linotype"/>
          <w:b/>
          <w:i/>
          <w:sz w:val="22"/>
          <w:szCs w:val="22"/>
        </w:rPr>
        <w:lastRenderedPageBreak/>
        <w:t>Sistemas De Entrega-Recepción</w:t>
      </w:r>
      <w:r w:rsidR="00647351" w:rsidRPr="00C17E52">
        <w:rPr>
          <w:rFonts w:ascii="Palatino Linotype" w:eastAsia="Palatino Linotype" w:hAnsi="Palatino Linotype" w:cs="Palatino Linotype"/>
          <w:b/>
          <w:i/>
          <w:sz w:val="22"/>
          <w:szCs w:val="22"/>
        </w:rPr>
        <w:t xml:space="preserve"> </w:t>
      </w:r>
    </w:p>
    <w:p w:rsidR="00E35EA4" w:rsidRPr="00C17E52" w:rsidRDefault="00E35EA4" w:rsidP="008B1D56">
      <w:pPr>
        <w:pStyle w:val="Prrafodelista"/>
        <w:numPr>
          <w:ilvl w:val="3"/>
          <w:numId w:val="39"/>
        </w:numPr>
        <w:pBdr>
          <w:top w:val="nil"/>
          <w:left w:val="nil"/>
          <w:bottom w:val="nil"/>
          <w:right w:val="nil"/>
          <w:between w:val="nil"/>
        </w:pBdr>
        <w:spacing w:line="276" w:lineRule="auto"/>
        <w:ind w:right="851"/>
        <w:jc w:val="both"/>
        <w:rPr>
          <w:rFonts w:ascii="Palatino Linotype" w:eastAsia="Palatino Linotype" w:hAnsi="Palatino Linotype" w:cs="Palatino Linotype"/>
          <w:b/>
          <w:i/>
          <w:color w:val="000000"/>
          <w:sz w:val="22"/>
          <w:szCs w:val="22"/>
        </w:rPr>
      </w:pPr>
      <w:r w:rsidRPr="00C17E52">
        <w:rPr>
          <w:rFonts w:ascii="Palatino Linotype" w:eastAsia="Palatino Linotype" w:hAnsi="Palatino Linotype" w:cs="Palatino Linotype"/>
          <w:b/>
          <w:i/>
          <w:sz w:val="22"/>
          <w:szCs w:val="22"/>
        </w:rPr>
        <w:t>Sistemas contables y/o sistemas de ingresos y/o sistemas de control patrimonial y/o sistemas de entrega – recepción adicionales.</w:t>
      </w:r>
    </w:p>
    <w:p w:rsidR="004514F0" w:rsidRPr="00C17E52" w:rsidRDefault="004514F0" w:rsidP="004514F0">
      <w:pPr>
        <w:tabs>
          <w:tab w:val="left" w:pos="7938"/>
        </w:tabs>
        <w:ind w:left="1134" w:right="851"/>
        <w:jc w:val="both"/>
        <w:rPr>
          <w:rFonts w:ascii="Palatino Linotype" w:eastAsia="Palatino Linotype" w:hAnsi="Palatino Linotype" w:cs="Palatino Linotype"/>
          <w:i/>
          <w:sz w:val="22"/>
        </w:rPr>
      </w:pPr>
    </w:p>
    <w:p w:rsidR="00C90CBB" w:rsidRPr="00C17E52" w:rsidRDefault="004514F0" w:rsidP="004514F0">
      <w:pPr>
        <w:tabs>
          <w:tab w:val="left" w:pos="7938"/>
        </w:tabs>
        <w:ind w:left="1134" w:right="851"/>
        <w:jc w:val="both"/>
        <w:rPr>
          <w:rFonts w:ascii="Palatino Linotype" w:eastAsia="Palatino Linotype" w:hAnsi="Palatino Linotype" w:cs="Palatino Linotype"/>
          <w:b/>
          <w:i/>
          <w:sz w:val="22"/>
        </w:rPr>
      </w:pPr>
      <w:r w:rsidRPr="00C17E52">
        <w:rPr>
          <w:rFonts w:ascii="Palatino Linotype" w:eastAsia="Palatino Linotype" w:hAnsi="Palatino Linotype" w:cs="Palatino Linotype"/>
          <w:i/>
          <w:sz w:val="22"/>
        </w:rPr>
        <w:t>D</w:t>
      </w:r>
      <w:r w:rsidR="00C90CBB" w:rsidRPr="00C17E52">
        <w:rPr>
          <w:rFonts w:ascii="Palatino Linotype" w:eastAsia="Palatino Linotype" w:hAnsi="Palatino Linotype" w:cs="Palatino Linotype"/>
          <w:i/>
          <w:sz w:val="22"/>
        </w:rPr>
        <w:t xml:space="preserve">e ser procedente,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C90CBB" w:rsidRPr="00C17E52">
        <w:rPr>
          <w:rFonts w:ascii="Palatino Linotype" w:eastAsia="Palatino Linotype" w:hAnsi="Palatino Linotype" w:cs="Palatino Linotype"/>
          <w:b/>
          <w:i/>
          <w:sz w:val="22"/>
        </w:rPr>
        <w:t>RECURRENTE.</w:t>
      </w:r>
    </w:p>
    <w:p w:rsidR="004514F0" w:rsidRDefault="004514F0" w:rsidP="00D87EAD">
      <w:pPr>
        <w:tabs>
          <w:tab w:val="left" w:pos="7938"/>
        </w:tabs>
        <w:ind w:left="1134" w:right="851"/>
        <w:jc w:val="both"/>
        <w:rPr>
          <w:rFonts w:ascii="Palatino Linotype" w:eastAsia="Palatino Linotype" w:hAnsi="Palatino Linotype" w:cs="Palatino Linotype"/>
          <w:i/>
          <w:sz w:val="22"/>
        </w:rPr>
      </w:pPr>
      <w:r w:rsidRPr="00C17E52">
        <w:rPr>
          <w:rFonts w:ascii="Palatino Linotype" w:eastAsia="Palatino Linotype" w:hAnsi="Palatino Linotype" w:cs="Palatino Linotype"/>
          <w:i/>
          <w:sz w:val="22"/>
        </w:rPr>
        <w:t xml:space="preserve">Para </w:t>
      </w:r>
      <w:r w:rsidR="00E35EA4" w:rsidRPr="00C17E52">
        <w:rPr>
          <w:rFonts w:ascii="Palatino Linotype" w:eastAsia="Palatino Linotype" w:hAnsi="Palatino Linotype" w:cs="Palatino Linotype"/>
          <w:i/>
          <w:sz w:val="22"/>
        </w:rPr>
        <w:t>lo anterior en</w:t>
      </w:r>
      <w:r w:rsidRPr="00C17E52">
        <w:rPr>
          <w:rFonts w:ascii="Palatino Linotype" w:eastAsia="Palatino Linotype" w:hAnsi="Palatino Linotype" w:cs="Palatino Linotype"/>
          <w:i/>
          <w:sz w:val="22"/>
        </w:rPr>
        <w:t xml:space="preserve"> caso de no haber adquirido </w:t>
      </w:r>
      <w:r w:rsidR="005D561B" w:rsidRPr="00C17E52">
        <w:rPr>
          <w:rFonts w:ascii="Palatino Linotype" w:eastAsia="Palatino Linotype" w:hAnsi="Palatino Linotype" w:cs="Palatino Linotype"/>
          <w:i/>
          <w:sz w:val="22"/>
        </w:rPr>
        <w:t xml:space="preserve">licencias, </w:t>
      </w:r>
      <w:r w:rsidR="00E35EA4" w:rsidRPr="00C17E52">
        <w:rPr>
          <w:rFonts w:ascii="Palatino Linotype" w:eastAsia="Palatino Linotype" w:hAnsi="Palatino Linotype" w:cs="Palatino Linotype"/>
          <w:i/>
          <w:sz w:val="22"/>
        </w:rPr>
        <w:t>actualizaciones o</w:t>
      </w:r>
      <w:r w:rsidR="00E35EA4">
        <w:rPr>
          <w:rFonts w:ascii="Palatino Linotype" w:eastAsia="Palatino Linotype" w:hAnsi="Palatino Linotype" w:cs="Palatino Linotype"/>
          <w:i/>
          <w:sz w:val="22"/>
        </w:rPr>
        <w:t xml:space="preserve"> mantenimiento, </w:t>
      </w:r>
      <w:r w:rsidR="005D561B">
        <w:rPr>
          <w:rFonts w:ascii="Palatino Linotype" w:eastAsia="Palatino Linotype" w:hAnsi="Palatino Linotype" w:cs="Palatino Linotype"/>
          <w:i/>
          <w:sz w:val="22"/>
        </w:rPr>
        <w:t>bastará con hacerl</w:t>
      </w:r>
      <w:r w:rsidR="00D87EAD">
        <w:rPr>
          <w:rFonts w:ascii="Palatino Linotype" w:eastAsia="Palatino Linotype" w:hAnsi="Palatino Linotype" w:cs="Palatino Linotype"/>
          <w:i/>
          <w:sz w:val="22"/>
        </w:rPr>
        <w:t>o de conocimiento al Recurrente.</w:t>
      </w:r>
    </w:p>
    <w:p w:rsidR="00E35EA4" w:rsidRDefault="00E35EA4">
      <w:pPr>
        <w:tabs>
          <w:tab w:val="left" w:pos="8080"/>
        </w:tabs>
        <w:spacing w:line="360" w:lineRule="auto"/>
        <w:ind w:right="49"/>
        <w:jc w:val="both"/>
        <w:rPr>
          <w:rFonts w:ascii="Palatino Linotype" w:eastAsia="Palatino Linotype" w:hAnsi="Palatino Linotype" w:cs="Palatino Linotype"/>
          <w:b/>
        </w:rPr>
      </w:pPr>
      <w:bookmarkStart w:id="10" w:name="_heading=h.lnxbz9" w:colFirst="0" w:colLast="0"/>
      <w:bookmarkEnd w:id="10"/>
    </w:p>
    <w:p w:rsidR="00D86E74" w:rsidRPr="00647351" w:rsidRDefault="00905A85">
      <w:pPr>
        <w:tabs>
          <w:tab w:val="left" w:pos="8080"/>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TERCERO</w:t>
      </w:r>
      <w:r w:rsidR="00E35EA4">
        <w:rPr>
          <w:rFonts w:ascii="Palatino Linotype" w:eastAsia="Palatino Linotype" w:hAnsi="Palatino Linotype" w:cs="Palatino Linotype"/>
          <w:b/>
        </w:rPr>
        <w:t xml:space="preserve">. </w:t>
      </w:r>
      <w:r w:rsidR="00B05C77" w:rsidRPr="00647351">
        <w:rPr>
          <w:rFonts w:ascii="Palatino Linotype" w:eastAsia="Palatino Linotype" w:hAnsi="Palatino Linotype" w:cs="Palatino Linotype"/>
          <w:b/>
        </w:rPr>
        <w:t xml:space="preserve">NOTIFÍQUESE </w:t>
      </w:r>
      <w:r w:rsidR="00B05C77" w:rsidRPr="00647351">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B05C77" w:rsidRPr="00647351">
        <w:rPr>
          <w:rFonts w:ascii="Palatino Linotype" w:eastAsia="Palatino Linotype" w:hAnsi="Palatino Linotype" w:cs="Palatino Linotype"/>
          <w:b/>
        </w:rPr>
        <w:t>dé cumplimiento a lo ordenado dentro del plazo de diez días hábiles,</w:t>
      </w:r>
      <w:r w:rsidR="00B05C77" w:rsidRPr="00647351">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86E74" w:rsidRDefault="00D86E74">
      <w:pPr>
        <w:spacing w:line="360" w:lineRule="auto"/>
        <w:jc w:val="both"/>
        <w:rPr>
          <w:rFonts w:ascii="Palatino Linotype" w:eastAsia="Palatino Linotype" w:hAnsi="Palatino Linotype" w:cs="Palatino Linotype"/>
        </w:rPr>
      </w:pPr>
    </w:p>
    <w:p w:rsidR="00B516F7" w:rsidRPr="00647351" w:rsidRDefault="00B516F7">
      <w:pPr>
        <w:spacing w:line="360" w:lineRule="auto"/>
        <w:jc w:val="both"/>
        <w:rPr>
          <w:rFonts w:ascii="Palatino Linotype" w:eastAsia="Palatino Linotype" w:hAnsi="Palatino Linotype" w:cs="Palatino Linotype"/>
        </w:rPr>
      </w:pPr>
    </w:p>
    <w:p w:rsidR="00D86E74" w:rsidRDefault="00B516F7">
      <w:pPr>
        <w:tabs>
          <w:tab w:val="left" w:pos="8080"/>
        </w:tabs>
        <w:spacing w:line="360" w:lineRule="auto"/>
        <w:ind w:right="49"/>
        <w:jc w:val="both"/>
        <w:rPr>
          <w:rFonts w:ascii="Palatino Linotype" w:eastAsia="Palatino Linotype" w:hAnsi="Palatino Linotype" w:cs="Palatino Linotype"/>
          <w:b/>
        </w:rPr>
      </w:pPr>
      <w:bookmarkStart w:id="11" w:name="_heading=h.35nkun2" w:colFirst="0" w:colLast="0"/>
      <w:bookmarkEnd w:id="11"/>
      <w:r>
        <w:rPr>
          <w:rFonts w:ascii="Palatino Linotype" w:eastAsia="Palatino Linotype" w:hAnsi="Palatino Linotype" w:cs="Palatino Linotype"/>
          <w:b/>
        </w:rPr>
        <w:lastRenderedPageBreak/>
        <w:t>CUARTO</w:t>
      </w:r>
      <w:r w:rsidR="00B05C77" w:rsidRPr="00647351">
        <w:rPr>
          <w:rFonts w:ascii="Palatino Linotype" w:eastAsia="Palatino Linotype" w:hAnsi="Palatino Linotype" w:cs="Palatino Linotype"/>
          <w:b/>
        </w:rPr>
        <w:t xml:space="preserve">. </w:t>
      </w:r>
      <w:r w:rsidR="00B05C77" w:rsidRPr="00647351">
        <w:rPr>
          <w:rFonts w:ascii="Palatino Linotype" w:eastAsia="Palatino Linotype" w:hAnsi="Palatino Linotype" w:cs="Palatino Linotype"/>
        </w:rPr>
        <w:t>Notifíquese a la parte</w:t>
      </w:r>
      <w:r w:rsidR="00B05C77" w:rsidRPr="00647351">
        <w:rPr>
          <w:rFonts w:ascii="Palatino Linotype" w:eastAsia="Palatino Linotype" w:hAnsi="Palatino Linotype" w:cs="Palatino Linotype"/>
          <w:b/>
        </w:rPr>
        <w:t xml:space="preserve"> RECURRENTE</w:t>
      </w:r>
      <w:r w:rsidR="00B05C77" w:rsidRPr="00647351">
        <w:rPr>
          <w:rFonts w:ascii="Palatino Linotype" w:eastAsia="Palatino Linotype" w:hAnsi="Palatino Linotype" w:cs="Palatino Linotype"/>
        </w:rPr>
        <w:t xml:space="preserve"> la presente resolución, vía </w:t>
      </w:r>
      <w:r w:rsidR="00B05C77" w:rsidRPr="00647351">
        <w:rPr>
          <w:rFonts w:ascii="Palatino Linotype" w:eastAsia="Palatino Linotype" w:hAnsi="Palatino Linotype" w:cs="Palatino Linotype"/>
          <w:b/>
        </w:rPr>
        <w:t>SAIMEX.</w:t>
      </w:r>
    </w:p>
    <w:p w:rsidR="00905A85" w:rsidRDefault="00905A85">
      <w:pPr>
        <w:tabs>
          <w:tab w:val="left" w:pos="8080"/>
        </w:tabs>
        <w:spacing w:line="360" w:lineRule="auto"/>
        <w:ind w:right="49"/>
        <w:jc w:val="both"/>
        <w:rPr>
          <w:rFonts w:ascii="Palatino Linotype" w:eastAsia="Palatino Linotype" w:hAnsi="Palatino Linotype" w:cs="Palatino Linotype"/>
          <w:b/>
        </w:rPr>
      </w:pPr>
    </w:p>
    <w:p w:rsidR="00905A85" w:rsidRPr="00905A85" w:rsidRDefault="00B516F7" w:rsidP="00905A85">
      <w:pPr>
        <w:spacing w:line="360" w:lineRule="auto"/>
        <w:jc w:val="both"/>
        <w:rPr>
          <w:rFonts w:ascii="Palatino Linotype" w:hAnsi="Palatino Linotype" w:cs="Tahoma"/>
          <w:bCs/>
          <w:iCs/>
          <w:szCs w:val="22"/>
        </w:rPr>
      </w:pPr>
      <w:r w:rsidRPr="00C17E52">
        <w:rPr>
          <w:rFonts w:ascii="Palatino Linotype" w:eastAsia="Palatino Linotype" w:hAnsi="Palatino Linotype" w:cs="Palatino Linotype"/>
          <w:b/>
        </w:rPr>
        <w:t>QUINTO</w:t>
      </w:r>
      <w:r w:rsidR="00905A85" w:rsidRPr="00C17E52">
        <w:rPr>
          <w:rFonts w:ascii="Palatino Linotype" w:eastAsia="Palatino Linotype" w:hAnsi="Palatino Linotype" w:cs="Palatino Linotype"/>
          <w:b/>
        </w:rPr>
        <w:t xml:space="preserve">. </w:t>
      </w:r>
      <w:r w:rsidR="00905A85" w:rsidRPr="00C17E52">
        <w:rPr>
          <w:rFonts w:ascii="Palatino Linotype" w:hAnsi="Palatino Linotype" w:cs="Tahoma"/>
          <w:bCs/>
          <w:iCs/>
          <w:szCs w:val="22"/>
        </w:rPr>
        <w:t>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r w:rsidR="00905A85" w:rsidRPr="00E35EA4">
        <w:rPr>
          <w:rFonts w:ascii="Palatino Linotype" w:hAnsi="Palatino Linotype" w:cs="Tahoma"/>
          <w:bCs/>
          <w:iCs/>
          <w:szCs w:val="22"/>
        </w:rPr>
        <w:t xml:space="preserve">  </w:t>
      </w:r>
    </w:p>
    <w:p w:rsidR="00D86E74" w:rsidRPr="00647351" w:rsidRDefault="00D86E74">
      <w:pPr>
        <w:tabs>
          <w:tab w:val="left" w:pos="8080"/>
        </w:tabs>
        <w:spacing w:line="360" w:lineRule="auto"/>
        <w:ind w:right="49"/>
        <w:jc w:val="both"/>
        <w:rPr>
          <w:rFonts w:ascii="Palatino Linotype" w:eastAsia="Palatino Linotype" w:hAnsi="Palatino Linotype" w:cs="Palatino Linotype"/>
        </w:rPr>
      </w:pPr>
    </w:p>
    <w:p w:rsidR="00D86E74" w:rsidRDefault="00B516F7">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SEXTO</w:t>
      </w:r>
      <w:r w:rsidR="00B05C77" w:rsidRPr="00647351">
        <w:rPr>
          <w:rFonts w:ascii="Palatino Linotype" w:eastAsia="Palatino Linotype" w:hAnsi="Palatino Linotype" w:cs="Palatino Linotype"/>
          <w:b/>
        </w:rPr>
        <w:t>.</w:t>
      </w:r>
      <w:r w:rsidR="00B05C77" w:rsidRPr="00647351">
        <w:rPr>
          <w:rFonts w:ascii="Palatino Linotype" w:eastAsia="Palatino Linotype" w:hAnsi="Palatino Linotype" w:cs="Palatino Linotype"/>
        </w:rPr>
        <w:t xml:space="preserve"> Se hace del conocimiento de la parte</w:t>
      </w:r>
      <w:r w:rsidR="00B05C77" w:rsidRPr="00647351">
        <w:rPr>
          <w:rFonts w:ascii="Palatino Linotype" w:eastAsia="Palatino Linotype" w:hAnsi="Palatino Linotype" w:cs="Palatino Linotype"/>
          <w:b/>
        </w:rPr>
        <w:t xml:space="preserve"> RECURRENTE</w:t>
      </w:r>
      <w:r w:rsidR="00B05C77" w:rsidRPr="00647351">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516F7" w:rsidRDefault="00B516F7">
      <w:pPr>
        <w:shd w:val="clear" w:color="auto" w:fill="FFFFFF"/>
        <w:spacing w:line="360" w:lineRule="auto"/>
        <w:jc w:val="both"/>
        <w:rPr>
          <w:rFonts w:ascii="Palatino Linotype" w:eastAsia="Palatino Linotype" w:hAnsi="Palatino Linotype" w:cs="Palatino Linotype"/>
        </w:rPr>
      </w:pPr>
    </w:p>
    <w:p w:rsidR="00B516F7" w:rsidRDefault="00B516F7" w:rsidP="00B516F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SÉPTIMO</w:t>
      </w:r>
      <w:r w:rsidRPr="00202618">
        <w:rPr>
          <w:rFonts w:ascii="Palatino Linotype" w:eastAsia="Palatino Linotype" w:hAnsi="Palatino Linotype" w:cs="Palatino Linotype"/>
          <w:b/>
        </w:rPr>
        <w:t xml:space="preserve">. Gírese </w:t>
      </w:r>
      <w:r w:rsidRPr="00202618">
        <w:rPr>
          <w:rFonts w:ascii="Palatino Linotype" w:eastAsia="Palatino Linotype" w:hAnsi="Palatino Linotype" w:cs="Palatino Linotype"/>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131E63">
        <w:rPr>
          <w:rFonts w:ascii="Palatino Linotype" w:eastAsia="Palatino Linotype" w:hAnsi="Palatino Linotype" w:cs="Palatino Linotype"/>
          <w:b/>
        </w:rPr>
        <w:t>QUINTO</w:t>
      </w:r>
      <w:r w:rsidRPr="00202618">
        <w:rPr>
          <w:rFonts w:ascii="Palatino Linotype" w:eastAsia="Palatino Linotype" w:hAnsi="Palatino Linotype" w:cs="Palatino Linotype"/>
        </w:rPr>
        <w:t xml:space="preserve"> de la presente resolución.</w:t>
      </w:r>
    </w:p>
    <w:p w:rsidR="00A83E2B" w:rsidRDefault="00A83E2B">
      <w:pPr>
        <w:shd w:val="clear" w:color="auto" w:fill="FFFFFF"/>
        <w:spacing w:line="360" w:lineRule="auto"/>
        <w:jc w:val="both"/>
        <w:rPr>
          <w:rFonts w:ascii="Palatino Linotype" w:eastAsia="Palatino Linotype" w:hAnsi="Palatino Linotype" w:cs="Palatino Linotype"/>
        </w:rPr>
      </w:pPr>
    </w:p>
    <w:p w:rsidR="00905A85" w:rsidRPr="003E2295" w:rsidRDefault="00905A85" w:rsidP="00905A85">
      <w:pPr>
        <w:spacing w:before="240" w:after="240" w:line="360" w:lineRule="auto"/>
        <w:ind w:firstLine="1"/>
        <w:jc w:val="both"/>
        <w:rPr>
          <w:rFonts w:ascii="Palatino Linotype" w:hAnsi="Palatino Linotype"/>
        </w:rPr>
      </w:pPr>
      <w:bookmarkStart w:id="12" w:name="_heading=h.dipqbfvvq8qp" w:colFirst="0" w:colLast="0"/>
      <w:bookmarkStart w:id="13" w:name="_Hlk99014733"/>
      <w:bookmarkEnd w:id="12"/>
      <w:r w:rsidRPr="003E2295">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PRIMERA </w:t>
      </w:r>
      <w:r w:rsidRPr="003E2295">
        <w:rPr>
          <w:rFonts w:ascii="Palatino Linotype" w:hAnsi="Palatino Linotype" w:cs="Palatino Linotype"/>
        </w:rPr>
        <w:t>SESIÓN O</w:t>
      </w:r>
      <w:r>
        <w:rPr>
          <w:rFonts w:ascii="Palatino Linotype" w:hAnsi="Palatino Linotype" w:cs="Palatino Linotype"/>
        </w:rPr>
        <w:t>RDINARIA, CELEBRADA EL VEINTICINCO (25</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13"/>
    <w:p w:rsidR="00D86E74" w:rsidRPr="004D2425" w:rsidRDefault="00D86E74">
      <w:pPr>
        <w:spacing w:before="240" w:after="240" w:line="360" w:lineRule="auto"/>
        <w:ind w:firstLine="1"/>
        <w:jc w:val="both"/>
        <w:rPr>
          <w:rFonts w:ascii="Palatino Linotype" w:eastAsia="Palatino Linotype" w:hAnsi="Palatino Linotype" w:cs="Palatino Linotype"/>
          <w:sz w:val="22"/>
          <w:szCs w:val="22"/>
        </w:rPr>
      </w:pPr>
    </w:p>
    <w:p w:rsidR="00D86E74" w:rsidRPr="004D2425" w:rsidRDefault="00D86E74">
      <w:pPr>
        <w:spacing w:before="240" w:after="240" w:line="360" w:lineRule="auto"/>
        <w:ind w:firstLine="1"/>
        <w:jc w:val="both"/>
        <w:rPr>
          <w:rFonts w:ascii="Palatino Linotype" w:eastAsia="Palatino Linotype" w:hAnsi="Palatino Linotype" w:cs="Palatino Linotype"/>
          <w:sz w:val="22"/>
          <w:szCs w:val="22"/>
        </w:rPr>
      </w:pPr>
    </w:p>
    <w:p w:rsidR="00D86E74" w:rsidRPr="004D2425" w:rsidRDefault="00D86E74">
      <w:pPr>
        <w:spacing w:line="360" w:lineRule="auto"/>
        <w:jc w:val="both"/>
        <w:rPr>
          <w:rFonts w:ascii="Palatino Linotype" w:eastAsia="Palatino Linotype" w:hAnsi="Palatino Linotype" w:cs="Palatino Linotype"/>
          <w:sz w:val="22"/>
          <w:szCs w:val="22"/>
        </w:rPr>
      </w:pPr>
    </w:p>
    <w:p w:rsidR="00D86E74" w:rsidRDefault="00D86E74">
      <w:pPr>
        <w:pStyle w:val="Ttulo2"/>
        <w:spacing w:before="0" w:line="360" w:lineRule="auto"/>
        <w:rPr>
          <w:sz w:val="22"/>
          <w:szCs w:val="22"/>
        </w:rPr>
      </w:pPr>
    </w:p>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Default="00C17E52" w:rsidP="00C17E52"/>
    <w:p w:rsidR="00C17E52" w:rsidRPr="00C17E52" w:rsidRDefault="00C17E52" w:rsidP="00C17E52"/>
    <w:sectPr w:rsidR="00C17E52" w:rsidRPr="00C17E52">
      <w:headerReference w:type="default" r:id="rId12"/>
      <w:footerReference w:type="default" r:id="rId13"/>
      <w:headerReference w:type="first" r:id="rId14"/>
      <w:footerReference w:type="first" r:id="rId15"/>
      <w:pgSz w:w="12240" w:h="15840"/>
      <w:pgMar w:top="1691" w:right="175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B9E" w:rsidRDefault="00BB0B9E">
      <w:r>
        <w:separator/>
      </w:r>
    </w:p>
  </w:endnote>
  <w:endnote w:type="continuationSeparator" w:id="0">
    <w:p w:rsidR="00BB0B9E" w:rsidRDefault="00BB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A4A" w:rsidRDefault="00CC2A4A">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C241EC">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241EC">
      <w:rPr>
        <w:rFonts w:ascii="Palatino Linotype" w:eastAsia="Palatino Linotype" w:hAnsi="Palatino Linotype" w:cs="Palatino Linotype"/>
        <w:b/>
        <w:noProof/>
        <w:color w:val="000000"/>
        <w:sz w:val="22"/>
        <w:szCs w:val="22"/>
      </w:rPr>
      <w:t>51</w:t>
    </w:r>
    <w:r>
      <w:rPr>
        <w:rFonts w:ascii="Palatino Linotype" w:eastAsia="Palatino Linotype" w:hAnsi="Palatino Linotype" w:cs="Palatino Linotype"/>
        <w:b/>
        <w:color w:val="000000"/>
        <w:sz w:val="22"/>
        <w:szCs w:val="22"/>
      </w:rPr>
      <w:fldChar w:fldCharType="end"/>
    </w:r>
  </w:p>
  <w:p w:rsidR="00CC2A4A" w:rsidRDefault="00CC2A4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CC2A4A" w:rsidRDefault="00CC2A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A4A" w:rsidRDefault="00CC2A4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241E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241EC">
      <w:rPr>
        <w:rFonts w:ascii="Palatino Linotype" w:eastAsia="Palatino Linotype" w:hAnsi="Palatino Linotype" w:cs="Palatino Linotype"/>
        <w:noProof/>
        <w:color w:val="000000"/>
        <w:sz w:val="22"/>
        <w:szCs w:val="22"/>
      </w:rPr>
      <w:t>51</w:t>
    </w:r>
    <w:r>
      <w:rPr>
        <w:rFonts w:ascii="Palatino Linotype" w:eastAsia="Palatino Linotype" w:hAnsi="Palatino Linotype" w:cs="Palatino Linotype"/>
        <w:color w:val="000000"/>
        <w:sz w:val="22"/>
        <w:szCs w:val="22"/>
      </w:rPr>
      <w:fldChar w:fldCharType="end"/>
    </w:r>
  </w:p>
  <w:p w:rsidR="00CC2A4A" w:rsidRDefault="00CC2A4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CC2A4A" w:rsidRDefault="00CC2A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B9E" w:rsidRDefault="00BB0B9E">
      <w:r>
        <w:separator/>
      </w:r>
    </w:p>
  </w:footnote>
  <w:footnote w:type="continuationSeparator" w:id="0">
    <w:p w:rsidR="00BB0B9E" w:rsidRDefault="00BB0B9E">
      <w:r>
        <w:continuationSeparator/>
      </w:r>
    </w:p>
  </w:footnote>
  <w:footnote w:id="1">
    <w:p w:rsidR="00CC2A4A" w:rsidRDefault="00CC2A4A">
      <w:pPr>
        <w:pStyle w:val="Textonotapie"/>
      </w:pPr>
      <w:r>
        <w:rPr>
          <w:rStyle w:val="Refdenotaalpie"/>
        </w:rPr>
        <w:footnoteRef/>
      </w:r>
      <w:r>
        <w:t xml:space="preserve"> Ley General de Contabilidad Gubernamental. Artículo 1.</w:t>
      </w:r>
    </w:p>
  </w:footnote>
  <w:footnote w:id="2">
    <w:p w:rsidR="00CC2A4A" w:rsidRDefault="00CC2A4A">
      <w:pPr>
        <w:pStyle w:val="Textonotapie"/>
      </w:pPr>
      <w:r>
        <w:rPr>
          <w:rStyle w:val="Refdenotaalpie"/>
        </w:rPr>
        <w:footnoteRef/>
      </w:r>
      <w:r>
        <w:t xml:space="preserve"> Manual Único de Contabilidad Gubernamental.</w:t>
      </w:r>
    </w:p>
  </w:footnote>
  <w:footnote w:id="3">
    <w:p w:rsidR="00CC2A4A" w:rsidRDefault="00CC2A4A">
      <w:pPr>
        <w:pStyle w:val="Textonotapie"/>
      </w:pPr>
      <w:r>
        <w:rPr>
          <w:rStyle w:val="Refdenotaalpie"/>
        </w:rPr>
        <w:footnoteRef/>
      </w:r>
      <w:r>
        <w:t xml:space="preserve"> SCG</w:t>
      </w:r>
    </w:p>
  </w:footnote>
  <w:footnote w:id="4">
    <w:p w:rsidR="00CC2A4A" w:rsidRDefault="00CC2A4A">
      <w:pPr>
        <w:pStyle w:val="Textonotapie"/>
      </w:pPr>
      <w:r>
        <w:rPr>
          <w:rStyle w:val="Refdenotaalpie"/>
        </w:rPr>
        <w:footnoteRef/>
      </w:r>
      <w:r>
        <w:t xml:space="preserve"> Código Financiero del Estado de México y Municipios. Artículo 17.</w:t>
      </w:r>
    </w:p>
  </w:footnote>
  <w:footnote w:id="5">
    <w:p w:rsidR="00CC2A4A" w:rsidRDefault="00CC2A4A">
      <w:pPr>
        <w:pStyle w:val="Textonotapie"/>
      </w:pPr>
      <w:r>
        <w:rPr>
          <w:rStyle w:val="Refdenotaalpie"/>
        </w:rPr>
        <w:footnoteRef/>
      </w:r>
      <w:r>
        <w:t xml:space="preserve"> Código Financiero del Estado de México y Municipios. Artículo 254 fracciones VI, XII, XXIX, </w:t>
      </w:r>
    </w:p>
  </w:footnote>
  <w:footnote w:id="6">
    <w:p w:rsidR="00CC2A4A" w:rsidRDefault="00CC2A4A">
      <w:pPr>
        <w:pStyle w:val="Textonotapie"/>
      </w:pPr>
      <w:r>
        <w:rPr>
          <w:rStyle w:val="Refdenotaalpie"/>
        </w:rPr>
        <w:footnoteRef/>
      </w:r>
      <w:r>
        <w:t xml:space="preserve"> </w:t>
      </w:r>
      <w:hyperlink r:id="rId1" w:history="1">
        <w:r w:rsidRPr="003C16E9">
          <w:rPr>
            <w:rStyle w:val="Hipervnculo"/>
          </w:rPr>
          <w:t>https://ihaem.edomex.gob.mx/sistemas</w:t>
        </w:r>
      </w:hyperlink>
      <w:r>
        <w:t xml:space="preserve"> Consultada el 18/03/2026.</w:t>
      </w:r>
    </w:p>
  </w:footnote>
  <w:footnote w:id="7">
    <w:p w:rsidR="00CC2A4A" w:rsidRDefault="00CC2A4A">
      <w:pPr>
        <w:pStyle w:val="Textonotapie"/>
      </w:pPr>
      <w:r>
        <w:rPr>
          <w:rStyle w:val="Refdenotaalpie"/>
        </w:rPr>
        <w:footnoteRef/>
      </w:r>
      <w:r>
        <w:t xml:space="preserve"> </w:t>
      </w:r>
      <w:hyperlink r:id="rId2" w:history="1">
        <w:r w:rsidRPr="003C16E9">
          <w:rPr>
            <w:rStyle w:val="Hipervnculo"/>
          </w:rPr>
          <w:t>https://softwareparagobierno.com.mx/patrimonio/</w:t>
        </w:r>
      </w:hyperlink>
      <w:r>
        <w:t xml:space="preserve"> consultada el 18/03/2026</w:t>
      </w:r>
    </w:p>
  </w:footnote>
  <w:footnote w:id="8">
    <w:p w:rsidR="00CC2A4A" w:rsidRDefault="00CC2A4A">
      <w:pPr>
        <w:pStyle w:val="Textonotapie"/>
      </w:pPr>
      <w:r>
        <w:rPr>
          <w:rStyle w:val="Refdenotaalpie"/>
        </w:rPr>
        <w:footnoteRef/>
      </w:r>
      <w:r>
        <w:t xml:space="preserve"> </w:t>
      </w:r>
      <w:r>
        <w:rPr>
          <w:rFonts w:ascii="Palatino Linotype" w:hAnsi="Palatino Linotype"/>
        </w:rPr>
        <w:t xml:space="preserve">Acuerdo por el que se establecen los Criterios Generales que deberán observar las Dependencias y Organismos Auxiliares de la Administración Pública Estatal en el Sistema SISER-WEB  </w:t>
      </w:r>
    </w:p>
  </w:footnote>
  <w:footnote w:id="9">
    <w:p w:rsidR="00CC2A4A" w:rsidRDefault="00CC2A4A">
      <w:pPr>
        <w:pStyle w:val="Textonotapie"/>
      </w:pPr>
      <w:r>
        <w:rPr>
          <w:rStyle w:val="Refdenotaalpie"/>
        </w:rPr>
        <w:footnoteRef/>
      </w:r>
      <w:r>
        <w:t xml:space="preserve"> Reglamento para los Procesos de Entrega y Recepción y de Rendición de Cuentas de la administración Pública del Estado de México. Artículo 3 fr. XXI</w:t>
      </w:r>
    </w:p>
  </w:footnote>
  <w:footnote w:id="10">
    <w:p w:rsidR="00CC2A4A" w:rsidRDefault="00CC2A4A">
      <w:pPr>
        <w:pStyle w:val="Textonotapie"/>
      </w:pPr>
      <w:r>
        <w:rPr>
          <w:rStyle w:val="Refdenotaalpie"/>
        </w:rPr>
        <w:footnoteRef/>
      </w:r>
      <w:r>
        <w:t xml:space="preserve"> </w:t>
      </w:r>
      <w:hyperlink r:id="rId3" w:history="1">
        <w:r w:rsidRPr="003C16E9">
          <w:rPr>
            <w:rStyle w:val="Hipervnculo"/>
          </w:rPr>
          <w:t>https://siser.secogem.gob.mx/login</w:t>
        </w:r>
      </w:hyperlink>
      <w:r>
        <w:t xml:space="preserve"> consultada el 18/03/2026.</w:t>
      </w:r>
    </w:p>
  </w:footnote>
  <w:footnote w:id="11">
    <w:p w:rsidR="00CC2A4A" w:rsidRDefault="00CC2A4A">
      <w:pPr>
        <w:pStyle w:val="Textonotapie"/>
      </w:pPr>
      <w:r>
        <w:rPr>
          <w:rStyle w:val="Refdenotaalpie"/>
        </w:rPr>
        <w:footnoteRef/>
      </w:r>
      <w:r>
        <w:t xml:space="preserve"> Reglamento Orgánico de la Administración Pública Municipal de Nicolás Romero, Estado de México.  Artículo 69, 72, </w:t>
      </w:r>
    </w:p>
  </w:footnote>
  <w:footnote w:id="12">
    <w:p w:rsidR="00CC2A4A" w:rsidRDefault="00CC2A4A">
      <w:pPr>
        <w:pStyle w:val="Textonotapie"/>
      </w:pPr>
      <w:r>
        <w:rPr>
          <w:rStyle w:val="Refdenotaalpie"/>
        </w:rPr>
        <w:footnoteRef/>
      </w:r>
      <w:r>
        <w:t xml:space="preserve"> Reglamento Orgánico de la Administración Pública Municipal de Nicolás Romero, Estado de México.  Artículo 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A4A" w:rsidRDefault="00CC2A4A">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-876824</wp:posOffset>
          </wp:positionH>
          <wp:positionV relativeFrom="paragraph">
            <wp:posOffset>-420998</wp:posOffset>
          </wp:positionV>
          <wp:extent cx="7809876" cy="10165823"/>
          <wp:effectExtent l="0" t="0" r="0" b="0"/>
          <wp:wrapNone/>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r>
      <w:rPr>
        <w:noProof/>
        <w:lang w:val="es-MX"/>
      </w:rPr>
      <w:t>|</w:t>
    </w:r>
  </w:p>
  <w:tbl>
    <w:tblPr>
      <w:tblStyle w:val="ae"/>
      <w:tblW w:w="6465"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550"/>
      <w:gridCol w:w="3915"/>
    </w:tblGrid>
    <w:tr w:rsidR="00CC2A4A">
      <w:trPr>
        <w:trHeight w:val="138"/>
      </w:trPr>
      <w:tc>
        <w:tcPr>
          <w:tcW w:w="2550" w:type="dxa"/>
          <w:vAlign w:val="center"/>
        </w:tcPr>
        <w:p w:rsidR="00CC2A4A" w:rsidRDefault="00CC2A4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15" w:type="dxa"/>
          <w:vAlign w:val="center"/>
        </w:tcPr>
        <w:p w:rsidR="00CC2A4A" w:rsidRDefault="00CC2A4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highlight w:val="yellow"/>
            </w:rPr>
          </w:pPr>
          <w:r>
            <w:rPr>
              <w:rFonts w:ascii="Palatino Linotype" w:eastAsia="Palatino Linotype" w:hAnsi="Palatino Linotype" w:cs="Palatino Linotype"/>
              <w:color w:val="000000"/>
            </w:rPr>
            <w:t>13163/INFOEM/IP/RR/2025</w:t>
          </w:r>
        </w:p>
      </w:tc>
    </w:tr>
    <w:tr w:rsidR="00CC2A4A">
      <w:trPr>
        <w:trHeight w:val="321"/>
      </w:trPr>
      <w:tc>
        <w:tcPr>
          <w:tcW w:w="2550" w:type="dxa"/>
          <w:vAlign w:val="center"/>
        </w:tcPr>
        <w:p w:rsidR="00CC2A4A" w:rsidRDefault="00CC2A4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15" w:type="dxa"/>
          <w:vAlign w:val="center"/>
        </w:tcPr>
        <w:p w:rsidR="00CC2A4A" w:rsidRDefault="00CC2A4A" w:rsidP="001F7125">
          <w:pPr>
            <w:rPr>
              <w:rFonts w:ascii="Palatino Linotype" w:eastAsia="Palatino Linotype" w:hAnsi="Palatino Linotype" w:cs="Palatino Linotype"/>
            </w:rPr>
          </w:pPr>
          <w:r>
            <w:rPr>
              <w:rFonts w:ascii="Palatino Linotype" w:eastAsia="Palatino Linotype" w:hAnsi="Palatino Linotype" w:cs="Palatino Linotype"/>
            </w:rPr>
            <w:t>Ayuntamiento de Nicolás Romero</w:t>
          </w:r>
        </w:p>
      </w:tc>
    </w:tr>
    <w:tr w:rsidR="00CC2A4A">
      <w:trPr>
        <w:trHeight w:val="321"/>
      </w:trPr>
      <w:tc>
        <w:tcPr>
          <w:tcW w:w="2550" w:type="dxa"/>
          <w:vAlign w:val="center"/>
        </w:tcPr>
        <w:p w:rsidR="00CC2A4A" w:rsidRDefault="00CC2A4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15" w:type="dxa"/>
          <w:vAlign w:val="center"/>
        </w:tcPr>
        <w:p w:rsidR="00CC2A4A" w:rsidRDefault="00CC2A4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Pr>
              <w:rFonts w:ascii="Palatino Linotype" w:eastAsia="Palatino Linotype" w:hAnsi="Palatino Linotype" w:cs="Palatino Linotype"/>
              <w:color w:val="000000"/>
            </w:rPr>
            <w:t>María del Rosario Mejía Ayala</w:t>
          </w:r>
        </w:p>
      </w:tc>
    </w:tr>
  </w:tbl>
  <w:p w:rsidR="00CC2A4A" w:rsidRDefault="00CC2A4A">
    <w:pPr>
      <w:pBdr>
        <w:top w:val="nil"/>
        <w:left w:val="nil"/>
        <w:bottom w:val="nil"/>
        <w:right w:val="nil"/>
        <w:between w:val="nil"/>
      </w:pBdr>
      <w:tabs>
        <w:tab w:val="center" w:pos="4252"/>
        <w:tab w:val="right" w:pos="8504"/>
      </w:tabs>
      <w:rPr>
        <w:color w:val="000000"/>
      </w:rPr>
    </w:pPr>
  </w:p>
  <w:p w:rsidR="00CC2A4A" w:rsidRDefault="00CC2A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A4A" w:rsidRDefault="00CC2A4A">
    <w:pPr>
      <w:rPr>
        <w:color w:val="000000"/>
      </w:rPr>
    </w:pPr>
    <w:r>
      <w:rPr>
        <w:color w:val="000000"/>
      </w:rPr>
      <w:tab/>
    </w:r>
    <w:r>
      <w:rPr>
        <w:color w:val="000000"/>
      </w:rPr>
      <w:tab/>
    </w:r>
    <w:r>
      <w:rPr>
        <w:noProof/>
        <w:lang w:val="es-MX"/>
      </w:rPr>
      <w:drawing>
        <wp:anchor distT="0" distB="0" distL="0" distR="0" simplePos="0" relativeHeight="251659264" behindDoc="1" locked="0" layoutInCell="1" hidden="0" allowOverlap="1">
          <wp:simplePos x="0" y="0"/>
          <wp:positionH relativeFrom="column">
            <wp:posOffset>-873649</wp:posOffset>
          </wp:positionH>
          <wp:positionV relativeFrom="paragraph">
            <wp:posOffset>-375913</wp:posOffset>
          </wp:positionV>
          <wp:extent cx="7809876" cy="10165823"/>
          <wp:effectExtent l="0" t="0" r="0" b="0"/>
          <wp:wrapNone/>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6840"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35"/>
      <w:gridCol w:w="255"/>
      <w:gridCol w:w="4050"/>
    </w:tblGrid>
    <w:tr w:rsidR="00CC2A4A">
      <w:trPr>
        <w:trHeight w:val="138"/>
      </w:trPr>
      <w:tc>
        <w:tcPr>
          <w:tcW w:w="2535" w:type="dxa"/>
          <w:vAlign w:val="center"/>
        </w:tcPr>
        <w:p w:rsidR="00CC2A4A" w:rsidRDefault="00CC2A4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255" w:type="dxa"/>
          <w:vAlign w:val="center"/>
        </w:tcPr>
        <w:p w:rsidR="00CC2A4A" w:rsidRDefault="00CC2A4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050" w:type="dxa"/>
          <w:vAlign w:val="center"/>
        </w:tcPr>
        <w:p w:rsidR="00CC2A4A" w:rsidRDefault="00CC2A4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rPr>
          </w:pPr>
          <w:r>
            <w:rPr>
              <w:rFonts w:ascii="Palatino Linotype" w:eastAsia="Palatino Linotype" w:hAnsi="Palatino Linotype" w:cs="Palatino Linotype"/>
              <w:color w:val="000000"/>
            </w:rPr>
            <w:t>13163/INFOEM/IP/RR/2025</w:t>
          </w:r>
        </w:p>
      </w:tc>
    </w:tr>
    <w:tr w:rsidR="00CC2A4A">
      <w:trPr>
        <w:trHeight w:val="227"/>
      </w:trPr>
      <w:tc>
        <w:tcPr>
          <w:tcW w:w="2535" w:type="dxa"/>
          <w:vAlign w:val="center"/>
        </w:tcPr>
        <w:p w:rsidR="00CC2A4A" w:rsidRDefault="00CC2A4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255" w:type="dxa"/>
          <w:vAlign w:val="center"/>
        </w:tcPr>
        <w:p w:rsidR="00CC2A4A" w:rsidRDefault="00CC2A4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050" w:type="dxa"/>
          <w:vAlign w:val="center"/>
        </w:tcPr>
        <w:p w:rsidR="00CC2A4A" w:rsidRDefault="00C241EC">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rPr>
          </w:pPr>
          <w:r>
            <w:rPr>
              <w:rFonts w:ascii="Palatino Linotype" w:eastAsia="Palatino Linotype" w:hAnsi="Palatino Linotype" w:cs="Palatino Linotype"/>
              <w:color w:val="000000"/>
            </w:rPr>
            <w:t>XXXX</w:t>
          </w:r>
        </w:p>
      </w:tc>
    </w:tr>
    <w:tr w:rsidR="00CC2A4A">
      <w:trPr>
        <w:trHeight w:val="232"/>
      </w:trPr>
      <w:tc>
        <w:tcPr>
          <w:tcW w:w="2535" w:type="dxa"/>
          <w:vAlign w:val="center"/>
        </w:tcPr>
        <w:p w:rsidR="00CC2A4A" w:rsidRDefault="00CC2A4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255" w:type="dxa"/>
          <w:vAlign w:val="center"/>
        </w:tcPr>
        <w:p w:rsidR="00CC2A4A" w:rsidRDefault="00CC2A4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050" w:type="dxa"/>
          <w:vAlign w:val="center"/>
        </w:tcPr>
        <w:p w:rsidR="00CC2A4A" w:rsidRDefault="00CC2A4A" w:rsidP="001F7125">
          <w:pPr>
            <w:ind w:right="-73"/>
          </w:pPr>
          <w:r>
            <w:rPr>
              <w:rFonts w:ascii="Palatino Linotype" w:eastAsia="Palatino Linotype" w:hAnsi="Palatino Linotype" w:cs="Palatino Linotype"/>
            </w:rPr>
            <w:t>Ayuntamiento de Nicolás Romero</w:t>
          </w:r>
        </w:p>
      </w:tc>
    </w:tr>
    <w:tr w:rsidR="00CC2A4A">
      <w:trPr>
        <w:trHeight w:val="320"/>
      </w:trPr>
      <w:tc>
        <w:tcPr>
          <w:tcW w:w="2535" w:type="dxa"/>
          <w:vAlign w:val="center"/>
        </w:tcPr>
        <w:p w:rsidR="00CC2A4A" w:rsidRDefault="00CC2A4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255" w:type="dxa"/>
          <w:vAlign w:val="center"/>
        </w:tcPr>
        <w:p w:rsidR="00CC2A4A" w:rsidRDefault="00CC2A4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050" w:type="dxa"/>
          <w:vAlign w:val="center"/>
        </w:tcPr>
        <w:p w:rsidR="00CC2A4A" w:rsidRDefault="00CC2A4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rPr>
          </w:pPr>
          <w:r>
            <w:rPr>
              <w:rFonts w:ascii="Palatino Linotype" w:eastAsia="Palatino Linotype" w:hAnsi="Palatino Linotype" w:cs="Palatino Linotype"/>
              <w:color w:val="000000"/>
            </w:rPr>
            <w:t>María del Rosario Mejía Ayala</w:t>
          </w:r>
        </w:p>
      </w:tc>
    </w:tr>
  </w:tbl>
  <w:p w:rsidR="00CC2A4A" w:rsidRDefault="00CC2A4A">
    <w:pPr>
      <w:pBdr>
        <w:top w:val="nil"/>
        <w:left w:val="nil"/>
        <w:bottom w:val="nil"/>
        <w:right w:val="nil"/>
        <w:between w:val="nil"/>
      </w:pBdr>
      <w:tabs>
        <w:tab w:val="center" w:pos="4252"/>
        <w:tab w:val="right" w:pos="8504"/>
      </w:tabs>
      <w:rPr>
        <w:color w:val="000000"/>
      </w:rPr>
    </w:pPr>
  </w:p>
  <w:p w:rsidR="00CC2A4A" w:rsidRDefault="00CC2A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8D8CA682"/>
    <w:lvl w:ilvl="0">
      <w:start w:val="4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92963"/>
    <w:multiLevelType w:val="multilevel"/>
    <w:tmpl w:val="181C279E"/>
    <w:lvl w:ilvl="0">
      <w:start w:val="10"/>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upperRoman"/>
      <w:lvlText w:val="%2."/>
      <w:lvlJc w:val="left"/>
      <w:pPr>
        <w:ind w:left="1440" w:hanging="360"/>
      </w:pPr>
      <w:rPr>
        <w:rFonts w:ascii="Palatino Linotype" w:eastAsia="Palatino Linotype" w:hAnsi="Palatino Linotype" w:cs="Palatino Linotype" w:hint="default"/>
        <w:b w:val="0"/>
        <w:bCs w:val="0"/>
        <w:i/>
        <w:iCs/>
        <w:spacing w:val="0"/>
        <w:w w:val="99"/>
        <w:sz w:val="20"/>
        <w:szCs w:val="20"/>
        <w:lang w:val="es-ES" w:eastAsia="en-US" w:bidi="ar-SA"/>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14606F"/>
    <w:multiLevelType w:val="multilevel"/>
    <w:tmpl w:val="52DC1E36"/>
    <w:lvl w:ilvl="0">
      <w:start w:val="90"/>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2"/>
      <w:numFmt w:val="decimal"/>
      <w:lvlText w:val="%4."/>
      <w:lvlJc w:val="left"/>
      <w:pPr>
        <w:ind w:left="3054" w:hanging="360"/>
      </w:pPr>
      <w:rPr>
        <w:rFonts w:hint="default"/>
        <w:b/>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4876"/>
    <w:multiLevelType w:val="multilevel"/>
    <w:tmpl w:val="A3EC3E2E"/>
    <w:lvl w:ilvl="0">
      <w:start w:val="5"/>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4317490"/>
    <w:multiLevelType w:val="hybridMultilevel"/>
    <w:tmpl w:val="B6101880"/>
    <w:lvl w:ilvl="0" w:tplc="56B271C0">
      <w:start w:val="1"/>
      <w:numFmt w:val="decimal"/>
      <w:lvlText w:val="%1."/>
      <w:lvlJc w:val="left"/>
      <w:pPr>
        <w:ind w:left="0" w:firstLine="0"/>
      </w:pPr>
      <w:rPr>
        <w:rFonts w:ascii="Palatino Linotype" w:hAnsi="Palatino Linotype" w:hint="default"/>
        <w:b/>
        <w:i w:val="0"/>
        <w:sz w:val="24"/>
        <w:lang w:val="es-MX"/>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B07002"/>
    <w:multiLevelType w:val="hybridMultilevel"/>
    <w:tmpl w:val="8AC8A5F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5" w15:restartNumberingAfterBreak="0">
    <w:nsid w:val="356A52F9"/>
    <w:multiLevelType w:val="multilevel"/>
    <w:tmpl w:val="E6DC310A"/>
    <w:lvl w:ilvl="0">
      <w:start w:val="90"/>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right"/>
      <w:pPr>
        <w:ind w:left="3054" w:hanging="360"/>
      </w:pPr>
      <w:rPr>
        <w:rFonts w:hint="default"/>
        <w:b/>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7B12E1E"/>
    <w:multiLevelType w:val="multilevel"/>
    <w:tmpl w:val="E71E042A"/>
    <w:lvl w:ilvl="0">
      <w:start w:val="86"/>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944373E"/>
    <w:multiLevelType w:val="multilevel"/>
    <w:tmpl w:val="C692473A"/>
    <w:lvl w:ilvl="0">
      <w:start w:val="45"/>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BB7341"/>
    <w:multiLevelType w:val="multilevel"/>
    <w:tmpl w:val="1B6EB4AA"/>
    <w:lvl w:ilvl="0">
      <w:start w:val="9"/>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6E34B3"/>
    <w:multiLevelType w:val="multilevel"/>
    <w:tmpl w:val="65E2F508"/>
    <w:lvl w:ilvl="0">
      <w:start w:val="86"/>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2"/>
      <w:numFmt w:val="decimal"/>
      <w:lvlText w:val="%4."/>
      <w:lvlJc w:val="left"/>
      <w:pPr>
        <w:ind w:left="3054" w:hanging="360"/>
      </w:pPr>
      <w:rPr>
        <w:rFonts w:hint="default"/>
        <w:b/>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8D520D"/>
    <w:multiLevelType w:val="multilevel"/>
    <w:tmpl w:val="6ECAABDC"/>
    <w:lvl w:ilvl="0">
      <w:start w:val="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EA67C1A"/>
    <w:multiLevelType w:val="multilevel"/>
    <w:tmpl w:val="7D9EB2A0"/>
    <w:lvl w:ilvl="0">
      <w:start w:val="4"/>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102AD3"/>
    <w:multiLevelType w:val="multilevel"/>
    <w:tmpl w:val="2FEE4674"/>
    <w:lvl w:ilvl="0">
      <w:start w:val="46"/>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2C7659C"/>
    <w:multiLevelType w:val="multilevel"/>
    <w:tmpl w:val="DD3262EE"/>
    <w:lvl w:ilvl="0">
      <w:start w:val="30"/>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68A255C"/>
    <w:multiLevelType w:val="hybridMultilevel"/>
    <w:tmpl w:val="EEEEE7E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7" w15:restartNumberingAfterBreak="0">
    <w:nsid w:val="588F272F"/>
    <w:multiLevelType w:val="multilevel"/>
    <w:tmpl w:val="E48A197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177B67"/>
    <w:multiLevelType w:val="multilevel"/>
    <w:tmpl w:val="C58AC4AA"/>
    <w:lvl w:ilvl="0">
      <w:start w:val="3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29200B"/>
    <w:multiLevelType w:val="hybridMultilevel"/>
    <w:tmpl w:val="E2626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F510D00"/>
    <w:multiLevelType w:val="hybridMultilevel"/>
    <w:tmpl w:val="6D085F88"/>
    <w:lvl w:ilvl="0" w:tplc="6C92875C">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7FAF3AF7"/>
    <w:multiLevelType w:val="multilevel"/>
    <w:tmpl w:val="806E699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2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2"/>
  </w:num>
  <w:num w:numId="3">
    <w:abstractNumId w:val="29"/>
  </w:num>
  <w:num w:numId="4">
    <w:abstractNumId w:val="33"/>
  </w:num>
  <w:num w:numId="5">
    <w:abstractNumId w:val="3"/>
  </w:num>
  <w:num w:numId="6">
    <w:abstractNumId w:val="9"/>
  </w:num>
  <w:num w:numId="7">
    <w:abstractNumId w:val="10"/>
  </w:num>
  <w:num w:numId="8">
    <w:abstractNumId w:val="5"/>
  </w:num>
  <w:num w:numId="9">
    <w:abstractNumId w:val="1"/>
  </w:num>
  <w:num w:numId="10">
    <w:abstractNumId w:val="31"/>
  </w:num>
  <w:num w:numId="11">
    <w:abstractNumId w:val="16"/>
  </w:num>
  <w:num w:numId="12">
    <w:abstractNumId w:val="19"/>
  </w:num>
  <w:num w:numId="13">
    <w:abstractNumId w:val="35"/>
  </w:num>
  <w:num w:numId="14">
    <w:abstractNumId w:val="7"/>
  </w:num>
  <w:num w:numId="15">
    <w:abstractNumId w:val="30"/>
  </w:num>
  <w:num w:numId="16">
    <w:abstractNumId w:val="23"/>
  </w:num>
  <w:num w:numId="17">
    <w:abstractNumId w:val="37"/>
  </w:num>
  <w:num w:numId="18">
    <w:abstractNumId w:val="6"/>
  </w:num>
  <w:num w:numId="19">
    <w:abstractNumId w:val="38"/>
  </w:num>
  <w:num w:numId="20">
    <w:abstractNumId w:val="28"/>
  </w:num>
  <w:num w:numId="21">
    <w:abstractNumId w:val="0"/>
  </w:num>
  <w:num w:numId="22">
    <w:abstractNumId w:val="36"/>
  </w:num>
  <w:num w:numId="23">
    <w:abstractNumId w:val="24"/>
  </w:num>
  <w:num w:numId="24">
    <w:abstractNumId w:val="17"/>
  </w:num>
  <w:num w:numId="25">
    <w:abstractNumId w:val="12"/>
  </w:num>
  <w:num w:numId="26">
    <w:abstractNumId w:val="20"/>
  </w:num>
  <w:num w:numId="27">
    <w:abstractNumId w:val="2"/>
  </w:num>
  <w:num w:numId="28">
    <w:abstractNumId w:val="27"/>
  </w:num>
  <w:num w:numId="29">
    <w:abstractNumId w:val="34"/>
  </w:num>
  <w:num w:numId="30">
    <w:abstractNumId w:val="25"/>
  </w:num>
  <w:num w:numId="31">
    <w:abstractNumId w:val="18"/>
  </w:num>
  <w:num w:numId="32">
    <w:abstractNumId w:val="22"/>
  </w:num>
  <w:num w:numId="33">
    <w:abstractNumId w:val="4"/>
  </w:num>
  <w:num w:numId="34">
    <w:abstractNumId w:val="39"/>
  </w:num>
  <w:num w:numId="35">
    <w:abstractNumId w:val="26"/>
  </w:num>
  <w:num w:numId="36">
    <w:abstractNumId w:val="14"/>
  </w:num>
  <w:num w:numId="37">
    <w:abstractNumId w:val="21"/>
  </w:num>
  <w:num w:numId="38">
    <w:abstractNumId w:val="11"/>
  </w:num>
  <w:num w:numId="39">
    <w:abstractNumId w:val="1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15BB5"/>
    <w:rsid w:val="000261F9"/>
    <w:rsid w:val="0005385B"/>
    <w:rsid w:val="00057427"/>
    <w:rsid w:val="000706F4"/>
    <w:rsid w:val="000E6B21"/>
    <w:rsid w:val="001114DB"/>
    <w:rsid w:val="00131E63"/>
    <w:rsid w:val="00136307"/>
    <w:rsid w:val="001437F3"/>
    <w:rsid w:val="00144BAC"/>
    <w:rsid w:val="001A4AC8"/>
    <w:rsid w:val="001E06D6"/>
    <w:rsid w:val="001F7125"/>
    <w:rsid w:val="00211124"/>
    <w:rsid w:val="002427BA"/>
    <w:rsid w:val="00246E35"/>
    <w:rsid w:val="002913F9"/>
    <w:rsid w:val="002978E5"/>
    <w:rsid w:val="002A6AF6"/>
    <w:rsid w:val="002B15F2"/>
    <w:rsid w:val="00327D5F"/>
    <w:rsid w:val="00327D9C"/>
    <w:rsid w:val="00334E2C"/>
    <w:rsid w:val="003428D0"/>
    <w:rsid w:val="003A6EDC"/>
    <w:rsid w:val="003C44D6"/>
    <w:rsid w:val="00426FBD"/>
    <w:rsid w:val="004514F0"/>
    <w:rsid w:val="00457C02"/>
    <w:rsid w:val="00470C5C"/>
    <w:rsid w:val="00471856"/>
    <w:rsid w:val="004A22D0"/>
    <w:rsid w:val="004B35F6"/>
    <w:rsid w:val="004B5B34"/>
    <w:rsid w:val="004C493A"/>
    <w:rsid w:val="004D2425"/>
    <w:rsid w:val="004F63D2"/>
    <w:rsid w:val="00504EAB"/>
    <w:rsid w:val="0051138E"/>
    <w:rsid w:val="005235B9"/>
    <w:rsid w:val="0053655E"/>
    <w:rsid w:val="00566FBF"/>
    <w:rsid w:val="005714F4"/>
    <w:rsid w:val="00583D6D"/>
    <w:rsid w:val="0059239A"/>
    <w:rsid w:val="005A57F6"/>
    <w:rsid w:val="005D561B"/>
    <w:rsid w:val="005F2DF6"/>
    <w:rsid w:val="00622F27"/>
    <w:rsid w:val="00636840"/>
    <w:rsid w:val="00647351"/>
    <w:rsid w:val="00663745"/>
    <w:rsid w:val="00674713"/>
    <w:rsid w:val="0068546A"/>
    <w:rsid w:val="006E587F"/>
    <w:rsid w:val="00712727"/>
    <w:rsid w:val="00756E82"/>
    <w:rsid w:val="00761701"/>
    <w:rsid w:val="0077309E"/>
    <w:rsid w:val="00774619"/>
    <w:rsid w:val="007879FD"/>
    <w:rsid w:val="00787FE0"/>
    <w:rsid w:val="0079058E"/>
    <w:rsid w:val="00791BEE"/>
    <w:rsid w:val="007B1402"/>
    <w:rsid w:val="007D746D"/>
    <w:rsid w:val="00812C87"/>
    <w:rsid w:val="00847C6F"/>
    <w:rsid w:val="00855618"/>
    <w:rsid w:val="00882DDD"/>
    <w:rsid w:val="008911A5"/>
    <w:rsid w:val="008A55E6"/>
    <w:rsid w:val="008B1D56"/>
    <w:rsid w:val="008B38C3"/>
    <w:rsid w:val="008B50F4"/>
    <w:rsid w:val="00905A85"/>
    <w:rsid w:val="00952455"/>
    <w:rsid w:val="00962A17"/>
    <w:rsid w:val="00975319"/>
    <w:rsid w:val="009946E1"/>
    <w:rsid w:val="009A2ADA"/>
    <w:rsid w:val="009A6FEE"/>
    <w:rsid w:val="00A80813"/>
    <w:rsid w:val="00A83E2B"/>
    <w:rsid w:val="00AC1968"/>
    <w:rsid w:val="00AD240C"/>
    <w:rsid w:val="00B05C77"/>
    <w:rsid w:val="00B516F7"/>
    <w:rsid w:val="00B93ACB"/>
    <w:rsid w:val="00B97537"/>
    <w:rsid w:val="00BB0B9E"/>
    <w:rsid w:val="00BB1041"/>
    <w:rsid w:val="00BB3D4B"/>
    <w:rsid w:val="00BC5978"/>
    <w:rsid w:val="00C061D5"/>
    <w:rsid w:val="00C17E52"/>
    <w:rsid w:val="00C241EC"/>
    <w:rsid w:val="00C30CF0"/>
    <w:rsid w:val="00C61910"/>
    <w:rsid w:val="00C90CBB"/>
    <w:rsid w:val="00CC2A4A"/>
    <w:rsid w:val="00CC5FE6"/>
    <w:rsid w:val="00CE5DF3"/>
    <w:rsid w:val="00CE7CA6"/>
    <w:rsid w:val="00D675D0"/>
    <w:rsid w:val="00D86E74"/>
    <w:rsid w:val="00D87EAD"/>
    <w:rsid w:val="00DA03B4"/>
    <w:rsid w:val="00E35EA4"/>
    <w:rsid w:val="00EA1BAE"/>
    <w:rsid w:val="00EC13DD"/>
    <w:rsid w:val="00EC57E0"/>
    <w:rsid w:val="00EF7226"/>
    <w:rsid w:val="00F31397"/>
    <w:rsid w:val="00F51EA5"/>
    <w:rsid w:val="00F533CA"/>
    <w:rsid w:val="00F55221"/>
    <w:rsid w:val="00FA5E2B"/>
    <w:rsid w:val="00FA626F"/>
    <w:rsid w:val="00FB3F36"/>
    <w:rsid w:val="00FF64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2163">
      <w:bodyDiv w:val="1"/>
      <w:marLeft w:val="0"/>
      <w:marRight w:val="0"/>
      <w:marTop w:val="0"/>
      <w:marBottom w:val="0"/>
      <w:divBdr>
        <w:top w:val="none" w:sz="0" w:space="0" w:color="auto"/>
        <w:left w:val="none" w:sz="0" w:space="0" w:color="auto"/>
        <w:bottom w:val="none" w:sz="0" w:space="0" w:color="auto"/>
        <w:right w:val="none" w:sz="0" w:space="0" w:color="auto"/>
      </w:divBdr>
    </w:div>
    <w:div w:id="117973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f.gob.mx/nota_detalle_popup.php?codigo=564056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siser.secogem.gob.mx/login" TargetMode="External"/><Relationship Id="rId2" Type="http://schemas.openxmlformats.org/officeDocument/2006/relationships/hyperlink" Target="https://softwareparagobierno.com.mx/patrimonio/" TargetMode="External"/><Relationship Id="rId1" Type="http://schemas.openxmlformats.org/officeDocument/2006/relationships/hyperlink" Target="https://ihaem.edomex.gob.mx/siste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B38823-FBBF-4E9C-BAB4-D226237C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51</Pages>
  <Words>11564</Words>
  <Characters>63608</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22</cp:revision>
  <cp:lastPrinted>2026-03-26T21:23:00Z</cp:lastPrinted>
  <dcterms:created xsi:type="dcterms:W3CDTF">2026-03-17T23:44:00Z</dcterms:created>
  <dcterms:modified xsi:type="dcterms:W3CDTF">2026-04-08T23:07:00Z</dcterms:modified>
</cp:coreProperties>
</file>