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mp" ContentType="image/p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DF5858" w14:textId="77777777" w:rsidR="004C465F" w:rsidRPr="0098186F" w:rsidRDefault="004C465F" w:rsidP="00D7021E">
      <w:pPr>
        <w:tabs>
          <w:tab w:val="left" w:pos="8931"/>
        </w:tabs>
        <w:spacing w:after="0" w:line="360" w:lineRule="auto"/>
      </w:pPr>
    </w:p>
    <w:sdt>
      <w:sdtPr>
        <w:rPr>
          <w:rFonts w:ascii="Palatino Linotype" w:eastAsia="Palatino Linotype" w:hAnsi="Palatino Linotype" w:cs="Palatino Linotype"/>
          <w:color w:val="000000" w:themeColor="text1"/>
          <w:sz w:val="22"/>
          <w:szCs w:val="22"/>
        </w:rPr>
        <w:id w:val="789625836"/>
        <w:docPartObj>
          <w:docPartGallery w:val="Table of Contents"/>
          <w:docPartUnique/>
        </w:docPartObj>
      </w:sdtPr>
      <w:sdtEndPr>
        <w:rPr>
          <w:b/>
          <w:bCs/>
        </w:rPr>
      </w:sdtEndPr>
      <w:sdtContent>
        <w:p w14:paraId="7F182055" w14:textId="67A356EB" w:rsidR="00C4052B" w:rsidRPr="007C15EB" w:rsidRDefault="00C4052B" w:rsidP="00D7021E">
          <w:pPr>
            <w:pStyle w:val="TtuloTDC"/>
            <w:spacing w:before="0" w:line="360" w:lineRule="auto"/>
            <w:jc w:val="center"/>
            <w:rPr>
              <w:rFonts w:ascii="Palatino Linotype" w:hAnsi="Palatino Linotype"/>
              <w:color w:val="auto"/>
              <w:sz w:val="22"/>
              <w:szCs w:val="22"/>
            </w:rPr>
          </w:pPr>
          <w:r w:rsidRPr="007C15EB">
            <w:rPr>
              <w:rFonts w:ascii="Palatino Linotype" w:hAnsi="Palatino Linotype"/>
              <w:color w:val="auto"/>
              <w:sz w:val="22"/>
              <w:szCs w:val="22"/>
            </w:rPr>
            <w:t xml:space="preserve">RESOLUCIÓN DEL RECURSO DE REVISIÓN </w:t>
          </w:r>
          <w:r w:rsidR="00045A11" w:rsidRPr="007C15EB">
            <w:rPr>
              <w:rFonts w:ascii="Palatino Linotype" w:hAnsi="Palatino Linotype"/>
              <w:color w:val="auto"/>
              <w:sz w:val="22"/>
              <w:szCs w:val="22"/>
            </w:rPr>
            <w:t>0</w:t>
          </w:r>
          <w:r w:rsidR="005D7047" w:rsidRPr="007C15EB">
            <w:rPr>
              <w:rFonts w:ascii="Palatino Linotype" w:hAnsi="Palatino Linotype"/>
              <w:color w:val="auto"/>
              <w:sz w:val="22"/>
              <w:szCs w:val="22"/>
            </w:rPr>
            <w:t>5651</w:t>
          </w:r>
          <w:r w:rsidR="000D392E" w:rsidRPr="007C15EB">
            <w:rPr>
              <w:rFonts w:ascii="Palatino Linotype" w:hAnsi="Palatino Linotype"/>
              <w:color w:val="auto"/>
              <w:sz w:val="22"/>
              <w:szCs w:val="22"/>
            </w:rPr>
            <w:t>/INFOEM/IP/RR/202</w:t>
          </w:r>
          <w:r w:rsidR="00045A11" w:rsidRPr="007C15EB">
            <w:rPr>
              <w:rFonts w:ascii="Palatino Linotype" w:hAnsi="Palatino Linotype"/>
              <w:color w:val="auto"/>
              <w:sz w:val="22"/>
              <w:szCs w:val="22"/>
            </w:rPr>
            <w:t>6</w:t>
          </w:r>
          <w:r w:rsidR="00B85702" w:rsidRPr="007C15EB">
            <w:rPr>
              <w:rFonts w:ascii="Palatino Linotype" w:hAnsi="Palatino Linotype"/>
              <w:color w:val="auto"/>
              <w:sz w:val="22"/>
              <w:szCs w:val="22"/>
            </w:rPr>
            <w:t xml:space="preserve"> Y ACUMULADO</w:t>
          </w:r>
        </w:p>
        <w:p w14:paraId="73933EFA" w14:textId="77777777" w:rsidR="00C4052B" w:rsidRPr="007C15EB" w:rsidRDefault="00C4052B" w:rsidP="00D7021E">
          <w:pPr>
            <w:spacing w:after="0" w:line="360" w:lineRule="auto"/>
          </w:pPr>
        </w:p>
        <w:p w14:paraId="1A2DEB6C" w14:textId="77777777" w:rsidR="0046266C" w:rsidRDefault="00C4052B">
          <w:pPr>
            <w:pStyle w:val="TDC1"/>
            <w:tabs>
              <w:tab w:val="right" w:leader="dot" w:pos="8921"/>
            </w:tabs>
            <w:rPr>
              <w:rFonts w:asciiTheme="minorHAnsi" w:eastAsiaTheme="minorEastAsia" w:hAnsiTheme="minorHAnsi" w:cstheme="minorBidi"/>
              <w:noProof/>
              <w:color w:val="auto"/>
            </w:rPr>
          </w:pPr>
          <w:r w:rsidRPr="007C15EB">
            <w:fldChar w:fldCharType="begin"/>
          </w:r>
          <w:r w:rsidRPr="007C15EB">
            <w:instrText xml:space="preserve"> TOC \o "1-3" \h \z \u </w:instrText>
          </w:r>
          <w:r w:rsidRPr="007C15EB">
            <w:fldChar w:fldCharType="separate"/>
          </w:r>
          <w:hyperlink w:anchor="_Toc234506063" w:history="1">
            <w:r w:rsidR="0046266C" w:rsidRPr="00EB5368">
              <w:rPr>
                <w:rStyle w:val="Hipervnculo"/>
                <w:noProof/>
              </w:rPr>
              <w:t>A N T E C E D E N T E S</w:t>
            </w:r>
            <w:r w:rsidR="0046266C">
              <w:rPr>
                <w:noProof/>
                <w:webHidden/>
              </w:rPr>
              <w:tab/>
            </w:r>
            <w:r w:rsidR="0046266C">
              <w:rPr>
                <w:noProof/>
                <w:webHidden/>
              </w:rPr>
              <w:fldChar w:fldCharType="begin"/>
            </w:r>
            <w:r w:rsidR="0046266C">
              <w:rPr>
                <w:noProof/>
                <w:webHidden/>
              </w:rPr>
              <w:instrText xml:space="preserve"> PAGEREF _Toc234506063 \h </w:instrText>
            </w:r>
            <w:r w:rsidR="0046266C">
              <w:rPr>
                <w:noProof/>
                <w:webHidden/>
              </w:rPr>
            </w:r>
            <w:r w:rsidR="0046266C">
              <w:rPr>
                <w:noProof/>
                <w:webHidden/>
              </w:rPr>
              <w:fldChar w:fldCharType="separate"/>
            </w:r>
            <w:r w:rsidR="006561C9">
              <w:rPr>
                <w:noProof/>
                <w:webHidden/>
              </w:rPr>
              <w:t>2</w:t>
            </w:r>
            <w:r w:rsidR="0046266C">
              <w:rPr>
                <w:noProof/>
                <w:webHidden/>
              </w:rPr>
              <w:fldChar w:fldCharType="end"/>
            </w:r>
          </w:hyperlink>
        </w:p>
        <w:p w14:paraId="6EAD5B68" w14:textId="77777777" w:rsidR="0046266C" w:rsidRDefault="0046266C">
          <w:pPr>
            <w:pStyle w:val="TDC2"/>
            <w:rPr>
              <w:rFonts w:asciiTheme="minorHAnsi" w:eastAsiaTheme="minorEastAsia" w:hAnsiTheme="minorHAnsi" w:cstheme="minorBidi"/>
              <w:color w:val="auto"/>
              <w:lang w:eastAsia="es-MX"/>
            </w:rPr>
          </w:pPr>
          <w:hyperlink w:anchor="_Toc234506064" w:history="1">
            <w:r w:rsidRPr="00EB5368">
              <w:rPr>
                <w:rStyle w:val="Hipervnculo"/>
                <w:lang w:eastAsia="es-ES"/>
              </w:rPr>
              <w:t>I. Presentación de la solicitud de información</w:t>
            </w:r>
            <w:r>
              <w:rPr>
                <w:webHidden/>
              </w:rPr>
              <w:tab/>
            </w:r>
            <w:r>
              <w:rPr>
                <w:webHidden/>
              </w:rPr>
              <w:fldChar w:fldCharType="begin"/>
            </w:r>
            <w:r>
              <w:rPr>
                <w:webHidden/>
              </w:rPr>
              <w:instrText xml:space="preserve"> PAGEREF _Toc234506064 \h </w:instrText>
            </w:r>
            <w:r>
              <w:rPr>
                <w:webHidden/>
              </w:rPr>
            </w:r>
            <w:r>
              <w:rPr>
                <w:webHidden/>
              </w:rPr>
              <w:fldChar w:fldCharType="separate"/>
            </w:r>
            <w:r w:rsidR="006561C9">
              <w:rPr>
                <w:webHidden/>
              </w:rPr>
              <w:t>2</w:t>
            </w:r>
            <w:r>
              <w:rPr>
                <w:webHidden/>
              </w:rPr>
              <w:fldChar w:fldCharType="end"/>
            </w:r>
          </w:hyperlink>
        </w:p>
        <w:p w14:paraId="0B98A86F" w14:textId="77777777" w:rsidR="0046266C" w:rsidRDefault="0046266C">
          <w:pPr>
            <w:pStyle w:val="TDC2"/>
            <w:rPr>
              <w:rFonts w:asciiTheme="minorHAnsi" w:eastAsiaTheme="minorEastAsia" w:hAnsiTheme="minorHAnsi" w:cstheme="minorBidi"/>
              <w:color w:val="auto"/>
              <w:lang w:eastAsia="es-MX"/>
            </w:rPr>
          </w:pPr>
          <w:hyperlink w:anchor="_Toc234506065" w:history="1">
            <w:r w:rsidRPr="00EB5368">
              <w:rPr>
                <w:rStyle w:val="Hipervnculo"/>
                <w:rFonts w:cs="Tahoma"/>
              </w:rPr>
              <w:t>II.</w:t>
            </w:r>
            <w:r w:rsidRPr="00EB5368">
              <w:rPr>
                <w:rStyle w:val="Hipervnculo"/>
              </w:rPr>
              <w:t xml:space="preserve"> Respuesta del Sujeto Obligado</w:t>
            </w:r>
            <w:r>
              <w:rPr>
                <w:webHidden/>
              </w:rPr>
              <w:tab/>
            </w:r>
            <w:r>
              <w:rPr>
                <w:webHidden/>
              </w:rPr>
              <w:fldChar w:fldCharType="begin"/>
            </w:r>
            <w:r>
              <w:rPr>
                <w:webHidden/>
              </w:rPr>
              <w:instrText xml:space="preserve"> PAGEREF _Toc234506065 \h </w:instrText>
            </w:r>
            <w:r>
              <w:rPr>
                <w:webHidden/>
              </w:rPr>
            </w:r>
            <w:r>
              <w:rPr>
                <w:webHidden/>
              </w:rPr>
              <w:fldChar w:fldCharType="separate"/>
            </w:r>
            <w:r w:rsidR="006561C9">
              <w:rPr>
                <w:webHidden/>
              </w:rPr>
              <w:t>3</w:t>
            </w:r>
            <w:r>
              <w:rPr>
                <w:webHidden/>
              </w:rPr>
              <w:fldChar w:fldCharType="end"/>
            </w:r>
          </w:hyperlink>
        </w:p>
        <w:p w14:paraId="7A826357" w14:textId="77777777" w:rsidR="0046266C" w:rsidRDefault="0046266C">
          <w:pPr>
            <w:pStyle w:val="TDC2"/>
            <w:rPr>
              <w:rFonts w:asciiTheme="minorHAnsi" w:eastAsiaTheme="minorEastAsia" w:hAnsiTheme="minorHAnsi" w:cstheme="minorBidi"/>
              <w:color w:val="auto"/>
              <w:lang w:eastAsia="es-MX"/>
            </w:rPr>
          </w:pPr>
          <w:hyperlink w:anchor="_Toc234506066" w:history="1">
            <w:r w:rsidRPr="00EB5368">
              <w:rPr>
                <w:rStyle w:val="Hipervnculo"/>
              </w:rPr>
              <w:t>III. Interposición del Recurso de Revisión</w:t>
            </w:r>
            <w:r>
              <w:rPr>
                <w:webHidden/>
              </w:rPr>
              <w:tab/>
            </w:r>
            <w:r>
              <w:rPr>
                <w:webHidden/>
              </w:rPr>
              <w:fldChar w:fldCharType="begin"/>
            </w:r>
            <w:r>
              <w:rPr>
                <w:webHidden/>
              </w:rPr>
              <w:instrText xml:space="preserve"> PAGEREF _Toc234506066 \h </w:instrText>
            </w:r>
            <w:r>
              <w:rPr>
                <w:webHidden/>
              </w:rPr>
            </w:r>
            <w:r>
              <w:rPr>
                <w:webHidden/>
              </w:rPr>
              <w:fldChar w:fldCharType="separate"/>
            </w:r>
            <w:r w:rsidR="006561C9">
              <w:rPr>
                <w:webHidden/>
              </w:rPr>
              <w:t>4</w:t>
            </w:r>
            <w:r>
              <w:rPr>
                <w:webHidden/>
              </w:rPr>
              <w:fldChar w:fldCharType="end"/>
            </w:r>
          </w:hyperlink>
        </w:p>
        <w:p w14:paraId="772A0992" w14:textId="77777777" w:rsidR="0046266C" w:rsidRDefault="0046266C">
          <w:pPr>
            <w:pStyle w:val="TDC2"/>
            <w:rPr>
              <w:rFonts w:asciiTheme="minorHAnsi" w:eastAsiaTheme="minorEastAsia" w:hAnsiTheme="minorHAnsi" w:cstheme="minorBidi"/>
              <w:color w:val="auto"/>
              <w:lang w:eastAsia="es-MX"/>
            </w:rPr>
          </w:pPr>
          <w:hyperlink w:anchor="_Toc234506067" w:history="1">
            <w:r w:rsidRPr="00EB5368">
              <w:rPr>
                <w:rStyle w:val="Hipervnculo"/>
              </w:rPr>
              <w:t>IV. Trámite del Recurso de Revisión ante este Instituto</w:t>
            </w:r>
            <w:r>
              <w:rPr>
                <w:webHidden/>
              </w:rPr>
              <w:tab/>
            </w:r>
            <w:r>
              <w:rPr>
                <w:webHidden/>
              </w:rPr>
              <w:fldChar w:fldCharType="begin"/>
            </w:r>
            <w:r>
              <w:rPr>
                <w:webHidden/>
              </w:rPr>
              <w:instrText xml:space="preserve"> PAGEREF _Toc234506067 \h </w:instrText>
            </w:r>
            <w:r>
              <w:rPr>
                <w:webHidden/>
              </w:rPr>
            </w:r>
            <w:r>
              <w:rPr>
                <w:webHidden/>
              </w:rPr>
              <w:fldChar w:fldCharType="separate"/>
            </w:r>
            <w:r w:rsidR="006561C9">
              <w:rPr>
                <w:webHidden/>
              </w:rPr>
              <w:t>5</w:t>
            </w:r>
            <w:r>
              <w:rPr>
                <w:webHidden/>
              </w:rPr>
              <w:fldChar w:fldCharType="end"/>
            </w:r>
          </w:hyperlink>
        </w:p>
        <w:p w14:paraId="22BE27BE" w14:textId="77777777" w:rsidR="0046266C" w:rsidRDefault="0046266C">
          <w:pPr>
            <w:pStyle w:val="TDC1"/>
            <w:tabs>
              <w:tab w:val="right" w:leader="dot" w:pos="8921"/>
            </w:tabs>
            <w:rPr>
              <w:rFonts w:asciiTheme="minorHAnsi" w:eastAsiaTheme="minorEastAsia" w:hAnsiTheme="minorHAnsi" w:cstheme="minorBidi"/>
              <w:noProof/>
              <w:color w:val="auto"/>
            </w:rPr>
          </w:pPr>
          <w:hyperlink w:anchor="_Toc234506068" w:history="1">
            <w:r w:rsidRPr="00EB5368">
              <w:rPr>
                <w:rStyle w:val="Hipervnculo"/>
                <w:noProof/>
              </w:rPr>
              <w:t>C O N S I D E R A N D O S</w:t>
            </w:r>
            <w:r>
              <w:rPr>
                <w:noProof/>
                <w:webHidden/>
              </w:rPr>
              <w:tab/>
            </w:r>
            <w:r>
              <w:rPr>
                <w:noProof/>
                <w:webHidden/>
              </w:rPr>
              <w:fldChar w:fldCharType="begin"/>
            </w:r>
            <w:r>
              <w:rPr>
                <w:noProof/>
                <w:webHidden/>
              </w:rPr>
              <w:instrText xml:space="preserve"> PAGEREF _Toc234506068 \h </w:instrText>
            </w:r>
            <w:r>
              <w:rPr>
                <w:noProof/>
                <w:webHidden/>
              </w:rPr>
            </w:r>
            <w:r>
              <w:rPr>
                <w:noProof/>
                <w:webHidden/>
              </w:rPr>
              <w:fldChar w:fldCharType="separate"/>
            </w:r>
            <w:r w:rsidR="006561C9">
              <w:rPr>
                <w:noProof/>
                <w:webHidden/>
              </w:rPr>
              <w:t>9</w:t>
            </w:r>
            <w:r>
              <w:rPr>
                <w:noProof/>
                <w:webHidden/>
              </w:rPr>
              <w:fldChar w:fldCharType="end"/>
            </w:r>
          </w:hyperlink>
        </w:p>
        <w:p w14:paraId="740767AE" w14:textId="77777777" w:rsidR="0046266C" w:rsidRDefault="0046266C">
          <w:pPr>
            <w:pStyle w:val="TDC2"/>
            <w:rPr>
              <w:rFonts w:asciiTheme="minorHAnsi" w:eastAsiaTheme="minorEastAsia" w:hAnsiTheme="minorHAnsi" w:cstheme="minorBidi"/>
              <w:color w:val="auto"/>
              <w:lang w:eastAsia="es-MX"/>
            </w:rPr>
          </w:pPr>
          <w:hyperlink w:anchor="_Toc234506069" w:history="1">
            <w:r w:rsidRPr="00EB5368">
              <w:rPr>
                <w:rStyle w:val="Hipervnculo"/>
              </w:rPr>
              <w:t>PRIMERO. Competencia</w:t>
            </w:r>
            <w:r>
              <w:rPr>
                <w:webHidden/>
              </w:rPr>
              <w:tab/>
            </w:r>
            <w:r>
              <w:rPr>
                <w:webHidden/>
              </w:rPr>
              <w:fldChar w:fldCharType="begin"/>
            </w:r>
            <w:r>
              <w:rPr>
                <w:webHidden/>
              </w:rPr>
              <w:instrText xml:space="preserve"> PAGEREF _Toc234506069 \h </w:instrText>
            </w:r>
            <w:r>
              <w:rPr>
                <w:webHidden/>
              </w:rPr>
            </w:r>
            <w:r>
              <w:rPr>
                <w:webHidden/>
              </w:rPr>
              <w:fldChar w:fldCharType="separate"/>
            </w:r>
            <w:r w:rsidR="006561C9">
              <w:rPr>
                <w:webHidden/>
              </w:rPr>
              <w:t>9</w:t>
            </w:r>
            <w:r>
              <w:rPr>
                <w:webHidden/>
              </w:rPr>
              <w:fldChar w:fldCharType="end"/>
            </w:r>
          </w:hyperlink>
        </w:p>
        <w:p w14:paraId="5B217F3C" w14:textId="77777777" w:rsidR="0046266C" w:rsidRDefault="0046266C">
          <w:pPr>
            <w:pStyle w:val="TDC2"/>
            <w:rPr>
              <w:rFonts w:asciiTheme="minorHAnsi" w:eastAsiaTheme="minorEastAsia" w:hAnsiTheme="minorHAnsi" w:cstheme="minorBidi"/>
              <w:color w:val="auto"/>
              <w:lang w:eastAsia="es-MX"/>
            </w:rPr>
          </w:pPr>
          <w:hyperlink w:anchor="_Toc234506070" w:history="1">
            <w:r w:rsidRPr="00EB5368">
              <w:rPr>
                <w:rStyle w:val="Hipervnculo"/>
              </w:rPr>
              <w:t>SEGUNDO. Causales de improcedencia y sobreseimiento</w:t>
            </w:r>
            <w:r>
              <w:rPr>
                <w:webHidden/>
              </w:rPr>
              <w:tab/>
            </w:r>
            <w:r>
              <w:rPr>
                <w:webHidden/>
              </w:rPr>
              <w:fldChar w:fldCharType="begin"/>
            </w:r>
            <w:r>
              <w:rPr>
                <w:webHidden/>
              </w:rPr>
              <w:instrText xml:space="preserve"> PAGEREF _Toc234506070 \h </w:instrText>
            </w:r>
            <w:r>
              <w:rPr>
                <w:webHidden/>
              </w:rPr>
            </w:r>
            <w:r>
              <w:rPr>
                <w:webHidden/>
              </w:rPr>
              <w:fldChar w:fldCharType="separate"/>
            </w:r>
            <w:r w:rsidR="006561C9">
              <w:rPr>
                <w:webHidden/>
              </w:rPr>
              <w:t>10</w:t>
            </w:r>
            <w:r>
              <w:rPr>
                <w:webHidden/>
              </w:rPr>
              <w:fldChar w:fldCharType="end"/>
            </w:r>
          </w:hyperlink>
        </w:p>
        <w:p w14:paraId="2F1B18E9" w14:textId="77777777" w:rsidR="0046266C" w:rsidRDefault="0046266C">
          <w:pPr>
            <w:pStyle w:val="TDC2"/>
            <w:rPr>
              <w:rFonts w:asciiTheme="minorHAnsi" w:eastAsiaTheme="minorEastAsia" w:hAnsiTheme="minorHAnsi" w:cstheme="minorBidi"/>
              <w:color w:val="auto"/>
              <w:lang w:eastAsia="es-MX"/>
            </w:rPr>
          </w:pPr>
          <w:hyperlink w:anchor="_Toc234506071" w:history="1">
            <w:r w:rsidRPr="00EB5368">
              <w:rPr>
                <w:rStyle w:val="Hipervnculo"/>
              </w:rPr>
              <w:t>TERCERO. Determinación de la Controversia</w:t>
            </w:r>
            <w:r>
              <w:rPr>
                <w:webHidden/>
              </w:rPr>
              <w:tab/>
            </w:r>
            <w:r>
              <w:rPr>
                <w:webHidden/>
              </w:rPr>
              <w:fldChar w:fldCharType="begin"/>
            </w:r>
            <w:r>
              <w:rPr>
                <w:webHidden/>
              </w:rPr>
              <w:instrText xml:space="preserve"> PAGEREF _Toc234506071 \h </w:instrText>
            </w:r>
            <w:r>
              <w:rPr>
                <w:webHidden/>
              </w:rPr>
            </w:r>
            <w:r>
              <w:rPr>
                <w:webHidden/>
              </w:rPr>
              <w:fldChar w:fldCharType="separate"/>
            </w:r>
            <w:r w:rsidR="006561C9">
              <w:rPr>
                <w:webHidden/>
              </w:rPr>
              <w:t>12</w:t>
            </w:r>
            <w:r>
              <w:rPr>
                <w:webHidden/>
              </w:rPr>
              <w:fldChar w:fldCharType="end"/>
            </w:r>
          </w:hyperlink>
        </w:p>
        <w:p w14:paraId="3D975CA4" w14:textId="77777777" w:rsidR="0046266C" w:rsidRDefault="0046266C">
          <w:pPr>
            <w:pStyle w:val="TDC2"/>
            <w:rPr>
              <w:rFonts w:asciiTheme="minorHAnsi" w:eastAsiaTheme="minorEastAsia" w:hAnsiTheme="minorHAnsi" w:cstheme="minorBidi"/>
              <w:color w:val="auto"/>
              <w:lang w:eastAsia="es-MX"/>
            </w:rPr>
          </w:pPr>
          <w:hyperlink w:anchor="_Toc234506072" w:history="1">
            <w:r w:rsidRPr="00EB5368">
              <w:rPr>
                <w:rStyle w:val="Hipervnculo"/>
              </w:rPr>
              <w:t>CUARTO. Marco normativo aplicable en materia de transparencia y acceso a la información pública</w:t>
            </w:r>
            <w:r>
              <w:rPr>
                <w:webHidden/>
              </w:rPr>
              <w:tab/>
            </w:r>
            <w:r>
              <w:rPr>
                <w:webHidden/>
              </w:rPr>
              <w:fldChar w:fldCharType="begin"/>
            </w:r>
            <w:r>
              <w:rPr>
                <w:webHidden/>
              </w:rPr>
              <w:instrText xml:space="preserve"> PAGEREF _Toc234506072 \h </w:instrText>
            </w:r>
            <w:r>
              <w:rPr>
                <w:webHidden/>
              </w:rPr>
            </w:r>
            <w:r>
              <w:rPr>
                <w:webHidden/>
              </w:rPr>
              <w:fldChar w:fldCharType="separate"/>
            </w:r>
            <w:r w:rsidR="006561C9">
              <w:rPr>
                <w:webHidden/>
              </w:rPr>
              <w:t>14</w:t>
            </w:r>
            <w:r>
              <w:rPr>
                <w:webHidden/>
              </w:rPr>
              <w:fldChar w:fldCharType="end"/>
            </w:r>
          </w:hyperlink>
        </w:p>
        <w:p w14:paraId="72C9C9AE" w14:textId="77777777" w:rsidR="0046266C" w:rsidRDefault="0046266C">
          <w:pPr>
            <w:pStyle w:val="TDC2"/>
            <w:rPr>
              <w:rFonts w:asciiTheme="minorHAnsi" w:eastAsiaTheme="minorEastAsia" w:hAnsiTheme="minorHAnsi" w:cstheme="minorBidi"/>
              <w:color w:val="auto"/>
              <w:lang w:eastAsia="es-MX"/>
            </w:rPr>
          </w:pPr>
          <w:hyperlink w:anchor="_Toc234506073" w:history="1">
            <w:r w:rsidRPr="00EB5368">
              <w:rPr>
                <w:rStyle w:val="Hipervnculo"/>
              </w:rPr>
              <w:t>QUINTO. Estudio de Fondo</w:t>
            </w:r>
            <w:r>
              <w:rPr>
                <w:webHidden/>
              </w:rPr>
              <w:tab/>
            </w:r>
            <w:r>
              <w:rPr>
                <w:webHidden/>
              </w:rPr>
              <w:fldChar w:fldCharType="begin"/>
            </w:r>
            <w:r>
              <w:rPr>
                <w:webHidden/>
              </w:rPr>
              <w:instrText xml:space="preserve"> PAGEREF _Toc234506073 \h </w:instrText>
            </w:r>
            <w:r>
              <w:rPr>
                <w:webHidden/>
              </w:rPr>
            </w:r>
            <w:r>
              <w:rPr>
                <w:webHidden/>
              </w:rPr>
              <w:fldChar w:fldCharType="separate"/>
            </w:r>
            <w:r w:rsidR="006561C9">
              <w:rPr>
                <w:webHidden/>
              </w:rPr>
              <w:t>15</w:t>
            </w:r>
            <w:r>
              <w:rPr>
                <w:webHidden/>
              </w:rPr>
              <w:fldChar w:fldCharType="end"/>
            </w:r>
          </w:hyperlink>
        </w:p>
        <w:p w14:paraId="424B0AB4" w14:textId="77777777" w:rsidR="0046266C" w:rsidRDefault="0046266C">
          <w:pPr>
            <w:pStyle w:val="TDC2"/>
            <w:rPr>
              <w:rFonts w:asciiTheme="minorHAnsi" w:eastAsiaTheme="minorEastAsia" w:hAnsiTheme="minorHAnsi" w:cstheme="minorBidi"/>
              <w:color w:val="auto"/>
              <w:lang w:eastAsia="es-MX"/>
            </w:rPr>
          </w:pPr>
          <w:hyperlink w:anchor="_Toc234506074" w:history="1">
            <w:r w:rsidRPr="00EB5368">
              <w:rPr>
                <w:rStyle w:val="Hipervnculo"/>
              </w:rPr>
              <w:t>SEXTO. Decisión</w:t>
            </w:r>
            <w:r>
              <w:rPr>
                <w:webHidden/>
              </w:rPr>
              <w:tab/>
            </w:r>
            <w:r>
              <w:rPr>
                <w:webHidden/>
              </w:rPr>
              <w:fldChar w:fldCharType="begin"/>
            </w:r>
            <w:r>
              <w:rPr>
                <w:webHidden/>
              </w:rPr>
              <w:instrText xml:space="preserve"> PAGEREF _Toc234506074 \h </w:instrText>
            </w:r>
            <w:r>
              <w:rPr>
                <w:webHidden/>
              </w:rPr>
            </w:r>
            <w:r>
              <w:rPr>
                <w:webHidden/>
              </w:rPr>
              <w:fldChar w:fldCharType="separate"/>
            </w:r>
            <w:r w:rsidR="006561C9">
              <w:rPr>
                <w:webHidden/>
              </w:rPr>
              <w:t>40</w:t>
            </w:r>
            <w:r>
              <w:rPr>
                <w:webHidden/>
              </w:rPr>
              <w:fldChar w:fldCharType="end"/>
            </w:r>
          </w:hyperlink>
        </w:p>
        <w:p w14:paraId="53E663D8" w14:textId="77777777" w:rsidR="0046266C" w:rsidRDefault="0046266C">
          <w:pPr>
            <w:pStyle w:val="TDC2"/>
            <w:rPr>
              <w:rFonts w:asciiTheme="minorHAnsi" w:eastAsiaTheme="minorEastAsia" w:hAnsiTheme="minorHAnsi" w:cstheme="minorBidi"/>
              <w:color w:val="auto"/>
              <w:lang w:eastAsia="es-MX"/>
            </w:rPr>
          </w:pPr>
          <w:hyperlink w:anchor="_Toc234506075" w:history="1">
            <w:r w:rsidRPr="00EB5368">
              <w:rPr>
                <w:rStyle w:val="Hipervnculo"/>
              </w:rPr>
              <w:t>SÉPTIMO. Vista a la Dirección General de Protección de Datos Personales</w:t>
            </w:r>
            <w:r>
              <w:rPr>
                <w:webHidden/>
              </w:rPr>
              <w:tab/>
            </w:r>
            <w:r>
              <w:rPr>
                <w:webHidden/>
              </w:rPr>
              <w:fldChar w:fldCharType="begin"/>
            </w:r>
            <w:r>
              <w:rPr>
                <w:webHidden/>
              </w:rPr>
              <w:instrText xml:space="preserve"> PAGEREF _Toc234506075 \h </w:instrText>
            </w:r>
            <w:r>
              <w:rPr>
                <w:webHidden/>
              </w:rPr>
            </w:r>
            <w:r>
              <w:rPr>
                <w:webHidden/>
              </w:rPr>
              <w:fldChar w:fldCharType="separate"/>
            </w:r>
            <w:r w:rsidR="006561C9">
              <w:rPr>
                <w:webHidden/>
              </w:rPr>
              <w:t>41</w:t>
            </w:r>
            <w:r>
              <w:rPr>
                <w:webHidden/>
              </w:rPr>
              <w:fldChar w:fldCharType="end"/>
            </w:r>
          </w:hyperlink>
        </w:p>
        <w:p w14:paraId="4891481C" w14:textId="77777777" w:rsidR="0046266C" w:rsidRDefault="0046266C">
          <w:pPr>
            <w:pStyle w:val="TDC1"/>
            <w:tabs>
              <w:tab w:val="right" w:leader="dot" w:pos="8921"/>
            </w:tabs>
            <w:rPr>
              <w:rFonts w:asciiTheme="minorHAnsi" w:eastAsiaTheme="minorEastAsia" w:hAnsiTheme="minorHAnsi" w:cstheme="minorBidi"/>
              <w:noProof/>
              <w:color w:val="auto"/>
            </w:rPr>
          </w:pPr>
          <w:hyperlink w:anchor="_Toc234506076" w:history="1">
            <w:r w:rsidRPr="00EB5368">
              <w:rPr>
                <w:rStyle w:val="Hipervnculo"/>
                <w:noProof/>
              </w:rPr>
              <w:t>R E S U E L V E</w:t>
            </w:r>
            <w:r>
              <w:rPr>
                <w:noProof/>
                <w:webHidden/>
              </w:rPr>
              <w:tab/>
            </w:r>
            <w:r>
              <w:rPr>
                <w:noProof/>
                <w:webHidden/>
              </w:rPr>
              <w:fldChar w:fldCharType="begin"/>
            </w:r>
            <w:r>
              <w:rPr>
                <w:noProof/>
                <w:webHidden/>
              </w:rPr>
              <w:instrText xml:space="preserve"> PAGEREF _Toc234506076 \h </w:instrText>
            </w:r>
            <w:r>
              <w:rPr>
                <w:noProof/>
                <w:webHidden/>
              </w:rPr>
            </w:r>
            <w:r>
              <w:rPr>
                <w:noProof/>
                <w:webHidden/>
              </w:rPr>
              <w:fldChar w:fldCharType="separate"/>
            </w:r>
            <w:r w:rsidR="006561C9">
              <w:rPr>
                <w:noProof/>
                <w:webHidden/>
              </w:rPr>
              <w:t>42</w:t>
            </w:r>
            <w:r>
              <w:rPr>
                <w:noProof/>
                <w:webHidden/>
              </w:rPr>
              <w:fldChar w:fldCharType="end"/>
            </w:r>
          </w:hyperlink>
        </w:p>
        <w:p w14:paraId="5B9D6C11" w14:textId="4C0FE91A" w:rsidR="00C4052B" w:rsidRPr="007C15EB" w:rsidRDefault="00C4052B" w:rsidP="00D7021E">
          <w:pPr>
            <w:spacing w:after="0" w:line="360" w:lineRule="auto"/>
          </w:pPr>
          <w:r w:rsidRPr="007C15EB">
            <w:rPr>
              <w:b/>
              <w:bCs/>
            </w:rPr>
            <w:fldChar w:fldCharType="end"/>
          </w:r>
        </w:p>
      </w:sdtContent>
    </w:sdt>
    <w:p w14:paraId="57481942" w14:textId="77777777" w:rsidR="00C4052B" w:rsidRPr="007C15EB" w:rsidRDefault="00C4052B" w:rsidP="00D7021E">
      <w:pPr>
        <w:tabs>
          <w:tab w:val="left" w:pos="8931"/>
        </w:tabs>
        <w:spacing w:after="0" w:line="360" w:lineRule="auto"/>
      </w:pPr>
    </w:p>
    <w:p w14:paraId="411B5995" w14:textId="77777777" w:rsidR="00C4052B" w:rsidRPr="007C15EB" w:rsidRDefault="00C4052B" w:rsidP="00D7021E">
      <w:pPr>
        <w:tabs>
          <w:tab w:val="left" w:pos="8931"/>
        </w:tabs>
        <w:spacing w:after="0" w:line="360" w:lineRule="auto"/>
      </w:pPr>
    </w:p>
    <w:p w14:paraId="6784625D" w14:textId="77777777" w:rsidR="00C4052B" w:rsidRPr="007C15EB" w:rsidRDefault="00C4052B" w:rsidP="00D7021E">
      <w:pPr>
        <w:tabs>
          <w:tab w:val="left" w:pos="8931"/>
        </w:tabs>
        <w:spacing w:after="0" w:line="360" w:lineRule="auto"/>
      </w:pPr>
    </w:p>
    <w:p w14:paraId="140888DD" w14:textId="77777777" w:rsidR="00C4052B" w:rsidRPr="007C15EB" w:rsidRDefault="00C4052B" w:rsidP="00D7021E">
      <w:pPr>
        <w:tabs>
          <w:tab w:val="left" w:pos="8931"/>
        </w:tabs>
        <w:spacing w:after="0" w:line="360" w:lineRule="auto"/>
      </w:pPr>
    </w:p>
    <w:p w14:paraId="69EF0622" w14:textId="77777777" w:rsidR="002136F6" w:rsidRPr="007C15EB" w:rsidRDefault="002136F6" w:rsidP="00D7021E">
      <w:pPr>
        <w:tabs>
          <w:tab w:val="left" w:pos="8931"/>
        </w:tabs>
        <w:spacing w:after="0" w:line="360" w:lineRule="auto"/>
      </w:pPr>
    </w:p>
    <w:p w14:paraId="6332BBB0" w14:textId="77777777" w:rsidR="00673C7A" w:rsidRPr="007C15EB" w:rsidRDefault="00673C7A" w:rsidP="00D7021E">
      <w:pPr>
        <w:tabs>
          <w:tab w:val="left" w:pos="8931"/>
        </w:tabs>
        <w:spacing w:after="0" w:line="360" w:lineRule="auto"/>
      </w:pPr>
    </w:p>
    <w:p w14:paraId="2C573152" w14:textId="77777777" w:rsidR="00673C7A" w:rsidRPr="007C15EB" w:rsidRDefault="00673C7A" w:rsidP="00D7021E">
      <w:pPr>
        <w:tabs>
          <w:tab w:val="left" w:pos="8931"/>
        </w:tabs>
        <w:spacing w:after="0" w:line="360" w:lineRule="auto"/>
      </w:pPr>
    </w:p>
    <w:p w14:paraId="6A32A3A7" w14:textId="77777777" w:rsidR="00673C7A" w:rsidRPr="007C15EB" w:rsidRDefault="00673C7A" w:rsidP="00D7021E">
      <w:pPr>
        <w:tabs>
          <w:tab w:val="left" w:pos="8931"/>
        </w:tabs>
        <w:spacing w:after="0" w:line="360" w:lineRule="auto"/>
      </w:pPr>
    </w:p>
    <w:p w14:paraId="3FB7EB5E" w14:textId="5473A4DF" w:rsidR="005C690F" w:rsidRPr="007C15EB" w:rsidRDefault="007D6307" w:rsidP="00D7021E">
      <w:pPr>
        <w:tabs>
          <w:tab w:val="left" w:pos="8931"/>
        </w:tabs>
        <w:spacing w:after="0" w:line="360" w:lineRule="auto"/>
      </w:pPr>
      <w:r w:rsidRPr="007C15EB">
        <w:lastRenderedPageBreak/>
        <w:t xml:space="preserve">Resolución del Pleno del Instituto de Transparencia, Acceso a la Información Pública y Protección de Datos Personales del Estado de México y Municipios, con domicilio en Metepec, Estado de México, de </w:t>
      </w:r>
      <w:r w:rsidR="00EF0C39" w:rsidRPr="007C15EB">
        <w:t xml:space="preserve">fecha </w:t>
      </w:r>
      <w:r w:rsidR="005D7047" w:rsidRPr="007C15EB">
        <w:t>ocho</w:t>
      </w:r>
      <w:r w:rsidR="00740E3D" w:rsidRPr="007C15EB">
        <w:t xml:space="preserve"> de julio</w:t>
      </w:r>
      <w:r w:rsidR="00CF7AA5" w:rsidRPr="007C15EB">
        <w:t xml:space="preserve"> </w:t>
      </w:r>
      <w:r w:rsidR="0081419C" w:rsidRPr="007C15EB">
        <w:t>de dos mil veintiséis</w:t>
      </w:r>
      <w:r w:rsidRPr="007C15EB">
        <w:t xml:space="preserve">. </w:t>
      </w:r>
    </w:p>
    <w:p w14:paraId="0DCD3B82" w14:textId="77777777" w:rsidR="005C690F" w:rsidRPr="007C15EB" w:rsidRDefault="005C690F" w:rsidP="00D7021E">
      <w:pPr>
        <w:spacing w:after="0" w:line="360" w:lineRule="auto"/>
        <w:rPr>
          <w:b/>
        </w:rPr>
      </w:pPr>
    </w:p>
    <w:p w14:paraId="1570B336" w14:textId="19FA04B4" w:rsidR="005C690F" w:rsidRPr="007C15EB" w:rsidRDefault="007D6307" w:rsidP="00D7021E">
      <w:pPr>
        <w:spacing w:after="0" w:line="360" w:lineRule="auto"/>
        <w:rPr>
          <w:color w:val="0D0D0D"/>
        </w:rPr>
      </w:pPr>
      <w:r w:rsidRPr="007C15EB">
        <w:rPr>
          <w:b/>
        </w:rPr>
        <w:t xml:space="preserve">VISTO </w:t>
      </w:r>
      <w:r w:rsidRPr="007C15EB">
        <w:t>el expediente elect</w:t>
      </w:r>
      <w:r w:rsidR="00ED4B8D" w:rsidRPr="007C15EB">
        <w:t>rón</w:t>
      </w:r>
      <w:r w:rsidR="00267ACF" w:rsidRPr="007C15EB">
        <w:t>ico conformado con motivo de</w:t>
      </w:r>
      <w:r w:rsidR="00740E3D" w:rsidRPr="007C15EB">
        <w:t xml:space="preserve"> los</w:t>
      </w:r>
      <w:r w:rsidRPr="007C15EB">
        <w:t xml:space="preserve"> Recurso</w:t>
      </w:r>
      <w:r w:rsidR="00740E3D" w:rsidRPr="007C15EB">
        <w:t>s</w:t>
      </w:r>
      <w:r w:rsidRPr="007C15EB">
        <w:t xml:space="preserve"> de Revisión</w:t>
      </w:r>
      <w:r w:rsidR="00267ACF" w:rsidRPr="007C15EB">
        <w:rPr>
          <w:rFonts w:cs="Tahoma"/>
          <w:color w:val="0D0D0D" w:themeColor="text1" w:themeTint="F2"/>
        </w:rPr>
        <w:t xml:space="preserve"> </w:t>
      </w:r>
      <w:r w:rsidR="00267ACF" w:rsidRPr="00395861">
        <w:rPr>
          <w:b/>
        </w:rPr>
        <w:t>0</w:t>
      </w:r>
      <w:r w:rsidR="000F27ED" w:rsidRPr="00395861">
        <w:rPr>
          <w:b/>
        </w:rPr>
        <w:t>5651</w:t>
      </w:r>
      <w:r w:rsidR="00267ACF" w:rsidRPr="00395861">
        <w:rPr>
          <w:b/>
        </w:rPr>
        <w:t>/INFOEM/IP/RR/2026</w:t>
      </w:r>
      <w:r w:rsidR="00740E3D" w:rsidRPr="00395861">
        <w:rPr>
          <w:b/>
        </w:rPr>
        <w:t xml:space="preserve"> y 0</w:t>
      </w:r>
      <w:r w:rsidR="000F27ED" w:rsidRPr="00395861">
        <w:rPr>
          <w:b/>
        </w:rPr>
        <w:t>5652</w:t>
      </w:r>
      <w:r w:rsidR="00740E3D" w:rsidRPr="00395861">
        <w:rPr>
          <w:b/>
        </w:rPr>
        <w:t>/INFOEM/IP/RR/2026</w:t>
      </w:r>
      <w:r w:rsidRPr="007C15EB">
        <w:rPr>
          <w:bCs/>
        </w:rPr>
        <w:t>, interpuesto</w:t>
      </w:r>
      <w:r w:rsidR="002136F6" w:rsidRPr="007C15EB">
        <w:rPr>
          <w:bCs/>
        </w:rPr>
        <w:t>s</w:t>
      </w:r>
      <w:r w:rsidRPr="007C15EB">
        <w:rPr>
          <w:bCs/>
        </w:rPr>
        <w:t xml:space="preserve"> </w:t>
      </w:r>
      <w:r w:rsidR="008415EA" w:rsidRPr="007C15EB">
        <w:rPr>
          <w:bCs/>
        </w:rPr>
        <w:t>por</w:t>
      </w:r>
      <w:r w:rsidR="007C3643" w:rsidRPr="007C15EB">
        <w:t xml:space="preserve"> </w:t>
      </w:r>
      <w:r w:rsidR="006D2AC3" w:rsidRPr="006D2AC3">
        <w:rPr>
          <w:highlight w:val="black"/>
        </w:rPr>
        <w:t>XXXXXXXXXX</w:t>
      </w:r>
      <w:r w:rsidR="000F27ED" w:rsidRPr="007C15EB">
        <w:rPr>
          <w:bCs/>
        </w:rPr>
        <w:t xml:space="preserve">, quien será </w:t>
      </w:r>
      <w:r w:rsidR="00D906B2" w:rsidRPr="007C15EB">
        <w:rPr>
          <w:bCs/>
        </w:rPr>
        <w:t>la persona</w:t>
      </w:r>
      <w:r w:rsidRPr="007C15EB">
        <w:rPr>
          <w:bCs/>
        </w:rPr>
        <w:t xml:space="preserve"> </w:t>
      </w:r>
      <w:r w:rsidRPr="007C15EB">
        <w:rPr>
          <w:bCs/>
          <w:color w:val="0D0D0D"/>
        </w:rPr>
        <w:t>Recurrente o Particular, en contra de la respuesta del Sujeto Obligado</w:t>
      </w:r>
      <w:r w:rsidR="00705FBB" w:rsidRPr="007C15EB">
        <w:rPr>
          <w:bCs/>
          <w:color w:val="0D0D0D"/>
        </w:rPr>
        <w:t xml:space="preserve">, </w:t>
      </w:r>
      <w:r w:rsidR="000F27ED" w:rsidRPr="00395861">
        <w:rPr>
          <w:b/>
        </w:rPr>
        <w:t>Ayuntamiento de Tianguistenco</w:t>
      </w:r>
      <w:r w:rsidR="00EF0C39" w:rsidRPr="007C15EB">
        <w:rPr>
          <w:bCs/>
        </w:rPr>
        <w:t>,</w:t>
      </w:r>
      <w:r w:rsidRPr="007C15EB">
        <w:rPr>
          <w:bCs/>
          <w:color w:val="0D0D0D"/>
        </w:rPr>
        <w:t xml:space="preserve"> </w:t>
      </w:r>
      <w:r w:rsidRPr="007C15EB">
        <w:rPr>
          <w:color w:val="0D0D0D"/>
        </w:rPr>
        <w:t>a la</w:t>
      </w:r>
      <w:r w:rsidR="00740E3D" w:rsidRPr="007C15EB">
        <w:rPr>
          <w:color w:val="0D0D0D"/>
        </w:rPr>
        <w:t>s</w:t>
      </w:r>
      <w:r w:rsidRPr="007C15EB">
        <w:rPr>
          <w:color w:val="0D0D0D"/>
        </w:rPr>
        <w:t xml:space="preserve"> solicitud</w:t>
      </w:r>
      <w:r w:rsidR="00740E3D" w:rsidRPr="007C15EB">
        <w:rPr>
          <w:color w:val="0D0D0D"/>
        </w:rPr>
        <w:t>es</w:t>
      </w:r>
      <w:r w:rsidRPr="007C15EB">
        <w:rPr>
          <w:color w:val="0D0D0D"/>
        </w:rPr>
        <w:t xml:space="preserve"> de acceso a la información pública</w:t>
      </w:r>
      <w:r w:rsidR="000430BD" w:rsidRPr="007C15EB">
        <w:rPr>
          <w:color w:val="0D0D0D"/>
        </w:rPr>
        <w:t xml:space="preserve"> 00</w:t>
      </w:r>
      <w:r w:rsidR="000F27ED" w:rsidRPr="007C15EB">
        <w:rPr>
          <w:color w:val="0D0D0D"/>
        </w:rPr>
        <w:t>114</w:t>
      </w:r>
      <w:r w:rsidR="000430BD" w:rsidRPr="007C15EB">
        <w:rPr>
          <w:color w:val="0D0D0D"/>
        </w:rPr>
        <w:t>/</w:t>
      </w:r>
      <w:r w:rsidR="000F27ED" w:rsidRPr="007C15EB">
        <w:rPr>
          <w:color w:val="0D0D0D"/>
        </w:rPr>
        <w:t>TIANGUIS</w:t>
      </w:r>
      <w:r w:rsidR="000430BD" w:rsidRPr="007C15EB">
        <w:rPr>
          <w:color w:val="0D0D0D"/>
        </w:rPr>
        <w:t>/IP/2026</w:t>
      </w:r>
      <w:r w:rsidR="00740E3D" w:rsidRPr="007C15EB">
        <w:rPr>
          <w:color w:val="0D0D0D"/>
        </w:rPr>
        <w:t xml:space="preserve"> y 00</w:t>
      </w:r>
      <w:r w:rsidR="000F27ED" w:rsidRPr="007C15EB">
        <w:rPr>
          <w:color w:val="0D0D0D"/>
        </w:rPr>
        <w:t>115</w:t>
      </w:r>
      <w:r w:rsidR="00740E3D" w:rsidRPr="007C15EB">
        <w:rPr>
          <w:color w:val="0D0D0D"/>
        </w:rPr>
        <w:t>/</w:t>
      </w:r>
      <w:r w:rsidR="000F27ED" w:rsidRPr="007C15EB">
        <w:rPr>
          <w:color w:val="0D0D0D"/>
        </w:rPr>
        <w:t>TIANGUIS</w:t>
      </w:r>
      <w:r w:rsidR="00740E3D" w:rsidRPr="007C15EB">
        <w:rPr>
          <w:color w:val="0D0D0D"/>
        </w:rPr>
        <w:t>/IP/2026</w:t>
      </w:r>
      <w:r w:rsidRPr="007C15EB">
        <w:rPr>
          <w:color w:val="000000"/>
        </w:rPr>
        <w:t xml:space="preserve">, </w:t>
      </w:r>
      <w:r w:rsidRPr="007C15EB">
        <w:rPr>
          <w:color w:val="0D0D0D"/>
        </w:rPr>
        <w:t>se emite la presente Resolución, con base en los Antecedentes y Considerandos que se exponen a continuación:</w:t>
      </w:r>
    </w:p>
    <w:p w14:paraId="1F97CEF3" w14:textId="77777777" w:rsidR="005C690F" w:rsidRPr="007C15EB" w:rsidRDefault="005C690F" w:rsidP="00D7021E">
      <w:pPr>
        <w:spacing w:after="0" w:line="360" w:lineRule="auto"/>
        <w:rPr>
          <w:b/>
        </w:rPr>
      </w:pPr>
    </w:p>
    <w:p w14:paraId="1DEAF9D3" w14:textId="24D35555" w:rsidR="005C690F" w:rsidRPr="007C15EB" w:rsidRDefault="00CD6238" w:rsidP="00D7021E">
      <w:pPr>
        <w:pStyle w:val="Ttulo1"/>
        <w:spacing w:before="0" w:after="0" w:line="360" w:lineRule="auto"/>
        <w:jc w:val="center"/>
        <w:rPr>
          <w:sz w:val="22"/>
          <w:szCs w:val="22"/>
        </w:rPr>
      </w:pPr>
      <w:bookmarkStart w:id="0" w:name="_Toc234506063"/>
      <w:r w:rsidRPr="007C15EB">
        <w:rPr>
          <w:sz w:val="22"/>
          <w:szCs w:val="22"/>
        </w:rPr>
        <w:t>A N T E C E D E N T E S</w:t>
      </w:r>
      <w:bookmarkEnd w:id="0"/>
    </w:p>
    <w:p w14:paraId="5A7EDA4F" w14:textId="77777777" w:rsidR="005C690F" w:rsidRPr="007C15EB" w:rsidRDefault="005C690F" w:rsidP="00D7021E">
      <w:pPr>
        <w:spacing w:after="0" w:line="360" w:lineRule="auto"/>
        <w:jc w:val="center"/>
        <w:rPr>
          <w:b/>
        </w:rPr>
      </w:pPr>
    </w:p>
    <w:p w14:paraId="4930DAB9" w14:textId="701611A7" w:rsidR="00E22EA8" w:rsidRPr="007C15EB" w:rsidRDefault="009215C2" w:rsidP="00D7021E">
      <w:pPr>
        <w:pStyle w:val="Ttulo2"/>
        <w:spacing w:before="0" w:after="0" w:line="360" w:lineRule="auto"/>
        <w:rPr>
          <w:sz w:val="22"/>
          <w:szCs w:val="22"/>
          <w:lang w:eastAsia="es-ES"/>
        </w:rPr>
      </w:pPr>
      <w:bookmarkStart w:id="1" w:name="_Toc234506064"/>
      <w:r w:rsidRPr="007C15EB">
        <w:rPr>
          <w:sz w:val="22"/>
          <w:szCs w:val="22"/>
          <w:lang w:eastAsia="es-ES"/>
        </w:rPr>
        <w:t xml:space="preserve">I. </w:t>
      </w:r>
      <w:r w:rsidR="00E22EA8" w:rsidRPr="007C15EB">
        <w:rPr>
          <w:sz w:val="22"/>
          <w:szCs w:val="22"/>
          <w:lang w:eastAsia="es-ES"/>
        </w:rPr>
        <w:t>Presentación de la solicitud de información</w:t>
      </w:r>
      <w:bookmarkEnd w:id="1"/>
    </w:p>
    <w:p w14:paraId="63A20E25" w14:textId="77777777" w:rsidR="009215C2" w:rsidRPr="007C15EB" w:rsidRDefault="009215C2" w:rsidP="00D7021E">
      <w:pPr>
        <w:tabs>
          <w:tab w:val="left" w:pos="567"/>
        </w:tabs>
        <w:spacing w:after="0" w:line="360" w:lineRule="auto"/>
        <w:rPr>
          <w:rFonts w:eastAsia="Times New Roman" w:cs="Tahoma"/>
          <w:lang w:eastAsia="es-ES"/>
        </w:rPr>
      </w:pPr>
    </w:p>
    <w:p w14:paraId="301B8A4E" w14:textId="70C09666" w:rsidR="00E22EA8" w:rsidRPr="007C15EB" w:rsidRDefault="00D906B2" w:rsidP="00D7021E">
      <w:pPr>
        <w:spacing w:after="0" w:line="360" w:lineRule="auto"/>
        <w:rPr>
          <w:rFonts w:eastAsia="Calibri" w:cs="Tahoma"/>
        </w:rPr>
      </w:pPr>
      <w:r w:rsidRPr="007C15EB">
        <w:rPr>
          <w:rFonts w:eastAsia="Times New Roman" w:cs="Tahoma"/>
          <w:lang w:eastAsia="es-ES"/>
        </w:rPr>
        <w:t>El</w:t>
      </w:r>
      <w:r w:rsidR="007C3643" w:rsidRPr="007C15EB">
        <w:rPr>
          <w:rFonts w:eastAsia="Times New Roman" w:cs="Tahoma"/>
          <w:lang w:eastAsia="es-ES"/>
        </w:rPr>
        <w:t xml:space="preserve"> </w:t>
      </w:r>
      <w:r w:rsidR="008160C7" w:rsidRPr="007C15EB">
        <w:rPr>
          <w:rFonts w:eastAsia="Times New Roman" w:cs="Tahoma"/>
          <w:lang w:eastAsia="es-ES"/>
        </w:rPr>
        <w:t>vein</w:t>
      </w:r>
      <w:r w:rsidR="009758B8" w:rsidRPr="007C15EB">
        <w:rPr>
          <w:rFonts w:eastAsia="Times New Roman" w:cs="Tahoma"/>
          <w:lang w:eastAsia="es-ES"/>
        </w:rPr>
        <w:t>tiocho de abril</w:t>
      </w:r>
      <w:r w:rsidR="001B7499" w:rsidRPr="007C15EB">
        <w:rPr>
          <w:rFonts w:eastAsia="Times New Roman" w:cs="Tahoma"/>
          <w:lang w:eastAsia="es-ES"/>
        </w:rPr>
        <w:t xml:space="preserve"> </w:t>
      </w:r>
      <w:r w:rsidR="008E0DC4" w:rsidRPr="007C15EB">
        <w:rPr>
          <w:rFonts w:eastAsia="Times New Roman" w:cs="Tahoma"/>
          <w:lang w:eastAsia="es-ES"/>
        </w:rPr>
        <w:t>de dos mil veinti</w:t>
      </w:r>
      <w:r w:rsidR="001B7499" w:rsidRPr="007C15EB">
        <w:rPr>
          <w:rFonts w:eastAsia="Times New Roman" w:cs="Tahoma"/>
          <w:lang w:eastAsia="es-ES"/>
        </w:rPr>
        <w:t>séis</w:t>
      </w:r>
      <w:r w:rsidR="00BF362A" w:rsidRPr="007C15EB">
        <w:rPr>
          <w:rFonts w:eastAsia="Times New Roman" w:cs="Tahoma"/>
          <w:lang w:eastAsia="es-ES"/>
        </w:rPr>
        <w:t xml:space="preserve">, </w:t>
      </w:r>
      <w:r w:rsidR="000A7895" w:rsidRPr="007C15EB">
        <w:rPr>
          <w:rFonts w:eastAsia="Times New Roman" w:cs="Tahoma"/>
          <w:lang w:eastAsia="es-ES"/>
        </w:rPr>
        <w:t xml:space="preserve">el Particular presentó </w:t>
      </w:r>
      <w:r w:rsidR="00F16C8F" w:rsidRPr="007C15EB">
        <w:rPr>
          <w:rFonts w:eastAsia="Times New Roman" w:cs="Tahoma"/>
          <w:lang w:eastAsia="es-ES"/>
        </w:rPr>
        <w:t>dos</w:t>
      </w:r>
      <w:r w:rsidR="00267ACF" w:rsidRPr="007C15EB">
        <w:rPr>
          <w:rFonts w:eastAsia="Times New Roman" w:cs="Tahoma"/>
          <w:lang w:eastAsia="es-ES"/>
        </w:rPr>
        <w:t xml:space="preserve"> </w:t>
      </w:r>
      <w:r w:rsidR="00E22EA8" w:rsidRPr="007C15EB">
        <w:rPr>
          <w:rFonts w:eastAsia="Times New Roman" w:cs="Tahoma"/>
          <w:lang w:eastAsia="es-ES"/>
        </w:rPr>
        <w:t>solicitud</w:t>
      </w:r>
      <w:r w:rsidR="00F16C8F" w:rsidRPr="007C15EB">
        <w:rPr>
          <w:rFonts w:eastAsia="Times New Roman" w:cs="Tahoma"/>
          <w:lang w:eastAsia="es-ES"/>
        </w:rPr>
        <w:t>es</w:t>
      </w:r>
      <w:r w:rsidR="00E22EA8" w:rsidRPr="007C15EB">
        <w:rPr>
          <w:rFonts w:eastAsia="Times New Roman" w:cs="Tahoma"/>
          <w:lang w:eastAsia="es-ES"/>
        </w:rPr>
        <w:t xml:space="preserve"> de acceso a la información pública, a través del Sistema de Acceso a la Información Mexiquense (SAIMEX), ante</w:t>
      </w:r>
      <w:r w:rsidR="000B3C56" w:rsidRPr="007C15EB">
        <w:rPr>
          <w:rFonts w:eastAsia="Times New Roman" w:cs="Tahoma"/>
          <w:lang w:eastAsia="es-ES"/>
        </w:rPr>
        <w:t xml:space="preserve"> </w:t>
      </w:r>
      <w:r w:rsidR="00DC175C" w:rsidRPr="007C15EB">
        <w:rPr>
          <w:rFonts w:eastAsia="Times New Roman" w:cs="Tahoma"/>
          <w:lang w:eastAsia="es-ES"/>
        </w:rPr>
        <w:t>el</w:t>
      </w:r>
      <w:r w:rsidR="000F27ED" w:rsidRPr="007C15EB">
        <w:t xml:space="preserve"> Ayuntamiento de Tianguistenco</w:t>
      </w:r>
      <w:r w:rsidR="008E0DC4" w:rsidRPr="007C15EB">
        <w:rPr>
          <w:rFonts w:eastAsia="Calibri" w:cs="Times New Roman"/>
          <w:color w:val="000000"/>
        </w:rPr>
        <w:t>,</w:t>
      </w:r>
      <w:r w:rsidR="00DC175C" w:rsidRPr="007C15EB">
        <w:rPr>
          <w:rFonts w:eastAsia="Calibri" w:cs="Tahoma"/>
        </w:rPr>
        <w:t xml:space="preserve"> </w:t>
      </w:r>
      <w:r w:rsidR="00E22EA8" w:rsidRPr="007C15EB">
        <w:rPr>
          <w:rFonts w:eastAsia="Calibri" w:cs="Tahoma"/>
        </w:rPr>
        <w:t xml:space="preserve">en los siguientes términos: </w:t>
      </w:r>
    </w:p>
    <w:p w14:paraId="1CA5845F" w14:textId="77777777" w:rsidR="007D17B1" w:rsidRPr="007C15EB" w:rsidRDefault="007D17B1" w:rsidP="00D7021E">
      <w:pPr>
        <w:spacing w:after="0" w:line="360" w:lineRule="auto"/>
        <w:rPr>
          <w:rFonts w:eastAsia="Calibri" w:cs="Tahoma"/>
        </w:rPr>
      </w:pPr>
    </w:p>
    <w:tbl>
      <w:tblPr>
        <w:tblStyle w:val="Tablaconcuadrcula"/>
        <w:tblW w:w="8926" w:type="dxa"/>
        <w:tblLook w:val="04A0" w:firstRow="1" w:lastRow="0" w:firstColumn="1" w:lastColumn="0" w:noHBand="0" w:noVBand="1"/>
      </w:tblPr>
      <w:tblGrid>
        <w:gridCol w:w="2717"/>
        <w:gridCol w:w="6209"/>
      </w:tblGrid>
      <w:tr w:rsidR="00F16C8F" w:rsidRPr="007C15EB" w14:paraId="73DE94CE" w14:textId="77777777" w:rsidTr="003E6F5C">
        <w:tc>
          <w:tcPr>
            <w:tcW w:w="2717"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4E452559" w14:textId="77777777" w:rsidR="00F16C8F" w:rsidRPr="007C15EB" w:rsidRDefault="00F16C8F" w:rsidP="003E6F5C">
            <w:pPr>
              <w:tabs>
                <w:tab w:val="left" w:pos="567"/>
              </w:tabs>
              <w:spacing w:line="360" w:lineRule="auto"/>
              <w:ind w:right="-28"/>
              <w:contextualSpacing/>
              <w:rPr>
                <w:rFonts w:cs="Tahoma"/>
                <w:b/>
                <w:sz w:val="20"/>
                <w:szCs w:val="20"/>
              </w:rPr>
            </w:pPr>
            <w:r w:rsidRPr="007C15EB">
              <w:rPr>
                <w:rFonts w:cs="Tahoma"/>
                <w:b/>
                <w:sz w:val="20"/>
                <w:szCs w:val="20"/>
              </w:rPr>
              <w:t>FOLIO DE SOLICITUD</w:t>
            </w:r>
          </w:p>
        </w:tc>
        <w:tc>
          <w:tcPr>
            <w:tcW w:w="6209"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4DB6AB83" w14:textId="77777777" w:rsidR="00F16C8F" w:rsidRPr="007C15EB" w:rsidRDefault="00F16C8F" w:rsidP="003E6F5C">
            <w:pPr>
              <w:tabs>
                <w:tab w:val="left" w:pos="567"/>
              </w:tabs>
              <w:spacing w:line="360" w:lineRule="auto"/>
              <w:contextualSpacing/>
              <w:rPr>
                <w:rFonts w:cs="Tahoma"/>
                <w:b/>
                <w:sz w:val="20"/>
                <w:szCs w:val="20"/>
              </w:rPr>
            </w:pPr>
            <w:r w:rsidRPr="007C15EB">
              <w:rPr>
                <w:rFonts w:cs="Tahoma"/>
                <w:b/>
                <w:sz w:val="20"/>
                <w:szCs w:val="20"/>
              </w:rPr>
              <w:t>‘’DESCRIPCIÓN CLARA Y PRECISA DE LA INFORMACIÓN SOLICITADA</w:t>
            </w:r>
          </w:p>
        </w:tc>
      </w:tr>
      <w:tr w:rsidR="00F16C8F" w:rsidRPr="007C15EB" w14:paraId="7B7D9069" w14:textId="77777777" w:rsidTr="003E6F5C">
        <w:tc>
          <w:tcPr>
            <w:tcW w:w="2717" w:type="dxa"/>
            <w:tcBorders>
              <w:top w:val="single" w:sz="4" w:space="0" w:color="auto"/>
              <w:left w:val="single" w:sz="4" w:space="0" w:color="auto"/>
              <w:bottom w:val="single" w:sz="4" w:space="0" w:color="auto"/>
              <w:right w:val="single" w:sz="4" w:space="0" w:color="auto"/>
            </w:tcBorders>
            <w:hideMark/>
          </w:tcPr>
          <w:p w14:paraId="3CFFA955" w14:textId="6A2B1906" w:rsidR="00F16C8F" w:rsidRPr="007C15EB" w:rsidRDefault="00F16C8F" w:rsidP="003E6F5C">
            <w:pPr>
              <w:spacing w:line="360" w:lineRule="auto"/>
              <w:rPr>
                <w:b/>
                <w:bCs/>
                <w:i/>
                <w:iCs/>
                <w:sz w:val="20"/>
                <w:szCs w:val="20"/>
              </w:rPr>
            </w:pPr>
            <w:r w:rsidRPr="007C15EB">
              <w:rPr>
                <w:b/>
                <w:i/>
                <w:sz w:val="20"/>
              </w:rPr>
              <w:t>00</w:t>
            </w:r>
            <w:r w:rsidR="009758B8" w:rsidRPr="007C15EB">
              <w:rPr>
                <w:b/>
                <w:i/>
                <w:sz w:val="20"/>
              </w:rPr>
              <w:t>114</w:t>
            </w:r>
            <w:r w:rsidRPr="007C15EB">
              <w:rPr>
                <w:b/>
                <w:i/>
                <w:sz w:val="20"/>
              </w:rPr>
              <w:t>/</w:t>
            </w:r>
            <w:r w:rsidR="009758B8" w:rsidRPr="007C15EB">
              <w:rPr>
                <w:b/>
                <w:i/>
                <w:sz w:val="20"/>
              </w:rPr>
              <w:t>TIANGUIS</w:t>
            </w:r>
            <w:r w:rsidRPr="007C15EB">
              <w:rPr>
                <w:b/>
                <w:i/>
                <w:sz w:val="20"/>
              </w:rPr>
              <w:t>/IP/2026</w:t>
            </w:r>
          </w:p>
        </w:tc>
        <w:tc>
          <w:tcPr>
            <w:tcW w:w="6209" w:type="dxa"/>
            <w:tcBorders>
              <w:top w:val="single" w:sz="4" w:space="0" w:color="auto"/>
              <w:left w:val="single" w:sz="4" w:space="0" w:color="auto"/>
              <w:bottom w:val="single" w:sz="4" w:space="0" w:color="auto"/>
              <w:right w:val="single" w:sz="4" w:space="0" w:color="auto"/>
            </w:tcBorders>
            <w:hideMark/>
          </w:tcPr>
          <w:p w14:paraId="370FFD84" w14:textId="0B7522EF" w:rsidR="00F16C8F" w:rsidRPr="007C15EB" w:rsidRDefault="009758B8" w:rsidP="003E6F5C">
            <w:pPr>
              <w:tabs>
                <w:tab w:val="left" w:pos="567"/>
              </w:tabs>
              <w:spacing w:line="360" w:lineRule="auto"/>
              <w:contextualSpacing/>
              <w:rPr>
                <w:i/>
                <w:color w:val="000000"/>
                <w:sz w:val="20"/>
                <w:szCs w:val="20"/>
              </w:rPr>
            </w:pPr>
            <w:r w:rsidRPr="007C15EB">
              <w:rPr>
                <w:i/>
                <w:iCs/>
                <w:color w:val="000000"/>
                <w:sz w:val="20"/>
                <w:szCs w:val="20"/>
              </w:rPr>
              <w:t xml:space="preserve">Solicito todas las cédulas de </w:t>
            </w:r>
            <w:proofErr w:type="spellStart"/>
            <w:r w:rsidRPr="007C15EB">
              <w:rPr>
                <w:i/>
                <w:iCs/>
                <w:color w:val="000000"/>
                <w:sz w:val="20"/>
                <w:szCs w:val="20"/>
              </w:rPr>
              <w:t>zonificacion</w:t>
            </w:r>
            <w:proofErr w:type="spellEnd"/>
            <w:r w:rsidRPr="007C15EB">
              <w:rPr>
                <w:i/>
                <w:iCs/>
                <w:color w:val="000000"/>
                <w:sz w:val="20"/>
                <w:szCs w:val="20"/>
              </w:rPr>
              <w:t xml:space="preserve"> y licencias de uso de suelo emitidas por la dirección de desarrollo urbano del ayuntamiento de </w:t>
            </w:r>
            <w:proofErr w:type="spellStart"/>
            <w:r w:rsidRPr="007C15EB">
              <w:rPr>
                <w:i/>
                <w:iCs/>
                <w:color w:val="000000"/>
                <w:sz w:val="20"/>
                <w:szCs w:val="20"/>
              </w:rPr>
              <w:t>tianguistenco</w:t>
            </w:r>
            <w:proofErr w:type="spellEnd"/>
            <w:r w:rsidRPr="007C15EB">
              <w:rPr>
                <w:i/>
                <w:iCs/>
                <w:color w:val="000000"/>
                <w:sz w:val="20"/>
                <w:szCs w:val="20"/>
              </w:rPr>
              <w:t xml:space="preserve"> </w:t>
            </w:r>
            <w:r w:rsidR="00F16C8F" w:rsidRPr="007C15EB">
              <w:rPr>
                <w:i/>
                <w:iCs/>
                <w:color w:val="000000"/>
                <w:sz w:val="20"/>
                <w:szCs w:val="20"/>
              </w:rPr>
              <w:t>“(Sic.)</w:t>
            </w:r>
          </w:p>
        </w:tc>
      </w:tr>
      <w:tr w:rsidR="00F16C8F" w:rsidRPr="007C15EB" w14:paraId="34BEE8A5" w14:textId="77777777" w:rsidTr="003E6F5C">
        <w:tc>
          <w:tcPr>
            <w:tcW w:w="2717" w:type="dxa"/>
            <w:tcBorders>
              <w:top w:val="single" w:sz="4" w:space="0" w:color="auto"/>
              <w:left w:val="single" w:sz="4" w:space="0" w:color="auto"/>
              <w:bottom w:val="single" w:sz="4" w:space="0" w:color="auto"/>
              <w:right w:val="single" w:sz="4" w:space="0" w:color="auto"/>
            </w:tcBorders>
            <w:hideMark/>
          </w:tcPr>
          <w:p w14:paraId="1B19F5B9" w14:textId="0E69216D" w:rsidR="00F16C8F" w:rsidRPr="007C15EB" w:rsidRDefault="00F16C8F" w:rsidP="003E6F5C">
            <w:pPr>
              <w:spacing w:line="360" w:lineRule="auto"/>
              <w:rPr>
                <w:b/>
                <w:bCs/>
                <w:i/>
                <w:iCs/>
                <w:sz w:val="20"/>
                <w:szCs w:val="20"/>
              </w:rPr>
            </w:pPr>
            <w:r w:rsidRPr="007C15EB">
              <w:rPr>
                <w:b/>
                <w:bCs/>
                <w:i/>
                <w:iCs/>
                <w:sz w:val="20"/>
                <w:szCs w:val="20"/>
              </w:rPr>
              <w:t>00</w:t>
            </w:r>
            <w:r w:rsidR="009758B8" w:rsidRPr="007C15EB">
              <w:rPr>
                <w:b/>
                <w:bCs/>
                <w:i/>
                <w:iCs/>
                <w:sz w:val="20"/>
                <w:szCs w:val="20"/>
              </w:rPr>
              <w:t>115</w:t>
            </w:r>
            <w:r w:rsidRPr="007C15EB">
              <w:rPr>
                <w:b/>
                <w:bCs/>
                <w:i/>
                <w:iCs/>
                <w:sz w:val="20"/>
                <w:szCs w:val="20"/>
              </w:rPr>
              <w:t>/</w:t>
            </w:r>
            <w:r w:rsidR="009758B8" w:rsidRPr="007C15EB">
              <w:rPr>
                <w:b/>
                <w:bCs/>
                <w:i/>
                <w:iCs/>
                <w:sz w:val="20"/>
                <w:szCs w:val="20"/>
              </w:rPr>
              <w:t>TIANGUIS</w:t>
            </w:r>
            <w:r w:rsidRPr="007C15EB">
              <w:rPr>
                <w:b/>
                <w:bCs/>
                <w:i/>
                <w:iCs/>
                <w:sz w:val="20"/>
                <w:szCs w:val="20"/>
              </w:rPr>
              <w:t>/IP/2026</w:t>
            </w:r>
          </w:p>
        </w:tc>
        <w:tc>
          <w:tcPr>
            <w:tcW w:w="6209" w:type="dxa"/>
            <w:tcBorders>
              <w:top w:val="single" w:sz="4" w:space="0" w:color="auto"/>
              <w:left w:val="single" w:sz="4" w:space="0" w:color="auto"/>
              <w:bottom w:val="single" w:sz="4" w:space="0" w:color="auto"/>
              <w:right w:val="single" w:sz="4" w:space="0" w:color="auto"/>
            </w:tcBorders>
            <w:hideMark/>
          </w:tcPr>
          <w:p w14:paraId="4DF46B22" w14:textId="18C20357" w:rsidR="00F16C8F" w:rsidRPr="007C15EB" w:rsidRDefault="00382C79" w:rsidP="003E6F5C">
            <w:pPr>
              <w:spacing w:line="360" w:lineRule="auto"/>
              <w:rPr>
                <w:rFonts w:ascii="Times New Roman" w:hAnsi="Times New Roman"/>
                <w:color w:val="auto"/>
              </w:rPr>
            </w:pPr>
            <w:r w:rsidRPr="007C15EB">
              <w:rPr>
                <w:i/>
                <w:iCs/>
                <w:color w:val="000000"/>
                <w:sz w:val="20"/>
                <w:szCs w:val="20"/>
              </w:rPr>
              <w:t xml:space="preserve">Quiero todas las cédulas informativas de zonificaci9n, licencias fe uso de suelo y cambios de uso de suelo aprobadas por el ayuntamiento de </w:t>
            </w:r>
            <w:proofErr w:type="spellStart"/>
            <w:r w:rsidRPr="007C15EB">
              <w:rPr>
                <w:i/>
                <w:iCs/>
                <w:color w:val="000000"/>
                <w:sz w:val="20"/>
                <w:szCs w:val="20"/>
              </w:rPr>
              <w:t>tianguistenco</w:t>
            </w:r>
            <w:proofErr w:type="spellEnd"/>
            <w:r w:rsidRPr="007C15EB">
              <w:rPr>
                <w:i/>
                <w:iCs/>
                <w:color w:val="000000"/>
                <w:sz w:val="20"/>
                <w:szCs w:val="20"/>
              </w:rPr>
              <w:t xml:space="preserve"> para el periodo 2025 y lo que va del año 2026 </w:t>
            </w:r>
            <w:r w:rsidR="00F16C8F" w:rsidRPr="007C15EB">
              <w:rPr>
                <w:i/>
                <w:iCs/>
                <w:color w:val="000000"/>
                <w:sz w:val="20"/>
                <w:szCs w:val="20"/>
              </w:rPr>
              <w:t>“(Sic.)</w:t>
            </w:r>
          </w:p>
        </w:tc>
      </w:tr>
    </w:tbl>
    <w:p w14:paraId="1461F0FB" w14:textId="77777777" w:rsidR="009758B8" w:rsidRPr="007C15EB" w:rsidRDefault="009758B8" w:rsidP="00D7021E">
      <w:pPr>
        <w:spacing w:after="0" w:line="360" w:lineRule="auto"/>
        <w:rPr>
          <w:rFonts w:eastAsia="Times New Roman" w:cs="Arial"/>
          <w:bCs/>
          <w:iCs/>
          <w:lang w:eastAsia="es-ES"/>
        </w:rPr>
      </w:pPr>
    </w:p>
    <w:p w14:paraId="499CB96E" w14:textId="6EE9A4BE" w:rsidR="00F16C8F" w:rsidRPr="007C15EB" w:rsidRDefault="00F16C8F" w:rsidP="00D7021E">
      <w:pPr>
        <w:spacing w:after="0" w:line="360" w:lineRule="auto"/>
        <w:rPr>
          <w:rFonts w:eastAsia="Times New Roman" w:cs="Arial"/>
          <w:bCs/>
          <w:i/>
          <w:iCs/>
          <w:lang w:eastAsia="es-ES"/>
        </w:rPr>
      </w:pPr>
      <w:r w:rsidRPr="007C15EB">
        <w:rPr>
          <w:rFonts w:eastAsia="Times New Roman" w:cs="Arial"/>
          <w:bCs/>
          <w:iCs/>
          <w:lang w:eastAsia="es-ES"/>
        </w:rPr>
        <w:t xml:space="preserve">Es de señalar que en las dos solicitudes de acceso a la información la persona Recurrente eligió como modalidad de entrega de la información </w:t>
      </w:r>
      <w:r w:rsidRPr="007C15EB">
        <w:rPr>
          <w:rFonts w:eastAsia="Times New Roman" w:cs="Arial"/>
          <w:bCs/>
          <w:i/>
          <w:iCs/>
          <w:lang w:eastAsia="es-ES"/>
        </w:rPr>
        <w:t>“A través del SAIMEX”.</w:t>
      </w:r>
    </w:p>
    <w:p w14:paraId="7C1EB933" w14:textId="77777777" w:rsidR="007D17B1" w:rsidRPr="007C15EB" w:rsidRDefault="007D17B1" w:rsidP="007D17B1">
      <w:pPr>
        <w:spacing w:after="0" w:line="360" w:lineRule="auto"/>
        <w:rPr>
          <w:rFonts w:eastAsia="Times New Roman" w:cs="Tahoma"/>
          <w:lang w:eastAsia="es-ES"/>
        </w:rPr>
      </w:pPr>
    </w:p>
    <w:p w14:paraId="0A604AAC" w14:textId="0F32E46C" w:rsidR="00E22EA8" w:rsidRPr="007C15EB" w:rsidRDefault="0007311B" w:rsidP="00D7021E">
      <w:pPr>
        <w:pStyle w:val="Ttulo2"/>
        <w:spacing w:before="0" w:after="0" w:line="360" w:lineRule="auto"/>
        <w:rPr>
          <w:sz w:val="22"/>
          <w:szCs w:val="22"/>
        </w:rPr>
      </w:pPr>
      <w:bookmarkStart w:id="2" w:name="_Toc234506065"/>
      <w:r w:rsidRPr="007C15EB">
        <w:rPr>
          <w:rFonts w:cs="Tahoma"/>
          <w:sz w:val="22"/>
          <w:szCs w:val="22"/>
        </w:rPr>
        <w:t>I</w:t>
      </w:r>
      <w:r w:rsidR="003B4C74" w:rsidRPr="007C15EB">
        <w:rPr>
          <w:rFonts w:cs="Tahoma"/>
          <w:sz w:val="22"/>
          <w:szCs w:val="22"/>
        </w:rPr>
        <w:t>I</w:t>
      </w:r>
      <w:r w:rsidR="00E22EA8" w:rsidRPr="007C15EB">
        <w:rPr>
          <w:rFonts w:cs="Tahoma"/>
          <w:sz w:val="22"/>
          <w:szCs w:val="22"/>
        </w:rPr>
        <w:t>.</w:t>
      </w:r>
      <w:r w:rsidR="00E22EA8" w:rsidRPr="007C15EB">
        <w:rPr>
          <w:sz w:val="22"/>
          <w:szCs w:val="22"/>
        </w:rPr>
        <w:t xml:space="preserve"> Respuesta del Sujeto Obligado</w:t>
      </w:r>
      <w:bookmarkEnd w:id="2"/>
    </w:p>
    <w:p w14:paraId="10CE94A9" w14:textId="77777777" w:rsidR="00C06004" w:rsidRPr="007C15EB" w:rsidRDefault="00C06004" w:rsidP="00D7021E">
      <w:pPr>
        <w:autoSpaceDE w:val="0"/>
        <w:autoSpaceDN w:val="0"/>
        <w:adjustRightInd w:val="0"/>
        <w:spacing w:after="0" w:line="360" w:lineRule="auto"/>
        <w:rPr>
          <w:b/>
          <w:bCs/>
        </w:rPr>
      </w:pPr>
    </w:p>
    <w:p w14:paraId="746B4503" w14:textId="14F956F4" w:rsidR="00233440" w:rsidRPr="007C15EB" w:rsidRDefault="00EB386A" w:rsidP="00D7021E">
      <w:pPr>
        <w:spacing w:after="0" w:line="360" w:lineRule="auto"/>
      </w:pPr>
      <w:r w:rsidRPr="007C15EB">
        <w:t>El</w:t>
      </w:r>
      <w:r w:rsidR="007C1570" w:rsidRPr="007C15EB">
        <w:t xml:space="preserve"> </w:t>
      </w:r>
      <w:r w:rsidR="00382C79" w:rsidRPr="007C15EB">
        <w:t xml:space="preserve">ocho y </w:t>
      </w:r>
      <w:r w:rsidR="007C3643" w:rsidRPr="007C15EB">
        <w:t>veinti</w:t>
      </w:r>
      <w:r w:rsidR="00D82B0B" w:rsidRPr="007C15EB">
        <w:t>séis de mayo</w:t>
      </w:r>
      <w:r w:rsidR="001C67CC" w:rsidRPr="007C15EB">
        <w:t xml:space="preserve"> </w:t>
      </w:r>
      <w:r w:rsidR="007C1570" w:rsidRPr="007C15EB">
        <w:t>de dos mil veintiséis</w:t>
      </w:r>
      <w:r w:rsidR="00E22EA8" w:rsidRPr="007C15EB">
        <w:t>, el Sujeto Obligado notificó, a través del Sistema de Acceso a la Información Mexiquense (SAIMEX), la respuesta a la</w:t>
      </w:r>
      <w:r w:rsidR="00233440" w:rsidRPr="007C15EB">
        <w:t>s</w:t>
      </w:r>
      <w:r w:rsidR="00E22EA8" w:rsidRPr="007C15EB">
        <w:t xml:space="preserve"> solicitud</w:t>
      </w:r>
      <w:r w:rsidR="00233440" w:rsidRPr="007C15EB">
        <w:t>es</w:t>
      </w:r>
      <w:r w:rsidR="00E22EA8" w:rsidRPr="007C15EB">
        <w:t xml:space="preserve"> de acceso a la información pública, </w:t>
      </w:r>
      <w:r w:rsidR="00233440" w:rsidRPr="007C15EB">
        <w:t>a través de los documentos siguientes:</w:t>
      </w:r>
    </w:p>
    <w:p w14:paraId="3D0DE2A0" w14:textId="77777777" w:rsidR="00233440" w:rsidRPr="007C15EB" w:rsidRDefault="00233440" w:rsidP="00D7021E">
      <w:pPr>
        <w:spacing w:after="0" w:line="360" w:lineRule="auto"/>
      </w:pPr>
    </w:p>
    <w:tbl>
      <w:tblPr>
        <w:tblStyle w:val="Tablaconcuadrcula"/>
        <w:tblW w:w="8926" w:type="dxa"/>
        <w:tblLook w:val="04A0" w:firstRow="1" w:lastRow="0" w:firstColumn="1" w:lastColumn="0" w:noHBand="0" w:noVBand="1"/>
      </w:tblPr>
      <w:tblGrid>
        <w:gridCol w:w="2517"/>
        <w:gridCol w:w="6409"/>
      </w:tblGrid>
      <w:tr w:rsidR="00233440" w:rsidRPr="007C15EB" w14:paraId="0A65C362" w14:textId="77777777" w:rsidTr="004310D3">
        <w:tc>
          <w:tcPr>
            <w:tcW w:w="2517"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3B417A94" w14:textId="77777777" w:rsidR="00233440" w:rsidRPr="007C15EB" w:rsidRDefault="00233440" w:rsidP="003E6F5C">
            <w:pPr>
              <w:spacing w:line="360" w:lineRule="auto"/>
              <w:rPr>
                <w:b/>
                <w:sz w:val="20"/>
              </w:rPr>
            </w:pPr>
            <w:r w:rsidRPr="007C15EB">
              <w:rPr>
                <w:b/>
                <w:sz w:val="20"/>
              </w:rPr>
              <w:t>FOLIO DE SOLICITUD</w:t>
            </w:r>
          </w:p>
        </w:tc>
        <w:tc>
          <w:tcPr>
            <w:tcW w:w="6409"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5A0845AC" w14:textId="77777777" w:rsidR="00233440" w:rsidRPr="007C15EB" w:rsidRDefault="00233440" w:rsidP="003E6F5C">
            <w:pPr>
              <w:spacing w:line="360" w:lineRule="auto"/>
              <w:rPr>
                <w:b/>
                <w:sz w:val="20"/>
              </w:rPr>
            </w:pPr>
            <w:r w:rsidRPr="007C15EB">
              <w:rPr>
                <w:b/>
                <w:sz w:val="20"/>
              </w:rPr>
              <w:t>RESPUESTA</w:t>
            </w:r>
          </w:p>
        </w:tc>
      </w:tr>
      <w:tr w:rsidR="00233440" w:rsidRPr="007C15EB" w14:paraId="31AF5D3F" w14:textId="77777777" w:rsidTr="004310D3">
        <w:tc>
          <w:tcPr>
            <w:tcW w:w="2517" w:type="dxa"/>
            <w:tcBorders>
              <w:top w:val="single" w:sz="4" w:space="0" w:color="auto"/>
              <w:left w:val="single" w:sz="4" w:space="0" w:color="auto"/>
              <w:bottom w:val="single" w:sz="4" w:space="0" w:color="auto"/>
              <w:right w:val="single" w:sz="4" w:space="0" w:color="auto"/>
            </w:tcBorders>
            <w:hideMark/>
          </w:tcPr>
          <w:p w14:paraId="7D054FA7" w14:textId="303AFD83" w:rsidR="00233440" w:rsidRPr="007C15EB" w:rsidRDefault="004310D3" w:rsidP="003E6F5C">
            <w:pPr>
              <w:spacing w:line="360" w:lineRule="auto"/>
              <w:rPr>
                <w:b/>
                <w:bCs/>
                <w:i/>
                <w:iCs/>
                <w:sz w:val="20"/>
              </w:rPr>
            </w:pPr>
            <w:r w:rsidRPr="007C15EB">
              <w:rPr>
                <w:b/>
                <w:i/>
                <w:sz w:val="20"/>
              </w:rPr>
              <w:t>00114/TIANGUIS/IP/2026</w:t>
            </w:r>
          </w:p>
        </w:tc>
        <w:tc>
          <w:tcPr>
            <w:tcW w:w="6409" w:type="dxa"/>
            <w:tcBorders>
              <w:top w:val="single" w:sz="4" w:space="0" w:color="auto"/>
              <w:left w:val="single" w:sz="4" w:space="0" w:color="auto"/>
              <w:bottom w:val="single" w:sz="4" w:space="0" w:color="auto"/>
              <w:right w:val="single" w:sz="4" w:space="0" w:color="auto"/>
            </w:tcBorders>
            <w:hideMark/>
          </w:tcPr>
          <w:p w14:paraId="1AE25F5C" w14:textId="77777777" w:rsidR="00233440" w:rsidRPr="007C15EB" w:rsidRDefault="006A25EB" w:rsidP="006A25EB">
            <w:pPr>
              <w:spacing w:line="360" w:lineRule="auto"/>
              <w:rPr>
                <w:sz w:val="20"/>
              </w:rPr>
            </w:pPr>
            <w:r w:rsidRPr="007C15EB">
              <w:rPr>
                <w:sz w:val="20"/>
              </w:rPr>
              <w:t>i. Oficio número MTG/DDUYM/OF/539/2026, del veintiséis de mayo de dos mil veintiséis, suscrito por el Director de Desarrollo Urbano y Metropolitano y dirigido al Titular de la Unidad de Transparencia, por medio del cual mencionó lo siguiente:</w:t>
            </w:r>
          </w:p>
          <w:p w14:paraId="012C942D" w14:textId="77777777" w:rsidR="006A25EB" w:rsidRPr="007C15EB" w:rsidRDefault="006A25EB" w:rsidP="006A25EB">
            <w:pPr>
              <w:spacing w:line="360" w:lineRule="auto"/>
              <w:rPr>
                <w:sz w:val="20"/>
              </w:rPr>
            </w:pPr>
          </w:p>
          <w:p w14:paraId="4F9F0DF4" w14:textId="77777777" w:rsidR="006A25EB" w:rsidRPr="007C15EB" w:rsidRDefault="006A25EB" w:rsidP="006A25EB">
            <w:pPr>
              <w:spacing w:line="360" w:lineRule="auto"/>
              <w:rPr>
                <w:i/>
                <w:iCs/>
                <w:sz w:val="20"/>
              </w:rPr>
            </w:pPr>
            <w:r w:rsidRPr="007C15EB">
              <w:rPr>
                <w:i/>
                <w:iCs/>
                <w:sz w:val="20"/>
              </w:rPr>
              <w:t xml:space="preserve">“…Al respecto remito a Usted en medio físico en formato impreso la información solicitada consistente en la relación de licencias de uso de suelo autorizadas, </w:t>
            </w:r>
            <w:proofErr w:type="spellStart"/>
            <w:r w:rsidRPr="007C15EB">
              <w:rPr>
                <w:i/>
                <w:iCs/>
                <w:sz w:val="20"/>
              </w:rPr>
              <w:t>asi</w:t>
            </w:r>
            <w:proofErr w:type="spellEnd"/>
            <w:r w:rsidRPr="007C15EB">
              <w:rPr>
                <w:i/>
                <w:iCs/>
                <w:sz w:val="20"/>
              </w:rPr>
              <w:t xml:space="preserve"> como las cédulas informativas de zonificación que se </w:t>
            </w:r>
            <w:proofErr w:type="spellStart"/>
            <w:r w:rsidRPr="007C15EB">
              <w:rPr>
                <w:i/>
                <w:iCs/>
                <w:sz w:val="20"/>
              </w:rPr>
              <w:t>emftieron</w:t>
            </w:r>
            <w:proofErr w:type="spellEnd"/>
            <w:r w:rsidRPr="007C15EB">
              <w:rPr>
                <w:i/>
                <w:iCs/>
                <w:sz w:val="20"/>
              </w:rPr>
              <w:t xml:space="preserve"> en el periodo comprendido del 1 de enero del 2025 a la fecha de emisión del presente ocurso.</w:t>
            </w:r>
          </w:p>
          <w:p w14:paraId="309785CB" w14:textId="77777777" w:rsidR="006A25EB" w:rsidRPr="007C15EB" w:rsidRDefault="006A25EB" w:rsidP="006A25EB">
            <w:pPr>
              <w:spacing w:line="360" w:lineRule="auto"/>
              <w:rPr>
                <w:i/>
                <w:iCs/>
                <w:sz w:val="20"/>
              </w:rPr>
            </w:pPr>
            <w:r w:rsidRPr="007C15EB">
              <w:rPr>
                <w:i/>
                <w:iCs/>
                <w:sz w:val="20"/>
              </w:rPr>
              <w:t>…”</w:t>
            </w:r>
          </w:p>
          <w:p w14:paraId="21D5119C" w14:textId="77777777" w:rsidR="006A25EB" w:rsidRPr="007C15EB" w:rsidRDefault="006A25EB" w:rsidP="006A25EB">
            <w:pPr>
              <w:spacing w:line="360" w:lineRule="auto"/>
              <w:rPr>
                <w:sz w:val="20"/>
              </w:rPr>
            </w:pPr>
          </w:p>
          <w:p w14:paraId="72F810F4" w14:textId="469ECD39" w:rsidR="006A25EB" w:rsidRPr="007C15EB" w:rsidRDefault="006A25EB" w:rsidP="006A25EB">
            <w:pPr>
              <w:spacing w:line="360" w:lineRule="auto"/>
              <w:rPr>
                <w:sz w:val="20"/>
              </w:rPr>
            </w:pPr>
            <w:r w:rsidRPr="007C15EB">
              <w:rPr>
                <w:sz w:val="20"/>
              </w:rPr>
              <w:t>ii. Relación que contiene número de expediente, nombre del titular y tipo  de autorización</w:t>
            </w:r>
            <w:r w:rsidR="00382C79" w:rsidRPr="007C15EB">
              <w:rPr>
                <w:sz w:val="20"/>
              </w:rPr>
              <w:t>, del ejercicio fiscal dos mil veinticinco y dos mil veintiséis.</w:t>
            </w:r>
          </w:p>
        </w:tc>
      </w:tr>
      <w:tr w:rsidR="004310D3" w:rsidRPr="007C15EB" w14:paraId="2DB739CB" w14:textId="77777777" w:rsidTr="004310D3">
        <w:tc>
          <w:tcPr>
            <w:tcW w:w="2517" w:type="dxa"/>
            <w:tcBorders>
              <w:top w:val="single" w:sz="4" w:space="0" w:color="auto"/>
              <w:left w:val="single" w:sz="4" w:space="0" w:color="auto"/>
              <w:bottom w:val="single" w:sz="4" w:space="0" w:color="auto"/>
              <w:right w:val="single" w:sz="4" w:space="0" w:color="auto"/>
            </w:tcBorders>
          </w:tcPr>
          <w:p w14:paraId="557916F1" w14:textId="4224B41C" w:rsidR="004310D3" w:rsidRPr="007C15EB" w:rsidRDefault="004310D3" w:rsidP="003E6F5C">
            <w:pPr>
              <w:spacing w:line="360" w:lineRule="auto"/>
              <w:rPr>
                <w:b/>
                <w:i/>
                <w:sz w:val="20"/>
              </w:rPr>
            </w:pPr>
            <w:r w:rsidRPr="007C15EB">
              <w:rPr>
                <w:b/>
                <w:i/>
                <w:sz w:val="20"/>
              </w:rPr>
              <w:t>00115/TIANGUIS/IP/2026</w:t>
            </w:r>
          </w:p>
        </w:tc>
        <w:tc>
          <w:tcPr>
            <w:tcW w:w="6409" w:type="dxa"/>
            <w:tcBorders>
              <w:top w:val="single" w:sz="4" w:space="0" w:color="auto"/>
              <w:left w:val="single" w:sz="4" w:space="0" w:color="auto"/>
              <w:bottom w:val="single" w:sz="4" w:space="0" w:color="auto"/>
              <w:right w:val="single" w:sz="4" w:space="0" w:color="auto"/>
            </w:tcBorders>
          </w:tcPr>
          <w:p w14:paraId="22B601C1" w14:textId="77777777" w:rsidR="004310D3" w:rsidRPr="007C15EB" w:rsidRDefault="00382C79" w:rsidP="003E6F5C">
            <w:pPr>
              <w:spacing w:line="360" w:lineRule="auto"/>
              <w:rPr>
                <w:sz w:val="20"/>
              </w:rPr>
            </w:pPr>
            <w:r w:rsidRPr="007C15EB">
              <w:rPr>
                <w:sz w:val="20"/>
              </w:rPr>
              <w:t xml:space="preserve">i. Oficio número MTG/DDUYM/OF/431/2026, del seis de mayo de dos mil veintiséis, suscrito por el Director de Desarrollo Urbano y </w:t>
            </w:r>
            <w:r w:rsidRPr="007C15EB">
              <w:rPr>
                <w:sz w:val="20"/>
              </w:rPr>
              <w:lastRenderedPageBreak/>
              <w:t>Metropolitano y dirigido al Titular de la Unidad de Transparencia, por medio del cual mencionó lo siguiente:</w:t>
            </w:r>
          </w:p>
          <w:p w14:paraId="06B67090" w14:textId="77777777" w:rsidR="00382C79" w:rsidRPr="007C15EB" w:rsidRDefault="00382C79" w:rsidP="003E6F5C">
            <w:pPr>
              <w:spacing w:line="360" w:lineRule="auto"/>
              <w:rPr>
                <w:sz w:val="20"/>
              </w:rPr>
            </w:pPr>
          </w:p>
          <w:p w14:paraId="4705AA81" w14:textId="77777777" w:rsidR="00382C79" w:rsidRPr="007C15EB" w:rsidRDefault="00382C79" w:rsidP="003E6F5C">
            <w:pPr>
              <w:spacing w:line="360" w:lineRule="auto"/>
              <w:rPr>
                <w:i/>
                <w:iCs/>
                <w:sz w:val="20"/>
              </w:rPr>
            </w:pPr>
            <w:r w:rsidRPr="007C15EB">
              <w:rPr>
                <w:i/>
                <w:iCs/>
                <w:sz w:val="20"/>
              </w:rPr>
              <w:t xml:space="preserve">“…Al respecto remito a Usted en medio físico en formato impreso la información solicitada consistente en la relación de licencias de uso de suelo autorizadas, </w:t>
            </w:r>
            <w:proofErr w:type="spellStart"/>
            <w:r w:rsidRPr="007C15EB">
              <w:rPr>
                <w:i/>
                <w:iCs/>
                <w:sz w:val="20"/>
              </w:rPr>
              <w:t>asi</w:t>
            </w:r>
            <w:proofErr w:type="spellEnd"/>
            <w:r w:rsidRPr="007C15EB">
              <w:rPr>
                <w:i/>
                <w:iCs/>
                <w:sz w:val="20"/>
              </w:rPr>
              <w:t xml:space="preserve"> como las cédulas informativas de zonificación que se emitieron en el periodo comprendido del 1 de enero del 2025 a la fecha de emisión del presente ocurso. No omito mencionar que a la fecha del presente, no se han autorizado cambios de uso de suelo para el territorio municipal.</w:t>
            </w:r>
          </w:p>
          <w:p w14:paraId="1BA82B2A" w14:textId="77777777" w:rsidR="00382C79" w:rsidRPr="007C15EB" w:rsidRDefault="00382C79" w:rsidP="003E6F5C">
            <w:pPr>
              <w:spacing w:line="360" w:lineRule="auto"/>
              <w:rPr>
                <w:i/>
                <w:iCs/>
                <w:sz w:val="20"/>
              </w:rPr>
            </w:pPr>
            <w:r w:rsidRPr="007C15EB">
              <w:rPr>
                <w:i/>
                <w:iCs/>
                <w:sz w:val="20"/>
              </w:rPr>
              <w:t>…”</w:t>
            </w:r>
          </w:p>
          <w:p w14:paraId="36E24317" w14:textId="77777777" w:rsidR="00382C79" w:rsidRPr="007C15EB" w:rsidRDefault="00382C79" w:rsidP="003E6F5C">
            <w:pPr>
              <w:spacing w:line="360" w:lineRule="auto"/>
              <w:rPr>
                <w:sz w:val="20"/>
              </w:rPr>
            </w:pPr>
          </w:p>
          <w:p w14:paraId="217201AE" w14:textId="61102BFC" w:rsidR="00382C79" w:rsidRPr="007C15EB" w:rsidRDefault="00382C79" w:rsidP="003E6F5C">
            <w:pPr>
              <w:spacing w:line="360" w:lineRule="auto"/>
              <w:rPr>
                <w:sz w:val="20"/>
              </w:rPr>
            </w:pPr>
            <w:r w:rsidRPr="007C15EB">
              <w:rPr>
                <w:sz w:val="20"/>
              </w:rPr>
              <w:t>ii. Relación que contiene número de expediente, nombre del titular y tipo  de autorización, del ejercicio fiscal dos mil veinticinco y dos mil veintiséis.</w:t>
            </w:r>
          </w:p>
        </w:tc>
      </w:tr>
    </w:tbl>
    <w:p w14:paraId="200B194E" w14:textId="77777777" w:rsidR="00E41B1A" w:rsidRPr="007C15EB" w:rsidRDefault="00E41B1A" w:rsidP="00E41743">
      <w:pPr>
        <w:spacing w:after="0" w:line="360" w:lineRule="auto"/>
      </w:pPr>
    </w:p>
    <w:p w14:paraId="7E7FBB31" w14:textId="7CBCA204" w:rsidR="00E22EA8" w:rsidRPr="007C15EB" w:rsidRDefault="00627CDA" w:rsidP="00D7021E">
      <w:pPr>
        <w:pStyle w:val="Ttulo2"/>
        <w:spacing w:before="0" w:after="0" w:line="360" w:lineRule="auto"/>
        <w:rPr>
          <w:sz w:val="22"/>
          <w:szCs w:val="22"/>
        </w:rPr>
      </w:pPr>
      <w:bookmarkStart w:id="3" w:name="_Toc234506066"/>
      <w:r w:rsidRPr="007C15EB">
        <w:rPr>
          <w:sz w:val="22"/>
          <w:szCs w:val="22"/>
        </w:rPr>
        <w:t>I</w:t>
      </w:r>
      <w:r w:rsidR="00D82B0B" w:rsidRPr="007C15EB">
        <w:rPr>
          <w:sz w:val="22"/>
          <w:szCs w:val="22"/>
        </w:rPr>
        <w:t>II</w:t>
      </w:r>
      <w:r w:rsidR="00E22EA8" w:rsidRPr="007C15EB">
        <w:rPr>
          <w:sz w:val="22"/>
          <w:szCs w:val="22"/>
        </w:rPr>
        <w:t>. Interposición del Recurso de Revisión</w:t>
      </w:r>
      <w:bookmarkEnd w:id="3"/>
    </w:p>
    <w:p w14:paraId="053D45CF" w14:textId="77777777" w:rsidR="00E22EA8" w:rsidRPr="007C15EB" w:rsidRDefault="00E22EA8" w:rsidP="00D7021E">
      <w:pPr>
        <w:spacing w:after="0" w:line="360" w:lineRule="auto"/>
        <w:rPr>
          <w:b/>
        </w:rPr>
      </w:pPr>
    </w:p>
    <w:p w14:paraId="355C8CC6" w14:textId="252A1D6A" w:rsidR="009C5A71" w:rsidRPr="007C15EB" w:rsidRDefault="00083169" w:rsidP="00D7021E">
      <w:pPr>
        <w:spacing w:after="0" w:line="360" w:lineRule="auto"/>
        <w:rPr>
          <w:bCs/>
        </w:rPr>
      </w:pPr>
      <w:r w:rsidRPr="007C15EB">
        <w:rPr>
          <w:bCs/>
        </w:rPr>
        <w:t>El</w:t>
      </w:r>
      <w:r w:rsidR="008E5E71" w:rsidRPr="007C15EB">
        <w:rPr>
          <w:bCs/>
        </w:rPr>
        <w:t xml:space="preserve"> </w:t>
      </w:r>
      <w:r w:rsidR="00285307" w:rsidRPr="007C15EB">
        <w:rPr>
          <w:bCs/>
        </w:rPr>
        <w:t>veintiocho</w:t>
      </w:r>
      <w:r w:rsidR="0061218D" w:rsidRPr="007C15EB">
        <w:rPr>
          <w:bCs/>
        </w:rPr>
        <w:t xml:space="preserve"> de mayo</w:t>
      </w:r>
      <w:r w:rsidR="00167591" w:rsidRPr="007C15EB">
        <w:rPr>
          <w:bCs/>
        </w:rPr>
        <w:t xml:space="preserve"> </w:t>
      </w:r>
      <w:r w:rsidR="00596AF2" w:rsidRPr="007C15EB">
        <w:rPr>
          <w:bCs/>
        </w:rPr>
        <w:t>de dos mil veintiséis,</w:t>
      </w:r>
      <w:r w:rsidR="00203EBA" w:rsidRPr="007C15EB">
        <w:rPr>
          <w:bCs/>
        </w:rPr>
        <w:t xml:space="preserve"> </w:t>
      </w:r>
      <w:r w:rsidR="00E22EA8" w:rsidRPr="007C15EB">
        <w:rPr>
          <w:bCs/>
        </w:rPr>
        <w:t>se recibió en este Instituto, a través del Sistema de Acceso a la Información Mexiquense (SAIMEX),</w:t>
      </w:r>
      <w:r w:rsidR="00A432C7" w:rsidRPr="007C15EB">
        <w:rPr>
          <w:bCs/>
        </w:rPr>
        <w:t xml:space="preserve"> </w:t>
      </w:r>
      <w:r w:rsidR="002F0032" w:rsidRPr="007C15EB">
        <w:rPr>
          <w:bCs/>
        </w:rPr>
        <w:t>dos</w:t>
      </w:r>
      <w:r w:rsidR="009019A8" w:rsidRPr="007C15EB">
        <w:rPr>
          <w:bCs/>
        </w:rPr>
        <w:t xml:space="preserve"> </w:t>
      </w:r>
      <w:r w:rsidR="00E22EA8" w:rsidRPr="007C15EB">
        <w:rPr>
          <w:bCs/>
        </w:rPr>
        <w:t>Recurso</w:t>
      </w:r>
      <w:r w:rsidR="002F0032" w:rsidRPr="007C15EB">
        <w:rPr>
          <w:bCs/>
        </w:rPr>
        <w:t>s</w:t>
      </w:r>
      <w:r w:rsidR="00E22EA8" w:rsidRPr="007C15EB">
        <w:rPr>
          <w:bCs/>
        </w:rPr>
        <w:t xml:space="preserve"> de Revisión interpuesto</w:t>
      </w:r>
      <w:r w:rsidR="00F17302" w:rsidRPr="007C15EB">
        <w:rPr>
          <w:bCs/>
        </w:rPr>
        <w:t>s</w:t>
      </w:r>
      <w:r w:rsidR="00E22EA8" w:rsidRPr="007C15EB">
        <w:rPr>
          <w:bCs/>
        </w:rPr>
        <w:t xml:space="preserve"> por la p</w:t>
      </w:r>
      <w:r w:rsidRPr="007C15EB">
        <w:rPr>
          <w:bCs/>
        </w:rPr>
        <w:t>ersona</w:t>
      </w:r>
      <w:r w:rsidR="00E22EA8" w:rsidRPr="007C15EB">
        <w:rPr>
          <w:bCs/>
        </w:rPr>
        <w:t xml:space="preserve"> Recurrente, en contra de la</w:t>
      </w:r>
      <w:r w:rsidR="00F17302" w:rsidRPr="007C15EB">
        <w:rPr>
          <w:bCs/>
        </w:rPr>
        <w:t>s</w:t>
      </w:r>
      <w:r w:rsidR="00E22EA8" w:rsidRPr="007C15EB">
        <w:rPr>
          <w:bCs/>
        </w:rPr>
        <w:t xml:space="preserve"> respuesta</w:t>
      </w:r>
      <w:r w:rsidR="00F17302" w:rsidRPr="007C15EB">
        <w:rPr>
          <w:bCs/>
        </w:rPr>
        <w:t>s</w:t>
      </w:r>
      <w:r w:rsidR="00E22EA8" w:rsidRPr="007C15EB">
        <w:rPr>
          <w:bCs/>
        </w:rPr>
        <w:t xml:space="preserve"> por el Sujeto Obligado, a la solicitud de información</w:t>
      </w:r>
      <w:r w:rsidR="00F43789" w:rsidRPr="007C15EB">
        <w:rPr>
          <w:rFonts w:eastAsia="Calibri" w:cs="Times New Roman"/>
        </w:rPr>
        <w:t xml:space="preserve">, </w:t>
      </w:r>
      <w:r w:rsidR="00E22EA8" w:rsidRPr="007C15EB">
        <w:rPr>
          <w:bCs/>
        </w:rPr>
        <w:t xml:space="preserve">en los </w:t>
      </w:r>
      <w:r w:rsidR="007B6C6F" w:rsidRPr="007C15EB">
        <w:rPr>
          <w:bCs/>
        </w:rPr>
        <w:t>términos</w:t>
      </w:r>
      <w:r w:rsidR="00F17302" w:rsidRPr="007C15EB">
        <w:rPr>
          <w:bCs/>
        </w:rPr>
        <w:t xml:space="preserve"> </w:t>
      </w:r>
      <w:r w:rsidR="002F0032" w:rsidRPr="007C15EB">
        <w:rPr>
          <w:bCs/>
        </w:rPr>
        <w:t xml:space="preserve">similares </w:t>
      </w:r>
      <w:r w:rsidR="00F17302" w:rsidRPr="007C15EB">
        <w:rPr>
          <w:bCs/>
        </w:rPr>
        <w:t>siguientes</w:t>
      </w:r>
      <w:r w:rsidR="00E22EA8" w:rsidRPr="007C15EB">
        <w:rPr>
          <w:bCs/>
        </w:rPr>
        <w:t>:</w:t>
      </w:r>
    </w:p>
    <w:p w14:paraId="7628B30D" w14:textId="77777777" w:rsidR="00A432C7" w:rsidRPr="007C15EB" w:rsidRDefault="00A432C7" w:rsidP="00D7021E">
      <w:pPr>
        <w:spacing w:after="0" w:line="360" w:lineRule="auto"/>
        <w:rPr>
          <w:bCs/>
        </w:rPr>
      </w:pPr>
    </w:p>
    <w:p w14:paraId="6BEB1DA5" w14:textId="77777777" w:rsidR="00A432C7" w:rsidRPr="007C15EB" w:rsidRDefault="00A432C7" w:rsidP="00A432C7">
      <w:pPr>
        <w:spacing w:after="0" w:line="360" w:lineRule="auto"/>
        <w:ind w:left="567" w:right="567"/>
        <w:rPr>
          <w:i/>
          <w:iCs/>
          <w:color w:val="auto"/>
          <w:sz w:val="20"/>
          <w:szCs w:val="20"/>
        </w:rPr>
      </w:pPr>
      <w:r w:rsidRPr="007C15EB">
        <w:rPr>
          <w:b/>
          <w:bCs/>
          <w:i/>
          <w:iCs/>
          <w:color w:val="auto"/>
          <w:sz w:val="20"/>
          <w:szCs w:val="20"/>
        </w:rPr>
        <w:t>‘’ACTO IMPUGNADO</w:t>
      </w:r>
    </w:p>
    <w:p w14:paraId="35DD24F3" w14:textId="3E27A614" w:rsidR="00A432C7" w:rsidRPr="007C15EB" w:rsidRDefault="00285307" w:rsidP="00A432C7">
      <w:pPr>
        <w:spacing w:after="0" w:line="360" w:lineRule="auto"/>
        <w:ind w:left="567" w:right="567"/>
        <w:rPr>
          <w:i/>
          <w:iCs/>
          <w:color w:val="auto"/>
          <w:sz w:val="20"/>
          <w:szCs w:val="20"/>
        </w:rPr>
      </w:pPr>
      <w:r w:rsidRPr="007C15EB">
        <w:rPr>
          <w:i/>
          <w:iCs/>
          <w:color w:val="auto"/>
          <w:sz w:val="20"/>
          <w:szCs w:val="20"/>
        </w:rPr>
        <w:t>La información no corresponde a los documentos que solicité, el documento que remite es solo un listado.</w:t>
      </w:r>
      <w:r w:rsidR="00A432C7" w:rsidRPr="007C15EB">
        <w:rPr>
          <w:i/>
          <w:iCs/>
          <w:color w:val="auto"/>
          <w:sz w:val="20"/>
          <w:szCs w:val="20"/>
        </w:rPr>
        <w:t xml:space="preserve">” </w:t>
      </w:r>
    </w:p>
    <w:p w14:paraId="7FDF483A" w14:textId="77777777" w:rsidR="00A432C7" w:rsidRPr="007C15EB" w:rsidRDefault="00A432C7" w:rsidP="00A432C7">
      <w:pPr>
        <w:spacing w:after="0" w:line="360" w:lineRule="auto"/>
        <w:ind w:left="567" w:right="567"/>
        <w:rPr>
          <w:i/>
          <w:iCs/>
          <w:color w:val="auto"/>
          <w:sz w:val="20"/>
          <w:szCs w:val="20"/>
        </w:rPr>
      </w:pPr>
    </w:p>
    <w:p w14:paraId="33E2E3FD" w14:textId="77777777" w:rsidR="00A432C7" w:rsidRPr="007C15EB" w:rsidRDefault="00A432C7" w:rsidP="00A432C7">
      <w:pPr>
        <w:spacing w:after="0" w:line="360" w:lineRule="auto"/>
        <w:ind w:left="567" w:right="567"/>
        <w:rPr>
          <w:b/>
          <w:bCs/>
          <w:i/>
          <w:iCs/>
          <w:color w:val="auto"/>
          <w:sz w:val="20"/>
          <w:szCs w:val="20"/>
        </w:rPr>
      </w:pPr>
      <w:r w:rsidRPr="007C15EB">
        <w:rPr>
          <w:b/>
          <w:bCs/>
          <w:i/>
          <w:iCs/>
          <w:color w:val="auto"/>
          <w:sz w:val="20"/>
          <w:szCs w:val="20"/>
        </w:rPr>
        <w:t>‘’RAZONES O MOTIVOS DE LA INCONFORMIDAD</w:t>
      </w:r>
    </w:p>
    <w:p w14:paraId="1269F761" w14:textId="3B87C176" w:rsidR="00A432C7" w:rsidRPr="007C15EB" w:rsidRDefault="00285307" w:rsidP="00A432C7">
      <w:pPr>
        <w:spacing w:after="0" w:line="360" w:lineRule="auto"/>
        <w:ind w:left="567"/>
        <w:rPr>
          <w:bCs/>
        </w:rPr>
      </w:pPr>
      <w:r w:rsidRPr="007C15EB">
        <w:rPr>
          <w:i/>
          <w:iCs/>
          <w:color w:val="auto"/>
          <w:sz w:val="20"/>
          <w:szCs w:val="20"/>
        </w:rPr>
        <w:t xml:space="preserve">Se me </w:t>
      </w:r>
      <w:proofErr w:type="spellStart"/>
      <w:r w:rsidRPr="007C15EB">
        <w:rPr>
          <w:i/>
          <w:iCs/>
          <w:color w:val="auto"/>
          <w:sz w:val="20"/>
          <w:szCs w:val="20"/>
        </w:rPr>
        <w:t>nego</w:t>
      </w:r>
      <w:proofErr w:type="spellEnd"/>
      <w:r w:rsidRPr="007C15EB">
        <w:rPr>
          <w:i/>
          <w:iCs/>
          <w:color w:val="auto"/>
          <w:sz w:val="20"/>
          <w:szCs w:val="20"/>
        </w:rPr>
        <w:t xml:space="preserve"> la información, el documento que remite es solo un listado.</w:t>
      </w:r>
      <w:r w:rsidR="00A432C7" w:rsidRPr="007C15EB">
        <w:rPr>
          <w:i/>
          <w:iCs/>
          <w:color w:val="auto"/>
          <w:sz w:val="20"/>
          <w:szCs w:val="20"/>
        </w:rPr>
        <w:t xml:space="preserve">” </w:t>
      </w:r>
    </w:p>
    <w:p w14:paraId="626CCF4F" w14:textId="77777777" w:rsidR="00567CDC" w:rsidRPr="007C15EB" w:rsidRDefault="00567CDC" w:rsidP="00D7021E">
      <w:pPr>
        <w:spacing w:after="0" w:line="360" w:lineRule="auto"/>
        <w:ind w:right="567"/>
      </w:pPr>
    </w:p>
    <w:p w14:paraId="009DB65C" w14:textId="6BA06F75" w:rsidR="00E22EA8" w:rsidRPr="007C15EB" w:rsidRDefault="00D82B0B" w:rsidP="00D7021E">
      <w:pPr>
        <w:pStyle w:val="Ttulo2"/>
        <w:spacing w:before="0" w:after="0" w:line="360" w:lineRule="auto"/>
        <w:rPr>
          <w:sz w:val="22"/>
          <w:szCs w:val="22"/>
        </w:rPr>
      </w:pPr>
      <w:bookmarkStart w:id="4" w:name="_Toc234506067"/>
      <w:r w:rsidRPr="007C15EB">
        <w:rPr>
          <w:sz w:val="22"/>
          <w:szCs w:val="22"/>
        </w:rPr>
        <w:t>I</w:t>
      </w:r>
      <w:r w:rsidR="00E22EA8" w:rsidRPr="007C15EB">
        <w:rPr>
          <w:sz w:val="22"/>
          <w:szCs w:val="22"/>
        </w:rPr>
        <w:t>V. Trámite del Recurso de Revisión ante este Instituto</w:t>
      </w:r>
      <w:bookmarkEnd w:id="4"/>
    </w:p>
    <w:p w14:paraId="5C9B63F8" w14:textId="77777777" w:rsidR="009B2DAB" w:rsidRPr="007C15EB" w:rsidRDefault="009B2DAB" w:rsidP="00D7021E">
      <w:pPr>
        <w:spacing w:after="0" w:line="360" w:lineRule="auto"/>
        <w:rPr>
          <w:b/>
          <w:bCs/>
        </w:rPr>
      </w:pPr>
    </w:p>
    <w:p w14:paraId="173768ED" w14:textId="119CEEF6" w:rsidR="00E22EA8" w:rsidRPr="007C15EB" w:rsidRDefault="00E22EA8" w:rsidP="00D7021E">
      <w:pPr>
        <w:spacing w:after="0" w:line="360" w:lineRule="auto"/>
        <w:rPr>
          <w:bCs/>
        </w:rPr>
      </w:pPr>
      <w:r w:rsidRPr="007C15EB">
        <w:rPr>
          <w:b/>
          <w:bCs/>
        </w:rPr>
        <w:t>a) Turno del Medio de Impugnación.</w:t>
      </w:r>
      <w:r w:rsidR="000A706F" w:rsidRPr="007C15EB">
        <w:rPr>
          <w:bCs/>
        </w:rPr>
        <w:t xml:space="preserve"> </w:t>
      </w:r>
      <w:r w:rsidR="003C5F59" w:rsidRPr="007C15EB">
        <w:rPr>
          <w:bCs/>
        </w:rPr>
        <w:t xml:space="preserve">El </w:t>
      </w:r>
      <w:r w:rsidR="007250EF" w:rsidRPr="007C15EB">
        <w:t>veintiocho</w:t>
      </w:r>
      <w:r w:rsidR="0061218D" w:rsidRPr="007C15EB">
        <w:t xml:space="preserve"> de mayo</w:t>
      </w:r>
      <w:r w:rsidR="007F6078" w:rsidRPr="007C15EB">
        <w:t xml:space="preserve"> </w:t>
      </w:r>
      <w:r w:rsidR="007C1570" w:rsidRPr="007C15EB">
        <w:t>de dos mil veintiséis</w:t>
      </w:r>
      <w:r w:rsidRPr="007C15EB">
        <w:rPr>
          <w:bCs/>
        </w:rPr>
        <w:t xml:space="preserve">, el </w:t>
      </w:r>
      <w:r w:rsidRPr="007C15EB">
        <w:t>Sistema de Acceso a la Información Mexiquense (SAIMEX),</w:t>
      </w:r>
      <w:r w:rsidR="007E1810" w:rsidRPr="007C15EB">
        <w:rPr>
          <w:bCs/>
        </w:rPr>
        <w:t xml:space="preserve"> asignó el</w:t>
      </w:r>
      <w:r w:rsidRPr="007C15EB">
        <w:rPr>
          <w:bCs/>
        </w:rPr>
        <w:t xml:space="preserve"> número de expediente</w:t>
      </w:r>
      <w:r w:rsidR="007E1810" w:rsidRPr="007C15EB">
        <w:rPr>
          <w:rFonts w:cs="Tahoma"/>
          <w:color w:val="0D0D0D" w:themeColor="text1" w:themeTint="F2"/>
        </w:rPr>
        <w:t xml:space="preserve"> 0</w:t>
      </w:r>
      <w:r w:rsidR="007250EF" w:rsidRPr="007C15EB">
        <w:rPr>
          <w:rFonts w:cs="Tahoma"/>
          <w:color w:val="0D0D0D" w:themeColor="text1" w:themeTint="F2"/>
        </w:rPr>
        <w:t>5651</w:t>
      </w:r>
      <w:r w:rsidR="007E1810" w:rsidRPr="007C15EB">
        <w:rPr>
          <w:rFonts w:cs="Tahoma"/>
          <w:color w:val="0D0D0D" w:themeColor="text1" w:themeTint="F2"/>
        </w:rPr>
        <w:t>/INFOEM/IP/RR/2026</w:t>
      </w:r>
      <w:r w:rsidR="000029FE" w:rsidRPr="007C15EB">
        <w:rPr>
          <w:rFonts w:cs="Tahoma"/>
          <w:color w:val="0D0D0D" w:themeColor="text1" w:themeTint="F2"/>
        </w:rPr>
        <w:t xml:space="preserve"> y 0</w:t>
      </w:r>
      <w:r w:rsidR="007250EF" w:rsidRPr="007C15EB">
        <w:rPr>
          <w:rFonts w:cs="Tahoma"/>
          <w:color w:val="0D0D0D" w:themeColor="text1" w:themeTint="F2"/>
        </w:rPr>
        <w:t>5652</w:t>
      </w:r>
      <w:r w:rsidR="000029FE" w:rsidRPr="007C15EB">
        <w:rPr>
          <w:rFonts w:cs="Tahoma"/>
          <w:color w:val="0D0D0D" w:themeColor="text1" w:themeTint="F2"/>
        </w:rPr>
        <w:t>/INFOEM/IP/RR/2026</w:t>
      </w:r>
      <w:r w:rsidRPr="007C15EB">
        <w:rPr>
          <w:bCs/>
        </w:rPr>
        <w:t xml:space="preserve">, al medio de impugnación que nos ocupa, con base en el sistema aprobado por el Pleno de este </w:t>
      </w:r>
      <w:r w:rsidR="00B65BCA" w:rsidRPr="007C15EB">
        <w:rPr>
          <w:bCs/>
        </w:rPr>
        <w:t>Organismo</w:t>
      </w:r>
      <w:r w:rsidR="007E1810" w:rsidRPr="007C15EB">
        <w:rPr>
          <w:bCs/>
        </w:rPr>
        <w:t xml:space="preserve"> Garante y lo</w:t>
      </w:r>
      <w:r w:rsidR="000029FE" w:rsidRPr="007C15EB">
        <w:rPr>
          <w:bCs/>
        </w:rPr>
        <w:t>s</w:t>
      </w:r>
      <w:r w:rsidR="00692028" w:rsidRPr="007C15EB">
        <w:rPr>
          <w:bCs/>
        </w:rPr>
        <w:t xml:space="preserve"> turnó a</w:t>
      </w:r>
      <w:r w:rsidR="000029FE" w:rsidRPr="007C15EB">
        <w:rPr>
          <w:bCs/>
        </w:rPr>
        <w:t xml:space="preserve"> los</w:t>
      </w:r>
      <w:r w:rsidRPr="007C15EB">
        <w:rPr>
          <w:bCs/>
        </w:rPr>
        <w:t xml:space="preserve"> Comisionado</w:t>
      </w:r>
      <w:r w:rsidR="000029FE" w:rsidRPr="007C15EB">
        <w:rPr>
          <w:bCs/>
        </w:rPr>
        <w:t>s</w:t>
      </w:r>
      <w:r w:rsidRPr="007C15EB">
        <w:rPr>
          <w:bCs/>
        </w:rPr>
        <w:t xml:space="preserve"> Ponente</w:t>
      </w:r>
      <w:r w:rsidR="000029FE" w:rsidRPr="007C15EB">
        <w:rPr>
          <w:bCs/>
        </w:rPr>
        <w:t>s Sharon Cristina Morales Martínez y</w:t>
      </w:r>
      <w:r w:rsidR="006D2EC5" w:rsidRPr="007C15EB">
        <w:rPr>
          <w:bCs/>
        </w:rPr>
        <w:t xml:space="preserve"> </w:t>
      </w:r>
      <w:r w:rsidRPr="007C15EB">
        <w:rPr>
          <w:bCs/>
        </w:rPr>
        <w:t>Luis Gustavo Parra Noriega, para los efectos del artículo 185, fracción I de la Ley de Transparencia y Acceso a la Información Pública del Estado de México y Municipios.</w:t>
      </w:r>
    </w:p>
    <w:p w14:paraId="59FB24F3" w14:textId="77777777" w:rsidR="005914EE" w:rsidRPr="007C15EB" w:rsidRDefault="005914EE" w:rsidP="00D7021E">
      <w:pPr>
        <w:spacing w:after="0" w:line="360" w:lineRule="auto"/>
        <w:rPr>
          <w:b/>
          <w:bCs/>
        </w:rPr>
      </w:pPr>
    </w:p>
    <w:p w14:paraId="61891480" w14:textId="35FBF8CD" w:rsidR="00E22EA8" w:rsidRPr="007C15EB" w:rsidRDefault="00E22EA8" w:rsidP="00D7021E">
      <w:pPr>
        <w:spacing w:after="0" w:line="360" w:lineRule="auto"/>
      </w:pPr>
      <w:r w:rsidRPr="007C15EB">
        <w:rPr>
          <w:b/>
          <w:bCs/>
        </w:rPr>
        <w:t xml:space="preserve">b) Admisión del Recurso de Revisión. </w:t>
      </w:r>
      <w:r w:rsidR="003C5F59" w:rsidRPr="007C15EB">
        <w:t xml:space="preserve">El </w:t>
      </w:r>
      <w:r w:rsidR="000E4F94" w:rsidRPr="007C15EB">
        <w:t xml:space="preserve">primero y </w:t>
      </w:r>
      <w:r w:rsidR="007250EF" w:rsidRPr="007C15EB">
        <w:t>dos de junio</w:t>
      </w:r>
      <w:r w:rsidR="007F6078" w:rsidRPr="007C15EB">
        <w:t xml:space="preserve"> </w:t>
      </w:r>
      <w:r w:rsidR="00692028" w:rsidRPr="007C15EB">
        <w:t>de dos mil veintiséis</w:t>
      </w:r>
      <w:r w:rsidRPr="007C15EB">
        <w:rPr>
          <w:bCs/>
        </w:rPr>
        <w:t>, se acordó la admisión de</w:t>
      </w:r>
      <w:r w:rsidR="000029FE" w:rsidRPr="007C15EB">
        <w:rPr>
          <w:bCs/>
        </w:rPr>
        <w:t xml:space="preserve"> los R</w:t>
      </w:r>
      <w:r w:rsidRPr="007C15EB">
        <w:rPr>
          <w:bCs/>
        </w:rPr>
        <w:t>ecurso</w:t>
      </w:r>
      <w:r w:rsidR="000029FE" w:rsidRPr="007C15EB">
        <w:rPr>
          <w:bCs/>
        </w:rPr>
        <w:t>s</w:t>
      </w:r>
      <w:r w:rsidRPr="007C15EB">
        <w:rPr>
          <w:bCs/>
        </w:rPr>
        <w:t xml:space="preserve"> de Revisión interpuesto</w:t>
      </w:r>
      <w:r w:rsidR="000029FE" w:rsidRPr="007C15EB">
        <w:rPr>
          <w:bCs/>
        </w:rPr>
        <w:t>s</w:t>
      </w:r>
      <w:r w:rsidRPr="007C15EB">
        <w:rPr>
          <w:bCs/>
        </w:rPr>
        <w:t xml:space="preserve"> por </w:t>
      </w:r>
      <w:r w:rsidR="00261B92" w:rsidRPr="007C15EB">
        <w:rPr>
          <w:bCs/>
        </w:rPr>
        <w:t>la persona</w:t>
      </w:r>
      <w:r w:rsidRPr="007C15EB">
        <w:rPr>
          <w:bCs/>
        </w:rPr>
        <w:t xml:space="preserve"> Recurrente en contra del Sujeto Obligado, en términos del artículo 185, fracciones I y II de la Ley de Transparencia y Acceso a la Información Pública del Estado de México y Municipios, el cual fue notificado a las partes</w:t>
      </w:r>
      <w:r w:rsidR="00DA135E" w:rsidRPr="007C15EB">
        <w:rPr>
          <w:bCs/>
        </w:rPr>
        <w:t xml:space="preserve"> los</w:t>
      </w:r>
      <w:r w:rsidR="0010587F" w:rsidRPr="007C15EB">
        <w:rPr>
          <w:bCs/>
        </w:rPr>
        <w:t xml:space="preserve"> mismo</w:t>
      </w:r>
      <w:r w:rsidR="00DA135E" w:rsidRPr="007C15EB">
        <w:rPr>
          <w:bCs/>
        </w:rPr>
        <w:t>s</w:t>
      </w:r>
      <w:r w:rsidR="0010587F" w:rsidRPr="007C15EB">
        <w:rPr>
          <w:bCs/>
        </w:rPr>
        <w:t xml:space="preserve"> día</w:t>
      </w:r>
      <w:r w:rsidR="00DA135E" w:rsidRPr="007C15EB">
        <w:rPr>
          <w:bCs/>
        </w:rPr>
        <w:t>s</w:t>
      </w:r>
      <w:r w:rsidRPr="007C15EB">
        <w:rPr>
          <w:bCs/>
        </w:rPr>
        <w:t>, a través del Sistema de Acceso a la Información Mexiquense (SAIMEX), en el que se les otorgó un plazo de siete días hábiles posteriores a la misma, para que manifestaran lo que a su derecho conviniera y formularan alegatos.</w:t>
      </w:r>
    </w:p>
    <w:p w14:paraId="07DA89A0" w14:textId="77777777" w:rsidR="00E22EA8" w:rsidRPr="007C15EB" w:rsidRDefault="00E22EA8" w:rsidP="00D7021E">
      <w:pPr>
        <w:spacing w:after="0" w:line="360" w:lineRule="auto"/>
        <w:rPr>
          <w:rFonts w:cs="Tahoma"/>
        </w:rPr>
      </w:pPr>
    </w:p>
    <w:p w14:paraId="10E35460" w14:textId="63CE714D" w:rsidR="00E163C9" w:rsidRPr="007C15EB" w:rsidRDefault="000410E6" w:rsidP="00D05F88">
      <w:pPr>
        <w:spacing w:after="0" w:line="360" w:lineRule="auto"/>
      </w:pPr>
      <w:r w:rsidRPr="007C15EB">
        <w:rPr>
          <w:b/>
        </w:rPr>
        <w:t>c) Informe Justificado</w:t>
      </w:r>
      <w:r w:rsidR="00893D68" w:rsidRPr="007C15EB">
        <w:rPr>
          <w:b/>
        </w:rPr>
        <w:t xml:space="preserve">. </w:t>
      </w:r>
      <w:r w:rsidR="00893D68" w:rsidRPr="007C15EB">
        <w:rPr>
          <w:bCs/>
        </w:rPr>
        <w:t>El</w:t>
      </w:r>
      <w:r w:rsidR="00193A16" w:rsidRPr="007C15EB">
        <w:rPr>
          <w:bCs/>
        </w:rPr>
        <w:t xml:space="preserve"> </w:t>
      </w:r>
      <w:r w:rsidR="00DB3C33" w:rsidRPr="007C15EB">
        <w:rPr>
          <w:bCs/>
        </w:rPr>
        <w:t>quince de junio</w:t>
      </w:r>
      <w:r w:rsidR="007E1810" w:rsidRPr="007C15EB">
        <w:rPr>
          <w:bCs/>
        </w:rPr>
        <w:t xml:space="preserve"> </w:t>
      </w:r>
      <w:r w:rsidR="00692028" w:rsidRPr="007C15EB">
        <w:rPr>
          <w:bCs/>
        </w:rPr>
        <w:t>de dos mil veintiséis</w:t>
      </w:r>
      <w:r w:rsidR="00893D68" w:rsidRPr="007C15EB">
        <w:rPr>
          <w:bCs/>
        </w:rPr>
        <w:t xml:space="preserve">, </w:t>
      </w:r>
      <w:r w:rsidR="00893D68" w:rsidRPr="007C15EB">
        <w:t>se recibió, a través del Sistema de Acceso a la Información Mexiquense (SAIMEX), el Informe Justificado del Sujeto Obligado, a través de</w:t>
      </w:r>
      <w:r w:rsidR="00E163C9" w:rsidRPr="007C15EB">
        <w:t xml:space="preserve"> los documentos siguientes:</w:t>
      </w:r>
    </w:p>
    <w:p w14:paraId="3FC764AB" w14:textId="77777777" w:rsidR="00E163C9" w:rsidRPr="007C15EB" w:rsidRDefault="00E163C9" w:rsidP="00D05F88">
      <w:pPr>
        <w:spacing w:after="0" w:line="360" w:lineRule="auto"/>
      </w:pPr>
    </w:p>
    <w:tbl>
      <w:tblPr>
        <w:tblStyle w:val="Tablaconcuadrcula"/>
        <w:tblW w:w="0" w:type="auto"/>
        <w:tblLook w:val="04A0" w:firstRow="1" w:lastRow="0" w:firstColumn="1" w:lastColumn="0" w:noHBand="0" w:noVBand="1"/>
      </w:tblPr>
      <w:tblGrid>
        <w:gridCol w:w="2691"/>
        <w:gridCol w:w="6230"/>
      </w:tblGrid>
      <w:tr w:rsidR="00E163C9" w:rsidRPr="007C15EB" w14:paraId="4BF5D755" w14:textId="77777777" w:rsidTr="003E6F5C">
        <w:tc>
          <w:tcPr>
            <w:tcW w:w="2691" w:type="dxa"/>
            <w:shd w:val="clear" w:color="auto" w:fill="DDD9C3" w:themeFill="background2" w:themeFillShade="E6"/>
          </w:tcPr>
          <w:p w14:paraId="30965A07" w14:textId="77777777" w:rsidR="00E163C9" w:rsidRPr="007C15EB" w:rsidRDefault="00E163C9" w:rsidP="003E6F5C">
            <w:pPr>
              <w:spacing w:line="360" w:lineRule="auto"/>
              <w:jc w:val="center"/>
              <w:rPr>
                <w:b/>
              </w:rPr>
            </w:pPr>
            <w:r w:rsidRPr="007C15EB">
              <w:rPr>
                <w:b/>
              </w:rPr>
              <w:t>Recurso de Revisión</w:t>
            </w:r>
          </w:p>
        </w:tc>
        <w:tc>
          <w:tcPr>
            <w:tcW w:w="6230" w:type="dxa"/>
            <w:shd w:val="clear" w:color="auto" w:fill="DDD9C3" w:themeFill="background2" w:themeFillShade="E6"/>
          </w:tcPr>
          <w:p w14:paraId="13089982" w14:textId="77777777" w:rsidR="00E163C9" w:rsidRPr="007C15EB" w:rsidRDefault="00E163C9" w:rsidP="003E6F5C">
            <w:pPr>
              <w:spacing w:line="360" w:lineRule="auto"/>
              <w:jc w:val="center"/>
              <w:rPr>
                <w:b/>
              </w:rPr>
            </w:pPr>
            <w:r w:rsidRPr="007C15EB">
              <w:rPr>
                <w:b/>
              </w:rPr>
              <w:t>Informe Justificado</w:t>
            </w:r>
          </w:p>
        </w:tc>
      </w:tr>
      <w:tr w:rsidR="00E163C9" w:rsidRPr="007C15EB" w14:paraId="1CF4EDC1" w14:textId="77777777" w:rsidTr="003E6F5C">
        <w:tc>
          <w:tcPr>
            <w:tcW w:w="2691" w:type="dxa"/>
          </w:tcPr>
          <w:p w14:paraId="3152C02E" w14:textId="619D27C1" w:rsidR="00E163C9" w:rsidRPr="007C15EB" w:rsidRDefault="00E163C9" w:rsidP="003E6F5C">
            <w:pPr>
              <w:spacing w:line="360" w:lineRule="auto"/>
              <w:rPr>
                <w:b/>
                <w:i/>
                <w:sz w:val="20"/>
              </w:rPr>
            </w:pPr>
            <w:r w:rsidRPr="007C15EB">
              <w:rPr>
                <w:b/>
                <w:i/>
                <w:sz w:val="20"/>
              </w:rPr>
              <w:t>0</w:t>
            </w:r>
            <w:r w:rsidR="00DB3C33" w:rsidRPr="007C15EB">
              <w:rPr>
                <w:b/>
                <w:i/>
                <w:sz w:val="20"/>
              </w:rPr>
              <w:t>5651</w:t>
            </w:r>
            <w:r w:rsidRPr="007C15EB">
              <w:rPr>
                <w:b/>
                <w:i/>
                <w:sz w:val="20"/>
              </w:rPr>
              <w:t>/INFOEM/IP/RR/2026</w:t>
            </w:r>
          </w:p>
        </w:tc>
        <w:tc>
          <w:tcPr>
            <w:tcW w:w="6230" w:type="dxa"/>
          </w:tcPr>
          <w:p w14:paraId="09F2357F" w14:textId="5B794931" w:rsidR="00AB17BE" w:rsidRPr="007C15EB" w:rsidRDefault="00E163C9" w:rsidP="003E6F5C">
            <w:pPr>
              <w:spacing w:line="360" w:lineRule="auto"/>
              <w:rPr>
                <w:sz w:val="20"/>
              </w:rPr>
            </w:pPr>
            <w:r w:rsidRPr="007C15EB">
              <w:rPr>
                <w:sz w:val="20"/>
              </w:rPr>
              <w:t xml:space="preserve">i. </w:t>
            </w:r>
            <w:r w:rsidR="00AB17BE" w:rsidRPr="007C15EB">
              <w:rPr>
                <w:sz w:val="20"/>
              </w:rPr>
              <w:t>Ofic</w:t>
            </w:r>
            <w:r w:rsidR="00D32FA5" w:rsidRPr="007C15EB">
              <w:rPr>
                <w:sz w:val="20"/>
              </w:rPr>
              <w:t xml:space="preserve">io número DDUYM/607/2026, del doce de junio de dos mil veintiséis, suscrito por el Director de Desarrollo Urbano y </w:t>
            </w:r>
            <w:r w:rsidR="00D32FA5" w:rsidRPr="007C15EB">
              <w:rPr>
                <w:sz w:val="20"/>
              </w:rPr>
              <w:lastRenderedPageBreak/>
              <w:t>Metropolitano y dirigido al Titular de la Unidad de Transparencia, por medio del cual mencionó lo siguiente:</w:t>
            </w:r>
          </w:p>
          <w:p w14:paraId="56F9BFDB" w14:textId="77777777" w:rsidR="00D32FA5" w:rsidRPr="007C15EB" w:rsidRDefault="00D32FA5" w:rsidP="003E6F5C">
            <w:pPr>
              <w:spacing w:line="360" w:lineRule="auto"/>
              <w:rPr>
                <w:sz w:val="20"/>
              </w:rPr>
            </w:pPr>
          </w:p>
          <w:p w14:paraId="531E8B30" w14:textId="736B1C39" w:rsidR="00D32FA5" w:rsidRPr="007C15EB" w:rsidRDefault="00D32FA5" w:rsidP="00D32FA5">
            <w:pPr>
              <w:spacing w:line="360" w:lineRule="auto"/>
              <w:rPr>
                <w:i/>
                <w:sz w:val="20"/>
              </w:rPr>
            </w:pPr>
            <w:r w:rsidRPr="007C15EB">
              <w:rPr>
                <w:i/>
                <w:sz w:val="20"/>
              </w:rPr>
              <w:t>“…Derivado de la revisión de la documentación localizada se advierte que las cédulas de zonificación y licencias de uso de suelo contienen datos personales de particulares, tales como nombres, domicilios, firmas autógrafas, claves de identificación y demás información que permite identificar o hacer identificable a una persona física.</w:t>
            </w:r>
          </w:p>
          <w:p w14:paraId="6F26AE37" w14:textId="77777777" w:rsidR="00D32FA5" w:rsidRPr="007C15EB" w:rsidRDefault="00D32FA5" w:rsidP="00D32FA5">
            <w:pPr>
              <w:spacing w:line="360" w:lineRule="auto"/>
              <w:rPr>
                <w:i/>
                <w:sz w:val="20"/>
              </w:rPr>
            </w:pPr>
          </w:p>
          <w:p w14:paraId="07A309FE" w14:textId="37E53D5C" w:rsidR="00D32FA5" w:rsidRPr="007C15EB" w:rsidRDefault="00D32FA5" w:rsidP="00D32FA5">
            <w:pPr>
              <w:spacing w:line="360" w:lineRule="auto"/>
              <w:rPr>
                <w:i/>
                <w:sz w:val="20"/>
              </w:rPr>
            </w:pPr>
            <w:r w:rsidRPr="007C15EB">
              <w:rPr>
                <w:i/>
                <w:sz w:val="20"/>
              </w:rPr>
              <w:t>En ese sentido, esta Dirección considera procedente que la documentación sea puesta a consideración del Comité de Transparencia para la elaboración de las versiones públicas correspondientes…</w:t>
            </w:r>
          </w:p>
          <w:p w14:paraId="706FBD7F" w14:textId="77777777" w:rsidR="00D32FA5" w:rsidRPr="007C15EB" w:rsidRDefault="00D32FA5" w:rsidP="00D32FA5">
            <w:pPr>
              <w:spacing w:line="360" w:lineRule="auto"/>
              <w:rPr>
                <w:i/>
                <w:sz w:val="20"/>
              </w:rPr>
            </w:pPr>
          </w:p>
          <w:p w14:paraId="09C5B17E" w14:textId="3402250E" w:rsidR="00D32FA5" w:rsidRPr="007C15EB" w:rsidRDefault="00D32FA5" w:rsidP="00D32FA5">
            <w:pPr>
              <w:spacing w:line="360" w:lineRule="auto"/>
              <w:rPr>
                <w:i/>
                <w:sz w:val="20"/>
              </w:rPr>
            </w:pPr>
            <w:r w:rsidRPr="007C15EB">
              <w:rPr>
                <w:i/>
                <w:sz w:val="20"/>
              </w:rPr>
              <w:t>En virtud de lo anterior, se remite la documentación en formato PDF, grabado en cd correspondiente a la Unidad de Transparencia para que, en el ámbito de sus atribuciones, la someta a consideración del Comité de Transparencia como a continuación se detalla:</w:t>
            </w:r>
          </w:p>
          <w:p w14:paraId="7879DBD1" w14:textId="77777777" w:rsidR="00B412E8" w:rsidRPr="007C15EB" w:rsidRDefault="00B412E8" w:rsidP="00D32FA5">
            <w:pPr>
              <w:spacing w:line="360" w:lineRule="auto"/>
              <w:rPr>
                <w:i/>
                <w:sz w:val="20"/>
              </w:rPr>
            </w:pPr>
          </w:p>
          <w:p w14:paraId="75F2EC4A" w14:textId="0D574E92" w:rsidR="00B412E8" w:rsidRPr="007C15EB" w:rsidRDefault="00B412E8" w:rsidP="00D32FA5">
            <w:pPr>
              <w:spacing w:line="360" w:lineRule="auto"/>
              <w:rPr>
                <w:i/>
                <w:sz w:val="20"/>
              </w:rPr>
            </w:pPr>
            <w:r w:rsidRPr="007C15EB">
              <w:rPr>
                <w:i/>
                <w:noProof/>
                <w:sz w:val="20"/>
              </w:rPr>
              <w:drawing>
                <wp:inline distT="0" distB="0" distL="0" distR="0" wp14:anchorId="696DF753" wp14:editId="098402FB">
                  <wp:extent cx="3686175" cy="1354997"/>
                  <wp:effectExtent l="0" t="0" r="0" b="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0544C10.tmp"/>
                          <pic:cNvPicPr/>
                        </pic:nvPicPr>
                        <pic:blipFill>
                          <a:blip r:embed="rId9">
                            <a:extLst>
                              <a:ext uri="{28A0092B-C50C-407E-A947-70E740481C1C}">
                                <a14:useLocalDpi xmlns:a14="http://schemas.microsoft.com/office/drawing/2010/main" val="0"/>
                              </a:ext>
                            </a:extLst>
                          </a:blip>
                          <a:stretch>
                            <a:fillRect/>
                          </a:stretch>
                        </pic:blipFill>
                        <pic:spPr>
                          <a:xfrm>
                            <a:off x="0" y="0"/>
                            <a:ext cx="3716743" cy="1366233"/>
                          </a:xfrm>
                          <a:prstGeom prst="rect">
                            <a:avLst/>
                          </a:prstGeom>
                        </pic:spPr>
                      </pic:pic>
                    </a:graphicData>
                  </a:graphic>
                </wp:inline>
              </w:drawing>
            </w:r>
          </w:p>
          <w:p w14:paraId="2BE9DFA5" w14:textId="69EAEC12" w:rsidR="00AB17BE" w:rsidRPr="007C15EB" w:rsidRDefault="00B412E8" w:rsidP="003E6F5C">
            <w:pPr>
              <w:spacing w:line="360" w:lineRule="auto"/>
              <w:rPr>
                <w:i/>
                <w:sz w:val="20"/>
              </w:rPr>
            </w:pPr>
            <w:r w:rsidRPr="007C15EB">
              <w:rPr>
                <w:i/>
                <w:sz w:val="20"/>
              </w:rPr>
              <w:t>…”</w:t>
            </w:r>
          </w:p>
          <w:p w14:paraId="746F5809" w14:textId="77777777" w:rsidR="00B412E8" w:rsidRPr="007C15EB" w:rsidRDefault="00B412E8" w:rsidP="003E6F5C">
            <w:pPr>
              <w:spacing w:line="360" w:lineRule="auto"/>
              <w:rPr>
                <w:sz w:val="20"/>
              </w:rPr>
            </w:pPr>
          </w:p>
          <w:p w14:paraId="567F7142" w14:textId="6DF9E7E2" w:rsidR="00E163C9" w:rsidRPr="007C15EB" w:rsidRDefault="00AB17BE" w:rsidP="003E6F5C">
            <w:pPr>
              <w:spacing w:line="360" w:lineRule="auto"/>
              <w:rPr>
                <w:sz w:val="20"/>
              </w:rPr>
            </w:pPr>
            <w:r w:rsidRPr="007C15EB">
              <w:rPr>
                <w:sz w:val="20"/>
              </w:rPr>
              <w:t>ii.</w:t>
            </w:r>
            <w:r w:rsidR="00FA3C03" w:rsidRPr="007C15EB">
              <w:rPr>
                <w:sz w:val="20"/>
              </w:rPr>
              <w:t xml:space="preserve"> </w:t>
            </w:r>
            <w:r w:rsidR="00E04120" w:rsidRPr="007C15EB">
              <w:rPr>
                <w:sz w:val="20"/>
              </w:rPr>
              <w:t>Acta de la Cuadragésima Sesión Ordinaria del Comité de Transparencia</w:t>
            </w:r>
            <w:r w:rsidR="00B412E8" w:rsidRPr="007C15EB">
              <w:rPr>
                <w:sz w:val="20"/>
              </w:rPr>
              <w:t>.</w:t>
            </w:r>
          </w:p>
          <w:p w14:paraId="7228C7D1" w14:textId="77777777" w:rsidR="00B412E8" w:rsidRPr="007C15EB" w:rsidRDefault="00B412E8" w:rsidP="003E6F5C">
            <w:pPr>
              <w:spacing w:line="360" w:lineRule="auto"/>
              <w:rPr>
                <w:sz w:val="20"/>
              </w:rPr>
            </w:pPr>
          </w:p>
          <w:p w14:paraId="1253DD63" w14:textId="5C5F5E3B" w:rsidR="00B412E8" w:rsidRPr="007C15EB" w:rsidRDefault="00C76B46" w:rsidP="00C76B46">
            <w:pPr>
              <w:spacing w:line="360" w:lineRule="auto"/>
              <w:rPr>
                <w:sz w:val="20"/>
              </w:rPr>
            </w:pPr>
            <w:r w:rsidRPr="007C15EB">
              <w:rPr>
                <w:sz w:val="20"/>
              </w:rPr>
              <w:lastRenderedPageBreak/>
              <w:t>iii. Cuatrocientos cuarenta hojas que contienen las Licencias de Uso de Suelo del ejercicio fiscal dos mil veinticinco y del primero de enero al veintiocho de abril de dos mil veintiséis, sin embargo, no se dieron a la vista porque al dar clic se visualizan los datos testados.</w:t>
            </w:r>
          </w:p>
          <w:p w14:paraId="3660E0E7" w14:textId="77777777" w:rsidR="00C76B46" w:rsidRPr="007C15EB" w:rsidRDefault="00C76B46" w:rsidP="00C76B46">
            <w:pPr>
              <w:spacing w:line="360" w:lineRule="auto"/>
              <w:rPr>
                <w:sz w:val="20"/>
              </w:rPr>
            </w:pPr>
          </w:p>
          <w:p w14:paraId="20349997" w14:textId="3FFFDC31" w:rsidR="00C76B46" w:rsidRPr="007C15EB" w:rsidRDefault="00C76B46" w:rsidP="00C76B46">
            <w:pPr>
              <w:spacing w:line="360" w:lineRule="auto"/>
              <w:rPr>
                <w:sz w:val="20"/>
              </w:rPr>
            </w:pPr>
            <w:r w:rsidRPr="007C15EB">
              <w:rPr>
                <w:sz w:val="20"/>
              </w:rPr>
              <w:t>iv. Cuatrocientos cuarenta y siete hojas que contienen las Cédulas Informativas de Zonificación, del ejercicio fiscal dos mil veinticinco y del primero de enero al veintiocho de abril de dos mil veintiséis, sin embargo, no se dieron a la vista porque al dar clic se visualizan los datos testados.</w:t>
            </w:r>
          </w:p>
        </w:tc>
      </w:tr>
      <w:tr w:rsidR="00E163C9" w:rsidRPr="007C15EB" w14:paraId="0CE03111" w14:textId="77777777" w:rsidTr="003E6F5C">
        <w:tc>
          <w:tcPr>
            <w:tcW w:w="2691" w:type="dxa"/>
          </w:tcPr>
          <w:p w14:paraId="7B51CBEB" w14:textId="77152A50" w:rsidR="00E163C9" w:rsidRPr="007C15EB" w:rsidRDefault="00E163C9" w:rsidP="003E6F5C">
            <w:pPr>
              <w:spacing w:line="360" w:lineRule="auto"/>
              <w:rPr>
                <w:b/>
                <w:i/>
                <w:sz w:val="20"/>
              </w:rPr>
            </w:pPr>
            <w:r w:rsidRPr="007C15EB">
              <w:rPr>
                <w:b/>
                <w:i/>
                <w:sz w:val="20"/>
              </w:rPr>
              <w:lastRenderedPageBreak/>
              <w:t>0</w:t>
            </w:r>
            <w:r w:rsidR="00DB3C33" w:rsidRPr="007C15EB">
              <w:rPr>
                <w:b/>
                <w:i/>
                <w:sz w:val="20"/>
              </w:rPr>
              <w:t>5652</w:t>
            </w:r>
            <w:r w:rsidRPr="007C15EB">
              <w:rPr>
                <w:b/>
                <w:i/>
                <w:sz w:val="20"/>
              </w:rPr>
              <w:t>/INFOEM/IP/RR/2026</w:t>
            </w:r>
          </w:p>
        </w:tc>
        <w:tc>
          <w:tcPr>
            <w:tcW w:w="6230" w:type="dxa"/>
          </w:tcPr>
          <w:p w14:paraId="7A3E7129" w14:textId="606C166D" w:rsidR="003E6F5C" w:rsidRPr="007C15EB" w:rsidRDefault="003E6F5C" w:rsidP="003E6F5C">
            <w:pPr>
              <w:spacing w:line="360" w:lineRule="auto"/>
              <w:rPr>
                <w:sz w:val="20"/>
              </w:rPr>
            </w:pPr>
            <w:r w:rsidRPr="007C15EB">
              <w:rPr>
                <w:sz w:val="20"/>
              </w:rPr>
              <w:t>i. Oficio número DDUYM/607/2026, del doce de junio de dos mil veintiséis, suscrito por el Director de Desarrollo Urbano y Metropolitano y dirigido al Titular de la Unidad de Transparencia, por medio del cual mencionó lo siguiente:</w:t>
            </w:r>
          </w:p>
          <w:p w14:paraId="507F9CEB" w14:textId="77777777" w:rsidR="00A438FF" w:rsidRPr="007C15EB" w:rsidRDefault="00A438FF" w:rsidP="003E6F5C">
            <w:pPr>
              <w:spacing w:line="360" w:lineRule="auto"/>
              <w:rPr>
                <w:sz w:val="20"/>
              </w:rPr>
            </w:pPr>
          </w:p>
          <w:p w14:paraId="3270CF7A" w14:textId="77777777" w:rsidR="00A438FF" w:rsidRPr="007C15EB" w:rsidRDefault="00A438FF" w:rsidP="00A438FF">
            <w:pPr>
              <w:spacing w:line="360" w:lineRule="auto"/>
              <w:rPr>
                <w:i/>
                <w:sz w:val="20"/>
              </w:rPr>
            </w:pPr>
            <w:r w:rsidRPr="007C15EB">
              <w:rPr>
                <w:i/>
                <w:sz w:val="20"/>
              </w:rPr>
              <w:t>“…Derivado de la revisión de la documentación localizada se advierte que las cédulas de zonificación y licencias de uso de suelo contienen datos personales de particulares, tales como nombres, domicilios, firmas autógrafas, claves de identificación y demás información que permite identificar o hacer identificable a una persona física.</w:t>
            </w:r>
          </w:p>
          <w:p w14:paraId="2CD45503" w14:textId="77777777" w:rsidR="00A438FF" w:rsidRPr="007C15EB" w:rsidRDefault="00A438FF" w:rsidP="00A438FF">
            <w:pPr>
              <w:spacing w:line="360" w:lineRule="auto"/>
              <w:rPr>
                <w:i/>
                <w:sz w:val="20"/>
              </w:rPr>
            </w:pPr>
          </w:p>
          <w:p w14:paraId="68CE17D3" w14:textId="77777777" w:rsidR="00A438FF" w:rsidRPr="007C15EB" w:rsidRDefault="00A438FF" w:rsidP="00A438FF">
            <w:pPr>
              <w:spacing w:line="360" w:lineRule="auto"/>
              <w:rPr>
                <w:i/>
                <w:sz w:val="20"/>
              </w:rPr>
            </w:pPr>
            <w:r w:rsidRPr="007C15EB">
              <w:rPr>
                <w:i/>
                <w:sz w:val="20"/>
              </w:rPr>
              <w:t>En ese sentido, esta Dirección considera procedente que la documentación sea puesta a consideración del Comité de Transparencia para la elaboración de las versiones públicas correspondientes…</w:t>
            </w:r>
          </w:p>
          <w:p w14:paraId="4574DB49" w14:textId="77777777" w:rsidR="00A438FF" w:rsidRPr="007C15EB" w:rsidRDefault="00A438FF" w:rsidP="00A438FF">
            <w:pPr>
              <w:spacing w:line="360" w:lineRule="auto"/>
              <w:rPr>
                <w:i/>
                <w:sz w:val="20"/>
              </w:rPr>
            </w:pPr>
          </w:p>
          <w:p w14:paraId="2F0D4CFF" w14:textId="77777777" w:rsidR="00A438FF" w:rsidRPr="007C15EB" w:rsidRDefault="00A438FF" w:rsidP="00A438FF">
            <w:pPr>
              <w:spacing w:line="360" w:lineRule="auto"/>
              <w:rPr>
                <w:i/>
                <w:sz w:val="20"/>
              </w:rPr>
            </w:pPr>
            <w:r w:rsidRPr="007C15EB">
              <w:rPr>
                <w:i/>
                <w:sz w:val="20"/>
              </w:rPr>
              <w:t>En virtud de lo anterior, se remite la documentación en formato PDF, grabado en cd correspondiente a la Unidad de Transparencia para que, en el ámbito de sus atribuciones, la someta a consideración del Comité de Transparencia como a continuación se detalla:</w:t>
            </w:r>
          </w:p>
          <w:p w14:paraId="2C4FA56F" w14:textId="77777777" w:rsidR="00A438FF" w:rsidRPr="007C15EB" w:rsidRDefault="00A438FF" w:rsidP="00A438FF">
            <w:pPr>
              <w:spacing w:line="360" w:lineRule="auto"/>
              <w:rPr>
                <w:i/>
                <w:sz w:val="20"/>
              </w:rPr>
            </w:pPr>
          </w:p>
          <w:p w14:paraId="068A6227" w14:textId="77777777" w:rsidR="00A438FF" w:rsidRPr="007C15EB" w:rsidRDefault="00A438FF" w:rsidP="00A438FF">
            <w:pPr>
              <w:spacing w:line="360" w:lineRule="auto"/>
              <w:rPr>
                <w:i/>
                <w:sz w:val="20"/>
              </w:rPr>
            </w:pPr>
            <w:r w:rsidRPr="007C15EB">
              <w:rPr>
                <w:i/>
                <w:noProof/>
                <w:sz w:val="20"/>
              </w:rPr>
              <w:drawing>
                <wp:inline distT="0" distB="0" distL="0" distR="0" wp14:anchorId="1D0376ED" wp14:editId="28F61F9E">
                  <wp:extent cx="3686175" cy="1354997"/>
                  <wp:effectExtent l="0" t="0" r="0" b="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0544C10.tmp"/>
                          <pic:cNvPicPr/>
                        </pic:nvPicPr>
                        <pic:blipFill>
                          <a:blip r:embed="rId9">
                            <a:extLst>
                              <a:ext uri="{28A0092B-C50C-407E-A947-70E740481C1C}">
                                <a14:useLocalDpi xmlns:a14="http://schemas.microsoft.com/office/drawing/2010/main" val="0"/>
                              </a:ext>
                            </a:extLst>
                          </a:blip>
                          <a:stretch>
                            <a:fillRect/>
                          </a:stretch>
                        </pic:blipFill>
                        <pic:spPr>
                          <a:xfrm>
                            <a:off x="0" y="0"/>
                            <a:ext cx="3716743" cy="1366233"/>
                          </a:xfrm>
                          <a:prstGeom prst="rect">
                            <a:avLst/>
                          </a:prstGeom>
                        </pic:spPr>
                      </pic:pic>
                    </a:graphicData>
                  </a:graphic>
                </wp:inline>
              </w:drawing>
            </w:r>
          </w:p>
          <w:p w14:paraId="05E428F2" w14:textId="77777777" w:rsidR="00A438FF" w:rsidRPr="007C15EB" w:rsidRDefault="00A438FF" w:rsidP="00A438FF">
            <w:pPr>
              <w:spacing w:line="360" w:lineRule="auto"/>
              <w:rPr>
                <w:i/>
                <w:sz w:val="20"/>
              </w:rPr>
            </w:pPr>
            <w:r w:rsidRPr="007C15EB">
              <w:rPr>
                <w:i/>
                <w:sz w:val="20"/>
              </w:rPr>
              <w:t>…”</w:t>
            </w:r>
          </w:p>
          <w:p w14:paraId="46291526" w14:textId="77777777" w:rsidR="00A438FF" w:rsidRPr="007C15EB" w:rsidRDefault="00A438FF" w:rsidP="003E6F5C">
            <w:pPr>
              <w:spacing w:line="360" w:lineRule="auto"/>
              <w:rPr>
                <w:sz w:val="20"/>
              </w:rPr>
            </w:pPr>
          </w:p>
          <w:p w14:paraId="60BDA6C8" w14:textId="0A041CD2" w:rsidR="00A438FF" w:rsidRPr="007C15EB" w:rsidRDefault="00A438FF" w:rsidP="00A438FF">
            <w:pPr>
              <w:spacing w:line="360" w:lineRule="auto"/>
              <w:rPr>
                <w:sz w:val="20"/>
              </w:rPr>
            </w:pPr>
            <w:r w:rsidRPr="007C15EB">
              <w:rPr>
                <w:sz w:val="20"/>
              </w:rPr>
              <w:t>ii. Acta de la Cuadragésima Sesión Ordinaria del Comité de Transparencia.</w:t>
            </w:r>
          </w:p>
          <w:p w14:paraId="66B42D28" w14:textId="77777777" w:rsidR="00A438FF" w:rsidRPr="007C15EB" w:rsidRDefault="00A438FF" w:rsidP="00A438FF">
            <w:pPr>
              <w:spacing w:line="360" w:lineRule="auto"/>
              <w:rPr>
                <w:sz w:val="20"/>
              </w:rPr>
            </w:pPr>
          </w:p>
          <w:p w14:paraId="293543F4" w14:textId="77777777" w:rsidR="00A438FF" w:rsidRPr="007C15EB" w:rsidRDefault="00A438FF" w:rsidP="00A438FF">
            <w:pPr>
              <w:spacing w:line="360" w:lineRule="auto"/>
              <w:rPr>
                <w:sz w:val="20"/>
              </w:rPr>
            </w:pPr>
            <w:r w:rsidRPr="007C15EB">
              <w:rPr>
                <w:sz w:val="20"/>
              </w:rPr>
              <w:t>iii. Cuatrocientos cuarenta hojas que contienen las Licencias de Uso de Suelo del ejercicio fiscal dos mil veinticinco y del primero de enero al veintiocho de abril de dos mil veintiséis, sin embargo, no se dieron a la vista porque al dar clic se visualizan los datos testados.</w:t>
            </w:r>
          </w:p>
          <w:p w14:paraId="7B7CBB1C" w14:textId="77777777" w:rsidR="00A438FF" w:rsidRPr="007C15EB" w:rsidRDefault="00A438FF" w:rsidP="00A438FF">
            <w:pPr>
              <w:spacing w:line="360" w:lineRule="auto"/>
              <w:rPr>
                <w:sz w:val="20"/>
              </w:rPr>
            </w:pPr>
          </w:p>
          <w:p w14:paraId="734DDB3A" w14:textId="406D13E9" w:rsidR="00E163C9" w:rsidRPr="007C15EB" w:rsidRDefault="00A438FF" w:rsidP="003E6F5C">
            <w:pPr>
              <w:spacing w:line="360" w:lineRule="auto"/>
              <w:rPr>
                <w:sz w:val="20"/>
              </w:rPr>
            </w:pPr>
            <w:r w:rsidRPr="007C15EB">
              <w:rPr>
                <w:sz w:val="20"/>
              </w:rPr>
              <w:t>iv. Cuatrocientos cuarenta y siete hojas que contienen las Cédulas Informativas de Zonificación, del ejercicio fiscal dos mil veinticinco y del primero de enero al veintiocho de abril de dos mil veintiséis, sin embargo, no se dieron a la vista porque al dar clic se visualizan los datos testados.</w:t>
            </w:r>
          </w:p>
        </w:tc>
      </w:tr>
    </w:tbl>
    <w:p w14:paraId="582CE942" w14:textId="77777777" w:rsidR="00893D68" w:rsidRPr="007C15EB" w:rsidRDefault="00893D68" w:rsidP="00D7021E">
      <w:pPr>
        <w:spacing w:after="0" w:line="360" w:lineRule="auto"/>
      </w:pPr>
    </w:p>
    <w:p w14:paraId="0E56F2A7" w14:textId="122C2BB2" w:rsidR="00B37A6D" w:rsidRPr="007C15EB" w:rsidRDefault="00893D68" w:rsidP="00D7021E">
      <w:pPr>
        <w:spacing w:after="0" w:line="360" w:lineRule="auto"/>
      </w:pPr>
      <w:r w:rsidRPr="007C15EB">
        <w:rPr>
          <w:b/>
        </w:rPr>
        <w:t>d) Vista del Informe Justificado.</w:t>
      </w:r>
      <w:r w:rsidRPr="007C15EB">
        <w:t xml:space="preserve"> E</w:t>
      </w:r>
      <w:r w:rsidR="00BD0FDF" w:rsidRPr="007C15EB">
        <w:t>l</w:t>
      </w:r>
      <w:r w:rsidR="00193A16" w:rsidRPr="007C15EB">
        <w:t xml:space="preserve"> </w:t>
      </w:r>
      <w:r w:rsidR="00D8082C" w:rsidRPr="007C15EB">
        <w:t>treinta</w:t>
      </w:r>
      <w:r w:rsidR="00D05F88" w:rsidRPr="007C15EB">
        <w:t xml:space="preserve"> de junio</w:t>
      </w:r>
      <w:r w:rsidR="0096169C" w:rsidRPr="007C15EB">
        <w:t xml:space="preserve"> de dos mil veintiséis</w:t>
      </w:r>
      <w:r w:rsidRPr="007C15EB">
        <w:t>, se dictó acuerdo mediante el cual se puso a la vista del Particular el Informe Justificado, entregado por el Sujeto Obligado, así como los documentos adjuntos, el cual fue notificado a las partes, a través del Sistema de Acceso a la Información Mexiquense (SAIMEX). Cabe señalar que el Particular fue omiso en realizar manifestación alguna.</w:t>
      </w:r>
      <w:bookmarkStart w:id="5" w:name="_Hlk182976945"/>
    </w:p>
    <w:p w14:paraId="16F532EC" w14:textId="0E17C1A8" w:rsidR="00534066" w:rsidRPr="007C15EB" w:rsidRDefault="00534066" w:rsidP="00D7021E">
      <w:pPr>
        <w:spacing w:after="0" w:line="360" w:lineRule="auto"/>
      </w:pPr>
    </w:p>
    <w:p w14:paraId="1F87A7F6" w14:textId="54BC9CA9" w:rsidR="00534066" w:rsidRPr="007C15EB" w:rsidRDefault="00D8082C" w:rsidP="00D7021E">
      <w:pPr>
        <w:spacing w:after="0" w:line="360" w:lineRule="auto"/>
        <w:rPr>
          <w:color w:val="000000"/>
        </w:rPr>
      </w:pPr>
      <w:r w:rsidRPr="007C15EB">
        <w:rPr>
          <w:b/>
          <w:color w:val="000000"/>
        </w:rPr>
        <w:lastRenderedPageBreak/>
        <w:t>e</w:t>
      </w:r>
      <w:r w:rsidR="00534066" w:rsidRPr="007C15EB">
        <w:rPr>
          <w:b/>
          <w:color w:val="000000"/>
        </w:rPr>
        <w:t xml:space="preserve">) Acumulación de los asuntos. </w:t>
      </w:r>
      <w:r w:rsidR="00534066" w:rsidRPr="007C15EB">
        <w:rPr>
          <w:color w:val="000000"/>
        </w:rPr>
        <w:t xml:space="preserve">El </w:t>
      </w:r>
      <w:r w:rsidRPr="007C15EB">
        <w:t>treinta</w:t>
      </w:r>
      <w:r w:rsidR="00534066" w:rsidRPr="007C15EB">
        <w:t xml:space="preserve"> de junio de dos mil veintiséis</w:t>
      </w:r>
      <w:r w:rsidR="00534066" w:rsidRPr="007C15EB">
        <w:rPr>
          <w:color w:val="000000"/>
        </w:rPr>
        <w:t xml:space="preserve">, el Pleno del Instituto de Transparencia, Acceso a la Información Pública y Protección de Datos Personales del Estado de México y Municipios, conforme al Acuerdo celebrado del </w:t>
      </w:r>
      <w:r w:rsidRPr="007C15EB">
        <w:rPr>
          <w:color w:val="000000"/>
        </w:rPr>
        <w:t>diez de junio</w:t>
      </w:r>
      <w:r w:rsidR="00534066" w:rsidRPr="007C15EB">
        <w:rPr>
          <w:color w:val="000000"/>
        </w:rPr>
        <w:t xml:space="preserve"> de dos mil veinti</w:t>
      </w:r>
      <w:r w:rsidR="00FB4718" w:rsidRPr="007C15EB">
        <w:rPr>
          <w:color w:val="000000"/>
        </w:rPr>
        <w:t>séis</w:t>
      </w:r>
      <w:r w:rsidR="00534066" w:rsidRPr="007C15EB">
        <w:rPr>
          <w:color w:val="000000"/>
        </w:rPr>
        <w:t>, con el propósito de privilegiar la resolución expedita y evitar el dictado de resoluciones contradictorias, con fundamento en el artículo 18 del Código de Procedimientos Administrativos del Estado de México, de aplicación supletoria a la Ley de Transparencia y Acceso a la Información Pública del Estado de México y Municipios, de conformidad con su artículo 195 de dicho ordenamiento, decretó la acumulación d</w:t>
      </w:r>
      <w:r w:rsidR="00FB4718" w:rsidRPr="007C15EB">
        <w:rPr>
          <w:color w:val="000000"/>
        </w:rPr>
        <w:t xml:space="preserve">el </w:t>
      </w:r>
      <w:r w:rsidR="00534066" w:rsidRPr="007C15EB">
        <w:rPr>
          <w:color w:val="000000"/>
        </w:rPr>
        <w:t xml:space="preserve">Recurso de Revisión </w:t>
      </w:r>
      <w:r w:rsidR="00534066" w:rsidRPr="007C15EB">
        <w:rPr>
          <w:b/>
        </w:rPr>
        <w:t>0</w:t>
      </w:r>
      <w:r w:rsidRPr="007C15EB">
        <w:rPr>
          <w:b/>
        </w:rPr>
        <w:t>5652</w:t>
      </w:r>
      <w:r w:rsidR="00534066" w:rsidRPr="007C15EB">
        <w:rPr>
          <w:b/>
        </w:rPr>
        <w:t>/INFOEM/IP/RR/2026</w:t>
      </w:r>
      <w:r w:rsidR="00FB4718" w:rsidRPr="007C15EB">
        <w:rPr>
          <w:b/>
        </w:rPr>
        <w:t xml:space="preserve"> </w:t>
      </w:r>
      <w:r w:rsidR="00534066" w:rsidRPr="007C15EB">
        <w:rPr>
          <w:color w:val="000000"/>
        </w:rPr>
        <w:t xml:space="preserve">al diverso </w:t>
      </w:r>
      <w:r w:rsidR="00534066" w:rsidRPr="007C15EB">
        <w:rPr>
          <w:b/>
          <w:color w:val="000000"/>
        </w:rPr>
        <w:t>0</w:t>
      </w:r>
      <w:r w:rsidRPr="007C15EB">
        <w:rPr>
          <w:b/>
          <w:color w:val="000000"/>
        </w:rPr>
        <w:t>5651</w:t>
      </w:r>
      <w:r w:rsidR="00534066" w:rsidRPr="007C15EB">
        <w:rPr>
          <w:b/>
          <w:color w:val="000000"/>
        </w:rPr>
        <w:t>/INFOEM/IP/RR/2026</w:t>
      </w:r>
      <w:r w:rsidR="00534066" w:rsidRPr="007C15EB">
        <w:rPr>
          <w:color w:val="000000"/>
        </w:rPr>
        <w:t>, por ser este último el más antiguo, sustanciado bajo el índice de esta Ponencia.</w:t>
      </w:r>
    </w:p>
    <w:p w14:paraId="12D9A568" w14:textId="77777777" w:rsidR="00534066" w:rsidRPr="007C15EB" w:rsidRDefault="00534066" w:rsidP="00D7021E">
      <w:pPr>
        <w:spacing w:after="0" w:line="360" w:lineRule="auto"/>
        <w:rPr>
          <w:rFonts w:cs="Tahoma"/>
          <w:bCs/>
          <w:i/>
        </w:rPr>
      </w:pPr>
    </w:p>
    <w:p w14:paraId="1220E37C" w14:textId="2EBB7B51" w:rsidR="003C5FE0" w:rsidRPr="007C15EB" w:rsidRDefault="00D8082C" w:rsidP="00D7021E">
      <w:pPr>
        <w:spacing w:after="0" w:line="360" w:lineRule="auto"/>
        <w:contextualSpacing/>
      </w:pPr>
      <w:r w:rsidRPr="007C15EB">
        <w:rPr>
          <w:rFonts w:eastAsia="Batang" w:cs="Tahoma"/>
          <w:b/>
        </w:rPr>
        <w:t>f</w:t>
      </w:r>
      <w:r w:rsidR="003C5FE0" w:rsidRPr="007C15EB">
        <w:rPr>
          <w:rFonts w:eastAsia="Batang" w:cs="Tahoma"/>
          <w:b/>
        </w:rPr>
        <w:t xml:space="preserve">) </w:t>
      </w:r>
      <w:r w:rsidR="00002B20" w:rsidRPr="007C15EB">
        <w:rPr>
          <w:rFonts w:eastAsia="Times New Roman" w:cs="Tahoma"/>
          <w:b/>
          <w:szCs w:val="24"/>
          <w:lang w:eastAsia="es-ES"/>
        </w:rPr>
        <w:t>Cierre de instrucción.</w:t>
      </w:r>
      <w:r w:rsidR="00C06C06" w:rsidRPr="007C15EB">
        <w:rPr>
          <w:rFonts w:eastAsia="Times New Roman" w:cs="Tahoma"/>
          <w:szCs w:val="24"/>
          <w:lang w:eastAsia="es-ES"/>
        </w:rPr>
        <w:t xml:space="preserve"> E</w:t>
      </w:r>
      <w:r w:rsidR="00906608" w:rsidRPr="007C15EB">
        <w:rPr>
          <w:rFonts w:eastAsia="Times New Roman" w:cs="Tahoma"/>
          <w:szCs w:val="24"/>
          <w:lang w:eastAsia="es-ES"/>
        </w:rPr>
        <w:t>l siete de julio</w:t>
      </w:r>
      <w:r w:rsidR="00F67EBB" w:rsidRPr="007C15EB">
        <w:rPr>
          <w:rFonts w:eastAsia="Times New Roman" w:cs="Tahoma"/>
          <w:szCs w:val="24"/>
          <w:lang w:eastAsia="es-ES"/>
        </w:rPr>
        <w:t xml:space="preserve"> de dos mil veintiséis</w:t>
      </w:r>
      <w:r w:rsidR="00002B20" w:rsidRPr="007C15EB">
        <w:rPr>
          <w:rFonts w:eastAsia="Times New Roman" w:cs="Tahoma"/>
          <w:szCs w:val="24"/>
          <w:lang w:eastAsia="es-ES"/>
        </w:rPr>
        <w:t xml:space="preserve">, al no existir diligencias pendientes por desahogar, se emitió el acuerdo por medio del cual se declaró cerrada la instrucción y se determinó pasar los expedientes a resolución, en términos de lo dispuesto en los artículos 185, fracciones VI y VIII, de la Ley de Transparencia y Acceso a la Información Pública del Estado de México y Municipios, </w:t>
      </w:r>
      <w:r w:rsidR="00002B20" w:rsidRPr="007C15EB">
        <w:t>acto que fue notificado a las partes, mediante el Sistema de Acceso a la Información Mexiquense (SAIMEX), el mismo día.</w:t>
      </w:r>
    </w:p>
    <w:bookmarkEnd w:id="5"/>
    <w:p w14:paraId="08D98E1D" w14:textId="77777777" w:rsidR="000410E6" w:rsidRPr="007C15EB" w:rsidRDefault="000410E6" w:rsidP="00D7021E">
      <w:pPr>
        <w:spacing w:after="0" w:line="360" w:lineRule="auto"/>
        <w:rPr>
          <w:b/>
          <w:bCs/>
        </w:rPr>
      </w:pPr>
    </w:p>
    <w:p w14:paraId="1D2DAFCD" w14:textId="77777777" w:rsidR="000410E6" w:rsidRPr="007C15EB" w:rsidRDefault="000410E6" w:rsidP="00D7021E">
      <w:pPr>
        <w:spacing w:after="0" w:line="360" w:lineRule="auto"/>
        <w:rPr>
          <w:color w:val="000000"/>
        </w:rPr>
      </w:pPr>
      <w:r w:rsidRPr="007C15EB">
        <w:rPr>
          <w:color w:val="000000"/>
        </w:rPr>
        <w:t>En razón de que fue debidamente sustanciado e integrado el expediente electrónico y no existe diligencia pendiente de desahogo, se emite la resolución que conforme a Derecho proceda, de acuerdo a los siguientes:</w:t>
      </w:r>
    </w:p>
    <w:p w14:paraId="3A10F1DA" w14:textId="77777777" w:rsidR="00674DAF" w:rsidRPr="007C15EB" w:rsidRDefault="00674DAF" w:rsidP="00D7021E">
      <w:pPr>
        <w:spacing w:after="0" w:line="360" w:lineRule="auto"/>
        <w:rPr>
          <w:color w:val="000000"/>
        </w:rPr>
      </w:pPr>
    </w:p>
    <w:p w14:paraId="250F6589" w14:textId="3F880C72" w:rsidR="005C690F" w:rsidRPr="007C15EB" w:rsidRDefault="00CD6238" w:rsidP="00D7021E">
      <w:pPr>
        <w:pStyle w:val="Ttulo1"/>
        <w:spacing w:before="0" w:after="0" w:line="360" w:lineRule="auto"/>
        <w:jc w:val="center"/>
        <w:rPr>
          <w:sz w:val="22"/>
          <w:szCs w:val="22"/>
        </w:rPr>
      </w:pPr>
      <w:bookmarkStart w:id="6" w:name="_Toc234506068"/>
      <w:r w:rsidRPr="007C15EB">
        <w:rPr>
          <w:sz w:val="22"/>
          <w:szCs w:val="22"/>
        </w:rPr>
        <w:t>C O N S I D E R A N D O S</w:t>
      </w:r>
      <w:bookmarkEnd w:id="6"/>
    </w:p>
    <w:p w14:paraId="5AB6ED71" w14:textId="77777777" w:rsidR="005C690F" w:rsidRPr="007C15EB" w:rsidRDefault="005C690F" w:rsidP="00D7021E">
      <w:pPr>
        <w:spacing w:after="0" w:line="360" w:lineRule="auto"/>
        <w:jc w:val="center"/>
        <w:rPr>
          <w:b/>
          <w:color w:val="000000"/>
        </w:rPr>
      </w:pPr>
    </w:p>
    <w:p w14:paraId="36BFFC7E" w14:textId="2F0F17EA" w:rsidR="005C690F" w:rsidRPr="007C15EB" w:rsidRDefault="007D6307" w:rsidP="00D7021E">
      <w:pPr>
        <w:pStyle w:val="Ttulo2"/>
        <w:spacing w:before="0" w:after="0" w:line="360" w:lineRule="auto"/>
        <w:rPr>
          <w:sz w:val="22"/>
          <w:szCs w:val="22"/>
        </w:rPr>
      </w:pPr>
      <w:bookmarkStart w:id="7" w:name="_Toc234506069"/>
      <w:r w:rsidRPr="007C15EB">
        <w:rPr>
          <w:sz w:val="22"/>
          <w:szCs w:val="22"/>
        </w:rPr>
        <w:t xml:space="preserve">PRIMERO. </w:t>
      </w:r>
      <w:r w:rsidR="00CD6238" w:rsidRPr="007C15EB">
        <w:rPr>
          <w:sz w:val="22"/>
          <w:szCs w:val="22"/>
        </w:rPr>
        <w:t>Competencia</w:t>
      </w:r>
      <w:bookmarkEnd w:id="7"/>
    </w:p>
    <w:p w14:paraId="7DF6D940" w14:textId="77777777" w:rsidR="009417FA" w:rsidRPr="007C15EB" w:rsidRDefault="009417FA" w:rsidP="00D7021E">
      <w:pPr>
        <w:spacing w:after="0" w:line="360" w:lineRule="auto"/>
        <w:contextualSpacing/>
        <w:rPr>
          <w:rFonts w:eastAsia="Times New Roman" w:cs="Tahoma"/>
          <w:bCs/>
          <w:lang w:eastAsia="es-ES"/>
        </w:rPr>
      </w:pPr>
      <w:bookmarkStart w:id="8" w:name="_heading=h.30j0zll" w:colFirst="0" w:colLast="0"/>
      <w:bookmarkEnd w:id="8"/>
    </w:p>
    <w:p w14:paraId="34E8FFD7" w14:textId="69ABA402" w:rsidR="000519DD" w:rsidRPr="007C15EB" w:rsidRDefault="000519DD" w:rsidP="00D7021E">
      <w:pPr>
        <w:spacing w:after="0" w:line="360" w:lineRule="auto"/>
        <w:contextualSpacing/>
        <w:rPr>
          <w:rFonts w:eastAsia="Times New Roman" w:cs="Tahoma"/>
          <w:bCs/>
          <w:lang w:eastAsia="es-ES"/>
        </w:rPr>
      </w:pPr>
      <w:r w:rsidRPr="007C15EB">
        <w:rPr>
          <w:rFonts w:eastAsia="Times New Roman" w:cs="Tahoma"/>
          <w:bCs/>
          <w:lang w:eastAsia="es-ES"/>
        </w:rPr>
        <w:lastRenderedPageBreak/>
        <w:t>El Instituto de Transparencia, Acceso a la Información Pública y Protección de Datos Personales del Estado de México y Municipios, es competente para conocer y resolver el presente recurso de revisión interpuesto por la persona Recurrente, conforme a lo dispuesto en los artículos 5°, párrafos cuadragésimo cuarto, cuadragésimo quinto y cuadragésimo sexto, fracciones IV y V de la Constitución Política del Estado Libre y Soberano de México; Cuarto Transitorio, párrafo segundo del Decreto número 198 de la “LXII” Legislatura del Estado de México; 1°, 2°, fracciones II y IV; 13, 29, 36, fracciones I y II; 176, 178, 179, 181 párrafo tercero, 185, 188 y 189 de la Ley Transparencia y Acceso a la Información Pública del Estado de México y Municipios; 7°, 9°, fracciones I y XXIII y 11 del Reglamento Interior del Instituto de Transparencia, Acceso a la Información Pública y Protección de Datos Personales del Estado de México y Municipios.</w:t>
      </w:r>
    </w:p>
    <w:p w14:paraId="4225FD09" w14:textId="77777777" w:rsidR="005C690F" w:rsidRPr="007C15EB" w:rsidRDefault="005C690F" w:rsidP="00D7021E">
      <w:pPr>
        <w:spacing w:after="0" w:line="360" w:lineRule="auto"/>
        <w:rPr>
          <w:b/>
          <w:color w:val="000000"/>
        </w:rPr>
      </w:pPr>
    </w:p>
    <w:p w14:paraId="46691DD5" w14:textId="4C1C70AD" w:rsidR="005C690F" w:rsidRPr="007C15EB" w:rsidRDefault="007D6307" w:rsidP="00D7021E">
      <w:pPr>
        <w:pStyle w:val="Ttulo2"/>
        <w:spacing w:before="0" w:after="0" w:line="360" w:lineRule="auto"/>
        <w:rPr>
          <w:sz w:val="22"/>
          <w:szCs w:val="22"/>
        </w:rPr>
      </w:pPr>
      <w:bookmarkStart w:id="9" w:name="_Toc234506070"/>
      <w:r w:rsidRPr="007C15EB">
        <w:rPr>
          <w:sz w:val="22"/>
          <w:szCs w:val="22"/>
        </w:rPr>
        <w:t>SEGUNDO. Causales de</w:t>
      </w:r>
      <w:r w:rsidR="00CD6238" w:rsidRPr="007C15EB">
        <w:rPr>
          <w:sz w:val="22"/>
          <w:szCs w:val="22"/>
        </w:rPr>
        <w:t xml:space="preserve"> improcedencia y sobreseimiento</w:t>
      </w:r>
      <w:bookmarkEnd w:id="9"/>
    </w:p>
    <w:p w14:paraId="49AA4CDE" w14:textId="77777777" w:rsidR="005C690F" w:rsidRPr="007C15EB" w:rsidRDefault="005C690F" w:rsidP="00D7021E">
      <w:pPr>
        <w:spacing w:after="0" w:line="360" w:lineRule="auto"/>
        <w:rPr>
          <w:color w:val="000000"/>
        </w:rPr>
      </w:pPr>
    </w:p>
    <w:p w14:paraId="2553CE58" w14:textId="77777777" w:rsidR="005C690F" w:rsidRPr="007C15EB" w:rsidRDefault="007D6307" w:rsidP="00D7021E">
      <w:pPr>
        <w:spacing w:after="0" w:line="360" w:lineRule="auto"/>
        <w:rPr>
          <w:color w:val="000000"/>
        </w:rPr>
      </w:pPr>
      <w:r w:rsidRPr="007C15EB">
        <w:rPr>
          <w:color w:val="000000"/>
        </w:rPr>
        <w:t xml:space="preserve">De las constancias que forma parte del Recurso de Revisión que se analiza, se advierte que previo al estudio del fondo de la </w:t>
      </w:r>
      <w:r w:rsidRPr="007C15EB">
        <w:rPr>
          <w:i/>
          <w:color w:val="000000"/>
        </w:rPr>
        <w:t>litis</w:t>
      </w:r>
      <w:r w:rsidRPr="007C15EB">
        <w:rPr>
          <w:color w:val="000000"/>
        </w:rPr>
        <w:t>, es necesario estudiar las causales de improcedencia y sobreseimiento que se adviertan, para determinar lo que en Derecho proceda.</w:t>
      </w:r>
    </w:p>
    <w:p w14:paraId="35A30074" w14:textId="77777777" w:rsidR="009B2DAB" w:rsidRPr="007C15EB" w:rsidRDefault="009B2DAB" w:rsidP="00D7021E">
      <w:pPr>
        <w:spacing w:after="0" w:line="360" w:lineRule="auto"/>
        <w:rPr>
          <w:color w:val="000000"/>
        </w:rPr>
      </w:pPr>
    </w:p>
    <w:p w14:paraId="3066DF0C" w14:textId="77777777" w:rsidR="005C690F" w:rsidRPr="007C15EB" w:rsidRDefault="007D6307" w:rsidP="00D7021E">
      <w:pPr>
        <w:spacing w:after="0" w:line="360" w:lineRule="auto"/>
        <w:rPr>
          <w:b/>
        </w:rPr>
      </w:pPr>
      <w:r w:rsidRPr="007C15EB">
        <w:rPr>
          <w:b/>
        </w:rPr>
        <w:t>Causales de improcedencia</w:t>
      </w:r>
    </w:p>
    <w:p w14:paraId="6335B5D0" w14:textId="77777777" w:rsidR="00637867" w:rsidRPr="007C15EB" w:rsidRDefault="00637867" w:rsidP="00D7021E">
      <w:pPr>
        <w:spacing w:after="0" w:line="360" w:lineRule="auto"/>
        <w:rPr>
          <w:b/>
        </w:rPr>
      </w:pPr>
    </w:p>
    <w:p w14:paraId="6C56CA88" w14:textId="77777777" w:rsidR="005C690F" w:rsidRPr="007C15EB" w:rsidRDefault="007D6307" w:rsidP="00D7021E">
      <w:pPr>
        <w:spacing w:after="0" w:line="360" w:lineRule="auto"/>
        <w:rPr>
          <w:color w:val="000000"/>
        </w:rPr>
      </w:pPr>
      <w:r w:rsidRPr="007C15EB">
        <w:rPr>
          <w:color w:val="000000"/>
        </w:rPr>
        <w:t xml:space="preserve">Este Instituto realiza el estudio oficioso de las causales de improcedencia, por tratarse de una cuestión de orden público y de estudio preferente (acorde con el Criterio orientador en la Tesis de Jurisprudencia “IMPROCEDENCIA.” (Semanario Judicial de la Federación, Quinta Época, 1985, pág. 262), el cual establece que debe examinarse previamente la procedencia del juicio de amparo, sea que las partes lo soliciten o no, por ser una cuestión de orden público; de tal suerte, deberá ser desechado cualquier Recurso de Revisión que </w:t>
      </w:r>
      <w:r w:rsidRPr="007C15EB">
        <w:rPr>
          <w:color w:val="000000"/>
        </w:rPr>
        <w:lastRenderedPageBreak/>
        <w:t>actualice alguno de los supuestos establecidos en el artículo 191 de la Ley de Transparencia y Acceso a la Información Pública del Estado de México y Municipios, por ser improcedente.</w:t>
      </w:r>
    </w:p>
    <w:p w14:paraId="58A4A8EF" w14:textId="77777777" w:rsidR="005C690F" w:rsidRPr="007C15EB" w:rsidRDefault="005C690F" w:rsidP="00D7021E">
      <w:pPr>
        <w:spacing w:after="0" w:line="360" w:lineRule="auto"/>
        <w:rPr>
          <w:color w:val="000000"/>
        </w:rPr>
      </w:pPr>
    </w:p>
    <w:p w14:paraId="22563DDB" w14:textId="33D3D011" w:rsidR="008D3B3F" w:rsidRPr="007C15EB" w:rsidRDefault="007D6307" w:rsidP="00D7021E">
      <w:pPr>
        <w:spacing w:after="0" w:line="360" w:lineRule="auto"/>
        <w:rPr>
          <w:color w:val="000000"/>
        </w:rPr>
      </w:pPr>
      <w:r w:rsidRPr="007C15EB">
        <w:rPr>
          <w:color w:val="000000"/>
        </w:rPr>
        <w:t>En el presente caso, </w:t>
      </w:r>
      <w:r w:rsidRPr="007C15EB">
        <w:rPr>
          <w:b/>
          <w:color w:val="000000"/>
        </w:rPr>
        <w:t>no se actualiza ninguna de las causales de improcedencia</w:t>
      </w:r>
      <w:r w:rsidRPr="007C15EB">
        <w:rPr>
          <w:color w:val="000000"/>
        </w:rPr>
        <w:t> establecidas en el ordenamiento jurídico previamente señalado, toda vez que: este Instituto no tiene conocimiento de que se encuentre en trámite algún medio de defensa presentado por la</w:t>
      </w:r>
      <w:r w:rsidR="00261B92" w:rsidRPr="007C15EB">
        <w:rPr>
          <w:color w:val="000000"/>
        </w:rPr>
        <w:t xml:space="preserve"> persona</w:t>
      </w:r>
      <w:r w:rsidRPr="007C15EB">
        <w:rPr>
          <w:color w:val="000000"/>
        </w:rPr>
        <w:t xml:space="preserve"> Recurrente ante otra instancia; no existió prevención alguna; la veracidad de la respuesta no formó parte del agravio; ni se realizó una consulta o ampliación a los alcances del requerimiento informativo.</w:t>
      </w:r>
    </w:p>
    <w:p w14:paraId="21CC7CEB" w14:textId="77777777" w:rsidR="00874D8A" w:rsidRPr="007C15EB" w:rsidRDefault="00874D8A" w:rsidP="00D7021E">
      <w:pPr>
        <w:spacing w:after="0" w:line="360" w:lineRule="auto"/>
        <w:rPr>
          <w:color w:val="000000"/>
        </w:rPr>
      </w:pPr>
    </w:p>
    <w:p w14:paraId="179C7654" w14:textId="41A6228A" w:rsidR="00E230E8" w:rsidRPr="007C15EB" w:rsidRDefault="007D6307" w:rsidP="004A5B6F">
      <w:pPr>
        <w:spacing w:after="0" w:line="360" w:lineRule="auto"/>
      </w:pPr>
      <w:r w:rsidRPr="007C15EB">
        <w:t>Por lo cual, se actualiza la causal de procedencia del Recurso de Revisión señal</w:t>
      </w:r>
      <w:r w:rsidR="00261DF6" w:rsidRPr="007C15EB">
        <w:t>ada en el artículo 179, fracci</w:t>
      </w:r>
      <w:r w:rsidR="00637867" w:rsidRPr="007C15EB">
        <w:t>o</w:t>
      </w:r>
      <w:r w:rsidR="00E230E8" w:rsidRPr="007C15EB">
        <w:t>n</w:t>
      </w:r>
      <w:r w:rsidR="00637867" w:rsidRPr="007C15EB">
        <w:t>es</w:t>
      </w:r>
      <w:r w:rsidR="00FA3A3E" w:rsidRPr="007C15EB">
        <w:t xml:space="preserve"> </w:t>
      </w:r>
      <w:r w:rsidR="00FA3C03" w:rsidRPr="007C15EB">
        <w:t>V</w:t>
      </w:r>
      <w:r w:rsidRPr="007C15EB">
        <w:t>, de la Ley en cita, pues la p</w:t>
      </w:r>
      <w:r w:rsidR="00261B92" w:rsidRPr="007C15EB">
        <w:t>ersona</w:t>
      </w:r>
      <w:r w:rsidRPr="007C15EB">
        <w:t xml:space="preserve"> Recurrente se inconformó </w:t>
      </w:r>
      <w:r w:rsidR="00FA3A3E" w:rsidRPr="007C15EB">
        <w:t xml:space="preserve">de </w:t>
      </w:r>
      <w:r w:rsidR="00E230E8" w:rsidRPr="007C15EB">
        <w:t xml:space="preserve">la </w:t>
      </w:r>
      <w:r w:rsidR="004A5B6F" w:rsidRPr="007C15EB">
        <w:t>entrega de información</w:t>
      </w:r>
      <w:r w:rsidR="00FA3C03" w:rsidRPr="007C15EB">
        <w:t xml:space="preserve"> incompleta</w:t>
      </w:r>
      <w:r w:rsidR="004A5B6F" w:rsidRPr="007C15EB">
        <w:t>.</w:t>
      </w:r>
    </w:p>
    <w:p w14:paraId="2D1C8F9C" w14:textId="77777777" w:rsidR="004A5B6F" w:rsidRPr="007C15EB" w:rsidRDefault="004A5B6F" w:rsidP="004A5B6F">
      <w:pPr>
        <w:spacing w:after="0" w:line="360" w:lineRule="auto"/>
      </w:pPr>
    </w:p>
    <w:p w14:paraId="55FF691A" w14:textId="6D373E30" w:rsidR="005C690F" w:rsidRPr="007C15EB" w:rsidRDefault="007D6307" w:rsidP="00D7021E">
      <w:pPr>
        <w:spacing w:after="0" w:line="360" w:lineRule="auto"/>
        <w:rPr>
          <w:color w:val="0D0D0D"/>
        </w:rPr>
      </w:pPr>
      <w:r w:rsidRPr="007C15EB">
        <w:rPr>
          <w:b/>
          <w:color w:val="0D0D0D"/>
        </w:rPr>
        <w:t>Ca</w:t>
      </w:r>
      <w:r w:rsidR="00CD6238" w:rsidRPr="007C15EB">
        <w:rPr>
          <w:b/>
          <w:color w:val="0D0D0D"/>
        </w:rPr>
        <w:t>usales de sobreseimiento</w:t>
      </w:r>
    </w:p>
    <w:p w14:paraId="426FEE7A" w14:textId="77777777" w:rsidR="005C690F" w:rsidRPr="007C15EB" w:rsidRDefault="005C690F" w:rsidP="00D7021E">
      <w:pPr>
        <w:spacing w:after="0" w:line="360" w:lineRule="auto"/>
        <w:rPr>
          <w:color w:val="0D0D0D"/>
        </w:rPr>
      </w:pPr>
    </w:p>
    <w:p w14:paraId="5B1C849A" w14:textId="77777777" w:rsidR="005C690F" w:rsidRPr="007C15EB" w:rsidRDefault="007D6307" w:rsidP="00D7021E">
      <w:pPr>
        <w:spacing w:after="0" w:line="360" w:lineRule="auto"/>
        <w:rPr>
          <w:color w:val="0D0D0D"/>
        </w:rPr>
      </w:pPr>
      <w:r w:rsidRPr="007C15EB">
        <w:rPr>
          <w:color w:val="0D0D0D"/>
        </w:rPr>
        <w:t>Por ser de previo y especial pronunciamiento, este Instituto analiza si se actualiza alguna causal de sobreseimiento.</w:t>
      </w:r>
    </w:p>
    <w:p w14:paraId="55F21F33" w14:textId="77777777" w:rsidR="00E82959" w:rsidRPr="007C15EB" w:rsidRDefault="00E82959" w:rsidP="00D7021E">
      <w:pPr>
        <w:spacing w:after="0" w:line="360" w:lineRule="auto"/>
        <w:rPr>
          <w:color w:val="0D0D0D"/>
        </w:rPr>
      </w:pPr>
    </w:p>
    <w:p w14:paraId="5B3BC4AC" w14:textId="77777777" w:rsidR="00E82959" w:rsidRPr="007C15EB" w:rsidRDefault="00E82959" w:rsidP="00E82959">
      <w:pPr>
        <w:spacing w:after="0" w:line="360" w:lineRule="auto"/>
        <w:contextualSpacing/>
      </w:pPr>
      <w:r w:rsidRPr="007C15EB">
        <w:t xml:space="preserve">Sobre el tema, el artículo 192 de la Ley Transparencia y Acceso a la Información Pública del Estado de México y Municipios, señala las causales por las cuales se puede sobreseer en todo o en parte, el Recurso de Revisión; así, del análisis realizado por este Instituto, se advierte que no se actualiza algún supuesto de sobreseimiento; lo anterior, en virtud de que no hay constancias en el expediente en que se actúa, de que la persona Recurrente se haya desistido del recurso, haya fallecido, sobreviniera alguna causal de improcedencia, que el Sujeto </w:t>
      </w:r>
      <w:r w:rsidRPr="007C15EB">
        <w:lastRenderedPageBreak/>
        <w:t>Obligado hubiese modificado o revocado el acto impugnado o bien, haya quedado sin materia.</w:t>
      </w:r>
    </w:p>
    <w:p w14:paraId="1EF4D73F" w14:textId="77777777" w:rsidR="00E82959" w:rsidRPr="007C15EB" w:rsidRDefault="00E82959" w:rsidP="00E82959">
      <w:pPr>
        <w:spacing w:after="0" w:line="360" w:lineRule="auto"/>
        <w:contextualSpacing/>
      </w:pPr>
    </w:p>
    <w:p w14:paraId="5C1DE3B6" w14:textId="31F260C8" w:rsidR="00E82959" w:rsidRPr="007C15EB" w:rsidRDefault="00E82959" w:rsidP="00E82959">
      <w:pPr>
        <w:spacing w:after="0" w:line="360" w:lineRule="auto"/>
        <w:rPr>
          <w:color w:val="0D0D0D"/>
        </w:rPr>
      </w:pPr>
      <w:r w:rsidRPr="007C15EB">
        <w:t>Por tales motivos, se considera procedente entrar al fondo del presente asunto.</w:t>
      </w:r>
    </w:p>
    <w:p w14:paraId="6A2027DC" w14:textId="77777777" w:rsidR="004A3A78" w:rsidRPr="007C15EB" w:rsidRDefault="004A3A78" w:rsidP="00D7021E">
      <w:pPr>
        <w:spacing w:after="0" w:line="360" w:lineRule="auto"/>
        <w:rPr>
          <w:b/>
          <w:color w:val="000000"/>
        </w:rPr>
      </w:pPr>
    </w:p>
    <w:p w14:paraId="0A6A0BAE" w14:textId="184EF292" w:rsidR="005C690F" w:rsidRPr="007C15EB" w:rsidRDefault="007D6307" w:rsidP="00D7021E">
      <w:pPr>
        <w:pStyle w:val="Ttulo2"/>
        <w:spacing w:before="0" w:after="0" w:line="360" w:lineRule="auto"/>
        <w:rPr>
          <w:sz w:val="22"/>
          <w:szCs w:val="22"/>
        </w:rPr>
      </w:pPr>
      <w:bookmarkStart w:id="10" w:name="_Toc234506071"/>
      <w:r w:rsidRPr="007C15EB">
        <w:rPr>
          <w:sz w:val="22"/>
          <w:szCs w:val="22"/>
        </w:rPr>
        <w:t>TERCERO. De</w:t>
      </w:r>
      <w:r w:rsidR="00CD6238" w:rsidRPr="007C15EB">
        <w:rPr>
          <w:sz w:val="22"/>
          <w:szCs w:val="22"/>
        </w:rPr>
        <w:t>terminación de la Controversia</w:t>
      </w:r>
      <w:bookmarkEnd w:id="10"/>
    </w:p>
    <w:p w14:paraId="4A0739CB" w14:textId="77777777" w:rsidR="00897A05" w:rsidRPr="007C15EB" w:rsidRDefault="00897A05" w:rsidP="00D7021E">
      <w:pPr>
        <w:spacing w:after="0" w:line="360" w:lineRule="auto"/>
        <w:rPr>
          <w:b/>
          <w:color w:val="000000"/>
        </w:rPr>
      </w:pPr>
    </w:p>
    <w:p w14:paraId="19D34C13" w14:textId="77777777" w:rsidR="00E1276E" w:rsidRPr="007C15EB" w:rsidRDefault="00D10891" w:rsidP="00E1276E">
      <w:pPr>
        <w:spacing w:after="0" w:line="360" w:lineRule="auto"/>
        <w:rPr>
          <w:rFonts w:cs="Tahoma"/>
        </w:rPr>
      </w:pPr>
      <w:r w:rsidRPr="007C15EB">
        <w:rPr>
          <w:rFonts w:cs="Tahoma"/>
        </w:rPr>
        <w:t>Con el objetivo de ilustrar la controversia planteada, resulta conveniente precisar, que una vez realizado el estudio de las constancias que integran el expediente en el que se actúa, se desprende qu</w:t>
      </w:r>
      <w:r w:rsidR="00C47441" w:rsidRPr="007C15EB">
        <w:rPr>
          <w:rFonts w:cs="Tahoma"/>
        </w:rPr>
        <w:t>e el Particular requirió</w:t>
      </w:r>
      <w:r w:rsidR="00755E9D" w:rsidRPr="007C15EB">
        <w:rPr>
          <w:rFonts w:cs="Tahoma"/>
        </w:rPr>
        <w:t xml:space="preserve">, </w:t>
      </w:r>
      <w:r w:rsidR="00E1276E" w:rsidRPr="007C15EB">
        <w:rPr>
          <w:rFonts w:cs="Tahoma"/>
        </w:rPr>
        <w:t>del primero de enero de dos mil veinticinco al veintiocho de abril de dos mil veintiséis, lo siguiente:</w:t>
      </w:r>
    </w:p>
    <w:p w14:paraId="37D9AAEE" w14:textId="77777777" w:rsidR="00E1276E" w:rsidRPr="007C15EB" w:rsidRDefault="00E1276E" w:rsidP="00E1276E">
      <w:pPr>
        <w:spacing w:after="0" w:line="360" w:lineRule="auto"/>
        <w:rPr>
          <w:rFonts w:cs="Tahoma"/>
        </w:rPr>
      </w:pPr>
    </w:p>
    <w:p w14:paraId="6504A864" w14:textId="6EA28147" w:rsidR="006A6DB6" w:rsidRPr="007C15EB" w:rsidRDefault="00E1276E" w:rsidP="00E1276E">
      <w:pPr>
        <w:pStyle w:val="Prrafodelista"/>
        <w:numPr>
          <w:ilvl w:val="0"/>
          <w:numId w:val="14"/>
        </w:numPr>
        <w:spacing w:line="360" w:lineRule="auto"/>
        <w:rPr>
          <w:rFonts w:cs="Tahoma"/>
        </w:rPr>
      </w:pPr>
      <w:r w:rsidRPr="007C15EB">
        <w:rPr>
          <w:rFonts w:cs="Tahoma"/>
        </w:rPr>
        <w:t>Cédulas de zonificación;</w:t>
      </w:r>
    </w:p>
    <w:p w14:paraId="6B46674B" w14:textId="337598AA" w:rsidR="00E1276E" w:rsidRPr="007C15EB" w:rsidRDefault="00E1276E" w:rsidP="00E1276E">
      <w:pPr>
        <w:pStyle w:val="Prrafodelista"/>
        <w:numPr>
          <w:ilvl w:val="0"/>
          <w:numId w:val="14"/>
        </w:numPr>
        <w:spacing w:line="360" w:lineRule="auto"/>
        <w:rPr>
          <w:rFonts w:cs="Tahoma"/>
        </w:rPr>
      </w:pPr>
      <w:r w:rsidRPr="007C15EB">
        <w:rPr>
          <w:rFonts w:cs="Tahoma"/>
        </w:rPr>
        <w:t>Licencias de uso de suelo, y</w:t>
      </w:r>
    </w:p>
    <w:p w14:paraId="416E71E6" w14:textId="67C48966" w:rsidR="00E1276E" w:rsidRPr="007C15EB" w:rsidRDefault="00E1276E" w:rsidP="00E1276E">
      <w:pPr>
        <w:pStyle w:val="Prrafodelista"/>
        <w:numPr>
          <w:ilvl w:val="0"/>
          <w:numId w:val="14"/>
        </w:numPr>
        <w:spacing w:line="360" w:lineRule="auto"/>
        <w:rPr>
          <w:rFonts w:cs="Tahoma"/>
        </w:rPr>
      </w:pPr>
      <w:r w:rsidRPr="007C15EB">
        <w:rPr>
          <w:rFonts w:cs="Tahoma"/>
        </w:rPr>
        <w:t>Cambios de uso de suelo.</w:t>
      </w:r>
    </w:p>
    <w:p w14:paraId="1943C214" w14:textId="77777777" w:rsidR="00E1276E" w:rsidRPr="007C15EB" w:rsidRDefault="00E1276E" w:rsidP="00E1276E">
      <w:pPr>
        <w:spacing w:after="0" w:line="360" w:lineRule="auto"/>
        <w:rPr>
          <w:rFonts w:cs="Tahoma"/>
        </w:rPr>
      </w:pPr>
    </w:p>
    <w:p w14:paraId="5E848C0E" w14:textId="5CFFDCDC" w:rsidR="00EF5D6A" w:rsidRPr="007C15EB" w:rsidRDefault="00E600C9" w:rsidP="00D7021E">
      <w:pPr>
        <w:spacing w:after="0" w:line="360" w:lineRule="auto"/>
        <w:rPr>
          <w:color w:val="0D0D0D"/>
        </w:rPr>
      </w:pPr>
      <w:r w:rsidRPr="007C15EB">
        <w:rPr>
          <w:color w:val="000000"/>
        </w:rPr>
        <w:t xml:space="preserve">En respuesta, el Sujeto Obligado, través </w:t>
      </w:r>
      <w:r w:rsidRPr="007C15EB">
        <w:t>d</w:t>
      </w:r>
      <w:r w:rsidR="0034566C" w:rsidRPr="007C15EB">
        <w:t>e</w:t>
      </w:r>
      <w:r w:rsidR="00E1276E" w:rsidRPr="007C15EB">
        <w:t>l</w:t>
      </w:r>
      <w:r w:rsidR="0034566C" w:rsidRPr="007C15EB">
        <w:t xml:space="preserve"> </w:t>
      </w:r>
      <w:r w:rsidR="00E1276E" w:rsidRPr="007C15EB">
        <w:t xml:space="preserve">Director de Desarrollo Urbano y Metropolitano </w:t>
      </w:r>
      <w:r w:rsidR="00701E73" w:rsidRPr="007C15EB">
        <w:t>proporcionó una</w:t>
      </w:r>
      <w:r w:rsidR="00E1276E" w:rsidRPr="007C15EB">
        <w:t xml:space="preserve"> relación de licencias de uso de suelo autorizadas, así como las cédulas informativas de zonificación que se emitieron en el periodo </w:t>
      </w:r>
      <w:r w:rsidR="00701E73" w:rsidRPr="007C15EB">
        <w:t>solicitado, el cual</w:t>
      </w:r>
      <w:r w:rsidR="000343C4" w:rsidRPr="007C15EB">
        <w:t xml:space="preserve"> contiene número de expediente, nombre del titular y tipo  de autorización, del ejercicio fiscal dos mil veinticinco y del primero de enero al veintiocho de abril de dos mil veintiséis</w:t>
      </w:r>
      <w:r w:rsidR="00E1276E" w:rsidRPr="007C15EB">
        <w:t>, asimismo, que a la fecha de la solicitud no se han autorizado cambios de uso de suelo</w:t>
      </w:r>
      <w:r w:rsidRPr="007C15EB">
        <w:rPr>
          <w:color w:val="000000"/>
        </w:rPr>
        <w:t xml:space="preserve">; </w:t>
      </w:r>
      <w:r w:rsidRPr="007C15EB">
        <w:rPr>
          <w:rFonts w:cs="Tahoma"/>
        </w:rPr>
        <w:t xml:space="preserve">ante dicha circunstancia, el Particular se inconformó de la </w:t>
      </w:r>
      <w:r w:rsidR="00E1276E" w:rsidRPr="007C15EB">
        <w:rPr>
          <w:rFonts w:cs="Tahoma"/>
        </w:rPr>
        <w:t>entrega de información incompleta, al mencionar que solo remit</w:t>
      </w:r>
      <w:r w:rsidR="00701E73" w:rsidRPr="007C15EB">
        <w:rPr>
          <w:rFonts w:cs="Tahoma"/>
        </w:rPr>
        <w:t>ía</w:t>
      </w:r>
      <w:r w:rsidR="00E1276E" w:rsidRPr="007C15EB">
        <w:rPr>
          <w:rFonts w:cs="Tahoma"/>
        </w:rPr>
        <w:t xml:space="preserve"> un listado y no </w:t>
      </w:r>
      <w:r w:rsidR="00701E73" w:rsidRPr="007C15EB">
        <w:rPr>
          <w:rFonts w:cs="Tahoma"/>
        </w:rPr>
        <w:t>el documento fuente</w:t>
      </w:r>
      <w:r w:rsidRPr="007C15EB">
        <w:rPr>
          <w:rFonts w:cs="Tahoma"/>
        </w:rPr>
        <w:t xml:space="preserve">, lo cual </w:t>
      </w:r>
      <w:r w:rsidRPr="007C15EB">
        <w:rPr>
          <w:rFonts w:eastAsia="Calibri" w:cs="Tahoma"/>
        </w:rPr>
        <w:t>actualiza la causal de proced</w:t>
      </w:r>
      <w:r w:rsidR="00EF5D6A" w:rsidRPr="007C15EB">
        <w:rPr>
          <w:rFonts w:eastAsia="Calibri" w:cs="Tahoma"/>
        </w:rPr>
        <w:t>encia prevista en la fracción V</w:t>
      </w:r>
      <w:r w:rsidRPr="007C15EB">
        <w:rPr>
          <w:rFonts w:eastAsia="Calibri" w:cs="Tahoma"/>
        </w:rPr>
        <w:t>, del artículo 179 de la Ley de Transparencia y Acceso a la Información Pública del Estado de México y Municipios</w:t>
      </w:r>
      <w:r w:rsidRPr="007C15EB">
        <w:rPr>
          <w:color w:val="0D0D0D"/>
        </w:rPr>
        <w:t xml:space="preserve">. </w:t>
      </w:r>
    </w:p>
    <w:p w14:paraId="3B44B044" w14:textId="5D4F94AB" w:rsidR="00EF5D6A" w:rsidRPr="007C15EB" w:rsidRDefault="00EF5D6A" w:rsidP="00EF5D6A">
      <w:pPr>
        <w:spacing w:after="0" w:line="360" w:lineRule="auto"/>
        <w:rPr>
          <w:rFonts w:cs="Tahoma"/>
          <w:lang w:val="es-ES"/>
        </w:rPr>
      </w:pPr>
      <w:r w:rsidRPr="007C15EB">
        <w:rPr>
          <w:rFonts w:cs="Tahoma"/>
          <w:bCs/>
          <w:lang w:val="es-ES"/>
        </w:rPr>
        <w:lastRenderedPageBreak/>
        <w:t xml:space="preserve">Conforme a lo anterior, se logra vislumbrar que, la persona Recurrente no se agravió de la respuesta entregada de los cambios de uso de suelo, sino, de </w:t>
      </w:r>
      <w:r w:rsidRPr="007C15EB">
        <w:rPr>
          <w:rFonts w:cs="Tahoma"/>
          <w:lang w:val="es-ES"/>
        </w:rPr>
        <w:t>que no le entregaron las licencias de uso de suelo y las c</w:t>
      </w:r>
      <w:r w:rsidR="00CB1924" w:rsidRPr="007C15EB">
        <w:rPr>
          <w:rFonts w:cs="Tahoma"/>
          <w:lang w:val="es-ES"/>
        </w:rPr>
        <w:t>édulas de zonificación mencionadas en las listas entregadas</w:t>
      </w:r>
      <w:r w:rsidRPr="007C15EB">
        <w:rPr>
          <w:rFonts w:cs="Tahoma"/>
          <w:bCs/>
          <w:lang w:val="es-ES"/>
        </w:rPr>
        <w:t>; por lo que, no se hará pronunciamiento alguno, resp</w:t>
      </w:r>
      <w:r w:rsidR="00CB1924" w:rsidRPr="007C15EB">
        <w:rPr>
          <w:rFonts w:cs="Tahoma"/>
          <w:bCs/>
          <w:lang w:val="es-ES"/>
        </w:rPr>
        <w:t>ecto del pronunciamiento respecto de los cambios de uso de suelo</w:t>
      </w:r>
      <w:r w:rsidRPr="007C15EB">
        <w:rPr>
          <w:rFonts w:cs="Tahoma"/>
          <w:bCs/>
          <w:lang w:val="es-ES"/>
        </w:rPr>
        <w:t>, de conformidad con el artículo 195 de la Ley de Transparencia y Acceso a la Información Pública del Estado de México y Municipios, en relación con el diverso 195, fracción IV, de Código de Procedimientos Administrativos del Estado de México, que establece que será improcedente el recurso contra los actos que se hayan consentido tácitamente, entendiéndose por estos cuando el agravio no se haya promovido en el plazo señalado para el efecto.</w:t>
      </w:r>
    </w:p>
    <w:p w14:paraId="552AFB11" w14:textId="77777777" w:rsidR="00EF5D6A" w:rsidRPr="007C15EB" w:rsidRDefault="00EF5D6A" w:rsidP="00EF5D6A">
      <w:pPr>
        <w:spacing w:after="0" w:line="360" w:lineRule="auto"/>
        <w:rPr>
          <w:rFonts w:cs="Tahoma"/>
          <w:bCs/>
          <w:lang w:val="es-ES"/>
        </w:rPr>
      </w:pPr>
      <w:r w:rsidRPr="007C15EB">
        <w:rPr>
          <w:rFonts w:cs="Tahoma"/>
          <w:bCs/>
          <w:lang w:val="es-ES"/>
        </w:rPr>
        <w:t xml:space="preserve"> </w:t>
      </w:r>
    </w:p>
    <w:p w14:paraId="6CEE9743" w14:textId="77777777" w:rsidR="00EF5D6A" w:rsidRPr="007C15EB" w:rsidRDefault="00EF5D6A" w:rsidP="00EF5D6A">
      <w:pPr>
        <w:spacing w:after="0" w:line="360" w:lineRule="auto"/>
        <w:rPr>
          <w:rFonts w:cs="Tahoma"/>
          <w:bCs/>
          <w:lang w:val="es-ES"/>
        </w:rPr>
      </w:pPr>
      <w:r w:rsidRPr="007C15EB">
        <w:rPr>
          <w:rFonts w:cs="Tahoma"/>
          <w:bCs/>
          <w:lang w:val="es-ES"/>
        </w:rPr>
        <w:t>De la misma manera resulta aplicable el criterio sostenido por el Poder Judicial de la Federación de rubro ACTOS CONSENTIDOS TÁCITAMENTE, Tesis VI.2o. J/21, emitida en la novena época, por el Segundo Tribunal Colegiado del Sexto Circuito, publicada en la Gaceta del Semanario Judicial de la Federación en agosto de 1995, página 291, número de registro 204707, del que se desprende que cuando no se reclaman los actos de autoridad en la vía y plazos establecidos en la Ley, se presume que el Particular está conforme con los mismos.</w:t>
      </w:r>
    </w:p>
    <w:p w14:paraId="182DC83F" w14:textId="77777777" w:rsidR="00EF5D6A" w:rsidRPr="007C15EB" w:rsidRDefault="00EF5D6A" w:rsidP="00EF5D6A">
      <w:pPr>
        <w:spacing w:after="0" w:line="360" w:lineRule="auto"/>
        <w:rPr>
          <w:rFonts w:cs="Tahoma"/>
          <w:bCs/>
          <w:lang w:val="es-ES"/>
        </w:rPr>
      </w:pPr>
      <w:r w:rsidRPr="007C15EB">
        <w:rPr>
          <w:rFonts w:cs="Tahoma"/>
          <w:bCs/>
          <w:lang w:val="es-ES"/>
        </w:rPr>
        <w:t xml:space="preserve"> </w:t>
      </w:r>
    </w:p>
    <w:p w14:paraId="2F67E9BC" w14:textId="77777777" w:rsidR="00EF5D6A" w:rsidRPr="007C15EB" w:rsidRDefault="00EF5D6A" w:rsidP="00EF5D6A">
      <w:pPr>
        <w:spacing w:after="0" w:line="360" w:lineRule="auto"/>
        <w:rPr>
          <w:rFonts w:cs="Tahoma"/>
          <w:bCs/>
          <w:lang w:val="es-ES"/>
        </w:rPr>
      </w:pPr>
      <w:r w:rsidRPr="007C15EB">
        <w:rPr>
          <w:rFonts w:cs="Tahoma"/>
          <w:bCs/>
          <w:lang w:val="es-ES"/>
        </w:rPr>
        <w:t xml:space="preserve">Conforme a lo previo, en el caso de que el Solicitante no haya manifestado su inconformidad en contra del acto en su totalidad o en cualquiera de sus partes, se tendrá por consentido al no haber realizado argumento alguno que formulara un agravio en su contra, por lo que, en la especie, se válida la respuesta respecto de los puntos no controvertidos y se arriba a la conclusión de que estos quedaron firmes. </w:t>
      </w:r>
    </w:p>
    <w:p w14:paraId="407EAAC3" w14:textId="77777777" w:rsidR="00EF5D6A" w:rsidRPr="007C15EB" w:rsidRDefault="00EF5D6A" w:rsidP="00EF5D6A">
      <w:pPr>
        <w:spacing w:after="0" w:line="360" w:lineRule="auto"/>
        <w:rPr>
          <w:rFonts w:cs="Tahoma"/>
          <w:bCs/>
          <w:lang w:val="es-ES"/>
        </w:rPr>
      </w:pPr>
    </w:p>
    <w:p w14:paraId="7935711A" w14:textId="27AB4429" w:rsidR="00CB1924" w:rsidRPr="007C15EB" w:rsidRDefault="00EF5D6A" w:rsidP="00CB1924">
      <w:pPr>
        <w:spacing w:after="0" w:line="360" w:lineRule="auto"/>
        <w:rPr>
          <w:rFonts w:cs="Tahoma"/>
          <w:bCs/>
          <w:lang w:val="es-ES"/>
        </w:rPr>
      </w:pPr>
      <w:r w:rsidRPr="007C15EB">
        <w:rPr>
          <w:rFonts w:cs="Tahoma"/>
          <w:bCs/>
          <w:lang w:val="es-ES"/>
        </w:rPr>
        <w:lastRenderedPageBreak/>
        <w:t xml:space="preserve"> Asimismo, resulta relevante traer a colación el Criterio Orientador, de la Segunda Época, con número de registro SO/001/2020, emitido por el entonces Instituto Nacional de Transparencia, Acceso a la Información y Protección de Datos Personales vigente a la fecha de la solicitud, el cual establece que es improcedente entrar al análisis de las partes de la respuesta del Sujeto Obligado que no fueron impugnadas por la persona Recurrente; por lo que, en el present</w:t>
      </w:r>
      <w:r w:rsidR="00CB1924" w:rsidRPr="007C15EB">
        <w:rPr>
          <w:rFonts w:cs="Tahoma"/>
          <w:bCs/>
          <w:lang w:val="es-ES"/>
        </w:rPr>
        <w:t>e caso, se tiene por consentido el pronunciamiento respecto de los cambios de uso de suelo y solo se entrará al análisis de las licencias de uso de suelo y las cédulas de zonificación mencionadas en las listas entregadas</w:t>
      </w:r>
      <w:r w:rsidRPr="007C15EB">
        <w:rPr>
          <w:rFonts w:cs="Tahoma"/>
          <w:bCs/>
          <w:lang w:val="es-ES"/>
        </w:rPr>
        <w:t xml:space="preserve">. Así, las cosas, una vez admitido y notificado el Recurso de Revisión a las partes, la </w:t>
      </w:r>
      <w:r w:rsidR="00CB1924" w:rsidRPr="007C15EB">
        <w:rPr>
          <w:rFonts w:cs="Tahoma"/>
          <w:bCs/>
          <w:lang w:val="es-ES"/>
        </w:rPr>
        <w:t>Dirección de Desarrollo Urbano y Metropolitano adjuntó cuatrocientos cuarenta hojas que contienen las Licencias de Uso de Suelo del ejercicio fiscal dos mil veinticinco y del primero de enero al veintiocho de abril de dos mil veintiséis y cuatrocientos cuarenta y siete hojas que contienen las Cédulas Informativas de Zonificación, del ejercicio fiscal dos mil veinticinco y del primero de enero al veintiocho de abril de dos mil veintiséis, así como, el Acuerdo de Clasificación.</w:t>
      </w:r>
    </w:p>
    <w:p w14:paraId="4D8BFBEF" w14:textId="77777777" w:rsidR="007440D7" w:rsidRPr="007C15EB" w:rsidRDefault="007440D7" w:rsidP="00D7021E">
      <w:pPr>
        <w:spacing w:after="0" w:line="360" w:lineRule="auto"/>
        <w:rPr>
          <w:rFonts w:cs="Tahoma"/>
        </w:rPr>
      </w:pPr>
    </w:p>
    <w:p w14:paraId="22C5958E" w14:textId="6210C22E" w:rsidR="007C7BAF" w:rsidRPr="007C15EB" w:rsidRDefault="007C7BAF" w:rsidP="00D7021E">
      <w:pPr>
        <w:tabs>
          <w:tab w:val="left" w:pos="4962"/>
        </w:tabs>
        <w:spacing w:after="0" w:line="360" w:lineRule="auto"/>
        <w:rPr>
          <w:rFonts w:eastAsia="Calibri" w:cs="Tahoma"/>
          <w:bCs/>
        </w:rPr>
      </w:pPr>
      <w:r w:rsidRPr="007C15EB">
        <w:rPr>
          <w:rFonts w:eastAsia="Calibri" w:cs="Tahoma"/>
          <w:iCs/>
          <w:lang w:eastAsia="es-ES_tradnl"/>
        </w:rPr>
        <w:t>Lo anterior, se desprende de las documentales que obran en el expediente de referencia, materia de la presente resolución, consistente en: la solic</w:t>
      </w:r>
      <w:r w:rsidR="00BB3F28" w:rsidRPr="007C15EB">
        <w:rPr>
          <w:rFonts w:eastAsia="Calibri" w:cs="Tahoma"/>
          <w:iCs/>
          <w:lang w:eastAsia="es-ES_tradnl"/>
        </w:rPr>
        <w:t>i</w:t>
      </w:r>
      <w:r w:rsidR="0076190F" w:rsidRPr="007C15EB">
        <w:rPr>
          <w:rFonts w:eastAsia="Calibri" w:cs="Tahoma"/>
          <w:iCs/>
          <w:lang w:eastAsia="es-ES_tradnl"/>
        </w:rPr>
        <w:t xml:space="preserve">tud de acceso a </w:t>
      </w:r>
      <w:r w:rsidR="003C46A9" w:rsidRPr="007C15EB">
        <w:rPr>
          <w:rFonts w:eastAsia="Calibri" w:cs="Tahoma"/>
          <w:iCs/>
          <w:lang w:eastAsia="es-ES_tradnl"/>
        </w:rPr>
        <w:t>la información</w:t>
      </w:r>
      <w:r w:rsidR="00F921B3" w:rsidRPr="007C15EB">
        <w:rPr>
          <w:rFonts w:eastAsia="Calibri" w:cs="Tahoma"/>
          <w:iCs/>
          <w:lang w:eastAsia="es-ES_tradnl"/>
        </w:rPr>
        <w:t xml:space="preserve">, </w:t>
      </w:r>
      <w:r w:rsidRPr="007C15EB">
        <w:rPr>
          <w:rFonts w:eastAsia="Calibri" w:cs="Tahoma"/>
          <w:iCs/>
          <w:lang w:eastAsia="es-ES_tradnl"/>
        </w:rPr>
        <w:t xml:space="preserve">el escrito </w:t>
      </w:r>
      <w:proofErr w:type="spellStart"/>
      <w:r w:rsidRPr="007C15EB">
        <w:rPr>
          <w:rFonts w:eastAsia="Calibri" w:cs="Tahoma"/>
          <w:iCs/>
          <w:lang w:eastAsia="es-ES_tradnl"/>
        </w:rPr>
        <w:t>recursal</w:t>
      </w:r>
      <w:proofErr w:type="spellEnd"/>
      <w:r w:rsidR="00F921B3" w:rsidRPr="007C15EB">
        <w:rPr>
          <w:rFonts w:eastAsia="Calibri" w:cs="Tahoma"/>
          <w:iCs/>
          <w:lang w:eastAsia="es-ES_tradnl"/>
        </w:rPr>
        <w:t xml:space="preserve"> y el Informe Justificado</w:t>
      </w:r>
      <w:r w:rsidRPr="007C15EB">
        <w:rPr>
          <w:rFonts w:eastAsia="Calibri" w:cs="Tahoma"/>
          <w:iCs/>
          <w:lang w:eastAsia="es-ES_tradnl"/>
        </w:rPr>
        <w:t xml:space="preserve">; </w:t>
      </w:r>
      <w:r w:rsidRPr="007C15EB">
        <w:rPr>
          <w:rFonts w:eastAsia="Calibri" w:cs="Tahoma"/>
          <w:bCs/>
        </w:rPr>
        <w:t>instrumentales que se toman en cuenta a efecto de resolver el presente medio de impugnación, conforme a lo dispuesto por el artículo 185, fracción IV, de la Ley de Transparencia y Acceso a la Información Pública del Estado de México y Municipios.</w:t>
      </w:r>
    </w:p>
    <w:p w14:paraId="766B3A4D" w14:textId="7FD5AF07" w:rsidR="00C672CD" w:rsidRPr="007C15EB" w:rsidRDefault="00C672CD" w:rsidP="00D7021E">
      <w:pPr>
        <w:pStyle w:val="Ttulo2"/>
        <w:spacing w:before="0" w:after="0" w:line="360" w:lineRule="auto"/>
        <w:rPr>
          <w:sz w:val="22"/>
          <w:szCs w:val="22"/>
        </w:rPr>
      </w:pPr>
    </w:p>
    <w:p w14:paraId="36DCBD9D" w14:textId="0AA8912A" w:rsidR="005C690F" w:rsidRPr="007C15EB" w:rsidRDefault="007D6307" w:rsidP="00D7021E">
      <w:pPr>
        <w:pStyle w:val="Ttulo2"/>
        <w:spacing w:before="0" w:after="0" w:line="360" w:lineRule="auto"/>
        <w:rPr>
          <w:sz w:val="22"/>
          <w:szCs w:val="22"/>
        </w:rPr>
      </w:pPr>
      <w:bookmarkStart w:id="11" w:name="_Toc234506072"/>
      <w:r w:rsidRPr="007C15EB">
        <w:rPr>
          <w:sz w:val="22"/>
          <w:szCs w:val="22"/>
        </w:rPr>
        <w:t xml:space="preserve">CUARTO. Marco normativo aplicable en materia de transparencia y </w:t>
      </w:r>
      <w:r w:rsidR="00CD6238" w:rsidRPr="007C15EB">
        <w:rPr>
          <w:sz w:val="22"/>
          <w:szCs w:val="22"/>
        </w:rPr>
        <w:t>acceso a la información pública</w:t>
      </w:r>
      <w:bookmarkEnd w:id="11"/>
    </w:p>
    <w:p w14:paraId="4D62F8F1" w14:textId="77777777" w:rsidR="005C690F" w:rsidRPr="007C15EB" w:rsidRDefault="005C690F" w:rsidP="00D7021E">
      <w:pPr>
        <w:spacing w:after="0" w:line="360" w:lineRule="auto"/>
        <w:rPr>
          <w:color w:val="000000"/>
        </w:rPr>
      </w:pPr>
    </w:p>
    <w:p w14:paraId="68F50546" w14:textId="77777777" w:rsidR="005C690F" w:rsidRPr="007C15EB" w:rsidRDefault="007D6307" w:rsidP="00D7021E">
      <w:pPr>
        <w:spacing w:after="0" w:line="360" w:lineRule="auto"/>
        <w:rPr>
          <w:color w:val="000000"/>
        </w:rPr>
      </w:pPr>
      <w:r w:rsidRPr="007C15EB">
        <w:rPr>
          <w:color w:val="000000"/>
        </w:rPr>
        <w:lastRenderedPageBreak/>
        <w:t>El artículo 6°, Apartado A), fracción I de la Constitución Política de los Estados Unidos Mexicanos, establece que toda la información en posesión de cualquier autoridad, es pública y sólo podrá ser reservada temporalmente por razones de interés público.</w:t>
      </w:r>
    </w:p>
    <w:p w14:paraId="792A5D2D" w14:textId="77777777" w:rsidR="005C690F" w:rsidRPr="007C15EB" w:rsidRDefault="005C690F" w:rsidP="00D7021E">
      <w:pPr>
        <w:spacing w:after="0" w:line="360" w:lineRule="auto"/>
        <w:rPr>
          <w:color w:val="000000"/>
        </w:rPr>
      </w:pPr>
    </w:p>
    <w:p w14:paraId="69458899" w14:textId="77777777" w:rsidR="005C690F" w:rsidRPr="007C15EB" w:rsidRDefault="007D6307" w:rsidP="00D7021E">
      <w:pPr>
        <w:spacing w:after="0" w:line="360" w:lineRule="auto"/>
        <w:rPr>
          <w:color w:val="000000"/>
        </w:rPr>
      </w:pPr>
      <w:r w:rsidRPr="007C15EB">
        <w:rPr>
          <w:color w:val="000000"/>
        </w:rPr>
        <w:t>En materia local, el artículo 5°, fracción I de la Constitución Política del Estado Libre y Soberano de México, es coincidente con la Constitución Federal, en el sentido de la publicidad de toda la información, con la única restricción de proteger el interés público, así como la información referente a la intimidad de la vida privada y la imagen de las personas, con las excepciones que establezca la ley reglamentaria.</w:t>
      </w:r>
    </w:p>
    <w:p w14:paraId="2B963C29" w14:textId="77777777" w:rsidR="005C690F" w:rsidRPr="007C15EB" w:rsidRDefault="005C690F" w:rsidP="00D7021E">
      <w:pPr>
        <w:spacing w:after="0" w:line="360" w:lineRule="auto"/>
        <w:rPr>
          <w:color w:val="000000"/>
        </w:rPr>
      </w:pPr>
    </w:p>
    <w:p w14:paraId="3D8EBDEC" w14:textId="77777777" w:rsidR="005C690F" w:rsidRPr="007C15EB" w:rsidRDefault="007D6307" w:rsidP="00D7021E">
      <w:pPr>
        <w:spacing w:after="0" w:line="360" w:lineRule="auto"/>
        <w:rPr>
          <w:color w:val="000000"/>
        </w:rPr>
      </w:pPr>
      <w:r w:rsidRPr="007C15EB">
        <w:rPr>
          <w:color w:val="000000"/>
        </w:rPr>
        <w:t>Por su parte, la Ley de Transparencia y Acceso a la Información Pública del Estado de México y Municipios (Reglamentaria del artículo 5° de la Constitución Local), establece lo siguiente:</w:t>
      </w:r>
    </w:p>
    <w:p w14:paraId="5BD9CB2E" w14:textId="77777777" w:rsidR="005C690F" w:rsidRPr="007C15EB" w:rsidRDefault="007D6307" w:rsidP="00D7021E">
      <w:pPr>
        <w:spacing w:after="0" w:line="360" w:lineRule="auto"/>
        <w:rPr>
          <w:color w:val="000000"/>
        </w:rPr>
      </w:pPr>
      <w:r w:rsidRPr="007C15EB">
        <w:rPr>
          <w:color w:val="000000"/>
        </w:rPr>
        <w:t>El artículo 12, que, quienes generen, recopilen, administren, manejen, procesen, archiven o conserven información pública serán responsables de la misma.</w:t>
      </w:r>
    </w:p>
    <w:p w14:paraId="05AE721A" w14:textId="77777777" w:rsidR="00E73C14" w:rsidRPr="007C15EB" w:rsidRDefault="00E73C14" w:rsidP="00D7021E">
      <w:pPr>
        <w:spacing w:after="0" w:line="360" w:lineRule="auto"/>
        <w:rPr>
          <w:color w:val="000000"/>
        </w:rPr>
      </w:pPr>
    </w:p>
    <w:p w14:paraId="3D899A16" w14:textId="77777777" w:rsidR="005C690F" w:rsidRPr="007C15EB" w:rsidRDefault="007D6307" w:rsidP="00D7021E">
      <w:pPr>
        <w:widowControl w:val="0"/>
        <w:spacing w:after="0" w:line="360" w:lineRule="auto"/>
        <w:rPr>
          <w:color w:val="000000"/>
        </w:rPr>
      </w:pPr>
      <w:r w:rsidRPr="007C15EB">
        <w:rPr>
          <w:color w:val="000000"/>
        </w:rPr>
        <w:t>El artículo 18, que, los Sujetos Obligados deberán documentar todo acto que derive del ejercicio de sus facultades, competencias o funciones, considerando desde su origen la eventual publicidad y reutilización de la información que generen.</w:t>
      </w:r>
    </w:p>
    <w:p w14:paraId="1E2F11F7" w14:textId="77777777" w:rsidR="00B153FA" w:rsidRPr="007C15EB" w:rsidRDefault="00B153FA" w:rsidP="00D7021E">
      <w:pPr>
        <w:widowControl w:val="0"/>
        <w:spacing w:after="0" w:line="360" w:lineRule="auto"/>
        <w:rPr>
          <w:color w:val="000000"/>
        </w:rPr>
      </w:pPr>
    </w:p>
    <w:p w14:paraId="70E5B643" w14:textId="378E2A57" w:rsidR="00B04A35" w:rsidRPr="007C15EB" w:rsidRDefault="007D6307" w:rsidP="00D7021E">
      <w:pPr>
        <w:spacing w:after="0" w:line="360" w:lineRule="auto"/>
        <w:rPr>
          <w:color w:val="000000"/>
        </w:rPr>
      </w:pPr>
      <w:r w:rsidRPr="007C15EB">
        <w:rPr>
          <w:color w:val="000000"/>
        </w:rPr>
        <w:t>El artículo 19, que, se presume que la información debe existir si se refiere a las facultades, competencias y funciones que los ordenamientos jurídicos aplicables otorgan a los sujetos obligados y en caso de que dichas facultades no se hayan ejercido, se deberá motivar la respuesta en función de las causas que motivaron tal circunstancia.</w:t>
      </w:r>
    </w:p>
    <w:p w14:paraId="30795D2E" w14:textId="77777777" w:rsidR="005C690F" w:rsidRPr="007C15EB" w:rsidRDefault="005C690F" w:rsidP="00D7021E">
      <w:pPr>
        <w:spacing w:after="0" w:line="360" w:lineRule="auto"/>
      </w:pPr>
    </w:p>
    <w:p w14:paraId="3AF871E5" w14:textId="6FEB966D" w:rsidR="005C690F" w:rsidRPr="007C15EB" w:rsidRDefault="00CD6238" w:rsidP="00D7021E">
      <w:pPr>
        <w:pStyle w:val="Ttulo2"/>
        <w:spacing w:before="0" w:after="0" w:line="360" w:lineRule="auto"/>
        <w:rPr>
          <w:sz w:val="22"/>
          <w:szCs w:val="22"/>
        </w:rPr>
      </w:pPr>
      <w:bookmarkStart w:id="12" w:name="_Toc234506073"/>
      <w:r w:rsidRPr="007C15EB">
        <w:rPr>
          <w:sz w:val="22"/>
          <w:szCs w:val="22"/>
        </w:rPr>
        <w:t>Q</w:t>
      </w:r>
      <w:r w:rsidR="0044017B" w:rsidRPr="007C15EB">
        <w:rPr>
          <w:sz w:val="22"/>
          <w:szCs w:val="22"/>
        </w:rPr>
        <w:t>UINTO</w:t>
      </w:r>
      <w:r w:rsidRPr="007C15EB">
        <w:rPr>
          <w:sz w:val="22"/>
          <w:szCs w:val="22"/>
        </w:rPr>
        <w:t>. Estudio de Fondo</w:t>
      </w:r>
      <w:bookmarkEnd w:id="12"/>
    </w:p>
    <w:p w14:paraId="2596B212" w14:textId="77777777" w:rsidR="00A56228" w:rsidRPr="007C15EB" w:rsidRDefault="00A56228" w:rsidP="00D7021E">
      <w:pPr>
        <w:spacing w:after="0" w:line="360" w:lineRule="auto"/>
        <w:rPr>
          <w:b/>
          <w:color w:val="000000"/>
        </w:rPr>
      </w:pPr>
    </w:p>
    <w:p w14:paraId="2579F887" w14:textId="006D4A29" w:rsidR="006A6DB6" w:rsidRPr="007C15EB" w:rsidRDefault="0064067B" w:rsidP="00D7021E">
      <w:pPr>
        <w:spacing w:after="0" w:line="360" w:lineRule="auto"/>
        <w:rPr>
          <w:rFonts w:eastAsia="Times New Roman" w:cs="Tahoma"/>
          <w:bCs/>
          <w:iCs/>
          <w:lang w:eastAsia="es-ES"/>
        </w:rPr>
      </w:pPr>
      <w:r w:rsidRPr="007C15EB">
        <w:rPr>
          <w:color w:val="000000"/>
        </w:rPr>
        <w:lastRenderedPageBreak/>
        <w:t>Expuestas las posturas de las partes, se procede al análisis de los agravios hechos valer por la persona Recurrente</w:t>
      </w:r>
      <w:r w:rsidR="00731FB9" w:rsidRPr="007C15EB">
        <w:t xml:space="preserve">, </w:t>
      </w:r>
      <w:r w:rsidR="007F4407" w:rsidRPr="007C15EB">
        <w:rPr>
          <w:rFonts w:eastAsia="Times New Roman" w:cs="Tahoma"/>
          <w:bCs/>
          <w:iCs/>
          <w:lang w:eastAsia="es-ES"/>
        </w:rPr>
        <w:t>por lo que, en principio es necesario contextualizar la solicitud de información.</w:t>
      </w:r>
    </w:p>
    <w:p w14:paraId="395E3F28" w14:textId="77777777" w:rsidR="005D70E2" w:rsidRPr="007C15EB" w:rsidRDefault="005D70E2" w:rsidP="00D7021E">
      <w:pPr>
        <w:spacing w:after="0" w:line="360" w:lineRule="auto"/>
        <w:rPr>
          <w:rFonts w:eastAsia="Times New Roman" w:cs="Tahoma"/>
          <w:bCs/>
          <w:iCs/>
          <w:lang w:eastAsia="es-ES"/>
        </w:rPr>
      </w:pPr>
    </w:p>
    <w:p w14:paraId="75302575" w14:textId="77777777" w:rsidR="00651294" w:rsidRPr="007C15EB" w:rsidRDefault="00651294" w:rsidP="00651294">
      <w:pPr>
        <w:spacing w:after="0" w:line="360" w:lineRule="auto"/>
        <w:rPr>
          <w:rFonts w:eastAsia="Times New Roman" w:cs="Tahoma"/>
          <w:bCs/>
          <w:iCs/>
          <w:lang w:eastAsia="es-ES"/>
        </w:rPr>
      </w:pPr>
      <w:r w:rsidRPr="007C15EB">
        <w:rPr>
          <w:rFonts w:eastAsia="Times New Roman" w:cs="Tahoma"/>
          <w:bCs/>
          <w:iCs/>
          <w:lang w:eastAsia="es-ES"/>
        </w:rPr>
        <w:t xml:space="preserve">Respecto al tema, Eduardo López Sosa, Natalia López Sosa. (2014). “Derecho Administrativo Mexicano”. (p. 262), establece que la autorización, la licencia, o el permiso es el acto administrativo por medio de los cuales se otorga a un particular, por un órgano administrativo, la facultad o el derecho para realizar una actividad o para hacer alguna cosa. </w:t>
      </w:r>
    </w:p>
    <w:p w14:paraId="6466C0AA" w14:textId="77777777" w:rsidR="005F2DB3" w:rsidRPr="007C15EB" w:rsidRDefault="005F2DB3" w:rsidP="00651294">
      <w:pPr>
        <w:spacing w:after="0" w:line="360" w:lineRule="auto"/>
        <w:rPr>
          <w:rFonts w:eastAsia="Times New Roman" w:cs="Tahoma"/>
          <w:bCs/>
          <w:iCs/>
          <w:lang w:eastAsia="es-ES"/>
        </w:rPr>
      </w:pPr>
    </w:p>
    <w:p w14:paraId="54FA1DC0" w14:textId="2F3B0FF3" w:rsidR="005F2DB3" w:rsidRPr="007C15EB" w:rsidRDefault="005F2DB3" w:rsidP="00651294">
      <w:pPr>
        <w:spacing w:after="0" w:line="360" w:lineRule="auto"/>
        <w:rPr>
          <w:rFonts w:eastAsia="Times New Roman" w:cs="Tahoma"/>
          <w:bCs/>
          <w:iCs/>
          <w:lang w:eastAsia="es-ES"/>
        </w:rPr>
      </w:pPr>
      <w:r w:rsidRPr="007C15EB">
        <w:rPr>
          <w:rFonts w:eastAsia="Times New Roman" w:cs="Tahoma"/>
          <w:bCs/>
          <w:iCs/>
          <w:lang w:eastAsia="es-ES"/>
        </w:rPr>
        <w:t>En ese sentido, el artículo 5.10, del  Código Administrativo del Estado de México, precisa que, los municipios se encargaran de expedir cédulas informativas de zonificación, licencias de uso de suelo y licencias de construcción.</w:t>
      </w:r>
    </w:p>
    <w:p w14:paraId="5319E699" w14:textId="77777777" w:rsidR="00651294" w:rsidRPr="007C15EB" w:rsidRDefault="00651294" w:rsidP="00651294">
      <w:pPr>
        <w:spacing w:after="0" w:line="360" w:lineRule="auto"/>
        <w:rPr>
          <w:rFonts w:eastAsia="Times New Roman" w:cs="Tahoma"/>
          <w:bCs/>
          <w:iCs/>
          <w:lang w:eastAsia="es-ES"/>
        </w:rPr>
      </w:pPr>
    </w:p>
    <w:p w14:paraId="74650F78" w14:textId="4FAC168A" w:rsidR="00D9055A" w:rsidRPr="007C15EB" w:rsidRDefault="005F2DB3" w:rsidP="00651294">
      <w:pPr>
        <w:spacing w:after="0" w:line="360" w:lineRule="auto"/>
        <w:rPr>
          <w:rFonts w:eastAsia="Times New Roman" w:cs="Tahoma"/>
          <w:bCs/>
          <w:iCs/>
          <w:lang w:eastAsia="es-ES"/>
        </w:rPr>
      </w:pPr>
      <w:r w:rsidRPr="007C15EB">
        <w:rPr>
          <w:rFonts w:eastAsia="Times New Roman" w:cs="Tahoma"/>
          <w:bCs/>
          <w:iCs/>
          <w:lang w:eastAsia="es-ES"/>
        </w:rPr>
        <w:t>Asimismo</w:t>
      </w:r>
      <w:r w:rsidR="00D9055A" w:rsidRPr="007C15EB">
        <w:rPr>
          <w:rFonts w:eastAsia="Times New Roman" w:cs="Tahoma"/>
          <w:bCs/>
          <w:iCs/>
          <w:lang w:eastAsia="es-ES"/>
        </w:rPr>
        <w:t>, los artículos 5.54</w:t>
      </w:r>
      <w:r w:rsidR="004C3930" w:rsidRPr="007C15EB">
        <w:rPr>
          <w:rFonts w:eastAsia="Times New Roman" w:cs="Tahoma"/>
          <w:bCs/>
          <w:iCs/>
          <w:lang w:eastAsia="es-ES"/>
        </w:rPr>
        <w:t>, 5.55 y 5.56</w:t>
      </w:r>
      <w:r w:rsidR="00D9055A" w:rsidRPr="007C15EB">
        <w:rPr>
          <w:rFonts w:eastAsia="Times New Roman" w:cs="Tahoma"/>
          <w:bCs/>
          <w:iCs/>
          <w:lang w:eastAsia="es-ES"/>
        </w:rPr>
        <w:t xml:space="preserve"> del Código mencionado, establecen el objeto de la licencia de </w:t>
      </w:r>
      <w:r w:rsidR="004C3930" w:rsidRPr="007C15EB">
        <w:rPr>
          <w:rFonts w:eastAsia="Times New Roman" w:cs="Tahoma"/>
          <w:bCs/>
          <w:iCs/>
          <w:lang w:eastAsia="es-ES"/>
        </w:rPr>
        <w:t xml:space="preserve">usos de suelo </w:t>
      </w:r>
      <w:r w:rsidR="00D9055A" w:rsidRPr="007C15EB">
        <w:rPr>
          <w:rFonts w:eastAsia="Times New Roman" w:cs="Tahoma"/>
          <w:bCs/>
          <w:iCs/>
          <w:lang w:eastAsia="es-ES"/>
        </w:rPr>
        <w:t>y de la cédula informativa de zonificación, conforme a lo siguiente:</w:t>
      </w:r>
    </w:p>
    <w:p w14:paraId="2BC3393E" w14:textId="77777777" w:rsidR="00D9055A" w:rsidRPr="007C15EB" w:rsidRDefault="00D9055A" w:rsidP="00651294">
      <w:pPr>
        <w:spacing w:after="0" w:line="360" w:lineRule="auto"/>
        <w:rPr>
          <w:rFonts w:eastAsia="Times New Roman" w:cs="Tahoma"/>
          <w:bCs/>
          <w:iCs/>
          <w:lang w:eastAsia="es-ES"/>
        </w:rPr>
      </w:pPr>
    </w:p>
    <w:p w14:paraId="469431EB" w14:textId="7665F084" w:rsidR="00651294" w:rsidRPr="007C15EB" w:rsidRDefault="00D9055A" w:rsidP="004C3930">
      <w:pPr>
        <w:pStyle w:val="Prrafodelista"/>
        <w:numPr>
          <w:ilvl w:val="0"/>
          <w:numId w:val="16"/>
        </w:numPr>
        <w:spacing w:line="360" w:lineRule="auto"/>
        <w:rPr>
          <w:rFonts w:cs="Tahoma"/>
          <w:bCs/>
          <w:iCs/>
        </w:rPr>
      </w:pPr>
      <w:r w:rsidRPr="007C15EB">
        <w:rPr>
          <w:rFonts w:cs="Tahoma"/>
          <w:bCs/>
          <w:iCs/>
        </w:rPr>
        <w:t>La licencia</w:t>
      </w:r>
      <w:r w:rsidR="004C3930" w:rsidRPr="007C15EB">
        <w:rPr>
          <w:rFonts w:cs="Tahoma"/>
          <w:bCs/>
          <w:iCs/>
        </w:rPr>
        <w:t xml:space="preserve"> de uso de suelo tendrá por objeto autorizar las normas para el uso y aprovechamiento del suelo establecidas en el plan municipal de desarrollo urbano aplicable.</w:t>
      </w:r>
    </w:p>
    <w:p w14:paraId="3E4BD811" w14:textId="2E7050BC" w:rsidR="00651294" w:rsidRPr="007C15EB" w:rsidRDefault="00D9055A" w:rsidP="0036200A">
      <w:pPr>
        <w:pStyle w:val="Prrafodelista"/>
        <w:numPr>
          <w:ilvl w:val="0"/>
          <w:numId w:val="16"/>
        </w:numPr>
        <w:spacing w:line="360" w:lineRule="auto"/>
        <w:rPr>
          <w:rFonts w:cs="Tahoma"/>
          <w:bCs/>
          <w:iCs/>
        </w:rPr>
      </w:pPr>
      <w:r w:rsidRPr="007C15EB">
        <w:rPr>
          <w:rFonts w:cs="Tahoma"/>
          <w:bCs/>
          <w:iCs/>
        </w:rPr>
        <w:t xml:space="preserve">La cédula informativa de zonificación tiene por objeto dar a conocer los usos del suelo, la densidad de vivienda, el coeficiente de ocupación del suelo, el coeficiente de utilización del suelo y la altura de edificaciones y las restricciones de índole federal, estatal y municipal, que para un predio o inmueble determinado establezca el plan municipal de desarrollo urbano correspondiente, es decir, tiene únicamente carácter informativo y estará vigente en tanto no se modifique el plan del que deriva. </w:t>
      </w:r>
    </w:p>
    <w:p w14:paraId="0717CEFA" w14:textId="77777777" w:rsidR="00D9055A" w:rsidRPr="007C15EB" w:rsidRDefault="00D9055A" w:rsidP="00D9055A">
      <w:pPr>
        <w:spacing w:line="360" w:lineRule="auto"/>
        <w:rPr>
          <w:rFonts w:cs="Tahoma"/>
          <w:bCs/>
          <w:iCs/>
        </w:rPr>
      </w:pPr>
    </w:p>
    <w:p w14:paraId="7EACD9E4" w14:textId="77777777" w:rsidR="00651294" w:rsidRPr="007C15EB" w:rsidRDefault="00651294" w:rsidP="00651294">
      <w:pPr>
        <w:spacing w:after="0" w:line="360" w:lineRule="auto"/>
        <w:rPr>
          <w:rFonts w:eastAsia="Times New Roman" w:cs="Tahoma"/>
          <w:bCs/>
          <w:iCs/>
          <w:lang w:eastAsia="es-ES"/>
        </w:rPr>
      </w:pPr>
      <w:r w:rsidRPr="007C15EB">
        <w:rPr>
          <w:rFonts w:eastAsia="Times New Roman" w:cs="Tahoma"/>
          <w:bCs/>
          <w:iCs/>
          <w:lang w:eastAsia="es-ES"/>
        </w:rPr>
        <w:lastRenderedPageBreak/>
        <w:t xml:space="preserve">En ese mismo orden de ideas, el artículo 96 </w:t>
      </w:r>
      <w:proofErr w:type="spellStart"/>
      <w:r w:rsidRPr="007C15EB">
        <w:rPr>
          <w:rFonts w:eastAsia="Times New Roman" w:cs="Tahoma"/>
          <w:bCs/>
          <w:iCs/>
          <w:lang w:eastAsia="es-ES"/>
        </w:rPr>
        <w:t>sexies</w:t>
      </w:r>
      <w:proofErr w:type="spellEnd"/>
      <w:r w:rsidRPr="007C15EB">
        <w:rPr>
          <w:rFonts w:eastAsia="Times New Roman" w:cs="Tahoma"/>
          <w:bCs/>
          <w:iCs/>
          <w:lang w:eastAsia="es-ES"/>
        </w:rPr>
        <w:t xml:space="preserve"> de la Ley Orgánica Municipal del Estado de México, establece que el Director de Desarrollo Urbano o el Titular de la Unidad Administrativa equivalente, dentro de sus atribuciones tiene la de analizar las cédulas informativas de zonificación, licencias de uso de suelo y licencias de construcción.</w:t>
      </w:r>
    </w:p>
    <w:p w14:paraId="482FF83D" w14:textId="77777777" w:rsidR="00651294" w:rsidRPr="007C15EB" w:rsidRDefault="00651294" w:rsidP="00651294">
      <w:pPr>
        <w:spacing w:after="0" w:line="360" w:lineRule="auto"/>
        <w:rPr>
          <w:rFonts w:eastAsia="Times New Roman" w:cs="Tahoma"/>
          <w:bCs/>
          <w:iCs/>
          <w:lang w:eastAsia="es-ES"/>
        </w:rPr>
      </w:pPr>
    </w:p>
    <w:p w14:paraId="6FA9B2E7" w14:textId="7353121A" w:rsidR="005D70E2" w:rsidRPr="007C15EB" w:rsidRDefault="00651294" w:rsidP="00651294">
      <w:pPr>
        <w:spacing w:after="0" w:line="360" w:lineRule="auto"/>
        <w:rPr>
          <w:rFonts w:cs="Tahoma"/>
        </w:rPr>
      </w:pPr>
      <w:r w:rsidRPr="007C15EB">
        <w:rPr>
          <w:rFonts w:cs="Tahoma"/>
        </w:rPr>
        <w:t xml:space="preserve">Asimismo, el artículo 92, fracción XXXII, de la Ley de Transparencia y Acceso a la Información Pública del Estado de México y Municipios, dispone que es obligación de los Sujetos Obligados poner a disposición pública de manera permanente y actualizada la información consistente en </w:t>
      </w:r>
      <w:r w:rsidRPr="007C15EB">
        <w:rPr>
          <w:rFonts w:cs="Tahoma"/>
          <w:b/>
        </w:rPr>
        <w:t>licencias o autorizaciones otorgadas</w:t>
      </w:r>
      <w:r w:rsidRPr="007C15EB">
        <w:rPr>
          <w:rFonts w:cs="Tahoma"/>
        </w:rPr>
        <w:t>, especificando los titulares de aquéllos, debiendo publicarse su objeto, nombre o razón social del titular, vigencia, tipo, términos, condiciones, monto y modificaciones, así como si el procedimiento involucra el aprovechamiento de bienes, servicios y/o recursos públicos.</w:t>
      </w:r>
    </w:p>
    <w:p w14:paraId="6B4AC004" w14:textId="77777777" w:rsidR="00A83AF8" w:rsidRPr="007C15EB" w:rsidRDefault="00A83AF8" w:rsidP="00651294">
      <w:pPr>
        <w:spacing w:after="0" w:line="360" w:lineRule="auto"/>
        <w:rPr>
          <w:rFonts w:cs="Tahoma"/>
        </w:rPr>
      </w:pPr>
    </w:p>
    <w:p w14:paraId="2DB55C48" w14:textId="13A669E8" w:rsidR="00A83AF8" w:rsidRPr="007C15EB" w:rsidRDefault="0036200A" w:rsidP="00651294">
      <w:pPr>
        <w:spacing w:after="0" w:line="360" w:lineRule="auto"/>
        <w:rPr>
          <w:rFonts w:eastAsia="Times New Roman" w:cs="Tahoma"/>
          <w:bCs/>
          <w:iCs/>
          <w:lang w:eastAsia="es-ES"/>
        </w:rPr>
      </w:pPr>
      <w:r w:rsidRPr="007C15EB">
        <w:rPr>
          <w:rFonts w:cs="Tahoma"/>
        </w:rPr>
        <w:t xml:space="preserve">Ahora bien, el artículo 96, del Bando Municipal de </w:t>
      </w:r>
      <w:r w:rsidR="004C3930" w:rsidRPr="007C15EB">
        <w:rPr>
          <w:rFonts w:cs="Tahoma"/>
        </w:rPr>
        <w:t>Tianguistenco, dos mil veintiséis, establece que, el Ayuntamiento, a través de la Dirección de Desarrollo Urbano y  Metropolitano, se encargará de emitir conforme a los requisitos y a la normatividad vigente la expedición de Cédulas Informativas de Zonificación y Licencias de Uso de Suelo, entre otras.</w:t>
      </w:r>
    </w:p>
    <w:p w14:paraId="5B89CC5B" w14:textId="77777777" w:rsidR="004B2D6A" w:rsidRPr="007C15EB" w:rsidRDefault="004B2D6A" w:rsidP="004C5119">
      <w:pPr>
        <w:spacing w:after="0" w:line="360" w:lineRule="auto"/>
        <w:rPr>
          <w:rFonts w:eastAsia="Times New Roman" w:cs="Tahoma"/>
          <w:bCs/>
          <w:iCs/>
          <w:lang w:eastAsia="es-ES"/>
        </w:rPr>
      </w:pPr>
    </w:p>
    <w:p w14:paraId="46DD4332" w14:textId="77777777" w:rsidR="004C3930" w:rsidRPr="007C15EB" w:rsidRDefault="00746C7D" w:rsidP="004C3930">
      <w:pPr>
        <w:spacing w:after="0" w:line="360" w:lineRule="auto"/>
        <w:rPr>
          <w:rFonts w:cs="Tahoma"/>
        </w:rPr>
      </w:pPr>
      <w:r w:rsidRPr="007C15EB">
        <w:rPr>
          <w:rFonts w:eastAsia="Times New Roman" w:cs="Tahoma"/>
          <w:bCs/>
          <w:iCs/>
          <w:lang w:eastAsia="es-ES"/>
        </w:rPr>
        <w:t xml:space="preserve">Así, se logra vislumbrar que la pretensión de la persona Recurrente, es obtener, </w:t>
      </w:r>
      <w:r w:rsidR="004C3930" w:rsidRPr="007C15EB">
        <w:rPr>
          <w:rFonts w:cs="Tahoma"/>
        </w:rPr>
        <w:t>del primero de enero de dos mil veinticinco al veintiocho de abril de dos mil veintiséis, lo siguiente:</w:t>
      </w:r>
    </w:p>
    <w:p w14:paraId="3167A291" w14:textId="77777777" w:rsidR="004C3930" w:rsidRPr="007C15EB" w:rsidRDefault="004C3930" w:rsidP="004C3930">
      <w:pPr>
        <w:spacing w:after="0" w:line="360" w:lineRule="auto"/>
        <w:rPr>
          <w:rFonts w:cs="Tahoma"/>
        </w:rPr>
      </w:pPr>
    </w:p>
    <w:p w14:paraId="6FD46080" w14:textId="754161FB" w:rsidR="004C3930" w:rsidRPr="007C15EB" w:rsidRDefault="00EF1088" w:rsidP="004C3930">
      <w:pPr>
        <w:pStyle w:val="Prrafodelista"/>
        <w:numPr>
          <w:ilvl w:val="0"/>
          <w:numId w:val="18"/>
        </w:numPr>
        <w:spacing w:line="360" w:lineRule="auto"/>
        <w:rPr>
          <w:rFonts w:cs="Tahoma"/>
        </w:rPr>
      </w:pPr>
      <w:r w:rsidRPr="007C15EB">
        <w:rPr>
          <w:rFonts w:cs="Tahoma"/>
        </w:rPr>
        <w:t>Cédulas de zonificación, y</w:t>
      </w:r>
    </w:p>
    <w:p w14:paraId="418707CF" w14:textId="6DD5B4C5" w:rsidR="004C3930" w:rsidRPr="007C15EB" w:rsidRDefault="00EF1088" w:rsidP="004C3930">
      <w:pPr>
        <w:pStyle w:val="Prrafodelista"/>
        <w:numPr>
          <w:ilvl w:val="0"/>
          <w:numId w:val="18"/>
        </w:numPr>
        <w:spacing w:line="360" w:lineRule="auto"/>
        <w:rPr>
          <w:rFonts w:cs="Tahoma"/>
        </w:rPr>
      </w:pPr>
      <w:r w:rsidRPr="007C15EB">
        <w:rPr>
          <w:rFonts w:cs="Tahoma"/>
        </w:rPr>
        <w:t>Licencias de uso de suelo.</w:t>
      </w:r>
    </w:p>
    <w:p w14:paraId="59357034" w14:textId="77777777" w:rsidR="00701E73" w:rsidRPr="007C15EB" w:rsidRDefault="00701E73" w:rsidP="00D7021E">
      <w:pPr>
        <w:spacing w:after="0" w:line="360" w:lineRule="auto"/>
        <w:rPr>
          <w:color w:val="000000"/>
          <w:lang w:eastAsia="es-ES_tradnl"/>
        </w:rPr>
      </w:pPr>
    </w:p>
    <w:p w14:paraId="2F43139B" w14:textId="5EC8D237" w:rsidR="001805A9" w:rsidRPr="007C15EB" w:rsidRDefault="001805A9" w:rsidP="00D7021E">
      <w:pPr>
        <w:spacing w:after="0" w:line="360" w:lineRule="auto"/>
        <w:rPr>
          <w:color w:val="0D0D0D"/>
        </w:rPr>
      </w:pPr>
      <w:r w:rsidRPr="007C15EB">
        <w:rPr>
          <w:color w:val="000000"/>
          <w:lang w:eastAsia="es-ES_tradnl"/>
        </w:rPr>
        <w:t>Establecida dicha circunstancia</w:t>
      </w:r>
      <w:r w:rsidRPr="007C15EB">
        <w:rPr>
          <w:color w:val="000000"/>
        </w:rPr>
        <w:t>, de las constancias que obran en el expediente electrónico, se advierte que el Sujeto Obligado</w:t>
      </w:r>
      <w:r w:rsidRPr="007C15EB">
        <w:rPr>
          <w:color w:val="0D0D0D"/>
        </w:rPr>
        <w:t xml:space="preserve"> </w:t>
      </w:r>
      <w:r w:rsidR="00EF1088" w:rsidRPr="007C15EB">
        <w:rPr>
          <w:color w:val="0D0D0D"/>
        </w:rPr>
        <w:t xml:space="preserve">dio respuesta a través de la Dirección de Desarrollo Urbano </w:t>
      </w:r>
      <w:r w:rsidR="00EF1088" w:rsidRPr="007C15EB">
        <w:rPr>
          <w:color w:val="0D0D0D"/>
        </w:rPr>
        <w:lastRenderedPageBreak/>
        <w:t>y  Metropolitano</w:t>
      </w:r>
      <w:r w:rsidRPr="007C15EB">
        <w:rPr>
          <w:color w:val="000000"/>
        </w:rPr>
        <w:t xml:space="preserve">; </w:t>
      </w:r>
      <w:r w:rsidRPr="007C15EB">
        <w:t xml:space="preserve">por lo que, es oportuno hacer referencia al </w:t>
      </w:r>
      <w:r w:rsidRPr="007C15EB">
        <w:rPr>
          <w:b/>
        </w:rPr>
        <w:t>procedimiento de búsqueda que deben de seguir los Sujetos Obligados para localizar la información</w:t>
      </w:r>
      <w:r w:rsidRPr="007C15EB">
        <w:t>, el cual se encuentra previsto en el artículo 162 de la Ley de Transparencia y Acceso a la Información Pública del Estado de México y Municipios, el cual establece que las Unidades de Transparencia garantizarán que las solicitudes de acceso a la información se turnen a todas las áreas competentes que cuenten con la información o deban tenerla -de acuerdo con las facultades, competencias y funciones- con el objeto de que dichas áreas realicen una búsqueda exhaustiva y razonable de la información requerida.</w:t>
      </w:r>
    </w:p>
    <w:p w14:paraId="21300A58" w14:textId="77777777" w:rsidR="001805A9" w:rsidRPr="007C15EB" w:rsidRDefault="001805A9" w:rsidP="00D7021E">
      <w:pPr>
        <w:spacing w:after="0" w:line="360" w:lineRule="auto"/>
      </w:pPr>
    </w:p>
    <w:p w14:paraId="6B53BCA2" w14:textId="0493AB5F" w:rsidR="0018705D" w:rsidRPr="007C15EB" w:rsidRDefault="001805A9" w:rsidP="00D7021E">
      <w:pPr>
        <w:spacing w:after="0" w:line="360" w:lineRule="auto"/>
      </w:pPr>
      <w:r w:rsidRPr="007C15EB">
        <w:t>Así y de lo plasmado en párrafos anteriores, se logra colegir que el Sujeto Obligado</w:t>
      </w:r>
      <w:r w:rsidR="004B2D6A" w:rsidRPr="007C15EB">
        <w:t xml:space="preserve"> </w:t>
      </w:r>
      <w:r w:rsidRPr="007C15EB">
        <w:t>cumplió con el procedimiento de búsqueda establecido en el artículo 162 de la Ley de Transparencia y Acceso a la Información Pública del Estado de México y Municipios, toda vez, qu</w:t>
      </w:r>
      <w:r w:rsidR="006C1C90" w:rsidRPr="007C15EB">
        <w:t>e</w:t>
      </w:r>
      <w:r w:rsidR="004B2D6A" w:rsidRPr="007C15EB">
        <w:t xml:space="preserve"> </w:t>
      </w:r>
      <w:r w:rsidRPr="007C15EB">
        <w:t xml:space="preserve">gestionó el requerimiento de información </w:t>
      </w:r>
      <w:r w:rsidR="0018705D" w:rsidRPr="007C15EB">
        <w:t xml:space="preserve">con </w:t>
      </w:r>
      <w:r w:rsidR="00540E0B" w:rsidRPr="007C15EB">
        <w:t>el</w:t>
      </w:r>
      <w:r w:rsidR="006D16D9" w:rsidRPr="007C15EB">
        <w:t xml:space="preserve"> área competente de </w:t>
      </w:r>
      <w:r w:rsidR="00EF1088" w:rsidRPr="007C15EB">
        <w:t>tener en sus archivos las licencias de uso de suelo y las cédulas informativas de zonificación.</w:t>
      </w:r>
    </w:p>
    <w:p w14:paraId="57BA53C5" w14:textId="77777777" w:rsidR="0018705D" w:rsidRPr="007C15EB" w:rsidRDefault="0018705D" w:rsidP="00D7021E">
      <w:pPr>
        <w:spacing w:after="0" w:line="360" w:lineRule="auto"/>
      </w:pPr>
    </w:p>
    <w:p w14:paraId="30FBE129" w14:textId="4A75CB8D" w:rsidR="00FA53A5" w:rsidRPr="007C15EB" w:rsidRDefault="0018705D" w:rsidP="00540E0B">
      <w:pPr>
        <w:spacing w:after="0" w:line="360" w:lineRule="auto"/>
      </w:pPr>
      <w:r w:rsidRPr="007C15EB">
        <w:t>Ahora bien, en respuesta</w:t>
      </w:r>
      <w:r w:rsidR="00926E3E" w:rsidRPr="007C15EB">
        <w:t>,</w:t>
      </w:r>
      <w:r w:rsidRPr="007C15EB">
        <w:t xml:space="preserve"> </w:t>
      </w:r>
      <w:r w:rsidR="00FA53A5" w:rsidRPr="007C15EB">
        <w:t xml:space="preserve">la Dirección de Desarrollo Urbano y  Metropolitano mencionó que entrega la relación de licencias de uso de suelo autorizadas, así como las cédulas informativas de zonificación que se emitieron en el periodo comprendido del </w:t>
      </w:r>
      <w:r w:rsidR="00436DB8" w:rsidRPr="007C15EB">
        <w:t xml:space="preserve">primero de enero al veintiocho de abril de dos mil veintiséis </w:t>
      </w:r>
      <w:r w:rsidR="00FA53A5" w:rsidRPr="007C15EB">
        <w:t xml:space="preserve">y adjuntó un relación que contiene número de expediente, nombre del titular y tipo  de autorización, </w:t>
      </w:r>
      <w:r w:rsidR="00436DB8" w:rsidRPr="007C15EB">
        <w:t>como se muestra en los extractos siguientes:</w:t>
      </w:r>
    </w:p>
    <w:p w14:paraId="240EB8DD" w14:textId="77777777" w:rsidR="00436DB8" w:rsidRPr="007C15EB" w:rsidRDefault="00436DB8" w:rsidP="00540E0B">
      <w:pPr>
        <w:spacing w:after="0" w:line="360" w:lineRule="auto"/>
      </w:pPr>
    </w:p>
    <w:p w14:paraId="63D6CB8D" w14:textId="0C92E2B9" w:rsidR="00436DB8" w:rsidRPr="007C15EB" w:rsidRDefault="00436DB8" w:rsidP="00540E0B">
      <w:pPr>
        <w:spacing w:after="0" w:line="360" w:lineRule="auto"/>
      </w:pPr>
      <w:r w:rsidRPr="007C15EB">
        <w:rPr>
          <w:noProof/>
        </w:rPr>
        <w:drawing>
          <wp:inline distT="0" distB="0" distL="0" distR="0" wp14:anchorId="4E2592E4" wp14:editId="2068BEC0">
            <wp:extent cx="1000125" cy="1164080"/>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60F878.tmp"/>
                    <pic:cNvPicPr/>
                  </pic:nvPicPr>
                  <pic:blipFill>
                    <a:blip r:embed="rId10">
                      <a:extLst>
                        <a:ext uri="{28A0092B-C50C-407E-A947-70E740481C1C}">
                          <a14:useLocalDpi xmlns:a14="http://schemas.microsoft.com/office/drawing/2010/main" val="0"/>
                        </a:ext>
                      </a:extLst>
                    </a:blip>
                    <a:stretch>
                      <a:fillRect/>
                    </a:stretch>
                  </pic:blipFill>
                  <pic:spPr>
                    <a:xfrm>
                      <a:off x="0" y="0"/>
                      <a:ext cx="1004788" cy="1169508"/>
                    </a:xfrm>
                    <a:prstGeom prst="rect">
                      <a:avLst/>
                    </a:prstGeom>
                  </pic:spPr>
                </pic:pic>
              </a:graphicData>
            </a:graphic>
          </wp:inline>
        </w:drawing>
      </w:r>
      <w:r w:rsidRPr="007C15EB">
        <w:rPr>
          <w:noProof/>
        </w:rPr>
        <w:drawing>
          <wp:inline distT="0" distB="0" distL="0" distR="0" wp14:anchorId="4C972DFA" wp14:editId="044016CF">
            <wp:extent cx="1600200" cy="1145320"/>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602844.tmp"/>
                    <pic:cNvPicPr/>
                  </pic:nvPicPr>
                  <pic:blipFill>
                    <a:blip r:embed="rId11">
                      <a:extLst>
                        <a:ext uri="{28A0092B-C50C-407E-A947-70E740481C1C}">
                          <a14:useLocalDpi xmlns:a14="http://schemas.microsoft.com/office/drawing/2010/main" val="0"/>
                        </a:ext>
                      </a:extLst>
                    </a:blip>
                    <a:stretch>
                      <a:fillRect/>
                    </a:stretch>
                  </pic:blipFill>
                  <pic:spPr>
                    <a:xfrm>
                      <a:off x="0" y="0"/>
                      <a:ext cx="1608467" cy="1151237"/>
                    </a:xfrm>
                    <a:prstGeom prst="rect">
                      <a:avLst/>
                    </a:prstGeom>
                  </pic:spPr>
                </pic:pic>
              </a:graphicData>
            </a:graphic>
          </wp:inline>
        </w:drawing>
      </w:r>
      <w:r w:rsidRPr="007C15EB">
        <w:rPr>
          <w:noProof/>
        </w:rPr>
        <w:drawing>
          <wp:inline distT="0" distB="0" distL="0" distR="0" wp14:anchorId="6311B36F" wp14:editId="375995CB">
            <wp:extent cx="1548343" cy="1075690"/>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607972.tmp"/>
                    <pic:cNvPicPr/>
                  </pic:nvPicPr>
                  <pic:blipFill>
                    <a:blip r:embed="rId12">
                      <a:extLst>
                        <a:ext uri="{28A0092B-C50C-407E-A947-70E740481C1C}">
                          <a14:useLocalDpi xmlns:a14="http://schemas.microsoft.com/office/drawing/2010/main" val="0"/>
                        </a:ext>
                      </a:extLst>
                    </a:blip>
                    <a:stretch>
                      <a:fillRect/>
                    </a:stretch>
                  </pic:blipFill>
                  <pic:spPr>
                    <a:xfrm>
                      <a:off x="0" y="0"/>
                      <a:ext cx="1573329" cy="1093049"/>
                    </a:xfrm>
                    <a:prstGeom prst="rect">
                      <a:avLst/>
                    </a:prstGeom>
                  </pic:spPr>
                </pic:pic>
              </a:graphicData>
            </a:graphic>
          </wp:inline>
        </w:drawing>
      </w:r>
      <w:r w:rsidRPr="007C15EB">
        <w:rPr>
          <w:noProof/>
        </w:rPr>
        <w:drawing>
          <wp:inline distT="0" distB="0" distL="0" distR="0" wp14:anchorId="7A109344" wp14:editId="492266D0">
            <wp:extent cx="1419225" cy="1053214"/>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F60A20A.tmp"/>
                    <pic:cNvPicPr/>
                  </pic:nvPicPr>
                  <pic:blipFill>
                    <a:blip r:embed="rId13">
                      <a:extLst>
                        <a:ext uri="{28A0092B-C50C-407E-A947-70E740481C1C}">
                          <a14:useLocalDpi xmlns:a14="http://schemas.microsoft.com/office/drawing/2010/main" val="0"/>
                        </a:ext>
                      </a:extLst>
                    </a:blip>
                    <a:stretch>
                      <a:fillRect/>
                    </a:stretch>
                  </pic:blipFill>
                  <pic:spPr>
                    <a:xfrm>
                      <a:off x="0" y="0"/>
                      <a:ext cx="1440707" cy="1069156"/>
                    </a:xfrm>
                    <a:prstGeom prst="rect">
                      <a:avLst/>
                    </a:prstGeom>
                  </pic:spPr>
                </pic:pic>
              </a:graphicData>
            </a:graphic>
          </wp:inline>
        </w:drawing>
      </w:r>
    </w:p>
    <w:p w14:paraId="0A7DFE54" w14:textId="097A650E" w:rsidR="00436DB8" w:rsidRPr="007C15EB" w:rsidRDefault="00436DB8" w:rsidP="00436DB8">
      <w:pPr>
        <w:spacing w:after="0" w:line="360" w:lineRule="auto"/>
      </w:pPr>
      <w:r w:rsidRPr="007C15EB">
        <w:lastRenderedPageBreak/>
        <w:t>Del análisis de la respuesta emitida por la Dirección de Desarrollo Urbano y Metropolitano, se advierte que la unidad administrativa otorgó una respuesta bajo una interpretación restrictiva de la solicitud de información, toda vez que la persona particular no requirió la elaboración o entrega de un listado, relación o concentrado de datos respecto de las licencias de uso de suelo autorizadas y cédulas informativas de zonificación emitidas en el periodo señalado, sino, la entrega de los documentos administrativos generados, esto es, las licencias de uso de suelo autorizadas y las cédulas informativas de zonificación emitidas.</w:t>
      </w:r>
    </w:p>
    <w:p w14:paraId="37837638" w14:textId="77777777" w:rsidR="00436DB8" w:rsidRPr="007C15EB" w:rsidRDefault="00436DB8" w:rsidP="00436DB8">
      <w:pPr>
        <w:spacing w:after="0" w:line="360" w:lineRule="auto"/>
      </w:pPr>
    </w:p>
    <w:p w14:paraId="31525459" w14:textId="77777777" w:rsidR="00701E73" w:rsidRPr="007C15EB" w:rsidRDefault="00436DB8" w:rsidP="00670C1F">
      <w:pPr>
        <w:spacing w:after="0" w:line="360" w:lineRule="auto"/>
        <w:rPr>
          <w:rFonts w:eastAsia="Calibri" w:cs="Tahoma"/>
          <w:color w:val="000000"/>
          <w:szCs w:val="24"/>
          <w:lang w:eastAsia="en-US"/>
        </w:rPr>
      </w:pPr>
      <w:r w:rsidRPr="007C15EB">
        <w:t>Por lo anterior, la entrega de una relación que únicamente contiene datos como número de expediente, nombre del titular y tipo de autorización no colma el derecho de acceso a la información solicitado, ya que dicho listado constituye un documento diverso al requerido y representa una sistematización de datos elaborada por la autoridad, mas no la entrega de los documentos fuente que contienen la información pú</w:t>
      </w:r>
      <w:r w:rsidR="00504A9F" w:rsidRPr="007C15EB">
        <w:t>blica de interés del particular</w:t>
      </w:r>
      <w:r w:rsidR="008C5210" w:rsidRPr="007C15EB">
        <w:rPr>
          <w:rFonts w:eastAsia="Calibri" w:cs="Tahoma"/>
          <w:color w:val="000000"/>
          <w:szCs w:val="24"/>
          <w:lang w:eastAsia="en-US"/>
        </w:rPr>
        <w:t xml:space="preserve">, lo cual da como resultado que el agravio sea </w:t>
      </w:r>
      <w:r w:rsidR="008C5210" w:rsidRPr="007C15EB">
        <w:rPr>
          <w:rFonts w:eastAsia="Calibri" w:cs="Tahoma"/>
          <w:b/>
          <w:color w:val="000000"/>
          <w:szCs w:val="24"/>
          <w:lang w:eastAsia="en-US"/>
        </w:rPr>
        <w:t>FUNDADO</w:t>
      </w:r>
      <w:r w:rsidR="00701E73" w:rsidRPr="007C15EB">
        <w:rPr>
          <w:rFonts w:eastAsia="Calibri" w:cs="Tahoma"/>
          <w:color w:val="000000"/>
          <w:szCs w:val="24"/>
          <w:lang w:eastAsia="en-US"/>
        </w:rPr>
        <w:t>.</w:t>
      </w:r>
    </w:p>
    <w:p w14:paraId="01E38A3E" w14:textId="77777777" w:rsidR="00701E73" w:rsidRPr="007C15EB" w:rsidRDefault="00701E73" w:rsidP="00670C1F">
      <w:pPr>
        <w:spacing w:after="0" w:line="360" w:lineRule="auto"/>
        <w:rPr>
          <w:rFonts w:eastAsia="Calibri" w:cs="Tahoma"/>
          <w:color w:val="000000"/>
          <w:szCs w:val="24"/>
          <w:lang w:eastAsia="en-US"/>
        </w:rPr>
      </w:pPr>
    </w:p>
    <w:p w14:paraId="4DE3A62B" w14:textId="22B7E3A7" w:rsidR="00670C1F" w:rsidRPr="007C15EB" w:rsidRDefault="00701E73" w:rsidP="00670C1F">
      <w:pPr>
        <w:spacing w:after="0" w:line="360" w:lineRule="auto"/>
        <w:rPr>
          <w:rFonts w:eastAsia="Calibri" w:cs="Tahoma"/>
          <w:color w:val="000000"/>
          <w:szCs w:val="24"/>
          <w:lang w:eastAsia="en-US"/>
        </w:rPr>
      </w:pPr>
      <w:r w:rsidRPr="007C15EB">
        <w:rPr>
          <w:rFonts w:eastAsia="Calibri" w:cs="Tahoma"/>
          <w:color w:val="000000"/>
          <w:szCs w:val="24"/>
          <w:lang w:eastAsia="en-US"/>
        </w:rPr>
        <w:t>N</w:t>
      </w:r>
      <w:r w:rsidR="00504A9F" w:rsidRPr="007C15EB">
        <w:rPr>
          <w:rFonts w:eastAsia="Calibri" w:cs="Tahoma"/>
          <w:color w:val="000000"/>
          <w:szCs w:val="24"/>
          <w:lang w:eastAsia="en-US"/>
        </w:rPr>
        <w:t>o obstante, durante la sustanciación del medio de impugnación, el Sujeto Obligado a través de la Dirección de Desarrollo Urbano y Metropolitano entregó las licencias de uso de suelo autorizadas y las cédulas informativas de zonificación emitidas</w:t>
      </w:r>
      <w:r w:rsidR="00670C1F" w:rsidRPr="007C15EB">
        <w:rPr>
          <w:rFonts w:eastAsia="Calibri" w:cs="Tahoma"/>
          <w:color w:val="000000"/>
          <w:szCs w:val="24"/>
          <w:lang w:eastAsia="en-US"/>
        </w:rPr>
        <w:t xml:space="preserve"> del periodo solicitado; dicha determinación toma relevancia, pues conforme al artículo 12 de la Ley de Transparencia y Acceso a la Información Pública del Estado de México y Municipios, los sujetos obligados sólo están constreñidos a proporcionar la información pública que obre en sus archivos, en el estado en que esta se encuentre; por lo que, la entrega no comprende el procesamiento de la misma, ni presentarla conforme al interés del Solicitante, además, que tampoco deberá generarla, resumirla, efectuar cálculos o practicar investigaciones.</w:t>
      </w:r>
    </w:p>
    <w:p w14:paraId="316AA97F" w14:textId="77777777" w:rsidR="00670C1F" w:rsidRPr="007C15EB" w:rsidRDefault="00670C1F" w:rsidP="00670C1F">
      <w:pPr>
        <w:spacing w:after="0" w:line="360" w:lineRule="auto"/>
        <w:rPr>
          <w:rFonts w:eastAsia="Calibri" w:cs="Tahoma"/>
          <w:color w:val="000000"/>
          <w:szCs w:val="24"/>
          <w:lang w:eastAsia="en-US"/>
        </w:rPr>
      </w:pPr>
    </w:p>
    <w:p w14:paraId="63F539DD" w14:textId="77777777" w:rsidR="00670C1F" w:rsidRPr="007C15EB" w:rsidRDefault="00670C1F" w:rsidP="00670C1F">
      <w:pPr>
        <w:spacing w:after="0" w:line="360" w:lineRule="auto"/>
        <w:rPr>
          <w:rFonts w:eastAsia="Calibri" w:cs="Tahoma"/>
          <w:color w:val="000000"/>
          <w:szCs w:val="24"/>
          <w:lang w:eastAsia="en-US"/>
        </w:rPr>
      </w:pPr>
      <w:r w:rsidRPr="007C15EB">
        <w:rPr>
          <w:rFonts w:eastAsia="Calibri" w:cs="Tahoma"/>
          <w:color w:val="000000"/>
          <w:szCs w:val="24"/>
          <w:lang w:eastAsia="en-US"/>
        </w:rPr>
        <w:lastRenderedPageBreak/>
        <w:t>De esta manera, el derecho de acceso a la información pública se satisface en aquellos casos en que se entregue el soporte documental en el que conste la información solicitada, sin necesidad de elaborar documentos ad hoc, situación que toma sustento, toma sustento en el artículo 160 de la Ley de Transparencia y Acceso a la Información Pública del Estado de México y Municipios, el cual refiere que los sujetos obligados únicamente deberán entregar la información que obre en sus archivos.</w:t>
      </w:r>
    </w:p>
    <w:p w14:paraId="51B9AD20" w14:textId="77777777" w:rsidR="00670C1F" w:rsidRPr="007C15EB" w:rsidRDefault="00670C1F" w:rsidP="00670C1F">
      <w:pPr>
        <w:spacing w:after="0" w:line="360" w:lineRule="auto"/>
        <w:rPr>
          <w:rFonts w:eastAsia="Calibri" w:cs="Tahoma"/>
          <w:color w:val="000000"/>
          <w:szCs w:val="24"/>
          <w:lang w:eastAsia="en-US"/>
        </w:rPr>
      </w:pPr>
    </w:p>
    <w:p w14:paraId="5516088F" w14:textId="236A2061" w:rsidR="007F2006" w:rsidRPr="007C15EB" w:rsidRDefault="00670C1F" w:rsidP="00504A9F">
      <w:pPr>
        <w:spacing w:after="0" w:line="360" w:lineRule="auto"/>
        <w:rPr>
          <w:rFonts w:eastAsia="Calibri" w:cs="Tahoma"/>
          <w:color w:val="000000"/>
          <w:szCs w:val="24"/>
          <w:lang w:eastAsia="en-US"/>
        </w:rPr>
      </w:pPr>
      <w:r w:rsidRPr="007C15EB">
        <w:rPr>
          <w:rFonts w:eastAsia="Calibri" w:cs="Tahoma"/>
          <w:color w:val="000000"/>
          <w:szCs w:val="24"/>
          <w:lang w:eastAsia="en-US"/>
        </w:rPr>
        <w:t>De tales circunstancias, se concluye que los sujetos obligados únicamente se encuentran constreñidos a proporcionar los documentos que den cuenta de la información solicitada, como obren en sus archivos, sin tener que elaborarlos a las necesidades del Recurrente; por lo que, en el presente caso, el Sujeto Obligado entrego los documentos solicitado de la temporalidad requerida</w:t>
      </w:r>
      <w:r w:rsidR="00701E73" w:rsidRPr="007C15EB">
        <w:rPr>
          <w:rFonts w:eastAsia="Calibri" w:cs="Tahoma"/>
          <w:color w:val="000000"/>
          <w:szCs w:val="24"/>
          <w:lang w:eastAsia="en-US"/>
        </w:rPr>
        <w:t>; sin embargo fueron proporcionados en versión pública por lo que se procede al análisis de los siguientes datos:</w:t>
      </w:r>
    </w:p>
    <w:p w14:paraId="6563577C" w14:textId="77777777" w:rsidR="007F2006" w:rsidRPr="007C15EB" w:rsidRDefault="007F2006" w:rsidP="00504A9F">
      <w:pPr>
        <w:spacing w:after="0" w:line="360" w:lineRule="auto"/>
        <w:rPr>
          <w:rFonts w:eastAsia="Calibri" w:cs="Tahoma"/>
          <w:color w:val="000000"/>
          <w:szCs w:val="24"/>
          <w:lang w:eastAsia="en-US"/>
        </w:rPr>
      </w:pPr>
    </w:p>
    <w:p w14:paraId="734C729A" w14:textId="11275A10" w:rsidR="007F2006" w:rsidRPr="007C15EB" w:rsidRDefault="007F2006" w:rsidP="007F2006">
      <w:pPr>
        <w:numPr>
          <w:ilvl w:val="0"/>
          <w:numId w:val="20"/>
        </w:numPr>
        <w:spacing w:after="0" w:line="360" w:lineRule="auto"/>
        <w:contextualSpacing/>
        <w:rPr>
          <w:rFonts w:eastAsia="Times New Roman" w:cs="Tahoma"/>
          <w:szCs w:val="24"/>
          <w:lang w:val="es-ES" w:eastAsia="es-ES"/>
        </w:rPr>
      </w:pPr>
      <w:r w:rsidRPr="007C15EB">
        <w:rPr>
          <w:rFonts w:eastAsia="Times New Roman" w:cs="Tahoma"/>
          <w:szCs w:val="24"/>
          <w:lang w:val="es-ES" w:eastAsia="es-ES"/>
        </w:rPr>
        <w:t>N</w:t>
      </w:r>
      <w:r w:rsidR="00D61805" w:rsidRPr="007C15EB">
        <w:rPr>
          <w:rFonts w:eastAsia="Times New Roman" w:cs="Tahoma"/>
          <w:szCs w:val="24"/>
          <w:lang w:val="es-ES" w:eastAsia="es-ES"/>
        </w:rPr>
        <w:t>ombre del titular</w:t>
      </w:r>
      <w:r w:rsidRPr="007C15EB">
        <w:rPr>
          <w:rFonts w:eastAsia="Times New Roman" w:cs="Tahoma"/>
          <w:szCs w:val="24"/>
          <w:lang w:val="es-ES" w:eastAsia="es-ES"/>
        </w:rPr>
        <w:t>;</w:t>
      </w:r>
    </w:p>
    <w:p w14:paraId="5316BA70" w14:textId="77777777" w:rsidR="007F2006" w:rsidRPr="007C15EB" w:rsidRDefault="007F2006" w:rsidP="007F2006">
      <w:pPr>
        <w:pStyle w:val="Prrafodelista"/>
        <w:numPr>
          <w:ilvl w:val="0"/>
          <w:numId w:val="20"/>
        </w:numPr>
        <w:spacing w:line="360" w:lineRule="auto"/>
        <w:rPr>
          <w:color w:val="000000"/>
          <w:lang w:eastAsia="es-ES_tradnl"/>
        </w:rPr>
      </w:pPr>
      <w:r w:rsidRPr="007C15EB">
        <w:rPr>
          <w:color w:val="000000"/>
          <w:lang w:eastAsia="es-ES_tradnl"/>
        </w:rPr>
        <w:t>Domicilio particular;</w:t>
      </w:r>
    </w:p>
    <w:p w14:paraId="29FB2BE9" w14:textId="15B569B0" w:rsidR="007F2006" w:rsidRPr="007C15EB" w:rsidRDefault="00F66FB0" w:rsidP="007F2006">
      <w:pPr>
        <w:pStyle w:val="Prrafodelista"/>
        <w:numPr>
          <w:ilvl w:val="0"/>
          <w:numId w:val="20"/>
        </w:numPr>
        <w:spacing w:line="360" w:lineRule="auto"/>
        <w:rPr>
          <w:color w:val="000000"/>
          <w:lang w:eastAsia="es-ES_tradnl"/>
        </w:rPr>
      </w:pPr>
      <w:r w:rsidRPr="007C15EB">
        <w:rPr>
          <w:color w:val="000000"/>
          <w:lang w:eastAsia="es-ES_tradnl"/>
        </w:rPr>
        <w:t>Ubicación del predio</w:t>
      </w:r>
      <w:r w:rsidR="007F2006" w:rsidRPr="007C15EB">
        <w:rPr>
          <w:color w:val="000000"/>
          <w:lang w:eastAsia="es-ES_tradnl"/>
        </w:rPr>
        <w:t>;</w:t>
      </w:r>
    </w:p>
    <w:p w14:paraId="23D05F97" w14:textId="77777777" w:rsidR="007F2006" w:rsidRPr="007C15EB" w:rsidRDefault="007F2006" w:rsidP="007F2006">
      <w:pPr>
        <w:pStyle w:val="Prrafodelista"/>
        <w:numPr>
          <w:ilvl w:val="0"/>
          <w:numId w:val="20"/>
        </w:numPr>
        <w:spacing w:line="360" w:lineRule="auto"/>
        <w:rPr>
          <w:color w:val="000000"/>
          <w:lang w:eastAsia="es-ES_tradnl"/>
        </w:rPr>
      </w:pPr>
      <w:r w:rsidRPr="007C15EB">
        <w:rPr>
          <w:color w:val="000000"/>
          <w:lang w:eastAsia="es-ES_tradnl"/>
        </w:rPr>
        <w:t>Clave Catastral, y</w:t>
      </w:r>
    </w:p>
    <w:p w14:paraId="0BEFE472" w14:textId="4A6A3F88" w:rsidR="007F2006" w:rsidRPr="007C15EB" w:rsidRDefault="00F66FB0" w:rsidP="007F2006">
      <w:pPr>
        <w:numPr>
          <w:ilvl w:val="0"/>
          <w:numId w:val="20"/>
        </w:numPr>
        <w:spacing w:after="0" w:line="360" w:lineRule="auto"/>
        <w:ind w:right="-28"/>
        <w:contextualSpacing/>
        <w:rPr>
          <w:rFonts w:eastAsia="Times New Roman" w:cs="Times New Roman"/>
          <w:color w:val="auto"/>
          <w:szCs w:val="24"/>
          <w:lang w:eastAsia="es-ES"/>
        </w:rPr>
      </w:pPr>
      <w:r w:rsidRPr="007C15EB">
        <w:rPr>
          <w:color w:val="000000"/>
          <w:lang w:eastAsia="es-ES_tradnl"/>
        </w:rPr>
        <w:t>F</w:t>
      </w:r>
      <w:r w:rsidR="007F2006" w:rsidRPr="007C15EB">
        <w:rPr>
          <w:color w:val="000000"/>
          <w:lang w:eastAsia="es-ES_tradnl"/>
        </w:rPr>
        <w:t>irma</w:t>
      </w:r>
      <w:r w:rsidRPr="007C15EB">
        <w:rPr>
          <w:color w:val="000000"/>
          <w:lang w:eastAsia="es-ES_tradnl"/>
        </w:rPr>
        <w:t xml:space="preserve"> particular, </w:t>
      </w:r>
    </w:p>
    <w:p w14:paraId="3A53B6B7" w14:textId="50543B0D" w:rsidR="00F66FB0" w:rsidRPr="007C15EB" w:rsidRDefault="00F66FB0" w:rsidP="007F2006">
      <w:pPr>
        <w:numPr>
          <w:ilvl w:val="0"/>
          <w:numId w:val="20"/>
        </w:numPr>
        <w:spacing w:after="0" w:line="360" w:lineRule="auto"/>
        <w:ind w:right="-28"/>
        <w:contextualSpacing/>
        <w:rPr>
          <w:rFonts w:eastAsia="Times New Roman" w:cs="Times New Roman"/>
          <w:color w:val="auto"/>
          <w:szCs w:val="24"/>
          <w:lang w:eastAsia="es-ES"/>
        </w:rPr>
      </w:pPr>
      <w:r w:rsidRPr="007C15EB">
        <w:rPr>
          <w:color w:val="000000"/>
          <w:lang w:eastAsia="es-ES_tradnl"/>
        </w:rPr>
        <w:t>Número de credencial para votar.</w:t>
      </w:r>
    </w:p>
    <w:p w14:paraId="1F1FF481" w14:textId="77777777" w:rsidR="008C5210" w:rsidRPr="007C15EB" w:rsidRDefault="008C5210" w:rsidP="008C5210">
      <w:pPr>
        <w:autoSpaceDE w:val="0"/>
        <w:autoSpaceDN w:val="0"/>
        <w:adjustRightInd w:val="0"/>
        <w:spacing w:after="0" w:line="360" w:lineRule="auto"/>
        <w:rPr>
          <w:rFonts w:eastAsia="Calibri" w:cs="Tahoma"/>
          <w:color w:val="000000"/>
          <w:szCs w:val="24"/>
          <w:lang w:eastAsia="en-US"/>
        </w:rPr>
      </w:pPr>
    </w:p>
    <w:p w14:paraId="2D8E3B51" w14:textId="77777777" w:rsidR="00510420" w:rsidRPr="007C15EB" w:rsidRDefault="00510420" w:rsidP="00510420">
      <w:pPr>
        <w:spacing w:after="0" w:line="360" w:lineRule="auto"/>
        <w:ind w:right="-28"/>
        <w:rPr>
          <w:rFonts w:eastAsia="Calibri" w:cs="Times New Roman"/>
          <w:color w:val="000000"/>
          <w:lang w:eastAsia="en-US"/>
        </w:rPr>
      </w:pPr>
      <w:r w:rsidRPr="007C15EB">
        <w:rPr>
          <w:rFonts w:eastAsia="Calibri" w:cs="Times New Roman"/>
          <w:color w:val="000000"/>
          <w:lang w:eastAsia="en-US"/>
        </w:rPr>
        <w:t>De lo anterior, resulta procedente analizar si dichos datos son públicos o privados; en principio, cabe mencionar que el artículo 143, fracción I, de la Ley previamente citada, establece que la información privada y los datos personales, concernientes a una persona física o jurídica colectiva identificada o identificable son confidenciales.</w:t>
      </w:r>
    </w:p>
    <w:p w14:paraId="44866EF6" w14:textId="77777777" w:rsidR="00510420" w:rsidRPr="007C15EB" w:rsidRDefault="00510420" w:rsidP="00510420">
      <w:pPr>
        <w:spacing w:after="0" w:line="360" w:lineRule="auto"/>
        <w:rPr>
          <w:rFonts w:eastAsia="Calibri" w:cs="Times New Roman"/>
          <w:color w:val="000000"/>
          <w:lang w:eastAsia="en-US"/>
        </w:rPr>
      </w:pPr>
    </w:p>
    <w:p w14:paraId="745BB9B7" w14:textId="77777777" w:rsidR="00510420" w:rsidRPr="007C15EB" w:rsidRDefault="00510420" w:rsidP="00510420">
      <w:pPr>
        <w:spacing w:after="0" w:line="360" w:lineRule="auto"/>
        <w:rPr>
          <w:rFonts w:eastAsia="Calibri" w:cs="Times New Roman"/>
          <w:color w:val="000000"/>
          <w:lang w:eastAsia="en-US"/>
        </w:rPr>
      </w:pPr>
      <w:r w:rsidRPr="007C15EB">
        <w:rPr>
          <w:rFonts w:eastAsia="Calibri" w:cs="Times New Roman"/>
          <w:color w:val="000000"/>
          <w:lang w:eastAsia="en-US"/>
        </w:rPr>
        <w:lastRenderedPageBreak/>
        <w:t>Asimismo, el artículo 145 de la Ley de Transparencia y Acceso a la Información Pública del Estado de México y Municipios, prevé que para que los Sujetos Obligados puedan permitir el acceso a la información confidencial, requieren obtener el consentimiento de los particulares titulares de la información, excepto cuando i) la información se encuentre en registros públicos o fuentes de acceso público, ii) por ley tenga el carácter de pública, iii) exista una orden judicial, iv) por razones de seguridad nacional y salubridad general o v) para proteger los derechos de terceros o cuando se transmita entre sujetos obligados en términos de los tratados y los acuerdos interinstitucionales.</w:t>
      </w:r>
    </w:p>
    <w:p w14:paraId="7DF0A653" w14:textId="77777777" w:rsidR="00510420" w:rsidRPr="007C15EB" w:rsidRDefault="00510420" w:rsidP="00510420">
      <w:pPr>
        <w:spacing w:after="0" w:line="360" w:lineRule="auto"/>
        <w:rPr>
          <w:rFonts w:eastAsia="Calibri" w:cs="Times New Roman"/>
          <w:color w:val="000000"/>
          <w:lang w:eastAsia="en-US"/>
        </w:rPr>
      </w:pPr>
    </w:p>
    <w:p w14:paraId="1429C04E" w14:textId="77777777" w:rsidR="00510420" w:rsidRPr="007C15EB" w:rsidRDefault="00510420" w:rsidP="00510420">
      <w:pPr>
        <w:spacing w:after="0" w:line="360" w:lineRule="auto"/>
        <w:rPr>
          <w:rFonts w:eastAsia="Calibri" w:cs="Times New Roman"/>
          <w:color w:val="000000"/>
          <w:lang w:eastAsia="en-US"/>
        </w:rPr>
      </w:pPr>
      <w:r w:rsidRPr="007C15EB">
        <w:rPr>
          <w:rFonts w:eastAsia="Calibri" w:cs="Times New Roman"/>
          <w:color w:val="000000"/>
          <w:lang w:eastAsia="en-US"/>
        </w:rPr>
        <w:t>En términos de lo expuesto, la documentación y aquellos datos que se consideren confidenciales, serán una limitante del derecho de acceso a la información, siempre y cuando:</w:t>
      </w:r>
    </w:p>
    <w:p w14:paraId="20C33772" w14:textId="77777777" w:rsidR="00510420" w:rsidRPr="007C15EB" w:rsidRDefault="00510420" w:rsidP="00510420">
      <w:pPr>
        <w:spacing w:after="0" w:line="360" w:lineRule="auto"/>
        <w:rPr>
          <w:rFonts w:eastAsia="Calibri" w:cs="Times New Roman"/>
          <w:color w:val="000000"/>
          <w:lang w:eastAsia="en-US"/>
        </w:rPr>
      </w:pPr>
    </w:p>
    <w:p w14:paraId="7C32D259" w14:textId="77777777" w:rsidR="00510420" w:rsidRPr="007C15EB" w:rsidRDefault="00510420" w:rsidP="00510420">
      <w:pPr>
        <w:numPr>
          <w:ilvl w:val="0"/>
          <w:numId w:val="22"/>
        </w:numPr>
        <w:spacing w:after="0" w:line="360" w:lineRule="auto"/>
        <w:rPr>
          <w:rFonts w:eastAsia="Calibri" w:cs="Times New Roman"/>
          <w:color w:val="000000"/>
          <w:lang w:eastAsia="en-US"/>
        </w:rPr>
      </w:pPr>
      <w:r w:rsidRPr="007C15EB">
        <w:rPr>
          <w:rFonts w:eastAsia="Calibri" w:cs="Times New Roman"/>
          <w:color w:val="000000"/>
          <w:lang w:eastAsia="en-US"/>
        </w:rPr>
        <w:t xml:space="preserve">Se trate de datos personales o información privada; esto es, información concerniente a una persona física o jurídico colectiva y que esta sea identificada o identificable. </w:t>
      </w:r>
    </w:p>
    <w:p w14:paraId="44BC9A8A" w14:textId="77777777" w:rsidR="00510420" w:rsidRPr="007C15EB" w:rsidRDefault="00510420" w:rsidP="00510420">
      <w:pPr>
        <w:numPr>
          <w:ilvl w:val="0"/>
          <w:numId w:val="22"/>
        </w:numPr>
        <w:spacing w:after="0" w:line="360" w:lineRule="auto"/>
        <w:rPr>
          <w:rFonts w:eastAsia="Calibri" w:cs="Times New Roman"/>
          <w:color w:val="000000"/>
          <w:lang w:eastAsia="en-US"/>
        </w:rPr>
      </w:pPr>
      <w:r w:rsidRPr="007C15EB">
        <w:rPr>
          <w:rFonts w:eastAsia="Calibri" w:cs="Times New Roman"/>
          <w:color w:val="000000"/>
          <w:lang w:eastAsia="en-US"/>
        </w:rPr>
        <w:t xml:space="preserve">Para la difusión de los datos, se requiera el consentimiento del titular. </w:t>
      </w:r>
    </w:p>
    <w:p w14:paraId="128183DE" w14:textId="77777777" w:rsidR="00510420" w:rsidRPr="007C15EB" w:rsidRDefault="00510420" w:rsidP="00510420">
      <w:pPr>
        <w:spacing w:after="0" w:line="360" w:lineRule="auto"/>
        <w:rPr>
          <w:rFonts w:eastAsia="Calibri" w:cs="Times New Roman"/>
          <w:color w:val="000000"/>
          <w:lang w:eastAsia="en-US"/>
        </w:rPr>
      </w:pPr>
    </w:p>
    <w:p w14:paraId="0DAC8610" w14:textId="77777777" w:rsidR="00510420" w:rsidRPr="007C15EB" w:rsidRDefault="00510420" w:rsidP="00510420">
      <w:pPr>
        <w:spacing w:after="0" w:line="360" w:lineRule="auto"/>
        <w:rPr>
          <w:rFonts w:eastAsia="Calibri" w:cs="Times New Roman"/>
          <w:color w:val="000000"/>
          <w:lang w:eastAsia="en-US"/>
        </w:rPr>
      </w:pPr>
      <w:r w:rsidRPr="007C15EB">
        <w:rPr>
          <w:rFonts w:eastAsia="Calibri" w:cs="Times New Roman"/>
          <w:color w:val="000000"/>
          <w:lang w:eastAsia="en-US"/>
        </w:rPr>
        <w:t xml:space="preserve">En ese orden de ideas, de conformidad con el artículo 3°, fracción IX, de la Ley de Transparencia y Acceso a la Información Pública del Estado de México y Municipios, con relación el diverso 4°, fracciones XI y XII, de la Ley de Protección de Datos Personales en Posesión de Sujetos Obligados del Estado de México y Municipios, se advierte que son datos personales, la información concerniente a una persona física o jurídico colectiva identificada o identificable (cuando su identidad pueda determinarse directa o indirectamente a través de cualquier documento informativo físico o electrónico), establecida en cualquier formato o modalidad. </w:t>
      </w:r>
    </w:p>
    <w:p w14:paraId="2E9FBFF2" w14:textId="77777777" w:rsidR="00510420" w:rsidRPr="007C15EB" w:rsidRDefault="00510420" w:rsidP="00510420">
      <w:pPr>
        <w:spacing w:after="0" w:line="360" w:lineRule="auto"/>
        <w:rPr>
          <w:rFonts w:eastAsia="Calibri" w:cs="Times New Roman"/>
          <w:color w:val="000000"/>
          <w:lang w:eastAsia="en-US"/>
        </w:rPr>
      </w:pPr>
    </w:p>
    <w:p w14:paraId="4193803B" w14:textId="77777777" w:rsidR="00510420" w:rsidRPr="007C15EB" w:rsidRDefault="00510420" w:rsidP="00510420">
      <w:pPr>
        <w:spacing w:after="0" w:line="360" w:lineRule="auto"/>
        <w:rPr>
          <w:rFonts w:eastAsia="Calibri" w:cs="Times New Roman"/>
          <w:color w:val="000000"/>
          <w:lang w:eastAsia="en-US"/>
        </w:rPr>
      </w:pPr>
      <w:r w:rsidRPr="007C15EB">
        <w:rPr>
          <w:rFonts w:eastAsia="Calibri" w:cs="Times New Roman"/>
          <w:color w:val="000000"/>
          <w:lang w:eastAsia="en-US"/>
        </w:rPr>
        <w:lastRenderedPageBreak/>
        <w:t>Además, en el artículo 5° de dicho ordenamiento jurídico, establece que es la Ley aplicable para todo tratamiento de datos personales.</w:t>
      </w:r>
    </w:p>
    <w:p w14:paraId="52AB1EB1" w14:textId="77777777" w:rsidR="00510420" w:rsidRPr="007C15EB" w:rsidRDefault="00510420" w:rsidP="00510420">
      <w:pPr>
        <w:spacing w:after="0" w:line="360" w:lineRule="auto"/>
        <w:rPr>
          <w:rFonts w:eastAsia="Calibri" w:cs="Times New Roman"/>
          <w:color w:val="000000"/>
          <w:lang w:eastAsia="en-US"/>
        </w:rPr>
      </w:pPr>
    </w:p>
    <w:p w14:paraId="09C53C2E" w14:textId="77777777" w:rsidR="00510420" w:rsidRPr="007C15EB" w:rsidRDefault="00510420" w:rsidP="00510420">
      <w:pPr>
        <w:spacing w:after="0" w:line="360" w:lineRule="auto"/>
        <w:rPr>
          <w:rFonts w:eastAsia="Calibri" w:cs="Times New Roman"/>
          <w:color w:val="000000"/>
          <w:lang w:eastAsia="en-US"/>
        </w:rPr>
      </w:pPr>
      <w:r w:rsidRPr="007C15EB">
        <w:rPr>
          <w:rFonts w:eastAsia="Calibri" w:cs="Times New Roman"/>
          <w:color w:val="000000"/>
          <w:lang w:eastAsia="en-US"/>
        </w:rPr>
        <w:t>En ese orden de ideas, los artículos 6°, 7°, 8° y 14 de la Ley de Protección de Datos Personales en Posesión de Sujetos Obligados del Estado de México y Municipios disponen que los responsables del tratamiento de datos personales, deben observar los principios de licitud, consentimiento, información, calidad, lealtad, finalidad, proporcionalidad y responsabilidad; además, que dicho tratamiento deberá obedecer exclusivamente a sus atribuciones legales y con el consentimiento de su titular, además de que debe estar justificado en ley (principio de finalidad).</w:t>
      </w:r>
    </w:p>
    <w:p w14:paraId="6EA255F3" w14:textId="77777777" w:rsidR="00510420" w:rsidRPr="007C15EB" w:rsidRDefault="00510420" w:rsidP="00510420">
      <w:pPr>
        <w:spacing w:after="0" w:line="360" w:lineRule="auto"/>
        <w:rPr>
          <w:rFonts w:eastAsia="Calibri" w:cs="Times New Roman"/>
          <w:color w:val="000000"/>
          <w:lang w:eastAsia="en-US"/>
        </w:rPr>
      </w:pPr>
    </w:p>
    <w:p w14:paraId="64C82FAE" w14:textId="77777777" w:rsidR="00510420" w:rsidRPr="007C15EB" w:rsidRDefault="00510420" w:rsidP="00510420">
      <w:pPr>
        <w:spacing w:after="0" w:line="360" w:lineRule="auto"/>
        <w:rPr>
          <w:rFonts w:eastAsia="Calibri" w:cs="Times New Roman"/>
          <w:color w:val="000000"/>
          <w:lang w:eastAsia="en-US"/>
        </w:rPr>
      </w:pPr>
      <w:r w:rsidRPr="007C15EB">
        <w:rPr>
          <w:rFonts w:eastAsia="Calibri" w:cs="Times New Roman"/>
          <w:color w:val="000000"/>
          <w:lang w:eastAsia="en-US"/>
        </w:rPr>
        <w:t>En este sentido, un dato personal es cualquier información que pueda hacer a una persona física o jurídica colectiva identificada e identificable; por lo que, bajo dicha circunstancia, se analizarán si los datos mencionados, deben ser considerados confidenciales, en términos del artículo 143, fracción I, de la Ley de Transparencia y Acceso a la Información Pública del Estado de México y Municipios, o públicos.</w:t>
      </w:r>
    </w:p>
    <w:p w14:paraId="69142E21" w14:textId="77777777" w:rsidR="00F66FB0" w:rsidRPr="007C15EB" w:rsidRDefault="00F66FB0" w:rsidP="00510420">
      <w:pPr>
        <w:spacing w:after="0" w:line="360" w:lineRule="auto"/>
        <w:rPr>
          <w:rFonts w:eastAsia="Calibri" w:cs="Times New Roman"/>
          <w:color w:val="000000"/>
          <w:lang w:eastAsia="en-US"/>
        </w:rPr>
      </w:pPr>
    </w:p>
    <w:p w14:paraId="5C2362C2" w14:textId="77777777" w:rsidR="00F66FB0" w:rsidRPr="007C15EB" w:rsidRDefault="00F66FB0" w:rsidP="00F66FB0">
      <w:pPr>
        <w:numPr>
          <w:ilvl w:val="0"/>
          <w:numId w:val="23"/>
        </w:numPr>
        <w:spacing w:after="0" w:line="360" w:lineRule="auto"/>
        <w:contextualSpacing/>
        <w:jc w:val="left"/>
        <w:rPr>
          <w:rFonts w:eastAsia="Calibri" w:cs="Tahoma"/>
          <w:b/>
          <w:color w:val="auto"/>
          <w:lang w:eastAsia="es-ES"/>
        </w:rPr>
      </w:pPr>
      <w:r w:rsidRPr="007C15EB">
        <w:rPr>
          <w:rFonts w:eastAsia="Calibri" w:cs="Tahoma"/>
          <w:b/>
          <w:color w:val="auto"/>
          <w:lang w:eastAsia="es-ES"/>
        </w:rPr>
        <w:t xml:space="preserve">Nombre del propietario </w:t>
      </w:r>
    </w:p>
    <w:p w14:paraId="54908CD5" w14:textId="77777777" w:rsidR="00F66FB0" w:rsidRPr="007C15EB" w:rsidRDefault="00F66FB0" w:rsidP="00F66FB0">
      <w:pPr>
        <w:spacing w:after="0" w:line="360" w:lineRule="auto"/>
        <w:rPr>
          <w:rFonts w:eastAsia="Calibri" w:cs="Tahoma"/>
          <w:bCs/>
          <w:color w:val="auto"/>
          <w:lang w:eastAsia="es-ES"/>
        </w:rPr>
      </w:pPr>
    </w:p>
    <w:p w14:paraId="4877B7D9" w14:textId="77777777" w:rsidR="00F66FB0" w:rsidRPr="007C15EB" w:rsidRDefault="00F66FB0" w:rsidP="00F66FB0">
      <w:pPr>
        <w:spacing w:after="0" w:line="360" w:lineRule="auto"/>
        <w:rPr>
          <w:rFonts w:eastAsia="Calibri" w:cs="Tahoma"/>
          <w:b/>
          <w:color w:val="auto"/>
          <w:lang w:eastAsia="es-ES"/>
        </w:rPr>
      </w:pPr>
      <w:r w:rsidRPr="007C15EB">
        <w:rPr>
          <w:rFonts w:eastAsia="Calibri" w:cs="Tahoma"/>
          <w:b/>
          <w:color w:val="auto"/>
          <w:lang w:eastAsia="es-ES"/>
        </w:rPr>
        <w:t>Persona física</w:t>
      </w:r>
    </w:p>
    <w:p w14:paraId="33D4CBF6" w14:textId="77777777" w:rsidR="00F66FB0" w:rsidRPr="007C15EB" w:rsidRDefault="00F66FB0" w:rsidP="00F66FB0">
      <w:pPr>
        <w:spacing w:after="0" w:line="360" w:lineRule="auto"/>
        <w:rPr>
          <w:rFonts w:eastAsia="Calibri" w:cs="Tahoma"/>
          <w:bCs/>
          <w:color w:val="auto"/>
          <w:lang w:eastAsia="es-ES"/>
        </w:rPr>
      </w:pPr>
    </w:p>
    <w:p w14:paraId="05A164D4" w14:textId="77777777" w:rsidR="00F66FB0" w:rsidRPr="007C15EB" w:rsidRDefault="00F66FB0" w:rsidP="00F66FB0">
      <w:pPr>
        <w:spacing w:after="0" w:line="360" w:lineRule="auto"/>
        <w:rPr>
          <w:rFonts w:eastAsia="Calibri" w:cs="Tahoma"/>
          <w:b/>
          <w:bCs/>
          <w:color w:val="auto"/>
          <w:lang w:val="es-ES_tradnl" w:eastAsia="es-ES"/>
        </w:rPr>
      </w:pPr>
      <w:r w:rsidRPr="007C15EB">
        <w:rPr>
          <w:rFonts w:eastAsia="Calibri" w:cs="Tahoma"/>
          <w:bCs/>
          <w:color w:val="auto"/>
          <w:lang w:eastAsia="es-ES"/>
        </w:rPr>
        <w:t xml:space="preserve">Al respecto, </w:t>
      </w:r>
      <w:r w:rsidRPr="007C15EB">
        <w:rPr>
          <w:rFonts w:eastAsia="Calibri" w:cs="Tahoma"/>
          <w:bCs/>
          <w:color w:val="auto"/>
          <w:lang w:val="es-ES" w:eastAsia="es-ES"/>
        </w:rPr>
        <w:t xml:space="preserve">se considera que el nombre se integra </w:t>
      </w:r>
      <w:r w:rsidRPr="007C15EB">
        <w:rPr>
          <w:rFonts w:eastAsia="Calibri" w:cs="Tahoma"/>
          <w:bCs/>
          <w:color w:val="auto"/>
          <w:lang w:val="es-ES_tradnl" w:eastAsia="es-ES"/>
        </w:rPr>
        <w:t xml:space="preserve">con el sustantivo propio y el primer apellido de los padres, en el orden que, de común acuerdo determinen; asimismo es la manifestación principal del derecho subjetivo a la personalidad y atributo de esta en términos del artículo 2.3 del Código Civil del Estado de México, de tal suerte, el nombre </w:t>
      </w:r>
      <w:r w:rsidRPr="007C15EB">
        <w:rPr>
          <w:rFonts w:eastAsia="Calibri" w:cs="Tahoma"/>
          <w:bCs/>
          <w:i/>
          <w:color w:val="auto"/>
          <w:lang w:val="es-ES_tradnl" w:eastAsia="es-ES"/>
        </w:rPr>
        <w:t>per se</w:t>
      </w:r>
      <w:r w:rsidRPr="007C15EB">
        <w:rPr>
          <w:rFonts w:eastAsia="Calibri" w:cs="Tahoma"/>
          <w:bCs/>
          <w:color w:val="auto"/>
          <w:lang w:val="es-ES_tradnl" w:eastAsia="es-ES"/>
        </w:rPr>
        <w:t xml:space="preserve"> es un </w:t>
      </w:r>
      <w:r w:rsidRPr="007C15EB">
        <w:rPr>
          <w:rFonts w:eastAsia="Calibri" w:cs="Tahoma"/>
          <w:bCs/>
          <w:color w:val="auto"/>
          <w:lang w:val="es-ES_tradnl" w:eastAsia="es-ES"/>
        </w:rPr>
        <w:lastRenderedPageBreak/>
        <w:t xml:space="preserve">elemento que hace a una persona física identificada o identificable, por lo que, </w:t>
      </w:r>
      <w:r w:rsidRPr="007C15EB">
        <w:rPr>
          <w:rFonts w:eastAsia="Calibri" w:cs="Tahoma"/>
          <w:b/>
          <w:bCs/>
          <w:color w:val="auto"/>
          <w:lang w:val="es-ES_tradnl" w:eastAsia="es-ES"/>
        </w:rPr>
        <w:t>se considera un dato personal.</w:t>
      </w:r>
    </w:p>
    <w:p w14:paraId="1BA5BEEF" w14:textId="77777777" w:rsidR="00F66FB0" w:rsidRPr="007C15EB" w:rsidRDefault="00F66FB0" w:rsidP="00F66FB0">
      <w:pPr>
        <w:spacing w:after="0" w:line="360" w:lineRule="auto"/>
        <w:rPr>
          <w:rFonts w:eastAsia="Calibri" w:cs="Tahoma"/>
          <w:bCs/>
          <w:color w:val="auto"/>
          <w:lang w:eastAsia="es-ES"/>
        </w:rPr>
      </w:pPr>
    </w:p>
    <w:p w14:paraId="409A86DB" w14:textId="77777777" w:rsidR="00F66FB0" w:rsidRPr="007C15EB" w:rsidRDefault="00F66FB0" w:rsidP="00F66FB0">
      <w:pPr>
        <w:spacing w:after="0" w:line="360" w:lineRule="auto"/>
        <w:rPr>
          <w:rFonts w:eastAsia="Calibri" w:cs="Tahoma"/>
          <w:bCs/>
          <w:color w:val="auto"/>
          <w:lang w:val="es-ES_tradnl" w:eastAsia="es-ES"/>
        </w:rPr>
      </w:pPr>
      <w:r w:rsidRPr="007C15EB">
        <w:rPr>
          <w:rFonts w:eastAsia="Calibri" w:cs="Tahoma"/>
          <w:bCs/>
          <w:color w:val="auto"/>
          <w:lang w:val="es-ES_tradnl" w:eastAsia="es-ES"/>
        </w:rPr>
        <w:t>Sobre el tema, se tiene presente que este Instituto emitió el Criterio Relevante 01/18, de la Segunda Época de este Instituto, que establece que el nombre del titular de una licencia, como en el caso que nos ocupa, es información confidencial, cuando no involucra aprovechamiento de recursos públicos.</w:t>
      </w:r>
    </w:p>
    <w:p w14:paraId="03344399" w14:textId="77777777" w:rsidR="00F66FB0" w:rsidRPr="007C15EB" w:rsidRDefault="00F66FB0" w:rsidP="00F66FB0">
      <w:pPr>
        <w:spacing w:after="0" w:line="360" w:lineRule="auto"/>
        <w:rPr>
          <w:rFonts w:eastAsia="Calibri" w:cs="Tahoma"/>
          <w:bCs/>
          <w:color w:val="auto"/>
          <w:lang w:val="es-ES_tradnl" w:eastAsia="es-ES"/>
        </w:rPr>
      </w:pPr>
    </w:p>
    <w:p w14:paraId="0711F55D" w14:textId="77777777" w:rsidR="00F66FB0" w:rsidRPr="007C15EB" w:rsidRDefault="00F66FB0" w:rsidP="00F66FB0">
      <w:pPr>
        <w:spacing w:after="0" w:line="360" w:lineRule="auto"/>
        <w:ind w:left="567" w:right="567"/>
        <w:rPr>
          <w:rFonts w:eastAsia="Calibri" w:cs="Tahoma"/>
          <w:bCs/>
          <w:i/>
          <w:iCs/>
          <w:color w:val="auto"/>
          <w:sz w:val="20"/>
          <w:szCs w:val="20"/>
          <w:lang w:val="es-ES" w:eastAsia="es-ES"/>
        </w:rPr>
      </w:pPr>
      <w:r w:rsidRPr="007C15EB">
        <w:rPr>
          <w:rFonts w:eastAsia="Calibri" w:cs="Tahoma"/>
          <w:b/>
          <w:bCs/>
          <w:i/>
          <w:iCs/>
          <w:color w:val="auto"/>
          <w:sz w:val="20"/>
          <w:szCs w:val="20"/>
          <w:lang w:val="es-ES" w:eastAsia="es-ES"/>
        </w:rPr>
        <w:t>“Nombre del titular de una licencia que no involucre el aprovechamiento de bienes, servicios y/o recursos públicos, constituye un dato personal susceptible de clasificar como confidencial.</w:t>
      </w:r>
      <w:r w:rsidRPr="007C15EB">
        <w:rPr>
          <w:rFonts w:eastAsia="Calibri" w:cs="Tahoma"/>
          <w:bCs/>
          <w:i/>
          <w:iCs/>
          <w:color w:val="auto"/>
          <w:sz w:val="20"/>
          <w:szCs w:val="20"/>
          <w:lang w:val="es-ES" w:eastAsia="es-ES"/>
        </w:rPr>
        <w:t xml:space="preserve"> El artículo 1, párrafo segundo de la Constitución Política de los Estados Unidos Mexicanos determina que las normas relativas a los derechos humanos se interpretarán de conformidad con la Constitución y con los tratados internacionales de la materia favoreciendo en todo tiempo a las personas la protección más amplia, por su parte el artículo 6, apartado A, fracciones I y II, de dicho ordenamiento establece que toda información en posesión de los sujetos obligados es pública y sólo podrá limitarse de manera justificada por razones de interés público, seguridad nacional, y para proteger la vida privada y datos personales en los términos precisados por las Leyes reglamentarias. Ahora bien, el artículo 92, fracción XXXII de la Ley de Transparencia y Acceso a la Información Pública del Estado de México y Municipios, señala que el nombre de los titulares de las licencias es un dato de carácter público, no obstante, para su aplicación, dicho numeral debe ser interpretado de manera armónica y sistemática con el ordenamiento reglamentario de la materia de transparencia y protección de datos personales, pues la intromisión a los datos personales de particulares únicamente se verá justificada cuando se involucre el aprovechamiento de bienes, servicios y/o recursos públicos en términos de lo dispuesto por los artículos 6, 92, fracción XXXII, 122 y 143, fracción I, de la Ley de Transparencia referida en concordancia con lo establecido por los numerales 6 y 15 de la Ley de Protección de Datos Personales en Posesión de Sujetos Obligados de la entidad. En ese sentido, el nombre de los titulares de licencias constituye un dato personal que debe ser tratado bajo los principios y términos </w:t>
      </w:r>
      <w:r w:rsidRPr="007C15EB">
        <w:rPr>
          <w:rFonts w:eastAsia="Calibri" w:cs="Tahoma"/>
          <w:bCs/>
          <w:i/>
          <w:iCs/>
          <w:color w:val="auto"/>
          <w:sz w:val="20"/>
          <w:szCs w:val="20"/>
          <w:lang w:val="es-ES" w:eastAsia="es-ES"/>
        </w:rPr>
        <w:lastRenderedPageBreak/>
        <w:t>de la ley reglamentaria de la materia, y para su publicidad se requerirá que la expedición de la licencia correspondiente involucre el aprovechamiento de bienes, servicios y/o recursos públicos, caso contrario se deberá clasificar como confidencial.”</w:t>
      </w:r>
    </w:p>
    <w:p w14:paraId="56FEADC7" w14:textId="77777777" w:rsidR="00F66FB0" w:rsidRPr="007C15EB" w:rsidRDefault="00F66FB0" w:rsidP="00F66FB0">
      <w:pPr>
        <w:spacing w:after="0" w:line="360" w:lineRule="auto"/>
        <w:rPr>
          <w:rFonts w:eastAsia="Calibri" w:cs="Tahoma"/>
          <w:bCs/>
          <w:color w:val="auto"/>
          <w:lang w:val="es-ES" w:eastAsia="es-ES"/>
        </w:rPr>
      </w:pPr>
    </w:p>
    <w:p w14:paraId="035D9696" w14:textId="77777777" w:rsidR="00F66FB0" w:rsidRPr="007C15EB" w:rsidRDefault="00F66FB0" w:rsidP="00F66FB0">
      <w:pPr>
        <w:spacing w:after="0" w:line="360" w:lineRule="auto"/>
        <w:rPr>
          <w:rFonts w:eastAsia="Calibri" w:cs="Tahoma"/>
          <w:bCs/>
          <w:color w:val="auto"/>
          <w:lang w:val="es-ES" w:eastAsia="es-ES"/>
        </w:rPr>
      </w:pPr>
      <w:r w:rsidRPr="007C15EB">
        <w:rPr>
          <w:rFonts w:eastAsia="Calibri" w:cs="Tahoma"/>
          <w:bCs/>
          <w:color w:val="auto"/>
          <w:lang w:val="es-ES" w:eastAsia="es-ES"/>
        </w:rPr>
        <w:t>En el Criterio en cita, se argumenta que si bien el nombre de los titulares de las licencias es un dato de carácter público, en términos del artículo 92, fracción XXXII, de la Ley de Transparencia y Acceso a la Información Pública del Estado de México y Municipios, dicho precepto legal debe ser interpretado de manera armónica y sistemática, pues la intromisión a los datos personales de particulares únicamente se verá justificada cuando involucre el aprovechamiento de bienes, servicios o recursos públicos; por lo que constituye un dato personal, a menos que se actualice alguno de los supuestos previamente señalados.</w:t>
      </w:r>
    </w:p>
    <w:p w14:paraId="3866A0E1" w14:textId="77777777" w:rsidR="00F66FB0" w:rsidRPr="007C15EB" w:rsidRDefault="00F66FB0" w:rsidP="00F66FB0">
      <w:pPr>
        <w:spacing w:after="0" w:line="360" w:lineRule="auto"/>
        <w:rPr>
          <w:rFonts w:eastAsia="Calibri" w:cs="Tahoma"/>
          <w:bCs/>
          <w:color w:val="auto"/>
          <w:lang w:eastAsia="es-ES"/>
        </w:rPr>
      </w:pPr>
    </w:p>
    <w:p w14:paraId="5436ADE8" w14:textId="77777777" w:rsidR="00F66FB0" w:rsidRPr="007C15EB" w:rsidRDefault="00F66FB0" w:rsidP="00F66FB0">
      <w:pPr>
        <w:spacing w:after="0" w:line="360" w:lineRule="auto"/>
        <w:rPr>
          <w:rFonts w:eastAsia="Calibri" w:cs="Tahoma"/>
          <w:bCs/>
          <w:color w:val="auto"/>
          <w:lang w:val="es-ES" w:eastAsia="es-ES"/>
        </w:rPr>
      </w:pPr>
      <w:r w:rsidRPr="007C15EB">
        <w:rPr>
          <w:rFonts w:eastAsia="Calibri" w:cs="Tahoma"/>
          <w:bCs/>
          <w:color w:val="auto"/>
          <w:lang w:eastAsia="es-ES"/>
        </w:rPr>
        <w:t xml:space="preserve">No obstante, el artículo 94, fracción I, inciso f) de la Ley de la materia, establece que es información pública de oficio por parte de los Municipios del Estado de México, la referente al otorgamiento de Licencias de Uso de Suelo y de Construcción. Además en los formatos </w:t>
      </w:r>
      <w:r w:rsidRPr="007C15EB">
        <w:rPr>
          <w:rFonts w:eastAsia="Calibri" w:cs="Tahoma"/>
          <w:bCs/>
          <w:color w:val="auto"/>
          <w:lang w:val="es-ES" w:eastAsia="es-ES"/>
        </w:rPr>
        <w:t>6f LGT_Art_71_Fr_If (Licencias de Uso de Suelo) y 7f LGT_Art_71_Fr_If (Licencias de construcción), de los Lineamientos Generales, establecen lo siguiente:</w:t>
      </w:r>
    </w:p>
    <w:p w14:paraId="50BA72C6" w14:textId="77777777" w:rsidR="00F66FB0" w:rsidRPr="007C15EB" w:rsidRDefault="00F66FB0" w:rsidP="00F66FB0">
      <w:pPr>
        <w:spacing w:after="0" w:line="360" w:lineRule="auto"/>
        <w:rPr>
          <w:rFonts w:eastAsia="Calibri" w:cs="Tahoma"/>
          <w:bCs/>
          <w:color w:val="auto"/>
          <w:lang w:val="es-ES" w:eastAsia="es-ES"/>
        </w:rPr>
      </w:pPr>
    </w:p>
    <w:p w14:paraId="1BD1F970" w14:textId="77777777" w:rsidR="00F66FB0" w:rsidRPr="007C15EB" w:rsidRDefault="00F66FB0" w:rsidP="00F66FB0">
      <w:pPr>
        <w:spacing w:after="0" w:line="360" w:lineRule="auto"/>
        <w:rPr>
          <w:rFonts w:eastAsia="Calibri" w:cs="Tahoma"/>
          <w:bCs/>
          <w:color w:val="auto"/>
          <w:lang w:eastAsia="es-ES"/>
        </w:rPr>
      </w:pPr>
      <w:r w:rsidRPr="007C15EB">
        <w:rPr>
          <w:rFonts w:eastAsia="Calibri" w:cs="Tahoma"/>
          <w:noProof/>
          <w:color w:val="auto"/>
        </w:rPr>
        <w:drawing>
          <wp:inline distT="0" distB="0" distL="0" distR="0" wp14:anchorId="16FF67B4" wp14:editId="5F3A1B3D">
            <wp:extent cx="5671185" cy="456565"/>
            <wp:effectExtent l="0" t="0" r="5715" b="635"/>
            <wp:docPr id="1774275110"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671185" cy="456565"/>
                    </a:xfrm>
                    <a:prstGeom prst="rect">
                      <a:avLst/>
                    </a:prstGeom>
                    <a:noFill/>
                    <a:ln>
                      <a:noFill/>
                    </a:ln>
                  </pic:spPr>
                </pic:pic>
              </a:graphicData>
            </a:graphic>
          </wp:inline>
        </w:drawing>
      </w:r>
    </w:p>
    <w:p w14:paraId="615AF98E" w14:textId="77777777" w:rsidR="00F66FB0" w:rsidRPr="007C15EB" w:rsidRDefault="00F66FB0" w:rsidP="00F66FB0">
      <w:pPr>
        <w:spacing w:after="0" w:line="360" w:lineRule="auto"/>
        <w:rPr>
          <w:rFonts w:eastAsia="Calibri" w:cs="Tahoma"/>
          <w:bCs/>
          <w:color w:val="auto"/>
          <w:lang w:eastAsia="es-ES"/>
        </w:rPr>
      </w:pPr>
      <w:r w:rsidRPr="007C15EB">
        <w:rPr>
          <w:rFonts w:eastAsia="Times New Roman" w:cs="Times New Roman"/>
          <w:noProof/>
          <w:color w:val="auto"/>
        </w:rPr>
        <mc:AlternateContent>
          <mc:Choice Requires="wps">
            <w:drawing>
              <wp:anchor distT="0" distB="0" distL="114300" distR="114300" simplePos="0" relativeHeight="251661312" behindDoc="0" locked="0" layoutInCell="1" allowOverlap="1" wp14:anchorId="5333CB80" wp14:editId="0512CD43">
                <wp:simplePos x="0" y="0"/>
                <wp:positionH relativeFrom="column">
                  <wp:posOffset>3201670</wp:posOffset>
                </wp:positionH>
                <wp:positionV relativeFrom="paragraph">
                  <wp:posOffset>33020</wp:posOffset>
                </wp:positionV>
                <wp:extent cx="1638300" cy="638175"/>
                <wp:effectExtent l="19050" t="19050" r="19050" b="28575"/>
                <wp:wrapNone/>
                <wp:docPr id="46" name="Rectángulo 12"/>
                <wp:cNvGraphicFramePr/>
                <a:graphic xmlns:a="http://schemas.openxmlformats.org/drawingml/2006/main">
                  <a:graphicData uri="http://schemas.microsoft.com/office/word/2010/wordprocessingShape">
                    <wps:wsp>
                      <wps:cNvSpPr/>
                      <wps:spPr>
                        <a:xfrm>
                          <a:off x="0" y="0"/>
                          <a:ext cx="1638300" cy="638175"/>
                        </a:xfrm>
                        <a:prstGeom prst="rect">
                          <a:avLst/>
                        </a:prstGeom>
                        <a:noFill/>
                        <a:ln w="38100" cap="flat" cmpd="sng" algn="ctr">
                          <a:solidFill>
                            <a:sysClr val="windowText" lastClr="000000"/>
                          </a:solidFill>
                          <a:prstDash val="solid"/>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w14:anchorId="3F39425E" id="Rectángulo 12" o:spid="_x0000_s1026" style="position:absolute;margin-left:252.1pt;margin-top:2.6pt;width:129pt;height:50.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0oJBbAIAAMEEAAAOAAAAZHJzL2Uyb0RvYy54bWysVMtu2zAQvBfoPxC8N7Ic51EhcmAkSFEg&#10;SIMmRc4MRVkEKC5L0pbdv+m39Mc6pJRH01tRH+hd7nK4O5zV2fmuN2yrfNBka14ezDhTVlKj7brm&#10;3+6vPpxyFqKwjTBkVc33KvDz5ft3Z4Or1Jw6Mo3yDCA2VIOreRejq4oiyE71IhyQUxbBlnwvIly/&#10;LhovBqD3ppjPZsfFQL5xnqQKAbuXY5AvM37bKhm/tG1QkZmao7aYV5/Xx7QWyzNRrb1wnZZTGeIf&#10;quiFtrj0GepSRME2Xv8F1WvpKVAbDyT1BbWtlir3gG7K2Ztu7jrhVO4F5AT3TFP4f7DyZnvrmW5q&#10;vjjmzIoeb/QVrP36adcbQ6ycJ4oGFypk3rlbP3kBZup31/o+/aMTtsu07p9pVbvIJDbL48PTwxnY&#10;l4jBLk+OEmjxctr5ED8p6lkyau5RQGZTbK9DHFOfUtJllq60MdgXlbFsqDkwM76AglojIq7qHXoK&#10;ds2ZMGtIU0afIQMZ3aTj6XTYhwvj2VZAHRBVQ8M9iubMiBARQCf5N1X7x9FUz6UI3Xg4h6Y0YxO0&#10;yuKbyk/8jYwl65GaPUj3NKoxOHmlgXaNS2+Fh/xAFUYqfsHSGkJ/0mjHWUf+x9u9lAc1IMLZABmj&#10;5+8b4RV6+Gyhk4/lYpF0n53F0ckcjn8deXwdsZv+gsBFiaF1MpspP5ons/XUP2DiVulWhISVuHtk&#10;d3Iu4jhemFmpVqucBq07Ea/tnZMJPPGT+LvfPQjvpkePYP6GniQvqjdvP+amk5ZWm0itzsJ44ROC&#10;Sg7mJEtrmuk0iK/9nPXy5Vn+BgAA//8DAFBLAwQUAAYACAAAACEAArdpMd0AAAAJAQAADwAAAGRy&#10;cy9kb3ducmV2LnhtbEyP3UrEMBCF7wXfIYzgnZts2Z9Smy6yIqgFweoDpM3Ylm0mpclu69s7XunV&#10;nOEcznyTHxY3iAtOofekYb1SIJAab3tqNXx+PN2lIEI0ZM3gCTV8Y4BDcX2Vm8z6md7xUsVWcAmF&#10;zGjoYhwzKUPToTNh5Uck9r785EzkdWqlnczM5W6QiVI76UxPfKEzIx47bE7V2Wl4nU8Ry5e3uazS&#10;dbpZ2vrx+VhqfXuzPNyDiLjEvzD84jM6FMxU+zPZIAYNW7VJOMqCB/v7XcKi5qDa7kEWufz/QfED&#10;AAD//wMAUEsBAi0AFAAGAAgAAAAhALaDOJL+AAAA4QEAABMAAAAAAAAAAAAAAAAAAAAAAFtDb250&#10;ZW50X1R5cGVzXS54bWxQSwECLQAUAAYACAAAACEAOP0h/9YAAACUAQAACwAAAAAAAAAAAAAAAAAv&#10;AQAAX3JlbHMvLnJlbHNQSwECLQAUAAYACAAAACEAw9KCQWwCAADBBAAADgAAAAAAAAAAAAAAAAAu&#10;AgAAZHJzL2Uyb0RvYy54bWxQSwECLQAUAAYACAAAACEAArdpMd0AAAAJAQAADwAAAAAAAAAAAAAA&#10;AADGBAAAZHJzL2Rvd25yZXYueG1sUEsFBgAAAAAEAAQA8wAAANAFAAAAAA==&#10;" filled="f" strokecolor="windowText" strokeweight="3pt"/>
            </w:pict>
          </mc:Fallback>
        </mc:AlternateContent>
      </w:r>
      <w:r w:rsidRPr="007C15EB">
        <w:rPr>
          <w:rFonts w:eastAsia="Calibri" w:cs="Tahoma"/>
          <w:noProof/>
          <w:color w:val="auto"/>
        </w:rPr>
        <w:drawing>
          <wp:inline distT="0" distB="0" distL="0" distR="0" wp14:anchorId="3D593C10" wp14:editId="2361F88C">
            <wp:extent cx="5671185" cy="894715"/>
            <wp:effectExtent l="0" t="0" r="5715" b="635"/>
            <wp:docPr id="2144923486"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671185" cy="894715"/>
                    </a:xfrm>
                    <a:prstGeom prst="rect">
                      <a:avLst/>
                    </a:prstGeom>
                    <a:noFill/>
                    <a:ln>
                      <a:noFill/>
                    </a:ln>
                  </pic:spPr>
                </pic:pic>
              </a:graphicData>
            </a:graphic>
          </wp:inline>
        </w:drawing>
      </w:r>
    </w:p>
    <w:p w14:paraId="7A249B71" w14:textId="77777777" w:rsidR="00F66FB0" w:rsidRPr="007C15EB" w:rsidRDefault="00F66FB0" w:rsidP="00F66FB0">
      <w:pPr>
        <w:spacing w:after="0" w:line="360" w:lineRule="auto"/>
        <w:rPr>
          <w:rFonts w:eastAsia="Calibri" w:cs="Tahoma"/>
          <w:bCs/>
          <w:color w:val="auto"/>
          <w:lang w:eastAsia="es-ES"/>
        </w:rPr>
      </w:pPr>
    </w:p>
    <w:p w14:paraId="696C3C9A" w14:textId="77777777" w:rsidR="00F66FB0" w:rsidRPr="007C15EB" w:rsidRDefault="00F66FB0" w:rsidP="00F66FB0">
      <w:pPr>
        <w:spacing w:after="0" w:line="360" w:lineRule="auto"/>
        <w:rPr>
          <w:rFonts w:eastAsia="Calibri" w:cs="Tahoma"/>
          <w:bCs/>
          <w:color w:val="auto"/>
          <w:lang w:eastAsia="es-ES"/>
        </w:rPr>
      </w:pPr>
      <w:r w:rsidRPr="007C15EB">
        <w:rPr>
          <w:rFonts w:eastAsia="Calibri" w:cs="Tahoma"/>
          <w:bCs/>
          <w:color w:val="auto"/>
          <w:lang w:eastAsia="es-ES"/>
        </w:rPr>
        <w:t xml:space="preserve">Como se logra observar, en los formatos para publicar las obligaciones de transparencia de los sujetos obligados, establecen que para el caso de las Licencias de Uso de Suelo o de </w:t>
      </w:r>
      <w:r w:rsidRPr="007C15EB">
        <w:rPr>
          <w:rFonts w:eastAsia="Calibri" w:cs="Tahoma"/>
          <w:bCs/>
          <w:color w:val="auto"/>
          <w:lang w:eastAsia="es-ES"/>
        </w:rPr>
        <w:lastRenderedPageBreak/>
        <w:t>Construcción, se debe proporcionar el nombre completo, de la persona física que solicita dichas licencias. Inclusive dicha situación se precisa en los Criterios 33 y 43, relacionados a dichos formatos.</w:t>
      </w:r>
    </w:p>
    <w:p w14:paraId="785DD834" w14:textId="77777777" w:rsidR="00F66FB0" w:rsidRPr="007C15EB" w:rsidRDefault="00F66FB0" w:rsidP="00F66FB0">
      <w:pPr>
        <w:spacing w:after="0" w:line="360" w:lineRule="auto"/>
        <w:rPr>
          <w:rFonts w:eastAsia="Calibri" w:cs="Tahoma"/>
          <w:bCs/>
          <w:color w:val="auto"/>
          <w:lang w:eastAsia="es-ES"/>
        </w:rPr>
      </w:pPr>
    </w:p>
    <w:p w14:paraId="433C312F" w14:textId="77777777" w:rsidR="00F66FB0" w:rsidRPr="007C15EB" w:rsidRDefault="00F66FB0" w:rsidP="00F66FB0">
      <w:pPr>
        <w:spacing w:after="0" w:line="360" w:lineRule="auto"/>
        <w:rPr>
          <w:rFonts w:eastAsia="Calibri" w:cs="Tahoma"/>
          <w:bCs/>
          <w:color w:val="auto"/>
          <w:lang w:eastAsia="es-ES"/>
        </w:rPr>
      </w:pPr>
      <w:r w:rsidRPr="007C15EB">
        <w:rPr>
          <w:rFonts w:eastAsia="Calibri" w:cs="Tahoma"/>
          <w:bCs/>
          <w:color w:val="auto"/>
          <w:lang w:eastAsia="es-ES"/>
        </w:rPr>
        <w:t>Cabe puntualizar que la multicitadas Licencias, tal como se estableció en párrafos anteriores, se refieren a los documentos que contienen la autorización de la autoridad competente, para que los particulares puedan realizar diversas construcciones o modificaciones en sus predios; esto es, es información generada o que tiene en posesión el Sujeto Obligado.</w:t>
      </w:r>
    </w:p>
    <w:p w14:paraId="7737C04C" w14:textId="77777777" w:rsidR="00F66FB0" w:rsidRPr="007C15EB" w:rsidRDefault="00F66FB0" w:rsidP="00F66FB0">
      <w:pPr>
        <w:spacing w:after="0" w:line="360" w:lineRule="auto"/>
        <w:rPr>
          <w:rFonts w:eastAsia="Calibri" w:cs="Tahoma"/>
          <w:bCs/>
          <w:color w:val="auto"/>
          <w:lang w:eastAsia="es-ES"/>
        </w:rPr>
      </w:pPr>
    </w:p>
    <w:p w14:paraId="30D916DA" w14:textId="77777777" w:rsidR="00F66FB0" w:rsidRPr="007C15EB" w:rsidRDefault="00F66FB0" w:rsidP="00F66FB0">
      <w:pPr>
        <w:spacing w:after="0" w:line="360" w:lineRule="auto"/>
        <w:rPr>
          <w:rFonts w:eastAsia="Calibri" w:cs="Tahoma"/>
          <w:bCs/>
          <w:color w:val="auto"/>
          <w:lang w:val="es-ES" w:eastAsia="es-ES"/>
        </w:rPr>
      </w:pPr>
      <w:r w:rsidRPr="007C15EB">
        <w:rPr>
          <w:rFonts w:eastAsia="Calibri" w:cs="Tahoma"/>
          <w:bCs/>
          <w:color w:val="auto"/>
          <w:lang w:eastAsia="es-ES"/>
        </w:rPr>
        <w:t xml:space="preserve">Además, </w:t>
      </w:r>
      <w:r w:rsidRPr="007C15EB">
        <w:rPr>
          <w:rFonts w:eastAsia="Calibri" w:cs="Tahoma"/>
          <w:bCs/>
          <w:color w:val="auto"/>
          <w:lang w:val="es-ES" w:eastAsia="es-ES"/>
        </w:rPr>
        <w:t>el Dictamen de las Comisiones Unidas de Anticorrupción y Participación Ciudadana, de Gobernación y de Estudios Legislativos, segunda; se desprende que el Poder Legislativo consideró que una de las principales contribuciones, es el catálogo de las obligaciones de transparencia, a través de un listado amplio, completo, detallado y preciso para todos los sujetos obligados del país, que permitan garantizar, el efectivo ejercicio del derecho de acceso a la información.</w:t>
      </w:r>
    </w:p>
    <w:p w14:paraId="134E6AC3" w14:textId="77777777" w:rsidR="00F66FB0" w:rsidRPr="007C15EB" w:rsidRDefault="00F66FB0" w:rsidP="00F66FB0">
      <w:pPr>
        <w:spacing w:after="0" w:line="360" w:lineRule="auto"/>
        <w:rPr>
          <w:rFonts w:eastAsia="Calibri" w:cs="Tahoma"/>
          <w:bCs/>
          <w:color w:val="auto"/>
          <w:lang w:val="es-ES" w:eastAsia="es-ES"/>
        </w:rPr>
      </w:pPr>
    </w:p>
    <w:p w14:paraId="42626BD8" w14:textId="77777777" w:rsidR="00F66FB0" w:rsidRPr="007C15EB" w:rsidRDefault="00F66FB0" w:rsidP="00F66FB0">
      <w:pPr>
        <w:spacing w:after="0" w:line="360" w:lineRule="auto"/>
        <w:rPr>
          <w:rFonts w:eastAsia="Calibri" w:cs="Tahoma"/>
          <w:bCs/>
          <w:color w:val="auto"/>
          <w:lang w:eastAsia="es-ES"/>
        </w:rPr>
      </w:pPr>
      <w:r w:rsidRPr="007C15EB">
        <w:rPr>
          <w:rFonts w:eastAsia="Calibri" w:cs="Tahoma"/>
          <w:bCs/>
          <w:color w:val="auto"/>
          <w:lang w:val="es-ES" w:eastAsia="es-ES"/>
        </w:rPr>
        <w:t>Conforme a lo anterior, se puede advertir que la Ley de Transparencia y Acceso a la Información Pública del Estado de México y Municipios, contempla como información pública el nombre de personas físicas solicitantes de las multicitadas licencias.</w:t>
      </w:r>
    </w:p>
    <w:p w14:paraId="54D00F5D" w14:textId="77777777" w:rsidR="00F66FB0" w:rsidRPr="007C15EB" w:rsidRDefault="00F66FB0" w:rsidP="00F66FB0">
      <w:pPr>
        <w:spacing w:after="0" w:line="360" w:lineRule="auto"/>
        <w:rPr>
          <w:rFonts w:eastAsia="Calibri" w:cs="Tahoma"/>
          <w:bCs/>
          <w:color w:val="auto"/>
          <w:lang w:eastAsia="es-ES"/>
        </w:rPr>
      </w:pPr>
    </w:p>
    <w:p w14:paraId="4CEA5114" w14:textId="77777777" w:rsidR="00F66FB0" w:rsidRPr="007C15EB" w:rsidRDefault="00F66FB0" w:rsidP="00F66FB0">
      <w:pPr>
        <w:spacing w:after="0" w:line="360" w:lineRule="auto"/>
        <w:rPr>
          <w:rFonts w:eastAsia="Calibri" w:cs="Tahoma"/>
          <w:bCs/>
          <w:color w:val="auto"/>
          <w:lang w:val="es-ES" w:eastAsia="es-ES"/>
        </w:rPr>
      </w:pPr>
      <w:r w:rsidRPr="007C15EB">
        <w:rPr>
          <w:rFonts w:eastAsia="Calibri" w:cs="Tahoma"/>
          <w:bCs/>
          <w:color w:val="auto"/>
          <w:lang w:val="es-ES" w:eastAsia="es-ES"/>
        </w:rPr>
        <w:t xml:space="preserve">Ante tales circunstancias, se desprende que, en el caso concreto, sobreviene una </w:t>
      </w:r>
      <w:r w:rsidRPr="007C15EB">
        <w:rPr>
          <w:rFonts w:eastAsia="Calibri" w:cs="Tahoma"/>
          <w:b/>
          <w:bCs/>
          <w:color w:val="auto"/>
          <w:lang w:val="es-ES" w:eastAsia="es-ES"/>
        </w:rPr>
        <w:t>colisión de derechos fundamentales,</w:t>
      </w:r>
      <w:r w:rsidRPr="007C15EB">
        <w:rPr>
          <w:rFonts w:eastAsia="Calibri" w:cs="Tahoma"/>
          <w:bCs/>
          <w:color w:val="auto"/>
          <w:lang w:val="es-ES" w:eastAsia="es-ES"/>
        </w:rPr>
        <w:t xml:space="preserve"> esto es, por una parte, se tiene el derecho de acceso a la información del recurrente para conocer el nombre de la persona a la cual se le otorgó una licencia para construir en un predio, y por la otra, el derecho a la protección de los nombres de aquellas a quienes obtuvieron una autorización específica, lo cual implica dar a conocer </w:t>
      </w:r>
      <w:r w:rsidRPr="007C15EB">
        <w:rPr>
          <w:rFonts w:eastAsia="Calibri" w:cs="Tahoma"/>
          <w:bCs/>
          <w:color w:val="auto"/>
          <w:lang w:val="es-ES" w:eastAsia="es-ES"/>
        </w:rPr>
        <w:lastRenderedPageBreak/>
        <w:t>datos personales confidenciales consistentes, en el nombre de personas físicas y este vincularlo en la construcción de alguna obra o proyecto, y el lugar en el que se ubica el predio.</w:t>
      </w:r>
    </w:p>
    <w:p w14:paraId="5435547D" w14:textId="77777777" w:rsidR="00F66FB0" w:rsidRPr="007C15EB" w:rsidRDefault="00F66FB0" w:rsidP="00F66FB0">
      <w:pPr>
        <w:spacing w:after="0" w:line="360" w:lineRule="auto"/>
        <w:rPr>
          <w:rFonts w:eastAsia="Calibri" w:cs="Tahoma"/>
          <w:bCs/>
          <w:color w:val="auto"/>
          <w:lang w:eastAsia="es-ES"/>
        </w:rPr>
      </w:pPr>
    </w:p>
    <w:p w14:paraId="1CF732A7" w14:textId="77777777" w:rsidR="00F66FB0" w:rsidRPr="007C15EB" w:rsidRDefault="00F66FB0" w:rsidP="00F66FB0">
      <w:pPr>
        <w:spacing w:after="0" w:line="360" w:lineRule="auto"/>
        <w:rPr>
          <w:rFonts w:eastAsia="Calibri" w:cs="Tahoma"/>
          <w:bCs/>
          <w:color w:val="auto"/>
          <w:lang w:eastAsia="es-ES"/>
        </w:rPr>
      </w:pPr>
      <w:r w:rsidRPr="007C15EB">
        <w:rPr>
          <w:rFonts w:eastAsia="Calibri" w:cs="Tahoma"/>
          <w:bCs/>
          <w:color w:val="auto"/>
          <w:lang w:eastAsia="es-ES"/>
        </w:rPr>
        <w:t>Sobre el particular, debe señalarse que, en un sistema jurídico racional, el contenido de ciertos derechos fundamentales no es absoluto y la colisión entre derechos fundamentales debe resolverse mediante una ponderación que determine el derecho que ha de prevalecer en el caso concretó, y no apelando a reglas de prioridad entre normas.</w:t>
      </w:r>
    </w:p>
    <w:p w14:paraId="525EF214" w14:textId="77777777" w:rsidR="00F66FB0" w:rsidRPr="007C15EB" w:rsidRDefault="00F66FB0" w:rsidP="00F66FB0">
      <w:pPr>
        <w:spacing w:after="0" w:line="360" w:lineRule="auto"/>
        <w:rPr>
          <w:rFonts w:eastAsia="Calibri" w:cs="Tahoma"/>
          <w:bCs/>
          <w:color w:val="auto"/>
          <w:lang w:eastAsia="es-ES"/>
        </w:rPr>
      </w:pPr>
    </w:p>
    <w:p w14:paraId="1F79D910" w14:textId="77777777" w:rsidR="00F66FB0" w:rsidRPr="007C15EB" w:rsidRDefault="00F66FB0" w:rsidP="00F66FB0">
      <w:pPr>
        <w:spacing w:after="0" w:line="360" w:lineRule="auto"/>
        <w:rPr>
          <w:rFonts w:eastAsia="Calibri" w:cs="Tahoma"/>
          <w:bCs/>
          <w:color w:val="auto"/>
          <w:lang w:eastAsia="es-ES"/>
        </w:rPr>
      </w:pPr>
      <w:r w:rsidRPr="007C15EB">
        <w:rPr>
          <w:rFonts w:eastAsia="Calibri" w:cs="Tahoma"/>
          <w:bCs/>
          <w:color w:val="auto"/>
          <w:lang w:eastAsia="es-ES"/>
        </w:rPr>
        <w:t xml:space="preserve">Por cuanto hace a la colisión entre el derecho a la información y el derecho a la intimidad o a la vida privada, el Poder Judicial de la Federación ha sostenido la </w:t>
      </w:r>
      <w:r w:rsidRPr="007C15EB">
        <w:rPr>
          <w:rFonts w:eastAsia="Calibri" w:cs="Tahoma"/>
          <w:b/>
          <w:bCs/>
          <w:color w:val="auto"/>
          <w:lang w:eastAsia="es-ES"/>
        </w:rPr>
        <w:t xml:space="preserve">necesidad de resolver el conflicto apuntado mediante el ejercicio de ponderación; además, que el interés público que tenga cierta información, será concepto legitimador de las intromisiones en la intimidad o la vida privada, en donde este derecho debe ceder a favor del derecho a comunicar y recibir información, atendiendo a las circunstancias de cada caso en concreto, </w:t>
      </w:r>
      <w:r w:rsidRPr="007C15EB">
        <w:rPr>
          <w:rFonts w:eastAsia="Calibri" w:cs="Tahoma"/>
          <w:bCs/>
          <w:color w:val="auto"/>
          <w:lang w:eastAsia="es-ES"/>
        </w:rPr>
        <w:t>tal y como se desprende de la tesis 1a. XLIII/2010, emitida por la Primera Sala de la Suprema Corte de Justicia de la Nación, publicada en el Semanario Judicial de la Federación y su Gaceta, Tomo XXXI, página 928, de marzo de 2010, Novena Época, materia constitucional.</w:t>
      </w:r>
    </w:p>
    <w:p w14:paraId="2088EE97" w14:textId="77777777" w:rsidR="00F66FB0" w:rsidRPr="007C15EB" w:rsidRDefault="00F66FB0" w:rsidP="00F66FB0">
      <w:pPr>
        <w:spacing w:after="0" w:line="360" w:lineRule="auto"/>
        <w:rPr>
          <w:rFonts w:eastAsia="Calibri" w:cs="Tahoma"/>
          <w:bCs/>
          <w:color w:val="auto"/>
          <w:lang w:eastAsia="es-ES"/>
        </w:rPr>
      </w:pPr>
    </w:p>
    <w:p w14:paraId="4035DE0A" w14:textId="77777777" w:rsidR="00F66FB0" w:rsidRPr="007C15EB" w:rsidRDefault="00F66FB0" w:rsidP="00F66FB0">
      <w:pPr>
        <w:spacing w:after="0" w:line="360" w:lineRule="auto"/>
        <w:rPr>
          <w:rFonts w:eastAsia="Calibri" w:cs="Tahoma"/>
          <w:bCs/>
          <w:iCs/>
          <w:color w:val="auto"/>
          <w:lang w:eastAsia="es-ES"/>
        </w:rPr>
      </w:pPr>
      <w:r w:rsidRPr="007C15EB">
        <w:rPr>
          <w:rFonts w:eastAsia="Calibri" w:cs="Tahoma"/>
          <w:bCs/>
          <w:color w:val="auto"/>
          <w:lang w:eastAsia="es-ES"/>
        </w:rPr>
        <w:t>En ese mismo sentido y atendiendo a la naturaleza del derecho a la protección de datos personales, por analogía, este debe ceder cuando exista un interés público mayor de acuerdo a las circunstancias del caso.</w:t>
      </w:r>
      <w:r w:rsidRPr="007C15EB">
        <w:rPr>
          <w:rFonts w:eastAsia="Calibri" w:cs="Tahoma"/>
          <w:bCs/>
          <w:iCs/>
          <w:color w:val="auto"/>
          <w:lang w:eastAsia="es-ES"/>
        </w:rPr>
        <w:t xml:space="preserve"> Señalado lo anterior, resulta necesario realizar una ponderación de los dos intereses jurídicos tutelados que convergen en la controversia que se dirime; para lo cual, el artículo </w:t>
      </w:r>
      <w:r w:rsidRPr="007C15EB">
        <w:rPr>
          <w:rFonts w:eastAsia="Calibri" w:cs="Tahoma"/>
          <w:bCs/>
          <w:color w:val="auto"/>
          <w:lang w:eastAsia="es-ES"/>
        </w:rPr>
        <w:t>184 de la Ley de Transparencia y Acceso a la Información Pública del Estado de México y Municipios</w:t>
      </w:r>
      <w:r w:rsidRPr="007C15EB">
        <w:rPr>
          <w:rFonts w:eastAsia="Calibri" w:cs="Tahoma"/>
          <w:bCs/>
          <w:iCs/>
          <w:color w:val="auto"/>
          <w:lang w:eastAsia="es-ES"/>
        </w:rPr>
        <w:t xml:space="preserve"> prevé que cuando exista una colisión de derechos, este Instituto, al resolver el recurso de revisión, debe aplicar una prueba de interés público con </w:t>
      </w:r>
      <w:r w:rsidRPr="007C15EB">
        <w:rPr>
          <w:rFonts w:eastAsia="Calibri" w:cs="Tahoma"/>
          <w:bCs/>
          <w:iCs/>
          <w:color w:val="auto"/>
          <w:lang w:eastAsia="es-ES"/>
        </w:rPr>
        <w:lastRenderedPageBreak/>
        <w:t xml:space="preserve">base en elementos de idoneidad, necesidad y proporcionalidad. Para estos efectos, se entenderá por: </w:t>
      </w:r>
    </w:p>
    <w:p w14:paraId="6D93EE89" w14:textId="77777777" w:rsidR="00F66FB0" w:rsidRPr="007C15EB" w:rsidRDefault="00F66FB0" w:rsidP="00F66FB0">
      <w:pPr>
        <w:spacing w:after="0" w:line="360" w:lineRule="auto"/>
        <w:rPr>
          <w:rFonts w:eastAsia="Calibri" w:cs="Tahoma"/>
          <w:bCs/>
          <w:iCs/>
          <w:color w:val="auto"/>
          <w:lang w:eastAsia="es-ES"/>
        </w:rPr>
      </w:pPr>
    </w:p>
    <w:p w14:paraId="5F32F3DB" w14:textId="77777777" w:rsidR="00F66FB0" w:rsidRPr="007C15EB" w:rsidRDefault="00F66FB0" w:rsidP="00F66FB0">
      <w:pPr>
        <w:numPr>
          <w:ilvl w:val="0"/>
          <w:numId w:val="24"/>
        </w:numPr>
        <w:spacing w:after="0" w:line="360" w:lineRule="auto"/>
        <w:jc w:val="left"/>
        <w:rPr>
          <w:rFonts w:eastAsia="Calibri" w:cs="Tahoma"/>
          <w:bCs/>
          <w:iCs/>
          <w:color w:val="auto"/>
          <w:lang w:eastAsia="es-ES"/>
        </w:rPr>
      </w:pPr>
      <w:r w:rsidRPr="007C15EB">
        <w:rPr>
          <w:rFonts w:eastAsia="Calibri" w:cs="Tahoma"/>
          <w:b/>
          <w:bCs/>
          <w:iCs/>
          <w:color w:val="auto"/>
          <w:lang w:eastAsia="es-ES"/>
        </w:rPr>
        <w:t>Idoneidad:</w:t>
      </w:r>
      <w:r w:rsidRPr="007C15EB">
        <w:rPr>
          <w:rFonts w:eastAsia="Calibri" w:cs="Tahoma"/>
          <w:bCs/>
          <w:iCs/>
          <w:color w:val="auto"/>
          <w:lang w:eastAsia="es-ES"/>
        </w:rPr>
        <w:t xml:space="preserve"> La legitimidad del derecho adoptado como preferente, que sea el adecuado para el logro de un fin constitucionalmente válido o apto para conseguir el fin pretendido;</w:t>
      </w:r>
    </w:p>
    <w:p w14:paraId="40C1FC97" w14:textId="77777777" w:rsidR="00F66FB0" w:rsidRPr="007C15EB" w:rsidRDefault="00F66FB0" w:rsidP="00F66FB0">
      <w:pPr>
        <w:numPr>
          <w:ilvl w:val="0"/>
          <w:numId w:val="24"/>
        </w:numPr>
        <w:spacing w:after="0" w:line="360" w:lineRule="auto"/>
        <w:jc w:val="left"/>
        <w:rPr>
          <w:rFonts w:eastAsia="Calibri" w:cs="Tahoma"/>
          <w:bCs/>
          <w:iCs/>
          <w:color w:val="auto"/>
          <w:lang w:eastAsia="es-ES"/>
        </w:rPr>
      </w:pPr>
      <w:r w:rsidRPr="007C15EB">
        <w:rPr>
          <w:rFonts w:eastAsia="Calibri" w:cs="Tahoma"/>
          <w:b/>
          <w:bCs/>
          <w:iCs/>
          <w:color w:val="auto"/>
          <w:lang w:eastAsia="es-ES"/>
        </w:rPr>
        <w:t>Necesidad:</w:t>
      </w:r>
      <w:r w:rsidRPr="007C15EB">
        <w:rPr>
          <w:rFonts w:eastAsia="Calibri" w:cs="Tahoma"/>
          <w:bCs/>
          <w:iCs/>
          <w:color w:val="auto"/>
          <w:lang w:eastAsia="es-ES"/>
        </w:rPr>
        <w:t xml:space="preserve"> La falta de un medio alternativo menos lesivo a la apertura de la información, para satisfacer el interés público, y</w:t>
      </w:r>
    </w:p>
    <w:p w14:paraId="6D03F323" w14:textId="77777777" w:rsidR="00F66FB0" w:rsidRPr="007C15EB" w:rsidRDefault="00F66FB0" w:rsidP="00F66FB0">
      <w:pPr>
        <w:numPr>
          <w:ilvl w:val="0"/>
          <w:numId w:val="24"/>
        </w:numPr>
        <w:spacing w:after="0" w:line="360" w:lineRule="auto"/>
        <w:jc w:val="left"/>
        <w:rPr>
          <w:rFonts w:eastAsia="Calibri" w:cs="Tahoma"/>
          <w:bCs/>
          <w:iCs/>
          <w:color w:val="auto"/>
          <w:lang w:eastAsia="es-ES"/>
        </w:rPr>
      </w:pPr>
      <w:r w:rsidRPr="007C15EB">
        <w:rPr>
          <w:rFonts w:eastAsia="Calibri" w:cs="Tahoma"/>
          <w:b/>
          <w:bCs/>
          <w:iCs/>
          <w:color w:val="auto"/>
          <w:lang w:eastAsia="es-ES"/>
        </w:rPr>
        <w:t>Proporcionalidad:</w:t>
      </w:r>
      <w:r w:rsidRPr="007C15EB">
        <w:rPr>
          <w:rFonts w:eastAsia="Calibri" w:cs="Tahoma"/>
          <w:bCs/>
          <w:iCs/>
          <w:color w:val="auto"/>
          <w:lang w:eastAsia="es-ES"/>
        </w:rPr>
        <w:t xml:space="preserve"> El equilibrio entre perjuicio y beneficio a favor del interés público, a fin de que la decisión tomada represente un beneficio mayor al perjuicio que podría causar a la población.</w:t>
      </w:r>
    </w:p>
    <w:p w14:paraId="4B936E17" w14:textId="77777777" w:rsidR="00F66FB0" w:rsidRPr="007C15EB" w:rsidRDefault="00F66FB0" w:rsidP="00F66FB0">
      <w:pPr>
        <w:spacing w:after="0" w:line="360" w:lineRule="auto"/>
        <w:rPr>
          <w:rFonts w:eastAsia="Calibri" w:cs="Tahoma"/>
          <w:bCs/>
          <w:color w:val="auto"/>
          <w:lang w:eastAsia="es-ES"/>
        </w:rPr>
      </w:pPr>
    </w:p>
    <w:p w14:paraId="71F3433E" w14:textId="77777777" w:rsidR="00F66FB0" w:rsidRPr="007C15EB" w:rsidRDefault="00F66FB0" w:rsidP="00F66FB0">
      <w:pPr>
        <w:spacing w:after="0" w:line="360" w:lineRule="auto"/>
        <w:rPr>
          <w:rFonts w:eastAsia="Calibri" w:cs="Tahoma"/>
          <w:bCs/>
          <w:color w:val="auto"/>
          <w:lang w:eastAsia="es-ES"/>
        </w:rPr>
      </w:pPr>
      <w:r w:rsidRPr="007C15EB">
        <w:rPr>
          <w:rFonts w:eastAsia="Calibri" w:cs="Tahoma"/>
          <w:bCs/>
          <w:color w:val="auto"/>
          <w:lang w:eastAsia="es-ES"/>
        </w:rPr>
        <w:t>En ese orden de ideas, resulta procedente analizar cada uno de los elementos referidos, bajo las consideraciones que se verterán a continuación.</w:t>
      </w:r>
    </w:p>
    <w:p w14:paraId="1C678807" w14:textId="77777777" w:rsidR="00F66FB0" w:rsidRPr="007C15EB" w:rsidRDefault="00F66FB0" w:rsidP="00F66FB0">
      <w:pPr>
        <w:spacing w:after="0" w:line="360" w:lineRule="auto"/>
        <w:rPr>
          <w:rFonts w:eastAsia="Calibri" w:cs="Tahoma"/>
          <w:bCs/>
          <w:color w:val="auto"/>
          <w:lang w:eastAsia="es-ES"/>
        </w:rPr>
      </w:pPr>
    </w:p>
    <w:p w14:paraId="4ADA3A9A" w14:textId="77777777" w:rsidR="00F66FB0" w:rsidRPr="007C15EB" w:rsidRDefault="00F66FB0" w:rsidP="00F66FB0">
      <w:pPr>
        <w:spacing w:after="0" w:line="360" w:lineRule="auto"/>
        <w:rPr>
          <w:rFonts w:eastAsia="Calibri" w:cs="Tahoma"/>
          <w:b/>
          <w:bCs/>
          <w:color w:val="auto"/>
          <w:lang w:eastAsia="es-ES"/>
        </w:rPr>
      </w:pPr>
      <w:r w:rsidRPr="007C15EB">
        <w:rPr>
          <w:rFonts w:eastAsia="Calibri" w:cs="Tahoma"/>
          <w:b/>
          <w:bCs/>
          <w:iCs/>
          <w:color w:val="auto"/>
          <w:lang w:eastAsia="es-ES"/>
        </w:rPr>
        <w:t>a) Idoneidad</w:t>
      </w:r>
      <w:r w:rsidRPr="007C15EB">
        <w:rPr>
          <w:rFonts w:eastAsia="Calibri" w:cs="Tahoma"/>
          <w:bCs/>
          <w:color w:val="auto"/>
          <w:lang w:eastAsia="es-ES"/>
        </w:rPr>
        <w:t>. En cuanto al primer elemento de ponderación, se debe elegir el principio que será adoptado como preferente, buscando su justificación a partir de la valoración adecuada para satisfacer el fin constitucionalmente válido o pretendido.</w:t>
      </w:r>
    </w:p>
    <w:p w14:paraId="3106F96B" w14:textId="77777777" w:rsidR="00F66FB0" w:rsidRPr="007C15EB" w:rsidRDefault="00F66FB0" w:rsidP="00F66FB0">
      <w:pPr>
        <w:spacing w:after="0" w:line="360" w:lineRule="auto"/>
        <w:rPr>
          <w:rFonts w:eastAsia="Calibri" w:cs="Tahoma"/>
          <w:b/>
          <w:bCs/>
          <w:color w:val="auto"/>
          <w:lang w:eastAsia="es-ES"/>
        </w:rPr>
      </w:pPr>
    </w:p>
    <w:p w14:paraId="739B3EAE" w14:textId="77777777" w:rsidR="00F66FB0" w:rsidRPr="007C15EB" w:rsidRDefault="00F66FB0" w:rsidP="00F66FB0">
      <w:pPr>
        <w:spacing w:after="0" w:line="360" w:lineRule="auto"/>
        <w:rPr>
          <w:rFonts w:eastAsia="Calibri" w:cs="Tahoma"/>
          <w:bCs/>
          <w:color w:val="auto"/>
          <w:lang w:eastAsia="es-ES"/>
        </w:rPr>
      </w:pPr>
      <w:r w:rsidRPr="007C15EB">
        <w:rPr>
          <w:rFonts w:eastAsia="Calibri" w:cs="Tahoma"/>
          <w:bCs/>
          <w:color w:val="auto"/>
          <w:lang w:eastAsia="es-ES"/>
        </w:rPr>
        <w:t>Al respecto, se considera que debe prevalecer el derecho a la protección de datos personales del titular de dichas licencias, por encima del derecho de acceso a la información, toda vez que, en el presente caso, no se advierte que ésta involucre el aprovechamiento de bienes o servicios del Ayuntamiento de Atlacomulco, o bien, de recursos públicos, pues en el presente caso, las Licencias de Construcción y Uso de Suelo, son para un proyecto privado para remodelar un establecimiento</w:t>
      </w:r>
      <w:r w:rsidRPr="007C15EB">
        <w:rPr>
          <w:rFonts w:eastAsia="Calibri" w:cs="Tahoma"/>
          <w:bCs/>
          <w:iCs/>
          <w:color w:val="auto"/>
          <w:lang w:val="es-ES" w:eastAsia="es-ES"/>
        </w:rPr>
        <w:t xml:space="preserve">. Lo anterior, toda vez que se realizó una búsqueda de </w:t>
      </w:r>
      <w:r w:rsidRPr="007C15EB">
        <w:rPr>
          <w:rFonts w:eastAsia="Calibri" w:cs="Tahoma"/>
          <w:bCs/>
          <w:iCs/>
          <w:color w:val="auto"/>
          <w:lang w:val="es-ES" w:eastAsia="es-ES"/>
        </w:rPr>
        <w:lastRenderedPageBreak/>
        <w:t>información pública y no se localizó que el Sujeto Obligado, tenga injerencia en dicha construcción.</w:t>
      </w:r>
    </w:p>
    <w:p w14:paraId="25C09DFC" w14:textId="77777777" w:rsidR="00F66FB0" w:rsidRPr="007C15EB" w:rsidRDefault="00F66FB0" w:rsidP="00F66FB0">
      <w:pPr>
        <w:spacing w:after="0" w:line="360" w:lineRule="auto"/>
        <w:rPr>
          <w:rFonts w:eastAsia="Calibri" w:cs="Tahoma"/>
          <w:b/>
          <w:bCs/>
          <w:color w:val="auto"/>
          <w:lang w:eastAsia="es-ES"/>
        </w:rPr>
      </w:pPr>
    </w:p>
    <w:p w14:paraId="6979A14A" w14:textId="77777777" w:rsidR="00F66FB0" w:rsidRPr="007C15EB" w:rsidRDefault="00F66FB0" w:rsidP="00F66FB0">
      <w:pPr>
        <w:spacing w:after="0" w:line="360" w:lineRule="auto"/>
        <w:rPr>
          <w:rFonts w:eastAsia="Calibri" w:cs="Tahoma"/>
          <w:b/>
          <w:bCs/>
          <w:color w:val="auto"/>
          <w:lang w:eastAsia="es-ES"/>
        </w:rPr>
      </w:pPr>
      <w:r w:rsidRPr="007C15EB">
        <w:rPr>
          <w:rFonts w:eastAsia="Calibri" w:cs="Tahoma"/>
          <w:bCs/>
          <w:color w:val="auto"/>
          <w:lang w:eastAsia="es-ES"/>
        </w:rPr>
        <w:t xml:space="preserve">En ese contexto, cabe traer a colación lo previsto en la tesis aislada número 1a.CCXIV/2009, emitida por la Primera Sala de la Suprema Corte de Justicia de la Nación, publicada en la Gaceta del Semanario Judicial de la Federación, Tomo XXX, de diciembre de 2009, página 277, de la Novena Época, materia constitucional, de la cual se colige que </w:t>
      </w:r>
      <w:r w:rsidRPr="007C15EB">
        <w:rPr>
          <w:rFonts w:eastAsia="Calibri" w:cs="Tahoma"/>
          <w:b/>
          <w:bCs/>
          <w:color w:val="auto"/>
          <w:lang w:eastAsia="es-ES"/>
        </w:rPr>
        <w:t>las actividades que realicen las personas, dentro del ámbito privado, o dentro de la esfera particular, es información que debe protegerse.</w:t>
      </w:r>
    </w:p>
    <w:p w14:paraId="7A2D7E6D" w14:textId="77777777" w:rsidR="00F66FB0" w:rsidRPr="007C15EB" w:rsidRDefault="00F66FB0" w:rsidP="00F66FB0">
      <w:pPr>
        <w:spacing w:after="0" w:line="360" w:lineRule="auto"/>
        <w:rPr>
          <w:rFonts w:eastAsia="Calibri" w:cs="Tahoma"/>
          <w:b/>
          <w:bCs/>
          <w:color w:val="auto"/>
          <w:lang w:eastAsia="es-ES"/>
        </w:rPr>
      </w:pPr>
    </w:p>
    <w:p w14:paraId="3E58270A" w14:textId="77777777" w:rsidR="00F66FB0" w:rsidRPr="007C15EB" w:rsidRDefault="00F66FB0" w:rsidP="00F66FB0">
      <w:pPr>
        <w:spacing w:after="0" w:line="360" w:lineRule="auto"/>
        <w:rPr>
          <w:rFonts w:eastAsia="Calibri" w:cs="Tahoma"/>
          <w:bCs/>
          <w:color w:val="auto"/>
          <w:lang w:eastAsia="es-ES"/>
        </w:rPr>
      </w:pPr>
      <w:r w:rsidRPr="007C15EB">
        <w:rPr>
          <w:rFonts w:eastAsia="Calibri" w:cs="Tahoma"/>
          <w:bCs/>
          <w:color w:val="auto"/>
          <w:lang w:eastAsia="es-ES"/>
        </w:rPr>
        <w:t>En el presente caso, entregar el nombre de la persona física identificada, iría en contra del derecho de la vida privada, pues daría cuenta de la decisión personal de la misma; es decir, de un acto de voluntad de dicho individuo para realizar una construcción o modificación a un predio o inmueble que tiene en si posesión o propiedad, lo cual constituye una cuestión de carácter estrictamente íntimo.</w:t>
      </w:r>
    </w:p>
    <w:p w14:paraId="56DE85D2" w14:textId="77777777" w:rsidR="00F66FB0" w:rsidRPr="007C15EB" w:rsidRDefault="00F66FB0" w:rsidP="00F66FB0">
      <w:pPr>
        <w:spacing w:after="0" w:line="360" w:lineRule="auto"/>
        <w:rPr>
          <w:rFonts w:eastAsia="Calibri" w:cs="Tahoma"/>
          <w:b/>
          <w:bCs/>
          <w:color w:val="auto"/>
          <w:lang w:eastAsia="es-ES"/>
        </w:rPr>
      </w:pPr>
    </w:p>
    <w:p w14:paraId="31C0A54D" w14:textId="3932BCB7" w:rsidR="00F66FB0" w:rsidRPr="007C15EB" w:rsidRDefault="00F66FB0" w:rsidP="00F66FB0">
      <w:pPr>
        <w:spacing w:after="0" w:line="360" w:lineRule="auto"/>
        <w:rPr>
          <w:rFonts w:eastAsia="Calibri" w:cs="Tahoma"/>
          <w:bCs/>
          <w:color w:val="auto"/>
          <w:lang w:eastAsia="es-ES"/>
        </w:rPr>
      </w:pPr>
      <w:r w:rsidRPr="007C15EB">
        <w:rPr>
          <w:rFonts w:eastAsia="Calibri" w:cs="Tahoma"/>
          <w:bCs/>
          <w:color w:val="auto"/>
          <w:lang w:eastAsia="es-ES"/>
        </w:rPr>
        <w:t>Por otra parte, si bien las multicitadas licencias son emitidas por el Ayuntamiento de Tianguistenco, en cumplimiento de sus obligaciones y, por lo tanto, las mismas acreditan el correcto actuar de este; también lo es, que el nombre de la persona física solicitante al ser protegido no afecta la certeza del documento, pues este busca acreditar que en un determinado predio se puede realizar una construcción.</w:t>
      </w:r>
    </w:p>
    <w:p w14:paraId="469256E9" w14:textId="77777777" w:rsidR="00F66FB0" w:rsidRPr="007C15EB" w:rsidRDefault="00F66FB0" w:rsidP="00F66FB0">
      <w:pPr>
        <w:spacing w:after="0" w:line="360" w:lineRule="auto"/>
        <w:rPr>
          <w:rFonts w:eastAsia="Calibri" w:cs="Tahoma"/>
          <w:bCs/>
          <w:color w:val="auto"/>
          <w:lang w:eastAsia="es-ES"/>
        </w:rPr>
      </w:pPr>
    </w:p>
    <w:p w14:paraId="771CFD9C" w14:textId="77777777" w:rsidR="00F66FB0" w:rsidRPr="007C15EB" w:rsidRDefault="00F66FB0" w:rsidP="00F66FB0">
      <w:pPr>
        <w:spacing w:after="0" w:line="360" w:lineRule="auto"/>
        <w:rPr>
          <w:rFonts w:eastAsia="Calibri" w:cs="Tahoma"/>
          <w:bCs/>
          <w:color w:val="auto"/>
          <w:lang w:eastAsia="es-ES"/>
        </w:rPr>
      </w:pPr>
      <w:r w:rsidRPr="007C15EB">
        <w:rPr>
          <w:rFonts w:eastAsia="Calibri" w:cs="Tahoma"/>
          <w:bCs/>
          <w:color w:val="auto"/>
          <w:lang w:eastAsia="es-ES"/>
        </w:rPr>
        <w:t xml:space="preserve">Es bajo tales consideraciones, que se determinada que la protección del nombre de las personas físicas solicitante de las Licencias de Uso de Suelo o Construcción debe prevalecer frente al derecho de acceso a la información, pues el mismo no transparenta la gestión pública </w:t>
      </w:r>
      <w:r w:rsidRPr="007C15EB">
        <w:rPr>
          <w:rFonts w:eastAsia="Calibri" w:cs="Tahoma"/>
          <w:bCs/>
          <w:color w:val="auto"/>
          <w:lang w:eastAsia="es-ES"/>
        </w:rPr>
        <w:lastRenderedPageBreak/>
        <w:t>y la correcta actuación del Sujeto Obligado, pues dicha situación se acredita con el propio documento, sin necesidad el solicitante.</w:t>
      </w:r>
    </w:p>
    <w:p w14:paraId="2E3A4920" w14:textId="77777777" w:rsidR="00F66FB0" w:rsidRPr="007C15EB" w:rsidRDefault="00F66FB0" w:rsidP="00F66FB0">
      <w:pPr>
        <w:spacing w:after="0" w:line="360" w:lineRule="auto"/>
        <w:rPr>
          <w:rFonts w:eastAsia="Calibri" w:cs="Tahoma"/>
          <w:bCs/>
          <w:color w:val="auto"/>
          <w:lang w:eastAsia="es-ES"/>
        </w:rPr>
      </w:pPr>
    </w:p>
    <w:p w14:paraId="0D14296B" w14:textId="77777777" w:rsidR="00F66FB0" w:rsidRPr="007C15EB" w:rsidRDefault="00F66FB0" w:rsidP="00F66FB0">
      <w:pPr>
        <w:spacing w:after="0" w:line="360" w:lineRule="auto"/>
        <w:rPr>
          <w:rFonts w:eastAsia="Calibri" w:cs="Tahoma"/>
          <w:bCs/>
          <w:color w:val="auto"/>
          <w:lang w:eastAsia="es-ES"/>
        </w:rPr>
      </w:pPr>
      <w:r w:rsidRPr="007C15EB">
        <w:rPr>
          <w:rFonts w:eastAsia="Calibri" w:cs="Tahoma"/>
          <w:bCs/>
          <w:color w:val="auto"/>
          <w:lang w:eastAsia="es-ES"/>
        </w:rPr>
        <w:t>Lo anterior, toma sustento con el hecho que las Licencias de Construcción y Uso, buscan acreditar la autorización de que, en un determinado predio o inmueble, se pueden realizar diversas construcciones o modificaciones; lo cual, se cumpliría en el presente caso, con la entrega de la versión pública de las mismas.</w:t>
      </w:r>
    </w:p>
    <w:p w14:paraId="5985AAB6" w14:textId="77777777" w:rsidR="00F66FB0" w:rsidRPr="007C15EB" w:rsidRDefault="00F66FB0" w:rsidP="00F66FB0">
      <w:pPr>
        <w:spacing w:after="0" w:line="360" w:lineRule="auto"/>
        <w:rPr>
          <w:rFonts w:eastAsia="Calibri" w:cs="Tahoma"/>
          <w:bCs/>
          <w:color w:val="auto"/>
          <w:lang w:eastAsia="es-ES"/>
        </w:rPr>
      </w:pPr>
    </w:p>
    <w:p w14:paraId="77F2F4D6" w14:textId="77777777" w:rsidR="00F66FB0" w:rsidRPr="007C15EB" w:rsidRDefault="00F66FB0" w:rsidP="00F66FB0">
      <w:pPr>
        <w:spacing w:after="0" w:line="360" w:lineRule="auto"/>
        <w:rPr>
          <w:rFonts w:eastAsia="Calibri" w:cs="Tahoma"/>
          <w:bCs/>
          <w:color w:val="auto"/>
          <w:lang w:val="es-ES" w:eastAsia="es-ES"/>
        </w:rPr>
      </w:pPr>
      <w:r w:rsidRPr="007C15EB">
        <w:rPr>
          <w:rFonts w:eastAsia="Calibri" w:cs="Tahoma"/>
          <w:b/>
          <w:bCs/>
          <w:color w:val="auto"/>
          <w:lang w:val="es-ES" w:eastAsia="es-ES"/>
        </w:rPr>
        <w:t>b) Necesidad.</w:t>
      </w:r>
      <w:r w:rsidRPr="007C15EB">
        <w:rPr>
          <w:rFonts w:eastAsia="Calibri" w:cs="Tahoma"/>
          <w:bCs/>
          <w:color w:val="auto"/>
          <w:lang w:val="es-ES" w:eastAsia="es-ES"/>
        </w:rPr>
        <w:t xml:space="preserve"> En el presente caso, no existe forma de que se observen por igual los derechos en conflicto, pues la publicación de los datos personales de la persona física titular de las licencias en comento vulnera si derecho a la protección de los mismos y a su privacidad.</w:t>
      </w:r>
    </w:p>
    <w:p w14:paraId="3EA7A516" w14:textId="77777777" w:rsidR="00F66FB0" w:rsidRPr="007C15EB" w:rsidRDefault="00F66FB0" w:rsidP="00F66FB0">
      <w:pPr>
        <w:spacing w:after="0" w:line="360" w:lineRule="auto"/>
        <w:rPr>
          <w:rFonts w:eastAsia="Calibri" w:cs="Tahoma"/>
          <w:bCs/>
          <w:color w:val="auto"/>
          <w:lang w:val="es-ES" w:eastAsia="es-ES"/>
        </w:rPr>
      </w:pPr>
    </w:p>
    <w:p w14:paraId="407513D6" w14:textId="77777777" w:rsidR="00F66FB0" w:rsidRPr="007C15EB" w:rsidRDefault="00F66FB0" w:rsidP="00F66FB0">
      <w:pPr>
        <w:spacing w:after="0" w:line="360" w:lineRule="auto"/>
        <w:rPr>
          <w:rFonts w:eastAsia="Calibri" w:cs="Tahoma"/>
          <w:bCs/>
          <w:color w:val="auto"/>
          <w:lang w:val="es-ES" w:eastAsia="es-ES"/>
        </w:rPr>
      </w:pPr>
      <w:r w:rsidRPr="007C15EB">
        <w:rPr>
          <w:rFonts w:eastAsia="Calibri" w:cs="Tahoma"/>
          <w:bCs/>
          <w:color w:val="auto"/>
          <w:lang w:val="es-ES" w:eastAsia="es-ES"/>
        </w:rPr>
        <w:t xml:space="preserve">Dicha situación, toma relevancia con el hecho de que vincular el nombre de la persona física, con las licencias, se estaría dando a conocer </w:t>
      </w:r>
      <w:r w:rsidRPr="007C15EB">
        <w:rPr>
          <w:rFonts w:eastAsia="Calibri" w:cs="Tahoma"/>
          <w:b/>
          <w:bCs/>
          <w:color w:val="auto"/>
          <w:lang w:val="es-ES" w:eastAsia="es-ES"/>
        </w:rPr>
        <w:t>la decisión personal</w:t>
      </w:r>
      <w:r w:rsidRPr="007C15EB">
        <w:rPr>
          <w:rFonts w:eastAsia="Calibri" w:cs="Tahoma"/>
          <w:bCs/>
          <w:color w:val="auto"/>
          <w:lang w:val="es-ES" w:eastAsia="es-ES"/>
        </w:rPr>
        <w:t xml:space="preserve"> de esta, en realizar o modificar un predio, situación que recae directamente en una cuestión </w:t>
      </w:r>
      <w:r w:rsidRPr="007C15EB">
        <w:rPr>
          <w:rFonts w:eastAsia="Calibri" w:cs="Tahoma"/>
          <w:b/>
          <w:bCs/>
          <w:color w:val="auto"/>
          <w:lang w:val="es-ES" w:eastAsia="es-ES"/>
        </w:rPr>
        <w:t xml:space="preserve">de su vida privada, </w:t>
      </w:r>
      <w:r w:rsidRPr="007C15EB">
        <w:rPr>
          <w:rFonts w:eastAsia="Calibri" w:cs="Tahoma"/>
          <w:bCs/>
          <w:color w:val="auto"/>
          <w:lang w:val="es-ES" w:eastAsia="es-ES"/>
        </w:rPr>
        <w:t>que se encuentra protegida por la Constitución Federal y Estatal, así como, las Leyes de Protección de Datos aplicables.</w:t>
      </w:r>
    </w:p>
    <w:p w14:paraId="6686C039" w14:textId="77777777" w:rsidR="00F66FB0" w:rsidRPr="007C15EB" w:rsidRDefault="00F66FB0" w:rsidP="00F66FB0">
      <w:pPr>
        <w:spacing w:after="0" w:line="360" w:lineRule="auto"/>
        <w:rPr>
          <w:rFonts w:eastAsia="Calibri" w:cs="Tahoma"/>
          <w:bCs/>
          <w:color w:val="auto"/>
          <w:lang w:val="es-ES" w:eastAsia="es-ES"/>
        </w:rPr>
      </w:pPr>
    </w:p>
    <w:p w14:paraId="5A892F7C" w14:textId="77777777" w:rsidR="00F66FB0" w:rsidRPr="007C15EB" w:rsidRDefault="00F66FB0" w:rsidP="00F66FB0">
      <w:pPr>
        <w:spacing w:after="0" w:line="360" w:lineRule="auto"/>
        <w:rPr>
          <w:rFonts w:eastAsia="Calibri" w:cs="Tahoma"/>
          <w:bCs/>
          <w:color w:val="auto"/>
          <w:lang w:eastAsia="es-ES"/>
        </w:rPr>
      </w:pPr>
      <w:r w:rsidRPr="007C15EB">
        <w:rPr>
          <w:rFonts w:eastAsia="Calibri" w:cs="Tahoma"/>
          <w:bCs/>
          <w:color w:val="auto"/>
          <w:lang w:eastAsia="es-ES"/>
        </w:rPr>
        <w:t>Por lo tanto, se considera menos lesivo proteger el nombre del solicitante de las licencias, pues como se precisó en párrafos anteriores, el documento no pierde su objeto, protegiendo dicho dato, toda vez que radica en la autorización de una construcción en una ubicación específica.</w:t>
      </w:r>
    </w:p>
    <w:p w14:paraId="5BEF8DA6" w14:textId="77777777" w:rsidR="00F66FB0" w:rsidRPr="007C15EB" w:rsidRDefault="00F66FB0" w:rsidP="00F66FB0">
      <w:pPr>
        <w:spacing w:after="0" w:line="360" w:lineRule="auto"/>
        <w:rPr>
          <w:rFonts w:eastAsia="Calibri" w:cs="Tahoma"/>
          <w:b/>
          <w:bCs/>
          <w:color w:val="auto"/>
          <w:lang w:eastAsia="es-ES"/>
        </w:rPr>
      </w:pPr>
    </w:p>
    <w:p w14:paraId="1019FED6" w14:textId="77777777" w:rsidR="00F66FB0" w:rsidRPr="007C15EB" w:rsidRDefault="00F66FB0" w:rsidP="00F66FB0">
      <w:pPr>
        <w:spacing w:after="0" w:line="360" w:lineRule="auto"/>
        <w:rPr>
          <w:rFonts w:eastAsia="Calibri" w:cs="Tahoma"/>
          <w:bCs/>
          <w:color w:val="auto"/>
          <w:lang w:val="es-ES" w:eastAsia="es-ES"/>
        </w:rPr>
      </w:pPr>
      <w:r w:rsidRPr="007C15EB">
        <w:rPr>
          <w:rFonts w:eastAsia="Calibri" w:cs="Tahoma"/>
          <w:b/>
          <w:bCs/>
          <w:color w:val="auto"/>
          <w:lang w:val="es-ES" w:eastAsia="es-ES"/>
        </w:rPr>
        <w:t>c) Proporcionalidad en sentido estricto</w:t>
      </w:r>
      <w:r w:rsidRPr="007C15EB">
        <w:rPr>
          <w:rFonts w:eastAsia="Calibri" w:cs="Tahoma"/>
          <w:bCs/>
          <w:color w:val="auto"/>
          <w:lang w:val="es-ES" w:eastAsia="es-ES"/>
        </w:rPr>
        <w:t xml:space="preserve">. En el presente caso se considera, que el objeto de las Licencias no se ve afecto, con la protección del nombre del solicítate. Por tanto, la circunstancia que implica mayor beneficio y menos perjuicios es entregar las licencias </w:t>
      </w:r>
      <w:r w:rsidRPr="007C15EB">
        <w:rPr>
          <w:rFonts w:eastAsia="Calibri" w:cs="Tahoma"/>
          <w:bCs/>
          <w:color w:val="auto"/>
          <w:lang w:val="es-ES" w:eastAsia="es-ES"/>
        </w:rPr>
        <w:lastRenderedPageBreak/>
        <w:t>requeridas, testando, en su caso, el nombre del titular persona física, dejando visible los demás datos, con el fin que el ahora recurrente pueda constatar los términos en los que fueron otorgadas y así colmar la solicitud de información.</w:t>
      </w:r>
    </w:p>
    <w:p w14:paraId="50520FF0" w14:textId="77777777" w:rsidR="00F66FB0" w:rsidRPr="007C15EB" w:rsidRDefault="00F66FB0" w:rsidP="00F66FB0">
      <w:pPr>
        <w:spacing w:after="0" w:line="360" w:lineRule="auto"/>
        <w:rPr>
          <w:rFonts w:eastAsia="Calibri" w:cs="Tahoma"/>
          <w:bCs/>
          <w:color w:val="auto"/>
          <w:lang w:val="es-ES" w:eastAsia="es-ES"/>
        </w:rPr>
      </w:pPr>
    </w:p>
    <w:p w14:paraId="773A4CDD" w14:textId="77777777" w:rsidR="00F66FB0" w:rsidRPr="007C15EB" w:rsidRDefault="00F66FB0" w:rsidP="00F66FB0">
      <w:pPr>
        <w:spacing w:after="0" w:line="360" w:lineRule="auto"/>
        <w:rPr>
          <w:rFonts w:eastAsia="Calibri" w:cs="Tahoma"/>
          <w:bCs/>
          <w:iCs/>
          <w:color w:val="auto"/>
          <w:lang w:eastAsia="es-ES"/>
        </w:rPr>
      </w:pPr>
      <w:r w:rsidRPr="007C15EB">
        <w:rPr>
          <w:rFonts w:eastAsia="Calibri" w:cs="Tahoma"/>
          <w:bCs/>
          <w:color w:val="auto"/>
          <w:lang w:val="es-ES" w:eastAsia="es-ES"/>
        </w:rPr>
        <w:t>Por tales circunstancias, se considera que debe prevalecer la protección de datos personales del solicitante de las licencias, frente al derecho de acceso a la información, pues este no se ve disminuido, ya que se estarían otorgando la versión pública de los documentos que acreditan la autorización para realizar una construcción.</w:t>
      </w:r>
    </w:p>
    <w:p w14:paraId="12A3C2F5" w14:textId="77777777" w:rsidR="00F66FB0" w:rsidRPr="007C15EB" w:rsidRDefault="00F66FB0" w:rsidP="00F66FB0">
      <w:pPr>
        <w:spacing w:after="0" w:line="360" w:lineRule="auto"/>
        <w:rPr>
          <w:rFonts w:eastAsia="Calibri" w:cs="Tahoma"/>
          <w:bCs/>
          <w:iCs/>
          <w:color w:val="auto"/>
          <w:lang w:eastAsia="es-ES"/>
        </w:rPr>
      </w:pPr>
    </w:p>
    <w:p w14:paraId="2F7AF078" w14:textId="77777777" w:rsidR="00F66FB0" w:rsidRPr="007C15EB" w:rsidRDefault="00F66FB0" w:rsidP="00F66FB0">
      <w:pPr>
        <w:spacing w:after="0" w:line="360" w:lineRule="auto"/>
        <w:rPr>
          <w:rFonts w:eastAsia="Calibri" w:cs="Tahoma"/>
          <w:bCs/>
          <w:iCs/>
          <w:color w:val="auto"/>
          <w:lang w:eastAsia="es-ES"/>
        </w:rPr>
      </w:pPr>
      <w:r w:rsidRPr="007C15EB">
        <w:rPr>
          <w:rFonts w:eastAsia="Calibri" w:cs="Tahoma"/>
          <w:bCs/>
          <w:iCs/>
          <w:color w:val="auto"/>
          <w:lang w:eastAsia="es-ES"/>
        </w:rPr>
        <w:t>Por todo lo expuesto, el nombre de la persona física particular propietaria, localizadas en las Licencias de Construcción y Uso de Suelo, actualizan la causal de clasificación prevista en el artículo 143, fracción I de la Ley de Transparencia y Acceso a la Información Pública del Estado de México y Municipios.</w:t>
      </w:r>
    </w:p>
    <w:p w14:paraId="1A67FFAA" w14:textId="77777777" w:rsidR="00F66FB0" w:rsidRPr="007C15EB" w:rsidRDefault="00F66FB0" w:rsidP="00F66FB0">
      <w:pPr>
        <w:spacing w:after="0" w:line="360" w:lineRule="auto"/>
        <w:rPr>
          <w:rFonts w:eastAsia="Calibri" w:cs="Tahoma"/>
          <w:bCs/>
          <w:iCs/>
          <w:color w:val="auto"/>
          <w:lang w:eastAsia="es-ES"/>
        </w:rPr>
      </w:pPr>
    </w:p>
    <w:p w14:paraId="22C7EEF5" w14:textId="77777777" w:rsidR="00F66FB0" w:rsidRPr="007C15EB" w:rsidRDefault="00F66FB0" w:rsidP="00F66FB0">
      <w:pPr>
        <w:spacing w:after="0" w:line="360" w:lineRule="auto"/>
        <w:rPr>
          <w:rFonts w:eastAsia="Calibri" w:cs="Tahoma"/>
          <w:b/>
          <w:bCs/>
          <w:iCs/>
          <w:color w:val="auto"/>
          <w:lang w:eastAsia="es-ES"/>
        </w:rPr>
      </w:pPr>
      <w:r w:rsidRPr="007C15EB">
        <w:rPr>
          <w:rFonts w:eastAsia="Calibri" w:cs="Tahoma"/>
          <w:b/>
          <w:bCs/>
          <w:iCs/>
          <w:color w:val="auto"/>
          <w:lang w:eastAsia="es-ES"/>
        </w:rPr>
        <w:t>Denominación o razón social</w:t>
      </w:r>
    </w:p>
    <w:p w14:paraId="6B26EA71" w14:textId="77777777" w:rsidR="00F66FB0" w:rsidRPr="007C15EB" w:rsidRDefault="00F66FB0" w:rsidP="00F66FB0">
      <w:pPr>
        <w:spacing w:after="0" w:line="360" w:lineRule="auto"/>
        <w:rPr>
          <w:rFonts w:eastAsia="Calibri" w:cs="Tahoma"/>
          <w:bCs/>
          <w:iCs/>
          <w:color w:val="auto"/>
          <w:lang w:eastAsia="es-ES"/>
        </w:rPr>
      </w:pPr>
      <w:r w:rsidRPr="007C15EB">
        <w:rPr>
          <w:rFonts w:eastAsia="Calibri" w:cs="Tahoma"/>
          <w:bCs/>
          <w:iCs/>
          <w:color w:val="auto"/>
          <w:lang w:eastAsia="es-ES"/>
        </w:rPr>
        <w:t> </w:t>
      </w:r>
    </w:p>
    <w:p w14:paraId="4EFCEF28" w14:textId="77777777" w:rsidR="00F66FB0" w:rsidRPr="007C15EB" w:rsidRDefault="00F66FB0" w:rsidP="00F66FB0">
      <w:pPr>
        <w:spacing w:after="0" w:line="360" w:lineRule="auto"/>
        <w:rPr>
          <w:rFonts w:eastAsia="Calibri" w:cs="Tahoma"/>
          <w:bCs/>
          <w:iCs/>
          <w:color w:val="auto"/>
          <w:lang w:eastAsia="es-ES"/>
        </w:rPr>
      </w:pPr>
      <w:r w:rsidRPr="007C15EB">
        <w:rPr>
          <w:rFonts w:eastAsia="Calibri" w:cs="Tahoma"/>
          <w:bCs/>
          <w:iCs/>
          <w:color w:val="auto"/>
          <w:lang w:eastAsia="es-ES"/>
        </w:rPr>
        <w:t>Al respecto, se considera que la denominación o razón social de una persona moral, es pública, pues dichos datos se encuentran inscritos en el Registro Público del Comercio; lo anterior, toma sustento en el Criterio de Interpretación, de la Segunda Época, con número de registro SO/008/2019, emitido por el Instituto Nacional de Transparencia, Acceso a la Información y Protección de Datos Personales, que precisa lo siguiente:</w:t>
      </w:r>
    </w:p>
    <w:p w14:paraId="586F9FFB" w14:textId="77777777" w:rsidR="00F66FB0" w:rsidRPr="007C15EB" w:rsidRDefault="00F66FB0" w:rsidP="00F66FB0">
      <w:pPr>
        <w:spacing w:after="0" w:line="360" w:lineRule="auto"/>
        <w:rPr>
          <w:rFonts w:eastAsia="Calibri" w:cs="Tahoma"/>
          <w:bCs/>
          <w:iCs/>
          <w:color w:val="auto"/>
          <w:lang w:eastAsia="es-ES"/>
        </w:rPr>
      </w:pPr>
      <w:r w:rsidRPr="007C15EB">
        <w:rPr>
          <w:rFonts w:eastAsia="Calibri" w:cs="Tahoma"/>
          <w:bCs/>
          <w:iCs/>
          <w:color w:val="auto"/>
          <w:lang w:eastAsia="es-ES"/>
        </w:rPr>
        <w:t> </w:t>
      </w:r>
    </w:p>
    <w:p w14:paraId="4D5940D7" w14:textId="77777777" w:rsidR="00F66FB0" w:rsidRPr="007C15EB" w:rsidRDefault="00F66FB0" w:rsidP="00F66FB0">
      <w:pPr>
        <w:spacing w:after="0" w:line="360" w:lineRule="auto"/>
        <w:ind w:left="567" w:right="567"/>
        <w:rPr>
          <w:rFonts w:eastAsia="Calibri" w:cs="Tahoma"/>
          <w:bCs/>
          <w:i/>
          <w:iCs/>
          <w:color w:val="auto"/>
          <w:sz w:val="20"/>
          <w:szCs w:val="20"/>
          <w:lang w:eastAsia="es-ES"/>
        </w:rPr>
      </w:pPr>
      <w:r w:rsidRPr="007C15EB">
        <w:rPr>
          <w:rFonts w:eastAsia="Calibri" w:cs="Tahoma"/>
          <w:b/>
          <w:bCs/>
          <w:i/>
          <w:iCs/>
          <w:color w:val="auto"/>
          <w:sz w:val="20"/>
          <w:szCs w:val="20"/>
          <w:lang w:eastAsia="es-ES"/>
        </w:rPr>
        <w:t>“Razón social y RFC de personas morales. </w:t>
      </w:r>
      <w:r w:rsidRPr="007C15EB">
        <w:rPr>
          <w:rFonts w:eastAsia="Calibri" w:cs="Tahoma"/>
          <w:bCs/>
          <w:i/>
          <w:iCs/>
          <w:color w:val="auto"/>
          <w:sz w:val="20"/>
          <w:szCs w:val="20"/>
          <w:lang w:eastAsia="es-ES"/>
        </w:rPr>
        <w:t>La denominación o razón social de personas morales es pública, por encontrarse inscritas en el Registro Público de Comercio; asimismo, su Registro Federal de Contribuyentes (RFC), en principio, también es público, ya que no se refiere a hechos o actos de carácter económico, contable, jurídico o administrativo que sean útiles o representen una ventaja a sus competidores.”</w:t>
      </w:r>
    </w:p>
    <w:p w14:paraId="74195E14" w14:textId="77777777" w:rsidR="00F66FB0" w:rsidRPr="007C15EB" w:rsidRDefault="00F66FB0" w:rsidP="00F66FB0">
      <w:pPr>
        <w:spacing w:after="0" w:line="360" w:lineRule="auto"/>
        <w:rPr>
          <w:rFonts w:eastAsia="Calibri" w:cs="Tahoma"/>
          <w:bCs/>
          <w:iCs/>
          <w:color w:val="auto"/>
          <w:lang w:eastAsia="es-ES"/>
        </w:rPr>
      </w:pPr>
      <w:r w:rsidRPr="007C15EB">
        <w:rPr>
          <w:rFonts w:eastAsia="Calibri" w:cs="Tahoma"/>
          <w:bCs/>
          <w:iCs/>
          <w:color w:val="auto"/>
          <w:lang w:eastAsia="es-ES"/>
        </w:rPr>
        <w:lastRenderedPageBreak/>
        <w:t> </w:t>
      </w:r>
    </w:p>
    <w:p w14:paraId="0C3B2DA3" w14:textId="77777777" w:rsidR="00F66FB0" w:rsidRPr="007C15EB" w:rsidRDefault="00F66FB0" w:rsidP="00F66FB0">
      <w:pPr>
        <w:spacing w:after="0" w:line="360" w:lineRule="auto"/>
        <w:rPr>
          <w:rFonts w:eastAsia="Calibri" w:cs="Tahoma"/>
          <w:bCs/>
          <w:iCs/>
          <w:color w:val="auto"/>
          <w:lang w:eastAsia="es-ES"/>
        </w:rPr>
      </w:pPr>
      <w:r w:rsidRPr="007C15EB">
        <w:rPr>
          <w:rFonts w:eastAsia="Calibri" w:cs="Tahoma"/>
          <w:bCs/>
          <w:iCs/>
          <w:color w:val="auto"/>
          <w:lang w:eastAsia="es-ES"/>
        </w:rPr>
        <w:t xml:space="preserve">Lo anterior, se robustece con el hecho de que el Ente Recurrido tiene como obligación común de transparencia, poner a disposición del público el padrón de proveedores y contratistas, que como se advirtió en párrafos anteriores debe incluir la denominación o razón social del proveedor o contratista, de conformidad con los Lineamientos técnicos generales para la publicación, homologación y estandarización de la información de las obligaciones establecidas en </w:t>
      </w:r>
      <w:r w:rsidRPr="007C15EB">
        <w:rPr>
          <w:rFonts w:eastAsia="Calibri" w:cs="Tahoma"/>
          <w:bCs/>
          <w:color w:val="auto"/>
          <w:lang w:eastAsia="es-ES"/>
        </w:rPr>
        <w:t xml:space="preserve">artículo 94, fracción I, inciso f) de la Ley </w:t>
      </w:r>
      <w:r w:rsidRPr="007C15EB">
        <w:rPr>
          <w:rFonts w:eastAsia="Calibri" w:cs="Tahoma"/>
          <w:bCs/>
          <w:iCs/>
          <w:color w:val="auto"/>
          <w:lang w:eastAsia="es-ES"/>
        </w:rPr>
        <w:t>de Transparencia y Acceso a la Información Pública del Estado de México y Municipios, que deben de difundir los sujetos obligados en los portales de Internet y en la Plataforma Nacional de Transparencia.</w:t>
      </w:r>
    </w:p>
    <w:p w14:paraId="5552902B" w14:textId="77777777" w:rsidR="00F66FB0" w:rsidRPr="007C15EB" w:rsidRDefault="00F66FB0" w:rsidP="00F66FB0">
      <w:pPr>
        <w:spacing w:after="0" w:line="360" w:lineRule="auto"/>
        <w:rPr>
          <w:rFonts w:eastAsia="Calibri" w:cs="Tahoma"/>
          <w:bCs/>
          <w:iCs/>
          <w:color w:val="auto"/>
          <w:lang w:eastAsia="es-ES"/>
        </w:rPr>
      </w:pPr>
      <w:r w:rsidRPr="007C15EB">
        <w:rPr>
          <w:rFonts w:eastAsia="Calibri" w:cs="Tahoma"/>
          <w:bCs/>
          <w:iCs/>
          <w:color w:val="auto"/>
          <w:lang w:eastAsia="es-ES"/>
        </w:rPr>
        <w:t> </w:t>
      </w:r>
    </w:p>
    <w:p w14:paraId="5B71A62C" w14:textId="77777777" w:rsidR="00F66FB0" w:rsidRPr="007C15EB" w:rsidRDefault="00F66FB0" w:rsidP="00F66FB0">
      <w:pPr>
        <w:spacing w:after="0" w:line="360" w:lineRule="auto"/>
        <w:rPr>
          <w:rFonts w:eastAsia="Calibri" w:cs="Tahoma"/>
          <w:bCs/>
          <w:iCs/>
          <w:color w:val="auto"/>
          <w:lang w:eastAsia="es-ES"/>
        </w:rPr>
      </w:pPr>
      <w:r w:rsidRPr="007C15EB">
        <w:rPr>
          <w:rFonts w:eastAsia="Calibri" w:cs="Tahoma"/>
          <w:bCs/>
          <w:iCs/>
          <w:color w:val="auto"/>
          <w:lang w:eastAsia="es-ES"/>
        </w:rPr>
        <w:t>Por lo tanto, no procede la clasificación de la denominación o razón social de personas morales, en términos del artículo 143, fracción I, de la Ley de Transparencia y Acceso a la Información Pública del Estado de México y Municipios.</w:t>
      </w:r>
    </w:p>
    <w:p w14:paraId="3200DD0C" w14:textId="77777777" w:rsidR="00F66FB0" w:rsidRPr="007C15EB" w:rsidRDefault="00F66FB0" w:rsidP="00F66FB0">
      <w:pPr>
        <w:spacing w:after="0" w:line="360" w:lineRule="auto"/>
        <w:rPr>
          <w:rFonts w:eastAsia="Calibri" w:cs="Tahoma"/>
          <w:bCs/>
          <w:iCs/>
          <w:color w:val="auto"/>
          <w:lang w:eastAsia="es-ES"/>
        </w:rPr>
      </w:pPr>
      <w:r w:rsidRPr="007C15EB">
        <w:rPr>
          <w:rFonts w:eastAsia="Calibri" w:cs="Tahoma"/>
          <w:bCs/>
          <w:iCs/>
          <w:color w:val="auto"/>
          <w:lang w:eastAsia="es-ES"/>
        </w:rPr>
        <w:t> </w:t>
      </w:r>
    </w:p>
    <w:p w14:paraId="662CE0E3" w14:textId="77777777" w:rsidR="00F66FB0" w:rsidRPr="007C15EB" w:rsidRDefault="00F66FB0" w:rsidP="00F66FB0">
      <w:pPr>
        <w:spacing w:after="0" w:line="360" w:lineRule="auto"/>
        <w:rPr>
          <w:rFonts w:eastAsia="Calibri" w:cs="Tahoma"/>
          <w:b/>
          <w:bCs/>
          <w:iCs/>
          <w:color w:val="auto"/>
          <w:lang w:eastAsia="es-ES"/>
        </w:rPr>
      </w:pPr>
      <w:r w:rsidRPr="007C15EB">
        <w:rPr>
          <w:rFonts w:eastAsia="Calibri" w:cs="Tahoma"/>
          <w:b/>
          <w:bCs/>
          <w:iCs/>
          <w:color w:val="auto"/>
          <w:lang w:eastAsia="es-ES"/>
        </w:rPr>
        <w:t>Nombre de Representante Legal</w:t>
      </w:r>
    </w:p>
    <w:p w14:paraId="62BC41E6" w14:textId="77777777" w:rsidR="00F66FB0" w:rsidRPr="007C15EB" w:rsidRDefault="00F66FB0" w:rsidP="00F66FB0">
      <w:pPr>
        <w:spacing w:after="0" w:line="360" w:lineRule="auto"/>
        <w:rPr>
          <w:rFonts w:eastAsia="Calibri" w:cs="Tahoma"/>
          <w:bCs/>
          <w:iCs/>
          <w:color w:val="auto"/>
          <w:lang w:eastAsia="es-ES"/>
        </w:rPr>
      </w:pPr>
      <w:r w:rsidRPr="007C15EB">
        <w:rPr>
          <w:rFonts w:eastAsia="Calibri" w:cs="Tahoma"/>
          <w:bCs/>
          <w:iCs/>
          <w:color w:val="auto"/>
          <w:lang w:eastAsia="es-ES"/>
        </w:rPr>
        <w:t> </w:t>
      </w:r>
    </w:p>
    <w:p w14:paraId="6B3901CC" w14:textId="77777777" w:rsidR="00F66FB0" w:rsidRPr="007C15EB" w:rsidRDefault="00F66FB0" w:rsidP="00F66FB0">
      <w:pPr>
        <w:spacing w:after="0" w:line="360" w:lineRule="auto"/>
        <w:rPr>
          <w:rFonts w:eastAsia="Calibri" w:cs="Tahoma"/>
          <w:bCs/>
          <w:iCs/>
          <w:color w:val="auto"/>
          <w:lang w:eastAsia="es-ES"/>
        </w:rPr>
      </w:pPr>
      <w:r w:rsidRPr="007C15EB">
        <w:rPr>
          <w:rFonts w:eastAsia="Calibri" w:cs="Tahoma"/>
          <w:bCs/>
          <w:iCs/>
          <w:color w:val="auto"/>
          <w:lang w:eastAsia="es-ES"/>
        </w:rPr>
        <w:t>Al respecto, resulta necesario señalar que las personas morales son representadas mediante personas físicas, debidamente acreditadas para realizar determinados actos a nombre de la jurídico-colectiva, por lo que, el nombre de dichos individuos no puede ser objeto de clasificación, en virtud de que la representación persigue la finalidad de dar certeza jurídica a los actos que realiza, en el presente caso, para obtener la autorización de construcción y de uso de suelo.</w:t>
      </w:r>
    </w:p>
    <w:p w14:paraId="0506E8DF" w14:textId="77777777" w:rsidR="00F66FB0" w:rsidRPr="007C15EB" w:rsidRDefault="00F66FB0" w:rsidP="00F66FB0">
      <w:pPr>
        <w:spacing w:after="0" w:line="360" w:lineRule="auto"/>
        <w:rPr>
          <w:rFonts w:eastAsia="Calibri" w:cs="Tahoma"/>
          <w:bCs/>
          <w:iCs/>
          <w:color w:val="auto"/>
          <w:lang w:eastAsia="es-ES"/>
        </w:rPr>
      </w:pPr>
      <w:r w:rsidRPr="007C15EB">
        <w:rPr>
          <w:rFonts w:eastAsia="Calibri" w:cs="Tahoma"/>
          <w:bCs/>
          <w:iCs/>
          <w:color w:val="auto"/>
          <w:lang w:eastAsia="es-ES"/>
        </w:rPr>
        <w:t> </w:t>
      </w:r>
    </w:p>
    <w:p w14:paraId="75206CEE" w14:textId="77777777" w:rsidR="00F66FB0" w:rsidRPr="007C15EB" w:rsidRDefault="00F66FB0" w:rsidP="00F66FB0">
      <w:pPr>
        <w:spacing w:after="0" w:line="360" w:lineRule="auto"/>
        <w:rPr>
          <w:rFonts w:eastAsia="Calibri" w:cs="Tahoma"/>
          <w:bCs/>
          <w:iCs/>
          <w:color w:val="auto"/>
          <w:lang w:eastAsia="es-ES"/>
        </w:rPr>
      </w:pPr>
      <w:r w:rsidRPr="007C15EB">
        <w:rPr>
          <w:rFonts w:eastAsia="Calibri" w:cs="Tahoma"/>
          <w:bCs/>
          <w:iCs/>
          <w:color w:val="auto"/>
          <w:lang w:eastAsia="es-ES"/>
        </w:rPr>
        <w:t xml:space="preserve">En ese sentido, el artículo 10 de la Ley General de Sociedades Mercantiles, establece que la representación de toda sociedad mercantil corresponderá a su administrador o administradores, quiénes podrán realizar todas las operaciones inherentes al objeto de la </w:t>
      </w:r>
      <w:r w:rsidRPr="007C15EB">
        <w:rPr>
          <w:rFonts w:eastAsia="Calibri" w:cs="Tahoma"/>
          <w:bCs/>
          <w:iCs/>
          <w:color w:val="auto"/>
          <w:lang w:eastAsia="es-ES"/>
        </w:rPr>
        <w:lastRenderedPageBreak/>
        <w:t>sociedad; por lo que, para que surtan efectos los poderes que otorgue dicha empresa bastará su protocolización ante notario público.</w:t>
      </w:r>
    </w:p>
    <w:p w14:paraId="77FFCFF5" w14:textId="77777777" w:rsidR="00F66FB0" w:rsidRPr="007C15EB" w:rsidRDefault="00F66FB0" w:rsidP="00F66FB0">
      <w:pPr>
        <w:spacing w:after="0" w:line="360" w:lineRule="auto"/>
        <w:rPr>
          <w:rFonts w:eastAsia="Times New Roman" w:cs="Segoe UI"/>
          <w:color w:val="242424"/>
          <w:lang w:eastAsia="es-ES"/>
        </w:rPr>
      </w:pPr>
      <w:r w:rsidRPr="007C15EB">
        <w:rPr>
          <w:rFonts w:eastAsia="Times New Roman" w:cs="Segoe UI"/>
          <w:color w:val="auto"/>
          <w:bdr w:val="none" w:sz="0" w:space="0" w:color="auto" w:frame="1"/>
          <w:lang w:val="es-ES" w:eastAsia="es-ES"/>
        </w:rPr>
        <w:t> </w:t>
      </w:r>
    </w:p>
    <w:p w14:paraId="2BD9E09E" w14:textId="77777777" w:rsidR="00F66FB0" w:rsidRPr="007C15EB" w:rsidRDefault="00F66FB0" w:rsidP="00F66FB0">
      <w:pPr>
        <w:shd w:val="clear" w:color="auto" w:fill="FFFFFF"/>
        <w:spacing w:after="0" w:line="360" w:lineRule="auto"/>
        <w:rPr>
          <w:rFonts w:eastAsia="Times New Roman" w:cs="Segoe UI"/>
          <w:color w:val="242424"/>
          <w:lang w:eastAsia="en-US"/>
        </w:rPr>
      </w:pPr>
      <w:r w:rsidRPr="007C15EB">
        <w:rPr>
          <w:rFonts w:eastAsia="Times New Roman" w:cs="Segoe UI"/>
          <w:color w:val="auto"/>
          <w:bdr w:val="none" w:sz="0" w:space="0" w:color="auto" w:frame="1"/>
          <w:lang w:val="es-ES" w:eastAsia="en-US"/>
        </w:rPr>
        <w:t>En esa tesitura, la representación de las personas morales se realizará por medio de representantes o apoderados, y en el caso específico de las sociedades mercantiles, dicha representación se otorgará mediante instrumento público.</w:t>
      </w:r>
    </w:p>
    <w:p w14:paraId="608AD58D" w14:textId="77777777" w:rsidR="00F66FB0" w:rsidRPr="007C15EB" w:rsidRDefault="00F66FB0" w:rsidP="00F66FB0">
      <w:pPr>
        <w:shd w:val="clear" w:color="auto" w:fill="FFFFFF"/>
        <w:spacing w:after="0" w:line="360" w:lineRule="auto"/>
        <w:rPr>
          <w:rFonts w:eastAsia="Times New Roman" w:cs="Segoe UI"/>
          <w:color w:val="242424"/>
          <w:lang w:eastAsia="en-US"/>
        </w:rPr>
      </w:pPr>
      <w:r w:rsidRPr="007C15EB">
        <w:rPr>
          <w:rFonts w:eastAsia="Times New Roman" w:cs="Segoe UI"/>
          <w:color w:val="auto"/>
          <w:bdr w:val="none" w:sz="0" w:space="0" w:color="auto" w:frame="1"/>
          <w:lang w:val="es-ES" w:eastAsia="en-US"/>
        </w:rPr>
        <w:t> </w:t>
      </w:r>
    </w:p>
    <w:p w14:paraId="492F7F5A" w14:textId="77777777" w:rsidR="00F66FB0" w:rsidRPr="007C15EB" w:rsidRDefault="00F66FB0" w:rsidP="00F66FB0">
      <w:pPr>
        <w:shd w:val="clear" w:color="auto" w:fill="FFFFFF"/>
        <w:spacing w:after="0" w:line="360" w:lineRule="auto"/>
        <w:rPr>
          <w:rFonts w:eastAsia="Times New Roman" w:cs="Segoe UI"/>
          <w:color w:val="auto"/>
          <w:bdr w:val="none" w:sz="0" w:space="0" w:color="auto" w:frame="1"/>
          <w:lang w:val="es-ES" w:eastAsia="en-US"/>
        </w:rPr>
      </w:pPr>
      <w:r w:rsidRPr="007C15EB">
        <w:rPr>
          <w:rFonts w:eastAsia="Times New Roman" w:cs="Segoe UI"/>
          <w:color w:val="auto"/>
          <w:bdr w:val="none" w:sz="0" w:space="0" w:color="auto" w:frame="1"/>
          <w:lang w:val="es-ES" w:eastAsia="en-US"/>
        </w:rPr>
        <w:t>Ello, toda vez que la representación legal debe ser conocida para surtir efectos ante terceros; es decir, la publicidad de la misma tiene por objeto dar certeza a quienes se relacionan con la persona jurídico colectiva representada, que las actuaciones de su representante están previamente autorizadas y que surtirán efectos legales a que constriñe cada acto.</w:t>
      </w:r>
    </w:p>
    <w:p w14:paraId="3E358693" w14:textId="77777777" w:rsidR="00F66FB0" w:rsidRPr="007C15EB" w:rsidRDefault="00F66FB0" w:rsidP="00F66FB0">
      <w:pPr>
        <w:shd w:val="clear" w:color="auto" w:fill="FFFFFF"/>
        <w:spacing w:after="0" w:line="360" w:lineRule="auto"/>
        <w:rPr>
          <w:rFonts w:eastAsia="Times New Roman" w:cs="Segoe UI"/>
          <w:color w:val="242424"/>
          <w:lang w:eastAsia="en-US"/>
        </w:rPr>
      </w:pPr>
    </w:p>
    <w:p w14:paraId="267877F1" w14:textId="77777777" w:rsidR="00F66FB0" w:rsidRPr="007C15EB" w:rsidRDefault="00F66FB0" w:rsidP="00F66FB0">
      <w:pPr>
        <w:shd w:val="clear" w:color="auto" w:fill="FFFFFF"/>
        <w:spacing w:after="0" w:line="360" w:lineRule="auto"/>
        <w:rPr>
          <w:rFonts w:eastAsia="Times New Roman" w:cs="Segoe UI"/>
          <w:color w:val="242424"/>
          <w:lang w:eastAsia="en-US"/>
        </w:rPr>
      </w:pPr>
      <w:r w:rsidRPr="007C15EB">
        <w:rPr>
          <w:rFonts w:eastAsia="Times New Roman" w:cs="Segoe UI"/>
          <w:color w:val="auto"/>
          <w:bdr w:val="none" w:sz="0" w:space="0" w:color="auto" w:frame="1"/>
          <w:lang w:val="es-ES" w:eastAsia="en-US"/>
        </w:rPr>
        <w:t>En ese orden de ideas, se estima que si bien, el nombre es uno de los atributos de la personalidad y la manifestación principal del derecho subjetivo a la identidad, en virtud de que hace una persona física identificada o identificable; lo cierto es que el nombre del apoderado legal de una empresa, </w:t>
      </w:r>
      <w:r w:rsidRPr="007C15EB">
        <w:rPr>
          <w:rFonts w:eastAsia="Times New Roman" w:cs="Segoe UI"/>
          <w:b/>
          <w:bCs/>
          <w:color w:val="auto"/>
          <w:bdr w:val="none" w:sz="0" w:space="0" w:color="auto" w:frame="1"/>
          <w:lang w:val="es-ES" w:eastAsia="en-US"/>
        </w:rPr>
        <w:t>es público, </w:t>
      </w:r>
      <w:r w:rsidRPr="007C15EB">
        <w:rPr>
          <w:rFonts w:eastAsia="Times New Roman" w:cs="Segoe UI"/>
          <w:color w:val="auto"/>
          <w:bdr w:val="none" w:sz="0" w:space="0" w:color="auto" w:frame="1"/>
          <w:lang w:val="es-ES" w:eastAsia="en-US"/>
        </w:rPr>
        <w:t>toda vez que por conducto de este, una persona jurídico-colectiva realiza cualquier acto jurídico; es decir, la publicidad de dicho dato da certeza a quienes se relacionan con la persona representada, partiendo del supuesto de que las actuaciones de su representante están previamente autorizadas y que surtirán los efectos legales a que se constriñe en cada acto.</w:t>
      </w:r>
    </w:p>
    <w:p w14:paraId="769E176A" w14:textId="77777777" w:rsidR="00F66FB0" w:rsidRPr="007C15EB" w:rsidRDefault="00F66FB0" w:rsidP="00F66FB0">
      <w:pPr>
        <w:shd w:val="clear" w:color="auto" w:fill="FFFFFF"/>
        <w:spacing w:after="0" w:line="360" w:lineRule="auto"/>
        <w:rPr>
          <w:rFonts w:eastAsia="Times New Roman" w:cs="Segoe UI"/>
          <w:color w:val="242424"/>
          <w:lang w:eastAsia="en-US"/>
        </w:rPr>
      </w:pPr>
      <w:r w:rsidRPr="007C15EB">
        <w:rPr>
          <w:rFonts w:eastAsia="Times New Roman" w:cs="Segoe UI"/>
          <w:color w:val="auto"/>
          <w:bdr w:val="none" w:sz="0" w:space="0" w:color="auto" w:frame="1"/>
          <w:lang w:val="es-ES" w:eastAsia="en-US"/>
        </w:rPr>
        <w:t> </w:t>
      </w:r>
    </w:p>
    <w:p w14:paraId="29F5268F" w14:textId="77777777" w:rsidR="00F66FB0" w:rsidRPr="007C15EB" w:rsidRDefault="00F66FB0" w:rsidP="00F66FB0">
      <w:pPr>
        <w:shd w:val="clear" w:color="auto" w:fill="FFFFFF"/>
        <w:spacing w:after="0" w:line="360" w:lineRule="auto"/>
        <w:rPr>
          <w:rFonts w:eastAsia="Times New Roman" w:cs="Segoe UI"/>
          <w:color w:val="242424"/>
          <w:lang w:eastAsia="en-US"/>
        </w:rPr>
      </w:pPr>
      <w:r w:rsidRPr="007C15EB">
        <w:rPr>
          <w:rFonts w:eastAsia="Times New Roman" w:cs="Segoe UI"/>
          <w:color w:val="242424"/>
          <w:bdr w:val="none" w:sz="0" w:space="0" w:color="auto" w:frame="1"/>
          <w:lang w:val="es-ES" w:eastAsia="en-US"/>
        </w:rPr>
        <w:t>Lo anterior, se robustece con el Criterio de Interpretación, de la Segunda Época, con clave de control </w:t>
      </w:r>
      <w:r w:rsidRPr="007C15EB">
        <w:rPr>
          <w:rFonts w:eastAsia="Times New Roman" w:cs="Segoe UI"/>
          <w:color w:val="242424"/>
          <w:lang w:eastAsia="en-US"/>
        </w:rPr>
        <w:t>SO/001/2019, </w:t>
      </w:r>
      <w:r w:rsidRPr="007C15EB">
        <w:rPr>
          <w:rFonts w:eastAsia="Times New Roman" w:cs="Segoe UI"/>
          <w:color w:val="242424"/>
          <w:bdr w:val="none" w:sz="0" w:space="0" w:color="auto" w:frame="1"/>
          <w:lang w:val="es-ES" w:eastAsia="en-US"/>
        </w:rPr>
        <w:t>emitido por el Instituto Nacional de Transparencia, Acceso a la Información y Protección de Datos Personales, que establece lo siguiente:</w:t>
      </w:r>
    </w:p>
    <w:p w14:paraId="3CD508E7" w14:textId="77777777" w:rsidR="00F66FB0" w:rsidRPr="007C15EB" w:rsidRDefault="00F66FB0" w:rsidP="00F66FB0">
      <w:pPr>
        <w:shd w:val="clear" w:color="auto" w:fill="FFFFFF"/>
        <w:spacing w:after="0" w:line="360" w:lineRule="auto"/>
        <w:rPr>
          <w:rFonts w:eastAsia="Times New Roman" w:cs="Segoe UI"/>
          <w:color w:val="242424"/>
          <w:lang w:eastAsia="en-US"/>
        </w:rPr>
      </w:pPr>
      <w:r w:rsidRPr="007C15EB">
        <w:rPr>
          <w:rFonts w:eastAsia="Times New Roman" w:cs="Segoe UI"/>
          <w:color w:val="242424"/>
          <w:bdr w:val="none" w:sz="0" w:space="0" w:color="auto" w:frame="1"/>
          <w:lang w:val="es-ES" w:eastAsia="en-US"/>
        </w:rPr>
        <w:t> </w:t>
      </w:r>
    </w:p>
    <w:p w14:paraId="53C34E4C" w14:textId="77777777" w:rsidR="00F66FB0" w:rsidRPr="007C15EB" w:rsidRDefault="00F66FB0" w:rsidP="00F66FB0">
      <w:pPr>
        <w:shd w:val="clear" w:color="auto" w:fill="FFFFFF"/>
        <w:spacing w:after="0" w:line="360" w:lineRule="auto"/>
        <w:ind w:left="567" w:right="567"/>
        <w:rPr>
          <w:rFonts w:eastAsia="Times New Roman" w:cs="Segoe UI"/>
          <w:color w:val="242424"/>
          <w:sz w:val="20"/>
          <w:szCs w:val="20"/>
          <w:lang w:eastAsia="en-US"/>
        </w:rPr>
      </w:pPr>
      <w:r w:rsidRPr="007C15EB">
        <w:rPr>
          <w:rFonts w:eastAsia="Times New Roman" w:cs="Segoe UI"/>
          <w:b/>
          <w:bCs/>
          <w:i/>
          <w:iCs/>
          <w:color w:val="242424"/>
          <w:sz w:val="20"/>
          <w:szCs w:val="20"/>
          <w:bdr w:val="none" w:sz="0" w:space="0" w:color="auto" w:frame="1"/>
          <w:lang w:eastAsia="en-US"/>
        </w:rPr>
        <w:t>“Datos de identificación del representante o apoderado legal.</w:t>
      </w:r>
      <w:r w:rsidRPr="007C15EB">
        <w:rPr>
          <w:rFonts w:eastAsia="Times New Roman" w:cs="Segoe UI"/>
          <w:i/>
          <w:iCs/>
          <w:color w:val="242424"/>
          <w:sz w:val="20"/>
          <w:szCs w:val="20"/>
          <w:bdr w:val="none" w:sz="0" w:space="0" w:color="auto" w:frame="1"/>
          <w:lang w:eastAsia="en-US"/>
        </w:rPr>
        <w:t> </w:t>
      </w:r>
      <w:r w:rsidRPr="007C15EB">
        <w:rPr>
          <w:rFonts w:eastAsia="Times New Roman" w:cs="Segoe UI"/>
          <w:b/>
          <w:bCs/>
          <w:i/>
          <w:iCs/>
          <w:color w:val="242424"/>
          <w:sz w:val="20"/>
          <w:szCs w:val="20"/>
          <w:bdr w:val="none" w:sz="0" w:space="0" w:color="auto" w:frame="1"/>
          <w:lang w:eastAsia="en-US"/>
        </w:rPr>
        <w:t>Naturaleza jurídica. </w:t>
      </w:r>
      <w:r w:rsidRPr="007C15EB">
        <w:rPr>
          <w:rFonts w:eastAsia="Times New Roman" w:cs="Segoe UI"/>
          <w:i/>
          <w:iCs/>
          <w:color w:val="242424"/>
          <w:sz w:val="20"/>
          <w:szCs w:val="20"/>
          <w:bdr w:val="none" w:sz="0" w:space="0" w:color="auto" w:frame="1"/>
          <w:lang w:eastAsia="en-US"/>
        </w:rPr>
        <w:t xml:space="preserve">El nombre, la firma y la rúbrica de una persona física, que actúe como representante o apoderado legal </w:t>
      </w:r>
      <w:r w:rsidRPr="007C15EB">
        <w:rPr>
          <w:rFonts w:eastAsia="Times New Roman" w:cs="Segoe UI"/>
          <w:i/>
          <w:iCs/>
          <w:color w:val="242424"/>
          <w:sz w:val="20"/>
          <w:szCs w:val="20"/>
          <w:bdr w:val="none" w:sz="0" w:space="0" w:color="auto" w:frame="1"/>
          <w:lang w:eastAsia="en-US"/>
        </w:rPr>
        <w:lastRenderedPageBreak/>
        <w:t>de un tercero que haya celebrado un acto jurídico, con algún sujeto obligado, es información pública, en razón de que tales datos fueron proporcionados con el objeto de expresar el consentimiento obligacional del tercero y otorgar validez a dicho instrumento jurídico.”</w:t>
      </w:r>
    </w:p>
    <w:p w14:paraId="069FA549" w14:textId="77777777" w:rsidR="00F66FB0" w:rsidRPr="007C15EB" w:rsidRDefault="00F66FB0" w:rsidP="00F66FB0">
      <w:pPr>
        <w:shd w:val="clear" w:color="auto" w:fill="FFFFFF"/>
        <w:spacing w:after="0" w:line="360" w:lineRule="auto"/>
        <w:rPr>
          <w:rFonts w:eastAsia="Times New Roman" w:cs="Segoe UI"/>
          <w:color w:val="242424"/>
          <w:lang w:eastAsia="en-US"/>
        </w:rPr>
      </w:pPr>
      <w:r w:rsidRPr="007C15EB">
        <w:rPr>
          <w:rFonts w:eastAsia="Times New Roman" w:cs="Segoe UI"/>
          <w:color w:val="auto"/>
          <w:bdr w:val="none" w:sz="0" w:space="0" w:color="auto" w:frame="1"/>
          <w:lang w:val="es-ES" w:eastAsia="en-US"/>
        </w:rPr>
        <w:t> </w:t>
      </w:r>
    </w:p>
    <w:p w14:paraId="359495AC" w14:textId="77777777" w:rsidR="00F66FB0" w:rsidRPr="007C15EB" w:rsidRDefault="00F66FB0" w:rsidP="00F66FB0">
      <w:pPr>
        <w:spacing w:after="0" w:line="360" w:lineRule="auto"/>
        <w:rPr>
          <w:rFonts w:eastAsia="Calibri" w:cs="Tahoma"/>
          <w:bCs/>
          <w:iCs/>
          <w:color w:val="auto"/>
          <w:lang w:eastAsia="es-ES"/>
        </w:rPr>
      </w:pPr>
      <w:r w:rsidRPr="007C15EB">
        <w:rPr>
          <w:rFonts w:eastAsia="Times New Roman" w:cs="Segoe UI"/>
          <w:color w:val="auto"/>
          <w:bdr w:val="none" w:sz="0" w:space="0" w:color="auto" w:frame="1"/>
          <w:lang w:val="es-ES" w:eastAsia="es-ES"/>
        </w:rPr>
        <w:t xml:space="preserve">Ante tales situaciones, el nombre del representante legal, de una persona jurídica colectiva, no es susceptible de ser clasificado como confidencial, en términos del artículo 143, fracción I, de la Ley </w:t>
      </w:r>
      <w:r w:rsidRPr="007C15EB">
        <w:rPr>
          <w:rFonts w:eastAsia="Calibri" w:cs="Tahoma"/>
          <w:bCs/>
          <w:iCs/>
          <w:color w:val="auto"/>
          <w:lang w:eastAsia="es-ES"/>
        </w:rPr>
        <w:t>Ley de Transparencia y Acceso a la Información Pública del Estado de México y Municipios.</w:t>
      </w:r>
    </w:p>
    <w:p w14:paraId="203EAB26" w14:textId="77777777" w:rsidR="00F66FB0" w:rsidRPr="007C15EB" w:rsidRDefault="00F66FB0" w:rsidP="00F66FB0">
      <w:pPr>
        <w:spacing w:after="0" w:line="360" w:lineRule="auto"/>
        <w:rPr>
          <w:rFonts w:eastAsia="Calibri" w:cs="Tahoma"/>
          <w:bCs/>
          <w:iCs/>
          <w:color w:val="auto"/>
          <w:lang w:eastAsia="es-ES"/>
        </w:rPr>
      </w:pPr>
    </w:p>
    <w:p w14:paraId="1F38851B" w14:textId="77777777" w:rsidR="00F66FB0" w:rsidRPr="007C15EB" w:rsidRDefault="00F66FB0" w:rsidP="00F66FB0">
      <w:pPr>
        <w:numPr>
          <w:ilvl w:val="0"/>
          <w:numId w:val="23"/>
        </w:numPr>
        <w:spacing w:after="0" w:line="360" w:lineRule="auto"/>
        <w:jc w:val="left"/>
        <w:rPr>
          <w:rFonts w:eastAsia="Calibri" w:cs="Tahoma"/>
          <w:b/>
          <w:color w:val="auto"/>
          <w:lang w:eastAsia="es-ES"/>
        </w:rPr>
      </w:pPr>
      <w:r w:rsidRPr="007C15EB">
        <w:rPr>
          <w:rFonts w:eastAsia="Calibri" w:cs="Tahoma"/>
          <w:b/>
          <w:color w:val="auto"/>
          <w:lang w:eastAsia="es-ES"/>
        </w:rPr>
        <w:t>Ubicación del predio donde se realiza la construcción</w:t>
      </w:r>
    </w:p>
    <w:p w14:paraId="56572E68" w14:textId="77777777" w:rsidR="00F66FB0" w:rsidRPr="007C15EB" w:rsidRDefault="00F66FB0" w:rsidP="00F66FB0">
      <w:pPr>
        <w:spacing w:after="0" w:line="360" w:lineRule="auto"/>
        <w:ind w:left="720"/>
        <w:rPr>
          <w:rFonts w:eastAsia="Calibri" w:cs="Tahoma"/>
          <w:b/>
          <w:color w:val="auto"/>
          <w:lang w:eastAsia="es-ES"/>
        </w:rPr>
      </w:pPr>
    </w:p>
    <w:p w14:paraId="699C1E33" w14:textId="77777777" w:rsidR="00F66FB0" w:rsidRPr="007C15EB" w:rsidRDefault="00F66FB0" w:rsidP="00F66FB0">
      <w:pPr>
        <w:spacing w:after="0" w:line="360" w:lineRule="auto"/>
        <w:rPr>
          <w:rFonts w:eastAsia="Calibri" w:cs="Tahoma"/>
          <w:bCs/>
          <w:color w:val="auto"/>
          <w:lang w:eastAsia="es-ES"/>
        </w:rPr>
      </w:pPr>
      <w:r w:rsidRPr="007C15EB">
        <w:rPr>
          <w:rFonts w:eastAsia="Calibri" w:cs="Tahoma"/>
          <w:bCs/>
          <w:color w:val="auto"/>
          <w:lang w:eastAsia="es-ES"/>
        </w:rPr>
        <w:t>Sobre dicho dato, resulta necesario precisar que el domicilio establecido en las licencias y permisos, no corresponde al domicilio particular del titular de dichas autorizaciones, sino que corresponde a aquel donde se realiza una construcción.</w:t>
      </w:r>
    </w:p>
    <w:p w14:paraId="253F833D" w14:textId="77777777" w:rsidR="00F66FB0" w:rsidRPr="007C15EB" w:rsidRDefault="00F66FB0" w:rsidP="00F66FB0">
      <w:pPr>
        <w:spacing w:after="0" w:line="360" w:lineRule="auto"/>
        <w:rPr>
          <w:rFonts w:eastAsia="Calibri" w:cs="Tahoma"/>
          <w:bCs/>
          <w:color w:val="auto"/>
          <w:lang w:eastAsia="es-ES"/>
        </w:rPr>
      </w:pPr>
    </w:p>
    <w:p w14:paraId="109A868B" w14:textId="77777777" w:rsidR="00F66FB0" w:rsidRPr="007C15EB" w:rsidRDefault="00F66FB0" w:rsidP="00F66FB0">
      <w:pPr>
        <w:spacing w:after="0" w:line="360" w:lineRule="auto"/>
        <w:rPr>
          <w:rFonts w:eastAsia="Calibri" w:cs="Tahoma"/>
          <w:bCs/>
          <w:color w:val="auto"/>
          <w:lang w:val="es-ES" w:eastAsia="es-ES"/>
        </w:rPr>
      </w:pPr>
      <w:r w:rsidRPr="007C15EB">
        <w:rPr>
          <w:rFonts w:eastAsia="Calibri" w:cs="Tahoma"/>
          <w:bCs/>
          <w:color w:val="auto"/>
          <w:lang w:eastAsia="es-ES"/>
        </w:rPr>
        <w:t xml:space="preserve">Por lo cual, el dato en comento únicamente identifica la ubicación donde se realiza la actividad que la Dirección de Desarrollo Urbano autorizó realizar; además, </w:t>
      </w:r>
      <w:r w:rsidRPr="007C15EB">
        <w:rPr>
          <w:rFonts w:eastAsia="Calibri" w:cs="Tahoma"/>
          <w:bCs/>
          <w:color w:val="auto"/>
          <w:lang w:val="es-ES" w:eastAsia="es-ES"/>
        </w:rPr>
        <w:t>permite acreditar que la ubicación del predio donde se hará una construcción o modificación, corresponde al registrado en el Municipio.</w:t>
      </w:r>
    </w:p>
    <w:p w14:paraId="13282BA3" w14:textId="77777777" w:rsidR="00F66FB0" w:rsidRPr="007C15EB" w:rsidRDefault="00F66FB0" w:rsidP="00F66FB0">
      <w:pPr>
        <w:spacing w:after="0" w:line="360" w:lineRule="auto"/>
        <w:rPr>
          <w:rFonts w:eastAsia="Calibri" w:cs="Tahoma"/>
          <w:bCs/>
          <w:color w:val="auto"/>
          <w:lang w:val="es-ES" w:eastAsia="es-ES"/>
        </w:rPr>
      </w:pPr>
    </w:p>
    <w:p w14:paraId="071EB4FB" w14:textId="77777777" w:rsidR="00F66FB0" w:rsidRPr="007C15EB" w:rsidRDefault="00F66FB0" w:rsidP="00F66FB0">
      <w:pPr>
        <w:spacing w:after="0" w:line="360" w:lineRule="auto"/>
        <w:rPr>
          <w:rFonts w:eastAsia="Calibri" w:cs="Tahoma"/>
          <w:bCs/>
          <w:color w:val="auto"/>
          <w:lang w:eastAsia="es-ES"/>
        </w:rPr>
      </w:pPr>
      <w:r w:rsidRPr="007C15EB">
        <w:rPr>
          <w:rFonts w:eastAsia="Calibri" w:cs="Tahoma"/>
          <w:bCs/>
          <w:color w:val="auto"/>
          <w:lang w:eastAsia="es-ES"/>
        </w:rPr>
        <w:t>Lo anterior, toma relevancia, pues conforme a los formatos 6f LGT_Art_71_Fr_If (Licencias de Uso de Suelo) y 7f LGT_Art_71_Fr_If (Licencias de construcción) de los Lineamientos técnicos generales para la publicación, homologación y estandarización de la información de las obligaciones de Transparencia –Lineamientos Generales-, que deben de difundir los sujetos obligados en los portales de Internet, establece como datos a publicar, de dichas Licencias, los domicilios de donde se solicita la misma, tal como se muestra continuación:</w:t>
      </w:r>
    </w:p>
    <w:p w14:paraId="4011AD77" w14:textId="77777777" w:rsidR="00F66FB0" w:rsidRPr="007C15EB" w:rsidRDefault="00F66FB0" w:rsidP="00F66FB0">
      <w:pPr>
        <w:spacing w:after="0" w:line="276" w:lineRule="auto"/>
        <w:ind w:right="-93"/>
        <w:rPr>
          <w:rFonts w:eastAsia="Calibri" w:cs="Tahoma"/>
          <w:bCs/>
          <w:iCs/>
          <w:color w:val="auto"/>
          <w:lang w:eastAsia="es-ES"/>
        </w:rPr>
      </w:pPr>
    </w:p>
    <w:p w14:paraId="0138957C" w14:textId="77777777" w:rsidR="00F66FB0" w:rsidRPr="007C15EB" w:rsidRDefault="00F66FB0" w:rsidP="00F66FB0">
      <w:pPr>
        <w:spacing w:after="0" w:line="276" w:lineRule="auto"/>
        <w:ind w:right="-93"/>
        <w:rPr>
          <w:rFonts w:eastAsia="Calibri" w:cs="Tahoma"/>
          <w:bCs/>
          <w:color w:val="auto"/>
          <w:lang w:val="es-ES" w:eastAsia="es-ES"/>
        </w:rPr>
      </w:pPr>
      <w:r w:rsidRPr="007C15EB">
        <w:rPr>
          <w:rFonts w:eastAsia="Times New Roman" w:cs="Times New Roman"/>
          <w:noProof/>
          <w:color w:val="auto"/>
        </w:rPr>
        <w:lastRenderedPageBreak/>
        <mc:AlternateContent>
          <mc:Choice Requires="wps">
            <w:drawing>
              <wp:anchor distT="0" distB="0" distL="114300" distR="114300" simplePos="0" relativeHeight="251659264" behindDoc="0" locked="0" layoutInCell="1" allowOverlap="1" wp14:anchorId="0088D852" wp14:editId="1CDF83E1">
                <wp:simplePos x="0" y="0"/>
                <wp:positionH relativeFrom="margin">
                  <wp:posOffset>1623695</wp:posOffset>
                </wp:positionH>
                <wp:positionV relativeFrom="paragraph">
                  <wp:posOffset>28575</wp:posOffset>
                </wp:positionV>
                <wp:extent cx="2400300" cy="171450"/>
                <wp:effectExtent l="19050" t="19050" r="19050" b="19050"/>
                <wp:wrapNone/>
                <wp:docPr id="736009776" name="Rectángulo 9"/>
                <wp:cNvGraphicFramePr/>
                <a:graphic xmlns:a="http://schemas.openxmlformats.org/drawingml/2006/main">
                  <a:graphicData uri="http://schemas.microsoft.com/office/word/2010/wordprocessingShape">
                    <wps:wsp>
                      <wps:cNvSpPr/>
                      <wps:spPr>
                        <a:xfrm>
                          <a:off x="0" y="0"/>
                          <a:ext cx="2400300" cy="171450"/>
                        </a:xfrm>
                        <a:prstGeom prst="rect">
                          <a:avLst/>
                        </a:prstGeom>
                        <a:noFill/>
                        <a:ln w="28575" cap="flat" cmpd="sng" algn="ctr">
                          <a:solidFill>
                            <a:sysClr val="windowText" lastClr="000000"/>
                          </a:solidFill>
                          <a:prstDash val="solid"/>
                          <a:miter lim="800000"/>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66BAE5A2" id="Rectángulo 9" o:spid="_x0000_s1026" style="position:absolute;margin-left:127.85pt;margin-top:2.25pt;width:189pt;height:13.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RmjwfwIAAN4EAAAOAAAAZHJzL2Uyb0RvYy54bWysVNtOGzEQfa/Uf7D8XnYTEgIRGxSBqCoh&#10;QIWKZ+O1s5Z8q+1kk/5Nv6U/1mNvgJS+Vc2DM+MZz+XMmT2/2BpNNiJE5WxDR0c1JcJy1yq7aui3&#10;x+tPp5TExGzLtLOioTsR6cXi44fz3s/F2HVOtyIQBLFx3vuGdin5eVVF3gnD4pHzwsIoXTAsQQ2r&#10;qg2sR3Sjq3Fdn1S9C60PjosYcXs1GOmixJdS8HQnZRSJ6IaitlTOUM7nfFaLczZfBeY7xfdlsH+o&#10;wjBlkfQ11BVLjKyD+iuUUTy46GQ64s5UTkrFRekB3Yzqd908dMyL0gvAif4Vpvj/wvLbzX0gqm3o&#10;7Pikrs9msxNKLDMY1VeA9+unXa21I2cZqN7HOfwf/H3YaxFi7norg8n/6IdsC7i7V3DFNhGOy/Gk&#10;ro9rzIDDNpqNJtOCfvX22oeYPgtnSBYaGpC/YMo2NzEhI1xfXHIy666V1mWA2pIeGU6nsyniM/BI&#10;apYgGo/Ool1RwvQKBOUplJDRadXm5zlQ3MVLHciGgSOgVuv6RxRNiWYxwYBOyi9DgBL+eJrruWKx&#10;Gx4X00ApoxJ4rZVp6Onha21zRlGYue8qwzoAmaVn1+4wkeAGqkbPrxWS3KCWexbATSCIfUt3OKR2&#10;aJtr5SnpXPjx/i77gSqwUNKD44Di+5oFgda+WJDobDSZ5KUoymQ6G0MJh5bnQ4tdm0sHiEbYaM+L&#10;mP2TfhFlcOYJ67jMWWFiliP3APpeuUzD7mGhuVguixsWwbN0Yx88z8EzPhnWx+0TC37PhYSB3LqX&#10;fWDzd5QYfAdSLNfJSVX48oYnJpcVLFGZ4X7h85Ye6sXr7bO0+A0AAP//AwBQSwMEFAAGAAgAAAAh&#10;ALnKC8neAAAACAEAAA8AAABkcnMvZG93bnJldi54bWxMj81OwzAQhO9IvIO1SNyo80NCFeJUCIkL&#10;nGiJUG/b2MQRsZ3abpvy9CynchzNaOabejWbkR2VD4OzAtJFAkzZzsnB9gI+Ni93S2AhopU4OqsE&#10;nFWAVXN9VWMl3cm+q+M69oxKbKhQgI5xqjgPnVYGw8JNypL35bzBSNL3XHo8UbkZeZYkJTc4WFrQ&#10;OKlnrbrv9cEIaLP0U+P23IbW79v+9W1TlvsfIW5v5qdHYFHN8RKGP3xCh4aYdu5gZWCjgKwoHigq&#10;4L4ARn6Z56R3AvK0AN7U/P+B5hcAAP//AwBQSwECLQAUAAYACAAAACEAtoM4kv4AAADhAQAAEwAA&#10;AAAAAAAAAAAAAAAAAAAAW0NvbnRlbnRfVHlwZXNdLnhtbFBLAQItABQABgAIAAAAIQA4/SH/1gAA&#10;AJQBAAALAAAAAAAAAAAAAAAAAC8BAABfcmVscy8ucmVsc1BLAQItABQABgAIAAAAIQDpRmjwfwIA&#10;AN4EAAAOAAAAAAAAAAAAAAAAAC4CAABkcnMvZTJvRG9jLnhtbFBLAQItABQABgAIAAAAIQC5ygvJ&#10;3gAAAAgBAAAPAAAAAAAAAAAAAAAAANkEAABkcnMvZG93bnJldi54bWxQSwUGAAAAAAQABADzAAAA&#10;5AUAAAAA&#10;" filled="f" strokecolor="windowText" strokeweight="2.25pt">
                <w10:wrap anchorx="margin"/>
              </v:rect>
            </w:pict>
          </mc:Fallback>
        </mc:AlternateContent>
      </w:r>
      <w:r w:rsidRPr="007C15EB">
        <w:rPr>
          <w:rFonts w:eastAsia="Times New Roman" w:cs="Times New Roman"/>
          <w:noProof/>
          <w:color w:val="auto"/>
        </w:rPr>
        <w:drawing>
          <wp:inline distT="0" distB="0" distL="0" distR="0" wp14:anchorId="45D30A28" wp14:editId="4C398772">
            <wp:extent cx="5671185" cy="684530"/>
            <wp:effectExtent l="0" t="0" r="5715" b="1270"/>
            <wp:docPr id="1931818544"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6">
                      <a:extLst>
                        <a:ext uri="{28A0092B-C50C-407E-A947-70E740481C1C}">
                          <a14:useLocalDpi xmlns:a14="http://schemas.microsoft.com/office/drawing/2010/main" val="0"/>
                        </a:ext>
                      </a:extLst>
                    </a:blip>
                    <a:srcRect b="47446"/>
                    <a:stretch>
                      <a:fillRect/>
                    </a:stretch>
                  </pic:blipFill>
                  <pic:spPr bwMode="auto">
                    <a:xfrm>
                      <a:off x="0" y="0"/>
                      <a:ext cx="5671185" cy="684530"/>
                    </a:xfrm>
                    <a:prstGeom prst="rect">
                      <a:avLst/>
                    </a:prstGeom>
                    <a:noFill/>
                    <a:ln>
                      <a:noFill/>
                    </a:ln>
                  </pic:spPr>
                </pic:pic>
              </a:graphicData>
            </a:graphic>
          </wp:inline>
        </w:drawing>
      </w:r>
    </w:p>
    <w:p w14:paraId="72CB750F" w14:textId="77777777" w:rsidR="00F66FB0" w:rsidRPr="007C15EB" w:rsidRDefault="00F66FB0" w:rsidP="00F66FB0">
      <w:pPr>
        <w:spacing w:after="0" w:line="276" w:lineRule="auto"/>
        <w:ind w:right="-93"/>
        <w:rPr>
          <w:rFonts w:eastAsia="Calibri" w:cs="Tahoma"/>
          <w:bCs/>
          <w:color w:val="auto"/>
          <w:lang w:val="es-ES" w:eastAsia="es-ES"/>
        </w:rPr>
      </w:pPr>
      <w:r w:rsidRPr="007C15EB">
        <w:rPr>
          <w:rFonts w:eastAsia="Times New Roman" w:cs="Times New Roman"/>
          <w:noProof/>
          <w:color w:val="auto"/>
        </w:rPr>
        <mc:AlternateContent>
          <mc:Choice Requires="wps">
            <w:drawing>
              <wp:anchor distT="0" distB="0" distL="114300" distR="114300" simplePos="0" relativeHeight="251660288" behindDoc="0" locked="0" layoutInCell="1" allowOverlap="1" wp14:anchorId="560DF994" wp14:editId="712C8272">
                <wp:simplePos x="0" y="0"/>
                <wp:positionH relativeFrom="margin">
                  <wp:posOffset>1601470</wp:posOffset>
                </wp:positionH>
                <wp:positionV relativeFrom="paragraph">
                  <wp:posOffset>93980</wp:posOffset>
                </wp:positionV>
                <wp:extent cx="2400300" cy="171450"/>
                <wp:effectExtent l="19050" t="19050" r="19050" b="19050"/>
                <wp:wrapNone/>
                <wp:docPr id="7" name="Rectángulo 8"/>
                <wp:cNvGraphicFramePr/>
                <a:graphic xmlns:a="http://schemas.openxmlformats.org/drawingml/2006/main">
                  <a:graphicData uri="http://schemas.microsoft.com/office/word/2010/wordprocessingShape">
                    <wps:wsp>
                      <wps:cNvSpPr/>
                      <wps:spPr>
                        <a:xfrm>
                          <a:off x="0" y="0"/>
                          <a:ext cx="2400300" cy="171450"/>
                        </a:xfrm>
                        <a:prstGeom prst="rect">
                          <a:avLst/>
                        </a:prstGeom>
                        <a:noFill/>
                        <a:ln w="28575" cap="flat" cmpd="sng" algn="ctr">
                          <a:solidFill>
                            <a:sysClr val="windowText" lastClr="000000"/>
                          </a:solidFill>
                          <a:prstDash val="solid"/>
                          <a:miter lim="800000"/>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5103DDE2" id="Rectángulo 8" o:spid="_x0000_s1026" style="position:absolute;margin-left:126.1pt;margin-top:7.4pt;width:189pt;height:13.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NOATeAIAANYEAAAOAAAAZHJzL2Uyb0RvYy54bWysVNtOGzEQfa/Uf7D8XnaTJk0asUERiKoS&#10;AlSoeDZeO2vJt9pONunf9Fv6Yxx7A6T0rWoenBnPeC5nzuzp2c5oshUhKmcbOjqpKRGWu1bZdUO/&#10;319+mFMSE7Mt086Khu5FpGfL9+9Oe78QY9c53YpAEMTGRe8b2qXkF1UVeScMiyfOCwujdMGwBDWs&#10;qzawHtGNrsZ1/anqXWh9cFzEiNuLwUiXJb6UgqcbKaNIRDcUtaVyhnI+5rNanrLFOjDfKX4og/1D&#10;FYYpi6QvoS5YYmQT1F+hjOLBRSfTCXemclIqLkoP6GZUv+nmrmNelF4ATvQvMMX/F5Zfb28DUW1D&#10;Z5RYZjCibwDt9y+73mhH5hmg3scF/O78bThoEWLudieDyf/og+wKqPsXUMUuEY7L8aSuP9bAnsM2&#10;mo0m04J69frah5i+CGdIFhoakL9gybZXMSEjXJ9dcjLrLpXWZXDakh4Z5tPZFPEZ+CM1SxCNR0fR&#10;rilheg1i8hRKyOi0avPzHCju47kOZMvADVCqdf09iqZEs5hgQCfllyFACX88zfVcsNgNj4tpoJJR&#10;CXzWyjR0fvxa25xRFEYeusqwDkBm6dG1e0wiuIGi0fNLhSRXqOWWBXASCGLP0g0OqR3a5lp5SjoX&#10;fr69y36gCCyU9OA2oPixYUGgta8W5Pk8mkzyMhRlMp2NoYRjy+OxxW7MuQNEI2yy50XM/kk/izI4&#10;84A1XOWsMDHLkXsA/aCcp2HnsMhcrFbFDQvgWbqyd57n4BmfDOv97oEFf+BCwkCu3fMesMUbSgy+&#10;AylWm+SkKnx5xROTywqWp8zwsOh5O4/14vX6OVo+AQAA//8DAFBLAwQUAAYACAAAACEA/zsNwt4A&#10;AAAJAQAADwAAAGRycy9kb3ducmV2LnhtbEyPwU7DMBBE70j8g7VI3KiTUKIqxKkQEhc40RIhbtvY&#10;xBHxOrXdNuXrWU5w3Jmn2Zl6PbtRHE2IgycF+SIDYajzeqBewdv26WYFIiYkjaMno+BsIqyby4sa&#10;K+1P9GqOm9QLDqFYoQKb0lRJGTtrHMaFnwyx9+mDw8Rn6KUOeOJwN8oiy0rpcCD+YHEyj9Z0X5uD&#10;U9AW+bvFj3Mb27Bv++eXbVnuv5W6vpof7kEkM6c/GH7rc3VouNPOH0hHMSoo7oqCUTaWPIGB8jZj&#10;Yadgma9ANrX8v6D5AQAA//8DAFBLAQItABQABgAIAAAAIQC2gziS/gAAAOEBAAATAAAAAAAAAAAA&#10;AAAAAAAAAABbQ29udGVudF9UeXBlc10ueG1sUEsBAi0AFAAGAAgAAAAhADj9If/WAAAAlAEAAAsA&#10;AAAAAAAAAAAAAAAALwEAAF9yZWxzLy5yZWxzUEsBAi0AFAAGAAgAAAAhADo04BN4AgAA1gQAAA4A&#10;AAAAAAAAAAAAAAAALgIAAGRycy9lMm9Eb2MueG1sUEsBAi0AFAAGAAgAAAAhAP87DcLeAAAACQEA&#10;AA8AAAAAAAAAAAAAAAAA0gQAAGRycy9kb3ducmV2LnhtbFBLBQYAAAAABAAEAPMAAADdBQAAAAA=&#10;" filled="f" strokecolor="windowText" strokeweight="2.25pt">
                <w10:wrap anchorx="margin"/>
              </v:rect>
            </w:pict>
          </mc:Fallback>
        </mc:AlternateContent>
      </w:r>
      <w:r w:rsidRPr="007C15EB">
        <w:rPr>
          <w:rFonts w:eastAsia="Times New Roman" w:cs="Times New Roman"/>
          <w:noProof/>
          <w:color w:val="auto"/>
        </w:rPr>
        <w:drawing>
          <wp:inline distT="0" distB="0" distL="0" distR="0" wp14:anchorId="53954DE4" wp14:editId="21DA150C">
            <wp:extent cx="5671185" cy="640080"/>
            <wp:effectExtent l="0" t="0" r="5715" b="7620"/>
            <wp:docPr id="960685541"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16">
                      <a:extLst>
                        <a:ext uri="{28A0092B-C50C-407E-A947-70E740481C1C}">
                          <a14:useLocalDpi xmlns:a14="http://schemas.microsoft.com/office/drawing/2010/main" val="0"/>
                        </a:ext>
                      </a:extLst>
                    </a:blip>
                    <a:srcRect t="51079"/>
                    <a:stretch>
                      <a:fillRect/>
                    </a:stretch>
                  </pic:blipFill>
                  <pic:spPr bwMode="auto">
                    <a:xfrm>
                      <a:off x="0" y="0"/>
                      <a:ext cx="5671185" cy="640080"/>
                    </a:xfrm>
                    <a:prstGeom prst="rect">
                      <a:avLst/>
                    </a:prstGeom>
                    <a:noFill/>
                    <a:ln>
                      <a:noFill/>
                    </a:ln>
                  </pic:spPr>
                </pic:pic>
              </a:graphicData>
            </a:graphic>
          </wp:inline>
        </w:drawing>
      </w:r>
    </w:p>
    <w:p w14:paraId="0256B771" w14:textId="77777777" w:rsidR="00F66FB0" w:rsidRPr="007C15EB" w:rsidRDefault="00F66FB0" w:rsidP="00F66FB0">
      <w:pPr>
        <w:spacing w:after="0" w:line="360" w:lineRule="auto"/>
        <w:rPr>
          <w:rFonts w:eastAsia="Calibri" w:cs="Tahoma"/>
          <w:bCs/>
          <w:color w:val="auto"/>
          <w:lang w:eastAsia="es-ES"/>
        </w:rPr>
      </w:pPr>
    </w:p>
    <w:p w14:paraId="53C813C9" w14:textId="77777777" w:rsidR="00F66FB0" w:rsidRPr="007C15EB" w:rsidRDefault="00F66FB0" w:rsidP="00F66FB0">
      <w:pPr>
        <w:spacing w:after="0" w:line="360" w:lineRule="auto"/>
        <w:rPr>
          <w:rFonts w:eastAsia="Calibri" w:cs="Tahoma"/>
          <w:bCs/>
          <w:color w:val="auto"/>
          <w:lang w:eastAsia="es-ES"/>
        </w:rPr>
      </w:pPr>
      <w:r w:rsidRPr="007C15EB">
        <w:rPr>
          <w:rFonts w:eastAsia="Calibri" w:cs="Tahoma"/>
          <w:bCs/>
          <w:color w:val="auto"/>
          <w:lang w:eastAsia="es-ES"/>
        </w:rPr>
        <w:t>De tales circunstancias, dicho dato guarda la naturaleza de pública, pues permite identificar, que la ubicación de la construcción, corresponde con la licencia o permiso y que está debidamente registrada ante la autoridad Municipal; por lo que se trata de un dato de acceso a público; por lo que, no resulta procedente, la clasificación, en términos del artículo 143, fracción I, de la Ley de Transparencia y Acceso a la Información Pública del Estado de México y Municipios.</w:t>
      </w:r>
    </w:p>
    <w:p w14:paraId="3DABE688" w14:textId="77777777" w:rsidR="00F66FB0" w:rsidRPr="007C15EB" w:rsidRDefault="00F66FB0" w:rsidP="00F66FB0">
      <w:pPr>
        <w:spacing w:after="0" w:line="360" w:lineRule="auto"/>
        <w:contextualSpacing/>
        <w:rPr>
          <w:rFonts w:eastAsia="Calibri" w:cs="Tahoma"/>
          <w:bCs/>
          <w:color w:val="auto"/>
          <w:lang w:eastAsia="es-ES"/>
        </w:rPr>
      </w:pPr>
    </w:p>
    <w:p w14:paraId="06B7B817" w14:textId="77777777" w:rsidR="00F66FB0" w:rsidRPr="007C15EB" w:rsidRDefault="00F66FB0" w:rsidP="00F66FB0">
      <w:pPr>
        <w:numPr>
          <w:ilvl w:val="0"/>
          <w:numId w:val="23"/>
        </w:numPr>
        <w:spacing w:after="0" w:line="360" w:lineRule="auto"/>
        <w:contextualSpacing/>
        <w:jc w:val="left"/>
        <w:rPr>
          <w:rFonts w:eastAsia="Calibri" w:cs="Tahoma"/>
          <w:b/>
          <w:color w:val="auto"/>
          <w:lang w:eastAsia="es-ES"/>
        </w:rPr>
      </w:pPr>
      <w:r w:rsidRPr="007C15EB">
        <w:rPr>
          <w:rFonts w:eastAsia="Calibri" w:cs="Tahoma"/>
          <w:b/>
          <w:color w:val="auto"/>
          <w:lang w:eastAsia="es-ES"/>
        </w:rPr>
        <w:t>Domicilio Particular</w:t>
      </w:r>
    </w:p>
    <w:p w14:paraId="511E052C" w14:textId="77777777" w:rsidR="00F66FB0" w:rsidRPr="007C15EB" w:rsidRDefault="00F66FB0" w:rsidP="00F66FB0">
      <w:pPr>
        <w:spacing w:after="0" w:line="360" w:lineRule="auto"/>
        <w:contextualSpacing/>
        <w:rPr>
          <w:rFonts w:eastAsia="Calibri" w:cs="Tahoma"/>
          <w:bCs/>
          <w:color w:val="auto"/>
          <w:lang w:eastAsia="es-ES"/>
        </w:rPr>
      </w:pPr>
    </w:p>
    <w:p w14:paraId="07B95961" w14:textId="77777777" w:rsidR="00F66FB0" w:rsidRPr="007C15EB" w:rsidRDefault="00F66FB0" w:rsidP="00F66FB0">
      <w:pPr>
        <w:spacing w:after="0" w:line="360" w:lineRule="auto"/>
        <w:contextualSpacing/>
        <w:rPr>
          <w:rFonts w:eastAsia="Calibri" w:cs="Tahoma"/>
          <w:b/>
          <w:bCs/>
          <w:color w:val="auto"/>
          <w:lang w:eastAsia="es-ES"/>
        </w:rPr>
      </w:pPr>
      <w:r w:rsidRPr="007C15EB">
        <w:rPr>
          <w:rFonts w:eastAsia="Calibri" w:cs="Tahoma"/>
          <w:b/>
          <w:bCs/>
          <w:color w:val="auto"/>
          <w:lang w:eastAsia="es-ES"/>
        </w:rPr>
        <w:t>Persona física</w:t>
      </w:r>
    </w:p>
    <w:p w14:paraId="6CA6A365" w14:textId="77777777" w:rsidR="00F66FB0" w:rsidRPr="007C15EB" w:rsidRDefault="00F66FB0" w:rsidP="00F66FB0">
      <w:pPr>
        <w:spacing w:after="0" w:line="360" w:lineRule="auto"/>
        <w:contextualSpacing/>
        <w:rPr>
          <w:rFonts w:eastAsia="Calibri" w:cs="Tahoma"/>
          <w:bCs/>
          <w:color w:val="auto"/>
          <w:lang w:eastAsia="es-ES"/>
        </w:rPr>
      </w:pPr>
    </w:p>
    <w:p w14:paraId="4FD74CA1" w14:textId="77777777" w:rsidR="00F66FB0" w:rsidRPr="007C15EB" w:rsidRDefault="00F66FB0" w:rsidP="00F66FB0">
      <w:pPr>
        <w:spacing w:after="0" w:line="360" w:lineRule="auto"/>
        <w:contextualSpacing/>
        <w:rPr>
          <w:rFonts w:eastAsia="Calibri" w:cs="Tahoma"/>
          <w:bCs/>
          <w:color w:val="auto"/>
          <w:lang w:eastAsia="es-ES"/>
        </w:rPr>
      </w:pPr>
      <w:r w:rsidRPr="007C15EB">
        <w:rPr>
          <w:rFonts w:eastAsia="Calibri" w:cs="Tahoma"/>
          <w:bCs/>
          <w:color w:val="auto"/>
          <w:lang w:eastAsia="es-ES"/>
        </w:rPr>
        <w:t xml:space="preserve">De acuerdo a lo señalado en los artículos 2.3 y 2.5 del Código Civil del Estado de México, el domicilio es un atributo de la personalidad y un derecho de las personas; además que tiene como propósito que una persona pueda establecerse temporal o permanentemente en un lugar determinado, para habitar, establecer su centro de trabajo o negocios. </w:t>
      </w:r>
    </w:p>
    <w:p w14:paraId="11A3AEE8" w14:textId="77777777" w:rsidR="00F66FB0" w:rsidRPr="007C15EB" w:rsidRDefault="00F66FB0" w:rsidP="00F66FB0">
      <w:pPr>
        <w:spacing w:after="0" w:line="360" w:lineRule="auto"/>
        <w:contextualSpacing/>
        <w:rPr>
          <w:rFonts w:eastAsia="Calibri" w:cs="Tahoma"/>
          <w:bCs/>
          <w:color w:val="auto"/>
          <w:lang w:eastAsia="es-ES"/>
        </w:rPr>
      </w:pPr>
    </w:p>
    <w:p w14:paraId="4F79BBC5" w14:textId="77777777" w:rsidR="00F66FB0" w:rsidRPr="007C15EB" w:rsidRDefault="00F66FB0" w:rsidP="00F66FB0">
      <w:pPr>
        <w:spacing w:after="0" w:line="360" w:lineRule="auto"/>
        <w:contextualSpacing/>
        <w:rPr>
          <w:rFonts w:eastAsia="Calibri" w:cs="Tahoma"/>
          <w:bCs/>
          <w:color w:val="auto"/>
          <w:lang w:eastAsia="es-ES"/>
        </w:rPr>
      </w:pPr>
      <w:r w:rsidRPr="007C15EB">
        <w:rPr>
          <w:rFonts w:eastAsia="Calibri" w:cs="Tahoma"/>
          <w:bCs/>
          <w:color w:val="auto"/>
          <w:lang w:eastAsia="es-ES"/>
        </w:rPr>
        <w:t>De la misma manera, lo establece el artículo 29 del Código Civil Federal, al precisar que el domicilio de personas físicas, es el lugar donde residen habitualmente, el lugar del centro principal de sus negocios, donde residan o el lugar donde se encuentren.</w:t>
      </w:r>
    </w:p>
    <w:p w14:paraId="0C2544F8" w14:textId="77777777" w:rsidR="00F66FB0" w:rsidRPr="007C15EB" w:rsidRDefault="00F66FB0" w:rsidP="00F66FB0">
      <w:pPr>
        <w:spacing w:after="0" w:line="360" w:lineRule="auto"/>
        <w:contextualSpacing/>
        <w:rPr>
          <w:rFonts w:eastAsia="Calibri" w:cs="Tahoma"/>
          <w:bCs/>
          <w:color w:val="auto"/>
          <w:lang w:eastAsia="es-ES"/>
        </w:rPr>
      </w:pPr>
    </w:p>
    <w:p w14:paraId="0CD38DC0" w14:textId="77777777" w:rsidR="00F66FB0" w:rsidRPr="007C15EB" w:rsidRDefault="00F66FB0" w:rsidP="00F66FB0">
      <w:pPr>
        <w:spacing w:after="0" w:line="360" w:lineRule="auto"/>
        <w:contextualSpacing/>
        <w:rPr>
          <w:rFonts w:eastAsia="Calibri" w:cs="Tahoma"/>
          <w:bCs/>
          <w:color w:val="auto"/>
          <w:lang w:eastAsia="es-ES"/>
        </w:rPr>
      </w:pPr>
      <w:r w:rsidRPr="007C15EB">
        <w:rPr>
          <w:rFonts w:eastAsia="Calibri" w:cs="Tahoma"/>
          <w:bCs/>
          <w:color w:val="auto"/>
          <w:lang w:eastAsia="es-ES"/>
        </w:rPr>
        <w:lastRenderedPageBreak/>
        <w:t>Como se observa, la dirección o domicilio es el lugar en donde reside habitualmente una persona física, por lo que, permite hacerlo identificable y ubicable, propiciando que pueda ser molestado en su casa o negocio, de este modo, los datos que permiten a cualquier individuo con esfuerzos mínimos identificar el lugar de residencia o de trabajo constituye un dato personal y, por ende, confidencial, ya que incide directamente en la privacidad de personas físicas identificadas y su difusión podría afectar la esfera privada de las mismas. Por lo tanto, se actualiza la clasificación, de conformidad con la fracción I, del artículo 143 de la Ley de Transparencia y Acceso a la Información Pública del Estado de México y Municipios.</w:t>
      </w:r>
    </w:p>
    <w:p w14:paraId="2AF1C64F" w14:textId="77777777" w:rsidR="00F66FB0" w:rsidRPr="007C15EB" w:rsidRDefault="00F66FB0" w:rsidP="00F66FB0">
      <w:pPr>
        <w:spacing w:after="0" w:line="360" w:lineRule="auto"/>
        <w:contextualSpacing/>
        <w:rPr>
          <w:rFonts w:eastAsia="Calibri" w:cs="Tahoma"/>
          <w:bCs/>
          <w:color w:val="auto"/>
          <w:lang w:eastAsia="es-ES"/>
        </w:rPr>
      </w:pPr>
    </w:p>
    <w:p w14:paraId="18518A16" w14:textId="77777777" w:rsidR="00F66FB0" w:rsidRPr="007C15EB" w:rsidRDefault="00F66FB0" w:rsidP="00F66FB0">
      <w:pPr>
        <w:spacing w:after="0" w:line="360" w:lineRule="auto"/>
        <w:contextualSpacing/>
        <w:rPr>
          <w:rFonts w:eastAsia="Calibri" w:cs="Tahoma"/>
          <w:b/>
          <w:bCs/>
          <w:color w:val="auto"/>
          <w:lang w:eastAsia="es-ES"/>
        </w:rPr>
      </w:pPr>
      <w:r w:rsidRPr="007C15EB">
        <w:rPr>
          <w:rFonts w:eastAsia="Calibri" w:cs="Tahoma"/>
          <w:b/>
          <w:bCs/>
          <w:color w:val="auto"/>
          <w:lang w:eastAsia="es-ES"/>
        </w:rPr>
        <w:t>Persona Jurídico Colectiva</w:t>
      </w:r>
    </w:p>
    <w:p w14:paraId="0B2B291D" w14:textId="77777777" w:rsidR="00F66FB0" w:rsidRPr="007C15EB" w:rsidRDefault="00F66FB0" w:rsidP="00F66FB0">
      <w:pPr>
        <w:spacing w:after="0" w:line="360" w:lineRule="auto"/>
        <w:contextualSpacing/>
        <w:rPr>
          <w:rFonts w:eastAsia="Calibri" w:cs="Tahoma"/>
          <w:b/>
          <w:bCs/>
          <w:color w:val="auto"/>
          <w:lang w:eastAsia="es-ES"/>
        </w:rPr>
      </w:pPr>
    </w:p>
    <w:p w14:paraId="11D4FD14" w14:textId="77777777" w:rsidR="00F66FB0" w:rsidRPr="007C15EB" w:rsidRDefault="00F66FB0" w:rsidP="00F66FB0">
      <w:pPr>
        <w:spacing w:after="0" w:line="360" w:lineRule="auto"/>
        <w:contextualSpacing/>
        <w:rPr>
          <w:rFonts w:eastAsia="Calibri" w:cs="Tahoma"/>
          <w:bCs/>
          <w:color w:val="auto"/>
          <w:lang w:eastAsia="es-ES"/>
        </w:rPr>
      </w:pPr>
      <w:r w:rsidRPr="007C15EB">
        <w:rPr>
          <w:rFonts w:eastAsia="Calibri" w:cs="Tahoma"/>
          <w:bCs/>
          <w:color w:val="auto"/>
          <w:lang w:eastAsia="es-ES"/>
        </w:rPr>
        <w:t xml:space="preserve">En principio, cabe señalar, la información entregada a las autoridades por parte de las personas jurídicas colectivas, debe ser confidencial cuando tenga el carácter de privada por contener datos que pudieran equipararse a los de las personas físicas. </w:t>
      </w:r>
    </w:p>
    <w:p w14:paraId="32FD9CF1" w14:textId="77777777" w:rsidR="00F66FB0" w:rsidRPr="007C15EB" w:rsidRDefault="00F66FB0" w:rsidP="00F66FB0">
      <w:pPr>
        <w:spacing w:after="0" w:line="360" w:lineRule="auto"/>
        <w:contextualSpacing/>
        <w:rPr>
          <w:rFonts w:eastAsia="Calibri" w:cs="Tahoma"/>
          <w:bCs/>
          <w:color w:val="auto"/>
          <w:lang w:eastAsia="es-ES"/>
        </w:rPr>
      </w:pPr>
    </w:p>
    <w:p w14:paraId="467A97A0" w14:textId="77777777" w:rsidR="00F66FB0" w:rsidRPr="007C15EB" w:rsidRDefault="00F66FB0" w:rsidP="00F66FB0">
      <w:pPr>
        <w:spacing w:after="0" w:line="360" w:lineRule="auto"/>
        <w:contextualSpacing/>
        <w:rPr>
          <w:rFonts w:eastAsia="Calibri" w:cs="Tahoma"/>
          <w:bCs/>
          <w:color w:val="auto"/>
          <w:lang w:eastAsia="es-ES"/>
        </w:rPr>
      </w:pPr>
      <w:r w:rsidRPr="007C15EB">
        <w:rPr>
          <w:rFonts w:eastAsia="Calibri" w:cs="Tahoma"/>
          <w:bCs/>
          <w:color w:val="auto"/>
          <w:lang w:eastAsia="es-ES"/>
        </w:rPr>
        <w:t>Lo anterior, encuentra sustento en la Tesis Aislada con número P. II/2014 (10a.), publicada en febrero de dos mil catorce, en la Gaceta del Semanario Judicial de la Federación, en su Libro 3, Tomo I, que precisa que los bienes protegidos por el derecho a la privacidad y de protección de datos de las personas morales, comprenden aquellos documentos e información que les son inherentes, que deben permanecer ajenos al conocimiento de terceros; por lo que, la información entregada a las autoridades por parte de personas morales, será confidencial cuando tenga el carácter de privada por contener datos que pudieran equipararse a los personales, o bien, reservada temporalmente, si actualiza alguno de los supuestos previstos legalmente.</w:t>
      </w:r>
    </w:p>
    <w:p w14:paraId="6817B94D" w14:textId="77777777" w:rsidR="00F66FB0" w:rsidRPr="007C15EB" w:rsidRDefault="00F66FB0" w:rsidP="00F66FB0">
      <w:pPr>
        <w:spacing w:after="0" w:line="360" w:lineRule="auto"/>
        <w:contextualSpacing/>
        <w:rPr>
          <w:rFonts w:eastAsia="Calibri" w:cs="Tahoma"/>
          <w:bCs/>
          <w:color w:val="auto"/>
          <w:lang w:eastAsia="es-ES"/>
        </w:rPr>
      </w:pPr>
    </w:p>
    <w:p w14:paraId="712CB98D" w14:textId="77777777" w:rsidR="00F66FB0" w:rsidRPr="007C15EB" w:rsidRDefault="00F66FB0" w:rsidP="00F66FB0">
      <w:pPr>
        <w:spacing w:after="0" w:line="360" w:lineRule="auto"/>
        <w:contextualSpacing/>
        <w:rPr>
          <w:rFonts w:eastAsia="Calibri" w:cs="Tahoma"/>
          <w:bCs/>
          <w:color w:val="auto"/>
          <w:lang w:eastAsia="es-ES"/>
        </w:rPr>
      </w:pPr>
      <w:r w:rsidRPr="007C15EB">
        <w:rPr>
          <w:rFonts w:eastAsia="Calibri" w:cs="Tahoma"/>
          <w:bCs/>
          <w:color w:val="auto"/>
          <w:lang w:eastAsia="es-ES"/>
        </w:rPr>
        <w:lastRenderedPageBreak/>
        <w:t xml:space="preserve">En cuanto al domicilio, este Instituto advierte que se trata de un dato personal, pues como se precisó en párrafos anteriores, da cuenta del lugar donde está asentado el negocio de la persona jurídica colectiva; además, debe tomarse en cuenta que dicha empresa o asociación atendiendo a sus intereses personales, decide entregarlo a terceros o no, con el propósito de cumplir los fines para los cuales fue constituida, o las inherentes obligaciones a la que se encuentra constreñido, conforme a la legislación que le es aplicable, y por ende, debe resguardarse en la especie. </w:t>
      </w:r>
    </w:p>
    <w:p w14:paraId="5BD75CB8" w14:textId="77777777" w:rsidR="00F66FB0" w:rsidRPr="007C15EB" w:rsidRDefault="00F66FB0" w:rsidP="00F66FB0">
      <w:pPr>
        <w:spacing w:after="0" w:line="360" w:lineRule="auto"/>
        <w:contextualSpacing/>
        <w:rPr>
          <w:rFonts w:eastAsia="Calibri" w:cs="Tahoma"/>
          <w:bCs/>
          <w:color w:val="auto"/>
          <w:lang w:eastAsia="es-ES"/>
        </w:rPr>
      </w:pPr>
    </w:p>
    <w:p w14:paraId="700CDA7A" w14:textId="77777777" w:rsidR="00F66FB0" w:rsidRPr="007C15EB" w:rsidRDefault="00F66FB0" w:rsidP="00F66FB0">
      <w:pPr>
        <w:spacing w:after="0" w:line="360" w:lineRule="auto"/>
        <w:contextualSpacing/>
        <w:rPr>
          <w:rFonts w:eastAsia="Calibri" w:cs="Tahoma"/>
          <w:bCs/>
          <w:color w:val="auto"/>
          <w:lang w:eastAsia="es-ES"/>
        </w:rPr>
      </w:pPr>
      <w:r w:rsidRPr="007C15EB">
        <w:rPr>
          <w:rFonts w:eastAsia="Calibri" w:cs="Tahoma"/>
          <w:bCs/>
          <w:color w:val="auto"/>
          <w:lang w:eastAsia="es-ES"/>
        </w:rPr>
        <w:t>De tales circunstancias, se considera que el domicilio de la persona jurídico colectiva es considero confidencial, por lo que, se actualiza la causal de clasificación establecida en el artículo 143, fracción I de la Ley de Transparencia y Acceso a la Información Pública del Estado de México y Municipios.</w:t>
      </w:r>
    </w:p>
    <w:p w14:paraId="38268025" w14:textId="77777777" w:rsidR="00F66FB0" w:rsidRPr="007C15EB" w:rsidRDefault="00F66FB0" w:rsidP="00F66FB0">
      <w:pPr>
        <w:spacing w:after="0" w:line="360" w:lineRule="auto"/>
        <w:contextualSpacing/>
        <w:rPr>
          <w:rFonts w:eastAsia="Calibri" w:cs="Tahoma"/>
          <w:bCs/>
          <w:color w:val="auto"/>
          <w:lang w:eastAsia="es-ES"/>
        </w:rPr>
      </w:pPr>
    </w:p>
    <w:p w14:paraId="380ECECE" w14:textId="77777777" w:rsidR="00F66FB0" w:rsidRPr="007C15EB" w:rsidRDefault="00F66FB0" w:rsidP="00F66FB0">
      <w:pPr>
        <w:numPr>
          <w:ilvl w:val="0"/>
          <w:numId w:val="25"/>
        </w:numPr>
        <w:spacing w:after="0" w:line="360" w:lineRule="auto"/>
        <w:ind w:right="-93"/>
        <w:contextualSpacing/>
        <w:jc w:val="left"/>
        <w:rPr>
          <w:rFonts w:eastAsia="Times New Roman" w:cs="Times New Roman"/>
          <w:b/>
          <w:color w:val="auto"/>
          <w:lang w:val="es-ES_tradnl" w:eastAsia="es-ES"/>
        </w:rPr>
      </w:pPr>
      <w:r w:rsidRPr="007C15EB">
        <w:rPr>
          <w:rFonts w:eastAsia="Times New Roman" w:cs="Times New Roman"/>
          <w:b/>
          <w:color w:val="auto"/>
          <w:lang w:val="es-ES_tradnl" w:eastAsia="es-ES"/>
        </w:rPr>
        <w:t xml:space="preserve">Clave catastral </w:t>
      </w:r>
    </w:p>
    <w:p w14:paraId="2B2073A1" w14:textId="77777777" w:rsidR="00F66FB0" w:rsidRPr="007C15EB" w:rsidRDefault="00F66FB0" w:rsidP="00F66FB0">
      <w:pPr>
        <w:spacing w:after="0" w:line="360" w:lineRule="auto"/>
        <w:ind w:right="-93"/>
        <w:contextualSpacing/>
        <w:rPr>
          <w:rFonts w:eastAsia="Times New Roman" w:cs="Times New Roman"/>
          <w:b/>
          <w:color w:val="auto"/>
          <w:lang w:eastAsia="es-ES"/>
        </w:rPr>
      </w:pPr>
    </w:p>
    <w:p w14:paraId="1700A335" w14:textId="77777777" w:rsidR="00F66FB0" w:rsidRPr="007C15EB" w:rsidRDefault="00F66FB0" w:rsidP="00F66FB0">
      <w:pPr>
        <w:spacing w:after="0" w:line="360" w:lineRule="auto"/>
        <w:ind w:right="-93"/>
        <w:contextualSpacing/>
        <w:rPr>
          <w:rFonts w:eastAsia="Calibri" w:cs="Tahoma"/>
          <w:bCs/>
          <w:color w:val="auto"/>
          <w:lang w:val="es-ES" w:eastAsia="es-ES"/>
        </w:rPr>
      </w:pPr>
      <w:r w:rsidRPr="007C15EB">
        <w:rPr>
          <w:rFonts w:eastAsia="Calibri" w:cs="Tahoma"/>
          <w:bCs/>
          <w:color w:val="auto"/>
          <w:lang w:val="es-ES" w:eastAsia="es-ES"/>
        </w:rPr>
        <w:t>Por cuanto hace a la clave catastral; el artículo 179, fracción I, del Código Financiero del Estado de México y Municipios, refiere que la clave catastral es un código alfanumérico único e irrepetible, que se asigna para efectos de localización geográfica, identificación inscripción, control y registro de los inmuebles; por lo que, integrado de dieciséis caracteres., los primeros tres identifican el código del municipio, los dos siguientes a la zona catastral, los subsecuentes tres a la manzana y los últimos dos, identifican el número de lote o predio.</w:t>
      </w:r>
    </w:p>
    <w:p w14:paraId="0E81F92E" w14:textId="77777777" w:rsidR="00F66FB0" w:rsidRPr="007C15EB" w:rsidRDefault="00F66FB0" w:rsidP="00F66FB0">
      <w:pPr>
        <w:spacing w:after="0" w:line="360" w:lineRule="auto"/>
        <w:ind w:right="-93"/>
        <w:contextualSpacing/>
        <w:rPr>
          <w:rFonts w:eastAsia="Calibri" w:cs="Tahoma"/>
          <w:bCs/>
          <w:color w:val="auto"/>
          <w:lang w:val="es-ES" w:eastAsia="es-ES"/>
        </w:rPr>
      </w:pPr>
    </w:p>
    <w:p w14:paraId="2B4113C8" w14:textId="77777777" w:rsidR="00F66FB0" w:rsidRPr="007C15EB" w:rsidRDefault="00F66FB0" w:rsidP="00F66FB0">
      <w:pPr>
        <w:spacing w:after="0" w:line="360" w:lineRule="auto"/>
        <w:ind w:right="-93"/>
        <w:contextualSpacing/>
        <w:rPr>
          <w:rFonts w:eastAsia="Calibri" w:cs="Tahoma"/>
          <w:bCs/>
          <w:color w:val="auto"/>
          <w:lang w:val="es-ES" w:eastAsia="es-ES"/>
        </w:rPr>
      </w:pPr>
      <w:r w:rsidRPr="007C15EB">
        <w:rPr>
          <w:rFonts w:eastAsia="Calibri" w:cs="Tahoma"/>
          <w:bCs/>
          <w:color w:val="auto"/>
          <w:lang w:val="es-ES" w:eastAsia="es-ES"/>
        </w:rPr>
        <w:t>El diccionario de Datos catastrales Escala 1:1000 del Instituto Nacional de Estadística y Geografía (INEGI), contempla en su glosario la definición de clave catastral, la cual, es la siguiente:</w:t>
      </w:r>
    </w:p>
    <w:p w14:paraId="7AA0B0BA" w14:textId="77777777" w:rsidR="00F66FB0" w:rsidRPr="007C15EB" w:rsidRDefault="00F66FB0" w:rsidP="00F66FB0">
      <w:pPr>
        <w:spacing w:after="0" w:line="360" w:lineRule="auto"/>
        <w:ind w:right="-93"/>
        <w:contextualSpacing/>
        <w:rPr>
          <w:rFonts w:eastAsia="Calibri" w:cs="Tahoma"/>
          <w:bCs/>
          <w:color w:val="auto"/>
          <w:lang w:val="es-ES" w:eastAsia="es-ES"/>
        </w:rPr>
      </w:pPr>
    </w:p>
    <w:p w14:paraId="01A8BDF2" w14:textId="77777777" w:rsidR="00F66FB0" w:rsidRPr="007C15EB" w:rsidRDefault="00F66FB0" w:rsidP="00F66FB0">
      <w:pPr>
        <w:spacing w:after="0" w:line="360" w:lineRule="auto"/>
        <w:ind w:left="567" w:right="539"/>
        <w:contextualSpacing/>
        <w:rPr>
          <w:rFonts w:eastAsia="Calibri" w:cs="Tahoma"/>
          <w:bCs/>
          <w:i/>
          <w:color w:val="auto"/>
          <w:sz w:val="20"/>
          <w:szCs w:val="20"/>
          <w:lang w:val="es-ES" w:eastAsia="es-ES"/>
        </w:rPr>
      </w:pPr>
      <w:r w:rsidRPr="007C15EB">
        <w:rPr>
          <w:rFonts w:eastAsia="Calibri" w:cs="Tahoma"/>
          <w:bCs/>
          <w:i/>
          <w:color w:val="auto"/>
          <w:sz w:val="20"/>
          <w:szCs w:val="20"/>
          <w:lang w:val="es-ES" w:eastAsia="es-ES"/>
        </w:rPr>
        <w:lastRenderedPageBreak/>
        <w:t>“</w:t>
      </w:r>
      <w:r w:rsidRPr="007C15EB">
        <w:rPr>
          <w:rFonts w:eastAsia="Calibri" w:cs="Tahoma"/>
          <w:b/>
          <w:bCs/>
          <w:i/>
          <w:color w:val="auto"/>
          <w:sz w:val="20"/>
          <w:szCs w:val="20"/>
          <w:lang w:val="es-ES" w:eastAsia="es-ES"/>
        </w:rPr>
        <w:t xml:space="preserve">Clave catastral: </w:t>
      </w:r>
      <w:r w:rsidRPr="007C15EB">
        <w:rPr>
          <w:rFonts w:eastAsia="Calibri" w:cs="Tahoma"/>
          <w:bCs/>
          <w:i/>
          <w:color w:val="auto"/>
          <w:sz w:val="20"/>
          <w:szCs w:val="20"/>
          <w:lang w:val="es-ES" w:eastAsia="es-ES"/>
        </w:rPr>
        <w:t>El código que identifica al predio de forma única para su localización geográfica, mismo que es asignado a cada uno de ellos en el momento de su inscripción en el padrón catastral por las Unidades del estado con atribuciones catastrales”</w:t>
      </w:r>
    </w:p>
    <w:p w14:paraId="418B8F75" w14:textId="77777777" w:rsidR="00F66FB0" w:rsidRPr="007C15EB" w:rsidRDefault="00F66FB0" w:rsidP="00F66FB0">
      <w:pPr>
        <w:spacing w:after="0" w:line="360" w:lineRule="auto"/>
        <w:ind w:right="-93"/>
        <w:contextualSpacing/>
        <w:rPr>
          <w:rFonts w:eastAsia="Calibri" w:cs="Tahoma"/>
          <w:bCs/>
          <w:color w:val="auto"/>
          <w:lang w:val="es-ES" w:eastAsia="es-ES"/>
        </w:rPr>
      </w:pPr>
    </w:p>
    <w:p w14:paraId="220B4B3B" w14:textId="77777777" w:rsidR="00F66FB0" w:rsidRPr="007C15EB" w:rsidRDefault="00F66FB0" w:rsidP="00F66FB0">
      <w:pPr>
        <w:spacing w:after="0" w:line="360" w:lineRule="auto"/>
        <w:ind w:right="-93"/>
        <w:contextualSpacing/>
        <w:rPr>
          <w:rFonts w:eastAsia="Calibri" w:cs="Tahoma"/>
          <w:bCs/>
          <w:color w:val="auto"/>
          <w:lang w:val="es-ES" w:eastAsia="es-ES"/>
        </w:rPr>
      </w:pPr>
      <w:r w:rsidRPr="007C15EB">
        <w:rPr>
          <w:rFonts w:eastAsia="Calibri" w:cs="Tahoma"/>
          <w:bCs/>
          <w:color w:val="auto"/>
          <w:lang w:val="es-ES" w:eastAsia="es-ES"/>
        </w:rPr>
        <w:t>Así mismo, dicho diccionario estipula dos tipos de Claves catastrales, siendo estas la Estándar y la Original, cuyo diccionario de datos catastrales Escala 1:1000 del INEGI, las define como</w:t>
      </w:r>
    </w:p>
    <w:p w14:paraId="2651DF91" w14:textId="77777777" w:rsidR="00F66FB0" w:rsidRPr="007C15EB" w:rsidRDefault="00F66FB0" w:rsidP="00F66FB0">
      <w:pPr>
        <w:spacing w:after="0" w:line="360" w:lineRule="auto"/>
        <w:ind w:right="-93"/>
        <w:contextualSpacing/>
        <w:rPr>
          <w:rFonts w:eastAsia="Calibri" w:cs="Tahoma"/>
          <w:bCs/>
          <w:color w:val="auto"/>
          <w:lang w:val="es-ES" w:eastAsia="es-ES"/>
        </w:rPr>
      </w:pPr>
    </w:p>
    <w:p w14:paraId="2DFA7BF1" w14:textId="77777777" w:rsidR="00F66FB0" w:rsidRPr="007C15EB" w:rsidRDefault="00F66FB0" w:rsidP="00F66FB0">
      <w:pPr>
        <w:spacing w:after="0" w:line="360" w:lineRule="auto"/>
        <w:ind w:left="567" w:right="539"/>
        <w:contextualSpacing/>
        <w:rPr>
          <w:rFonts w:eastAsia="Calibri" w:cs="Tahoma"/>
          <w:bCs/>
          <w:i/>
          <w:color w:val="auto"/>
          <w:sz w:val="20"/>
          <w:szCs w:val="20"/>
          <w:lang w:val="es-ES" w:eastAsia="es-ES"/>
        </w:rPr>
      </w:pPr>
      <w:r w:rsidRPr="007C15EB">
        <w:rPr>
          <w:rFonts w:eastAsia="Calibri" w:cs="Tahoma"/>
          <w:bCs/>
          <w:i/>
          <w:color w:val="auto"/>
          <w:sz w:val="20"/>
          <w:szCs w:val="20"/>
          <w:lang w:val="es-ES" w:eastAsia="es-ES"/>
        </w:rPr>
        <w:t>“</w:t>
      </w:r>
      <w:r w:rsidRPr="007C15EB">
        <w:rPr>
          <w:rFonts w:eastAsia="Calibri" w:cs="Tahoma"/>
          <w:b/>
          <w:bCs/>
          <w:i/>
          <w:color w:val="auto"/>
          <w:sz w:val="20"/>
          <w:szCs w:val="20"/>
          <w:lang w:val="es-ES" w:eastAsia="es-ES"/>
        </w:rPr>
        <w:t xml:space="preserve">CLAVE CATASTRAL ESTÁNDAR: </w:t>
      </w:r>
      <w:r w:rsidRPr="007C15EB">
        <w:rPr>
          <w:rFonts w:eastAsia="Calibri" w:cs="Tahoma"/>
          <w:bCs/>
          <w:i/>
          <w:color w:val="auto"/>
          <w:sz w:val="20"/>
          <w:szCs w:val="20"/>
          <w:lang w:val="es-ES" w:eastAsia="es-ES"/>
        </w:rPr>
        <w:t xml:space="preserve">Código de 31 caracteres conformado por elementos administrativos y que identifica al objeto espacial en forma única para su localización, compuesto por: Estado (2) + Región Catastral (3) + Municipio (3) + Zona Catastral (2) + Localidad (4) + Sector Catastral (3) + </w:t>
      </w:r>
      <w:proofErr w:type="gramStart"/>
      <w:r w:rsidRPr="007C15EB">
        <w:rPr>
          <w:rFonts w:eastAsia="Calibri" w:cs="Tahoma"/>
          <w:bCs/>
          <w:i/>
          <w:color w:val="auto"/>
          <w:sz w:val="20"/>
          <w:szCs w:val="20"/>
          <w:lang w:val="es-ES" w:eastAsia="es-ES"/>
        </w:rPr>
        <w:t>Manzana(</w:t>
      </w:r>
      <w:proofErr w:type="gramEnd"/>
      <w:r w:rsidRPr="007C15EB">
        <w:rPr>
          <w:rFonts w:eastAsia="Calibri" w:cs="Tahoma"/>
          <w:bCs/>
          <w:i/>
          <w:color w:val="auto"/>
          <w:sz w:val="20"/>
          <w:szCs w:val="20"/>
          <w:lang w:val="es-ES" w:eastAsia="es-ES"/>
        </w:rPr>
        <w:t xml:space="preserve">3) + Predio (5) </w:t>
      </w:r>
      <w:proofErr w:type="gramStart"/>
      <w:r w:rsidRPr="007C15EB">
        <w:rPr>
          <w:rFonts w:eastAsia="Calibri" w:cs="Tahoma"/>
          <w:bCs/>
          <w:i/>
          <w:color w:val="auto"/>
          <w:sz w:val="20"/>
          <w:szCs w:val="20"/>
          <w:lang w:val="es-ES" w:eastAsia="es-ES"/>
        </w:rPr>
        <w:t>+  Condominio</w:t>
      </w:r>
      <w:proofErr w:type="gramEnd"/>
      <w:r w:rsidRPr="007C15EB">
        <w:rPr>
          <w:rFonts w:eastAsia="Calibri" w:cs="Tahoma"/>
          <w:bCs/>
          <w:i/>
          <w:color w:val="auto"/>
          <w:sz w:val="20"/>
          <w:szCs w:val="20"/>
          <w:lang w:val="es-ES" w:eastAsia="es-ES"/>
        </w:rPr>
        <w:t>: edificio (2) y unidad (4).</w:t>
      </w:r>
    </w:p>
    <w:p w14:paraId="7D71A437" w14:textId="77777777" w:rsidR="00F66FB0" w:rsidRPr="007C15EB" w:rsidRDefault="00F66FB0" w:rsidP="00F66FB0">
      <w:pPr>
        <w:spacing w:after="0" w:line="360" w:lineRule="auto"/>
        <w:ind w:left="567" w:right="539"/>
        <w:contextualSpacing/>
        <w:rPr>
          <w:rFonts w:eastAsia="Calibri" w:cs="Tahoma"/>
          <w:bCs/>
          <w:i/>
          <w:color w:val="auto"/>
          <w:sz w:val="20"/>
          <w:szCs w:val="20"/>
          <w:lang w:val="es-ES" w:eastAsia="es-ES"/>
        </w:rPr>
      </w:pPr>
    </w:p>
    <w:p w14:paraId="0BB5BFC1" w14:textId="77777777" w:rsidR="00F66FB0" w:rsidRPr="007C15EB" w:rsidRDefault="00F66FB0" w:rsidP="00F66FB0">
      <w:pPr>
        <w:spacing w:after="0" w:line="360" w:lineRule="auto"/>
        <w:ind w:left="567" w:right="539"/>
        <w:contextualSpacing/>
        <w:rPr>
          <w:rFonts w:eastAsia="Calibri" w:cs="Tahoma"/>
          <w:b/>
          <w:bCs/>
          <w:i/>
          <w:color w:val="auto"/>
          <w:sz w:val="20"/>
          <w:szCs w:val="20"/>
          <w:lang w:val="es-ES" w:eastAsia="es-ES"/>
        </w:rPr>
      </w:pPr>
      <w:r w:rsidRPr="007C15EB">
        <w:rPr>
          <w:rFonts w:eastAsia="Calibri" w:cs="Tahoma"/>
          <w:b/>
          <w:bCs/>
          <w:i/>
          <w:color w:val="auto"/>
          <w:sz w:val="20"/>
          <w:szCs w:val="20"/>
          <w:lang w:val="es-ES" w:eastAsia="es-ES"/>
        </w:rPr>
        <w:t xml:space="preserve">CLAVE CATASTRAL ORIGINAL: </w:t>
      </w:r>
      <w:r w:rsidRPr="007C15EB">
        <w:rPr>
          <w:rFonts w:eastAsia="Calibri" w:cs="Tahoma"/>
          <w:bCs/>
          <w:i/>
          <w:color w:val="auto"/>
          <w:sz w:val="20"/>
          <w:szCs w:val="20"/>
          <w:lang w:val="es-ES" w:eastAsia="es-ES"/>
        </w:rPr>
        <w:t>Código que identifica al objeto espacial el cual es asignado, por el Catastro Estatal, Municipal o por el registro Agrario Nacional”</w:t>
      </w:r>
      <w:r w:rsidRPr="007C15EB">
        <w:rPr>
          <w:rFonts w:eastAsia="Calibri" w:cs="Tahoma"/>
          <w:b/>
          <w:bCs/>
          <w:i/>
          <w:color w:val="auto"/>
          <w:sz w:val="20"/>
          <w:szCs w:val="20"/>
          <w:lang w:val="es-ES" w:eastAsia="es-ES"/>
        </w:rPr>
        <w:t xml:space="preserve"> </w:t>
      </w:r>
    </w:p>
    <w:p w14:paraId="568A06A2" w14:textId="77777777" w:rsidR="00F66FB0" w:rsidRPr="007C15EB" w:rsidRDefault="00F66FB0" w:rsidP="00F66FB0">
      <w:pPr>
        <w:spacing w:after="0" w:line="360" w:lineRule="auto"/>
        <w:ind w:right="-93"/>
        <w:contextualSpacing/>
        <w:rPr>
          <w:rFonts w:eastAsia="Calibri" w:cs="Tahoma"/>
          <w:bCs/>
          <w:color w:val="auto"/>
          <w:lang w:val="es-ES" w:eastAsia="es-ES"/>
        </w:rPr>
      </w:pPr>
    </w:p>
    <w:p w14:paraId="082D658C" w14:textId="77777777" w:rsidR="00F66FB0" w:rsidRPr="007C15EB" w:rsidRDefault="00F66FB0" w:rsidP="00F66FB0">
      <w:pPr>
        <w:spacing w:after="0" w:line="360" w:lineRule="auto"/>
        <w:ind w:right="-93"/>
        <w:contextualSpacing/>
        <w:rPr>
          <w:rFonts w:eastAsia="Calibri" w:cs="Tahoma"/>
          <w:b/>
          <w:bCs/>
          <w:color w:val="auto"/>
          <w:lang w:val="es-ES" w:eastAsia="es-ES"/>
        </w:rPr>
      </w:pPr>
      <w:r w:rsidRPr="007C15EB">
        <w:rPr>
          <w:rFonts w:eastAsia="Calibri" w:cs="Tahoma"/>
          <w:bCs/>
          <w:color w:val="auto"/>
          <w:lang w:val="es-ES" w:eastAsia="es-ES"/>
        </w:rPr>
        <w:t xml:space="preserve">Conforme a lo anterior, se advierte que el dato en comento, hace referencia a un predio determinado, que lo hace identificable mediante su localización geográfica e inscripción al padrón catastral de cada entidad federativa, por lo que pudiera revelar información inherente al patrimonio del propietario de dicho predio o inmueble, por lo que de igual manera </w:t>
      </w:r>
      <w:r w:rsidRPr="007C15EB">
        <w:rPr>
          <w:rFonts w:eastAsia="Calibri" w:cs="Tahoma"/>
          <w:b/>
          <w:bCs/>
          <w:color w:val="auto"/>
          <w:lang w:val="es-ES" w:eastAsia="es-ES"/>
        </w:rPr>
        <w:t>procede a clasificar dicho dato como confidencial.</w:t>
      </w:r>
    </w:p>
    <w:p w14:paraId="509D6687" w14:textId="77777777" w:rsidR="00F66FB0" w:rsidRPr="007C15EB" w:rsidRDefault="00F66FB0" w:rsidP="00F66FB0">
      <w:pPr>
        <w:spacing w:after="0" w:line="360" w:lineRule="auto"/>
        <w:ind w:right="-28"/>
        <w:contextualSpacing/>
        <w:rPr>
          <w:rFonts w:eastAsia="Times New Roman" w:cs="Tahoma"/>
          <w:bCs/>
          <w:iCs/>
          <w:color w:val="auto"/>
          <w:lang w:eastAsia="es-ES"/>
        </w:rPr>
      </w:pPr>
    </w:p>
    <w:p w14:paraId="41732B80" w14:textId="77777777" w:rsidR="00F66FB0" w:rsidRPr="007C15EB" w:rsidRDefault="00F66FB0" w:rsidP="00F66FB0">
      <w:pPr>
        <w:numPr>
          <w:ilvl w:val="0"/>
          <w:numId w:val="26"/>
        </w:numPr>
        <w:spacing w:after="0" w:line="360" w:lineRule="auto"/>
        <w:contextualSpacing/>
        <w:jc w:val="left"/>
        <w:rPr>
          <w:rFonts w:eastAsia="Times New Roman" w:cs="Tahoma"/>
          <w:bCs/>
          <w:color w:val="auto"/>
          <w:lang w:eastAsia="es-ES"/>
        </w:rPr>
      </w:pPr>
      <w:r w:rsidRPr="007C15EB">
        <w:rPr>
          <w:rFonts w:eastAsia="Times New Roman" w:cs="Tahoma"/>
          <w:b/>
          <w:bCs/>
          <w:color w:val="auto"/>
          <w:lang w:eastAsia="es-ES"/>
        </w:rPr>
        <w:t>Firma de particulares</w:t>
      </w:r>
    </w:p>
    <w:p w14:paraId="7A589AE6" w14:textId="77777777" w:rsidR="00F66FB0" w:rsidRPr="007C15EB" w:rsidRDefault="00F66FB0" w:rsidP="00F66FB0">
      <w:pPr>
        <w:spacing w:after="0" w:line="360" w:lineRule="auto"/>
        <w:contextualSpacing/>
        <w:rPr>
          <w:rFonts w:eastAsia="Times New Roman" w:cs="Tahoma"/>
          <w:color w:val="auto"/>
          <w:lang w:eastAsia="es-ES"/>
        </w:rPr>
      </w:pPr>
    </w:p>
    <w:p w14:paraId="343B5BBF" w14:textId="77777777" w:rsidR="00F66FB0" w:rsidRPr="007C15EB" w:rsidRDefault="00F66FB0" w:rsidP="00F66FB0">
      <w:pPr>
        <w:spacing w:after="0" w:line="360" w:lineRule="auto"/>
        <w:contextualSpacing/>
        <w:rPr>
          <w:rFonts w:eastAsia="Times New Roman" w:cs="Tahoma"/>
          <w:color w:val="auto"/>
          <w:lang w:eastAsia="es-ES"/>
        </w:rPr>
      </w:pPr>
      <w:r w:rsidRPr="007C15EB">
        <w:rPr>
          <w:rFonts w:eastAsia="Times New Roman" w:cs="Tahoma"/>
          <w:color w:val="auto"/>
          <w:lang w:eastAsia="es-ES"/>
        </w:rPr>
        <w:t>En principio, cabe señalar que la firma corresponde de aquellas personas físicas que recibieron una licencia de construcción, por lo que, no se trata de empleados o servidores públicos de este, </w:t>
      </w:r>
      <w:r w:rsidRPr="007C15EB">
        <w:rPr>
          <w:rFonts w:eastAsia="Times New Roman" w:cs="Tahoma"/>
          <w:b/>
          <w:bCs/>
          <w:color w:val="auto"/>
          <w:lang w:eastAsia="es-ES"/>
        </w:rPr>
        <w:t>sino de particulares.</w:t>
      </w:r>
    </w:p>
    <w:p w14:paraId="643B8155" w14:textId="77777777" w:rsidR="00F66FB0" w:rsidRPr="007C15EB" w:rsidRDefault="00F66FB0" w:rsidP="00F66FB0">
      <w:pPr>
        <w:spacing w:after="0" w:line="360" w:lineRule="auto"/>
        <w:contextualSpacing/>
        <w:rPr>
          <w:rFonts w:eastAsia="Times New Roman" w:cs="Tahoma"/>
          <w:color w:val="auto"/>
          <w:lang w:eastAsia="es-ES"/>
        </w:rPr>
      </w:pPr>
      <w:r w:rsidRPr="007C15EB">
        <w:rPr>
          <w:rFonts w:eastAsia="Times New Roman" w:cs="Tahoma"/>
          <w:color w:val="auto"/>
          <w:lang w:eastAsia="es-ES"/>
        </w:rPr>
        <w:t> </w:t>
      </w:r>
    </w:p>
    <w:p w14:paraId="59DD76A4" w14:textId="77777777" w:rsidR="00F66FB0" w:rsidRPr="007C15EB" w:rsidRDefault="00F66FB0" w:rsidP="00F66FB0">
      <w:pPr>
        <w:spacing w:after="0" w:line="360" w:lineRule="auto"/>
        <w:contextualSpacing/>
        <w:rPr>
          <w:rFonts w:eastAsia="Times New Roman" w:cs="Tahoma"/>
          <w:color w:val="auto"/>
          <w:lang w:eastAsia="es-ES"/>
        </w:rPr>
      </w:pPr>
      <w:r w:rsidRPr="007C15EB">
        <w:rPr>
          <w:rFonts w:eastAsia="Times New Roman" w:cs="Tahoma"/>
          <w:color w:val="auto"/>
          <w:lang w:eastAsia="es-ES"/>
        </w:rPr>
        <w:lastRenderedPageBreak/>
        <w:t>En ese contexto, la firma es considerada un dato personal, al tratarse de información gráfica a través de la cual su titular exterioriza su voluntad en actos públicos y privados; por lo que, al tratarse de un dato concerniente a una persona física, es considerada confidencial</w:t>
      </w:r>
      <w:r w:rsidRPr="007C15EB">
        <w:rPr>
          <w:rFonts w:eastAsia="Times New Roman" w:cs="Tahoma"/>
          <w:b/>
          <w:bCs/>
          <w:color w:val="auto"/>
          <w:lang w:eastAsia="es-ES"/>
        </w:rPr>
        <w:t>, ya que también haría identificable a los individuos en cuestión.</w:t>
      </w:r>
    </w:p>
    <w:p w14:paraId="201D4679" w14:textId="77777777" w:rsidR="00F66FB0" w:rsidRPr="007C15EB" w:rsidRDefault="00F66FB0" w:rsidP="00F66FB0">
      <w:pPr>
        <w:spacing w:after="0" w:line="360" w:lineRule="auto"/>
        <w:contextualSpacing/>
        <w:rPr>
          <w:rFonts w:eastAsia="Times New Roman" w:cs="Tahoma"/>
          <w:color w:val="auto"/>
          <w:lang w:eastAsia="es-ES"/>
        </w:rPr>
      </w:pPr>
      <w:r w:rsidRPr="007C15EB">
        <w:rPr>
          <w:rFonts w:eastAsia="Times New Roman" w:cs="Tahoma"/>
          <w:color w:val="auto"/>
          <w:lang w:eastAsia="es-ES"/>
        </w:rPr>
        <w:t> </w:t>
      </w:r>
    </w:p>
    <w:p w14:paraId="1E256215" w14:textId="77777777" w:rsidR="00F66FB0" w:rsidRPr="007C15EB" w:rsidRDefault="00F66FB0" w:rsidP="00F66FB0">
      <w:pPr>
        <w:spacing w:after="0" w:line="360" w:lineRule="auto"/>
        <w:contextualSpacing/>
        <w:rPr>
          <w:rFonts w:eastAsia="Times New Roman" w:cs="Tahoma"/>
          <w:color w:val="auto"/>
          <w:lang w:eastAsia="es-ES"/>
        </w:rPr>
      </w:pPr>
      <w:r w:rsidRPr="007C15EB">
        <w:rPr>
          <w:rFonts w:eastAsia="Times New Roman" w:cs="Tahoma"/>
          <w:color w:val="auto"/>
          <w:lang w:eastAsia="es-ES"/>
        </w:rPr>
        <w:t>Además, aún y cuando se encuentra asentada en un documento público, elaborado en ejercicio de las facultades con las que cuenta el sujeto obligado, pues con este acredita la autorización para realizar una construcción, lo cierto es que es un dato que exterioriza su voluntad y aceptación de esta; por lo que, se actualiza la causal de clasificación establecida en el artículo 143, fracción I, de la Ley de Transparencia y Acceso a la Información Pública del Estado de México y Municipios.</w:t>
      </w:r>
    </w:p>
    <w:p w14:paraId="463A8D24" w14:textId="70BA04D6" w:rsidR="00F66FB0" w:rsidRPr="007C15EB" w:rsidRDefault="00F66FB0" w:rsidP="00510420">
      <w:pPr>
        <w:spacing w:after="0" w:line="360" w:lineRule="auto"/>
        <w:contextualSpacing/>
        <w:rPr>
          <w:rFonts w:eastAsia="Times New Roman" w:cs="Times New Roman"/>
          <w:bCs/>
          <w:iCs/>
          <w:color w:val="auto"/>
          <w:lang w:eastAsia="es-ES"/>
        </w:rPr>
      </w:pPr>
    </w:p>
    <w:p w14:paraId="0A2679EB" w14:textId="77777777" w:rsidR="00F66FB0" w:rsidRPr="007C15EB" w:rsidRDefault="00F66FB0" w:rsidP="00F66FB0">
      <w:pPr>
        <w:numPr>
          <w:ilvl w:val="0"/>
          <w:numId w:val="27"/>
        </w:numPr>
        <w:tabs>
          <w:tab w:val="center" w:pos="4522"/>
        </w:tabs>
        <w:spacing w:after="0" w:line="360" w:lineRule="auto"/>
        <w:contextualSpacing/>
        <w:rPr>
          <w:rFonts w:eastAsia="Times New Roman" w:cs="Times New Roman"/>
          <w:b/>
          <w:color w:val="000000"/>
          <w:szCs w:val="24"/>
          <w:lang w:eastAsia="es-ES"/>
        </w:rPr>
      </w:pPr>
      <w:r w:rsidRPr="007C15EB">
        <w:rPr>
          <w:rFonts w:eastAsia="Times New Roman" w:cs="Times New Roman"/>
          <w:b/>
          <w:color w:val="000000"/>
          <w:szCs w:val="24"/>
          <w:lang w:eastAsia="es-ES"/>
        </w:rPr>
        <w:t>Clave de Elector</w:t>
      </w:r>
    </w:p>
    <w:p w14:paraId="011FF4D5" w14:textId="77777777" w:rsidR="00F66FB0" w:rsidRPr="007C15EB" w:rsidRDefault="00F66FB0" w:rsidP="00F66FB0">
      <w:pPr>
        <w:tabs>
          <w:tab w:val="center" w:pos="4522"/>
        </w:tabs>
        <w:spacing w:after="0" w:line="360" w:lineRule="auto"/>
        <w:rPr>
          <w:color w:val="000000"/>
        </w:rPr>
      </w:pPr>
    </w:p>
    <w:p w14:paraId="4200354B" w14:textId="77777777" w:rsidR="00F66FB0" w:rsidRPr="007C15EB" w:rsidRDefault="00F66FB0" w:rsidP="00F66FB0">
      <w:pPr>
        <w:spacing w:after="0" w:line="360" w:lineRule="auto"/>
        <w:rPr>
          <w:rFonts w:eastAsia="Calibri" w:cs="Times New Roman"/>
          <w:bCs/>
          <w:color w:val="000000"/>
          <w:lang w:eastAsia="en-US"/>
        </w:rPr>
      </w:pPr>
      <w:r w:rsidRPr="007C15EB">
        <w:rPr>
          <w:rFonts w:eastAsia="Calibri" w:cs="Times New Roman"/>
          <w:bCs/>
          <w:color w:val="000000"/>
          <w:lang w:eastAsia="en-US"/>
        </w:rPr>
        <w:t xml:space="preserve">Al respecto, se localizó el Acuerdo del Consejo General del Instituto Federal Electoral, por el que se aprueban diversas disposiciones relativas a la forma y contenido de la Lista nominal de electores residentes en el extranjero, donde establece que la clave de elector, se conforma por las consonantes iniciales de los apellidos y el nombre del elector, seguido de su fecha de nacimiento (dos dígitos para el año, dos dígitos para el mes, dos dígitos para el día), número de la entidad federativa de nacimiento, letra que identifica el género y una </w:t>
      </w:r>
      <w:proofErr w:type="spellStart"/>
      <w:r w:rsidRPr="007C15EB">
        <w:rPr>
          <w:rFonts w:eastAsia="Calibri" w:cs="Times New Roman"/>
          <w:bCs/>
          <w:color w:val="000000"/>
          <w:lang w:eastAsia="en-US"/>
        </w:rPr>
        <w:t>homoclave</w:t>
      </w:r>
      <w:proofErr w:type="spellEnd"/>
      <w:r w:rsidRPr="007C15EB">
        <w:rPr>
          <w:rFonts w:eastAsia="Calibri" w:cs="Times New Roman"/>
          <w:bCs/>
          <w:color w:val="000000"/>
          <w:lang w:eastAsia="en-US"/>
        </w:rPr>
        <w:t xml:space="preserve"> compuesta de tres dígitos, dando un total de 18 caracteres.</w:t>
      </w:r>
    </w:p>
    <w:p w14:paraId="1D0954A4" w14:textId="77777777" w:rsidR="00F66FB0" w:rsidRPr="007C15EB" w:rsidRDefault="00F66FB0" w:rsidP="00F66FB0">
      <w:pPr>
        <w:shd w:val="clear" w:color="auto" w:fill="FFFFFF"/>
        <w:spacing w:after="0" w:line="360" w:lineRule="auto"/>
        <w:rPr>
          <w:rFonts w:eastAsia="Calibri" w:cs="Tahoma"/>
          <w:bCs/>
          <w:iCs/>
          <w:color w:val="auto"/>
          <w:lang w:eastAsia="en-US"/>
        </w:rPr>
      </w:pPr>
    </w:p>
    <w:p w14:paraId="0A00E715" w14:textId="77777777" w:rsidR="00F66FB0" w:rsidRPr="007C15EB" w:rsidRDefault="00F66FB0" w:rsidP="00F66FB0">
      <w:pPr>
        <w:spacing w:after="0" w:line="360" w:lineRule="auto"/>
        <w:rPr>
          <w:rFonts w:eastAsia="Calibri" w:cs="Times New Roman"/>
          <w:bCs/>
          <w:color w:val="000000"/>
          <w:lang w:eastAsia="en-US"/>
        </w:rPr>
      </w:pPr>
      <w:r w:rsidRPr="007C15EB">
        <w:rPr>
          <w:rFonts w:eastAsia="Calibri" w:cs="Times New Roman"/>
          <w:bCs/>
          <w:color w:val="000000"/>
          <w:lang w:eastAsia="en-US"/>
        </w:rPr>
        <w:t>Conforme a lo anterior, se puede advertir que con la clave de elector, se podrían obtener indicios o datos completos de una persona, que la podría ser identificada e identificable, pues se podría inferir el nombre de la persona, así como, su fecha y entidad de nacimiento, los cuales son considerados de su vida privada.</w:t>
      </w:r>
    </w:p>
    <w:p w14:paraId="0BF4131F" w14:textId="26AE03FA" w:rsidR="00510420" w:rsidRPr="007C15EB" w:rsidRDefault="00F66FB0" w:rsidP="00F66FB0">
      <w:pPr>
        <w:autoSpaceDE w:val="0"/>
        <w:autoSpaceDN w:val="0"/>
        <w:adjustRightInd w:val="0"/>
        <w:spacing w:after="0" w:line="360" w:lineRule="auto"/>
        <w:rPr>
          <w:rFonts w:eastAsia="Calibri" w:cs="Tahoma"/>
          <w:color w:val="000000"/>
          <w:szCs w:val="24"/>
          <w:lang w:eastAsia="en-US"/>
        </w:rPr>
      </w:pPr>
      <w:r w:rsidRPr="007C15EB">
        <w:rPr>
          <w:rFonts w:eastAsia="Calibri" w:cs="Times New Roman"/>
          <w:bCs/>
          <w:color w:val="000000"/>
          <w:lang w:eastAsia="en-US"/>
        </w:rPr>
        <w:lastRenderedPageBreak/>
        <w:t>Por lo tanto, al ser un dato que hace reconocible a una persona física, resulta procedente su clasificación como información confidencial en términos de lo dispuesto por el artículo 143, fracción I de la Ley de Transparencia y Acceso a la Información Pública del Estado de México y Municipios, así</w:t>
      </w:r>
      <w:r w:rsidRPr="007C15EB">
        <w:rPr>
          <w:rFonts w:eastAsia="Times New Roman" w:cs="Tahoma"/>
          <w:bCs/>
          <w:iCs/>
          <w:color w:val="auto"/>
        </w:rPr>
        <w:t>, se logra vislumbrar que el Sujeto Obligado testó de manera correcta, la clave de elector.</w:t>
      </w:r>
    </w:p>
    <w:p w14:paraId="64542A9F" w14:textId="77777777" w:rsidR="00510420" w:rsidRPr="007C15EB" w:rsidRDefault="00510420" w:rsidP="008C5210">
      <w:pPr>
        <w:autoSpaceDE w:val="0"/>
        <w:autoSpaceDN w:val="0"/>
        <w:adjustRightInd w:val="0"/>
        <w:spacing w:after="0" w:line="360" w:lineRule="auto"/>
        <w:rPr>
          <w:rFonts w:eastAsia="Calibri" w:cs="Tahoma"/>
          <w:color w:val="000000"/>
          <w:szCs w:val="24"/>
          <w:lang w:eastAsia="en-US"/>
        </w:rPr>
      </w:pPr>
    </w:p>
    <w:p w14:paraId="0EEE4A5A" w14:textId="7FC742FF" w:rsidR="00701E73" w:rsidRPr="007C15EB" w:rsidRDefault="00701E73" w:rsidP="00AD1A4A">
      <w:pPr>
        <w:spacing w:after="0" w:line="360" w:lineRule="auto"/>
        <w:rPr>
          <w:color w:val="000000"/>
        </w:rPr>
      </w:pPr>
      <w:r w:rsidRPr="007C15EB">
        <w:rPr>
          <w:color w:val="auto"/>
        </w:rPr>
        <w:t xml:space="preserve">Ahora bien, de la revisión de los documentos entregados en Informe Justificado, se logra vislumbrar que los datos </w:t>
      </w:r>
      <w:r w:rsidR="00AD1A4A" w:rsidRPr="007C15EB">
        <w:rPr>
          <w:color w:val="auto"/>
        </w:rPr>
        <w:t>testados son accesibles, por dicho motivo no fueron puestos a la vista de la Persona Recurrente;</w:t>
      </w:r>
      <w:r w:rsidRPr="007C15EB">
        <w:rPr>
          <w:color w:val="000000"/>
        </w:rPr>
        <w:t xml:space="preserve"> por lo que es necesario traer a colación los Lineamientos Generales en materia de clasificación y desclasificación de la Información, así como para la elaboración de versiones públicas,</w:t>
      </w:r>
      <w:r w:rsidR="00AD1A4A" w:rsidRPr="007C15EB">
        <w:rPr>
          <w:color w:val="000000"/>
        </w:rPr>
        <w:t xml:space="preserve"> que</w:t>
      </w:r>
      <w:r w:rsidRPr="007C15EB">
        <w:rPr>
          <w:color w:val="000000"/>
        </w:rPr>
        <w:t xml:space="preserve"> establecen los requisitos que deben cumplir las versiones públicas, tal como se muestra a continuación:</w:t>
      </w:r>
    </w:p>
    <w:p w14:paraId="66A7299F" w14:textId="77777777" w:rsidR="00701E73" w:rsidRPr="007C15EB" w:rsidRDefault="00701E73" w:rsidP="00701E73">
      <w:pPr>
        <w:spacing w:after="0" w:line="360" w:lineRule="auto"/>
        <w:rPr>
          <w:color w:val="000000"/>
        </w:rPr>
      </w:pPr>
    </w:p>
    <w:p w14:paraId="35F4AB2E" w14:textId="77777777" w:rsidR="00701E73" w:rsidRPr="007C15EB" w:rsidRDefault="00701E73" w:rsidP="00AD1A4A">
      <w:pPr>
        <w:numPr>
          <w:ilvl w:val="0"/>
          <w:numId w:val="28"/>
        </w:numPr>
        <w:spacing w:after="0" w:line="360" w:lineRule="auto"/>
        <w:rPr>
          <w:b/>
          <w:bCs/>
          <w:color w:val="000000"/>
        </w:rPr>
      </w:pPr>
      <w:r w:rsidRPr="007C15EB">
        <w:rPr>
          <w:b/>
          <w:bCs/>
          <w:color w:val="000000"/>
        </w:rPr>
        <w:t xml:space="preserve">(Quincuagésimo octavo): </w:t>
      </w:r>
      <w:r w:rsidRPr="007C15EB">
        <w:rPr>
          <w:color w:val="000000"/>
        </w:rPr>
        <w:t>Los sujetos obligados garantizarán que los sistemas o medios empleados para eliminar la información en las versiones públicas</w:t>
      </w:r>
      <w:r w:rsidRPr="007C15EB">
        <w:rPr>
          <w:b/>
          <w:bCs/>
          <w:color w:val="000000"/>
        </w:rPr>
        <w:t xml:space="preserve"> no permitan la recuperación o visualización de la misma.</w:t>
      </w:r>
    </w:p>
    <w:p w14:paraId="0657C534" w14:textId="77777777" w:rsidR="00701E73" w:rsidRPr="007C15EB" w:rsidRDefault="00701E73" w:rsidP="00AD1A4A">
      <w:pPr>
        <w:spacing w:after="0" w:line="360" w:lineRule="auto"/>
        <w:rPr>
          <w:b/>
          <w:bCs/>
          <w:color w:val="000000"/>
        </w:rPr>
      </w:pPr>
    </w:p>
    <w:p w14:paraId="703505EC" w14:textId="460F21CC" w:rsidR="00701E73" w:rsidRPr="007C15EB" w:rsidRDefault="00701E73" w:rsidP="00AD1A4A">
      <w:pPr>
        <w:numPr>
          <w:ilvl w:val="0"/>
          <w:numId w:val="28"/>
        </w:numPr>
        <w:spacing w:after="0" w:line="360" w:lineRule="auto"/>
        <w:rPr>
          <w:b/>
          <w:bCs/>
          <w:color w:val="000000"/>
        </w:rPr>
      </w:pPr>
      <w:r w:rsidRPr="007C15EB">
        <w:rPr>
          <w:b/>
          <w:bCs/>
          <w:color w:val="000000"/>
        </w:rPr>
        <w:t xml:space="preserve">(Sexagésimo): </w:t>
      </w:r>
      <w:r w:rsidRPr="007C15EB">
        <w:rPr>
          <w:color w:val="000000"/>
        </w:rPr>
        <w:t>En el caso de que el documento se posea en formato electrónico, deberá crearse un nuevo archivo electrónico para que sobre el mismo se elabore una versión pública, eliminando las partes o secciones clasificadas, de acuerdo con el modelo para testar documentos electrónicos, denominado “Modelo para testar documentos electrónicos”</w:t>
      </w:r>
      <w:r w:rsidR="00AD1A4A" w:rsidRPr="007C15EB">
        <w:rPr>
          <w:color w:val="000000"/>
        </w:rPr>
        <w:t>.</w:t>
      </w:r>
    </w:p>
    <w:p w14:paraId="3D312B1E" w14:textId="77777777" w:rsidR="00701E73" w:rsidRPr="007C15EB" w:rsidRDefault="00701E73" w:rsidP="00701E73">
      <w:pPr>
        <w:spacing w:after="0" w:line="360" w:lineRule="auto"/>
        <w:rPr>
          <w:b/>
          <w:bCs/>
          <w:color w:val="000000"/>
        </w:rPr>
      </w:pPr>
    </w:p>
    <w:p w14:paraId="3C6AABF2" w14:textId="77777777" w:rsidR="00701E73" w:rsidRPr="007C15EB" w:rsidRDefault="00701E73" w:rsidP="00701E73">
      <w:pPr>
        <w:numPr>
          <w:ilvl w:val="0"/>
          <w:numId w:val="28"/>
        </w:numPr>
        <w:spacing w:after="0" w:line="360" w:lineRule="auto"/>
        <w:jc w:val="left"/>
        <w:rPr>
          <w:b/>
          <w:bCs/>
          <w:color w:val="000000"/>
        </w:rPr>
      </w:pPr>
      <w:r w:rsidRPr="007C15EB">
        <w:rPr>
          <w:b/>
          <w:bCs/>
          <w:color w:val="000000"/>
        </w:rPr>
        <w:t xml:space="preserve">(Sexagésimo primero): </w:t>
      </w:r>
      <w:r w:rsidRPr="007C15EB">
        <w:rPr>
          <w:color w:val="000000"/>
        </w:rPr>
        <w:t xml:space="preserve">En la parte del documento donde se hubiese ubicado originalmente el texto eliminado, deberá insertarse un cuadro de texto en color distinto al utilizado en el resto del documento con la palabra "Eliminado", el tipo de </w:t>
      </w:r>
      <w:r w:rsidRPr="007C15EB">
        <w:rPr>
          <w:color w:val="000000"/>
        </w:rPr>
        <w:lastRenderedPageBreak/>
        <w:t>dato o información cancelado y señalarse si la omisión es una palabra, reglón o párrafo; así como, e fundamento legal.</w:t>
      </w:r>
    </w:p>
    <w:p w14:paraId="635348E4" w14:textId="77777777" w:rsidR="00701E73" w:rsidRPr="007C15EB" w:rsidRDefault="00701E73" w:rsidP="00701E73">
      <w:pPr>
        <w:spacing w:after="0" w:line="360" w:lineRule="auto"/>
        <w:rPr>
          <w:color w:val="000000"/>
        </w:rPr>
      </w:pPr>
    </w:p>
    <w:p w14:paraId="0D2034D6" w14:textId="77777777" w:rsidR="00701E73" w:rsidRPr="007C15EB" w:rsidRDefault="00701E73" w:rsidP="00701E73">
      <w:pPr>
        <w:spacing w:after="0" w:line="360" w:lineRule="auto"/>
        <w:rPr>
          <w:color w:val="000000"/>
        </w:rPr>
      </w:pPr>
      <w:r w:rsidRPr="007C15EB">
        <w:rPr>
          <w:color w:val="000000"/>
        </w:rPr>
        <w:t>Como se logra observar, cuando se elabora una versión pública, se debe generar conforme a los requisitos previamente referidos en los Lineamientos Generales; lo cual no acontece en el presente caso, pues el Sujeto Obligado generó la documentación de manera tal que se pueden acceder a los datos y por tal circunstancia, tampoco se pudieron dar a la vista del Particular, por lo que, deberá generar los documentos tomando en consideración lo señalado en párrafos anteriores.</w:t>
      </w:r>
    </w:p>
    <w:p w14:paraId="289FE10D" w14:textId="77777777" w:rsidR="00701E73" w:rsidRPr="007C15EB" w:rsidRDefault="00701E73" w:rsidP="008C5210">
      <w:pPr>
        <w:autoSpaceDE w:val="0"/>
        <w:autoSpaceDN w:val="0"/>
        <w:adjustRightInd w:val="0"/>
        <w:spacing w:after="0" w:line="360" w:lineRule="auto"/>
        <w:rPr>
          <w:rFonts w:eastAsia="Calibri" w:cs="Tahoma"/>
          <w:color w:val="000000"/>
          <w:szCs w:val="24"/>
          <w:lang w:eastAsia="en-US"/>
        </w:rPr>
      </w:pPr>
    </w:p>
    <w:p w14:paraId="64F5FCCE" w14:textId="79361757" w:rsidR="00670C1F" w:rsidRPr="007C15EB" w:rsidRDefault="00670C1F" w:rsidP="00670C1F">
      <w:pPr>
        <w:spacing w:after="0" w:line="360" w:lineRule="auto"/>
        <w:contextualSpacing/>
        <w:rPr>
          <w:rFonts w:eastAsia="Calibri" w:cs="Tahoma"/>
          <w:bCs/>
          <w:color w:val="auto"/>
          <w:lang w:val="es-ES" w:eastAsia="es-ES"/>
        </w:rPr>
      </w:pPr>
      <w:r w:rsidRPr="007C15EB">
        <w:rPr>
          <w:rFonts w:eastAsia="Calibri" w:cs="Tahoma"/>
          <w:bCs/>
          <w:color w:val="auto"/>
          <w:lang w:val="es-ES_tradnl" w:eastAsia="es-ES"/>
        </w:rPr>
        <w:t xml:space="preserve">Conforme a lo expuesto, el Sujeto Obligado, deberá entregar las licencias </w:t>
      </w:r>
      <w:r w:rsidR="00DE75A1" w:rsidRPr="007C15EB">
        <w:rPr>
          <w:rFonts w:eastAsia="Calibri" w:cs="Tahoma"/>
          <w:bCs/>
          <w:color w:val="auto"/>
          <w:lang w:val="es-ES_tradnl" w:eastAsia="es-ES"/>
        </w:rPr>
        <w:t>y cédulas requeridas</w:t>
      </w:r>
      <w:r w:rsidRPr="007C15EB">
        <w:rPr>
          <w:rFonts w:eastAsia="Calibri" w:cs="Tahoma"/>
          <w:bCs/>
          <w:color w:val="auto"/>
          <w:lang w:val="es-ES_tradnl" w:eastAsia="es-ES"/>
        </w:rPr>
        <w:t xml:space="preserve">, en versión pública; lo anterior, de conformidad con el </w:t>
      </w:r>
      <w:r w:rsidRPr="007C15EB">
        <w:rPr>
          <w:rFonts w:eastAsia="Calibri" w:cs="Tahoma"/>
          <w:bCs/>
          <w:color w:val="auto"/>
          <w:lang w:val="es-ES" w:eastAsia="es-ES"/>
        </w:rPr>
        <w:t xml:space="preserve">artículo 3°, fracción XLV, relacionado con el 137, ambos de la Ley de Transparencia y Acceso a la Información Pública del Estado de México y Municipios, que precisa que cuando un documento contenga información pública y confidencial, la Unidad de Transparencia para efectos de atender al requerimiento informativo, deberá elaborar una versión Pública en la que se testen las partes o secciones clasificadas, indicando su contenido de manera genérica y fundando y motivando su clasificación. </w:t>
      </w:r>
    </w:p>
    <w:p w14:paraId="3575E330" w14:textId="77777777" w:rsidR="00693FC8" w:rsidRPr="007C15EB" w:rsidRDefault="00693FC8" w:rsidP="00765D3A">
      <w:pPr>
        <w:widowControl w:val="0"/>
        <w:autoSpaceDE w:val="0"/>
        <w:autoSpaceDN w:val="0"/>
        <w:adjustRightInd w:val="0"/>
        <w:spacing w:after="0" w:line="360" w:lineRule="auto"/>
        <w:contextualSpacing/>
      </w:pPr>
    </w:p>
    <w:p w14:paraId="0CCF70E8" w14:textId="77777777" w:rsidR="00D1318A" w:rsidRPr="007C15EB" w:rsidRDefault="00D1318A" w:rsidP="00D7021E">
      <w:pPr>
        <w:pStyle w:val="Ttulo2"/>
        <w:spacing w:before="0" w:after="0" w:line="360" w:lineRule="auto"/>
        <w:rPr>
          <w:sz w:val="22"/>
          <w:szCs w:val="22"/>
        </w:rPr>
      </w:pPr>
      <w:bookmarkStart w:id="13" w:name="_Toc234506074"/>
      <w:r w:rsidRPr="007C15EB">
        <w:rPr>
          <w:sz w:val="22"/>
          <w:szCs w:val="22"/>
        </w:rPr>
        <w:t>SEXTO. Decisión</w:t>
      </w:r>
      <w:bookmarkEnd w:id="13"/>
    </w:p>
    <w:p w14:paraId="0D2B29DC" w14:textId="77777777" w:rsidR="00D1318A" w:rsidRPr="007C15EB" w:rsidRDefault="00D1318A" w:rsidP="00D7021E">
      <w:pPr>
        <w:spacing w:after="0" w:line="360" w:lineRule="auto"/>
        <w:contextualSpacing/>
        <w:rPr>
          <w:rFonts w:eastAsia="Calibri" w:cs="Tahoma"/>
          <w:b/>
        </w:rPr>
      </w:pPr>
    </w:p>
    <w:p w14:paraId="4BF18B87" w14:textId="62E977D2" w:rsidR="00D1318A" w:rsidRPr="007C15EB" w:rsidRDefault="00D1318A" w:rsidP="00D7021E">
      <w:pPr>
        <w:spacing w:after="0" w:line="360" w:lineRule="auto"/>
      </w:pPr>
      <w:r w:rsidRPr="007C15EB">
        <w:t xml:space="preserve">De acuerdo con lo expuesto y, con fundamento en el artículo 186, fracción III, de la Ley de Transparencia y Acceso a la Información Pública del Estado de México y Municipios, este Instituto considera procedente </w:t>
      </w:r>
      <w:r w:rsidR="008E1F22" w:rsidRPr="007C15EB">
        <w:rPr>
          <w:b/>
          <w:bCs/>
        </w:rPr>
        <w:t>MODIFI</w:t>
      </w:r>
      <w:r w:rsidR="006F33A7" w:rsidRPr="007C15EB">
        <w:rPr>
          <w:b/>
          <w:bCs/>
        </w:rPr>
        <w:t>CAR</w:t>
      </w:r>
      <w:r w:rsidRPr="007C15EB">
        <w:rPr>
          <w:b/>
        </w:rPr>
        <w:t xml:space="preserve"> </w:t>
      </w:r>
      <w:r w:rsidR="0022210D" w:rsidRPr="007C15EB">
        <w:t>la</w:t>
      </w:r>
      <w:r w:rsidRPr="007C15EB">
        <w:t xml:space="preserve"> resp</w:t>
      </w:r>
      <w:r w:rsidR="00655068" w:rsidRPr="007C15EB">
        <w:t>uesta del</w:t>
      </w:r>
      <w:r w:rsidR="008E1F22" w:rsidRPr="007C15EB">
        <w:t xml:space="preserve"> Ayuntamiento de Tianguistenco</w:t>
      </w:r>
      <w:r w:rsidRPr="007C15EB">
        <w:rPr>
          <w:b/>
        </w:rPr>
        <w:t xml:space="preserve">, </w:t>
      </w:r>
      <w:r w:rsidRPr="007C15EB">
        <w:t xml:space="preserve">a efecto de que </w:t>
      </w:r>
      <w:r w:rsidR="004076BD" w:rsidRPr="007C15EB">
        <w:t xml:space="preserve">entregue la información </w:t>
      </w:r>
      <w:r w:rsidR="00F0031F" w:rsidRPr="007C15EB">
        <w:t>solicitada</w:t>
      </w:r>
      <w:r w:rsidR="00715343" w:rsidRPr="007C15EB">
        <w:t>.</w:t>
      </w:r>
    </w:p>
    <w:p w14:paraId="4C5962E3" w14:textId="77777777" w:rsidR="00EE6479" w:rsidRPr="007C15EB" w:rsidRDefault="00EE6479" w:rsidP="00D7021E">
      <w:pPr>
        <w:spacing w:after="0" w:line="360" w:lineRule="auto"/>
      </w:pPr>
    </w:p>
    <w:p w14:paraId="7C8A064A" w14:textId="77777777" w:rsidR="00EE6479" w:rsidRPr="007C15EB" w:rsidRDefault="00EE6479" w:rsidP="00666B8B">
      <w:pPr>
        <w:pStyle w:val="Ttulo2"/>
        <w:rPr>
          <w:sz w:val="22"/>
        </w:rPr>
      </w:pPr>
      <w:bookmarkStart w:id="14" w:name="_Toc229586701"/>
      <w:bookmarkStart w:id="15" w:name="_Toc234506075"/>
      <w:r w:rsidRPr="007C15EB">
        <w:rPr>
          <w:sz w:val="22"/>
        </w:rPr>
        <w:lastRenderedPageBreak/>
        <w:t>SÉPTIMO. Vista a la Dirección General de Protección de Datos Personales</w:t>
      </w:r>
      <w:bookmarkEnd w:id="14"/>
      <w:bookmarkEnd w:id="15"/>
    </w:p>
    <w:p w14:paraId="56204C81" w14:textId="77777777" w:rsidR="00EE6479" w:rsidRPr="007C15EB" w:rsidRDefault="00EE6479" w:rsidP="00EE6479">
      <w:pPr>
        <w:spacing w:after="0" w:line="360" w:lineRule="auto"/>
        <w:rPr>
          <w:rFonts w:cs="Tahoma"/>
          <w:bCs/>
          <w:iCs/>
        </w:rPr>
      </w:pPr>
    </w:p>
    <w:p w14:paraId="3023C203" w14:textId="0A3AB06B" w:rsidR="00EE6479" w:rsidRPr="007C15EB" w:rsidRDefault="00EE6479" w:rsidP="00EE6479">
      <w:pPr>
        <w:spacing w:after="0" w:line="360" w:lineRule="auto"/>
        <w:rPr>
          <w:rFonts w:cs="Tahoma"/>
          <w:bCs/>
          <w:iCs/>
        </w:rPr>
      </w:pPr>
      <w:r w:rsidRPr="007C15EB">
        <w:rPr>
          <w:rFonts w:cs="Tahoma"/>
          <w:bCs/>
          <w:iCs/>
        </w:rPr>
        <w:t>Ahora bien, toda vez que el Sujeto Obligado en todos los archivos que emitió en respuesta contiene el nombre particular de los titulares de las cédulas y licencias, circunstancias que vulneran lo previsto en el artículo 143, fracción I, de la Ley de Transparencia y Acceso a la Información Pública del Estado de México y Municipios. Por lo tanto, el Ente Recurrido, inobservó la Ley de Transparencia y Acceso a la Información Pública del Estado de México y Municipios y la Ley de Protección de Datos Personales en Posesión de Sujetos Obligados del Estado de México y Municipios.</w:t>
      </w:r>
    </w:p>
    <w:p w14:paraId="66D6BC10" w14:textId="77777777" w:rsidR="00EE6479" w:rsidRPr="007C15EB" w:rsidRDefault="00EE6479" w:rsidP="00EE6479">
      <w:pPr>
        <w:spacing w:after="0" w:line="360" w:lineRule="auto"/>
        <w:rPr>
          <w:rFonts w:cs="Tahoma"/>
          <w:bCs/>
          <w:iCs/>
        </w:rPr>
      </w:pPr>
      <w:r w:rsidRPr="007C15EB">
        <w:rPr>
          <w:rFonts w:cs="Tahoma"/>
          <w:bCs/>
          <w:iCs/>
        </w:rPr>
        <w:t> </w:t>
      </w:r>
    </w:p>
    <w:p w14:paraId="1C337130" w14:textId="56F99CE2" w:rsidR="00EE6479" w:rsidRPr="007C15EB" w:rsidRDefault="00EE6479" w:rsidP="00EE6479">
      <w:pPr>
        <w:spacing w:after="0" w:line="360" w:lineRule="auto"/>
        <w:rPr>
          <w:b/>
          <w:bCs/>
        </w:rPr>
      </w:pPr>
      <w:r w:rsidRPr="007C15EB">
        <w:rPr>
          <w:rFonts w:cs="Tahoma"/>
          <w:bCs/>
          <w:iCs/>
        </w:rPr>
        <w:t>Sobre el particular, si bien, la presente resolución no tiene por objetivo investigar y determinar posibles violaciones al derecho de acceso a la información; toda vez que este Organismo Autónomo, advirtió la posible publicación de información de datos personales, se considera procedente dar vista a la Dirección General de Protección de Datos Personales de este Instituto con fundamento en el artículo 24, fracciones XI, XII y XIII del Reglamento Interior del Instituto de Transparencia, Acceso a la Información Pública y Protección de Datos Personales del Estado de México y Municipios, a fin de llevar a cabo el procedimiento que conforme a Derecho corresponda.</w:t>
      </w:r>
    </w:p>
    <w:p w14:paraId="13D4A44D" w14:textId="77777777" w:rsidR="004306AC" w:rsidRPr="007C15EB" w:rsidRDefault="004306AC" w:rsidP="00D7021E">
      <w:pPr>
        <w:spacing w:after="0" w:line="360" w:lineRule="auto"/>
      </w:pPr>
    </w:p>
    <w:p w14:paraId="0C829323" w14:textId="77777777" w:rsidR="00D1318A" w:rsidRPr="007C15EB" w:rsidRDefault="00D1318A" w:rsidP="00D7021E">
      <w:pPr>
        <w:spacing w:after="0" w:line="360" w:lineRule="auto"/>
        <w:contextualSpacing/>
        <w:rPr>
          <w:rFonts w:eastAsia="Calibri" w:cs="Tahoma"/>
          <w:b/>
          <w:bCs/>
        </w:rPr>
      </w:pPr>
      <w:r w:rsidRPr="007C15EB">
        <w:rPr>
          <w:rFonts w:eastAsia="Calibri" w:cs="Tahoma"/>
          <w:b/>
          <w:bCs/>
        </w:rPr>
        <w:t>Términos de la Resolución para conocimiento del Particular</w:t>
      </w:r>
    </w:p>
    <w:p w14:paraId="462BA748" w14:textId="77777777" w:rsidR="00B441BD" w:rsidRPr="007C15EB" w:rsidRDefault="00B441BD" w:rsidP="00D7021E">
      <w:pPr>
        <w:spacing w:after="0" w:line="360" w:lineRule="auto"/>
        <w:contextualSpacing/>
        <w:rPr>
          <w:rFonts w:eastAsia="Calibri" w:cs="Tahoma"/>
          <w:b/>
          <w:bCs/>
        </w:rPr>
      </w:pPr>
    </w:p>
    <w:p w14:paraId="3B668E85" w14:textId="604F22F5" w:rsidR="00D1318A" w:rsidRPr="007C15EB" w:rsidRDefault="00D1318A" w:rsidP="00D7021E">
      <w:pPr>
        <w:spacing w:after="0" w:line="360" w:lineRule="auto"/>
        <w:rPr>
          <w:rFonts w:eastAsia="Calibri" w:cs="Tahoma"/>
          <w:lang w:eastAsia="en-US"/>
        </w:rPr>
      </w:pPr>
      <w:r w:rsidRPr="007C15EB">
        <w:t>Se le hace del conocimiento a la persona Recurrente que, en el presente asunto, se le da la razón, pues</w:t>
      </w:r>
      <w:r w:rsidR="00715343" w:rsidRPr="007C15EB">
        <w:t xml:space="preserve"> </w:t>
      </w:r>
      <w:r w:rsidR="00A64498" w:rsidRPr="007C15EB">
        <w:rPr>
          <w:rFonts w:eastAsia="Calibri" w:cs="Tahoma"/>
          <w:lang w:eastAsia="en-US"/>
        </w:rPr>
        <w:t>el Sujeto Obligado</w:t>
      </w:r>
      <w:r w:rsidR="006F33A7" w:rsidRPr="007C15EB">
        <w:rPr>
          <w:rFonts w:eastAsia="Calibri" w:cs="Tahoma"/>
          <w:lang w:eastAsia="en-US"/>
        </w:rPr>
        <w:t xml:space="preserve"> </w:t>
      </w:r>
      <w:r w:rsidR="004F7C0E" w:rsidRPr="007C15EB">
        <w:rPr>
          <w:rFonts w:eastAsia="Calibri" w:cs="Tahoma"/>
          <w:lang w:eastAsia="en-US"/>
        </w:rPr>
        <w:t xml:space="preserve">si bien en respuesta </w:t>
      </w:r>
      <w:r w:rsidR="006F33A7" w:rsidRPr="007C15EB">
        <w:rPr>
          <w:rFonts w:eastAsia="Calibri" w:cs="Tahoma"/>
          <w:lang w:eastAsia="en-US"/>
        </w:rPr>
        <w:t xml:space="preserve">no </w:t>
      </w:r>
      <w:r w:rsidR="004F7C0E" w:rsidRPr="007C15EB">
        <w:rPr>
          <w:rFonts w:eastAsia="Calibri" w:cs="Tahoma"/>
          <w:lang w:eastAsia="en-US"/>
        </w:rPr>
        <w:t>entrego la información solicitada, en Informe Justificado la adjuntó, sin embargo, no se puso a la vista del Particular por contener datos confidenciales</w:t>
      </w:r>
      <w:r w:rsidR="007B0E53" w:rsidRPr="007C15EB">
        <w:rPr>
          <w:rFonts w:eastAsia="Calibri" w:cs="Tahoma"/>
          <w:lang w:eastAsia="en-US"/>
        </w:rPr>
        <w:t>,</w:t>
      </w:r>
      <w:r w:rsidRPr="007C15EB">
        <w:t xml:space="preserve"> por lo que, deberá hacer la entre</w:t>
      </w:r>
      <w:r w:rsidR="00655068" w:rsidRPr="007C15EB">
        <w:t>ga de la información</w:t>
      </w:r>
      <w:r w:rsidR="00F0031F" w:rsidRPr="007C15EB">
        <w:t xml:space="preserve"> solicitada</w:t>
      </w:r>
      <w:r w:rsidR="004F7C0E" w:rsidRPr="007C15EB">
        <w:t xml:space="preserve"> de manera correcta</w:t>
      </w:r>
      <w:r w:rsidR="00693FC8" w:rsidRPr="007C15EB">
        <w:t xml:space="preserve">. </w:t>
      </w:r>
      <w:r w:rsidR="000F161C" w:rsidRPr="007C15EB">
        <w:rPr>
          <w:color w:val="000000"/>
        </w:rPr>
        <w:t xml:space="preserve">Además, se le informa que </w:t>
      </w:r>
      <w:r w:rsidRPr="007C15EB">
        <w:rPr>
          <w:color w:val="000000"/>
        </w:rPr>
        <w:t>la labor del Instituto, es apoyar a la población a acceder a la información pública y garantizar la protección de sus datos personales.</w:t>
      </w:r>
    </w:p>
    <w:p w14:paraId="687646A0" w14:textId="77777777" w:rsidR="00D1318A" w:rsidRPr="007C15EB" w:rsidRDefault="00D1318A" w:rsidP="00D7021E">
      <w:pPr>
        <w:spacing w:after="0" w:line="360" w:lineRule="auto"/>
      </w:pPr>
    </w:p>
    <w:p w14:paraId="1C805ED0" w14:textId="77777777" w:rsidR="00D1318A" w:rsidRPr="007C15EB" w:rsidRDefault="00D1318A" w:rsidP="00D7021E">
      <w:pPr>
        <w:spacing w:after="0" w:line="360" w:lineRule="auto"/>
        <w:contextualSpacing/>
        <w:rPr>
          <w:rFonts w:eastAsia="Calibri"/>
        </w:rPr>
      </w:pPr>
      <w:r w:rsidRPr="007C15EB">
        <w:rPr>
          <w:rFonts w:eastAsia="Calibri"/>
        </w:rPr>
        <w:t>Por lo expuesto y fundado, este Pleno:</w:t>
      </w:r>
    </w:p>
    <w:p w14:paraId="7E4B6E8F" w14:textId="77777777" w:rsidR="00057905" w:rsidRPr="007C15EB" w:rsidRDefault="00057905" w:rsidP="00D7021E">
      <w:pPr>
        <w:spacing w:after="0" w:line="360" w:lineRule="auto"/>
        <w:contextualSpacing/>
        <w:rPr>
          <w:rFonts w:eastAsia="Calibri"/>
        </w:rPr>
      </w:pPr>
    </w:p>
    <w:p w14:paraId="4969F2B6" w14:textId="77777777" w:rsidR="00D1318A" w:rsidRPr="007C15EB" w:rsidRDefault="00D1318A" w:rsidP="00D7021E">
      <w:pPr>
        <w:pStyle w:val="Ttulo1"/>
        <w:spacing w:before="0" w:after="0" w:line="360" w:lineRule="auto"/>
        <w:jc w:val="center"/>
        <w:rPr>
          <w:sz w:val="22"/>
          <w:szCs w:val="22"/>
        </w:rPr>
      </w:pPr>
      <w:bookmarkStart w:id="16" w:name="_Toc234506076"/>
      <w:r w:rsidRPr="007C15EB">
        <w:rPr>
          <w:sz w:val="22"/>
          <w:szCs w:val="22"/>
        </w:rPr>
        <w:t>R E S U E L V E</w:t>
      </w:r>
      <w:bookmarkEnd w:id="16"/>
    </w:p>
    <w:p w14:paraId="29CAB4CB" w14:textId="77777777" w:rsidR="00A25EE8" w:rsidRPr="007C15EB" w:rsidRDefault="00A25EE8" w:rsidP="00A64498">
      <w:pPr>
        <w:spacing w:after="0" w:line="360" w:lineRule="auto"/>
      </w:pPr>
    </w:p>
    <w:p w14:paraId="0B310DFA" w14:textId="63426DCB" w:rsidR="00A64498" w:rsidRPr="007C15EB" w:rsidRDefault="00C56A63" w:rsidP="00A64498">
      <w:pPr>
        <w:spacing w:after="0" w:line="360" w:lineRule="auto"/>
        <w:rPr>
          <w:rFonts w:cs="Tahoma"/>
          <w:b/>
          <w:bCs/>
        </w:rPr>
      </w:pPr>
      <w:r w:rsidRPr="007C15EB">
        <w:rPr>
          <w:b/>
          <w:bCs/>
        </w:rPr>
        <w:t>PRIMERO</w:t>
      </w:r>
      <w:r w:rsidR="00A25EE8" w:rsidRPr="007C15EB">
        <w:rPr>
          <w:b/>
          <w:bCs/>
        </w:rPr>
        <w:t>.</w:t>
      </w:r>
      <w:r w:rsidR="00A25EE8" w:rsidRPr="007C15EB">
        <w:t xml:space="preserve"> </w:t>
      </w:r>
      <w:r w:rsidR="00A64498" w:rsidRPr="007C15EB">
        <w:t xml:space="preserve">Se </w:t>
      </w:r>
      <w:r w:rsidR="001217E0" w:rsidRPr="007C15EB">
        <w:rPr>
          <w:b/>
          <w:bCs/>
        </w:rPr>
        <w:t>MODIFI</w:t>
      </w:r>
      <w:r w:rsidR="006F33A7" w:rsidRPr="007C15EB">
        <w:rPr>
          <w:b/>
          <w:bCs/>
        </w:rPr>
        <w:t>CA</w:t>
      </w:r>
      <w:r w:rsidR="00A64498" w:rsidRPr="007C15EB">
        <w:t xml:space="preserve"> la respuesta entregada por el</w:t>
      </w:r>
      <w:r w:rsidR="001217E0" w:rsidRPr="007C15EB">
        <w:t xml:space="preserve"> Ayuntamiento de Tianguistenco</w:t>
      </w:r>
      <w:r w:rsidR="00510438" w:rsidRPr="007C15EB">
        <w:t>, a la</w:t>
      </w:r>
      <w:r w:rsidR="004B37FA" w:rsidRPr="007C15EB">
        <w:t>s</w:t>
      </w:r>
      <w:r w:rsidR="00510438" w:rsidRPr="007C15EB">
        <w:t xml:space="preserve"> solicitud</w:t>
      </w:r>
      <w:r w:rsidR="004B37FA" w:rsidRPr="007C15EB">
        <w:t>es</w:t>
      </w:r>
      <w:r w:rsidR="00A64498" w:rsidRPr="007C15EB">
        <w:t xml:space="preserve"> de información con número</w:t>
      </w:r>
      <w:r w:rsidR="001217E0" w:rsidRPr="007C15EB">
        <w:rPr>
          <w:color w:val="0D0D0D"/>
        </w:rPr>
        <w:t xml:space="preserve"> 00114/TIANGUIS/IP/2026 y 00115/TIANGUIS/IP/2026</w:t>
      </w:r>
      <w:r w:rsidR="00A64498" w:rsidRPr="007C15EB">
        <w:t xml:space="preserve">, por resultar </w:t>
      </w:r>
      <w:r w:rsidR="00A64498" w:rsidRPr="007C15EB">
        <w:rPr>
          <w:b/>
          <w:bCs/>
        </w:rPr>
        <w:t>FUNDADOS</w:t>
      </w:r>
      <w:r w:rsidR="00A64498" w:rsidRPr="007C15EB">
        <w:t xml:space="preserve"> los motivos de inconformidad vertidos por el Recurrente, en términos de los Considerandos QUINTO y SEXTO de la presente Resolución.</w:t>
      </w:r>
    </w:p>
    <w:p w14:paraId="5950CEE3" w14:textId="77777777" w:rsidR="0004550F" w:rsidRPr="007C15EB" w:rsidRDefault="0004550F" w:rsidP="00D7021E">
      <w:pPr>
        <w:spacing w:after="0" w:line="360" w:lineRule="auto"/>
        <w:contextualSpacing/>
        <w:rPr>
          <w:rFonts w:cs="Tahoma"/>
          <w:b/>
          <w:bCs/>
        </w:rPr>
      </w:pPr>
    </w:p>
    <w:p w14:paraId="67E1A2ED" w14:textId="186BA258" w:rsidR="006444A9" w:rsidRPr="007C15EB" w:rsidRDefault="00C56A63" w:rsidP="001217E0">
      <w:pPr>
        <w:spacing w:after="0" w:line="360" w:lineRule="auto"/>
        <w:rPr>
          <w:rFonts w:cs="Tahoma"/>
        </w:rPr>
      </w:pPr>
      <w:r w:rsidRPr="007C15EB">
        <w:rPr>
          <w:b/>
        </w:rPr>
        <w:t>SEGUNDO.</w:t>
      </w:r>
      <w:r w:rsidRPr="007C15EB">
        <w:t xml:space="preserve"> </w:t>
      </w:r>
      <w:r w:rsidR="00D1318A" w:rsidRPr="007C15EB">
        <w:t xml:space="preserve">Se </w:t>
      </w:r>
      <w:r w:rsidR="00D1318A" w:rsidRPr="007C15EB">
        <w:rPr>
          <w:b/>
        </w:rPr>
        <w:t>ORDENA</w:t>
      </w:r>
      <w:r w:rsidR="00D1318A" w:rsidRPr="007C15EB">
        <w:t xml:space="preserve"> al Ente Recurrido</w:t>
      </w:r>
      <w:r w:rsidR="00D1318A" w:rsidRPr="007C15EB">
        <w:rPr>
          <w:b/>
        </w:rPr>
        <w:t xml:space="preserve">, </w:t>
      </w:r>
      <w:r w:rsidR="004068E7" w:rsidRPr="007C15EB">
        <w:t>a efecto de que</w:t>
      </w:r>
      <w:r w:rsidR="00AD1A4A" w:rsidRPr="007C15EB">
        <w:t xml:space="preserve"> </w:t>
      </w:r>
      <w:r w:rsidR="00D1318A" w:rsidRPr="007C15EB">
        <w:t>entregue</w:t>
      </w:r>
      <w:r w:rsidR="00AB3C0B" w:rsidRPr="007C15EB">
        <w:t>,</w:t>
      </w:r>
      <w:r w:rsidR="00D1318A" w:rsidRPr="007C15EB">
        <w:t xml:space="preserve"> a través del Sistema de Acceso a la I</w:t>
      </w:r>
      <w:r w:rsidR="00715343" w:rsidRPr="007C15EB">
        <w:t>nformación Mexiquense (SAIMEX)</w:t>
      </w:r>
      <w:r w:rsidR="00C1500B" w:rsidRPr="007C15EB">
        <w:t xml:space="preserve">, </w:t>
      </w:r>
      <w:r w:rsidR="00B02552" w:rsidRPr="007C15EB">
        <w:t xml:space="preserve">en </w:t>
      </w:r>
      <w:r w:rsidR="00B17B55" w:rsidRPr="007C15EB">
        <w:t>versión pública,</w:t>
      </w:r>
      <w:r w:rsidR="008401F3" w:rsidRPr="007C15EB">
        <w:t xml:space="preserve"> </w:t>
      </w:r>
      <w:r w:rsidR="001217E0" w:rsidRPr="007C15EB">
        <w:rPr>
          <w:rFonts w:cs="Tahoma"/>
        </w:rPr>
        <w:t>las Cédulas informativas de zonificación y las</w:t>
      </w:r>
      <w:r w:rsidR="007A6F69" w:rsidRPr="007C15EB">
        <w:rPr>
          <w:rFonts w:cs="Tahoma"/>
        </w:rPr>
        <w:t xml:space="preserve"> </w:t>
      </w:r>
      <w:r w:rsidR="00AD1A4A" w:rsidRPr="007C15EB">
        <w:rPr>
          <w:rFonts w:cs="Tahoma"/>
        </w:rPr>
        <w:t>l</w:t>
      </w:r>
      <w:r w:rsidR="007A6F69" w:rsidRPr="007C15EB">
        <w:rPr>
          <w:rFonts w:cs="Tahoma"/>
        </w:rPr>
        <w:t>icencias de uso de suelo</w:t>
      </w:r>
      <w:r w:rsidR="00AD1A4A" w:rsidRPr="007C15EB">
        <w:rPr>
          <w:rFonts w:cs="Tahoma"/>
        </w:rPr>
        <w:t xml:space="preserve"> remitidas en Informe Justificado,</w:t>
      </w:r>
      <w:r w:rsidR="007A6F69" w:rsidRPr="007C15EB">
        <w:rPr>
          <w:rFonts w:cs="Tahoma"/>
        </w:rPr>
        <w:t xml:space="preserve"> en términos del Considerandos </w:t>
      </w:r>
      <w:r w:rsidR="007A6F69" w:rsidRPr="007C15EB">
        <w:rPr>
          <w:rFonts w:cs="Tahoma"/>
          <w:b/>
        </w:rPr>
        <w:t>QUINTO</w:t>
      </w:r>
      <w:r w:rsidR="007A6F69" w:rsidRPr="007C15EB">
        <w:rPr>
          <w:rFonts w:cs="Tahoma"/>
        </w:rPr>
        <w:t>.</w:t>
      </w:r>
    </w:p>
    <w:p w14:paraId="21413B66" w14:textId="77777777" w:rsidR="006444A9" w:rsidRPr="007C15EB" w:rsidRDefault="006444A9" w:rsidP="006F33A7">
      <w:pPr>
        <w:spacing w:after="0" w:line="360" w:lineRule="auto"/>
      </w:pPr>
    </w:p>
    <w:p w14:paraId="7E41C389" w14:textId="77777777" w:rsidR="00F52FE3" w:rsidRPr="007C15EB" w:rsidRDefault="00F52FE3" w:rsidP="00F52FE3">
      <w:pPr>
        <w:spacing w:after="0" w:line="360" w:lineRule="auto"/>
        <w:rPr>
          <w:rFonts w:cs="Tahoma"/>
          <w:bCs/>
          <w:iCs/>
          <w:lang w:eastAsia="es-ES"/>
        </w:rPr>
      </w:pPr>
      <w:r w:rsidRPr="007C15EB">
        <w:rPr>
          <w:color w:val="000000"/>
        </w:rPr>
        <w:t xml:space="preserve">Además, </w:t>
      </w:r>
      <w:r w:rsidRPr="007C15EB">
        <w:rPr>
          <w:rFonts w:cs="Tahoma"/>
          <w:bCs/>
          <w:iCs/>
          <w:lang w:eastAsia="es-ES"/>
        </w:rPr>
        <w:t>deberá proporcionar el Acuerdo de Clasificación donde el Comité de Transparencia, confirme la eliminación de los datos o información clasificada, en la versión pública, de conformidad con los artículos 49, fracciones II y VIII y 132, fracción II de la Ley de Transparencia y Acceso a la Información Pública del Estado de México y Municipios.</w:t>
      </w:r>
    </w:p>
    <w:p w14:paraId="37598D27" w14:textId="77777777" w:rsidR="007A6F69" w:rsidRPr="007C15EB" w:rsidRDefault="007A6F69" w:rsidP="00BA54BC">
      <w:pPr>
        <w:spacing w:after="0" w:line="360" w:lineRule="auto"/>
        <w:rPr>
          <w:color w:val="0D0D0D"/>
        </w:rPr>
      </w:pPr>
    </w:p>
    <w:p w14:paraId="3EAE0142" w14:textId="4D14276C" w:rsidR="00D1318A" w:rsidRPr="007C15EB" w:rsidRDefault="00D1318A" w:rsidP="00D7021E">
      <w:pPr>
        <w:spacing w:after="0" w:line="360" w:lineRule="auto"/>
        <w:ind w:right="-28"/>
        <w:contextualSpacing/>
        <w:rPr>
          <w:rFonts w:cs="Tahoma"/>
          <w:bCs/>
          <w:iCs/>
        </w:rPr>
      </w:pPr>
      <w:r w:rsidRPr="007C15EB">
        <w:rPr>
          <w:rFonts w:eastAsia="Calibri" w:cs="Tahoma"/>
          <w:b/>
          <w:bCs/>
        </w:rPr>
        <w:t xml:space="preserve">TERCERO. </w:t>
      </w:r>
      <w:r w:rsidRPr="007C15EB">
        <w:rPr>
          <w:rFonts w:cs="Tahoma"/>
          <w:b/>
          <w:bCs/>
          <w:iCs/>
        </w:rPr>
        <w:t xml:space="preserve">NOTIFÍQUESE POR SAIMEX </w:t>
      </w:r>
      <w:r w:rsidRPr="007C15EB">
        <w:rPr>
          <w:rFonts w:cs="Tahoma"/>
          <w:bCs/>
          <w:iCs/>
        </w:rPr>
        <w:t xml:space="preserve">la presente resolución al Titular de la Unidad de Transparencia del Sujeto Obligado, para que conforme al artículo 186, último párrafo, 189, segundo párrafo, y 194 de la Ley de Transparencia y Acceso a la Información Pública del Estado de México y Municipios; dé cumplimiento a lo ordenado dentro del plazo de diez días hábiles, e informe a este Instituto en un plazo de tres días hábiles siguientes sobre el </w:t>
      </w:r>
      <w:r w:rsidRPr="007C15EB">
        <w:rPr>
          <w:rFonts w:cs="Tahoma"/>
          <w:bCs/>
          <w:iCs/>
        </w:rPr>
        <w:lastRenderedPageBreak/>
        <w:t>cumplimiento dado a la presente, se le apercibe que en caso de negarse a cumplir la presente resolución o hacerlo de manera parcial, se le impondrá una medida de apremio de conformidad con lo previsto en los artículos 198, 200, fracción III, 214, 215 y 216 de la Ley referida.</w:t>
      </w:r>
      <w:r w:rsidR="00211554" w:rsidRPr="007C15EB">
        <w:rPr>
          <w:rFonts w:cs="Tahoma"/>
          <w:bCs/>
          <w:iCs/>
        </w:rPr>
        <w:t xml:space="preserve"> </w:t>
      </w:r>
      <w:r w:rsidRPr="007C15EB">
        <w:rPr>
          <w:rFonts w:eastAsia="Calibri" w:cs="Tahoma"/>
          <w:iCs/>
          <w:color w:val="000000"/>
        </w:rPr>
        <w:t>De conformidad con el artículo 198 de la Ley de la materia, de considerarlo procedente, el Sujeto Obligado de manera fundada y motivada, podrá solicitar una ampliación de plazo para el cumplimiento de la presente resolución.</w:t>
      </w:r>
    </w:p>
    <w:p w14:paraId="34731E30" w14:textId="77777777" w:rsidR="00D1318A" w:rsidRPr="007C15EB" w:rsidRDefault="00D1318A" w:rsidP="00D7021E">
      <w:pPr>
        <w:spacing w:after="0" w:line="360" w:lineRule="auto"/>
        <w:contextualSpacing/>
        <w:rPr>
          <w:rFonts w:eastAsia="Calibri" w:cs="Tahoma"/>
          <w:color w:val="000000"/>
        </w:rPr>
      </w:pPr>
    </w:p>
    <w:p w14:paraId="3F59EFC7" w14:textId="77777777" w:rsidR="00D1318A" w:rsidRPr="007C15EB" w:rsidRDefault="00D1318A" w:rsidP="00D7021E">
      <w:pPr>
        <w:spacing w:after="0" w:line="360" w:lineRule="auto"/>
        <w:contextualSpacing/>
        <w:rPr>
          <w:rFonts w:cs="Tahoma"/>
        </w:rPr>
      </w:pPr>
      <w:r w:rsidRPr="007C15EB">
        <w:rPr>
          <w:rFonts w:eastAsia="Calibri" w:cs="Tahoma"/>
          <w:b/>
        </w:rPr>
        <w:t>CUARTO</w:t>
      </w:r>
      <w:r w:rsidRPr="007C15EB">
        <w:rPr>
          <w:rFonts w:eastAsia="Calibri" w:cs="Tahoma"/>
          <w:b/>
          <w:bCs/>
        </w:rPr>
        <w:t xml:space="preserve">. </w:t>
      </w:r>
      <w:r w:rsidRPr="007C15EB">
        <w:rPr>
          <w:rFonts w:cs="Tahoma"/>
          <w:b/>
        </w:rPr>
        <w:t>NOTIFÍQUESE POR SAIMEX</w:t>
      </w:r>
      <w:r w:rsidRPr="007C15EB">
        <w:rPr>
          <w:rFonts w:cs="Tahoma"/>
        </w:rPr>
        <w:t xml:space="preserve"> a la persona Recurrente la presente Resolución, asimismo, se hace de su conocimiento que de conformidad con lo establecido en el artículo 196 de la Ley de Transparencia y Acceso a la Información Pública del Estado de México y Municipios podrá promover el Juicio de Amparo en los términos de las leyes aplicables.</w:t>
      </w:r>
    </w:p>
    <w:p w14:paraId="42B71321" w14:textId="77777777" w:rsidR="00EE6479" w:rsidRPr="007C15EB" w:rsidRDefault="00EE6479" w:rsidP="00D7021E">
      <w:pPr>
        <w:spacing w:after="0" w:line="360" w:lineRule="auto"/>
        <w:contextualSpacing/>
        <w:rPr>
          <w:rFonts w:cs="Tahoma"/>
        </w:rPr>
      </w:pPr>
    </w:p>
    <w:p w14:paraId="0465B18F" w14:textId="10D5FFA1" w:rsidR="00EE6479" w:rsidRPr="007C15EB" w:rsidRDefault="00C54008" w:rsidP="00D7021E">
      <w:pPr>
        <w:spacing w:after="0" w:line="360" w:lineRule="auto"/>
        <w:contextualSpacing/>
        <w:rPr>
          <w:rFonts w:cs="Tahoma"/>
        </w:rPr>
      </w:pPr>
      <w:r w:rsidRPr="007C15EB">
        <w:rPr>
          <w:b/>
          <w:bCs/>
        </w:rPr>
        <w:t>QUINTO.</w:t>
      </w:r>
      <w:r w:rsidRPr="007C15EB">
        <w:t xml:space="preserve"> Con fundamento en lo dispuesto en el artículo 24, fracciones XI, XII y XIII del Reglamento Interior del Instituto de Transparencia, Acceso a la Información Pública y Protección de Datos Personales del Estado de México y Municipios, gírese oficio a la Dirección General de Protección de Datos Personales de este Instituto, en términos de lo dispuesto en el Considerando SÉPTIMO de la presente Resolución.</w:t>
      </w:r>
    </w:p>
    <w:p w14:paraId="7850850C" w14:textId="77777777" w:rsidR="00D1318A" w:rsidRPr="007C15EB" w:rsidRDefault="00D1318A" w:rsidP="00D7021E">
      <w:pPr>
        <w:spacing w:after="0" w:line="360" w:lineRule="auto"/>
        <w:contextualSpacing/>
        <w:rPr>
          <w:rFonts w:cs="Arial"/>
          <w:b/>
          <w:bCs/>
        </w:rPr>
      </w:pPr>
    </w:p>
    <w:p w14:paraId="440D22CF" w14:textId="4AA77421" w:rsidR="00D1318A" w:rsidRPr="0098186F" w:rsidRDefault="00D1318A" w:rsidP="00D7021E">
      <w:pPr>
        <w:spacing w:after="0" w:line="360" w:lineRule="auto"/>
        <w:contextualSpacing/>
        <w:rPr>
          <w:rFonts w:cs="Tahoma"/>
          <w:b/>
          <w:bCs/>
        </w:rPr>
      </w:pPr>
      <w:r w:rsidRPr="007C15EB">
        <w:rPr>
          <w:rFonts w:eastAsia="Calibri" w:cs="Tahoma"/>
          <w:bCs/>
        </w:rPr>
        <w:t>ASÍ LO RESUELVE, POR </w:t>
      </w:r>
      <w:r w:rsidRPr="007C15EB">
        <w:rPr>
          <w:rFonts w:eastAsia="Calibri" w:cs="Tahoma"/>
          <w:b/>
          <w:bCs/>
        </w:rPr>
        <w:t>UNANIMIDAD</w:t>
      </w:r>
      <w:r w:rsidRPr="007C15EB">
        <w:rPr>
          <w:rFonts w:eastAsia="Calibri" w:cs="Tahoma"/>
          <w:bCs/>
        </w:rPr>
        <w:t>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w:t>
      </w:r>
      <w:r w:rsidR="00F84240">
        <w:rPr>
          <w:rFonts w:eastAsia="Calibri" w:cs="Tahoma"/>
          <w:bCs/>
        </w:rPr>
        <w:t xml:space="preserve"> CON VOTO PARTICULAR</w:t>
      </w:r>
      <w:r w:rsidRPr="007C15EB">
        <w:rPr>
          <w:rFonts w:eastAsia="Calibri" w:cs="Tahoma"/>
          <w:bCs/>
        </w:rPr>
        <w:t xml:space="preserve"> Y GUADALUPE RAMÍREZ PEÑA</w:t>
      </w:r>
      <w:r w:rsidR="00CF7AA5" w:rsidRPr="007C15EB">
        <w:rPr>
          <w:rFonts w:eastAsia="Calibri" w:cs="Tahoma"/>
          <w:bCs/>
        </w:rPr>
        <w:t xml:space="preserve">, EN LA </w:t>
      </w:r>
      <w:r w:rsidR="009347DC" w:rsidRPr="007C15EB">
        <w:rPr>
          <w:rFonts w:eastAsia="Calibri" w:cs="Tahoma"/>
          <w:bCs/>
        </w:rPr>
        <w:t>VIGÉSIMA QUINTA</w:t>
      </w:r>
      <w:r w:rsidR="00715343" w:rsidRPr="007C15EB">
        <w:rPr>
          <w:rFonts w:eastAsia="Calibri" w:cs="Tahoma"/>
          <w:bCs/>
        </w:rPr>
        <w:t xml:space="preserve"> </w:t>
      </w:r>
      <w:r w:rsidRPr="007C15EB">
        <w:rPr>
          <w:rFonts w:eastAsia="Calibri" w:cs="Tahoma"/>
          <w:bCs/>
        </w:rPr>
        <w:t>SESIÓN ORDINA</w:t>
      </w:r>
      <w:r w:rsidR="00715343" w:rsidRPr="007C15EB">
        <w:rPr>
          <w:rFonts w:eastAsia="Calibri" w:cs="Tahoma"/>
          <w:bCs/>
        </w:rPr>
        <w:t>RIA, C</w:t>
      </w:r>
      <w:r w:rsidR="0052714E" w:rsidRPr="007C15EB">
        <w:rPr>
          <w:rFonts w:eastAsia="Calibri" w:cs="Tahoma"/>
          <w:bCs/>
        </w:rPr>
        <w:t xml:space="preserve">ELEBRADA EL </w:t>
      </w:r>
      <w:r w:rsidR="009347DC" w:rsidRPr="007C15EB">
        <w:rPr>
          <w:rFonts w:eastAsia="Calibri" w:cs="Tahoma"/>
          <w:bCs/>
        </w:rPr>
        <w:t>OCHO</w:t>
      </w:r>
      <w:r w:rsidR="0022752B" w:rsidRPr="007C15EB">
        <w:rPr>
          <w:rFonts w:eastAsia="Calibri" w:cs="Tahoma"/>
          <w:bCs/>
        </w:rPr>
        <w:t xml:space="preserve"> DE JULIO</w:t>
      </w:r>
      <w:r w:rsidR="00655068" w:rsidRPr="007C15EB">
        <w:rPr>
          <w:rFonts w:eastAsia="Calibri" w:cs="Tahoma"/>
          <w:bCs/>
        </w:rPr>
        <w:t xml:space="preserve"> </w:t>
      </w:r>
      <w:r w:rsidRPr="007C15EB">
        <w:rPr>
          <w:rFonts w:eastAsia="Calibri" w:cs="Tahoma"/>
          <w:bCs/>
        </w:rPr>
        <w:t xml:space="preserve">DE DOS </w:t>
      </w:r>
      <w:r w:rsidRPr="007C15EB">
        <w:rPr>
          <w:rFonts w:eastAsia="Calibri" w:cs="Tahoma"/>
          <w:bCs/>
        </w:rPr>
        <w:lastRenderedPageBreak/>
        <w:t>MIL VEINTI</w:t>
      </w:r>
      <w:r w:rsidR="006902D7" w:rsidRPr="007C15EB">
        <w:rPr>
          <w:rFonts w:eastAsia="Calibri" w:cs="Tahoma"/>
          <w:bCs/>
        </w:rPr>
        <w:t>SÉIS</w:t>
      </w:r>
      <w:r w:rsidRPr="007C15EB">
        <w:rPr>
          <w:rFonts w:eastAsia="Calibri" w:cs="Tahoma"/>
          <w:bCs/>
        </w:rPr>
        <w:t>, ANTE EL SECRETARIO TÉCNICO DEL PLENO, ALEXIS TAPIA RAMÍREZ.</w:t>
      </w:r>
    </w:p>
    <w:p w14:paraId="2BA380C7" w14:textId="77777777" w:rsidR="00D1318A" w:rsidRPr="0098186F" w:rsidRDefault="00D1318A" w:rsidP="00D7021E">
      <w:pPr>
        <w:spacing w:after="0" w:line="360" w:lineRule="auto"/>
        <w:ind w:right="-28"/>
        <w:rPr>
          <w:color w:val="auto"/>
        </w:rPr>
      </w:pPr>
    </w:p>
    <w:p w14:paraId="1FFCF4F3" w14:textId="77777777" w:rsidR="00B02499" w:rsidRPr="0098186F" w:rsidRDefault="00B02499" w:rsidP="00D7021E">
      <w:pPr>
        <w:spacing w:after="0" w:line="360" w:lineRule="auto"/>
        <w:rPr>
          <w:rFonts w:eastAsia="Calibri" w:cs="Times New Roman"/>
          <w:b/>
          <w:bCs/>
        </w:rPr>
      </w:pPr>
    </w:p>
    <w:p w14:paraId="654C889D" w14:textId="77777777" w:rsidR="00B02499" w:rsidRPr="0098186F" w:rsidRDefault="00B02499" w:rsidP="00D7021E">
      <w:pPr>
        <w:spacing w:after="0" w:line="360" w:lineRule="auto"/>
        <w:rPr>
          <w:rFonts w:eastAsia="Calibri" w:cs="Times New Roman"/>
          <w:b/>
          <w:bCs/>
        </w:rPr>
      </w:pPr>
    </w:p>
    <w:p w14:paraId="097C707A" w14:textId="77777777" w:rsidR="004A10B0" w:rsidRPr="0098186F" w:rsidRDefault="004A10B0" w:rsidP="00D7021E">
      <w:pPr>
        <w:spacing w:after="0" w:line="360" w:lineRule="auto"/>
        <w:contextualSpacing/>
        <w:rPr>
          <w:rFonts w:eastAsia="Calibri" w:cs="Times New Roman"/>
          <w:color w:val="000000"/>
        </w:rPr>
      </w:pPr>
    </w:p>
    <w:p w14:paraId="3677DBED" w14:textId="77777777" w:rsidR="004A10B0" w:rsidRPr="0098186F" w:rsidRDefault="004A10B0" w:rsidP="00D7021E">
      <w:pPr>
        <w:spacing w:after="0" w:line="360" w:lineRule="auto"/>
        <w:contextualSpacing/>
        <w:rPr>
          <w:color w:val="000000"/>
        </w:rPr>
      </w:pPr>
    </w:p>
    <w:p w14:paraId="74E8DB3F" w14:textId="77777777" w:rsidR="00C556AB" w:rsidRPr="0098186F" w:rsidRDefault="00C556AB" w:rsidP="00D7021E">
      <w:pPr>
        <w:spacing w:after="0" w:line="360" w:lineRule="auto"/>
      </w:pPr>
    </w:p>
    <w:p w14:paraId="1A555613" w14:textId="77777777" w:rsidR="00023BBD" w:rsidRPr="0098186F" w:rsidRDefault="00023BBD" w:rsidP="00D7021E">
      <w:pPr>
        <w:spacing w:after="0" w:line="360" w:lineRule="auto"/>
      </w:pPr>
    </w:p>
    <w:p w14:paraId="2DB71CAF" w14:textId="49BEE08C" w:rsidR="001D4F21" w:rsidRPr="0098186F" w:rsidRDefault="001D4F21" w:rsidP="00D7021E">
      <w:pPr>
        <w:spacing w:after="0" w:line="360" w:lineRule="auto"/>
        <w:rPr>
          <w:color w:val="000000"/>
        </w:rPr>
      </w:pPr>
    </w:p>
    <w:p w14:paraId="38B4EF2E" w14:textId="77777777" w:rsidR="001D4F21" w:rsidRPr="0098186F" w:rsidRDefault="001D4F21" w:rsidP="00D7021E">
      <w:pPr>
        <w:spacing w:after="0" w:line="360" w:lineRule="auto"/>
        <w:rPr>
          <w:color w:val="000000"/>
        </w:rPr>
      </w:pPr>
    </w:p>
    <w:p w14:paraId="4201A0A0" w14:textId="77777777" w:rsidR="00E864E9" w:rsidRDefault="00E864E9" w:rsidP="00D7021E">
      <w:pPr>
        <w:tabs>
          <w:tab w:val="right" w:pos="8931"/>
        </w:tabs>
        <w:spacing w:after="0" w:line="360" w:lineRule="auto"/>
      </w:pPr>
    </w:p>
    <w:p w14:paraId="23C19343" w14:textId="77777777" w:rsidR="0046266C" w:rsidRDefault="0046266C" w:rsidP="00D7021E">
      <w:pPr>
        <w:tabs>
          <w:tab w:val="right" w:pos="8931"/>
        </w:tabs>
        <w:spacing w:after="0" w:line="360" w:lineRule="auto"/>
      </w:pPr>
    </w:p>
    <w:p w14:paraId="5296B3FA" w14:textId="77777777" w:rsidR="0046266C" w:rsidRDefault="0046266C" w:rsidP="00D7021E">
      <w:pPr>
        <w:tabs>
          <w:tab w:val="right" w:pos="8931"/>
        </w:tabs>
        <w:spacing w:after="0" w:line="360" w:lineRule="auto"/>
      </w:pPr>
    </w:p>
    <w:p w14:paraId="7A8355B5" w14:textId="77777777" w:rsidR="0046266C" w:rsidRDefault="0046266C" w:rsidP="00D7021E">
      <w:pPr>
        <w:tabs>
          <w:tab w:val="right" w:pos="8931"/>
        </w:tabs>
        <w:spacing w:after="0" w:line="360" w:lineRule="auto"/>
      </w:pPr>
    </w:p>
    <w:p w14:paraId="1B7C036E" w14:textId="77777777" w:rsidR="0046266C" w:rsidRDefault="0046266C" w:rsidP="00D7021E">
      <w:pPr>
        <w:tabs>
          <w:tab w:val="right" w:pos="8931"/>
        </w:tabs>
        <w:spacing w:after="0" w:line="360" w:lineRule="auto"/>
      </w:pPr>
    </w:p>
    <w:p w14:paraId="7F9C6468" w14:textId="77777777" w:rsidR="0046266C" w:rsidRDefault="0046266C" w:rsidP="00D7021E">
      <w:pPr>
        <w:tabs>
          <w:tab w:val="right" w:pos="8931"/>
        </w:tabs>
        <w:spacing w:after="0" w:line="360" w:lineRule="auto"/>
      </w:pPr>
    </w:p>
    <w:p w14:paraId="2DC4D4A1" w14:textId="77777777" w:rsidR="0046266C" w:rsidRDefault="0046266C" w:rsidP="00D7021E">
      <w:pPr>
        <w:tabs>
          <w:tab w:val="right" w:pos="8931"/>
        </w:tabs>
        <w:spacing w:after="0" w:line="360" w:lineRule="auto"/>
      </w:pPr>
    </w:p>
    <w:p w14:paraId="731DFF39" w14:textId="77777777" w:rsidR="0046266C" w:rsidRDefault="0046266C" w:rsidP="00D7021E">
      <w:pPr>
        <w:tabs>
          <w:tab w:val="right" w:pos="8931"/>
        </w:tabs>
        <w:spacing w:after="0" w:line="360" w:lineRule="auto"/>
      </w:pPr>
    </w:p>
    <w:p w14:paraId="60D52CA2" w14:textId="77777777" w:rsidR="0046266C" w:rsidRDefault="0046266C" w:rsidP="00D7021E">
      <w:pPr>
        <w:tabs>
          <w:tab w:val="right" w:pos="8931"/>
        </w:tabs>
        <w:spacing w:after="0" w:line="360" w:lineRule="auto"/>
      </w:pPr>
    </w:p>
    <w:p w14:paraId="6D1E37AA" w14:textId="77777777" w:rsidR="0046266C" w:rsidRDefault="0046266C" w:rsidP="00D7021E">
      <w:pPr>
        <w:tabs>
          <w:tab w:val="right" w:pos="8931"/>
        </w:tabs>
        <w:spacing w:after="0" w:line="360" w:lineRule="auto"/>
      </w:pPr>
    </w:p>
    <w:p w14:paraId="3B4A556A" w14:textId="77777777" w:rsidR="0046266C" w:rsidRDefault="0046266C" w:rsidP="00D7021E">
      <w:pPr>
        <w:tabs>
          <w:tab w:val="right" w:pos="8931"/>
        </w:tabs>
        <w:spacing w:after="0" w:line="360" w:lineRule="auto"/>
      </w:pPr>
    </w:p>
    <w:p w14:paraId="2DBBA9A3" w14:textId="77777777" w:rsidR="0046266C" w:rsidRDefault="0046266C" w:rsidP="00D7021E">
      <w:pPr>
        <w:tabs>
          <w:tab w:val="right" w:pos="8931"/>
        </w:tabs>
        <w:spacing w:after="0" w:line="360" w:lineRule="auto"/>
      </w:pPr>
    </w:p>
    <w:p w14:paraId="13679BCC" w14:textId="77777777" w:rsidR="0046266C" w:rsidRDefault="0046266C" w:rsidP="00D7021E">
      <w:pPr>
        <w:tabs>
          <w:tab w:val="right" w:pos="8931"/>
        </w:tabs>
        <w:spacing w:after="0" w:line="360" w:lineRule="auto"/>
      </w:pPr>
    </w:p>
    <w:p w14:paraId="08D0A2D3" w14:textId="77777777" w:rsidR="0046266C" w:rsidRDefault="0046266C" w:rsidP="00D7021E">
      <w:pPr>
        <w:tabs>
          <w:tab w:val="right" w:pos="8931"/>
        </w:tabs>
        <w:spacing w:after="0" w:line="360" w:lineRule="auto"/>
      </w:pPr>
    </w:p>
    <w:p w14:paraId="47033798" w14:textId="77777777" w:rsidR="0046266C" w:rsidRDefault="0046266C" w:rsidP="00D7021E">
      <w:pPr>
        <w:tabs>
          <w:tab w:val="right" w:pos="8931"/>
        </w:tabs>
        <w:spacing w:after="0" w:line="360" w:lineRule="auto"/>
      </w:pPr>
    </w:p>
    <w:p w14:paraId="61788BDF" w14:textId="77777777" w:rsidR="0046266C" w:rsidRDefault="0046266C" w:rsidP="00D7021E">
      <w:pPr>
        <w:tabs>
          <w:tab w:val="right" w:pos="8931"/>
        </w:tabs>
        <w:spacing w:after="0" w:line="360" w:lineRule="auto"/>
      </w:pPr>
    </w:p>
    <w:p w14:paraId="689AD90E" w14:textId="77777777" w:rsidR="0046266C" w:rsidRPr="0098186F" w:rsidRDefault="0046266C" w:rsidP="00D7021E">
      <w:pPr>
        <w:tabs>
          <w:tab w:val="right" w:pos="8931"/>
        </w:tabs>
        <w:spacing w:after="0" w:line="360" w:lineRule="auto"/>
      </w:pPr>
    </w:p>
    <w:p w14:paraId="543728D1" w14:textId="77777777" w:rsidR="00E864E9" w:rsidRPr="0098186F" w:rsidRDefault="00E864E9" w:rsidP="00D7021E">
      <w:pPr>
        <w:tabs>
          <w:tab w:val="right" w:pos="8931"/>
        </w:tabs>
        <w:spacing w:after="0" w:line="360" w:lineRule="auto"/>
      </w:pPr>
    </w:p>
    <w:p w14:paraId="0E4439D0" w14:textId="5EC504C4" w:rsidR="007B58B9" w:rsidRPr="0098186F" w:rsidRDefault="007B58B9" w:rsidP="00D7021E">
      <w:pPr>
        <w:spacing w:after="0" w:line="360" w:lineRule="auto"/>
      </w:pPr>
    </w:p>
    <w:p w14:paraId="26916C77" w14:textId="494FEA66" w:rsidR="00A37EDE" w:rsidRPr="0098186F" w:rsidRDefault="00A37EDE" w:rsidP="00D7021E">
      <w:pPr>
        <w:spacing w:after="0" w:line="360" w:lineRule="auto"/>
      </w:pPr>
    </w:p>
    <w:sectPr w:rsidR="00A37EDE" w:rsidRPr="0098186F" w:rsidSect="000B49C4">
      <w:headerReference w:type="even" r:id="rId17"/>
      <w:headerReference w:type="default" r:id="rId18"/>
      <w:footerReference w:type="even" r:id="rId19"/>
      <w:footerReference w:type="default" r:id="rId20"/>
      <w:headerReference w:type="first" r:id="rId21"/>
      <w:footerReference w:type="first" r:id="rId22"/>
      <w:pgSz w:w="12240" w:h="15840"/>
      <w:pgMar w:top="1418" w:right="1608" w:bottom="1560" w:left="1701" w:header="222" w:footer="709"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6A2772" w14:textId="77777777" w:rsidR="00C01A0E" w:rsidRDefault="00C01A0E">
      <w:pPr>
        <w:spacing w:after="0" w:line="240" w:lineRule="auto"/>
      </w:pPr>
      <w:r>
        <w:separator/>
      </w:r>
    </w:p>
  </w:endnote>
  <w:endnote w:type="continuationSeparator" w:id="0">
    <w:p w14:paraId="11B2F1FA" w14:textId="77777777" w:rsidR="00C01A0E" w:rsidRDefault="00C01A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Noto Sans Symbols">
    <w:altName w:val="Calibri"/>
    <w:charset w:val="00"/>
    <w:family w:val="auto"/>
    <w:pitch w:val="default"/>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CC53DA" w14:textId="77777777" w:rsidR="00F66FB0" w:rsidRDefault="00F66FB0">
    <w:pPr>
      <w:pBdr>
        <w:top w:val="nil"/>
        <w:left w:val="nil"/>
        <w:bottom w:val="nil"/>
        <w:right w:val="nil"/>
        <w:between w:val="nil"/>
      </w:pBdr>
      <w:tabs>
        <w:tab w:val="center" w:pos="4419"/>
        <w:tab w:val="right" w:pos="8838"/>
      </w:tabs>
      <w:spacing w:after="0" w:line="240" w:lineRule="auto"/>
      <w:jc w:val="right"/>
      <w:rPr>
        <w:color w:val="000000"/>
      </w:rPr>
    </w:pPr>
    <w:r>
      <w:rPr>
        <w:color w:val="000000"/>
      </w:rPr>
      <w:t xml:space="preserve">Página </w:t>
    </w:r>
    <w:r>
      <w:rPr>
        <w:b/>
        <w:color w:val="000000"/>
        <w:sz w:val="24"/>
        <w:szCs w:val="24"/>
      </w:rPr>
      <w:fldChar w:fldCharType="begin"/>
    </w:r>
    <w:r>
      <w:rPr>
        <w:b/>
        <w:color w:val="000000"/>
        <w:sz w:val="24"/>
        <w:szCs w:val="24"/>
      </w:rPr>
      <w:instrText>PAGE</w:instrText>
    </w:r>
    <w:r>
      <w:rPr>
        <w:b/>
        <w:color w:val="000000"/>
        <w:sz w:val="24"/>
        <w:szCs w:val="24"/>
      </w:rPr>
      <w:fldChar w:fldCharType="end"/>
    </w:r>
    <w:r>
      <w:rPr>
        <w:color w:val="000000"/>
      </w:rPr>
      <w:t xml:space="preserve"> de </w:t>
    </w:r>
    <w:r>
      <w:rPr>
        <w:b/>
        <w:color w:val="000000"/>
        <w:sz w:val="24"/>
        <w:szCs w:val="24"/>
      </w:rPr>
      <w:fldChar w:fldCharType="begin"/>
    </w:r>
    <w:r>
      <w:rPr>
        <w:b/>
        <w:color w:val="000000"/>
        <w:sz w:val="24"/>
        <w:szCs w:val="24"/>
      </w:rPr>
      <w:instrText>NUMPAGES</w:instrText>
    </w:r>
    <w:r>
      <w:rPr>
        <w:b/>
        <w:color w:val="000000"/>
        <w:sz w:val="24"/>
        <w:szCs w:val="24"/>
      </w:rPr>
      <w:fldChar w:fldCharType="separate"/>
    </w:r>
    <w:r w:rsidR="006561C9">
      <w:rPr>
        <w:b/>
        <w:noProof/>
        <w:color w:val="000000"/>
        <w:sz w:val="24"/>
        <w:szCs w:val="24"/>
      </w:rPr>
      <w:t>45</w:t>
    </w:r>
    <w:r>
      <w:rPr>
        <w:b/>
        <w:color w:val="000000"/>
        <w:sz w:val="24"/>
        <w:szCs w:val="24"/>
      </w:rPr>
      <w:fldChar w:fldCharType="end"/>
    </w:r>
  </w:p>
  <w:p w14:paraId="7EB9860B" w14:textId="77777777" w:rsidR="00F66FB0" w:rsidRDefault="00F66FB0">
    <w:pPr>
      <w:pBdr>
        <w:top w:val="nil"/>
        <w:left w:val="nil"/>
        <w:bottom w:val="nil"/>
        <w:right w:val="nil"/>
        <w:between w:val="nil"/>
      </w:pBdr>
      <w:tabs>
        <w:tab w:val="center" w:pos="4419"/>
        <w:tab w:val="right" w:pos="8838"/>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E28E74" w14:textId="39395077" w:rsidR="00F66FB0" w:rsidRDefault="00F66FB0">
    <w:pPr>
      <w:pBdr>
        <w:top w:val="nil"/>
        <w:left w:val="nil"/>
        <w:bottom w:val="nil"/>
        <w:right w:val="nil"/>
        <w:between w:val="nil"/>
      </w:pBdr>
      <w:tabs>
        <w:tab w:val="center" w:pos="4419"/>
        <w:tab w:val="right" w:pos="8838"/>
      </w:tabs>
      <w:spacing w:after="0" w:line="240" w:lineRule="auto"/>
      <w:jc w:val="right"/>
      <w:rPr>
        <w:color w:val="000000"/>
      </w:rPr>
    </w:pPr>
    <w:r>
      <w:rPr>
        <w:color w:val="000000"/>
      </w:rPr>
      <w:t xml:space="preserve">Página </w:t>
    </w:r>
    <w:r>
      <w:rPr>
        <w:b/>
        <w:color w:val="000000"/>
        <w:sz w:val="24"/>
        <w:szCs w:val="24"/>
      </w:rPr>
      <w:fldChar w:fldCharType="begin"/>
    </w:r>
    <w:r>
      <w:rPr>
        <w:b/>
        <w:color w:val="000000"/>
        <w:sz w:val="24"/>
        <w:szCs w:val="24"/>
      </w:rPr>
      <w:instrText>PAGE</w:instrText>
    </w:r>
    <w:r>
      <w:rPr>
        <w:b/>
        <w:color w:val="000000"/>
        <w:sz w:val="24"/>
        <w:szCs w:val="24"/>
      </w:rPr>
      <w:fldChar w:fldCharType="separate"/>
    </w:r>
    <w:r w:rsidR="006561C9">
      <w:rPr>
        <w:b/>
        <w:noProof/>
        <w:color w:val="000000"/>
        <w:sz w:val="24"/>
        <w:szCs w:val="24"/>
      </w:rPr>
      <w:t>44</w:t>
    </w:r>
    <w:r>
      <w:rPr>
        <w:b/>
        <w:color w:val="000000"/>
        <w:sz w:val="24"/>
        <w:szCs w:val="24"/>
      </w:rPr>
      <w:fldChar w:fldCharType="end"/>
    </w:r>
    <w:r>
      <w:rPr>
        <w:color w:val="000000"/>
      </w:rPr>
      <w:t xml:space="preserve"> de </w:t>
    </w:r>
    <w:r>
      <w:rPr>
        <w:b/>
        <w:color w:val="000000"/>
        <w:sz w:val="24"/>
        <w:szCs w:val="24"/>
      </w:rPr>
      <w:fldChar w:fldCharType="begin"/>
    </w:r>
    <w:r>
      <w:rPr>
        <w:b/>
        <w:color w:val="000000"/>
        <w:sz w:val="24"/>
        <w:szCs w:val="24"/>
      </w:rPr>
      <w:instrText>NUMPAGES</w:instrText>
    </w:r>
    <w:r>
      <w:rPr>
        <w:b/>
        <w:color w:val="000000"/>
        <w:sz w:val="24"/>
        <w:szCs w:val="24"/>
      </w:rPr>
      <w:fldChar w:fldCharType="separate"/>
    </w:r>
    <w:r w:rsidR="006561C9">
      <w:rPr>
        <w:b/>
        <w:noProof/>
        <w:color w:val="000000"/>
        <w:sz w:val="24"/>
        <w:szCs w:val="24"/>
      </w:rPr>
      <w:t>45</w:t>
    </w:r>
    <w:r>
      <w:rPr>
        <w:b/>
        <w:color w:val="000000"/>
        <w:sz w:val="24"/>
        <w:szCs w:val="24"/>
      </w:rPr>
      <w:fldChar w:fldCharType="end"/>
    </w:r>
  </w:p>
  <w:p w14:paraId="0D7FA8D9" w14:textId="77777777" w:rsidR="00F66FB0" w:rsidRDefault="00F66FB0">
    <w:pPr>
      <w:pBdr>
        <w:top w:val="nil"/>
        <w:left w:val="nil"/>
        <w:bottom w:val="nil"/>
        <w:right w:val="nil"/>
        <w:between w:val="nil"/>
      </w:pBdr>
      <w:tabs>
        <w:tab w:val="center" w:pos="4419"/>
        <w:tab w:val="right" w:pos="8838"/>
      </w:tabs>
      <w:spacing w:after="0" w:line="240" w:lineRule="auto"/>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3ECEF7" w14:textId="77777777" w:rsidR="00F66FB0" w:rsidRDefault="00F66FB0">
    <w:pPr>
      <w:pBdr>
        <w:top w:val="nil"/>
        <w:left w:val="nil"/>
        <w:bottom w:val="nil"/>
        <w:right w:val="nil"/>
        <w:between w:val="nil"/>
      </w:pBdr>
      <w:tabs>
        <w:tab w:val="center" w:pos="4419"/>
        <w:tab w:val="right" w:pos="8838"/>
      </w:tabs>
      <w:spacing w:after="0" w:line="240" w:lineRule="auto"/>
      <w:jc w:val="right"/>
      <w:rPr>
        <w:color w:val="000000"/>
      </w:rPr>
    </w:pPr>
    <w:r>
      <w:rPr>
        <w:color w:val="000000"/>
      </w:rPr>
      <w:t xml:space="preserve">Página </w:t>
    </w:r>
    <w:r>
      <w:rPr>
        <w:b/>
        <w:color w:val="000000"/>
        <w:sz w:val="24"/>
        <w:szCs w:val="24"/>
      </w:rPr>
      <w:fldChar w:fldCharType="begin"/>
    </w:r>
    <w:r>
      <w:rPr>
        <w:b/>
        <w:color w:val="000000"/>
        <w:sz w:val="24"/>
        <w:szCs w:val="24"/>
      </w:rPr>
      <w:instrText>PAGE</w:instrText>
    </w:r>
    <w:r>
      <w:rPr>
        <w:b/>
        <w:color w:val="000000"/>
        <w:sz w:val="24"/>
        <w:szCs w:val="24"/>
      </w:rPr>
      <w:fldChar w:fldCharType="separate"/>
    </w:r>
    <w:r w:rsidR="006561C9">
      <w:rPr>
        <w:b/>
        <w:noProof/>
        <w:color w:val="000000"/>
        <w:sz w:val="24"/>
        <w:szCs w:val="24"/>
      </w:rPr>
      <w:t>1</w:t>
    </w:r>
    <w:r>
      <w:rPr>
        <w:b/>
        <w:color w:val="000000"/>
        <w:sz w:val="24"/>
        <w:szCs w:val="24"/>
      </w:rPr>
      <w:fldChar w:fldCharType="end"/>
    </w:r>
    <w:r>
      <w:rPr>
        <w:color w:val="000000"/>
      </w:rPr>
      <w:t xml:space="preserve"> de </w:t>
    </w:r>
    <w:r>
      <w:rPr>
        <w:b/>
        <w:color w:val="000000"/>
        <w:sz w:val="24"/>
        <w:szCs w:val="24"/>
      </w:rPr>
      <w:fldChar w:fldCharType="begin"/>
    </w:r>
    <w:r>
      <w:rPr>
        <w:b/>
        <w:color w:val="000000"/>
        <w:sz w:val="24"/>
        <w:szCs w:val="24"/>
      </w:rPr>
      <w:instrText>NUMPAGES</w:instrText>
    </w:r>
    <w:r>
      <w:rPr>
        <w:b/>
        <w:color w:val="000000"/>
        <w:sz w:val="24"/>
        <w:szCs w:val="24"/>
      </w:rPr>
      <w:fldChar w:fldCharType="separate"/>
    </w:r>
    <w:r w:rsidR="006561C9">
      <w:rPr>
        <w:b/>
        <w:noProof/>
        <w:color w:val="000000"/>
        <w:sz w:val="24"/>
        <w:szCs w:val="24"/>
      </w:rPr>
      <w:t>45</w:t>
    </w:r>
    <w:r>
      <w:rPr>
        <w:b/>
        <w:color w:val="000000"/>
        <w:sz w:val="24"/>
        <w:szCs w:val="24"/>
      </w:rPr>
      <w:fldChar w:fldCharType="end"/>
    </w:r>
  </w:p>
  <w:p w14:paraId="6796AF5F" w14:textId="77777777" w:rsidR="00F66FB0" w:rsidRDefault="00F66FB0">
    <w:pPr>
      <w:pBdr>
        <w:top w:val="nil"/>
        <w:left w:val="nil"/>
        <w:bottom w:val="nil"/>
        <w:right w:val="nil"/>
        <w:between w:val="nil"/>
      </w:pBdr>
      <w:tabs>
        <w:tab w:val="center" w:pos="4419"/>
        <w:tab w:val="right" w:pos="8838"/>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295E35" w14:textId="77777777" w:rsidR="00C01A0E" w:rsidRDefault="00C01A0E">
      <w:pPr>
        <w:spacing w:after="0" w:line="240" w:lineRule="auto"/>
      </w:pPr>
      <w:r>
        <w:separator/>
      </w:r>
    </w:p>
  </w:footnote>
  <w:footnote w:type="continuationSeparator" w:id="0">
    <w:p w14:paraId="6FDD292A" w14:textId="77777777" w:rsidR="00C01A0E" w:rsidRDefault="00C01A0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0A9F14" w14:textId="77777777" w:rsidR="00F66FB0" w:rsidRDefault="00F66FB0">
    <w:pPr>
      <w:widowControl w:val="0"/>
      <w:pBdr>
        <w:top w:val="nil"/>
        <w:left w:val="nil"/>
        <w:bottom w:val="nil"/>
        <w:right w:val="nil"/>
        <w:between w:val="nil"/>
      </w:pBdr>
      <w:spacing w:after="0" w:line="276" w:lineRule="auto"/>
      <w:jc w:val="left"/>
      <w:rPr>
        <w:color w:val="000000"/>
      </w:rPr>
    </w:pPr>
  </w:p>
  <w:tbl>
    <w:tblPr>
      <w:tblStyle w:val="2"/>
      <w:tblW w:w="6096" w:type="dxa"/>
      <w:tblInd w:w="2835" w:type="dxa"/>
      <w:tblBorders>
        <w:top w:val="nil"/>
        <w:left w:val="nil"/>
        <w:bottom w:val="nil"/>
        <w:right w:val="nil"/>
        <w:insideH w:val="nil"/>
        <w:insideV w:val="nil"/>
      </w:tblBorders>
      <w:tblLayout w:type="fixed"/>
      <w:tblLook w:val="0400" w:firstRow="0" w:lastRow="0" w:firstColumn="0" w:lastColumn="0" w:noHBand="0" w:noVBand="1"/>
    </w:tblPr>
    <w:tblGrid>
      <w:gridCol w:w="2691"/>
      <w:gridCol w:w="3405"/>
    </w:tblGrid>
    <w:tr w:rsidR="00F66FB0" w14:paraId="10C29E94" w14:textId="77777777">
      <w:trPr>
        <w:trHeight w:val="132"/>
      </w:trPr>
      <w:tc>
        <w:tcPr>
          <w:tcW w:w="2691" w:type="dxa"/>
        </w:tcPr>
        <w:p w14:paraId="7D85A4B8" w14:textId="77777777" w:rsidR="00F66FB0" w:rsidRDefault="00F66FB0">
          <w:pPr>
            <w:tabs>
              <w:tab w:val="right" w:pos="8838"/>
            </w:tabs>
            <w:ind w:right="-105"/>
            <w:rPr>
              <w:b/>
            </w:rPr>
          </w:pPr>
          <w:r>
            <w:rPr>
              <w:b/>
            </w:rPr>
            <w:t>Recurso de Revisión:</w:t>
          </w:r>
        </w:p>
      </w:tc>
      <w:tc>
        <w:tcPr>
          <w:tcW w:w="3405" w:type="dxa"/>
        </w:tcPr>
        <w:p w14:paraId="0B0D1A9D" w14:textId="77777777" w:rsidR="00F66FB0" w:rsidRDefault="00F66FB0">
          <w:pPr>
            <w:tabs>
              <w:tab w:val="right" w:pos="8838"/>
            </w:tabs>
            <w:ind w:left="-28" w:right="-32"/>
          </w:pPr>
          <w:r>
            <w:t>03846/INFOEM/IP/RR/2020</w:t>
          </w:r>
        </w:p>
      </w:tc>
    </w:tr>
    <w:tr w:rsidR="00F66FB0" w14:paraId="2F47AC72" w14:textId="77777777">
      <w:trPr>
        <w:trHeight w:val="261"/>
      </w:trPr>
      <w:tc>
        <w:tcPr>
          <w:tcW w:w="2691" w:type="dxa"/>
        </w:tcPr>
        <w:p w14:paraId="154A4752" w14:textId="77777777" w:rsidR="00F66FB0" w:rsidRDefault="00F66FB0">
          <w:pPr>
            <w:tabs>
              <w:tab w:val="right" w:pos="8838"/>
            </w:tabs>
            <w:ind w:right="-105"/>
            <w:rPr>
              <w:b/>
            </w:rPr>
          </w:pPr>
          <w:r>
            <w:rPr>
              <w:b/>
            </w:rPr>
            <w:t>Sujeto Obligado:</w:t>
          </w:r>
        </w:p>
      </w:tc>
      <w:tc>
        <w:tcPr>
          <w:tcW w:w="3405" w:type="dxa"/>
        </w:tcPr>
        <w:p w14:paraId="5D9EC711" w14:textId="77777777" w:rsidR="00F66FB0" w:rsidRDefault="00F66FB0">
          <w:pPr>
            <w:tabs>
              <w:tab w:val="right" w:pos="8838"/>
            </w:tabs>
            <w:ind w:right="-32"/>
          </w:pPr>
          <w:r>
            <w:t>Ayuntamiento de Temascalcingo</w:t>
          </w:r>
        </w:p>
      </w:tc>
    </w:tr>
    <w:tr w:rsidR="00F66FB0" w14:paraId="11FBB450" w14:textId="77777777">
      <w:trPr>
        <w:trHeight w:val="261"/>
      </w:trPr>
      <w:tc>
        <w:tcPr>
          <w:tcW w:w="2691" w:type="dxa"/>
        </w:tcPr>
        <w:p w14:paraId="6BAF6003" w14:textId="77777777" w:rsidR="00F66FB0" w:rsidRDefault="00F66FB0">
          <w:pPr>
            <w:tabs>
              <w:tab w:val="right" w:pos="8838"/>
            </w:tabs>
            <w:ind w:right="-105"/>
            <w:rPr>
              <w:b/>
            </w:rPr>
          </w:pPr>
          <w:r>
            <w:rPr>
              <w:b/>
            </w:rPr>
            <w:t>Comisionado Ponente:</w:t>
          </w:r>
        </w:p>
      </w:tc>
      <w:tc>
        <w:tcPr>
          <w:tcW w:w="3405" w:type="dxa"/>
        </w:tcPr>
        <w:p w14:paraId="420341AF" w14:textId="77777777" w:rsidR="00F66FB0" w:rsidRDefault="00F66FB0">
          <w:pPr>
            <w:tabs>
              <w:tab w:val="right" w:pos="8838"/>
            </w:tabs>
            <w:ind w:right="-32"/>
            <w:rPr>
              <w:b/>
            </w:rPr>
          </w:pPr>
          <w:r>
            <w:t>Luis Gustavo Parra Noriega</w:t>
          </w:r>
        </w:p>
      </w:tc>
    </w:tr>
  </w:tbl>
  <w:p w14:paraId="00411D75" w14:textId="77777777" w:rsidR="00F66FB0" w:rsidRDefault="00C01A0E">
    <w:pPr>
      <w:pBdr>
        <w:top w:val="nil"/>
        <w:left w:val="nil"/>
        <w:bottom w:val="nil"/>
        <w:right w:val="nil"/>
        <w:between w:val="nil"/>
      </w:pBdr>
      <w:tabs>
        <w:tab w:val="center" w:pos="4419"/>
        <w:tab w:val="right" w:pos="8838"/>
      </w:tabs>
      <w:spacing w:after="0" w:line="240" w:lineRule="auto"/>
      <w:rPr>
        <w:color w:val="000000"/>
      </w:rPr>
    </w:pPr>
    <w:r>
      <w:rPr>
        <w:color w:val="000000"/>
      </w:rPr>
      <w:pict w14:anchorId="10BC195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1027" type="#_x0000_t75" alt="MARCA DE AGUA - HOJA RESOLUCIÓN" style="position:absolute;left:0;text-align:left;margin-left:0;margin-top:0;width:663.5pt;height:12in;z-index:-251657728;mso-wrap-edited:f;mso-width-percent:0;mso-height-percent:0;mso-position-horizontal:center;mso-position-horizontal-relative:margin;mso-position-vertical:center;mso-position-vertical-relative:margin;mso-width-percent:0;mso-height-percent:0">
          <v:imagedata r:id="rId1" o:title="image5"/>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C8C837" w14:textId="67B323BB" w:rsidR="00F66FB0" w:rsidRDefault="00C01A0E">
    <w:pPr>
      <w:widowControl w:val="0"/>
      <w:pBdr>
        <w:top w:val="nil"/>
        <w:left w:val="nil"/>
        <w:bottom w:val="nil"/>
        <w:right w:val="nil"/>
        <w:between w:val="nil"/>
      </w:pBdr>
      <w:spacing w:after="0" w:line="276" w:lineRule="auto"/>
      <w:jc w:val="left"/>
    </w:pPr>
    <w:r>
      <w:rPr>
        <w:color w:val="000000"/>
      </w:rPr>
      <w:pict w14:anchorId="2BE0A02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1026" type="#_x0000_t75" alt="MARCA DE AGUA - HOJA RESOLUCIÓN" style="position:absolute;margin-left:-82.35pt;margin-top:-141.35pt;width:663.5pt;height:12in;z-index:-251659776;mso-wrap-edited:f;mso-width-percent:0;mso-height-percent:0;mso-position-horizontal-relative:margin;mso-position-vertical-relative:margin;mso-width-percent:0;mso-height-percent:0">
          <v:imagedata r:id="rId1" o:title="image5"/>
          <w10:wrap anchorx="margin" anchory="margin"/>
        </v:shape>
      </w:pict>
    </w:r>
  </w:p>
  <w:tbl>
    <w:tblPr>
      <w:tblStyle w:val="3"/>
      <w:tblW w:w="7371" w:type="dxa"/>
      <w:tblInd w:w="2835" w:type="dxa"/>
      <w:tblBorders>
        <w:top w:val="nil"/>
        <w:left w:val="nil"/>
        <w:bottom w:val="nil"/>
        <w:right w:val="nil"/>
        <w:insideH w:val="nil"/>
        <w:insideV w:val="nil"/>
      </w:tblBorders>
      <w:tblLayout w:type="fixed"/>
      <w:tblLook w:val="0400" w:firstRow="0" w:lastRow="0" w:firstColumn="0" w:lastColumn="0" w:noHBand="0" w:noVBand="1"/>
    </w:tblPr>
    <w:tblGrid>
      <w:gridCol w:w="2268"/>
      <w:gridCol w:w="5103"/>
    </w:tblGrid>
    <w:tr w:rsidR="00F66FB0" w14:paraId="40D5D5A3" w14:textId="77777777" w:rsidTr="005D7047">
      <w:trPr>
        <w:trHeight w:val="138"/>
      </w:trPr>
      <w:tc>
        <w:tcPr>
          <w:tcW w:w="2268" w:type="dxa"/>
          <w:vAlign w:val="center"/>
        </w:tcPr>
        <w:p w14:paraId="43377EBE" w14:textId="77777777" w:rsidR="00F66FB0" w:rsidRDefault="00F66FB0" w:rsidP="008C266D">
          <w:pPr>
            <w:tabs>
              <w:tab w:val="right" w:pos="8838"/>
            </w:tabs>
            <w:ind w:left="-108" w:right="-105"/>
            <w:jc w:val="left"/>
            <w:rPr>
              <w:b/>
            </w:rPr>
          </w:pPr>
        </w:p>
        <w:p w14:paraId="1DB5C8D0" w14:textId="7E98B3D2" w:rsidR="00F66FB0" w:rsidRDefault="00F66FB0" w:rsidP="008C266D">
          <w:pPr>
            <w:tabs>
              <w:tab w:val="right" w:pos="8838"/>
            </w:tabs>
            <w:ind w:left="-108" w:right="-105"/>
            <w:jc w:val="left"/>
            <w:rPr>
              <w:b/>
            </w:rPr>
          </w:pPr>
          <w:r>
            <w:rPr>
              <w:b/>
            </w:rPr>
            <w:t>Recurso de Revisión:</w:t>
          </w:r>
        </w:p>
      </w:tc>
      <w:tc>
        <w:tcPr>
          <w:tcW w:w="5103" w:type="dxa"/>
        </w:tcPr>
        <w:p w14:paraId="5BCC69C4" w14:textId="77777777" w:rsidR="00F66FB0" w:rsidRPr="00EF0C39" w:rsidRDefault="00F66FB0" w:rsidP="008C266D">
          <w:pPr>
            <w:tabs>
              <w:tab w:val="right" w:pos="8838"/>
            </w:tabs>
            <w:ind w:right="57"/>
          </w:pPr>
        </w:p>
        <w:p w14:paraId="61E59D71" w14:textId="2CFD3364" w:rsidR="00F66FB0" w:rsidRPr="00EF0C39" w:rsidRDefault="00F66FB0" w:rsidP="005A3D7C">
          <w:pPr>
            <w:tabs>
              <w:tab w:val="right" w:pos="8838"/>
            </w:tabs>
            <w:ind w:right="57"/>
          </w:pPr>
          <w:r>
            <w:t xml:space="preserve">05651/INFOEM/IP/RR/2026 y acumulado </w:t>
          </w:r>
        </w:p>
      </w:tc>
    </w:tr>
    <w:tr w:rsidR="00F66FB0" w14:paraId="7A281F30" w14:textId="77777777" w:rsidTr="005D7047">
      <w:trPr>
        <w:trHeight w:val="273"/>
      </w:trPr>
      <w:tc>
        <w:tcPr>
          <w:tcW w:w="2268" w:type="dxa"/>
        </w:tcPr>
        <w:p w14:paraId="6671A308" w14:textId="77777777" w:rsidR="00F66FB0" w:rsidRDefault="00F66FB0" w:rsidP="008C266D">
          <w:pPr>
            <w:tabs>
              <w:tab w:val="right" w:pos="8838"/>
            </w:tabs>
            <w:ind w:left="-108" w:right="-105"/>
            <w:rPr>
              <w:b/>
            </w:rPr>
          </w:pPr>
          <w:r>
            <w:rPr>
              <w:b/>
            </w:rPr>
            <w:t>Sujeto Obligado:</w:t>
          </w:r>
        </w:p>
      </w:tc>
      <w:tc>
        <w:tcPr>
          <w:tcW w:w="5103" w:type="dxa"/>
        </w:tcPr>
        <w:p w14:paraId="30885B6D" w14:textId="26256F06" w:rsidR="00F66FB0" w:rsidRPr="00EF0C39" w:rsidRDefault="00F66FB0" w:rsidP="007B4717">
          <w:pPr>
            <w:tabs>
              <w:tab w:val="right" w:pos="8838"/>
            </w:tabs>
            <w:ind w:right="180"/>
          </w:pPr>
          <w:r w:rsidRPr="005D7047">
            <w:t>Ayuntamiento de Tianguistenco</w:t>
          </w:r>
        </w:p>
      </w:tc>
    </w:tr>
    <w:tr w:rsidR="00F66FB0" w14:paraId="00C22F2F" w14:textId="77777777" w:rsidTr="005D7047">
      <w:trPr>
        <w:trHeight w:val="273"/>
      </w:trPr>
      <w:tc>
        <w:tcPr>
          <w:tcW w:w="2268" w:type="dxa"/>
        </w:tcPr>
        <w:p w14:paraId="70417649" w14:textId="77777777" w:rsidR="00F66FB0" w:rsidRDefault="00F66FB0" w:rsidP="008C266D">
          <w:pPr>
            <w:tabs>
              <w:tab w:val="right" w:pos="8838"/>
            </w:tabs>
            <w:ind w:left="-108" w:right="-105"/>
            <w:rPr>
              <w:b/>
            </w:rPr>
          </w:pPr>
          <w:r>
            <w:rPr>
              <w:b/>
            </w:rPr>
            <w:t>Comisionado Ponente:</w:t>
          </w:r>
        </w:p>
      </w:tc>
      <w:tc>
        <w:tcPr>
          <w:tcW w:w="5103" w:type="dxa"/>
        </w:tcPr>
        <w:p w14:paraId="5E6EB38B" w14:textId="77777777" w:rsidR="00F66FB0" w:rsidRPr="00EF0C39" w:rsidRDefault="00F66FB0" w:rsidP="008C266D">
          <w:pPr>
            <w:tabs>
              <w:tab w:val="right" w:pos="8838"/>
            </w:tabs>
            <w:ind w:right="-170"/>
          </w:pPr>
          <w:r w:rsidRPr="00EF0C39">
            <w:t>Luis Gustavo Parra Noriega</w:t>
          </w:r>
        </w:p>
        <w:p w14:paraId="1A63C67B" w14:textId="77777777" w:rsidR="00F66FB0" w:rsidRPr="00EF0C39" w:rsidRDefault="00F66FB0" w:rsidP="008C266D">
          <w:pPr>
            <w:tabs>
              <w:tab w:val="right" w:pos="8838"/>
            </w:tabs>
            <w:ind w:right="-170"/>
            <w:rPr>
              <w:b/>
            </w:rPr>
          </w:pPr>
        </w:p>
      </w:tc>
    </w:tr>
  </w:tbl>
  <w:p w14:paraId="3498D107" w14:textId="7E17876C" w:rsidR="00F66FB0" w:rsidRDefault="00F66FB0" w:rsidP="008C266D">
    <w:pPr>
      <w:pBdr>
        <w:top w:val="nil"/>
        <w:left w:val="nil"/>
        <w:bottom w:val="nil"/>
        <w:right w:val="nil"/>
        <w:between w:val="nil"/>
      </w:pBdr>
      <w:tabs>
        <w:tab w:val="center" w:pos="4419"/>
        <w:tab w:val="right" w:pos="8838"/>
      </w:tabs>
      <w:spacing w:after="0" w:line="240" w:lineRule="auto"/>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7AA3F9" w14:textId="2535D522" w:rsidR="00F66FB0" w:rsidRDefault="00C01A0E">
    <w:pPr>
      <w:widowControl w:val="0"/>
      <w:pBdr>
        <w:top w:val="nil"/>
        <w:left w:val="nil"/>
        <w:bottom w:val="nil"/>
        <w:right w:val="nil"/>
        <w:between w:val="nil"/>
      </w:pBdr>
      <w:spacing w:after="0" w:line="276" w:lineRule="auto"/>
      <w:jc w:val="left"/>
      <w:rPr>
        <w:color w:val="000000"/>
      </w:rPr>
    </w:pPr>
    <w:r>
      <w:rPr>
        <w:color w:val="000000"/>
      </w:rPr>
      <w:pict w14:anchorId="217C824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1025" type="#_x0000_t75" alt="MARCA DE AGUA - HOJA RESOLUCIÓN" style="position:absolute;margin-left:-97.05pt;margin-top:-126.5pt;width:663.5pt;height:12in;z-index:-251658752;mso-wrap-edited:f;mso-width-percent:0;mso-height-percent:0;mso-position-horizontal-relative:margin;mso-position-vertical-relative:margin;mso-width-percent:0;mso-height-percent:0">
          <v:imagedata r:id="rId1" o:title="image5"/>
          <w10:wrap anchorx="margin" anchory="margin"/>
        </v:shape>
      </w:pict>
    </w:r>
  </w:p>
  <w:tbl>
    <w:tblPr>
      <w:tblStyle w:val="1"/>
      <w:tblW w:w="7230" w:type="dxa"/>
      <w:tblInd w:w="2694" w:type="dxa"/>
      <w:tblBorders>
        <w:top w:val="nil"/>
        <w:left w:val="nil"/>
        <w:bottom w:val="nil"/>
        <w:right w:val="nil"/>
        <w:insideH w:val="nil"/>
        <w:insideV w:val="nil"/>
      </w:tblBorders>
      <w:tblLayout w:type="fixed"/>
      <w:tblLook w:val="0400" w:firstRow="0" w:lastRow="0" w:firstColumn="0" w:lastColumn="0" w:noHBand="0" w:noVBand="1"/>
    </w:tblPr>
    <w:tblGrid>
      <w:gridCol w:w="2551"/>
      <w:gridCol w:w="4679"/>
    </w:tblGrid>
    <w:tr w:rsidR="00F66FB0" w14:paraId="6B3232BD" w14:textId="77777777" w:rsidTr="005D7047">
      <w:trPr>
        <w:trHeight w:val="132"/>
      </w:trPr>
      <w:tc>
        <w:tcPr>
          <w:tcW w:w="2551" w:type="dxa"/>
        </w:tcPr>
        <w:p w14:paraId="38F16E2F" w14:textId="77777777" w:rsidR="00F66FB0" w:rsidRDefault="00F66FB0">
          <w:pPr>
            <w:tabs>
              <w:tab w:val="right" w:pos="8838"/>
            </w:tabs>
            <w:ind w:right="-105"/>
            <w:rPr>
              <w:b/>
            </w:rPr>
          </w:pPr>
          <w:r>
            <w:rPr>
              <w:b/>
            </w:rPr>
            <w:t>Recurso de Revisión:</w:t>
          </w:r>
        </w:p>
      </w:tc>
      <w:tc>
        <w:tcPr>
          <w:tcW w:w="4679" w:type="dxa"/>
        </w:tcPr>
        <w:p w14:paraId="211CDC0A" w14:textId="784702CF" w:rsidR="00F66FB0" w:rsidRPr="00026C6B" w:rsidRDefault="00F66FB0" w:rsidP="00420FDE">
          <w:pPr>
            <w:ind w:right="317"/>
          </w:pPr>
          <w:r>
            <w:t>05651/INFOEM/IP/RR/2026 y acumulado</w:t>
          </w:r>
        </w:p>
      </w:tc>
    </w:tr>
    <w:tr w:rsidR="00F66FB0" w14:paraId="6AA3CC58" w14:textId="77777777" w:rsidTr="005D7047">
      <w:trPr>
        <w:trHeight w:val="132"/>
      </w:trPr>
      <w:tc>
        <w:tcPr>
          <w:tcW w:w="2551" w:type="dxa"/>
        </w:tcPr>
        <w:p w14:paraId="7FD164F5" w14:textId="77777777" w:rsidR="00F66FB0" w:rsidRDefault="00F66FB0">
          <w:pPr>
            <w:tabs>
              <w:tab w:val="left" w:pos="1875"/>
            </w:tabs>
            <w:ind w:right="-105"/>
            <w:rPr>
              <w:b/>
            </w:rPr>
          </w:pPr>
          <w:r>
            <w:rPr>
              <w:b/>
            </w:rPr>
            <w:t>Recurrente:</w:t>
          </w:r>
          <w:r>
            <w:rPr>
              <w:b/>
            </w:rPr>
            <w:tab/>
          </w:r>
        </w:p>
      </w:tc>
      <w:tc>
        <w:tcPr>
          <w:tcW w:w="4679" w:type="dxa"/>
        </w:tcPr>
        <w:p w14:paraId="1F1B0537" w14:textId="0AEE8BB8" w:rsidR="00F66FB0" w:rsidRPr="00EF0C39" w:rsidRDefault="006D2AC3" w:rsidP="00565143">
          <w:pPr>
            <w:tabs>
              <w:tab w:val="right" w:pos="8838"/>
            </w:tabs>
            <w:ind w:right="321"/>
          </w:pPr>
          <w:r w:rsidRPr="006D2AC3">
            <w:rPr>
              <w:highlight w:val="black"/>
            </w:rPr>
            <w:t>XXXXXXXXX</w:t>
          </w:r>
        </w:p>
      </w:tc>
    </w:tr>
    <w:tr w:rsidR="00F66FB0" w14:paraId="5113CAA6" w14:textId="77777777" w:rsidTr="005D7047">
      <w:trPr>
        <w:trHeight w:val="261"/>
      </w:trPr>
      <w:tc>
        <w:tcPr>
          <w:tcW w:w="2551" w:type="dxa"/>
        </w:tcPr>
        <w:p w14:paraId="28E3431B" w14:textId="30EC7C18" w:rsidR="00F66FB0" w:rsidRDefault="00F66FB0">
          <w:pPr>
            <w:tabs>
              <w:tab w:val="right" w:pos="8838"/>
            </w:tabs>
            <w:ind w:right="-105"/>
            <w:rPr>
              <w:b/>
            </w:rPr>
          </w:pPr>
          <w:r>
            <w:rPr>
              <w:b/>
            </w:rPr>
            <w:t>Sujeto Obligado:</w:t>
          </w:r>
        </w:p>
      </w:tc>
      <w:tc>
        <w:tcPr>
          <w:tcW w:w="4679" w:type="dxa"/>
        </w:tcPr>
        <w:p w14:paraId="3192354E" w14:textId="11AF0A1E" w:rsidR="00F66FB0" w:rsidRPr="005D7047" w:rsidRDefault="00F66FB0" w:rsidP="00026C6B">
          <w:r w:rsidRPr="005D7047">
            <w:t>Ayuntamiento de Tianguistenco</w:t>
          </w:r>
        </w:p>
      </w:tc>
    </w:tr>
    <w:tr w:rsidR="00F66FB0" w14:paraId="5D4C2A35" w14:textId="77777777" w:rsidTr="005D7047">
      <w:trPr>
        <w:trHeight w:val="74"/>
      </w:trPr>
      <w:tc>
        <w:tcPr>
          <w:tcW w:w="2551" w:type="dxa"/>
        </w:tcPr>
        <w:p w14:paraId="7F522FEC" w14:textId="77777777" w:rsidR="00F66FB0" w:rsidRDefault="00F66FB0">
          <w:pPr>
            <w:tabs>
              <w:tab w:val="right" w:pos="8838"/>
            </w:tabs>
            <w:ind w:right="-105"/>
            <w:rPr>
              <w:b/>
            </w:rPr>
          </w:pPr>
          <w:r>
            <w:rPr>
              <w:b/>
            </w:rPr>
            <w:t>Comisionado Ponente:</w:t>
          </w:r>
        </w:p>
      </w:tc>
      <w:tc>
        <w:tcPr>
          <w:tcW w:w="4679" w:type="dxa"/>
        </w:tcPr>
        <w:p w14:paraId="0F0566F9" w14:textId="77777777" w:rsidR="00F66FB0" w:rsidRPr="00EF0C39" w:rsidRDefault="00F66FB0" w:rsidP="00C46A25">
          <w:pPr>
            <w:tabs>
              <w:tab w:val="right" w:pos="8838"/>
            </w:tabs>
            <w:ind w:right="-32"/>
            <w:rPr>
              <w:b/>
            </w:rPr>
          </w:pPr>
          <w:r w:rsidRPr="00EF0C39">
            <w:t>Luis Gustavo Parra Noriega</w:t>
          </w:r>
        </w:p>
      </w:tc>
    </w:tr>
  </w:tbl>
  <w:p w14:paraId="4DFC2598" w14:textId="568AC85F" w:rsidR="00F66FB0" w:rsidRDefault="00F66FB0">
    <w:pPr>
      <w:pBdr>
        <w:top w:val="nil"/>
        <w:left w:val="nil"/>
        <w:bottom w:val="nil"/>
        <w:right w:val="nil"/>
        <w:between w:val="nil"/>
      </w:pBdr>
      <w:tabs>
        <w:tab w:val="center" w:pos="4419"/>
        <w:tab w:val="right" w:pos="8838"/>
        <w:tab w:val="left" w:pos="5812"/>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72FDB"/>
    <w:multiLevelType w:val="hybridMultilevel"/>
    <w:tmpl w:val="FFFFFFFF"/>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4282BA4"/>
    <w:multiLevelType w:val="hybridMultilevel"/>
    <w:tmpl w:val="D1C62D32"/>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2" w15:restartNumberingAfterBreak="0">
    <w:nsid w:val="0EB3275A"/>
    <w:multiLevelType w:val="hybridMultilevel"/>
    <w:tmpl w:val="3AA6859C"/>
    <w:lvl w:ilvl="0" w:tplc="FED49E16">
      <w:start w:val="1"/>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3" w15:restartNumberingAfterBreak="0">
    <w:nsid w:val="138037DA"/>
    <w:multiLevelType w:val="hybridMultilevel"/>
    <w:tmpl w:val="D10E9D7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18EF4ABB"/>
    <w:multiLevelType w:val="hybridMultilevel"/>
    <w:tmpl w:val="3AA6859C"/>
    <w:lvl w:ilvl="0" w:tplc="FED49E16">
      <w:start w:val="1"/>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5" w15:restartNumberingAfterBreak="0">
    <w:nsid w:val="239D00A5"/>
    <w:multiLevelType w:val="hybridMultilevel"/>
    <w:tmpl w:val="7228D2E0"/>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6" w15:restartNumberingAfterBreak="0">
    <w:nsid w:val="27343C65"/>
    <w:multiLevelType w:val="hybridMultilevel"/>
    <w:tmpl w:val="3AA6859C"/>
    <w:lvl w:ilvl="0" w:tplc="FED49E16">
      <w:start w:val="1"/>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7" w15:restartNumberingAfterBreak="0">
    <w:nsid w:val="288646F5"/>
    <w:multiLevelType w:val="hybridMultilevel"/>
    <w:tmpl w:val="DF320EC8"/>
    <w:lvl w:ilvl="0" w:tplc="080A000F">
      <w:start w:val="1"/>
      <w:numFmt w:val="decimal"/>
      <w:lvlText w:val="%1."/>
      <w:lvlJc w:val="left"/>
      <w:pPr>
        <w:ind w:left="780" w:hanging="360"/>
      </w:pPr>
    </w:lvl>
    <w:lvl w:ilvl="1" w:tplc="080A0019" w:tentative="1">
      <w:start w:val="1"/>
      <w:numFmt w:val="lowerLetter"/>
      <w:lvlText w:val="%2."/>
      <w:lvlJc w:val="left"/>
      <w:pPr>
        <w:ind w:left="1500" w:hanging="360"/>
      </w:pPr>
    </w:lvl>
    <w:lvl w:ilvl="2" w:tplc="080A001B" w:tentative="1">
      <w:start w:val="1"/>
      <w:numFmt w:val="lowerRoman"/>
      <w:lvlText w:val="%3."/>
      <w:lvlJc w:val="right"/>
      <w:pPr>
        <w:ind w:left="2220" w:hanging="180"/>
      </w:pPr>
    </w:lvl>
    <w:lvl w:ilvl="3" w:tplc="080A000F" w:tentative="1">
      <w:start w:val="1"/>
      <w:numFmt w:val="decimal"/>
      <w:lvlText w:val="%4."/>
      <w:lvlJc w:val="left"/>
      <w:pPr>
        <w:ind w:left="2940" w:hanging="360"/>
      </w:pPr>
    </w:lvl>
    <w:lvl w:ilvl="4" w:tplc="080A0019" w:tentative="1">
      <w:start w:val="1"/>
      <w:numFmt w:val="lowerLetter"/>
      <w:lvlText w:val="%5."/>
      <w:lvlJc w:val="left"/>
      <w:pPr>
        <w:ind w:left="3660" w:hanging="360"/>
      </w:pPr>
    </w:lvl>
    <w:lvl w:ilvl="5" w:tplc="080A001B" w:tentative="1">
      <w:start w:val="1"/>
      <w:numFmt w:val="lowerRoman"/>
      <w:lvlText w:val="%6."/>
      <w:lvlJc w:val="right"/>
      <w:pPr>
        <w:ind w:left="4380" w:hanging="180"/>
      </w:pPr>
    </w:lvl>
    <w:lvl w:ilvl="6" w:tplc="080A000F" w:tentative="1">
      <w:start w:val="1"/>
      <w:numFmt w:val="decimal"/>
      <w:lvlText w:val="%7."/>
      <w:lvlJc w:val="left"/>
      <w:pPr>
        <w:ind w:left="5100" w:hanging="360"/>
      </w:pPr>
    </w:lvl>
    <w:lvl w:ilvl="7" w:tplc="080A0019" w:tentative="1">
      <w:start w:val="1"/>
      <w:numFmt w:val="lowerLetter"/>
      <w:lvlText w:val="%8."/>
      <w:lvlJc w:val="left"/>
      <w:pPr>
        <w:ind w:left="5820" w:hanging="360"/>
      </w:pPr>
    </w:lvl>
    <w:lvl w:ilvl="8" w:tplc="080A001B" w:tentative="1">
      <w:start w:val="1"/>
      <w:numFmt w:val="lowerRoman"/>
      <w:lvlText w:val="%9."/>
      <w:lvlJc w:val="right"/>
      <w:pPr>
        <w:ind w:left="6540" w:hanging="180"/>
      </w:pPr>
    </w:lvl>
  </w:abstractNum>
  <w:abstractNum w:abstractNumId="8" w15:restartNumberingAfterBreak="0">
    <w:nsid w:val="28C372C3"/>
    <w:multiLevelType w:val="hybridMultilevel"/>
    <w:tmpl w:val="2FA6679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33F2761B"/>
    <w:multiLevelType w:val="multilevel"/>
    <w:tmpl w:val="73200FFE"/>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347E0FB3"/>
    <w:multiLevelType w:val="hybridMultilevel"/>
    <w:tmpl w:val="DF320EC8"/>
    <w:lvl w:ilvl="0" w:tplc="080A000F">
      <w:start w:val="1"/>
      <w:numFmt w:val="decimal"/>
      <w:lvlText w:val="%1."/>
      <w:lvlJc w:val="left"/>
      <w:pPr>
        <w:ind w:left="780" w:hanging="360"/>
      </w:pPr>
    </w:lvl>
    <w:lvl w:ilvl="1" w:tplc="080A0019" w:tentative="1">
      <w:start w:val="1"/>
      <w:numFmt w:val="lowerLetter"/>
      <w:lvlText w:val="%2."/>
      <w:lvlJc w:val="left"/>
      <w:pPr>
        <w:ind w:left="1500" w:hanging="360"/>
      </w:pPr>
    </w:lvl>
    <w:lvl w:ilvl="2" w:tplc="080A001B" w:tentative="1">
      <w:start w:val="1"/>
      <w:numFmt w:val="lowerRoman"/>
      <w:lvlText w:val="%3."/>
      <w:lvlJc w:val="right"/>
      <w:pPr>
        <w:ind w:left="2220" w:hanging="180"/>
      </w:pPr>
    </w:lvl>
    <w:lvl w:ilvl="3" w:tplc="080A000F" w:tentative="1">
      <w:start w:val="1"/>
      <w:numFmt w:val="decimal"/>
      <w:lvlText w:val="%4."/>
      <w:lvlJc w:val="left"/>
      <w:pPr>
        <w:ind w:left="2940" w:hanging="360"/>
      </w:pPr>
    </w:lvl>
    <w:lvl w:ilvl="4" w:tplc="080A0019" w:tentative="1">
      <w:start w:val="1"/>
      <w:numFmt w:val="lowerLetter"/>
      <w:lvlText w:val="%5."/>
      <w:lvlJc w:val="left"/>
      <w:pPr>
        <w:ind w:left="3660" w:hanging="360"/>
      </w:pPr>
    </w:lvl>
    <w:lvl w:ilvl="5" w:tplc="080A001B" w:tentative="1">
      <w:start w:val="1"/>
      <w:numFmt w:val="lowerRoman"/>
      <w:lvlText w:val="%6."/>
      <w:lvlJc w:val="right"/>
      <w:pPr>
        <w:ind w:left="4380" w:hanging="180"/>
      </w:pPr>
    </w:lvl>
    <w:lvl w:ilvl="6" w:tplc="080A000F" w:tentative="1">
      <w:start w:val="1"/>
      <w:numFmt w:val="decimal"/>
      <w:lvlText w:val="%7."/>
      <w:lvlJc w:val="left"/>
      <w:pPr>
        <w:ind w:left="5100" w:hanging="360"/>
      </w:pPr>
    </w:lvl>
    <w:lvl w:ilvl="7" w:tplc="080A0019" w:tentative="1">
      <w:start w:val="1"/>
      <w:numFmt w:val="lowerLetter"/>
      <w:lvlText w:val="%8."/>
      <w:lvlJc w:val="left"/>
      <w:pPr>
        <w:ind w:left="5820" w:hanging="360"/>
      </w:pPr>
    </w:lvl>
    <w:lvl w:ilvl="8" w:tplc="080A001B" w:tentative="1">
      <w:start w:val="1"/>
      <w:numFmt w:val="lowerRoman"/>
      <w:lvlText w:val="%9."/>
      <w:lvlJc w:val="right"/>
      <w:pPr>
        <w:ind w:left="6540" w:hanging="180"/>
      </w:pPr>
    </w:lvl>
  </w:abstractNum>
  <w:abstractNum w:abstractNumId="11" w15:restartNumberingAfterBreak="0">
    <w:nsid w:val="34D208CF"/>
    <w:multiLevelType w:val="hybridMultilevel"/>
    <w:tmpl w:val="6466FCC6"/>
    <w:lvl w:ilvl="0" w:tplc="C8169A16">
      <w:start w:val="1"/>
      <w:numFmt w:val="bullet"/>
      <w:lvlText w:val=""/>
      <w:lvlJc w:val="left"/>
      <w:pPr>
        <w:ind w:left="720" w:hanging="360"/>
      </w:pPr>
      <w:rPr>
        <w:rFonts w:ascii="Symbol" w:hAnsi="Symbol" w:hint="default"/>
        <w:b/>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2" w15:restartNumberingAfterBreak="0">
    <w:nsid w:val="3C0E26D2"/>
    <w:multiLevelType w:val="hybridMultilevel"/>
    <w:tmpl w:val="1474EEC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3DC040D1"/>
    <w:multiLevelType w:val="hybridMultilevel"/>
    <w:tmpl w:val="96001D20"/>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4" w15:restartNumberingAfterBreak="0">
    <w:nsid w:val="4A6E1C64"/>
    <w:multiLevelType w:val="hybridMultilevel"/>
    <w:tmpl w:val="A86CA818"/>
    <w:lvl w:ilvl="0" w:tplc="087AAEF6">
      <w:numFmt w:val="bullet"/>
      <w:lvlText w:val="-"/>
      <w:lvlJc w:val="left"/>
      <w:pPr>
        <w:ind w:left="720" w:hanging="360"/>
      </w:pPr>
      <w:rPr>
        <w:rFonts w:ascii="Palatino Linotype" w:eastAsia="Times New Roman" w:hAnsi="Palatino Linotype" w:cs="Tahoma"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5" w15:restartNumberingAfterBreak="0">
    <w:nsid w:val="59BA6E81"/>
    <w:multiLevelType w:val="hybridMultilevel"/>
    <w:tmpl w:val="DF320EC8"/>
    <w:lvl w:ilvl="0" w:tplc="080A000F">
      <w:start w:val="1"/>
      <w:numFmt w:val="decimal"/>
      <w:lvlText w:val="%1."/>
      <w:lvlJc w:val="left"/>
      <w:pPr>
        <w:ind w:left="780" w:hanging="360"/>
      </w:pPr>
    </w:lvl>
    <w:lvl w:ilvl="1" w:tplc="080A0019" w:tentative="1">
      <w:start w:val="1"/>
      <w:numFmt w:val="lowerLetter"/>
      <w:lvlText w:val="%2."/>
      <w:lvlJc w:val="left"/>
      <w:pPr>
        <w:ind w:left="1500" w:hanging="360"/>
      </w:pPr>
    </w:lvl>
    <w:lvl w:ilvl="2" w:tplc="080A001B" w:tentative="1">
      <w:start w:val="1"/>
      <w:numFmt w:val="lowerRoman"/>
      <w:lvlText w:val="%3."/>
      <w:lvlJc w:val="right"/>
      <w:pPr>
        <w:ind w:left="2220" w:hanging="180"/>
      </w:pPr>
    </w:lvl>
    <w:lvl w:ilvl="3" w:tplc="080A000F" w:tentative="1">
      <w:start w:val="1"/>
      <w:numFmt w:val="decimal"/>
      <w:lvlText w:val="%4."/>
      <w:lvlJc w:val="left"/>
      <w:pPr>
        <w:ind w:left="2940" w:hanging="360"/>
      </w:pPr>
    </w:lvl>
    <w:lvl w:ilvl="4" w:tplc="080A0019" w:tentative="1">
      <w:start w:val="1"/>
      <w:numFmt w:val="lowerLetter"/>
      <w:lvlText w:val="%5."/>
      <w:lvlJc w:val="left"/>
      <w:pPr>
        <w:ind w:left="3660" w:hanging="360"/>
      </w:pPr>
    </w:lvl>
    <w:lvl w:ilvl="5" w:tplc="080A001B" w:tentative="1">
      <w:start w:val="1"/>
      <w:numFmt w:val="lowerRoman"/>
      <w:lvlText w:val="%6."/>
      <w:lvlJc w:val="right"/>
      <w:pPr>
        <w:ind w:left="4380" w:hanging="180"/>
      </w:pPr>
    </w:lvl>
    <w:lvl w:ilvl="6" w:tplc="080A000F" w:tentative="1">
      <w:start w:val="1"/>
      <w:numFmt w:val="decimal"/>
      <w:lvlText w:val="%7."/>
      <w:lvlJc w:val="left"/>
      <w:pPr>
        <w:ind w:left="5100" w:hanging="360"/>
      </w:pPr>
    </w:lvl>
    <w:lvl w:ilvl="7" w:tplc="080A0019" w:tentative="1">
      <w:start w:val="1"/>
      <w:numFmt w:val="lowerLetter"/>
      <w:lvlText w:val="%8."/>
      <w:lvlJc w:val="left"/>
      <w:pPr>
        <w:ind w:left="5820" w:hanging="360"/>
      </w:pPr>
    </w:lvl>
    <w:lvl w:ilvl="8" w:tplc="080A001B" w:tentative="1">
      <w:start w:val="1"/>
      <w:numFmt w:val="lowerRoman"/>
      <w:lvlText w:val="%9."/>
      <w:lvlJc w:val="right"/>
      <w:pPr>
        <w:ind w:left="6540" w:hanging="180"/>
      </w:pPr>
    </w:lvl>
  </w:abstractNum>
  <w:abstractNum w:abstractNumId="16" w15:restartNumberingAfterBreak="0">
    <w:nsid w:val="5AB16F8F"/>
    <w:multiLevelType w:val="hybridMultilevel"/>
    <w:tmpl w:val="3AA6859C"/>
    <w:lvl w:ilvl="0" w:tplc="FED49E16">
      <w:start w:val="1"/>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7" w15:restartNumberingAfterBreak="0">
    <w:nsid w:val="5F841034"/>
    <w:multiLevelType w:val="hybridMultilevel"/>
    <w:tmpl w:val="78E8BA1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15:restartNumberingAfterBreak="0">
    <w:nsid w:val="618567FA"/>
    <w:multiLevelType w:val="hybridMultilevel"/>
    <w:tmpl w:val="3AA6859C"/>
    <w:lvl w:ilvl="0" w:tplc="FED49E16">
      <w:start w:val="1"/>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9" w15:restartNumberingAfterBreak="0">
    <w:nsid w:val="627F658B"/>
    <w:multiLevelType w:val="hybridMultilevel"/>
    <w:tmpl w:val="8962129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15:restartNumberingAfterBreak="0">
    <w:nsid w:val="723522F1"/>
    <w:multiLevelType w:val="hybridMultilevel"/>
    <w:tmpl w:val="7122AE7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15:restartNumberingAfterBreak="0">
    <w:nsid w:val="723A5DAD"/>
    <w:multiLevelType w:val="multilevel"/>
    <w:tmpl w:val="0FA4736A"/>
    <w:lvl w:ilvl="0">
      <w:numFmt w:val="bullet"/>
      <w:lvlText w:val="-"/>
      <w:lvlJc w:val="left"/>
      <w:pPr>
        <w:ind w:left="720" w:hanging="360"/>
      </w:pPr>
      <w:rPr>
        <w:rFonts w:ascii="Palatino Linotype" w:eastAsia="Palatino Linotype" w:hAnsi="Palatino Linotype" w:cs="Palatino Linotype"/>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2" w15:restartNumberingAfterBreak="0">
    <w:nsid w:val="78FC3A11"/>
    <w:multiLevelType w:val="hybridMultilevel"/>
    <w:tmpl w:val="D214C7E8"/>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23" w15:restartNumberingAfterBreak="0">
    <w:nsid w:val="79D412C2"/>
    <w:multiLevelType w:val="hybridMultilevel"/>
    <w:tmpl w:val="6D52859A"/>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24" w15:restartNumberingAfterBreak="0">
    <w:nsid w:val="7AE3340B"/>
    <w:multiLevelType w:val="hybridMultilevel"/>
    <w:tmpl w:val="46DE0F0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7FBE7B24"/>
    <w:multiLevelType w:val="hybridMultilevel"/>
    <w:tmpl w:val="B11614A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1798209403">
    <w:abstractNumId w:val="22"/>
  </w:num>
  <w:num w:numId="2" w16cid:durableId="583539247">
    <w:abstractNumId w:val="3"/>
  </w:num>
  <w:num w:numId="3" w16cid:durableId="1513181538">
    <w:abstractNumId w:val="17"/>
  </w:num>
  <w:num w:numId="4" w16cid:durableId="864947133">
    <w:abstractNumId w:val="24"/>
  </w:num>
  <w:num w:numId="5" w16cid:durableId="792866506">
    <w:abstractNumId w:val="18"/>
  </w:num>
  <w:num w:numId="6" w16cid:durableId="1149710177">
    <w:abstractNumId w:val="16"/>
  </w:num>
  <w:num w:numId="7" w16cid:durableId="45683375">
    <w:abstractNumId w:val="2"/>
  </w:num>
  <w:num w:numId="8" w16cid:durableId="464854398">
    <w:abstractNumId w:val="4"/>
  </w:num>
  <w:num w:numId="9" w16cid:durableId="1242182738">
    <w:abstractNumId w:val="6"/>
  </w:num>
  <w:num w:numId="10" w16cid:durableId="81070931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26113677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831724121">
    <w:abstractNumId w:val="1"/>
  </w:num>
  <w:num w:numId="13" w16cid:durableId="107630945">
    <w:abstractNumId w:val="5"/>
  </w:num>
  <w:num w:numId="14" w16cid:durableId="665405765">
    <w:abstractNumId w:val="10"/>
  </w:num>
  <w:num w:numId="15" w16cid:durableId="1205757466">
    <w:abstractNumId w:val="20"/>
  </w:num>
  <w:num w:numId="16" w16cid:durableId="1970474921">
    <w:abstractNumId w:val="12"/>
  </w:num>
  <w:num w:numId="17" w16cid:durableId="110515521">
    <w:abstractNumId w:val="15"/>
  </w:num>
  <w:num w:numId="18" w16cid:durableId="285739747">
    <w:abstractNumId w:val="7"/>
  </w:num>
  <w:num w:numId="19" w16cid:durableId="937252360">
    <w:abstractNumId w:val="25"/>
  </w:num>
  <w:num w:numId="20" w16cid:durableId="1163282276">
    <w:abstractNumId w:val="19"/>
  </w:num>
  <w:num w:numId="21" w16cid:durableId="398482525">
    <w:abstractNumId w:val="14"/>
  </w:num>
  <w:num w:numId="22" w16cid:durableId="148658529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307130818">
    <w:abstractNumId w:val="23"/>
  </w:num>
  <w:num w:numId="24" w16cid:durableId="1434518667">
    <w:abstractNumId w:val="11"/>
  </w:num>
  <w:num w:numId="25" w16cid:durableId="5519000">
    <w:abstractNumId w:val="13"/>
  </w:num>
  <w:num w:numId="26" w16cid:durableId="1692679825">
    <w:abstractNumId w:val="0"/>
  </w:num>
  <w:num w:numId="27" w16cid:durableId="1685593516">
    <w:abstractNumId w:val="8"/>
  </w:num>
  <w:num w:numId="28" w16cid:durableId="724715524">
    <w:abstractNumId w:val="2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690F"/>
    <w:rsid w:val="00001ADF"/>
    <w:rsid w:val="000029FE"/>
    <w:rsid w:val="00002B20"/>
    <w:rsid w:val="00002E2B"/>
    <w:rsid w:val="00003081"/>
    <w:rsid w:val="000053EA"/>
    <w:rsid w:val="0000637C"/>
    <w:rsid w:val="00006A45"/>
    <w:rsid w:val="00007AF7"/>
    <w:rsid w:val="0001108B"/>
    <w:rsid w:val="00011477"/>
    <w:rsid w:val="00011608"/>
    <w:rsid w:val="0001277E"/>
    <w:rsid w:val="00013C50"/>
    <w:rsid w:val="00014169"/>
    <w:rsid w:val="00014EE2"/>
    <w:rsid w:val="00015A64"/>
    <w:rsid w:val="00016290"/>
    <w:rsid w:val="000163CB"/>
    <w:rsid w:val="000201B0"/>
    <w:rsid w:val="00020B6C"/>
    <w:rsid w:val="000217CE"/>
    <w:rsid w:val="00021BE0"/>
    <w:rsid w:val="00023B82"/>
    <w:rsid w:val="00023BBD"/>
    <w:rsid w:val="000255D3"/>
    <w:rsid w:val="0002588C"/>
    <w:rsid w:val="00026B5A"/>
    <w:rsid w:val="00026C6B"/>
    <w:rsid w:val="0003084A"/>
    <w:rsid w:val="00030DE7"/>
    <w:rsid w:val="000316C2"/>
    <w:rsid w:val="000318EA"/>
    <w:rsid w:val="00033026"/>
    <w:rsid w:val="0003318A"/>
    <w:rsid w:val="00033683"/>
    <w:rsid w:val="00033AF2"/>
    <w:rsid w:val="00033F2C"/>
    <w:rsid w:val="000343C4"/>
    <w:rsid w:val="000350F5"/>
    <w:rsid w:val="0003782D"/>
    <w:rsid w:val="0004108A"/>
    <w:rsid w:val="000410E6"/>
    <w:rsid w:val="0004134C"/>
    <w:rsid w:val="000417D8"/>
    <w:rsid w:val="000426D2"/>
    <w:rsid w:val="000430BD"/>
    <w:rsid w:val="000437B8"/>
    <w:rsid w:val="000439C7"/>
    <w:rsid w:val="0004400E"/>
    <w:rsid w:val="0004426E"/>
    <w:rsid w:val="0004550F"/>
    <w:rsid w:val="00045A11"/>
    <w:rsid w:val="00050E2E"/>
    <w:rsid w:val="000514D8"/>
    <w:rsid w:val="000519DD"/>
    <w:rsid w:val="000555A2"/>
    <w:rsid w:val="00056835"/>
    <w:rsid w:val="0005769F"/>
    <w:rsid w:val="00057905"/>
    <w:rsid w:val="000602BA"/>
    <w:rsid w:val="00060560"/>
    <w:rsid w:val="0006109C"/>
    <w:rsid w:val="00061123"/>
    <w:rsid w:val="00063246"/>
    <w:rsid w:val="000633CA"/>
    <w:rsid w:val="0006401D"/>
    <w:rsid w:val="00064919"/>
    <w:rsid w:val="000677EA"/>
    <w:rsid w:val="000709AA"/>
    <w:rsid w:val="0007311B"/>
    <w:rsid w:val="000735F0"/>
    <w:rsid w:val="00073949"/>
    <w:rsid w:val="000739B1"/>
    <w:rsid w:val="00075996"/>
    <w:rsid w:val="00075A71"/>
    <w:rsid w:val="00075CAF"/>
    <w:rsid w:val="00076D5F"/>
    <w:rsid w:val="00080524"/>
    <w:rsid w:val="00080A4B"/>
    <w:rsid w:val="00081D01"/>
    <w:rsid w:val="0008295C"/>
    <w:rsid w:val="00082B5B"/>
    <w:rsid w:val="00083169"/>
    <w:rsid w:val="000836F4"/>
    <w:rsid w:val="00083F8C"/>
    <w:rsid w:val="000846E8"/>
    <w:rsid w:val="00085AD6"/>
    <w:rsid w:val="00085D44"/>
    <w:rsid w:val="00085E15"/>
    <w:rsid w:val="000866B0"/>
    <w:rsid w:val="00087074"/>
    <w:rsid w:val="00087EDB"/>
    <w:rsid w:val="000915FE"/>
    <w:rsid w:val="0009167E"/>
    <w:rsid w:val="0009170B"/>
    <w:rsid w:val="00092501"/>
    <w:rsid w:val="000946F3"/>
    <w:rsid w:val="00095ECA"/>
    <w:rsid w:val="00095FB6"/>
    <w:rsid w:val="00096C21"/>
    <w:rsid w:val="00096CC4"/>
    <w:rsid w:val="00096CFE"/>
    <w:rsid w:val="00097C52"/>
    <w:rsid w:val="000A2EA2"/>
    <w:rsid w:val="000A38C2"/>
    <w:rsid w:val="000A3910"/>
    <w:rsid w:val="000A3A07"/>
    <w:rsid w:val="000A4DC8"/>
    <w:rsid w:val="000A5B44"/>
    <w:rsid w:val="000A5E35"/>
    <w:rsid w:val="000A706F"/>
    <w:rsid w:val="000A7895"/>
    <w:rsid w:val="000B1F6D"/>
    <w:rsid w:val="000B2470"/>
    <w:rsid w:val="000B2A1D"/>
    <w:rsid w:val="000B3514"/>
    <w:rsid w:val="000B3C56"/>
    <w:rsid w:val="000B3F84"/>
    <w:rsid w:val="000B40C7"/>
    <w:rsid w:val="000B4503"/>
    <w:rsid w:val="000B49C4"/>
    <w:rsid w:val="000B5B08"/>
    <w:rsid w:val="000B713B"/>
    <w:rsid w:val="000B7148"/>
    <w:rsid w:val="000C0CBE"/>
    <w:rsid w:val="000C0EFA"/>
    <w:rsid w:val="000C10A2"/>
    <w:rsid w:val="000C3554"/>
    <w:rsid w:val="000C42E8"/>
    <w:rsid w:val="000C4A35"/>
    <w:rsid w:val="000C567D"/>
    <w:rsid w:val="000C7D5D"/>
    <w:rsid w:val="000D04D2"/>
    <w:rsid w:val="000D0539"/>
    <w:rsid w:val="000D137D"/>
    <w:rsid w:val="000D1EFD"/>
    <w:rsid w:val="000D2154"/>
    <w:rsid w:val="000D257F"/>
    <w:rsid w:val="000D392E"/>
    <w:rsid w:val="000D3AD3"/>
    <w:rsid w:val="000D46ED"/>
    <w:rsid w:val="000D6774"/>
    <w:rsid w:val="000D7457"/>
    <w:rsid w:val="000D7736"/>
    <w:rsid w:val="000E0F21"/>
    <w:rsid w:val="000E1C4F"/>
    <w:rsid w:val="000E1F5F"/>
    <w:rsid w:val="000E2E66"/>
    <w:rsid w:val="000E3169"/>
    <w:rsid w:val="000E4F94"/>
    <w:rsid w:val="000F161C"/>
    <w:rsid w:val="000F27ED"/>
    <w:rsid w:val="000F381B"/>
    <w:rsid w:val="000F3B49"/>
    <w:rsid w:val="000F456B"/>
    <w:rsid w:val="000F4583"/>
    <w:rsid w:val="000F4AC1"/>
    <w:rsid w:val="000F562C"/>
    <w:rsid w:val="000F6219"/>
    <w:rsid w:val="000F6481"/>
    <w:rsid w:val="000F6E36"/>
    <w:rsid w:val="001032FD"/>
    <w:rsid w:val="001055EA"/>
    <w:rsid w:val="0010587F"/>
    <w:rsid w:val="001061B1"/>
    <w:rsid w:val="001065C6"/>
    <w:rsid w:val="0011010D"/>
    <w:rsid w:val="001135C1"/>
    <w:rsid w:val="001140EB"/>
    <w:rsid w:val="001150A1"/>
    <w:rsid w:val="00115496"/>
    <w:rsid w:val="0011584F"/>
    <w:rsid w:val="00115992"/>
    <w:rsid w:val="00116C35"/>
    <w:rsid w:val="001174B4"/>
    <w:rsid w:val="001217E0"/>
    <w:rsid w:val="00122A87"/>
    <w:rsid w:val="00122ED0"/>
    <w:rsid w:val="00122FBD"/>
    <w:rsid w:val="001239EA"/>
    <w:rsid w:val="00123FD7"/>
    <w:rsid w:val="00124AF7"/>
    <w:rsid w:val="00125905"/>
    <w:rsid w:val="00125F26"/>
    <w:rsid w:val="001260CE"/>
    <w:rsid w:val="0012618B"/>
    <w:rsid w:val="00126A15"/>
    <w:rsid w:val="00126AD3"/>
    <w:rsid w:val="001325F3"/>
    <w:rsid w:val="00132BD2"/>
    <w:rsid w:val="00132F29"/>
    <w:rsid w:val="00133B67"/>
    <w:rsid w:val="00134465"/>
    <w:rsid w:val="00135091"/>
    <w:rsid w:val="001418BD"/>
    <w:rsid w:val="00141BAD"/>
    <w:rsid w:val="001425CB"/>
    <w:rsid w:val="001434E7"/>
    <w:rsid w:val="0014369D"/>
    <w:rsid w:val="00144D78"/>
    <w:rsid w:val="001452BD"/>
    <w:rsid w:val="001479C0"/>
    <w:rsid w:val="00147F25"/>
    <w:rsid w:val="001502AB"/>
    <w:rsid w:val="001507E8"/>
    <w:rsid w:val="0015162D"/>
    <w:rsid w:val="00151964"/>
    <w:rsid w:val="00153139"/>
    <w:rsid w:val="001548D6"/>
    <w:rsid w:val="001558BD"/>
    <w:rsid w:val="00155BD1"/>
    <w:rsid w:val="00155DDB"/>
    <w:rsid w:val="0015610A"/>
    <w:rsid w:val="001566D4"/>
    <w:rsid w:val="001578F5"/>
    <w:rsid w:val="00157A09"/>
    <w:rsid w:val="0016373E"/>
    <w:rsid w:val="00163D9F"/>
    <w:rsid w:val="001648E5"/>
    <w:rsid w:val="001657D3"/>
    <w:rsid w:val="0016597B"/>
    <w:rsid w:val="00165AB2"/>
    <w:rsid w:val="0016642B"/>
    <w:rsid w:val="00166452"/>
    <w:rsid w:val="00166907"/>
    <w:rsid w:val="00166A42"/>
    <w:rsid w:val="0016727D"/>
    <w:rsid w:val="00167591"/>
    <w:rsid w:val="00167989"/>
    <w:rsid w:val="00170ACC"/>
    <w:rsid w:val="001710E2"/>
    <w:rsid w:val="0017245F"/>
    <w:rsid w:val="00172F3C"/>
    <w:rsid w:val="00174212"/>
    <w:rsid w:val="001752ED"/>
    <w:rsid w:val="00175607"/>
    <w:rsid w:val="00175910"/>
    <w:rsid w:val="00175C9A"/>
    <w:rsid w:val="00177B6A"/>
    <w:rsid w:val="001805A9"/>
    <w:rsid w:val="00180E4C"/>
    <w:rsid w:val="00180F63"/>
    <w:rsid w:val="001819E1"/>
    <w:rsid w:val="00181D59"/>
    <w:rsid w:val="00182611"/>
    <w:rsid w:val="00184025"/>
    <w:rsid w:val="00184ED6"/>
    <w:rsid w:val="00185925"/>
    <w:rsid w:val="00185A9C"/>
    <w:rsid w:val="0018624D"/>
    <w:rsid w:val="001866AA"/>
    <w:rsid w:val="00186FD6"/>
    <w:rsid w:val="0018705D"/>
    <w:rsid w:val="00190C77"/>
    <w:rsid w:val="00192C48"/>
    <w:rsid w:val="00192F1B"/>
    <w:rsid w:val="00193A16"/>
    <w:rsid w:val="00193CE3"/>
    <w:rsid w:val="00195EC3"/>
    <w:rsid w:val="0019787E"/>
    <w:rsid w:val="001A0321"/>
    <w:rsid w:val="001A2062"/>
    <w:rsid w:val="001A3C87"/>
    <w:rsid w:val="001A44D1"/>
    <w:rsid w:val="001A5A72"/>
    <w:rsid w:val="001A5B6F"/>
    <w:rsid w:val="001A64BE"/>
    <w:rsid w:val="001A6C0E"/>
    <w:rsid w:val="001A7D72"/>
    <w:rsid w:val="001A7F04"/>
    <w:rsid w:val="001B2090"/>
    <w:rsid w:val="001B34AA"/>
    <w:rsid w:val="001B4144"/>
    <w:rsid w:val="001B57C4"/>
    <w:rsid w:val="001B589F"/>
    <w:rsid w:val="001B7499"/>
    <w:rsid w:val="001B7EFB"/>
    <w:rsid w:val="001C4C75"/>
    <w:rsid w:val="001C6154"/>
    <w:rsid w:val="001C638A"/>
    <w:rsid w:val="001C67CC"/>
    <w:rsid w:val="001C6D31"/>
    <w:rsid w:val="001D0E96"/>
    <w:rsid w:val="001D1635"/>
    <w:rsid w:val="001D1BDA"/>
    <w:rsid w:val="001D24CD"/>
    <w:rsid w:val="001D365C"/>
    <w:rsid w:val="001D3FB9"/>
    <w:rsid w:val="001D4C64"/>
    <w:rsid w:val="001D4F21"/>
    <w:rsid w:val="001D5DBE"/>
    <w:rsid w:val="001D7A71"/>
    <w:rsid w:val="001D7D0E"/>
    <w:rsid w:val="001D7F0C"/>
    <w:rsid w:val="001E2B45"/>
    <w:rsid w:val="001E4284"/>
    <w:rsid w:val="001E4ECA"/>
    <w:rsid w:val="001E6077"/>
    <w:rsid w:val="001F0509"/>
    <w:rsid w:val="001F0936"/>
    <w:rsid w:val="001F285F"/>
    <w:rsid w:val="001F3210"/>
    <w:rsid w:val="001F376C"/>
    <w:rsid w:val="001F4DC1"/>
    <w:rsid w:val="001F5043"/>
    <w:rsid w:val="001F52BC"/>
    <w:rsid w:val="001F6FD5"/>
    <w:rsid w:val="00200066"/>
    <w:rsid w:val="00200E63"/>
    <w:rsid w:val="002019AA"/>
    <w:rsid w:val="002025F4"/>
    <w:rsid w:val="00203520"/>
    <w:rsid w:val="00203CBA"/>
    <w:rsid w:val="00203EBA"/>
    <w:rsid w:val="00203F8C"/>
    <w:rsid w:val="00204DE3"/>
    <w:rsid w:val="0020727C"/>
    <w:rsid w:val="002075C1"/>
    <w:rsid w:val="00211554"/>
    <w:rsid w:val="00211CD8"/>
    <w:rsid w:val="002136F6"/>
    <w:rsid w:val="00213A0B"/>
    <w:rsid w:val="002162F4"/>
    <w:rsid w:val="00217FC7"/>
    <w:rsid w:val="002207FA"/>
    <w:rsid w:val="002217AE"/>
    <w:rsid w:val="00221C54"/>
    <w:rsid w:val="0022210D"/>
    <w:rsid w:val="00222381"/>
    <w:rsid w:val="00223487"/>
    <w:rsid w:val="002238B8"/>
    <w:rsid w:val="00227358"/>
    <w:rsid w:val="00227456"/>
    <w:rsid w:val="0022752B"/>
    <w:rsid w:val="002305D3"/>
    <w:rsid w:val="0023093A"/>
    <w:rsid w:val="00230985"/>
    <w:rsid w:val="00230B8F"/>
    <w:rsid w:val="002330AE"/>
    <w:rsid w:val="00233440"/>
    <w:rsid w:val="00233A06"/>
    <w:rsid w:val="00234825"/>
    <w:rsid w:val="002403C7"/>
    <w:rsid w:val="00243764"/>
    <w:rsid w:val="0024468A"/>
    <w:rsid w:val="00246A77"/>
    <w:rsid w:val="002475DE"/>
    <w:rsid w:val="00250532"/>
    <w:rsid w:val="00251665"/>
    <w:rsid w:val="0025258E"/>
    <w:rsid w:val="00252910"/>
    <w:rsid w:val="002529AD"/>
    <w:rsid w:val="00252A2A"/>
    <w:rsid w:val="00253448"/>
    <w:rsid w:val="00253A9C"/>
    <w:rsid w:val="0025520C"/>
    <w:rsid w:val="00256242"/>
    <w:rsid w:val="00257C2B"/>
    <w:rsid w:val="00257D7B"/>
    <w:rsid w:val="00260BF7"/>
    <w:rsid w:val="0026163E"/>
    <w:rsid w:val="00261B92"/>
    <w:rsid w:val="00261CB4"/>
    <w:rsid w:val="00261DF6"/>
    <w:rsid w:val="0026250F"/>
    <w:rsid w:val="0026345D"/>
    <w:rsid w:val="00265690"/>
    <w:rsid w:val="002665C1"/>
    <w:rsid w:val="00266E26"/>
    <w:rsid w:val="00267457"/>
    <w:rsid w:val="00267ACF"/>
    <w:rsid w:val="00270216"/>
    <w:rsid w:val="0027126A"/>
    <w:rsid w:val="00271E85"/>
    <w:rsid w:val="002731D2"/>
    <w:rsid w:val="00273A4E"/>
    <w:rsid w:val="00274745"/>
    <w:rsid w:val="00274EC1"/>
    <w:rsid w:val="00276156"/>
    <w:rsid w:val="00276704"/>
    <w:rsid w:val="00277345"/>
    <w:rsid w:val="002779C0"/>
    <w:rsid w:val="00280625"/>
    <w:rsid w:val="00280CF8"/>
    <w:rsid w:val="00282176"/>
    <w:rsid w:val="00282240"/>
    <w:rsid w:val="002822A3"/>
    <w:rsid w:val="0028277C"/>
    <w:rsid w:val="00285307"/>
    <w:rsid w:val="00287374"/>
    <w:rsid w:val="00290EEA"/>
    <w:rsid w:val="0029130B"/>
    <w:rsid w:val="00291318"/>
    <w:rsid w:val="002917C0"/>
    <w:rsid w:val="0029266B"/>
    <w:rsid w:val="0029291C"/>
    <w:rsid w:val="0029310D"/>
    <w:rsid w:val="00293A22"/>
    <w:rsid w:val="00294B64"/>
    <w:rsid w:val="00294C03"/>
    <w:rsid w:val="00295482"/>
    <w:rsid w:val="0029784D"/>
    <w:rsid w:val="002A02B7"/>
    <w:rsid w:val="002A02CD"/>
    <w:rsid w:val="002A1DF2"/>
    <w:rsid w:val="002A31E6"/>
    <w:rsid w:val="002A376A"/>
    <w:rsid w:val="002A3A8E"/>
    <w:rsid w:val="002A3E42"/>
    <w:rsid w:val="002A435D"/>
    <w:rsid w:val="002A5DEB"/>
    <w:rsid w:val="002A733D"/>
    <w:rsid w:val="002A740F"/>
    <w:rsid w:val="002B1150"/>
    <w:rsid w:val="002B2FEA"/>
    <w:rsid w:val="002B4336"/>
    <w:rsid w:val="002B5A2D"/>
    <w:rsid w:val="002B7192"/>
    <w:rsid w:val="002B7322"/>
    <w:rsid w:val="002B772B"/>
    <w:rsid w:val="002C0363"/>
    <w:rsid w:val="002C070A"/>
    <w:rsid w:val="002C0C3A"/>
    <w:rsid w:val="002C1C68"/>
    <w:rsid w:val="002C288E"/>
    <w:rsid w:val="002C3C0A"/>
    <w:rsid w:val="002C4A39"/>
    <w:rsid w:val="002C516D"/>
    <w:rsid w:val="002C6CC4"/>
    <w:rsid w:val="002C7C43"/>
    <w:rsid w:val="002D2107"/>
    <w:rsid w:val="002D2619"/>
    <w:rsid w:val="002D2A77"/>
    <w:rsid w:val="002D3ECF"/>
    <w:rsid w:val="002D405A"/>
    <w:rsid w:val="002D5616"/>
    <w:rsid w:val="002D6CA6"/>
    <w:rsid w:val="002E0F19"/>
    <w:rsid w:val="002E2627"/>
    <w:rsid w:val="002E2D9D"/>
    <w:rsid w:val="002E34B7"/>
    <w:rsid w:val="002E5C60"/>
    <w:rsid w:val="002E5DF6"/>
    <w:rsid w:val="002E6125"/>
    <w:rsid w:val="002F0032"/>
    <w:rsid w:val="002F0510"/>
    <w:rsid w:val="002F0526"/>
    <w:rsid w:val="002F08A1"/>
    <w:rsid w:val="002F12B4"/>
    <w:rsid w:val="002F16B6"/>
    <w:rsid w:val="002F389A"/>
    <w:rsid w:val="002F44A5"/>
    <w:rsid w:val="002F563A"/>
    <w:rsid w:val="002F571E"/>
    <w:rsid w:val="002F5845"/>
    <w:rsid w:val="002F5AA8"/>
    <w:rsid w:val="002F5CFB"/>
    <w:rsid w:val="002F72B7"/>
    <w:rsid w:val="0030116D"/>
    <w:rsid w:val="003020BE"/>
    <w:rsid w:val="00302399"/>
    <w:rsid w:val="00302B51"/>
    <w:rsid w:val="00302BCB"/>
    <w:rsid w:val="003037BC"/>
    <w:rsid w:val="00303A1B"/>
    <w:rsid w:val="00303BA0"/>
    <w:rsid w:val="00304DE6"/>
    <w:rsid w:val="0030790A"/>
    <w:rsid w:val="00310366"/>
    <w:rsid w:val="00310A3F"/>
    <w:rsid w:val="00310DD3"/>
    <w:rsid w:val="00311CAF"/>
    <w:rsid w:val="0031200F"/>
    <w:rsid w:val="00312EFE"/>
    <w:rsid w:val="003131F2"/>
    <w:rsid w:val="00313684"/>
    <w:rsid w:val="00313C19"/>
    <w:rsid w:val="00314919"/>
    <w:rsid w:val="003155C2"/>
    <w:rsid w:val="00316458"/>
    <w:rsid w:val="003175C9"/>
    <w:rsid w:val="003178CE"/>
    <w:rsid w:val="00320D4E"/>
    <w:rsid w:val="00322481"/>
    <w:rsid w:val="0032276A"/>
    <w:rsid w:val="00322BDD"/>
    <w:rsid w:val="0032438A"/>
    <w:rsid w:val="003249E3"/>
    <w:rsid w:val="00325B13"/>
    <w:rsid w:val="00325D1E"/>
    <w:rsid w:val="00330566"/>
    <w:rsid w:val="00330942"/>
    <w:rsid w:val="003311EA"/>
    <w:rsid w:val="00331DD1"/>
    <w:rsid w:val="00333468"/>
    <w:rsid w:val="00333808"/>
    <w:rsid w:val="00333819"/>
    <w:rsid w:val="00334234"/>
    <w:rsid w:val="0033681E"/>
    <w:rsid w:val="00336E20"/>
    <w:rsid w:val="00341669"/>
    <w:rsid w:val="003423D4"/>
    <w:rsid w:val="00342465"/>
    <w:rsid w:val="0034485D"/>
    <w:rsid w:val="00344DD1"/>
    <w:rsid w:val="0034566C"/>
    <w:rsid w:val="00345E3B"/>
    <w:rsid w:val="003509A3"/>
    <w:rsid w:val="00352D6C"/>
    <w:rsid w:val="00353296"/>
    <w:rsid w:val="0035368D"/>
    <w:rsid w:val="00353FF4"/>
    <w:rsid w:val="00354255"/>
    <w:rsid w:val="00354FD0"/>
    <w:rsid w:val="00355364"/>
    <w:rsid w:val="00355D05"/>
    <w:rsid w:val="00356E1B"/>
    <w:rsid w:val="003602C9"/>
    <w:rsid w:val="0036042F"/>
    <w:rsid w:val="0036200A"/>
    <w:rsid w:val="00363AC8"/>
    <w:rsid w:val="003657F4"/>
    <w:rsid w:val="0036609B"/>
    <w:rsid w:val="003661CC"/>
    <w:rsid w:val="003663BF"/>
    <w:rsid w:val="00366BB8"/>
    <w:rsid w:val="0036779F"/>
    <w:rsid w:val="003745E1"/>
    <w:rsid w:val="00375B15"/>
    <w:rsid w:val="00376AEF"/>
    <w:rsid w:val="00381132"/>
    <w:rsid w:val="003814AE"/>
    <w:rsid w:val="00382C79"/>
    <w:rsid w:val="0038398F"/>
    <w:rsid w:val="00384E94"/>
    <w:rsid w:val="00385DD2"/>
    <w:rsid w:val="003860AA"/>
    <w:rsid w:val="003876F1"/>
    <w:rsid w:val="00390A24"/>
    <w:rsid w:val="00391317"/>
    <w:rsid w:val="003918E5"/>
    <w:rsid w:val="00394DB1"/>
    <w:rsid w:val="00395861"/>
    <w:rsid w:val="00395935"/>
    <w:rsid w:val="00395AAB"/>
    <w:rsid w:val="0039615C"/>
    <w:rsid w:val="00397991"/>
    <w:rsid w:val="00397BFA"/>
    <w:rsid w:val="003A103F"/>
    <w:rsid w:val="003A2B31"/>
    <w:rsid w:val="003A47C4"/>
    <w:rsid w:val="003A4BB8"/>
    <w:rsid w:val="003A4CF8"/>
    <w:rsid w:val="003A4EEC"/>
    <w:rsid w:val="003B3C6F"/>
    <w:rsid w:val="003B41B2"/>
    <w:rsid w:val="003B4C74"/>
    <w:rsid w:val="003B4E58"/>
    <w:rsid w:val="003B53BB"/>
    <w:rsid w:val="003B541B"/>
    <w:rsid w:val="003B5A66"/>
    <w:rsid w:val="003B6E04"/>
    <w:rsid w:val="003B6F0C"/>
    <w:rsid w:val="003C13CD"/>
    <w:rsid w:val="003C28F2"/>
    <w:rsid w:val="003C331A"/>
    <w:rsid w:val="003C46A9"/>
    <w:rsid w:val="003C5F59"/>
    <w:rsid w:val="003C5FE0"/>
    <w:rsid w:val="003C7338"/>
    <w:rsid w:val="003D0D51"/>
    <w:rsid w:val="003D1DC8"/>
    <w:rsid w:val="003D25DC"/>
    <w:rsid w:val="003D35DB"/>
    <w:rsid w:val="003D6C3F"/>
    <w:rsid w:val="003D7DBD"/>
    <w:rsid w:val="003E00B8"/>
    <w:rsid w:val="003E1523"/>
    <w:rsid w:val="003E1C9F"/>
    <w:rsid w:val="003E20C8"/>
    <w:rsid w:val="003E33FE"/>
    <w:rsid w:val="003E4CFD"/>
    <w:rsid w:val="003E540A"/>
    <w:rsid w:val="003E5553"/>
    <w:rsid w:val="003E5EFF"/>
    <w:rsid w:val="003E6941"/>
    <w:rsid w:val="003E6F5C"/>
    <w:rsid w:val="003E78EC"/>
    <w:rsid w:val="003F0A87"/>
    <w:rsid w:val="003F1D74"/>
    <w:rsid w:val="003F1EAE"/>
    <w:rsid w:val="003F29C6"/>
    <w:rsid w:val="003F2BF4"/>
    <w:rsid w:val="003F2C8E"/>
    <w:rsid w:val="003F4A2A"/>
    <w:rsid w:val="003F4C6D"/>
    <w:rsid w:val="003F5F91"/>
    <w:rsid w:val="003F6C55"/>
    <w:rsid w:val="003F6E5C"/>
    <w:rsid w:val="003F7197"/>
    <w:rsid w:val="00400250"/>
    <w:rsid w:val="00400C7F"/>
    <w:rsid w:val="00401834"/>
    <w:rsid w:val="00401A82"/>
    <w:rsid w:val="00401E32"/>
    <w:rsid w:val="004023D8"/>
    <w:rsid w:val="0040398B"/>
    <w:rsid w:val="004068E7"/>
    <w:rsid w:val="004076BD"/>
    <w:rsid w:val="004108D3"/>
    <w:rsid w:val="0041096D"/>
    <w:rsid w:val="00411B07"/>
    <w:rsid w:val="00412846"/>
    <w:rsid w:val="00413093"/>
    <w:rsid w:val="0041324D"/>
    <w:rsid w:val="004155FC"/>
    <w:rsid w:val="00417AAE"/>
    <w:rsid w:val="00417C0D"/>
    <w:rsid w:val="00417F3A"/>
    <w:rsid w:val="00420209"/>
    <w:rsid w:val="0042063D"/>
    <w:rsid w:val="00420FDE"/>
    <w:rsid w:val="004214D5"/>
    <w:rsid w:val="004222C4"/>
    <w:rsid w:val="00422311"/>
    <w:rsid w:val="0043065C"/>
    <w:rsid w:val="004306AC"/>
    <w:rsid w:val="004308C6"/>
    <w:rsid w:val="00430DD8"/>
    <w:rsid w:val="004310D3"/>
    <w:rsid w:val="004326F9"/>
    <w:rsid w:val="00434B43"/>
    <w:rsid w:val="004352C6"/>
    <w:rsid w:val="00436DB8"/>
    <w:rsid w:val="00436EC3"/>
    <w:rsid w:val="00436F80"/>
    <w:rsid w:val="0044017B"/>
    <w:rsid w:val="00440579"/>
    <w:rsid w:val="00442432"/>
    <w:rsid w:val="00442E72"/>
    <w:rsid w:val="0044320C"/>
    <w:rsid w:val="0044451C"/>
    <w:rsid w:val="004458D7"/>
    <w:rsid w:val="00445A40"/>
    <w:rsid w:val="00446CA3"/>
    <w:rsid w:val="004472DD"/>
    <w:rsid w:val="004475C6"/>
    <w:rsid w:val="004479B9"/>
    <w:rsid w:val="0045046D"/>
    <w:rsid w:val="004511AE"/>
    <w:rsid w:val="0045493C"/>
    <w:rsid w:val="00455EA5"/>
    <w:rsid w:val="00456B23"/>
    <w:rsid w:val="00461DF2"/>
    <w:rsid w:val="0046266C"/>
    <w:rsid w:val="00462ED0"/>
    <w:rsid w:val="004649E0"/>
    <w:rsid w:val="0046597D"/>
    <w:rsid w:val="00467659"/>
    <w:rsid w:val="00471437"/>
    <w:rsid w:val="00471963"/>
    <w:rsid w:val="00471E99"/>
    <w:rsid w:val="004721AA"/>
    <w:rsid w:val="0047290D"/>
    <w:rsid w:val="00473151"/>
    <w:rsid w:val="004739F6"/>
    <w:rsid w:val="00474793"/>
    <w:rsid w:val="00475E62"/>
    <w:rsid w:val="00476A58"/>
    <w:rsid w:val="00480D76"/>
    <w:rsid w:val="00481F23"/>
    <w:rsid w:val="0048255C"/>
    <w:rsid w:val="00483320"/>
    <w:rsid w:val="00484B01"/>
    <w:rsid w:val="00484E27"/>
    <w:rsid w:val="00486CAD"/>
    <w:rsid w:val="00487556"/>
    <w:rsid w:val="00492333"/>
    <w:rsid w:val="004948C8"/>
    <w:rsid w:val="00495F4E"/>
    <w:rsid w:val="004962E7"/>
    <w:rsid w:val="0049696B"/>
    <w:rsid w:val="0049788F"/>
    <w:rsid w:val="004A10B0"/>
    <w:rsid w:val="004A10E6"/>
    <w:rsid w:val="004A23DC"/>
    <w:rsid w:val="004A2B01"/>
    <w:rsid w:val="004A3A78"/>
    <w:rsid w:val="004A403D"/>
    <w:rsid w:val="004A5B6F"/>
    <w:rsid w:val="004B07B8"/>
    <w:rsid w:val="004B0C65"/>
    <w:rsid w:val="004B27E7"/>
    <w:rsid w:val="004B2D6A"/>
    <w:rsid w:val="004B33EF"/>
    <w:rsid w:val="004B37FA"/>
    <w:rsid w:val="004B4EA6"/>
    <w:rsid w:val="004B58D3"/>
    <w:rsid w:val="004B7343"/>
    <w:rsid w:val="004B73FB"/>
    <w:rsid w:val="004C0D17"/>
    <w:rsid w:val="004C21E6"/>
    <w:rsid w:val="004C3930"/>
    <w:rsid w:val="004C465F"/>
    <w:rsid w:val="004C5119"/>
    <w:rsid w:val="004C56AA"/>
    <w:rsid w:val="004C5C56"/>
    <w:rsid w:val="004C6321"/>
    <w:rsid w:val="004C6FCE"/>
    <w:rsid w:val="004C75C7"/>
    <w:rsid w:val="004C7816"/>
    <w:rsid w:val="004D1D8F"/>
    <w:rsid w:val="004D243B"/>
    <w:rsid w:val="004D4E7A"/>
    <w:rsid w:val="004D5916"/>
    <w:rsid w:val="004D63D9"/>
    <w:rsid w:val="004E06A4"/>
    <w:rsid w:val="004E0AD6"/>
    <w:rsid w:val="004E0E99"/>
    <w:rsid w:val="004E1B04"/>
    <w:rsid w:val="004E22FF"/>
    <w:rsid w:val="004E3063"/>
    <w:rsid w:val="004E47CC"/>
    <w:rsid w:val="004E658E"/>
    <w:rsid w:val="004E7B40"/>
    <w:rsid w:val="004F0490"/>
    <w:rsid w:val="004F1682"/>
    <w:rsid w:val="004F28FF"/>
    <w:rsid w:val="004F29C8"/>
    <w:rsid w:val="004F2DE2"/>
    <w:rsid w:val="004F56D3"/>
    <w:rsid w:val="004F59FB"/>
    <w:rsid w:val="004F5C10"/>
    <w:rsid w:val="004F76F4"/>
    <w:rsid w:val="004F7BB3"/>
    <w:rsid w:val="004F7C0E"/>
    <w:rsid w:val="004F7F19"/>
    <w:rsid w:val="00500A0F"/>
    <w:rsid w:val="00500B4F"/>
    <w:rsid w:val="005018D0"/>
    <w:rsid w:val="00503426"/>
    <w:rsid w:val="00504A9F"/>
    <w:rsid w:val="00506126"/>
    <w:rsid w:val="005072F4"/>
    <w:rsid w:val="00510420"/>
    <w:rsid w:val="00510438"/>
    <w:rsid w:val="0051107B"/>
    <w:rsid w:val="00511E76"/>
    <w:rsid w:val="00512046"/>
    <w:rsid w:val="00512879"/>
    <w:rsid w:val="0051497B"/>
    <w:rsid w:val="00514AEB"/>
    <w:rsid w:val="00515399"/>
    <w:rsid w:val="00521F1D"/>
    <w:rsid w:val="00521F47"/>
    <w:rsid w:val="00521FBB"/>
    <w:rsid w:val="00522798"/>
    <w:rsid w:val="00522A47"/>
    <w:rsid w:val="00522CDB"/>
    <w:rsid w:val="00523008"/>
    <w:rsid w:val="00523DD5"/>
    <w:rsid w:val="00524283"/>
    <w:rsid w:val="005243AF"/>
    <w:rsid w:val="00524F02"/>
    <w:rsid w:val="00525A14"/>
    <w:rsid w:val="00526EC4"/>
    <w:rsid w:val="0052714E"/>
    <w:rsid w:val="00527563"/>
    <w:rsid w:val="005302BB"/>
    <w:rsid w:val="00530B10"/>
    <w:rsid w:val="00531553"/>
    <w:rsid w:val="0053198B"/>
    <w:rsid w:val="00531A8A"/>
    <w:rsid w:val="0053250E"/>
    <w:rsid w:val="00533874"/>
    <w:rsid w:val="00533DD1"/>
    <w:rsid w:val="00534066"/>
    <w:rsid w:val="00535A8D"/>
    <w:rsid w:val="00536382"/>
    <w:rsid w:val="00536941"/>
    <w:rsid w:val="00537C32"/>
    <w:rsid w:val="00540E0B"/>
    <w:rsid w:val="00541CCD"/>
    <w:rsid w:val="00545D04"/>
    <w:rsid w:val="005501BA"/>
    <w:rsid w:val="00550C0B"/>
    <w:rsid w:val="005520E3"/>
    <w:rsid w:val="00552C67"/>
    <w:rsid w:val="00556479"/>
    <w:rsid w:val="005569DD"/>
    <w:rsid w:val="00556A90"/>
    <w:rsid w:val="005608BE"/>
    <w:rsid w:val="00562D89"/>
    <w:rsid w:val="0056443F"/>
    <w:rsid w:val="00564D4D"/>
    <w:rsid w:val="00565143"/>
    <w:rsid w:val="00565861"/>
    <w:rsid w:val="005673D1"/>
    <w:rsid w:val="00567CDC"/>
    <w:rsid w:val="00571D00"/>
    <w:rsid w:val="00572946"/>
    <w:rsid w:val="005732DC"/>
    <w:rsid w:val="005732F8"/>
    <w:rsid w:val="00573F89"/>
    <w:rsid w:val="0057523E"/>
    <w:rsid w:val="005800CC"/>
    <w:rsid w:val="00580345"/>
    <w:rsid w:val="005816DE"/>
    <w:rsid w:val="0058220F"/>
    <w:rsid w:val="00582FC0"/>
    <w:rsid w:val="005837AE"/>
    <w:rsid w:val="00585C29"/>
    <w:rsid w:val="005867A9"/>
    <w:rsid w:val="005871E7"/>
    <w:rsid w:val="0058767A"/>
    <w:rsid w:val="00590332"/>
    <w:rsid w:val="005905A3"/>
    <w:rsid w:val="00590FB7"/>
    <w:rsid w:val="005914EE"/>
    <w:rsid w:val="0059222F"/>
    <w:rsid w:val="00595FCC"/>
    <w:rsid w:val="00596AF2"/>
    <w:rsid w:val="005A0A77"/>
    <w:rsid w:val="005A2FC2"/>
    <w:rsid w:val="005A3456"/>
    <w:rsid w:val="005A39F4"/>
    <w:rsid w:val="005A3D7C"/>
    <w:rsid w:val="005A6BCC"/>
    <w:rsid w:val="005A79D9"/>
    <w:rsid w:val="005A7C36"/>
    <w:rsid w:val="005B0203"/>
    <w:rsid w:val="005B21C9"/>
    <w:rsid w:val="005B31FA"/>
    <w:rsid w:val="005B3AED"/>
    <w:rsid w:val="005B6BFA"/>
    <w:rsid w:val="005C03D2"/>
    <w:rsid w:val="005C0DB9"/>
    <w:rsid w:val="005C161C"/>
    <w:rsid w:val="005C20B7"/>
    <w:rsid w:val="005C2FC4"/>
    <w:rsid w:val="005C3303"/>
    <w:rsid w:val="005C395F"/>
    <w:rsid w:val="005C3BAC"/>
    <w:rsid w:val="005C4598"/>
    <w:rsid w:val="005C4CCD"/>
    <w:rsid w:val="005C6174"/>
    <w:rsid w:val="005C690F"/>
    <w:rsid w:val="005C6E2D"/>
    <w:rsid w:val="005C757F"/>
    <w:rsid w:val="005D1835"/>
    <w:rsid w:val="005D1923"/>
    <w:rsid w:val="005D1E83"/>
    <w:rsid w:val="005D2071"/>
    <w:rsid w:val="005D22D8"/>
    <w:rsid w:val="005D31EC"/>
    <w:rsid w:val="005D38F1"/>
    <w:rsid w:val="005D4959"/>
    <w:rsid w:val="005D5045"/>
    <w:rsid w:val="005D53B0"/>
    <w:rsid w:val="005D7047"/>
    <w:rsid w:val="005D70E2"/>
    <w:rsid w:val="005D7325"/>
    <w:rsid w:val="005D73EF"/>
    <w:rsid w:val="005E0BD1"/>
    <w:rsid w:val="005E0BD4"/>
    <w:rsid w:val="005E16CC"/>
    <w:rsid w:val="005E7DC9"/>
    <w:rsid w:val="005F199D"/>
    <w:rsid w:val="005F2DB3"/>
    <w:rsid w:val="005F3299"/>
    <w:rsid w:val="005F36FE"/>
    <w:rsid w:val="005F38B6"/>
    <w:rsid w:val="005F4B93"/>
    <w:rsid w:val="005F4FB1"/>
    <w:rsid w:val="005F4FFD"/>
    <w:rsid w:val="005F5498"/>
    <w:rsid w:val="005F68CE"/>
    <w:rsid w:val="005F6A6B"/>
    <w:rsid w:val="005F773E"/>
    <w:rsid w:val="005F785A"/>
    <w:rsid w:val="00600038"/>
    <w:rsid w:val="00600A20"/>
    <w:rsid w:val="00600FDB"/>
    <w:rsid w:val="00602E5C"/>
    <w:rsid w:val="006033D0"/>
    <w:rsid w:val="00603530"/>
    <w:rsid w:val="006037C1"/>
    <w:rsid w:val="00604CC7"/>
    <w:rsid w:val="006059DA"/>
    <w:rsid w:val="00605E25"/>
    <w:rsid w:val="00606B1A"/>
    <w:rsid w:val="00607076"/>
    <w:rsid w:val="0060713B"/>
    <w:rsid w:val="0061218D"/>
    <w:rsid w:val="00612916"/>
    <w:rsid w:val="0061303E"/>
    <w:rsid w:val="00613B5B"/>
    <w:rsid w:val="0061779A"/>
    <w:rsid w:val="006206A1"/>
    <w:rsid w:val="006207EF"/>
    <w:rsid w:val="00621F2D"/>
    <w:rsid w:val="00622401"/>
    <w:rsid w:val="00622CFB"/>
    <w:rsid w:val="006230B1"/>
    <w:rsid w:val="006241B8"/>
    <w:rsid w:val="006242F2"/>
    <w:rsid w:val="00624488"/>
    <w:rsid w:val="006245B4"/>
    <w:rsid w:val="0062539C"/>
    <w:rsid w:val="00626B6B"/>
    <w:rsid w:val="006271E6"/>
    <w:rsid w:val="006272E2"/>
    <w:rsid w:val="00627513"/>
    <w:rsid w:val="00627CDA"/>
    <w:rsid w:val="00631035"/>
    <w:rsid w:val="00631C4D"/>
    <w:rsid w:val="00631EA9"/>
    <w:rsid w:val="006324BD"/>
    <w:rsid w:val="00632F61"/>
    <w:rsid w:val="006335BD"/>
    <w:rsid w:val="0063376F"/>
    <w:rsid w:val="00635429"/>
    <w:rsid w:val="00635A27"/>
    <w:rsid w:val="00637867"/>
    <w:rsid w:val="00637B1E"/>
    <w:rsid w:val="00640115"/>
    <w:rsid w:val="0064067B"/>
    <w:rsid w:val="006418B3"/>
    <w:rsid w:val="006430B1"/>
    <w:rsid w:val="006444A9"/>
    <w:rsid w:val="00644832"/>
    <w:rsid w:val="00644B2E"/>
    <w:rsid w:val="00651294"/>
    <w:rsid w:val="00651B87"/>
    <w:rsid w:val="00654DE3"/>
    <w:rsid w:val="00655068"/>
    <w:rsid w:val="00655B7F"/>
    <w:rsid w:val="006561C9"/>
    <w:rsid w:val="006573B9"/>
    <w:rsid w:val="00660AAD"/>
    <w:rsid w:val="00661603"/>
    <w:rsid w:val="0066178F"/>
    <w:rsid w:val="00661B94"/>
    <w:rsid w:val="006620E8"/>
    <w:rsid w:val="00662C70"/>
    <w:rsid w:val="00662D89"/>
    <w:rsid w:val="00662DAE"/>
    <w:rsid w:val="006636A5"/>
    <w:rsid w:val="006637C8"/>
    <w:rsid w:val="00664321"/>
    <w:rsid w:val="00665A8F"/>
    <w:rsid w:val="0066640F"/>
    <w:rsid w:val="006664D4"/>
    <w:rsid w:val="00666B8B"/>
    <w:rsid w:val="00667F81"/>
    <w:rsid w:val="00670C1F"/>
    <w:rsid w:val="00670EAA"/>
    <w:rsid w:val="006715A0"/>
    <w:rsid w:val="00671B38"/>
    <w:rsid w:val="00671BB1"/>
    <w:rsid w:val="006731C7"/>
    <w:rsid w:val="00673306"/>
    <w:rsid w:val="00673C7A"/>
    <w:rsid w:val="00674DAF"/>
    <w:rsid w:val="00674E18"/>
    <w:rsid w:val="006771FF"/>
    <w:rsid w:val="006800BB"/>
    <w:rsid w:val="00680F20"/>
    <w:rsid w:val="00682FED"/>
    <w:rsid w:val="00683F59"/>
    <w:rsid w:val="00684E30"/>
    <w:rsid w:val="00684E69"/>
    <w:rsid w:val="00687BCB"/>
    <w:rsid w:val="00690202"/>
    <w:rsid w:val="006902D7"/>
    <w:rsid w:val="0069037C"/>
    <w:rsid w:val="00692028"/>
    <w:rsid w:val="00692763"/>
    <w:rsid w:val="00692CEE"/>
    <w:rsid w:val="0069337A"/>
    <w:rsid w:val="00693E89"/>
    <w:rsid w:val="00693FC8"/>
    <w:rsid w:val="00694971"/>
    <w:rsid w:val="0069657C"/>
    <w:rsid w:val="006969B9"/>
    <w:rsid w:val="00696FDD"/>
    <w:rsid w:val="00697833"/>
    <w:rsid w:val="006A0B62"/>
    <w:rsid w:val="006A0CDD"/>
    <w:rsid w:val="006A118E"/>
    <w:rsid w:val="006A25EB"/>
    <w:rsid w:val="006A5086"/>
    <w:rsid w:val="006A52D9"/>
    <w:rsid w:val="006A6DB6"/>
    <w:rsid w:val="006A73A3"/>
    <w:rsid w:val="006A7661"/>
    <w:rsid w:val="006B04D0"/>
    <w:rsid w:val="006B0607"/>
    <w:rsid w:val="006B083B"/>
    <w:rsid w:val="006B218E"/>
    <w:rsid w:val="006B3839"/>
    <w:rsid w:val="006B3883"/>
    <w:rsid w:val="006B40EF"/>
    <w:rsid w:val="006B4C0B"/>
    <w:rsid w:val="006B5E14"/>
    <w:rsid w:val="006B634B"/>
    <w:rsid w:val="006B7414"/>
    <w:rsid w:val="006C01D6"/>
    <w:rsid w:val="006C0BD7"/>
    <w:rsid w:val="006C17DE"/>
    <w:rsid w:val="006C1C90"/>
    <w:rsid w:val="006C1E67"/>
    <w:rsid w:val="006C1E80"/>
    <w:rsid w:val="006C25E4"/>
    <w:rsid w:val="006C3470"/>
    <w:rsid w:val="006C43E9"/>
    <w:rsid w:val="006C4A34"/>
    <w:rsid w:val="006C65F0"/>
    <w:rsid w:val="006C6EBC"/>
    <w:rsid w:val="006C7AB9"/>
    <w:rsid w:val="006C7CD1"/>
    <w:rsid w:val="006C7E76"/>
    <w:rsid w:val="006D0C72"/>
    <w:rsid w:val="006D16BD"/>
    <w:rsid w:val="006D16D9"/>
    <w:rsid w:val="006D1CE7"/>
    <w:rsid w:val="006D2366"/>
    <w:rsid w:val="006D2960"/>
    <w:rsid w:val="006D2AC3"/>
    <w:rsid w:val="006D2DF0"/>
    <w:rsid w:val="006D2EC5"/>
    <w:rsid w:val="006D2F26"/>
    <w:rsid w:val="006D49E4"/>
    <w:rsid w:val="006D6342"/>
    <w:rsid w:val="006D63A6"/>
    <w:rsid w:val="006D65A5"/>
    <w:rsid w:val="006D6790"/>
    <w:rsid w:val="006D7FDA"/>
    <w:rsid w:val="006E1578"/>
    <w:rsid w:val="006E1AEF"/>
    <w:rsid w:val="006E33C5"/>
    <w:rsid w:val="006E3DDA"/>
    <w:rsid w:val="006E5084"/>
    <w:rsid w:val="006E5B7E"/>
    <w:rsid w:val="006E5D01"/>
    <w:rsid w:val="006E72D4"/>
    <w:rsid w:val="006E7B27"/>
    <w:rsid w:val="006E7C4E"/>
    <w:rsid w:val="006E7CFC"/>
    <w:rsid w:val="006E7DDC"/>
    <w:rsid w:val="006F134A"/>
    <w:rsid w:val="006F1838"/>
    <w:rsid w:val="006F23F2"/>
    <w:rsid w:val="006F272D"/>
    <w:rsid w:val="006F2C62"/>
    <w:rsid w:val="006F33A7"/>
    <w:rsid w:val="006F3E05"/>
    <w:rsid w:val="006F4CC9"/>
    <w:rsid w:val="006F60D5"/>
    <w:rsid w:val="006F79F1"/>
    <w:rsid w:val="006F7CBF"/>
    <w:rsid w:val="007001B2"/>
    <w:rsid w:val="00701E73"/>
    <w:rsid w:val="0070231A"/>
    <w:rsid w:val="00702D5F"/>
    <w:rsid w:val="00703BCE"/>
    <w:rsid w:val="00703C73"/>
    <w:rsid w:val="007041E5"/>
    <w:rsid w:val="007041F9"/>
    <w:rsid w:val="00704B14"/>
    <w:rsid w:val="00705FBB"/>
    <w:rsid w:val="0070680E"/>
    <w:rsid w:val="0071036C"/>
    <w:rsid w:val="00712ED6"/>
    <w:rsid w:val="00714E64"/>
    <w:rsid w:val="00715343"/>
    <w:rsid w:val="00716DFD"/>
    <w:rsid w:val="007174A6"/>
    <w:rsid w:val="007179C4"/>
    <w:rsid w:val="00717D87"/>
    <w:rsid w:val="00720109"/>
    <w:rsid w:val="00720811"/>
    <w:rsid w:val="0072145C"/>
    <w:rsid w:val="00724009"/>
    <w:rsid w:val="00724390"/>
    <w:rsid w:val="007248C4"/>
    <w:rsid w:val="007250EF"/>
    <w:rsid w:val="007279D2"/>
    <w:rsid w:val="0073003B"/>
    <w:rsid w:val="00730D6D"/>
    <w:rsid w:val="007310CC"/>
    <w:rsid w:val="00731FB9"/>
    <w:rsid w:val="007331D2"/>
    <w:rsid w:val="00733C44"/>
    <w:rsid w:val="00733E46"/>
    <w:rsid w:val="00735ABA"/>
    <w:rsid w:val="00740E3D"/>
    <w:rsid w:val="00741385"/>
    <w:rsid w:val="0074167E"/>
    <w:rsid w:val="00741DC7"/>
    <w:rsid w:val="007428C7"/>
    <w:rsid w:val="00743915"/>
    <w:rsid w:val="007440D7"/>
    <w:rsid w:val="0074523A"/>
    <w:rsid w:val="00745BEA"/>
    <w:rsid w:val="007465C9"/>
    <w:rsid w:val="00746C7D"/>
    <w:rsid w:val="00747318"/>
    <w:rsid w:val="00747CDF"/>
    <w:rsid w:val="00751A4B"/>
    <w:rsid w:val="00751A94"/>
    <w:rsid w:val="00752A36"/>
    <w:rsid w:val="00754B31"/>
    <w:rsid w:val="00755E9D"/>
    <w:rsid w:val="0075653B"/>
    <w:rsid w:val="00757744"/>
    <w:rsid w:val="00760A34"/>
    <w:rsid w:val="0076190F"/>
    <w:rsid w:val="00761DC6"/>
    <w:rsid w:val="007625C2"/>
    <w:rsid w:val="00762A7C"/>
    <w:rsid w:val="00764BBE"/>
    <w:rsid w:val="00765204"/>
    <w:rsid w:val="00765D3A"/>
    <w:rsid w:val="0076657F"/>
    <w:rsid w:val="007667B1"/>
    <w:rsid w:val="007709FF"/>
    <w:rsid w:val="00770BF5"/>
    <w:rsid w:val="00770DC0"/>
    <w:rsid w:val="00770E69"/>
    <w:rsid w:val="00771614"/>
    <w:rsid w:val="007723F6"/>
    <w:rsid w:val="00773A36"/>
    <w:rsid w:val="00774229"/>
    <w:rsid w:val="00774E82"/>
    <w:rsid w:val="00775391"/>
    <w:rsid w:val="0077760E"/>
    <w:rsid w:val="00780666"/>
    <w:rsid w:val="007808E0"/>
    <w:rsid w:val="00781F61"/>
    <w:rsid w:val="00782128"/>
    <w:rsid w:val="007823A6"/>
    <w:rsid w:val="00782D16"/>
    <w:rsid w:val="00783335"/>
    <w:rsid w:val="00783525"/>
    <w:rsid w:val="00784CEA"/>
    <w:rsid w:val="0078663B"/>
    <w:rsid w:val="0079011C"/>
    <w:rsid w:val="00791CB1"/>
    <w:rsid w:val="00792220"/>
    <w:rsid w:val="00792309"/>
    <w:rsid w:val="00794774"/>
    <w:rsid w:val="00794B3F"/>
    <w:rsid w:val="00795C0B"/>
    <w:rsid w:val="00795DEA"/>
    <w:rsid w:val="00796030"/>
    <w:rsid w:val="007962A6"/>
    <w:rsid w:val="00796712"/>
    <w:rsid w:val="007A097D"/>
    <w:rsid w:val="007A0BC3"/>
    <w:rsid w:val="007A1ACB"/>
    <w:rsid w:val="007A1B8A"/>
    <w:rsid w:val="007A2872"/>
    <w:rsid w:val="007A3334"/>
    <w:rsid w:val="007A540E"/>
    <w:rsid w:val="007A6A27"/>
    <w:rsid w:val="007A6BA6"/>
    <w:rsid w:val="007A6F69"/>
    <w:rsid w:val="007A7448"/>
    <w:rsid w:val="007A7516"/>
    <w:rsid w:val="007B0293"/>
    <w:rsid w:val="007B0E53"/>
    <w:rsid w:val="007B0F65"/>
    <w:rsid w:val="007B1B84"/>
    <w:rsid w:val="007B38A7"/>
    <w:rsid w:val="007B3ACF"/>
    <w:rsid w:val="007B4143"/>
    <w:rsid w:val="007B4717"/>
    <w:rsid w:val="007B4E28"/>
    <w:rsid w:val="007B58B9"/>
    <w:rsid w:val="007B5B46"/>
    <w:rsid w:val="007B5CE4"/>
    <w:rsid w:val="007B65AB"/>
    <w:rsid w:val="007B6891"/>
    <w:rsid w:val="007B6C6F"/>
    <w:rsid w:val="007B6F45"/>
    <w:rsid w:val="007C02D1"/>
    <w:rsid w:val="007C1570"/>
    <w:rsid w:val="007C15EB"/>
    <w:rsid w:val="007C3643"/>
    <w:rsid w:val="007C3BDC"/>
    <w:rsid w:val="007C56EC"/>
    <w:rsid w:val="007C606C"/>
    <w:rsid w:val="007C62E0"/>
    <w:rsid w:val="007C636E"/>
    <w:rsid w:val="007C76F2"/>
    <w:rsid w:val="007C7BAF"/>
    <w:rsid w:val="007D04B8"/>
    <w:rsid w:val="007D086D"/>
    <w:rsid w:val="007D17B1"/>
    <w:rsid w:val="007D354B"/>
    <w:rsid w:val="007D3928"/>
    <w:rsid w:val="007D4785"/>
    <w:rsid w:val="007D57EA"/>
    <w:rsid w:val="007D6307"/>
    <w:rsid w:val="007E0603"/>
    <w:rsid w:val="007E172B"/>
    <w:rsid w:val="007E1810"/>
    <w:rsid w:val="007E1EF5"/>
    <w:rsid w:val="007E25E4"/>
    <w:rsid w:val="007E28D0"/>
    <w:rsid w:val="007E2AA7"/>
    <w:rsid w:val="007E4310"/>
    <w:rsid w:val="007E56C0"/>
    <w:rsid w:val="007E6087"/>
    <w:rsid w:val="007E6354"/>
    <w:rsid w:val="007E64DE"/>
    <w:rsid w:val="007E6532"/>
    <w:rsid w:val="007E65E1"/>
    <w:rsid w:val="007E7059"/>
    <w:rsid w:val="007E79A0"/>
    <w:rsid w:val="007E7B3F"/>
    <w:rsid w:val="007E7D61"/>
    <w:rsid w:val="007F15C3"/>
    <w:rsid w:val="007F2006"/>
    <w:rsid w:val="007F241C"/>
    <w:rsid w:val="007F4407"/>
    <w:rsid w:val="007F4C84"/>
    <w:rsid w:val="007F6027"/>
    <w:rsid w:val="007F6078"/>
    <w:rsid w:val="007F6273"/>
    <w:rsid w:val="007F75BA"/>
    <w:rsid w:val="00800641"/>
    <w:rsid w:val="00801809"/>
    <w:rsid w:val="008027F2"/>
    <w:rsid w:val="00802C8A"/>
    <w:rsid w:val="00803119"/>
    <w:rsid w:val="00803884"/>
    <w:rsid w:val="00806629"/>
    <w:rsid w:val="00807B1F"/>
    <w:rsid w:val="0081186D"/>
    <w:rsid w:val="00812B6D"/>
    <w:rsid w:val="00812FF1"/>
    <w:rsid w:val="0081419C"/>
    <w:rsid w:val="00815AC9"/>
    <w:rsid w:val="00815DAC"/>
    <w:rsid w:val="00815DE1"/>
    <w:rsid w:val="008160C7"/>
    <w:rsid w:val="0081681D"/>
    <w:rsid w:val="0081756A"/>
    <w:rsid w:val="008201FA"/>
    <w:rsid w:val="00820D7F"/>
    <w:rsid w:val="00821DE4"/>
    <w:rsid w:val="008234EA"/>
    <w:rsid w:val="00823757"/>
    <w:rsid w:val="008246F7"/>
    <w:rsid w:val="00825F12"/>
    <w:rsid w:val="00826071"/>
    <w:rsid w:val="00826E84"/>
    <w:rsid w:val="00830986"/>
    <w:rsid w:val="00830A3E"/>
    <w:rsid w:val="00830B3D"/>
    <w:rsid w:val="00831725"/>
    <w:rsid w:val="00832312"/>
    <w:rsid w:val="0083376D"/>
    <w:rsid w:val="00833E1B"/>
    <w:rsid w:val="00836749"/>
    <w:rsid w:val="008401F3"/>
    <w:rsid w:val="0084033B"/>
    <w:rsid w:val="00840B5B"/>
    <w:rsid w:val="0084143D"/>
    <w:rsid w:val="008415EA"/>
    <w:rsid w:val="008416D9"/>
    <w:rsid w:val="00841A50"/>
    <w:rsid w:val="008429BD"/>
    <w:rsid w:val="0084385C"/>
    <w:rsid w:val="008441D0"/>
    <w:rsid w:val="00845F5A"/>
    <w:rsid w:val="008473B9"/>
    <w:rsid w:val="00850B10"/>
    <w:rsid w:val="00850BF6"/>
    <w:rsid w:val="00853828"/>
    <w:rsid w:val="00853A05"/>
    <w:rsid w:val="00853AA3"/>
    <w:rsid w:val="008546E5"/>
    <w:rsid w:val="0085490B"/>
    <w:rsid w:val="00855513"/>
    <w:rsid w:val="0085664C"/>
    <w:rsid w:val="00856F69"/>
    <w:rsid w:val="00857A87"/>
    <w:rsid w:val="00857B5B"/>
    <w:rsid w:val="00857C1B"/>
    <w:rsid w:val="008614CC"/>
    <w:rsid w:val="00861EC8"/>
    <w:rsid w:val="0086265B"/>
    <w:rsid w:val="0086309F"/>
    <w:rsid w:val="008638A5"/>
    <w:rsid w:val="00864C7E"/>
    <w:rsid w:val="00864EE9"/>
    <w:rsid w:val="008659CE"/>
    <w:rsid w:val="0087213E"/>
    <w:rsid w:val="008738D1"/>
    <w:rsid w:val="00874D8A"/>
    <w:rsid w:val="00875451"/>
    <w:rsid w:val="008758D4"/>
    <w:rsid w:val="00877B42"/>
    <w:rsid w:val="00877D7C"/>
    <w:rsid w:val="00881288"/>
    <w:rsid w:val="00881F94"/>
    <w:rsid w:val="008829B6"/>
    <w:rsid w:val="0088400C"/>
    <w:rsid w:val="00884148"/>
    <w:rsid w:val="00884812"/>
    <w:rsid w:val="00884B61"/>
    <w:rsid w:val="00886F21"/>
    <w:rsid w:val="008870EB"/>
    <w:rsid w:val="00887A45"/>
    <w:rsid w:val="008902C8"/>
    <w:rsid w:val="00891A03"/>
    <w:rsid w:val="008932E1"/>
    <w:rsid w:val="00893D68"/>
    <w:rsid w:val="00894181"/>
    <w:rsid w:val="008956AA"/>
    <w:rsid w:val="00897A05"/>
    <w:rsid w:val="008A1159"/>
    <w:rsid w:val="008A1573"/>
    <w:rsid w:val="008A233A"/>
    <w:rsid w:val="008A3205"/>
    <w:rsid w:val="008A460F"/>
    <w:rsid w:val="008A60AE"/>
    <w:rsid w:val="008A64DD"/>
    <w:rsid w:val="008B21BC"/>
    <w:rsid w:val="008B270A"/>
    <w:rsid w:val="008B3A68"/>
    <w:rsid w:val="008B4F0B"/>
    <w:rsid w:val="008B64B8"/>
    <w:rsid w:val="008B7D4E"/>
    <w:rsid w:val="008C1F18"/>
    <w:rsid w:val="008C266D"/>
    <w:rsid w:val="008C37E8"/>
    <w:rsid w:val="008C40B1"/>
    <w:rsid w:val="008C5210"/>
    <w:rsid w:val="008C56C3"/>
    <w:rsid w:val="008C63D5"/>
    <w:rsid w:val="008C6DCD"/>
    <w:rsid w:val="008D0543"/>
    <w:rsid w:val="008D127C"/>
    <w:rsid w:val="008D28E1"/>
    <w:rsid w:val="008D2DB3"/>
    <w:rsid w:val="008D3B3F"/>
    <w:rsid w:val="008D43A8"/>
    <w:rsid w:val="008D46FC"/>
    <w:rsid w:val="008D58F4"/>
    <w:rsid w:val="008D6411"/>
    <w:rsid w:val="008D6A59"/>
    <w:rsid w:val="008D7431"/>
    <w:rsid w:val="008D7C22"/>
    <w:rsid w:val="008E0967"/>
    <w:rsid w:val="008E0D53"/>
    <w:rsid w:val="008E0DC4"/>
    <w:rsid w:val="008E1F22"/>
    <w:rsid w:val="008E4796"/>
    <w:rsid w:val="008E589D"/>
    <w:rsid w:val="008E59DB"/>
    <w:rsid w:val="008E5E71"/>
    <w:rsid w:val="008E736C"/>
    <w:rsid w:val="008E7959"/>
    <w:rsid w:val="008E7A96"/>
    <w:rsid w:val="008F00A0"/>
    <w:rsid w:val="008F0749"/>
    <w:rsid w:val="008F2BB4"/>
    <w:rsid w:val="008F4E82"/>
    <w:rsid w:val="008F5A51"/>
    <w:rsid w:val="008F6A1B"/>
    <w:rsid w:val="00900916"/>
    <w:rsid w:val="009019A8"/>
    <w:rsid w:val="00901EBA"/>
    <w:rsid w:val="0090220A"/>
    <w:rsid w:val="00903E21"/>
    <w:rsid w:val="0090431D"/>
    <w:rsid w:val="009048A7"/>
    <w:rsid w:val="00905638"/>
    <w:rsid w:val="0090589B"/>
    <w:rsid w:val="00905F25"/>
    <w:rsid w:val="00906608"/>
    <w:rsid w:val="00910554"/>
    <w:rsid w:val="0091086E"/>
    <w:rsid w:val="00910872"/>
    <w:rsid w:val="00913279"/>
    <w:rsid w:val="00913816"/>
    <w:rsid w:val="00913AC7"/>
    <w:rsid w:val="00915263"/>
    <w:rsid w:val="00915E1E"/>
    <w:rsid w:val="00916347"/>
    <w:rsid w:val="00917182"/>
    <w:rsid w:val="009203DF"/>
    <w:rsid w:val="00921054"/>
    <w:rsid w:val="009215C2"/>
    <w:rsid w:val="00921D0F"/>
    <w:rsid w:val="00922F61"/>
    <w:rsid w:val="00922F8C"/>
    <w:rsid w:val="00924C4C"/>
    <w:rsid w:val="00926758"/>
    <w:rsid w:val="00926E3E"/>
    <w:rsid w:val="00927131"/>
    <w:rsid w:val="00931031"/>
    <w:rsid w:val="0093192B"/>
    <w:rsid w:val="009319F4"/>
    <w:rsid w:val="00933813"/>
    <w:rsid w:val="00933E27"/>
    <w:rsid w:val="009347DC"/>
    <w:rsid w:val="00934D26"/>
    <w:rsid w:val="00937325"/>
    <w:rsid w:val="00937C87"/>
    <w:rsid w:val="00940831"/>
    <w:rsid w:val="009408CA"/>
    <w:rsid w:val="00940E97"/>
    <w:rsid w:val="009417FA"/>
    <w:rsid w:val="00942FBA"/>
    <w:rsid w:val="00943435"/>
    <w:rsid w:val="00943CB1"/>
    <w:rsid w:val="00945CB8"/>
    <w:rsid w:val="00945DB2"/>
    <w:rsid w:val="00946920"/>
    <w:rsid w:val="00946C63"/>
    <w:rsid w:val="00947B5C"/>
    <w:rsid w:val="009502F9"/>
    <w:rsid w:val="00950D76"/>
    <w:rsid w:val="00950ED4"/>
    <w:rsid w:val="009512AA"/>
    <w:rsid w:val="00951B0D"/>
    <w:rsid w:val="00952F6C"/>
    <w:rsid w:val="0095477E"/>
    <w:rsid w:val="00954B79"/>
    <w:rsid w:val="0095571A"/>
    <w:rsid w:val="00956E0E"/>
    <w:rsid w:val="009600C3"/>
    <w:rsid w:val="00960DEA"/>
    <w:rsid w:val="00960E46"/>
    <w:rsid w:val="0096169C"/>
    <w:rsid w:val="00962C51"/>
    <w:rsid w:val="0096342B"/>
    <w:rsid w:val="00963E6F"/>
    <w:rsid w:val="009643D0"/>
    <w:rsid w:val="00965741"/>
    <w:rsid w:val="00966423"/>
    <w:rsid w:val="00966BF0"/>
    <w:rsid w:val="00966D8D"/>
    <w:rsid w:val="009715F9"/>
    <w:rsid w:val="00971C14"/>
    <w:rsid w:val="00972243"/>
    <w:rsid w:val="009739BA"/>
    <w:rsid w:val="00973FC5"/>
    <w:rsid w:val="0097583D"/>
    <w:rsid w:val="009758B8"/>
    <w:rsid w:val="009764CF"/>
    <w:rsid w:val="0097677E"/>
    <w:rsid w:val="00977989"/>
    <w:rsid w:val="0098186F"/>
    <w:rsid w:val="00983208"/>
    <w:rsid w:val="00983A37"/>
    <w:rsid w:val="00983F77"/>
    <w:rsid w:val="009850C6"/>
    <w:rsid w:val="00986D91"/>
    <w:rsid w:val="00990817"/>
    <w:rsid w:val="00992901"/>
    <w:rsid w:val="00993A1D"/>
    <w:rsid w:val="00993BE7"/>
    <w:rsid w:val="009948FA"/>
    <w:rsid w:val="00995139"/>
    <w:rsid w:val="0099564B"/>
    <w:rsid w:val="00995AE1"/>
    <w:rsid w:val="0099649E"/>
    <w:rsid w:val="009966D3"/>
    <w:rsid w:val="00996BDA"/>
    <w:rsid w:val="0099716B"/>
    <w:rsid w:val="009973CB"/>
    <w:rsid w:val="009A08E5"/>
    <w:rsid w:val="009A275F"/>
    <w:rsid w:val="009A3F7D"/>
    <w:rsid w:val="009A5A8E"/>
    <w:rsid w:val="009A67EB"/>
    <w:rsid w:val="009A6F95"/>
    <w:rsid w:val="009A7D25"/>
    <w:rsid w:val="009B19D8"/>
    <w:rsid w:val="009B1B0E"/>
    <w:rsid w:val="009B2DAB"/>
    <w:rsid w:val="009B356F"/>
    <w:rsid w:val="009B3CF8"/>
    <w:rsid w:val="009B3E17"/>
    <w:rsid w:val="009B5F7A"/>
    <w:rsid w:val="009B614F"/>
    <w:rsid w:val="009B73E5"/>
    <w:rsid w:val="009C04AF"/>
    <w:rsid w:val="009C11B4"/>
    <w:rsid w:val="009C15D9"/>
    <w:rsid w:val="009C1C11"/>
    <w:rsid w:val="009C1F1B"/>
    <w:rsid w:val="009C3818"/>
    <w:rsid w:val="009C3A1D"/>
    <w:rsid w:val="009C3C89"/>
    <w:rsid w:val="009C53E0"/>
    <w:rsid w:val="009C5A71"/>
    <w:rsid w:val="009C5B23"/>
    <w:rsid w:val="009C6467"/>
    <w:rsid w:val="009D07C4"/>
    <w:rsid w:val="009D2F16"/>
    <w:rsid w:val="009D2FDC"/>
    <w:rsid w:val="009D34CE"/>
    <w:rsid w:val="009D3E7F"/>
    <w:rsid w:val="009D41AB"/>
    <w:rsid w:val="009D4333"/>
    <w:rsid w:val="009D443C"/>
    <w:rsid w:val="009D4807"/>
    <w:rsid w:val="009D4AA4"/>
    <w:rsid w:val="009D4BA7"/>
    <w:rsid w:val="009D50DE"/>
    <w:rsid w:val="009D74F7"/>
    <w:rsid w:val="009D7D07"/>
    <w:rsid w:val="009E03A4"/>
    <w:rsid w:val="009E0F24"/>
    <w:rsid w:val="009E1B81"/>
    <w:rsid w:val="009E1FB3"/>
    <w:rsid w:val="009E263E"/>
    <w:rsid w:val="009E29E8"/>
    <w:rsid w:val="009E2E2A"/>
    <w:rsid w:val="009E4128"/>
    <w:rsid w:val="009E4A04"/>
    <w:rsid w:val="009E78CF"/>
    <w:rsid w:val="009F2202"/>
    <w:rsid w:val="009F3790"/>
    <w:rsid w:val="009F39DF"/>
    <w:rsid w:val="009F6813"/>
    <w:rsid w:val="009F7DFF"/>
    <w:rsid w:val="00A004F0"/>
    <w:rsid w:val="00A03F8F"/>
    <w:rsid w:val="00A042BC"/>
    <w:rsid w:val="00A045F2"/>
    <w:rsid w:val="00A05B76"/>
    <w:rsid w:val="00A071E9"/>
    <w:rsid w:val="00A1369B"/>
    <w:rsid w:val="00A13D94"/>
    <w:rsid w:val="00A14432"/>
    <w:rsid w:val="00A146FB"/>
    <w:rsid w:val="00A15402"/>
    <w:rsid w:val="00A16BAF"/>
    <w:rsid w:val="00A16D8E"/>
    <w:rsid w:val="00A20875"/>
    <w:rsid w:val="00A2104C"/>
    <w:rsid w:val="00A222AE"/>
    <w:rsid w:val="00A244C7"/>
    <w:rsid w:val="00A25EE8"/>
    <w:rsid w:val="00A2672B"/>
    <w:rsid w:val="00A26E02"/>
    <w:rsid w:val="00A26E75"/>
    <w:rsid w:val="00A277B7"/>
    <w:rsid w:val="00A307CB"/>
    <w:rsid w:val="00A33888"/>
    <w:rsid w:val="00A33F9B"/>
    <w:rsid w:val="00A34702"/>
    <w:rsid w:val="00A361DB"/>
    <w:rsid w:val="00A363DD"/>
    <w:rsid w:val="00A36DDE"/>
    <w:rsid w:val="00A36E65"/>
    <w:rsid w:val="00A37269"/>
    <w:rsid w:val="00A37912"/>
    <w:rsid w:val="00A37EDE"/>
    <w:rsid w:val="00A41789"/>
    <w:rsid w:val="00A41A9E"/>
    <w:rsid w:val="00A432C7"/>
    <w:rsid w:val="00A438FF"/>
    <w:rsid w:val="00A43BA2"/>
    <w:rsid w:val="00A45EE8"/>
    <w:rsid w:val="00A462A9"/>
    <w:rsid w:val="00A46FFB"/>
    <w:rsid w:val="00A47A50"/>
    <w:rsid w:val="00A51D86"/>
    <w:rsid w:val="00A52408"/>
    <w:rsid w:val="00A538A9"/>
    <w:rsid w:val="00A54AEE"/>
    <w:rsid w:val="00A55E82"/>
    <w:rsid w:val="00A56228"/>
    <w:rsid w:val="00A575B5"/>
    <w:rsid w:val="00A576F9"/>
    <w:rsid w:val="00A57A60"/>
    <w:rsid w:val="00A57E96"/>
    <w:rsid w:val="00A60433"/>
    <w:rsid w:val="00A60BDF"/>
    <w:rsid w:val="00A60F23"/>
    <w:rsid w:val="00A620E2"/>
    <w:rsid w:val="00A63444"/>
    <w:rsid w:val="00A63E30"/>
    <w:rsid w:val="00A6435A"/>
    <w:rsid w:val="00A64498"/>
    <w:rsid w:val="00A6488A"/>
    <w:rsid w:val="00A659CC"/>
    <w:rsid w:val="00A660B5"/>
    <w:rsid w:val="00A67992"/>
    <w:rsid w:val="00A71C66"/>
    <w:rsid w:val="00A73E9A"/>
    <w:rsid w:val="00A743A5"/>
    <w:rsid w:val="00A7487F"/>
    <w:rsid w:val="00A753B3"/>
    <w:rsid w:val="00A75C5D"/>
    <w:rsid w:val="00A76A1D"/>
    <w:rsid w:val="00A805B7"/>
    <w:rsid w:val="00A81B07"/>
    <w:rsid w:val="00A8342D"/>
    <w:rsid w:val="00A83AF8"/>
    <w:rsid w:val="00A84E9B"/>
    <w:rsid w:val="00A85D07"/>
    <w:rsid w:val="00A915DD"/>
    <w:rsid w:val="00A9286C"/>
    <w:rsid w:val="00A92D21"/>
    <w:rsid w:val="00A934FB"/>
    <w:rsid w:val="00A94490"/>
    <w:rsid w:val="00A95E07"/>
    <w:rsid w:val="00A96A4E"/>
    <w:rsid w:val="00AA21E0"/>
    <w:rsid w:val="00AA345B"/>
    <w:rsid w:val="00AA3CD8"/>
    <w:rsid w:val="00AA505B"/>
    <w:rsid w:val="00AA556D"/>
    <w:rsid w:val="00AA592F"/>
    <w:rsid w:val="00AA5EF5"/>
    <w:rsid w:val="00AA642D"/>
    <w:rsid w:val="00AA6BA1"/>
    <w:rsid w:val="00AB0BA1"/>
    <w:rsid w:val="00AB17BE"/>
    <w:rsid w:val="00AB1C9F"/>
    <w:rsid w:val="00AB1F36"/>
    <w:rsid w:val="00AB328F"/>
    <w:rsid w:val="00AB3C0B"/>
    <w:rsid w:val="00AB487D"/>
    <w:rsid w:val="00AB4AC2"/>
    <w:rsid w:val="00AB4F34"/>
    <w:rsid w:val="00AB51A8"/>
    <w:rsid w:val="00AB7FF2"/>
    <w:rsid w:val="00AC0AE0"/>
    <w:rsid w:val="00AC0DA7"/>
    <w:rsid w:val="00AC45E1"/>
    <w:rsid w:val="00AC4EC9"/>
    <w:rsid w:val="00AC5582"/>
    <w:rsid w:val="00AC5D01"/>
    <w:rsid w:val="00AC6645"/>
    <w:rsid w:val="00AC70CA"/>
    <w:rsid w:val="00AC7111"/>
    <w:rsid w:val="00AD1A4A"/>
    <w:rsid w:val="00AD1B81"/>
    <w:rsid w:val="00AD2992"/>
    <w:rsid w:val="00AD338B"/>
    <w:rsid w:val="00AD3E0D"/>
    <w:rsid w:val="00AD468B"/>
    <w:rsid w:val="00AD48C9"/>
    <w:rsid w:val="00AD4F7B"/>
    <w:rsid w:val="00AD7046"/>
    <w:rsid w:val="00AD7954"/>
    <w:rsid w:val="00AE22A2"/>
    <w:rsid w:val="00AE23FB"/>
    <w:rsid w:val="00AE256C"/>
    <w:rsid w:val="00AE2A43"/>
    <w:rsid w:val="00AE322A"/>
    <w:rsid w:val="00AE5058"/>
    <w:rsid w:val="00AE6691"/>
    <w:rsid w:val="00AE79B6"/>
    <w:rsid w:val="00AF146D"/>
    <w:rsid w:val="00AF23C0"/>
    <w:rsid w:val="00AF43C8"/>
    <w:rsid w:val="00AF4BF2"/>
    <w:rsid w:val="00AF4DA4"/>
    <w:rsid w:val="00AF4E1C"/>
    <w:rsid w:val="00AF52CC"/>
    <w:rsid w:val="00AF592A"/>
    <w:rsid w:val="00AF7546"/>
    <w:rsid w:val="00B00C4E"/>
    <w:rsid w:val="00B0193A"/>
    <w:rsid w:val="00B02499"/>
    <w:rsid w:val="00B02552"/>
    <w:rsid w:val="00B02796"/>
    <w:rsid w:val="00B02A3F"/>
    <w:rsid w:val="00B03235"/>
    <w:rsid w:val="00B03A57"/>
    <w:rsid w:val="00B04A35"/>
    <w:rsid w:val="00B04BE1"/>
    <w:rsid w:val="00B050D9"/>
    <w:rsid w:val="00B05AC6"/>
    <w:rsid w:val="00B05C4C"/>
    <w:rsid w:val="00B123DC"/>
    <w:rsid w:val="00B123FB"/>
    <w:rsid w:val="00B1247F"/>
    <w:rsid w:val="00B13B82"/>
    <w:rsid w:val="00B153FA"/>
    <w:rsid w:val="00B17B55"/>
    <w:rsid w:val="00B22044"/>
    <w:rsid w:val="00B22A17"/>
    <w:rsid w:val="00B22B9F"/>
    <w:rsid w:val="00B22F78"/>
    <w:rsid w:val="00B23789"/>
    <w:rsid w:val="00B23ECA"/>
    <w:rsid w:val="00B252B1"/>
    <w:rsid w:val="00B27131"/>
    <w:rsid w:val="00B27951"/>
    <w:rsid w:val="00B31892"/>
    <w:rsid w:val="00B32689"/>
    <w:rsid w:val="00B331EC"/>
    <w:rsid w:val="00B35F83"/>
    <w:rsid w:val="00B36A30"/>
    <w:rsid w:val="00B378A5"/>
    <w:rsid w:val="00B37935"/>
    <w:rsid w:val="00B37A6D"/>
    <w:rsid w:val="00B412E8"/>
    <w:rsid w:val="00B42016"/>
    <w:rsid w:val="00B42D34"/>
    <w:rsid w:val="00B42F31"/>
    <w:rsid w:val="00B43C12"/>
    <w:rsid w:val="00B43D92"/>
    <w:rsid w:val="00B441BD"/>
    <w:rsid w:val="00B51050"/>
    <w:rsid w:val="00B52CAD"/>
    <w:rsid w:val="00B53EAF"/>
    <w:rsid w:val="00B54BBC"/>
    <w:rsid w:val="00B554D6"/>
    <w:rsid w:val="00B56A69"/>
    <w:rsid w:val="00B61CB0"/>
    <w:rsid w:val="00B62ADE"/>
    <w:rsid w:val="00B62E9A"/>
    <w:rsid w:val="00B62EE3"/>
    <w:rsid w:val="00B6454E"/>
    <w:rsid w:val="00B65AE8"/>
    <w:rsid w:val="00B65BCA"/>
    <w:rsid w:val="00B6639B"/>
    <w:rsid w:val="00B66F84"/>
    <w:rsid w:val="00B675A3"/>
    <w:rsid w:val="00B67947"/>
    <w:rsid w:val="00B718B1"/>
    <w:rsid w:val="00B71ECA"/>
    <w:rsid w:val="00B7570D"/>
    <w:rsid w:val="00B75C77"/>
    <w:rsid w:val="00B7794E"/>
    <w:rsid w:val="00B809B3"/>
    <w:rsid w:val="00B80E36"/>
    <w:rsid w:val="00B823FD"/>
    <w:rsid w:val="00B84F6E"/>
    <w:rsid w:val="00B85702"/>
    <w:rsid w:val="00B858DA"/>
    <w:rsid w:val="00B86EDE"/>
    <w:rsid w:val="00B87E26"/>
    <w:rsid w:val="00B901B7"/>
    <w:rsid w:val="00B90713"/>
    <w:rsid w:val="00B92069"/>
    <w:rsid w:val="00B93F4B"/>
    <w:rsid w:val="00B9500B"/>
    <w:rsid w:val="00B968AB"/>
    <w:rsid w:val="00B970C0"/>
    <w:rsid w:val="00BA011A"/>
    <w:rsid w:val="00BA1D80"/>
    <w:rsid w:val="00BA27EB"/>
    <w:rsid w:val="00BA4B48"/>
    <w:rsid w:val="00BA4DA7"/>
    <w:rsid w:val="00BA4E6F"/>
    <w:rsid w:val="00BA54BC"/>
    <w:rsid w:val="00BA56A8"/>
    <w:rsid w:val="00BA58BE"/>
    <w:rsid w:val="00BA784F"/>
    <w:rsid w:val="00BA79F7"/>
    <w:rsid w:val="00BA7A1E"/>
    <w:rsid w:val="00BB05C0"/>
    <w:rsid w:val="00BB11CE"/>
    <w:rsid w:val="00BB3E37"/>
    <w:rsid w:val="00BB3F28"/>
    <w:rsid w:val="00BB4FD9"/>
    <w:rsid w:val="00BB52AF"/>
    <w:rsid w:val="00BB5711"/>
    <w:rsid w:val="00BB5722"/>
    <w:rsid w:val="00BB5A72"/>
    <w:rsid w:val="00BB5ADE"/>
    <w:rsid w:val="00BB640D"/>
    <w:rsid w:val="00BB6693"/>
    <w:rsid w:val="00BB6BB6"/>
    <w:rsid w:val="00BB6CD0"/>
    <w:rsid w:val="00BC02E9"/>
    <w:rsid w:val="00BC038B"/>
    <w:rsid w:val="00BC17E4"/>
    <w:rsid w:val="00BC3EC5"/>
    <w:rsid w:val="00BC43BF"/>
    <w:rsid w:val="00BC46B6"/>
    <w:rsid w:val="00BC4962"/>
    <w:rsid w:val="00BC5546"/>
    <w:rsid w:val="00BC731C"/>
    <w:rsid w:val="00BC75AB"/>
    <w:rsid w:val="00BC7F67"/>
    <w:rsid w:val="00BD0FDF"/>
    <w:rsid w:val="00BD2771"/>
    <w:rsid w:val="00BD32E4"/>
    <w:rsid w:val="00BD35AA"/>
    <w:rsid w:val="00BD3C78"/>
    <w:rsid w:val="00BD5C92"/>
    <w:rsid w:val="00BD6505"/>
    <w:rsid w:val="00BD65D8"/>
    <w:rsid w:val="00BD6EAB"/>
    <w:rsid w:val="00BD7583"/>
    <w:rsid w:val="00BE1CA5"/>
    <w:rsid w:val="00BE288A"/>
    <w:rsid w:val="00BE3D86"/>
    <w:rsid w:val="00BE431F"/>
    <w:rsid w:val="00BE5634"/>
    <w:rsid w:val="00BE57BB"/>
    <w:rsid w:val="00BE7092"/>
    <w:rsid w:val="00BE710C"/>
    <w:rsid w:val="00BE7118"/>
    <w:rsid w:val="00BF060C"/>
    <w:rsid w:val="00BF0C25"/>
    <w:rsid w:val="00BF13C1"/>
    <w:rsid w:val="00BF362A"/>
    <w:rsid w:val="00BF381B"/>
    <w:rsid w:val="00BF5AD6"/>
    <w:rsid w:val="00BF5CC6"/>
    <w:rsid w:val="00BF6242"/>
    <w:rsid w:val="00BF6934"/>
    <w:rsid w:val="00BF77B5"/>
    <w:rsid w:val="00BF7869"/>
    <w:rsid w:val="00C01A0E"/>
    <w:rsid w:val="00C05079"/>
    <w:rsid w:val="00C06004"/>
    <w:rsid w:val="00C06389"/>
    <w:rsid w:val="00C06C06"/>
    <w:rsid w:val="00C109B6"/>
    <w:rsid w:val="00C10E96"/>
    <w:rsid w:val="00C11279"/>
    <w:rsid w:val="00C11A18"/>
    <w:rsid w:val="00C12B98"/>
    <w:rsid w:val="00C13A67"/>
    <w:rsid w:val="00C13CD5"/>
    <w:rsid w:val="00C1500B"/>
    <w:rsid w:val="00C157A7"/>
    <w:rsid w:val="00C16735"/>
    <w:rsid w:val="00C2045C"/>
    <w:rsid w:val="00C218B8"/>
    <w:rsid w:val="00C21EF3"/>
    <w:rsid w:val="00C22B5A"/>
    <w:rsid w:val="00C231AA"/>
    <w:rsid w:val="00C231EB"/>
    <w:rsid w:val="00C24634"/>
    <w:rsid w:val="00C24DAF"/>
    <w:rsid w:val="00C26633"/>
    <w:rsid w:val="00C27AAC"/>
    <w:rsid w:val="00C335A8"/>
    <w:rsid w:val="00C34810"/>
    <w:rsid w:val="00C35E51"/>
    <w:rsid w:val="00C362E2"/>
    <w:rsid w:val="00C4052B"/>
    <w:rsid w:val="00C409B6"/>
    <w:rsid w:val="00C40CD5"/>
    <w:rsid w:val="00C40DD3"/>
    <w:rsid w:val="00C41F61"/>
    <w:rsid w:val="00C42A8E"/>
    <w:rsid w:val="00C42EF8"/>
    <w:rsid w:val="00C4349E"/>
    <w:rsid w:val="00C43A4F"/>
    <w:rsid w:val="00C4414F"/>
    <w:rsid w:val="00C44308"/>
    <w:rsid w:val="00C45AE6"/>
    <w:rsid w:val="00C46A25"/>
    <w:rsid w:val="00C47441"/>
    <w:rsid w:val="00C47ADE"/>
    <w:rsid w:val="00C47E88"/>
    <w:rsid w:val="00C500A8"/>
    <w:rsid w:val="00C50D74"/>
    <w:rsid w:val="00C51B7F"/>
    <w:rsid w:val="00C5213E"/>
    <w:rsid w:val="00C529B0"/>
    <w:rsid w:val="00C52E9B"/>
    <w:rsid w:val="00C53243"/>
    <w:rsid w:val="00C53D9F"/>
    <w:rsid w:val="00C53E88"/>
    <w:rsid w:val="00C54008"/>
    <w:rsid w:val="00C540CA"/>
    <w:rsid w:val="00C550A2"/>
    <w:rsid w:val="00C556AB"/>
    <w:rsid w:val="00C55764"/>
    <w:rsid w:val="00C56A63"/>
    <w:rsid w:val="00C56B62"/>
    <w:rsid w:val="00C579AA"/>
    <w:rsid w:val="00C57D4C"/>
    <w:rsid w:val="00C57F18"/>
    <w:rsid w:val="00C60D14"/>
    <w:rsid w:val="00C616DA"/>
    <w:rsid w:val="00C627B9"/>
    <w:rsid w:val="00C627C3"/>
    <w:rsid w:val="00C64A63"/>
    <w:rsid w:val="00C64E46"/>
    <w:rsid w:val="00C650CF"/>
    <w:rsid w:val="00C65690"/>
    <w:rsid w:val="00C659E6"/>
    <w:rsid w:val="00C66C08"/>
    <w:rsid w:val="00C66F2D"/>
    <w:rsid w:val="00C66FF2"/>
    <w:rsid w:val="00C672CD"/>
    <w:rsid w:val="00C67A41"/>
    <w:rsid w:val="00C67B84"/>
    <w:rsid w:val="00C67C95"/>
    <w:rsid w:val="00C67CE6"/>
    <w:rsid w:val="00C704BF"/>
    <w:rsid w:val="00C71154"/>
    <w:rsid w:val="00C71160"/>
    <w:rsid w:val="00C7208B"/>
    <w:rsid w:val="00C737F2"/>
    <w:rsid w:val="00C73D82"/>
    <w:rsid w:val="00C742EC"/>
    <w:rsid w:val="00C74467"/>
    <w:rsid w:val="00C74954"/>
    <w:rsid w:val="00C75A4B"/>
    <w:rsid w:val="00C75DFF"/>
    <w:rsid w:val="00C76B46"/>
    <w:rsid w:val="00C77D00"/>
    <w:rsid w:val="00C8054F"/>
    <w:rsid w:val="00C81CA2"/>
    <w:rsid w:val="00C8214A"/>
    <w:rsid w:val="00C824DF"/>
    <w:rsid w:val="00C825E5"/>
    <w:rsid w:val="00C8345C"/>
    <w:rsid w:val="00C849B4"/>
    <w:rsid w:val="00C85CD7"/>
    <w:rsid w:val="00C8729E"/>
    <w:rsid w:val="00C905B7"/>
    <w:rsid w:val="00C91A6F"/>
    <w:rsid w:val="00C91E33"/>
    <w:rsid w:val="00C930C8"/>
    <w:rsid w:val="00C95611"/>
    <w:rsid w:val="00C97FC1"/>
    <w:rsid w:val="00CA29D2"/>
    <w:rsid w:val="00CA2E1F"/>
    <w:rsid w:val="00CA45CB"/>
    <w:rsid w:val="00CA4C04"/>
    <w:rsid w:val="00CA4C3A"/>
    <w:rsid w:val="00CA4E57"/>
    <w:rsid w:val="00CA7AA6"/>
    <w:rsid w:val="00CA7ADA"/>
    <w:rsid w:val="00CA7C07"/>
    <w:rsid w:val="00CA7EAE"/>
    <w:rsid w:val="00CA7F1D"/>
    <w:rsid w:val="00CB009D"/>
    <w:rsid w:val="00CB02A6"/>
    <w:rsid w:val="00CB04A1"/>
    <w:rsid w:val="00CB0A09"/>
    <w:rsid w:val="00CB1924"/>
    <w:rsid w:val="00CB2934"/>
    <w:rsid w:val="00CB5217"/>
    <w:rsid w:val="00CB5C38"/>
    <w:rsid w:val="00CB6E82"/>
    <w:rsid w:val="00CC1606"/>
    <w:rsid w:val="00CC1C87"/>
    <w:rsid w:val="00CC1F8C"/>
    <w:rsid w:val="00CC29B3"/>
    <w:rsid w:val="00CC2EA8"/>
    <w:rsid w:val="00CC5500"/>
    <w:rsid w:val="00CC6E0B"/>
    <w:rsid w:val="00CC6E48"/>
    <w:rsid w:val="00CD2B96"/>
    <w:rsid w:val="00CD32B3"/>
    <w:rsid w:val="00CD3AE7"/>
    <w:rsid w:val="00CD4DE8"/>
    <w:rsid w:val="00CD5560"/>
    <w:rsid w:val="00CD5841"/>
    <w:rsid w:val="00CD5A8F"/>
    <w:rsid w:val="00CD611D"/>
    <w:rsid w:val="00CD6238"/>
    <w:rsid w:val="00CD6617"/>
    <w:rsid w:val="00CD6876"/>
    <w:rsid w:val="00CD6D28"/>
    <w:rsid w:val="00CE0F1F"/>
    <w:rsid w:val="00CE2494"/>
    <w:rsid w:val="00CE282D"/>
    <w:rsid w:val="00CE2973"/>
    <w:rsid w:val="00CE2EAF"/>
    <w:rsid w:val="00CE3A3E"/>
    <w:rsid w:val="00CE3BC3"/>
    <w:rsid w:val="00CE4073"/>
    <w:rsid w:val="00CE5435"/>
    <w:rsid w:val="00CE6AE0"/>
    <w:rsid w:val="00CE719D"/>
    <w:rsid w:val="00CE724E"/>
    <w:rsid w:val="00CE7470"/>
    <w:rsid w:val="00CE7DD9"/>
    <w:rsid w:val="00CE7F68"/>
    <w:rsid w:val="00CF1FC5"/>
    <w:rsid w:val="00CF23A0"/>
    <w:rsid w:val="00CF45D1"/>
    <w:rsid w:val="00CF4EFF"/>
    <w:rsid w:val="00CF55B7"/>
    <w:rsid w:val="00CF5F2B"/>
    <w:rsid w:val="00CF6B54"/>
    <w:rsid w:val="00CF6E56"/>
    <w:rsid w:val="00CF723E"/>
    <w:rsid w:val="00CF74E9"/>
    <w:rsid w:val="00CF7AA5"/>
    <w:rsid w:val="00D001B0"/>
    <w:rsid w:val="00D02831"/>
    <w:rsid w:val="00D03CED"/>
    <w:rsid w:val="00D04C47"/>
    <w:rsid w:val="00D05F88"/>
    <w:rsid w:val="00D069F8"/>
    <w:rsid w:val="00D06D93"/>
    <w:rsid w:val="00D07780"/>
    <w:rsid w:val="00D07E4B"/>
    <w:rsid w:val="00D103D9"/>
    <w:rsid w:val="00D10891"/>
    <w:rsid w:val="00D10C16"/>
    <w:rsid w:val="00D110EE"/>
    <w:rsid w:val="00D12DB8"/>
    <w:rsid w:val="00D1305D"/>
    <w:rsid w:val="00D1318A"/>
    <w:rsid w:val="00D13CEA"/>
    <w:rsid w:val="00D13F20"/>
    <w:rsid w:val="00D144B1"/>
    <w:rsid w:val="00D15014"/>
    <w:rsid w:val="00D15AA1"/>
    <w:rsid w:val="00D164BC"/>
    <w:rsid w:val="00D16AB7"/>
    <w:rsid w:val="00D170EE"/>
    <w:rsid w:val="00D203E4"/>
    <w:rsid w:val="00D22656"/>
    <w:rsid w:val="00D22FB8"/>
    <w:rsid w:val="00D23481"/>
    <w:rsid w:val="00D25C63"/>
    <w:rsid w:val="00D279F0"/>
    <w:rsid w:val="00D3244E"/>
    <w:rsid w:val="00D32FA5"/>
    <w:rsid w:val="00D338B8"/>
    <w:rsid w:val="00D3419C"/>
    <w:rsid w:val="00D3496C"/>
    <w:rsid w:val="00D36A13"/>
    <w:rsid w:val="00D36A9F"/>
    <w:rsid w:val="00D41F3C"/>
    <w:rsid w:val="00D41F5F"/>
    <w:rsid w:val="00D42E23"/>
    <w:rsid w:val="00D43A3A"/>
    <w:rsid w:val="00D44204"/>
    <w:rsid w:val="00D466A8"/>
    <w:rsid w:val="00D46E14"/>
    <w:rsid w:val="00D474D0"/>
    <w:rsid w:val="00D50E69"/>
    <w:rsid w:val="00D51004"/>
    <w:rsid w:val="00D5128D"/>
    <w:rsid w:val="00D52E5B"/>
    <w:rsid w:val="00D52EC1"/>
    <w:rsid w:val="00D53A0F"/>
    <w:rsid w:val="00D54784"/>
    <w:rsid w:val="00D561D7"/>
    <w:rsid w:val="00D56DB6"/>
    <w:rsid w:val="00D579E6"/>
    <w:rsid w:val="00D606DF"/>
    <w:rsid w:val="00D607BF"/>
    <w:rsid w:val="00D60A01"/>
    <w:rsid w:val="00D61805"/>
    <w:rsid w:val="00D61CB8"/>
    <w:rsid w:val="00D61FF9"/>
    <w:rsid w:val="00D62480"/>
    <w:rsid w:val="00D625F9"/>
    <w:rsid w:val="00D629E3"/>
    <w:rsid w:val="00D6319D"/>
    <w:rsid w:val="00D63317"/>
    <w:rsid w:val="00D64273"/>
    <w:rsid w:val="00D64322"/>
    <w:rsid w:val="00D64C4F"/>
    <w:rsid w:val="00D66DDB"/>
    <w:rsid w:val="00D7021E"/>
    <w:rsid w:val="00D70766"/>
    <w:rsid w:val="00D718BE"/>
    <w:rsid w:val="00D72175"/>
    <w:rsid w:val="00D7252C"/>
    <w:rsid w:val="00D7408F"/>
    <w:rsid w:val="00D7768F"/>
    <w:rsid w:val="00D8082C"/>
    <w:rsid w:val="00D82299"/>
    <w:rsid w:val="00D823F6"/>
    <w:rsid w:val="00D82691"/>
    <w:rsid w:val="00D82B0B"/>
    <w:rsid w:val="00D8348C"/>
    <w:rsid w:val="00D837B0"/>
    <w:rsid w:val="00D83CDE"/>
    <w:rsid w:val="00D83FBA"/>
    <w:rsid w:val="00D86931"/>
    <w:rsid w:val="00D87D73"/>
    <w:rsid w:val="00D87DC5"/>
    <w:rsid w:val="00D9055A"/>
    <w:rsid w:val="00D906B2"/>
    <w:rsid w:val="00D91942"/>
    <w:rsid w:val="00D91F3E"/>
    <w:rsid w:val="00D92325"/>
    <w:rsid w:val="00D9252F"/>
    <w:rsid w:val="00D92CB5"/>
    <w:rsid w:val="00D933BB"/>
    <w:rsid w:val="00D95A1B"/>
    <w:rsid w:val="00D97F8F"/>
    <w:rsid w:val="00DA135E"/>
    <w:rsid w:val="00DA1EA0"/>
    <w:rsid w:val="00DA2E83"/>
    <w:rsid w:val="00DA2F7A"/>
    <w:rsid w:val="00DA3868"/>
    <w:rsid w:val="00DA3A68"/>
    <w:rsid w:val="00DA4C62"/>
    <w:rsid w:val="00DA4E7C"/>
    <w:rsid w:val="00DA5FF7"/>
    <w:rsid w:val="00DB271D"/>
    <w:rsid w:val="00DB277C"/>
    <w:rsid w:val="00DB2B42"/>
    <w:rsid w:val="00DB32AC"/>
    <w:rsid w:val="00DB3C33"/>
    <w:rsid w:val="00DB3FB8"/>
    <w:rsid w:val="00DB5A7F"/>
    <w:rsid w:val="00DB7DC5"/>
    <w:rsid w:val="00DC0ACC"/>
    <w:rsid w:val="00DC0C32"/>
    <w:rsid w:val="00DC0E6A"/>
    <w:rsid w:val="00DC10C1"/>
    <w:rsid w:val="00DC175C"/>
    <w:rsid w:val="00DC1B31"/>
    <w:rsid w:val="00DC69D9"/>
    <w:rsid w:val="00DC7159"/>
    <w:rsid w:val="00DC7C06"/>
    <w:rsid w:val="00DC7E08"/>
    <w:rsid w:val="00DD0CD5"/>
    <w:rsid w:val="00DD1932"/>
    <w:rsid w:val="00DD1CC7"/>
    <w:rsid w:val="00DD2423"/>
    <w:rsid w:val="00DD3199"/>
    <w:rsid w:val="00DD4191"/>
    <w:rsid w:val="00DD4CF9"/>
    <w:rsid w:val="00DD4D81"/>
    <w:rsid w:val="00DD732B"/>
    <w:rsid w:val="00DD73A4"/>
    <w:rsid w:val="00DE00CB"/>
    <w:rsid w:val="00DE02CA"/>
    <w:rsid w:val="00DE224D"/>
    <w:rsid w:val="00DE41C5"/>
    <w:rsid w:val="00DE50EF"/>
    <w:rsid w:val="00DE75A1"/>
    <w:rsid w:val="00DF226F"/>
    <w:rsid w:val="00DF43D9"/>
    <w:rsid w:val="00DF4574"/>
    <w:rsid w:val="00DF5484"/>
    <w:rsid w:val="00DF59CE"/>
    <w:rsid w:val="00DF604F"/>
    <w:rsid w:val="00DF7F60"/>
    <w:rsid w:val="00DF7F84"/>
    <w:rsid w:val="00E00BC4"/>
    <w:rsid w:val="00E022A1"/>
    <w:rsid w:val="00E0245B"/>
    <w:rsid w:val="00E0288F"/>
    <w:rsid w:val="00E02A52"/>
    <w:rsid w:val="00E04120"/>
    <w:rsid w:val="00E0447A"/>
    <w:rsid w:val="00E052B8"/>
    <w:rsid w:val="00E064EF"/>
    <w:rsid w:val="00E102A5"/>
    <w:rsid w:val="00E10780"/>
    <w:rsid w:val="00E1133D"/>
    <w:rsid w:val="00E1276E"/>
    <w:rsid w:val="00E12804"/>
    <w:rsid w:val="00E134FA"/>
    <w:rsid w:val="00E155FC"/>
    <w:rsid w:val="00E163C9"/>
    <w:rsid w:val="00E16A58"/>
    <w:rsid w:val="00E21EC5"/>
    <w:rsid w:val="00E22006"/>
    <w:rsid w:val="00E22217"/>
    <w:rsid w:val="00E22379"/>
    <w:rsid w:val="00E22EA8"/>
    <w:rsid w:val="00E23058"/>
    <w:rsid w:val="00E230E8"/>
    <w:rsid w:val="00E25D40"/>
    <w:rsid w:val="00E2652F"/>
    <w:rsid w:val="00E275EC"/>
    <w:rsid w:val="00E319EF"/>
    <w:rsid w:val="00E31CB8"/>
    <w:rsid w:val="00E332FF"/>
    <w:rsid w:val="00E34B9A"/>
    <w:rsid w:val="00E34C57"/>
    <w:rsid w:val="00E354BF"/>
    <w:rsid w:val="00E35B2A"/>
    <w:rsid w:val="00E360C7"/>
    <w:rsid w:val="00E361ED"/>
    <w:rsid w:val="00E368CF"/>
    <w:rsid w:val="00E370A1"/>
    <w:rsid w:val="00E40395"/>
    <w:rsid w:val="00E40587"/>
    <w:rsid w:val="00E40CA6"/>
    <w:rsid w:val="00E41743"/>
    <w:rsid w:val="00E41747"/>
    <w:rsid w:val="00E41B1A"/>
    <w:rsid w:val="00E43809"/>
    <w:rsid w:val="00E44232"/>
    <w:rsid w:val="00E44D06"/>
    <w:rsid w:val="00E46240"/>
    <w:rsid w:val="00E47712"/>
    <w:rsid w:val="00E51B4B"/>
    <w:rsid w:val="00E52180"/>
    <w:rsid w:val="00E52B0F"/>
    <w:rsid w:val="00E52F25"/>
    <w:rsid w:val="00E54144"/>
    <w:rsid w:val="00E547F7"/>
    <w:rsid w:val="00E559DA"/>
    <w:rsid w:val="00E57404"/>
    <w:rsid w:val="00E57797"/>
    <w:rsid w:val="00E57A6E"/>
    <w:rsid w:val="00E57E34"/>
    <w:rsid w:val="00E600C9"/>
    <w:rsid w:val="00E61343"/>
    <w:rsid w:val="00E63149"/>
    <w:rsid w:val="00E63159"/>
    <w:rsid w:val="00E64BEF"/>
    <w:rsid w:val="00E64C1F"/>
    <w:rsid w:val="00E64E18"/>
    <w:rsid w:val="00E64F39"/>
    <w:rsid w:val="00E66053"/>
    <w:rsid w:val="00E66BEB"/>
    <w:rsid w:val="00E674AF"/>
    <w:rsid w:val="00E7099C"/>
    <w:rsid w:val="00E71771"/>
    <w:rsid w:val="00E71F80"/>
    <w:rsid w:val="00E7258A"/>
    <w:rsid w:val="00E73985"/>
    <w:rsid w:val="00E739CC"/>
    <w:rsid w:val="00E73C14"/>
    <w:rsid w:val="00E74384"/>
    <w:rsid w:val="00E7452D"/>
    <w:rsid w:val="00E74CB0"/>
    <w:rsid w:val="00E76AEF"/>
    <w:rsid w:val="00E81B7C"/>
    <w:rsid w:val="00E82959"/>
    <w:rsid w:val="00E84FA4"/>
    <w:rsid w:val="00E85AC5"/>
    <w:rsid w:val="00E864E9"/>
    <w:rsid w:val="00E865E5"/>
    <w:rsid w:val="00E878C8"/>
    <w:rsid w:val="00E87C43"/>
    <w:rsid w:val="00E909E3"/>
    <w:rsid w:val="00E90A65"/>
    <w:rsid w:val="00E91D41"/>
    <w:rsid w:val="00E921C4"/>
    <w:rsid w:val="00E9742F"/>
    <w:rsid w:val="00EA05DD"/>
    <w:rsid w:val="00EA372C"/>
    <w:rsid w:val="00EA4F0B"/>
    <w:rsid w:val="00EB020F"/>
    <w:rsid w:val="00EB1CA0"/>
    <w:rsid w:val="00EB2119"/>
    <w:rsid w:val="00EB242C"/>
    <w:rsid w:val="00EB33A4"/>
    <w:rsid w:val="00EB386A"/>
    <w:rsid w:val="00EB3E63"/>
    <w:rsid w:val="00EB5957"/>
    <w:rsid w:val="00EB5AC1"/>
    <w:rsid w:val="00EB6216"/>
    <w:rsid w:val="00EB67C3"/>
    <w:rsid w:val="00EB6CF0"/>
    <w:rsid w:val="00EB726D"/>
    <w:rsid w:val="00EC1274"/>
    <w:rsid w:val="00EC285A"/>
    <w:rsid w:val="00EC3047"/>
    <w:rsid w:val="00EC4067"/>
    <w:rsid w:val="00EC4AFF"/>
    <w:rsid w:val="00EC4F2E"/>
    <w:rsid w:val="00EC5C68"/>
    <w:rsid w:val="00EC6576"/>
    <w:rsid w:val="00ED0469"/>
    <w:rsid w:val="00ED080D"/>
    <w:rsid w:val="00ED2FBE"/>
    <w:rsid w:val="00ED3627"/>
    <w:rsid w:val="00ED37B8"/>
    <w:rsid w:val="00ED3C94"/>
    <w:rsid w:val="00ED4B8D"/>
    <w:rsid w:val="00ED5B5F"/>
    <w:rsid w:val="00ED6403"/>
    <w:rsid w:val="00ED659F"/>
    <w:rsid w:val="00ED67BB"/>
    <w:rsid w:val="00ED7699"/>
    <w:rsid w:val="00EE0416"/>
    <w:rsid w:val="00EE1006"/>
    <w:rsid w:val="00EE1B70"/>
    <w:rsid w:val="00EE27A4"/>
    <w:rsid w:val="00EE32DD"/>
    <w:rsid w:val="00EE32E7"/>
    <w:rsid w:val="00EE3D81"/>
    <w:rsid w:val="00EE3EC4"/>
    <w:rsid w:val="00EE4A1F"/>
    <w:rsid w:val="00EE53C1"/>
    <w:rsid w:val="00EE6479"/>
    <w:rsid w:val="00EF0C39"/>
    <w:rsid w:val="00EF1088"/>
    <w:rsid w:val="00EF22EB"/>
    <w:rsid w:val="00EF36E1"/>
    <w:rsid w:val="00EF4F04"/>
    <w:rsid w:val="00EF59BC"/>
    <w:rsid w:val="00EF5D6A"/>
    <w:rsid w:val="00EF6A3F"/>
    <w:rsid w:val="00EF6C8B"/>
    <w:rsid w:val="00EF710B"/>
    <w:rsid w:val="00F0031F"/>
    <w:rsid w:val="00F01F94"/>
    <w:rsid w:val="00F028A5"/>
    <w:rsid w:val="00F02ACE"/>
    <w:rsid w:val="00F03463"/>
    <w:rsid w:val="00F03E2D"/>
    <w:rsid w:val="00F05082"/>
    <w:rsid w:val="00F05F10"/>
    <w:rsid w:val="00F06AF6"/>
    <w:rsid w:val="00F103A3"/>
    <w:rsid w:val="00F104DF"/>
    <w:rsid w:val="00F10790"/>
    <w:rsid w:val="00F12A3F"/>
    <w:rsid w:val="00F14EB9"/>
    <w:rsid w:val="00F1561E"/>
    <w:rsid w:val="00F16C8F"/>
    <w:rsid w:val="00F16DD5"/>
    <w:rsid w:val="00F16F36"/>
    <w:rsid w:val="00F17302"/>
    <w:rsid w:val="00F17545"/>
    <w:rsid w:val="00F20567"/>
    <w:rsid w:val="00F21BA6"/>
    <w:rsid w:val="00F24A31"/>
    <w:rsid w:val="00F25709"/>
    <w:rsid w:val="00F26C65"/>
    <w:rsid w:val="00F2717A"/>
    <w:rsid w:val="00F27632"/>
    <w:rsid w:val="00F279D3"/>
    <w:rsid w:val="00F3026E"/>
    <w:rsid w:val="00F316B5"/>
    <w:rsid w:val="00F378E3"/>
    <w:rsid w:val="00F411C9"/>
    <w:rsid w:val="00F41B36"/>
    <w:rsid w:val="00F42088"/>
    <w:rsid w:val="00F43789"/>
    <w:rsid w:val="00F46E6B"/>
    <w:rsid w:val="00F47855"/>
    <w:rsid w:val="00F50072"/>
    <w:rsid w:val="00F507C6"/>
    <w:rsid w:val="00F50BE8"/>
    <w:rsid w:val="00F51678"/>
    <w:rsid w:val="00F51CCB"/>
    <w:rsid w:val="00F51D19"/>
    <w:rsid w:val="00F51F6A"/>
    <w:rsid w:val="00F52FE3"/>
    <w:rsid w:val="00F530A8"/>
    <w:rsid w:val="00F54B6F"/>
    <w:rsid w:val="00F550A0"/>
    <w:rsid w:val="00F55FDB"/>
    <w:rsid w:val="00F56036"/>
    <w:rsid w:val="00F56168"/>
    <w:rsid w:val="00F5625B"/>
    <w:rsid w:val="00F5696D"/>
    <w:rsid w:val="00F56D39"/>
    <w:rsid w:val="00F6097F"/>
    <w:rsid w:val="00F62018"/>
    <w:rsid w:val="00F624DC"/>
    <w:rsid w:val="00F62E83"/>
    <w:rsid w:val="00F65096"/>
    <w:rsid w:val="00F657C9"/>
    <w:rsid w:val="00F65D8D"/>
    <w:rsid w:val="00F66940"/>
    <w:rsid w:val="00F669F1"/>
    <w:rsid w:val="00F66FB0"/>
    <w:rsid w:val="00F67EBB"/>
    <w:rsid w:val="00F70847"/>
    <w:rsid w:val="00F70A24"/>
    <w:rsid w:val="00F70AB6"/>
    <w:rsid w:val="00F71565"/>
    <w:rsid w:val="00F7237E"/>
    <w:rsid w:val="00F73D29"/>
    <w:rsid w:val="00F73DD0"/>
    <w:rsid w:val="00F74B42"/>
    <w:rsid w:val="00F7642B"/>
    <w:rsid w:val="00F80790"/>
    <w:rsid w:val="00F8257C"/>
    <w:rsid w:val="00F8299C"/>
    <w:rsid w:val="00F84240"/>
    <w:rsid w:val="00F8449F"/>
    <w:rsid w:val="00F86BF2"/>
    <w:rsid w:val="00F87003"/>
    <w:rsid w:val="00F875AE"/>
    <w:rsid w:val="00F8788F"/>
    <w:rsid w:val="00F87926"/>
    <w:rsid w:val="00F908B7"/>
    <w:rsid w:val="00F91851"/>
    <w:rsid w:val="00F921B3"/>
    <w:rsid w:val="00F933B4"/>
    <w:rsid w:val="00F936DE"/>
    <w:rsid w:val="00F93DC6"/>
    <w:rsid w:val="00F93F64"/>
    <w:rsid w:val="00F955F5"/>
    <w:rsid w:val="00F96A43"/>
    <w:rsid w:val="00F97A89"/>
    <w:rsid w:val="00FA03D1"/>
    <w:rsid w:val="00FA03EA"/>
    <w:rsid w:val="00FA2ED3"/>
    <w:rsid w:val="00FA3A0C"/>
    <w:rsid w:val="00FA3A3E"/>
    <w:rsid w:val="00FA3C03"/>
    <w:rsid w:val="00FA3EA6"/>
    <w:rsid w:val="00FA484A"/>
    <w:rsid w:val="00FA53A5"/>
    <w:rsid w:val="00FA6B8E"/>
    <w:rsid w:val="00FA7206"/>
    <w:rsid w:val="00FB061F"/>
    <w:rsid w:val="00FB0D59"/>
    <w:rsid w:val="00FB1BAA"/>
    <w:rsid w:val="00FB1BCD"/>
    <w:rsid w:val="00FB1D33"/>
    <w:rsid w:val="00FB3B51"/>
    <w:rsid w:val="00FB4718"/>
    <w:rsid w:val="00FB5EA0"/>
    <w:rsid w:val="00FB7C3A"/>
    <w:rsid w:val="00FC01D5"/>
    <w:rsid w:val="00FC2034"/>
    <w:rsid w:val="00FC387F"/>
    <w:rsid w:val="00FC48F9"/>
    <w:rsid w:val="00FC6F1F"/>
    <w:rsid w:val="00FD2383"/>
    <w:rsid w:val="00FD34DC"/>
    <w:rsid w:val="00FD35EB"/>
    <w:rsid w:val="00FD3D7D"/>
    <w:rsid w:val="00FD5141"/>
    <w:rsid w:val="00FD55C3"/>
    <w:rsid w:val="00FD5CCF"/>
    <w:rsid w:val="00FD667D"/>
    <w:rsid w:val="00FD7998"/>
    <w:rsid w:val="00FE0BFE"/>
    <w:rsid w:val="00FE1AD7"/>
    <w:rsid w:val="00FE58DC"/>
    <w:rsid w:val="00FE609B"/>
    <w:rsid w:val="00FE62B8"/>
    <w:rsid w:val="00FE6DDA"/>
    <w:rsid w:val="00FE7174"/>
    <w:rsid w:val="00FE7308"/>
    <w:rsid w:val="00FE79E0"/>
    <w:rsid w:val="00FE7D39"/>
    <w:rsid w:val="00FF68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5B0F61"/>
  <w15:docId w15:val="{AC7952D2-BA0F-4FAD-97EA-516D766C92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Palatino Linotype" w:eastAsia="Palatino Linotype" w:hAnsi="Palatino Linotype" w:cs="Palatino Linotype"/>
        <w:sz w:val="22"/>
        <w:szCs w:val="22"/>
        <w:lang w:val="es-MX" w:eastAsia="en-US" w:bidi="ar-SA"/>
      </w:rPr>
    </w:rPrDefault>
    <w:pPrDefault>
      <w:pPr>
        <w:spacing w:after="160"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91A03"/>
    <w:pPr>
      <w:spacing w:line="254" w:lineRule="auto"/>
    </w:pPr>
    <w:rPr>
      <w:color w:val="000000" w:themeColor="text1"/>
      <w:lang w:eastAsia="es-MX"/>
    </w:rPr>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link w:val="Ttulo2Car"/>
    <w:uiPriority w:val="9"/>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4">
    <w:name w:val="4"/>
    <w:basedOn w:val="TableNormal"/>
    <w:pPr>
      <w:spacing w:after="0" w:line="240" w:lineRule="auto"/>
    </w:pPr>
    <w:tblPr>
      <w:tblStyleRowBandSize w:val="1"/>
      <w:tblStyleColBandSize w:val="1"/>
      <w:tblCellMar>
        <w:left w:w="108" w:type="dxa"/>
        <w:right w:w="108" w:type="dxa"/>
      </w:tblCellMar>
    </w:tblPr>
  </w:style>
  <w:style w:type="table" w:customStyle="1" w:styleId="3">
    <w:name w:val="3"/>
    <w:basedOn w:val="TableNormal"/>
    <w:pPr>
      <w:spacing w:after="0" w:line="240" w:lineRule="auto"/>
    </w:pPr>
    <w:tblPr>
      <w:tblStyleRowBandSize w:val="1"/>
      <w:tblStyleColBandSize w:val="1"/>
      <w:tblCellMar>
        <w:left w:w="108" w:type="dxa"/>
        <w:right w:w="108" w:type="dxa"/>
      </w:tblCellMar>
    </w:tblPr>
  </w:style>
  <w:style w:type="table" w:customStyle="1" w:styleId="2">
    <w:name w:val="2"/>
    <w:basedOn w:val="TableNormal"/>
    <w:pPr>
      <w:spacing w:after="0" w:line="240" w:lineRule="auto"/>
    </w:pPr>
    <w:tblPr>
      <w:tblStyleRowBandSize w:val="1"/>
      <w:tblStyleColBandSize w:val="1"/>
      <w:tblCellMar>
        <w:left w:w="108" w:type="dxa"/>
        <w:right w:w="108" w:type="dxa"/>
      </w:tblCellMar>
    </w:tblPr>
  </w:style>
  <w:style w:type="table" w:customStyle="1" w:styleId="1">
    <w:name w:val="1"/>
    <w:basedOn w:val="TableNormal"/>
    <w:pPr>
      <w:spacing w:after="0" w:line="240" w:lineRule="auto"/>
    </w:pPr>
    <w:tblPr>
      <w:tblStyleRowBandSize w:val="1"/>
      <w:tblStyleColBandSize w:val="1"/>
      <w:tblCellMar>
        <w:left w:w="108" w:type="dxa"/>
        <w:right w:w="108" w:type="dxa"/>
      </w:tblCellMar>
    </w:tblPr>
  </w:style>
  <w:style w:type="character" w:styleId="Hipervnculo">
    <w:name w:val="Hyperlink"/>
    <w:aliases w:val="Hipervínculo1,Hipervínculo11,Hipervínculo12,Hipervínculo13,Hipervínculo14,Hipervínculo15"/>
    <w:basedOn w:val="Fuentedeprrafopredeter"/>
    <w:uiPriority w:val="99"/>
    <w:unhideWhenUsed/>
    <w:qFormat/>
    <w:rsid w:val="001558BD"/>
    <w:rPr>
      <w:color w:val="0000FF" w:themeColor="hyperlink"/>
      <w:u w:val="single"/>
    </w:rPr>
  </w:style>
  <w:style w:type="character" w:customStyle="1" w:styleId="Mencinsinresolver1">
    <w:name w:val="Mención sin resolver1"/>
    <w:basedOn w:val="Fuentedeprrafopredeter"/>
    <w:uiPriority w:val="99"/>
    <w:semiHidden/>
    <w:unhideWhenUsed/>
    <w:rsid w:val="001558BD"/>
    <w:rPr>
      <w:color w:val="605E5C"/>
      <w:shd w:val="clear" w:color="auto" w:fill="E1DFDD"/>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basedOn w:val="Fuentedeprrafopredeter"/>
    <w:link w:val="Prrafodelista"/>
    <w:uiPriority w:val="34"/>
    <w:qFormat/>
    <w:locked/>
    <w:rsid w:val="00BD6505"/>
    <w:rPr>
      <w:rFonts w:eastAsia="Times New Roman" w:cs="Times New Roman"/>
      <w:color w:val="000000" w:themeColor="text1"/>
      <w:szCs w:val="24"/>
      <w:lang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BD6505"/>
    <w:pPr>
      <w:spacing w:after="0" w:line="240" w:lineRule="auto"/>
      <w:ind w:left="720"/>
      <w:contextualSpacing/>
    </w:pPr>
    <w:rPr>
      <w:rFonts w:eastAsia="Times New Roman" w:cs="Times New Roman"/>
      <w:szCs w:val="24"/>
      <w:lang w:eastAsia="es-ES"/>
    </w:rPr>
  </w:style>
  <w:style w:type="character" w:styleId="Hipervnculovisitado">
    <w:name w:val="FollowedHyperlink"/>
    <w:basedOn w:val="Fuentedeprrafopredeter"/>
    <w:uiPriority w:val="99"/>
    <w:semiHidden/>
    <w:unhideWhenUsed/>
    <w:rsid w:val="002F08A1"/>
    <w:rPr>
      <w:color w:val="800080" w:themeColor="followedHyperlink"/>
      <w:u w:val="single"/>
    </w:rPr>
  </w:style>
  <w:style w:type="table" w:styleId="Tablaconcuadrcula">
    <w:name w:val="Table Grid"/>
    <w:basedOn w:val="Tablanormal"/>
    <w:uiPriority w:val="39"/>
    <w:qFormat/>
    <w:rsid w:val="00B22A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2">
    <w:name w:val="Mención sin resolver2"/>
    <w:basedOn w:val="Fuentedeprrafopredeter"/>
    <w:uiPriority w:val="99"/>
    <w:semiHidden/>
    <w:unhideWhenUsed/>
    <w:rsid w:val="00943435"/>
    <w:rPr>
      <w:color w:val="605E5C"/>
      <w:shd w:val="clear" w:color="auto" w:fill="E1DFDD"/>
    </w:rPr>
  </w:style>
  <w:style w:type="character" w:customStyle="1" w:styleId="normaltextrun">
    <w:name w:val="normaltextrun"/>
    <w:basedOn w:val="Fuentedeprrafopredeter"/>
    <w:rsid w:val="00572946"/>
  </w:style>
  <w:style w:type="table" w:customStyle="1" w:styleId="Tablaconcuadrcula3">
    <w:name w:val="Tabla con cuadrícula3"/>
    <w:basedOn w:val="Tablanormal"/>
    <w:uiPriority w:val="59"/>
    <w:rsid w:val="00572946"/>
    <w:pPr>
      <w:spacing w:after="0" w:line="240" w:lineRule="auto"/>
      <w:jc w:val="left"/>
    </w:pPr>
    <w:rPr>
      <w:rFonts w:asciiTheme="minorHAnsi" w:eastAsia="Calibri" w:hAnsiTheme="minorHAnsi" w:cstheme="minorBidi"/>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6C0BD7"/>
    <w:pPr>
      <w:spacing w:before="100" w:beforeAutospacing="1" w:after="100" w:afterAutospacing="1" w:line="240" w:lineRule="auto"/>
      <w:jc w:val="left"/>
    </w:pPr>
    <w:rPr>
      <w:rFonts w:ascii="Times New Roman" w:eastAsia="Times New Roman" w:hAnsi="Times New Roman" w:cs="Times New Roman"/>
      <w:sz w:val="24"/>
      <w:szCs w:val="24"/>
      <w:lang w:val="en-US"/>
    </w:rPr>
  </w:style>
  <w:style w:type="character" w:customStyle="1" w:styleId="Mencinsinresolver3">
    <w:name w:val="Mención sin resolver3"/>
    <w:basedOn w:val="Fuentedeprrafopredeter"/>
    <w:uiPriority w:val="99"/>
    <w:semiHidden/>
    <w:unhideWhenUsed/>
    <w:rsid w:val="00DB277C"/>
    <w:rPr>
      <w:color w:val="605E5C"/>
      <w:shd w:val="clear" w:color="auto" w:fill="E1DFDD"/>
    </w:rPr>
  </w:style>
  <w:style w:type="paragraph" w:styleId="NormalWeb">
    <w:name w:val="Normal (Web)"/>
    <w:basedOn w:val="Normal"/>
    <w:uiPriority w:val="99"/>
    <w:unhideWhenUsed/>
    <w:rsid w:val="007C7BAF"/>
    <w:pPr>
      <w:spacing w:line="256" w:lineRule="auto"/>
    </w:pPr>
    <w:rPr>
      <w:rFonts w:ascii="Times New Roman" w:eastAsiaTheme="minorHAnsi" w:hAnsi="Times New Roman" w:cs="Times New Roman"/>
      <w:sz w:val="24"/>
      <w:szCs w:val="24"/>
    </w:rPr>
  </w:style>
  <w:style w:type="paragraph" w:customStyle="1" w:styleId="list-group-item-text">
    <w:name w:val="list-group-item-text"/>
    <w:basedOn w:val="Normal"/>
    <w:rsid w:val="0090431D"/>
    <w:pPr>
      <w:spacing w:before="100" w:beforeAutospacing="1" w:after="100" w:afterAutospacing="1" w:line="240" w:lineRule="auto"/>
      <w:jc w:val="left"/>
    </w:pPr>
    <w:rPr>
      <w:rFonts w:ascii="Times New Roman" w:eastAsia="Times New Roman" w:hAnsi="Times New Roman" w:cs="Times New Roman"/>
      <w:sz w:val="24"/>
      <w:szCs w:val="24"/>
      <w:lang w:val="en-US"/>
    </w:rPr>
  </w:style>
  <w:style w:type="paragraph" w:styleId="TtuloTDC">
    <w:name w:val="TOC Heading"/>
    <w:basedOn w:val="Ttulo1"/>
    <w:next w:val="Normal"/>
    <w:uiPriority w:val="39"/>
    <w:unhideWhenUsed/>
    <w:qFormat/>
    <w:rsid w:val="00C4052B"/>
    <w:pPr>
      <w:spacing w:before="240" w:after="0" w:line="259" w:lineRule="auto"/>
      <w:jc w:val="left"/>
      <w:outlineLvl w:val="9"/>
    </w:pPr>
    <w:rPr>
      <w:rFonts w:asciiTheme="majorHAnsi" w:eastAsiaTheme="majorEastAsia" w:hAnsiTheme="majorHAnsi" w:cstheme="majorBidi"/>
      <w:b w:val="0"/>
      <w:color w:val="365F91" w:themeColor="accent1" w:themeShade="BF"/>
      <w:sz w:val="32"/>
      <w:szCs w:val="32"/>
    </w:rPr>
  </w:style>
  <w:style w:type="paragraph" w:styleId="TDC1">
    <w:name w:val="toc 1"/>
    <w:basedOn w:val="Normal"/>
    <w:next w:val="Normal"/>
    <w:autoRedefine/>
    <w:uiPriority w:val="39"/>
    <w:unhideWhenUsed/>
    <w:rsid w:val="00C4052B"/>
    <w:pPr>
      <w:spacing w:after="100"/>
    </w:pPr>
  </w:style>
  <w:style w:type="paragraph" w:styleId="TDC2">
    <w:name w:val="toc 2"/>
    <w:basedOn w:val="Normal"/>
    <w:next w:val="Normal"/>
    <w:autoRedefine/>
    <w:uiPriority w:val="39"/>
    <w:unhideWhenUsed/>
    <w:rsid w:val="00ED080D"/>
    <w:pPr>
      <w:tabs>
        <w:tab w:val="right" w:leader="dot" w:pos="8921"/>
      </w:tabs>
      <w:spacing w:after="100"/>
      <w:ind w:left="220"/>
    </w:pPr>
    <w:rPr>
      <w:rFonts w:eastAsia="Calibri" w:cs="Times New Roman"/>
      <w:noProof/>
      <w:lang w:eastAsia="en-US"/>
    </w:rPr>
  </w:style>
  <w:style w:type="character" w:customStyle="1" w:styleId="Mencinsinresolver4">
    <w:name w:val="Mención sin resolver4"/>
    <w:basedOn w:val="Fuentedeprrafopredeter"/>
    <w:uiPriority w:val="99"/>
    <w:semiHidden/>
    <w:unhideWhenUsed/>
    <w:rsid w:val="00C97FC1"/>
    <w:rPr>
      <w:color w:val="605E5C"/>
      <w:shd w:val="clear" w:color="auto" w:fill="E1DFDD"/>
    </w:rPr>
  </w:style>
  <w:style w:type="character" w:customStyle="1" w:styleId="Mencinsinresolver5">
    <w:name w:val="Mención sin resolver5"/>
    <w:basedOn w:val="Fuentedeprrafopredeter"/>
    <w:uiPriority w:val="99"/>
    <w:semiHidden/>
    <w:unhideWhenUsed/>
    <w:rsid w:val="002F0510"/>
    <w:rPr>
      <w:color w:val="605E5C"/>
      <w:shd w:val="clear" w:color="auto" w:fill="E1DFDD"/>
    </w:rPr>
  </w:style>
  <w:style w:type="character" w:customStyle="1" w:styleId="Mencinsinresolver6">
    <w:name w:val="Mención sin resolver6"/>
    <w:basedOn w:val="Fuentedeprrafopredeter"/>
    <w:uiPriority w:val="99"/>
    <w:semiHidden/>
    <w:unhideWhenUsed/>
    <w:rsid w:val="003E4CFD"/>
    <w:rPr>
      <w:color w:val="605E5C"/>
      <w:shd w:val="clear" w:color="auto" w:fill="E1DFDD"/>
    </w:rPr>
  </w:style>
  <w:style w:type="character" w:customStyle="1" w:styleId="Mencinsinresolver7">
    <w:name w:val="Mención sin resolver7"/>
    <w:basedOn w:val="Fuentedeprrafopredeter"/>
    <w:uiPriority w:val="99"/>
    <w:semiHidden/>
    <w:unhideWhenUsed/>
    <w:rsid w:val="001B4144"/>
    <w:rPr>
      <w:color w:val="605E5C"/>
      <w:shd w:val="clear" w:color="auto" w:fill="E1DFDD"/>
    </w:rPr>
  </w:style>
  <w:style w:type="character" w:customStyle="1" w:styleId="eop">
    <w:name w:val="eop"/>
    <w:basedOn w:val="Fuentedeprrafopredeter"/>
    <w:rsid w:val="00AA505B"/>
  </w:style>
  <w:style w:type="table" w:customStyle="1" w:styleId="Tablaconcuadrcula1">
    <w:name w:val="Tabla con cuadrícula1"/>
    <w:basedOn w:val="Tablanormal"/>
    <w:next w:val="Tablaconcuadrcula"/>
    <w:uiPriority w:val="59"/>
    <w:qFormat/>
    <w:rsid w:val="00BD5C9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D41F5F"/>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D41F5F"/>
    <w:rPr>
      <w:rFonts w:ascii="Segoe UI" w:hAnsi="Segoe UI" w:cs="Segoe UI"/>
      <w:color w:val="000000" w:themeColor="text1"/>
      <w:sz w:val="18"/>
      <w:szCs w:val="18"/>
      <w:lang w:eastAsia="es-MX"/>
    </w:rPr>
  </w:style>
  <w:style w:type="character" w:customStyle="1" w:styleId="Mencinsinresolver8">
    <w:name w:val="Mención sin resolver8"/>
    <w:basedOn w:val="Fuentedeprrafopredeter"/>
    <w:uiPriority w:val="99"/>
    <w:semiHidden/>
    <w:unhideWhenUsed/>
    <w:rsid w:val="007310CC"/>
    <w:rPr>
      <w:color w:val="605E5C"/>
      <w:shd w:val="clear" w:color="auto" w:fill="E1DFDD"/>
    </w:rPr>
  </w:style>
  <w:style w:type="character" w:customStyle="1" w:styleId="Mencinsinresolver9">
    <w:name w:val="Mención sin resolver9"/>
    <w:basedOn w:val="Fuentedeprrafopredeter"/>
    <w:uiPriority w:val="99"/>
    <w:semiHidden/>
    <w:unhideWhenUsed/>
    <w:rsid w:val="001452BD"/>
    <w:rPr>
      <w:color w:val="605E5C"/>
      <w:shd w:val="clear" w:color="auto" w:fill="E1DFDD"/>
    </w:rPr>
  </w:style>
  <w:style w:type="character" w:customStyle="1" w:styleId="Ttulo2Car">
    <w:name w:val="Título 2 Car"/>
    <w:basedOn w:val="Fuentedeprrafopredeter"/>
    <w:link w:val="Ttulo2"/>
    <w:uiPriority w:val="9"/>
    <w:rsid w:val="00EE6479"/>
    <w:rPr>
      <w:b/>
      <w:color w:val="000000" w:themeColor="text1"/>
      <w:sz w:val="36"/>
      <w:szCs w:val="36"/>
      <w:lang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358064">
      <w:bodyDiv w:val="1"/>
      <w:marLeft w:val="0"/>
      <w:marRight w:val="0"/>
      <w:marTop w:val="0"/>
      <w:marBottom w:val="0"/>
      <w:divBdr>
        <w:top w:val="none" w:sz="0" w:space="0" w:color="auto"/>
        <w:left w:val="none" w:sz="0" w:space="0" w:color="auto"/>
        <w:bottom w:val="none" w:sz="0" w:space="0" w:color="auto"/>
        <w:right w:val="none" w:sz="0" w:space="0" w:color="auto"/>
      </w:divBdr>
    </w:div>
    <w:div w:id="31005225">
      <w:bodyDiv w:val="1"/>
      <w:marLeft w:val="0"/>
      <w:marRight w:val="0"/>
      <w:marTop w:val="0"/>
      <w:marBottom w:val="0"/>
      <w:divBdr>
        <w:top w:val="none" w:sz="0" w:space="0" w:color="auto"/>
        <w:left w:val="none" w:sz="0" w:space="0" w:color="auto"/>
        <w:bottom w:val="none" w:sz="0" w:space="0" w:color="auto"/>
        <w:right w:val="none" w:sz="0" w:space="0" w:color="auto"/>
      </w:divBdr>
    </w:div>
    <w:div w:id="66348591">
      <w:bodyDiv w:val="1"/>
      <w:marLeft w:val="0"/>
      <w:marRight w:val="0"/>
      <w:marTop w:val="0"/>
      <w:marBottom w:val="0"/>
      <w:divBdr>
        <w:top w:val="none" w:sz="0" w:space="0" w:color="auto"/>
        <w:left w:val="none" w:sz="0" w:space="0" w:color="auto"/>
        <w:bottom w:val="none" w:sz="0" w:space="0" w:color="auto"/>
        <w:right w:val="none" w:sz="0" w:space="0" w:color="auto"/>
      </w:divBdr>
    </w:div>
    <w:div w:id="75444692">
      <w:bodyDiv w:val="1"/>
      <w:marLeft w:val="0"/>
      <w:marRight w:val="0"/>
      <w:marTop w:val="0"/>
      <w:marBottom w:val="0"/>
      <w:divBdr>
        <w:top w:val="none" w:sz="0" w:space="0" w:color="auto"/>
        <w:left w:val="none" w:sz="0" w:space="0" w:color="auto"/>
        <w:bottom w:val="none" w:sz="0" w:space="0" w:color="auto"/>
        <w:right w:val="none" w:sz="0" w:space="0" w:color="auto"/>
      </w:divBdr>
    </w:div>
    <w:div w:id="91513401">
      <w:bodyDiv w:val="1"/>
      <w:marLeft w:val="0"/>
      <w:marRight w:val="0"/>
      <w:marTop w:val="0"/>
      <w:marBottom w:val="0"/>
      <w:divBdr>
        <w:top w:val="none" w:sz="0" w:space="0" w:color="auto"/>
        <w:left w:val="none" w:sz="0" w:space="0" w:color="auto"/>
        <w:bottom w:val="none" w:sz="0" w:space="0" w:color="auto"/>
        <w:right w:val="none" w:sz="0" w:space="0" w:color="auto"/>
      </w:divBdr>
    </w:div>
    <w:div w:id="95179579">
      <w:bodyDiv w:val="1"/>
      <w:marLeft w:val="0"/>
      <w:marRight w:val="0"/>
      <w:marTop w:val="0"/>
      <w:marBottom w:val="0"/>
      <w:divBdr>
        <w:top w:val="none" w:sz="0" w:space="0" w:color="auto"/>
        <w:left w:val="none" w:sz="0" w:space="0" w:color="auto"/>
        <w:bottom w:val="none" w:sz="0" w:space="0" w:color="auto"/>
        <w:right w:val="none" w:sz="0" w:space="0" w:color="auto"/>
      </w:divBdr>
    </w:div>
    <w:div w:id="100809732">
      <w:bodyDiv w:val="1"/>
      <w:marLeft w:val="0"/>
      <w:marRight w:val="0"/>
      <w:marTop w:val="0"/>
      <w:marBottom w:val="0"/>
      <w:divBdr>
        <w:top w:val="none" w:sz="0" w:space="0" w:color="auto"/>
        <w:left w:val="none" w:sz="0" w:space="0" w:color="auto"/>
        <w:bottom w:val="none" w:sz="0" w:space="0" w:color="auto"/>
        <w:right w:val="none" w:sz="0" w:space="0" w:color="auto"/>
      </w:divBdr>
    </w:div>
    <w:div w:id="161548693">
      <w:bodyDiv w:val="1"/>
      <w:marLeft w:val="0"/>
      <w:marRight w:val="0"/>
      <w:marTop w:val="0"/>
      <w:marBottom w:val="0"/>
      <w:divBdr>
        <w:top w:val="none" w:sz="0" w:space="0" w:color="auto"/>
        <w:left w:val="none" w:sz="0" w:space="0" w:color="auto"/>
        <w:bottom w:val="none" w:sz="0" w:space="0" w:color="auto"/>
        <w:right w:val="none" w:sz="0" w:space="0" w:color="auto"/>
      </w:divBdr>
    </w:div>
    <w:div w:id="188031732">
      <w:bodyDiv w:val="1"/>
      <w:marLeft w:val="0"/>
      <w:marRight w:val="0"/>
      <w:marTop w:val="0"/>
      <w:marBottom w:val="0"/>
      <w:divBdr>
        <w:top w:val="none" w:sz="0" w:space="0" w:color="auto"/>
        <w:left w:val="none" w:sz="0" w:space="0" w:color="auto"/>
        <w:bottom w:val="none" w:sz="0" w:space="0" w:color="auto"/>
        <w:right w:val="none" w:sz="0" w:space="0" w:color="auto"/>
      </w:divBdr>
    </w:div>
    <w:div w:id="211500099">
      <w:bodyDiv w:val="1"/>
      <w:marLeft w:val="0"/>
      <w:marRight w:val="0"/>
      <w:marTop w:val="0"/>
      <w:marBottom w:val="0"/>
      <w:divBdr>
        <w:top w:val="none" w:sz="0" w:space="0" w:color="auto"/>
        <w:left w:val="none" w:sz="0" w:space="0" w:color="auto"/>
        <w:bottom w:val="none" w:sz="0" w:space="0" w:color="auto"/>
        <w:right w:val="none" w:sz="0" w:space="0" w:color="auto"/>
      </w:divBdr>
    </w:div>
    <w:div w:id="238367303">
      <w:bodyDiv w:val="1"/>
      <w:marLeft w:val="0"/>
      <w:marRight w:val="0"/>
      <w:marTop w:val="0"/>
      <w:marBottom w:val="0"/>
      <w:divBdr>
        <w:top w:val="none" w:sz="0" w:space="0" w:color="auto"/>
        <w:left w:val="none" w:sz="0" w:space="0" w:color="auto"/>
        <w:bottom w:val="none" w:sz="0" w:space="0" w:color="auto"/>
        <w:right w:val="none" w:sz="0" w:space="0" w:color="auto"/>
      </w:divBdr>
    </w:div>
    <w:div w:id="243883936">
      <w:bodyDiv w:val="1"/>
      <w:marLeft w:val="0"/>
      <w:marRight w:val="0"/>
      <w:marTop w:val="0"/>
      <w:marBottom w:val="0"/>
      <w:divBdr>
        <w:top w:val="none" w:sz="0" w:space="0" w:color="auto"/>
        <w:left w:val="none" w:sz="0" w:space="0" w:color="auto"/>
        <w:bottom w:val="none" w:sz="0" w:space="0" w:color="auto"/>
        <w:right w:val="none" w:sz="0" w:space="0" w:color="auto"/>
      </w:divBdr>
    </w:div>
    <w:div w:id="285963118">
      <w:bodyDiv w:val="1"/>
      <w:marLeft w:val="0"/>
      <w:marRight w:val="0"/>
      <w:marTop w:val="0"/>
      <w:marBottom w:val="0"/>
      <w:divBdr>
        <w:top w:val="none" w:sz="0" w:space="0" w:color="auto"/>
        <w:left w:val="none" w:sz="0" w:space="0" w:color="auto"/>
        <w:bottom w:val="none" w:sz="0" w:space="0" w:color="auto"/>
        <w:right w:val="none" w:sz="0" w:space="0" w:color="auto"/>
      </w:divBdr>
    </w:div>
    <w:div w:id="300891504">
      <w:bodyDiv w:val="1"/>
      <w:marLeft w:val="0"/>
      <w:marRight w:val="0"/>
      <w:marTop w:val="0"/>
      <w:marBottom w:val="0"/>
      <w:divBdr>
        <w:top w:val="none" w:sz="0" w:space="0" w:color="auto"/>
        <w:left w:val="none" w:sz="0" w:space="0" w:color="auto"/>
        <w:bottom w:val="none" w:sz="0" w:space="0" w:color="auto"/>
        <w:right w:val="none" w:sz="0" w:space="0" w:color="auto"/>
      </w:divBdr>
    </w:div>
    <w:div w:id="321813569">
      <w:bodyDiv w:val="1"/>
      <w:marLeft w:val="0"/>
      <w:marRight w:val="0"/>
      <w:marTop w:val="0"/>
      <w:marBottom w:val="0"/>
      <w:divBdr>
        <w:top w:val="none" w:sz="0" w:space="0" w:color="auto"/>
        <w:left w:val="none" w:sz="0" w:space="0" w:color="auto"/>
        <w:bottom w:val="none" w:sz="0" w:space="0" w:color="auto"/>
        <w:right w:val="none" w:sz="0" w:space="0" w:color="auto"/>
      </w:divBdr>
    </w:div>
    <w:div w:id="346061092">
      <w:bodyDiv w:val="1"/>
      <w:marLeft w:val="0"/>
      <w:marRight w:val="0"/>
      <w:marTop w:val="0"/>
      <w:marBottom w:val="0"/>
      <w:divBdr>
        <w:top w:val="none" w:sz="0" w:space="0" w:color="auto"/>
        <w:left w:val="none" w:sz="0" w:space="0" w:color="auto"/>
        <w:bottom w:val="none" w:sz="0" w:space="0" w:color="auto"/>
        <w:right w:val="none" w:sz="0" w:space="0" w:color="auto"/>
      </w:divBdr>
    </w:div>
    <w:div w:id="347029534">
      <w:bodyDiv w:val="1"/>
      <w:marLeft w:val="0"/>
      <w:marRight w:val="0"/>
      <w:marTop w:val="0"/>
      <w:marBottom w:val="0"/>
      <w:divBdr>
        <w:top w:val="none" w:sz="0" w:space="0" w:color="auto"/>
        <w:left w:val="none" w:sz="0" w:space="0" w:color="auto"/>
        <w:bottom w:val="none" w:sz="0" w:space="0" w:color="auto"/>
        <w:right w:val="none" w:sz="0" w:space="0" w:color="auto"/>
      </w:divBdr>
    </w:div>
    <w:div w:id="349069491">
      <w:bodyDiv w:val="1"/>
      <w:marLeft w:val="0"/>
      <w:marRight w:val="0"/>
      <w:marTop w:val="0"/>
      <w:marBottom w:val="0"/>
      <w:divBdr>
        <w:top w:val="none" w:sz="0" w:space="0" w:color="auto"/>
        <w:left w:val="none" w:sz="0" w:space="0" w:color="auto"/>
        <w:bottom w:val="none" w:sz="0" w:space="0" w:color="auto"/>
        <w:right w:val="none" w:sz="0" w:space="0" w:color="auto"/>
      </w:divBdr>
    </w:div>
    <w:div w:id="396781848">
      <w:bodyDiv w:val="1"/>
      <w:marLeft w:val="0"/>
      <w:marRight w:val="0"/>
      <w:marTop w:val="0"/>
      <w:marBottom w:val="0"/>
      <w:divBdr>
        <w:top w:val="none" w:sz="0" w:space="0" w:color="auto"/>
        <w:left w:val="none" w:sz="0" w:space="0" w:color="auto"/>
        <w:bottom w:val="none" w:sz="0" w:space="0" w:color="auto"/>
        <w:right w:val="none" w:sz="0" w:space="0" w:color="auto"/>
      </w:divBdr>
    </w:div>
    <w:div w:id="405341245">
      <w:bodyDiv w:val="1"/>
      <w:marLeft w:val="0"/>
      <w:marRight w:val="0"/>
      <w:marTop w:val="0"/>
      <w:marBottom w:val="0"/>
      <w:divBdr>
        <w:top w:val="none" w:sz="0" w:space="0" w:color="auto"/>
        <w:left w:val="none" w:sz="0" w:space="0" w:color="auto"/>
        <w:bottom w:val="none" w:sz="0" w:space="0" w:color="auto"/>
        <w:right w:val="none" w:sz="0" w:space="0" w:color="auto"/>
      </w:divBdr>
    </w:div>
    <w:div w:id="454718827">
      <w:bodyDiv w:val="1"/>
      <w:marLeft w:val="0"/>
      <w:marRight w:val="0"/>
      <w:marTop w:val="0"/>
      <w:marBottom w:val="0"/>
      <w:divBdr>
        <w:top w:val="none" w:sz="0" w:space="0" w:color="auto"/>
        <w:left w:val="none" w:sz="0" w:space="0" w:color="auto"/>
        <w:bottom w:val="none" w:sz="0" w:space="0" w:color="auto"/>
        <w:right w:val="none" w:sz="0" w:space="0" w:color="auto"/>
      </w:divBdr>
    </w:div>
    <w:div w:id="466317430">
      <w:bodyDiv w:val="1"/>
      <w:marLeft w:val="0"/>
      <w:marRight w:val="0"/>
      <w:marTop w:val="0"/>
      <w:marBottom w:val="0"/>
      <w:divBdr>
        <w:top w:val="none" w:sz="0" w:space="0" w:color="auto"/>
        <w:left w:val="none" w:sz="0" w:space="0" w:color="auto"/>
        <w:bottom w:val="none" w:sz="0" w:space="0" w:color="auto"/>
        <w:right w:val="none" w:sz="0" w:space="0" w:color="auto"/>
      </w:divBdr>
    </w:div>
    <w:div w:id="469056934">
      <w:bodyDiv w:val="1"/>
      <w:marLeft w:val="0"/>
      <w:marRight w:val="0"/>
      <w:marTop w:val="0"/>
      <w:marBottom w:val="0"/>
      <w:divBdr>
        <w:top w:val="none" w:sz="0" w:space="0" w:color="auto"/>
        <w:left w:val="none" w:sz="0" w:space="0" w:color="auto"/>
        <w:bottom w:val="none" w:sz="0" w:space="0" w:color="auto"/>
        <w:right w:val="none" w:sz="0" w:space="0" w:color="auto"/>
      </w:divBdr>
    </w:div>
    <w:div w:id="479731557">
      <w:bodyDiv w:val="1"/>
      <w:marLeft w:val="0"/>
      <w:marRight w:val="0"/>
      <w:marTop w:val="0"/>
      <w:marBottom w:val="0"/>
      <w:divBdr>
        <w:top w:val="none" w:sz="0" w:space="0" w:color="auto"/>
        <w:left w:val="none" w:sz="0" w:space="0" w:color="auto"/>
        <w:bottom w:val="none" w:sz="0" w:space="0" w:color="auto"/>
        <w:right w:val="none" w:sz="0" w:space="0" w:color="auto"/>
      </w:divBdr>
    </w:div>
    <w:div w:id="484904314">
      <w:bodyDiv w:val="1"/>
      <w:marLeft w:val="0"/>
      <w:marRight w:val="0"/>
      <w:marTop w:val="0"/>
      <w:marBottom w:val="0"/>
      <w:divBdr>
        <w:top w:val="none" w:sz="0" w:space="0" w:color="auto"/>
        <w:left w:val="none" w:sz="0" w:space="0" w:color="auto"/>
        <w:bottom w:val="none" w:sz="0" w:space="0" w:color="auto"/>
        <w:right w:val="none" w:sz="0" w:space="0" w:color="auto"/>
      </w:divBdr>
    </w:div>
    <w:div w:id="528570525">
      <w:bodyDiv w:val="1"/>
      <w:marLeft w:val="0"/>
      <w:marRight w:val="0"/>
      <w:marTop w:val="0"/>
      <w:marBottom w:val="0"/>
      <w:divBdr>
        <w:top w:val="none" w:sz="0" w:space="0" w:color="auto"/>
        <w:left w:val="none" w:sz="0" w:space="0" w:color="auto"/>
        <w:bottom w:val="none" w:sz="0" w:space="0" w:color="auto"/>
        <w:right w:val="none" w:sz="0" w:space="0" w:color="auto"/>
      </w:divBdr>
    </w:div>
    <w:div w:id="534385873">
      <w:bodyDiv w:val="1"/>
      <w:marLeft w:val="0"/>
      <w:marRight w:val="0"/>
      <w:marTop w:val="0"/>
      <w:marBottom w:val="0"/>
      <w:divBdr>
        <w:top w:val="none" w:sz="0" w:space="0" w:color="auto"/>
        <w:left w:val="none" w:sz="0" w:space="0" w:color="auto"/>
        <w:bottom w:val="none" w:sz="0" w:space="0" w:color="auto"/>
        <w:right w:val="none" w:sz="0" w:space="0" w:color="auto"/>
      </w:divBdr>
    </w:div>
    <w:div w:id="586154936">
      <w:bodyDiv w:val="1"/>
      <w:marLeft w:val="0"/>
      <w:marRight w:val="0"/>
      <w:marTop w:val="0"/>
      <w:marBottom w:val="0"/>
      <w:divBdr>
        <w:top w:val="none" w:sz="0" w:space="0" w:color="auto"/>
        <w:left w:val="none" w:sz="0" w:space="0" w:color="auto"/>
        <w:bottom w:val="none" w:sz="0" w:space="0" w:color="auto"/>
        <w:right w:val="none" w:sz="0" w:space="0" w:color="auto"/>
      </w:divBdr>
    </w:div>
    <w:div w:id="598762096">
      <w:bodyDiv w:val="1"/>
      <w:marLeft w:val="0"/>
      <w:marRight w:val="0"/>
      <w:marTop w:val="0"/>
      <w:marBottom w:val="0"/>
      <w:divBdr>
        <w:top w:val="none" w:sz="0" w:space="0" w:color="auto"/>
        <w:left w:val="none" w:sz="0" w:space="0" w:color="auto"/>
        <w:bottom w:val="none" w:sz="0" w:space="0" w:color="auto"/>
        <w:right w:val="none" w:sz="0" w:space="0" w:color="auto"/>
      </w:divBdr>
    </w:div>
    <w:div w:id="634944190">
      <w:bodyDiv w:val="1"/>
      <w:marLeft w:val="0"/>
      <w:marRight w:val="0"/>
      <w:marTop w:val="0"/>
      <w:marBottom w:val="0"/>
      <w:divBdr>
        <w:top w:val="none" w:sz="0" w:space="0" w:color="auto"/>
        <w:left w:val="none" w:sz="0" w:space="0" w:color="auto"/>
        <w:bottom w:val="none" w:sz="0" w:space="0" w:color="auto"/>
        <w:right w:val="none" w:sz="0" w:space="0" w:color="auto"/>
      </w:divBdr>
    </w:div>
    <w:div w:id="639963624">
      <w:bodyDiv w:val="1"/>
      <w:marLeft w:val="0"/>
      <w:marRight w:val="0"/>
      <w:marTop w:val="0"/>
      <w:marBottom w:val="0"/>
      <w:divBdr>
        <w:top w:val="none" w:sz="0" w:space="0" w:color="auto"/>
        <w:left w:val="none" w:sz="0" w:space="0" w:color="auto"/>
        <w:bottom w:val="none" w:sz="0" w:space="0" w:color="auto"/>
        <w:right w:val="none" w:sz="0" w:space="0" w:color="auto"/>
      </w:divBdr>
    </w:div>
    <w:div w:id="645402130">
      <w:bodyDiv w:val="1"/>
      <w:marLeft w:val="0"/>
      <w:marRight w:val="0"/>
      <w:marTop w:val="0"/>
      <w:marBottom w:val="0"/>
      <w:divBdr>
        <w:top w:val="none" w:sz="0" w:space="0" w:color="auto"/>
        <w:left w:val="none" w:sz="0" w:space="0" w:color="auto"/>
        <w:bottom w:val="none" w:sz="0" w:space="0" w:color="auto"/>
        <w:right w:val="none" w:sz="0" w:space="0" w:color="auto"/>
      </w:divBdr>
    </w:div>
    <w:div w:id="681784046">
      <w:bodyDiv w:val="1"/>
      <w:marLeft w:val="0"/>
      <w:marRight w:val="0"/>
      <w:marTop w:val="0"/>
      <w:marBottom w:val="0"/>
      <w:divBdr>
        <w:top w:val="none" w:sz="0" w:space="0" w:color="auto"/>
        <w:left w:val="none" w:sz="0" w:space="0" w:color="auto"/>
        <w:bottom w:val="none" w:sz="0" w:space="0" w:color="auto"/>
        <w:right w:val="none" w:sz="0" w:space="0" w:color="auto"/>
      </w:divBdr>
    </w:div>
    <w:div w:id="686836146">
      <w:bodyDiv w:val="1"/>
      <w:marLeft w:val="0"/>
      <w:marRight w:val="0"/>
      <w:marTop w:val="0"/>
      <w:marBottom w:val="0"/>
      <w:divBdr>
        <w:top w:val="none" w:sz="0" w:space="0" w:color="auto"/>
        <w:left w:val="none" w:sz="0" w:space="0" w:color="auto"/>
        <w:bottom w:val="none" w:sz="0" w:space="0" w:color="auto"/>
        <w:right w:val="none" w:sz="0" w:space="0" w:color="auto"/>
      </w:divBdr>
    </w:div>
    <w:div w:id="730033078">
      <w:bodyDiv w:val="1"/>
      <w:marLeft w:val="0"/>
      <w:marRight w:val="0"/>
      <w:marTop w:val="0"/>
      <w:marBottom w:val="0"/>
      <w:divBdr>
        <w:top w:val="none" w:sz="0" w:space="0" w:color="auto"/>
        <w:left w:val="none" w:sz="0" w:space="0" w:color="auto"/>
        <w:bottom w:val="none" w:sz="0" w:space="0" w:color="auto"/>
        <w:right w:val="none" w:sz="0" w:space="0" w:color="auto"/>
      </w:divBdr>
    </w:div>
    <w:div w:id="736363224">
      <w:bodyDiv w:val="1"/>
      <w:marLeft w:val="0"/>
      <w:marRight w:val="0"/>
      <w:marTop w:val="0"/>
      <w:marBottom w:val="0"/>
      <w:divBdr>
        <w:top w:val="none" w:sz="0" w:space="0" w:color="auto"/>
        <w:left w:val="none" w:sz="0" w:space="0" w:color="auto"/>
        <w:bottom w:val="none" w:sz="0" w:space="0" w:color="auto"/>
        <w:right w:val="none" w:sz="0" w:space="0" w:color="auto"/>
      </w:divBdr>
    </w:div>
    <w:div w:id="767580846">
      <w:bodyDiv w:val="1"/>
      <w:marLeft w:val="0"/>
      <w:marRight w:val="0"/>
      <w:marTop w:val="0"/>
      <w:marBottom w:val="0"/>
      <w:divBdr>
        <w:top w:val="none" w:sz="0" w:space="0" w:color="auto"/>
        <w:left w:val="none" w:sz="0" w:space="0" w:color="auto"/>
        <w:bottom w:val="none" w:sz="0" w:space="0" w:color="auto"/>
        <w:right w:val="none" w:sz="0" w:space="0" w:color="auto"/>
      </w:divBdr>
    </w:div>
    <w:div w:id="772359099">
      <w:bodyDiv w:val="1"/>
      <w:marLeft w:val="0"/>
      <w:marRight w:val="0"/>
      <w:marTop w:val="0"/>
      <w:marBottom w:val="0"/>
      <w:divBdr>
        <w:top w:val="none" w:sz="0" w:space="0" w:color="auto"/>
        <w:left w:val="none" w:sz="0" w:space="0" w:color="auto"/>
        <w:bottom w:val="none" w:sz="0" w:space="0" w:color="auto"/>
        <w:right w:val="none" w:sz="0" w:space="0" w:color="auto"/>
      </w:divBdr>
    </w:div>
    <w:div w:id="799998060">
      <w:bodyDiv w:val="1"/>
      <w:marLeft w:val="0"/>
      <w:marRight w:val="0"/>
      <w:marTop w:val="0"/>
      <w:marBottom w:val="0"/>
      <w:divBdr>
        <w:top w:val="none" w:sz="0" w:space="0" w:color="auto"/>
        <w:left w:val="none" w:sz="0" w:space="0" w:color="auto"/>
        <w:bottom w:val="none" w:sz="0" w:space="0" w:color="auto"/>
        <w:right w:val="none" w:sz="0" w:space="0" w:color="auto"/>
      </w:divBdr>
    </w:div>
    <w:div w:id="802773721">
      <w:bodyDiv w:val="1"/>
      <w:marLeft w:val="0"/>
      <w:marRight w:val="0"/>
      <w:marTop w:val="0"/>
      <w:marBottom w:val="0"/>
      <w:divBdr>
        <w:top w:val="none" w:sz="0" w:space="0" w:color="auto"/>
        <w:left w:val="none" w:sz="0" w:space="0" w:color="auto"/>
        <w:bottom w:val="none" w:sz="0" w:space="0" w:color="auto"/>
        <w:right w:val="none" w:sz="0" w:space="0" w:color="auto"/>
      </w:divBdr>
    </w:div>
    <w:div w:id="839389233">
      <w:bodyDiv w:val="1"/>
      <w:marLeft w:val="0"/>
      <w:marRight w:val="0"/>
      <w:marTop w:val="0"/>
      <w:marBottom w:val="0"/>
      <w:divBdr>
        <w:top w:val="none" w:sz="0" w:space="0" w:color="auto"/>
        <w:left w:val="none" w:sz="0" w:space="0" w:color="auto"/>
        <w:bottom w:val="none" w:sz="0" w:space="0" w:color="auto"/>
        <w:right w:val="none" w:sz="0" w:space="0" w:color="auto"/>
      </w:divBdr>
    </w:div>
    <w:div w:id="850222671">
      <w:bodyDiv w:val="1"/>
      <w:marLeft w:val="0"/>
      <w:marRight w:val="0"/>
      <w:marTop w:val="0"/>
      <w:marBottom w:val="0"/>
      <w:divBdr>
        <w:top w:val="none" w:sz="0" w:space="0" w:color="auto"/>
        <w:left w:val="none" w:sz="0" w:space="0" w:color="auto"/>
        <w:bottom w:val="none" w:sz="0" w:space="0" w:color="auto"/>
        <w:right w:val="none" w:sz="0" w:space="0" w:color="auto"/>
      </w:divBdr>
    </w:div>
    <w:div w:id="875970713">
      <w:bodyDiv w:val="1"/>
      <w:marLeft w:val="0"/>
      <w:marRight w:val="0"/>
      <w:marTop w:val="0"/>
      <w:marBottom w:val="0"/>
      <w:divBdr>
        <w:top w:val="none" w:sz="0" w:space="0" w:color="auto"/>
        <w:left w:val="none" w:sz="0" w:space="0" w:color="auto"/>
        <w:bottom w:val="none" w:sz="0" w:space="0" w:color="auto"/>
        <w:right w:val="none" w:sz="0" w:space="0" w:color="auto"/>
      </w:divBdr>
    </w:div>
    <w:div w:id="887959706">
      <w:bodyDiv w:val="1"/>
      <w:marLeft w:val="0"/>
      <w:marRight w:val="0"/>
      <w:marTop w:val="0"/>
      <w:marBottom w:val="0"/>
      <w:divBdr>
        <w:top w:val="none" w:sz="0" w:space="0" w:color="auto"/>
        <w:left w:val="none" w:sz="0" w:space="0" w:color="auto"/>
        <w:bottom w:val="none" w:sz="0" w:space="0" w:color="auto"/>
        <w:right w:val="none" w:sz="0" w:space="0" w:color="auto"/>
      </w:divBdr>
    </w:div>
    <w:div w:id="910849126">
      <w:bodyDiv w:val="1"/>
      <w:marLeft w:val="0"/>
      <w:marRight w:val="0"/>
      <w:marTop w:val="0"/>
      <w:marBottom w:val="0"/>
      <w:divBdr>
        <w:top w:val="none" w:sz="0" w:space="0" w:color="auto"/>
        <w:left w:val="none" w:sz="0" w:space="0" w:color="auto"/>
        <w:bottom w:val="none" w:sz="0" w:space="0" w:color="auto"/>
        <w:right w:val="none" w:sz="0" w:space="0" w:color="auto"/>
      </w:divBdr>
    </w:div>
    <w:div w:id="921764810">
      <w:bodyDiv w:val="1"/>
      <w:marLeft w:val="0"/>
      <w:marRight w:val="0"/>
      <w:marTop w:val="0"/>
      <w:marBottom w:val="0"/>
      <w:divBdr>
        <w:top w:val="none" w:sz="0" w:space="0" w:color="auto"/>
        <w:left w:val="none" w:sz="0" w:space="0" w:color="auto"/>
        <w:bottom w:val="none" w:sz="0" w:space="0" w:color="auto"/>
        <w:right w:val="none" w:sz="0" w:space="0" w:color="auto"/>
      </w:divBdr>
    </w:div>
    <w:div w:id="934705975">
      <w:bodyDiv w:val="1"/>
      <w:marLeft w:val="0"/>
      <w:marRight w:val="0"/>
      <w:marTop w:val="0"/>
      <w:marBottom w:val="0"/>
      <w:divBdr>
        <w:top w:val="none" w:sz="0" w:space="0" w:color="auto"/>
        <w:left w:val="none" w:sz="0" w:space="0" w:color="auto"/>
        <w:bottom w:val="none" w:sz="0" w:space="0" w:color="auto"/>
        <w:right w:val="none" w:sz="0" w:space="0" w:color="auto"/>
      </w:divBdr>
    </w:div>
    <w:div w:id="952827934">
      <w:bodyDiv w:val="1"/>
      <w:marLeft w:val="0"/>
      <w:marRight w:val="0"/>
      <w:marTop w:val="0"/>
      <w:marBottom w:val="0"/>
      <w:divBdr>
        <w:top w:val="none" w:sz="0" w:space="0" w:color="auto"/>
        <w:left w:val="none" w:sz="0" w:space="0" w:color="auto"/>
        <w:bottom w:val="none" w:sz="0" w:space="0" w:color="auto"/>
        <w:right w:val="none" w:sz="0" w:space="0" w:color="auto"/>
      </w:divBdr>
    </w:div>
    <w:div w:id="1060321789">
      <w:bodyDiv w:val="1"/>
      <w:marLeft w:val="0"/>
      <w:marRight w:val="0"/>
      <w:marTop w:val="0"/>
      <w:marBottom w:val="0"/>
      <w:divBdr>
        <w:top w:val="none" w:sz="0" w:space="0" w:color="auto"/>
        <w:left w:val="none" w:sz="0" w:space="0" w:color="auto"/>
        <w:bottom w:val="none" w:sz="0" w:space="0" w:color="auto"/>
        <w:right w:val="none" w:sz="0" w:space="0" w:color="auto"/>
      </w:divBdr>
    </w:div>
    <w:div w:id="1070736064">
      <w:bodyDiv w:val="1"/>
      <w:marLeft w:val="0"/>
      <w:marRight w:val="0"/>
      <w:marTop w:val="0"/>
      <w:marBottom w:val="0"/>
      <w:divBdr>
        <w:top w:val="none" w:sz="0" w:space="0" w:color="auto"/>
        <w:left w:val="none" w:sz="0" w:space="0" w:color="auto"/>
        <w:bottom w:val="none" w:sz="0" w:space="0" w:color="auto"/>
        <w:right w:val="none" w:sz="0" w:space="0" w:color="auto"/>
      </w:divBdr>
    </w:div>
    <w:div w:id="1096288685">
      <w:bodyDiv w:val="1"/>
      <w:marLeft w:val="0"/>
      <w:marRight w:val="0"/>
      <w:marTop w:val="0"/>
      <w:marBottom w:val="0"/>
      <w:divBdr>
        <w:top w:val="none" w:sz="0" w:space="0" w:color="auto"/>
        <w:left w:val="none" w:sz="0" w:space="0" w:color="auto"/>
        <w:bottom w:val="none" w:sz="0" w:space="0" w:color="auto"/>
        <w:right w:val="none" w:sz="0" w:space="0" w:color="auto"/>
      </w:divBdr>
    </w:div>
    <w:div w:id="1121143689">
      <w:bodyDiv w:val="1"/>
      <w:marLeft w:val="0"/>
      <w:marRight w:val="0"/>
      <w:marTop w:val="0"/>
      <w:marBottom w:val="0"/>
      <w:divBdr>
        <w:top w:val="none" w:sz="0" w:space="0" w:color="auto"/>
        <w:left w:val="none" w:sz="0" w:space="0" w:color="auto"/>
        <w:bottom w:val="none" w:sz="0" w:space="0" w:color="auto"/>
        <w:right w:val="none" w:sz="0" w:space="0" w:color="auto"/>
      </w:divBdr>
    </w:div>
    <w:div w:id="1146749580">
      <w:bodyDiv w:val="1"/>
      <w:marLeft w:val="0"/>
      <w:marRight w:val="0"/>
      <w:marTop w:val="0"/>
      <w:marBottom w:val="0"/>
      <w:divBdr>
        <w:top w:val="none" w:sz="0" w:space="0" w:color="auto"/>
        <w:left w:val="none" w:sz="0" w:space="0" w:color="auto"/>
        <w:bottom w:val="none" w:sz="0" w:space="0" w:color="auto"/>
        <w:right w:val="none" w:sz="0" w:space="0" w:color="auto"/>
      </w:divBdr>
    </w:div>
    <w:div w:id="1149589980">
      <w:bodyDiv w:val="1"/>
      <w:marLeft w:val="0"/>
      <w:marRight w:val="0"/>
      <w:marTop w:val="0"/>
      <w:marBottom w:val="0"/>
      <w:divBdr>
        <w:top w:val="none" w:sz="0" w:space="0" w:color="auto"/>
        <w:left w:val="none" w:sz="0" w:space="0" w:color="auto"/>
        <w:bottom w:val="none" w:sz="0" w:space="0" w:color="auto"/>
        <w:right w:val="none" w:sz="0" w:space="0" w:color="auto"/>
      </w:divBdr>
    </w:div>
    <w:div w:id="1149596755">
      <w:bodyDiv w:val="1"/>
      <w:marLeft w:val="0"/>
      <w:marRight w:val="0"/>
      <w:marTop w:val="0"/>
      <w:marBottom w:val="0"/>
      <w:divBdr>
        <w:top w:val="none" w:sz="0" w:space="0" w:color="auto"/>
        <w:left w:val="none" w:sz="0" w:space="0" w:color="auto"/>
        <w:bottom w:val="none" w:sz="0" w:space="0" w:color="auto"/>
        <w:right w:val="none" w:sz="0" w:space="0" w:color="auto"/>
      </w:divBdr>
    </w:div>
    <w:div w:id="1166507363">
      <w:bodyDiv w:val="1"/>
      <w:marLeft w:val="0"/>
      <w:marRight w:val="0"/>
      <w:marTop w:val="0"/>
      <w:marBottom w:val="0"/>
      <w:divBdr>
        <w:top w:val="none" w:sz="0" w:space="0" w:color="auto"/>
        <w:left w:val="none" w:sz="0" w:space="0" w:color="auto"/>
        <w:bottom w:val="none" w:sz="0" w:space="0" w:color="auto"/>
        <w:right w:val="none" w:sz="0" w:space="0" w:color="auto"/>
      </w:divBdr>
    </w:div>
    <w:div w:id="1204369781">
      <w:bodyDiv w:val="1"/>
      <w:marLeft w:val="0"/>
      <w:marRight w:val="0"/>
      <w:marTop w:val="0"/>
      <w:marBottom w:val="0"/>
      <w:divBdr>
        <w:top w:val="none" w:sz="0" w:space="0" w:color="auto"/>
        <w:left w:val="none" w:sz="0" w:space="0" w:color="auto"/>
        <w:bottom w:val="none" w:sz="0" w:space="0" w:color="auto"/>
        <w:right w:val="none" w:sz="0" w:space="0" w:color="auto"/>
      </w:divBdr>
    </w:div>
    <w:div w:id="1208180446">
      <w:bodyDiv w:val="1"/>
      <w:marLeft w:val="0"/>
      <w:marRight w:val="0"/>
      <w:marTop w:val="0"/>
      <w:marBottom w:val="0"/>
      <w:divBdr>
        <w:top w:val="none" w:sz="0" w:space="0" w:color="auto"/>
        <w:left w:val="none" w:sz="0" w:space="0" w:color="auto"/>
        <w:bottom w:val="none" w:sz="0" w:space="0" w:color="auto"/>
        <w:right w:val="none" w:sz="0" w:space="0" w:color="auto"/>
      </w:divBdr>
    </w:div>
    <w:div w:id="1222863811">
      <w:bodyDiv w:val="1"/>
      <w:marLeft w:val="0"/>
      <w:marRight w:val="0"/>
      <w:marTop w:val="0"/>
      <w:marBottom w:val="0"/>
      <w:divBdr>
        <w:top w:val="none" w:sz="0" w:space="0" w:color="auto"/>
        <w:left w:val="none" w:sz="0" w:space="0" w:color="auto"/>
        <w:bottom w:val="none" w:sz="0" w:space="0" w:color="auto"/>
        <w:right w:val="none" w:sz="0" w:space="0" w:color="auto"/>
      </w:divBdr>
    </w:div>
    <w:div w:id="1238324750">
      <w:bodyDiv w:val="1"/>
      <w:marLeft w:val="0"/>
      <w:marRight w:val="0"/>
      <w:marTop w:val="0"/>
      <w:marBottom w:val="0"/>
      <w:divBdr>
        <w:top w:val="none" w:sz="0" w:space="0" w:color="auto"/>
        <w:left w:val="none" w:sz="0" w:space="0" w:color="auto"/>
        <w:bottom w:val="none" w:sz="0" w:space="0" w:color="auto"/>
        <w:right w:val="none" w:sz="0" w:space="0" w:color="auto"/>
      </w:divBdr>
    </w:div>
    <w:div w:id="1240554962">
      <w:bodyDiv w:val="1"/>
      <w:marLeft w:val="0"/>
      <w:marRight w:val="0"/>
      <w:marTop w:val="0"/>
      <w:marBottom w:val="0"/>
      <w:divBdr>
        <w:top w:val="none" w:sz="0" w:space="0" w:color="auto"/>
        <w:left w:val="none" w:sz="0" w:space="0" w:color="auto"/>
        <w:bottom w:val="none" w:sz="0" w:space="0" w:color="auto"/>
        <w:right w:val="none" w:sz="0" w:space="0" w:color="auto"/>
      </w:divBdr>
    </w:div>
    <w:div w:id="1263034440">
      <w:bodyDiv w:val="1"/>
      <w:marLeft w:val="0"/>
      <w:marRight w:val="0"/>
      <w:marTop w:val="0"/>
      <w:marBottom w:val="0"/>
      <w:divBdr>
        <w:top w:val="none" w:sz="0" w:space="0" w:color="auto"/>
        <w:left w:val="none" w:sz="0" w:space="0" w:color="auto"/>
        <w:bottom w:val="none" w:sz="0" w:space="0" w:color="auto"/>
        <w:right w:val="none" w:sz="0" w:space="0" w:color="auto"/>
      </w:divBdr>
    </w:div>
    <w:div w:id="1279222341">
      <w:bodyDiv w:val="1"/>
      <w:marLeft w:val="0"/>
      <w:marRight w:val="0"/>
      <w:marTop w:val="0"/>
      <w:marBottom w:val="0"/>
      <w:divBdr>
        <w:top w:val="none" w:sz="0" w:space="0" w:color="auto"/>
        <w:left w:val="none" w:sz="0" w:space="0" w:color="auto"/>
        <w:bottom w:val="none" w:sz="0" w:space="0" w:color="auto"/>
        <w:right w:val="none" w:sz="0" w:space="0" w:color="auto"/>
      </w:divBdr>
    </w:div>
    <w:div w:id="1292637013">
      <w:bodyDiv w:val="1"/>
      <w:marLeft w:val="0"/>
      <w:marRight w:val="0"/>
      <w:marTop w:val="0"/>
      <w:marBottom w:val="0"/>
      <w:divBdr>
        <w:top w:val="none" w:sz="0" w:space="0" w:color="auto"/>
        <w:left w:val="none" w:sz="0" w:space="0" w:color="auto"/>
        <w:bottom w:val="none" w:sz="0" w:space="0" w:color="auto"/>
        <w:right w:val="none" w:sz="0" w:space="0" w:color="auto"/>
      </w:divBdr>
    </w:div>
    <w:div w:id="1292979441">
      <w:bodyDiv w:val="1"/>
      <w:marLeft w:val="0"/>
      <w:marRight w:val="0"/>
      <w:marTop w:val="0"/>
      <w:marBottom w:val="0"/>
      <w:divBdr>
        <w:top w:val="none" w:sz="0" w:space="0" w:color="auto"/>
        <w:left w:val="none" w:sz="0" w:space="0" w:color="auto"/>
        <w:bottom w:val="none" w:sz="0" w:space="0" w:color="auto"/>
        <w:right w:val="none" w:sz="0" w:space="0" w:color="auto"/>
      </w:divBdr>
    </w:div>
    <w:div w:id="1303148255">
      <w:bodyDiv w:val="1"/>
      <w:marLeft w:val="0"/>
      <w:marRight w:val="0"/>
      <w:marTop w:val="0"/>
      <w:marBottom w:val="0"/>
      <w:divBdr>
        <w:top w:val="none" w:sz="0" w:space="0" w:color="auto"/>
        <w:left w:val="none" w:sz="0" w:space="0" w:color="auto"/>
        <w:bottom w:val="none" w:sz="0" w:space="0" w:color="auto"/>
        <w:right w:val="none" w:sz="0" w:space="0" w:color="auto"/>
      </w:divBdr>
    </w:div>
    <w:div w:id="1318192754">
      <w:bodyDiv w:val="1"/>
      <w:marLeft w:val="0"/>
      <w:marRight w:val="0"/>
      <w:marTop w:val="0"/>
      <w:marBottom w:val="0"/>
      <w:divBdr>
        <w:top w:val="none" w:sz="0" w:space="0" w:color="auto"/>
        <w:left w:val="none" w:sz="0" w:space="0" w:color="auto"/>
        <w:bottom w:val="none" w:sz="0" w:space="0" w:color="auto"/>
        <w:right w:val="none" w:sz="0" w:space="0" w:color="auto"/>
      </w:divBdr>
    </w:div>
    <w:div w:id="1349481541">
      <w:bodyDiv w:val="1"/>
      <w:marLeft w:val="0"/>
      <w:marRight w:val="0"/>
      <w:marTop w:val="0"/>
      <w:marBottom w:val="0"/>
      <w:divBdr>
        <w:top w:val="none" w:sz="0" w:space="0" w:color="auto"/>
        <w:left w:val="none" w:sz="0" w:space="0" w:color="auto"/>
        <w:bottom w:val="none" w:sz="0" w:space="0" w:color="auto"/>
        <w:right w:val="none" w:sz="0" w:space="0" w:color="auto"/>
      </w:divBdr>
    </w:div>
    <w:div w:id="1365247893">
      <w:bodyDiv w:val="1"/>
      <w:marLeft w:val="0"/>
      <w:marRight w:val="0"/>
      <w:marTop w:val="0"/>
      <w:marBottom w:val="0"/>
      <w:divBdr>
        <w:top w:val="none" w:sz="0" w:space="0" w:color="auto"/>
        <w:left w:val="none" w:sz="0" w:space="0" w:color="auto"/>
        <w:bottom w:val="none" w:sz="0" w:space="0" w:color="auto"/>
        <w:right w:val="none" w:sz="0" w:space="0" w:color="auto"/>
      </w:divBdr>
    </w:div>
    <w:div w:id="1395740382">
      <w:bodyDiv w:val="1"/>
      <w:marLeft w:val="0"/>
      <w:marRight w:val="0"/>
      <w:marTop w:val="0"/>
      <w:marBottom w:val="0"/>
      <w:divBdr>
        <w:top w:val="none" w:sz="0" w:space="0" w:color="auto"/>
        <w:left w:val="none" w:sz="0" w:space="0" w:color="auto"/>
        <w:bottom w:val="none" w:sz="0" w:space="0" w:color="auto"/>
        <w:right w:val="none" w:sz="0" w:space="0" w:color="auto"/>
      </w:divBdr>
    </w:div>
    <w:div w:id="1409422742">
      <w:bodyDiv w:val="1"/>
      <w:marLeft w:val="0"/>
      <w:marRight w:val="0"/>
      <w:marTop w:val="0"/>
      <w:marBottom w:val="0"/>
      <w:divBdr>
        <w:top w:val="none" w:sz="0" w:space="0" w:color="auto"/>
        <w:left w:val="none" w:sz="0" w:space="0" w:color="auto"/>
        <w:bottom w:val="none" w:sz="0" w:space="0" w:color="auto"/>
        <w:right w:val="none" w:sz="0" w:space="0" w:color="auto"/>
      </w:divBdr>
    </w:div>
    <w:div w:id="1410613490">
      <w:bodyDiv w:val="1"/>
      <w:marLeft w:val="0"/>
      <w:marRight w:val="0"/>
      <w:marTop w:val="0"/>
      <w:marBottom w:val="0"/>
      <w:divBdr>
        <w:top w:val="none" w:sz="0" w:space="0" w:color="auto"/>
        <w:left w:val="none" w:sz="0" w:space="0" w:color="auto"/>
        <w:bottom w:val="none" w:sz="0" w:space="0" w:color="auto"/>
        <w:right w:val="none" w:sz="0" w:space="0" w:color="auto"/>
      </w:divBdr>
    </w:div>
    <w:div w:id="1488748300">
      <w:bodyDiv w:val="1"/>
      <w:marLeft w:val="0"/>
      <w:marRight w:val="0"/>
      <w:marTop w:val="0"/>
      <w:marBottom w:val="0"/>
      <w:divBdr>
        <w:top w:val="none" w:sz="0" w:space="0" w:color="auto"/>
        <w:left w:val="none" w:sz="0" w:space="0" w:color="auto"/>
        <w:bottom w:val="none" w:sz="0" w:space="0" w:color="auto"/>
        <w:right w:val="none" w:sz="0" w:space="0" w:color="auto"/>
      </w:divBdr>
    </w:div>
    <w:div w:id="1491218193">
      <w:bodyDiv w:val="1"/>
      <w:marLeft w:val="0"/>
      <w:marRight w:val="0"/>
      <w:marTop w:val="0"/>
      <w:marBottom w:val="0"/>
      <w:divBdr>
        <w:top w:val="none" w:sz="0" w:space="0" w:color="auto"/>
        <w:left w:val="none" w:sz="0" w:space="0" w:color="auto"/>
        <w:bottom w:val="none" w:sz="0" w:space="0" w:color="auto"/>
        <w:right w:val="none" w:sz="0" w:space="0" w:color="auto"/>
      </w:divBdr>
    </w:div>
    <w:div w:id="1541362030">
      <w:bodyDiv w:val="1"/>
      <w:marLeft w:val="0"/>
      <w:marRight w:val="0"/>
      <w:marTop w:val="0"/>
      <w:marBottom w:val="0"/>
      <w:divBdr>
        <w:top w:val="none" w:sz="0" w:space="0" w:color="auto"/>
        <w:left w:val="none" w:sz="0" w:space="0" w:color="auto"/>
        <w:bottom w:val="none" w:sz="0" w:space="0" w:color="auto"/>
        <w:right w:val="none" w:sz="0" w:space="0" w:color="auto"/>
      </w:divBdr>
    </w:div>
    <w:div w:id="1563564928">
      <w:bodyDiv w:val="1"/>
      <w:marLeft w:val="0"/>
      <w:marRight w:val="0"/>
      <w:marTop w:val="0"/>
      <w:marBottom w:val="0"/>
      <w:divBdr>
        <w:top w:val="none" w:sz="0" w:space="0" w:color="auto"/>
        <w:left w:val="none" w:sz="0" w:space="0" w:color="auto"/>
        <w:bottom w:val="none" w:sz="0" w:space="0" w:color="auto"/>
        <w:right w:val="none" w:sz="0" w:space="0" w:color="auto"/>
      </w:divBdr>
    </w:div>
    <w:div w:id="1584486929">
      <w:bodyDiv w:val="1"/>
      <w:marLeft w:val="0"/>
      <w:marRight w:val="0"/>
      <w:marTop w:val="0"/>
      <w:marBottom w:val="0"/>
      <w:divBdr>
        <w:top w:val="none" w:sz="0" w:space="0" w:color="auto"/>
        <w:left w:val="none" w:sz="0" w:space="0" w:color="auto"/>
        <w:bottom w:val="none" w:sz="0" w:space="0" w:color="auto"/>
        <w:right w:val="none" w:sz="0" w:space="0" w:color="auto"/>
      </w:divBdr>
    </w:div>
    <w:div w:id="1634479873">
      <w:bodyDiv w:val="1"/>
      <w:marLeft w:val="0"/>
      <w:marRight w:val="0"/>
      <w:marTop w:val="0"/>
      <w:marBottom w:val="0"/>
      <w:divBdr>
        <w:top w:val="none" w:sz="0" w:space="0" w:color="auto"/>
        <w:left w:val="none" w:sz="0" w:space="0" w:color="auto"/>
        <w:bottom w:val="none" w:sz="0" w:space="0" w:color="auto"/>
        <w:right w:val="none" w:sz="0" w:space="0" w:color="auto"/>
      </w:divBdr>
    </w:div>
    <w:div w:id="1663896990">
      <w:bodyDiv w:val="1"/>
      <w:marLeft w:val="0"/>
      <w:marRight w:val="0"/>
      <w:marTop w:val="0"/>
      <w:marBottom w:val="0"/>
      <w:divBdr>
        <w:top w:val="none" w:sz="0" w:space="0" w:color="auto"/>
        <w:left w:val="none" w:sz="0" w:space="0" w:color="auto"/>
        <w:bottom w:val="none" w:sz="0" w:space="0" w:color="auto"/>
        <w:right w:val="none" w:sz="0" w:space="0" w:color="auto"/>
      </w:divBdr>
    </w:div>
    <w:div w:id="1671983403">
      <w:bodyDiv w:val="1"/>
      <w:marLeft w:val="0"/>
      <w:marRight w:val="0"/>
      <w:marTop w:val="0"/>
      <w:marBottom w:val="0"/>
      <w:divBdr>
        <w:top w:val="none" w:sz="0" w:space="0" w:color="auto"/>
        <w:left w:val="none" w:sz="0" w:space="0" w:color="auto"/>
        <w:bottom w:val="none" w:sz="0" w:space="0" w:color="auto"/>
        <w:right w:val="none" w:sz="0" w:space="0" w:color="auto"/>
      </w:divBdr>
    </w:div>
    <w:div w:id="1688945657">
      <w:bodyDiv w:val="1"/>
      <w:marLeft w:val="0"/>
      <w:marRight w:val="0"/>
      <w:marTop w:val="0"/>
      <w:marBottom w:val="0"/>
      <w:divBdr>
        <w:top w:val="none" w:sz="0" w:space="0" w:color="auto"/>
        <w:left w:val="none" w:sz="0" w:space="0" w:color="auto"/>
        <w:bottom w:val="none" w:sz="0" w:space="0" w:color="auto"/>
        <w:right w:val="none" w:sz="0" w:space="0" w:color="auto"/>
      </w:divBdr>
    </w:div>
    <w:div w:id="1704209204">
      <w:bodyDiv w:val="1"/>
      <w:marLeft w:val="0"/>
      <w:marRight w:val="0"/>
      <w:marTop w:val="0"/>
      <w:marBottom w:val="0"/>
      <w:divBdr>
        <w:top w:val="none" w:sz="0" w:space="0" w:color="auto"/>
        <w:left w:val="none" w:sz="0" w:space="0" w:color="auto"/>
        <w:bottom w:val="none" w:sz="0" w:space="0" w:color="auto"/>
        <w:right w:val="none" w:sz="0" w:space="0" w:color="auto"/>
      </w:divBdr>
    </w:div>
    <w:div w:id="1733960535">
      <w:bodyDiv w:val="1"/>
      <w:marLeft w:val="0"/>
      <w:marRight w:val="0"/>
      <w:marTop w:val="0"/>
      <w:marBottom w:val="0"/>
      <w:divBdr>
        <w:top w:val="none" w:sz="0" w:space="0" w:color="auto"/>
        <w:left w:val="none" w:sz="0" w:space="0" w:color="auto"/>
        <w:bottom w:val="none" w:sz="0" w:space="0" w:color="auto"/>
        <w:right w:val="none" w:sz="0" w:space="0" w:color="auto"/>
      </w:divBdr>
    </w:div>
    <w:div w:id="1752654301">
      <w:bodyDiv w:val="1"/>
      <w:marLeft w:val="0"/>
      <w:marRight w:val="0"/>
      <w:marTop w:val="0"/>
      <w:marBottom w:val="0"/>
      <w:divBdr>
        <w:top w:val="none" w:sz="0" w:space="0" w:color="auto"/>
        <w:left w:val="none" w:sz="0" w:space="0" w:color="auto"/>
        <w:bottom w:val="none" w:sz="0" w:space="0" w:color="auto"/>
        <w:right w:val="none" w:sz="0" w:space="0" w:color="auto"/>
      </w:divBdr>
    </w:div>
    <w:div w:id="1758165129">
      <w:bodyDiv w:val="1"/>
      <w:marLeft w:val="0"/>
      <w:marRight w:val="0"/>
      <w:marTop w:val="0"/>
      <w:marBottom w:val="0"/>
      <w:divBdr>
        <w:top w:val="none" w:sz="0" w:space="0" w:color="auto"/>
        <w:left w:val="none" w:sz="0" w:space="0" w:color="auto"/>
        <w:bottom w:val="none" w:sz="0" w:space="0" w:color="auto"/>
        <w:right w:val="none" w:sz="0" w:space="0" w:color="auto"/>
      </w:divBdr>
    </w:div>
    <w:div w:id="1785881260">
      <w:bodyDiv w:val="1"/>
      <w:marLeft w:val="0"/>
      <w:marRight w:val="0"/>
      <w:marTop w:val="0"/>
      <w:marBottom w:val="0"/>
      <w:divBdr>
        <w:top w:val="none" w:sz="0" w:space="0" w:color="auto"/>
        <w:left w:val="none" w:sz="0" w:space="0" w:color="auto"/>
        <w:bottom w:val="none" w:sz="0" w:space="0" w:color="auto"/>
        <w:right w:val="none" w:sz="0" w:space="0" w:color="auto"/>
      </w:divBdr>
    </w:div>
    <w:div w:id="1786659991">
      <w:bodyDiv w:val="1"/>
      <w:marLeft w:val="0"/>
      <w:marRight w:val="0"/>
      <w:marTop w:val="0"/>
      <w:marBottom w:val="0"/>
      <w:divBdr>
        <w:top w:val="none" w:sz="0" w:space="0" w:color="auto"/>
        <w:left w:val="none" w:sz="0" w:space="0" w:color="auto"/>
        <w:bottom w:val="none" w:sz="0" w:space="0" w:color="auto"/>
        <w:right w:val="none" w:sz="0" w:space="0" w:color="auto"/>
      </w:divBdr>
    </w:div>
    <w:div w:id="1861620433">
      <w:bodyDiv w:val="1"/>
      <w:marLeft w:val="0"/>
      <w:marRight w:val="0"/>
      <w:marTop w:val="0"/>
      <w:marBottom w:val="0"/>
      <w:divBdr>
        <w:top w:val="none" w:sz="0" w:space="0" w:color="auto"/>
        <w:left w:val="none" w:sz="0" w:space="0" w:color="auto"/>
        <w:bottom w:val="none" w:sz="0" w:space="0" w:color="auto"/>
        <w:right w:val="none" w:sz="0" w:space="0" w:color="auto"/>
      </w:divBdr>
    </w:div>
    <w:div w:id="1869951907">
      <w:bodyDiv w:val="1"/>
      <w:marLeft w:val="0"/>
      <w:marRight w:val="0"/>
      <w:marTop w:val="0"/>
      <w:marBottom w:val="0"/>
      <w:divBdr>
        <w:top w:val="none" w:sz="0" w:space="0" w:color="auto"/>
        <w:left w:val="none" w:sz="0" w:space="0" w:color="auto"/>
        <w:bottom w:val="none" w:sz="0" w:space="0" w:color="auto"/>
        <w:right w:val="none" w:sz="0" w:space="0" w:color="auto"/>
      </w:divBdr>
    </w:div>
    <w:div w:id="1927107230">
      <w:bodyDiv w:val="1"/>
      <w:marLeft w:val="0"/>
      <w:marRight w:val="0"/>
      <w:marTop w:val="0"/>
      <w:marBottom w:val="0"/>
      <w:divBdr>
        <w:top w:val="none" w:sz="0" w:space="0" w:color="auto"/>
        <w:left w:val="none" w:sz="0" w:space="0" w:color="auto"/>
        <w:bottom w:val="none" w:sz="0" w:space="0" w:color="auto"/>
        <w:right w:val="none" w:sz="0" w:space="0" w:color="auto"/>
      </w:divBdr>
    </w:div>
    <w:div w:id="1948999850">
      <w:bodyDiv w:val="1"/>
      <w:marLeft w:val="0"/>
      <w:marRight w:val="0"/>
      <w:marTop w:val="0"/>
      <w:marBottom w:val="0"/>
      <w:divBdr>
        <w:top w:val="none" w:sz="0" w:space="0" w:color="auto"/>
        <w:left w:val="none" w:sz="0" w:space="0" w:color="auto"/>
        <w:bottom w:val="none" w:sz="0" w:space="0" w:color="auto"/>
        <w:right w:val="none" w:sz="0" w:space="0" w:color="auto"/>
      </w:divBdr>
    </w:div>
    <w:div w:id="1962103896">
      <w:bodyDiv w:val="1"/>
      <w:marLeft w:val="0"/>
      <w:marRight w:val="0"/>
      <w:marTop w:val="0"/>
      <w:marBottom w:val="0"/>
      <w:divBdr>
        <w:top w:val="none" w:sz="0" w:space="0" w:color="auto"/>
        <w:left w:val="none" w:sz="0" w:space="0" w:color="auto"/>
        <w:bottom w:val="none" w:sz="0" w:space="0" w:color="auto"/>
        <w:right w:val="none" w:sz="0" w:space="0" w:color="auto"/>
      </w:divBdr>
    </w:div>
    <w:div w:id="1962758511">
      <w:bodyDiv w:val="1"/>
      <w:marLeft w:val="0"/>
      <w:marRight w:val="0"/>
      <w:marTop w:val="0"/>
      <w:marBottom w:val="0"/>
      <w:divBdr>
        <w:top w:val="none" w:sz="0" w:space="0" w:color="auto"/>
        <w:left w:val="none" w:sz="0" w:space="0" w:color="auto"/>
        <w:bottom w:val="none" w:sz="0" w:space="0" w:color="auto"/>
        <w:right w:val="none" w:sz="0" w:space="0" w:color="auto"/>
      </w:divBdr>
    </w:div>
    <w:div w:id="1966155330">
      <w:bodyDiv w:val="1"/>
      <w:marLeft w:val="0"/>
      <w:marRight w:val="0"/>
      <w:marTop w:val="0"/>
      <w:marBottom w:val="0"/>
      <w:divBdr>
        <w:top w:val="none" w:sz="0" w:space="0" w:color="auto"/>
        <w:left w:val="none" w:sz="0" w:space="0" w:color="auto"/>
        <w:bottom w:val="none" w:sz="0" w:space="0" w:color="auto"/>
        <w:right w:val="none" w:sz="0" w:space="0" w:color="auto"/>
      </w:divBdr>
    </w:div>
    <w:div w:id="1993752961">
      <w:bodyDiv w:val="1"/>
      <w:marLeft w:val="0"/>
      <w:marRight w:val="0"/>
      <w:marTop w:val="0"/>
      <w:marBottom w:val="0"/>
      <w:divBdr>
        <w:top w:val="none" w:sz="0" w:space="0" w:color="auto"/>
        <w:left w:val="none" w:sz="0" w:space="0" w:color="auto"/>
        <w:bottom w:val="none" w:sz="0" w:space="0" w:color="auto"/>
        <w:right w:val="none" w:sz="0" w:space="0" w:color="auto"/>
      </w:divBdr>
    </w:div>
    <w:div w:id="2050717720">
      <w:bodyDiv w:val="1"/>
      <w:marLeft w:val="0"/>
      <w:marRight w:val="0"/>
      <w:marTop w:val="0"/>
      <w:marBottom w:val="0"/>
      <w:divBdr>
        <w:top w:val="none" w:sz="0" w:space="0" w:color="auto"/>
        <w:left w:val="none" w:sz="0" w:space="0" w:color="auto"/>
        <w:bottom w:val="none" w:sz="0" w:space="0" w:color="auto"/>
        <w:right w:val="none" w:sz="0" w:space="0" w:color="auto"/>
      </w:divBdr>
    </w:div>
    <w:div w:id="2111077527">
      <w:bodyDiv w:val="1"/>
      <w:marLeft w:val="0"/>
      <w:marRight w:val="0"/>
      <w:marTop w:val="0"/>
      <w:marBottom w:val="0"/>
      <w:divBdr>
        <w:top w:val="none" w:sz="0" w:space="0" w:color="auto"/>
        <w:left w:val="none" w:sz="0" w:space="0" w:color="auto"/>
        <w:bottom w:val="none" w:sz="0" w:space="0" w:color="auto"/>
        <w:right w:val="none" w:sz="0" w:space="0" w:color="auto"/>
      </w:divBdr>
    </w:div>
    <w:div w:id="2125225496">
      <w:bodyDiv w:val="1"/>
      <w:marLeft w:val="0"/>
      <w:marRight w:val="0"/>
      <w:marTop w:val="0"/>
      <w:marBottom w:val="0"/>
      <w:divBdr>
        <w:top w:val="none" w:sz="0" w:space="0" w:color="auto"/>
        <w:left w:val="none" w:sz="0" w:space="0" w:color="auto"/>
        <w:bottom w:val="none" w:sz="0" w:space="0" w:color="auto"/>
        <w:right w:val="none" w:sz="0" w:space="0" w:color="auto"/>
      </w:divBdr>
    </w:div>
    <w:div w:id="213335685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tmp"/><Relationship Id="rId18" Type="http://schemas.openxmlformats.org/officeDocument/2006/relationships/header" Target="header2.xml"/><Relationship Id="rId3" Type="http://schemas.openxmlformats.org/officeDocument/2006/relationships/numbering" Target="numbering.xml"/><Relationship Id="rId21" Type="http://schemas.openxmlformats.org/officeDocument/2006/relationships/header" Target="header3.xml"/><Relationship Id="rId7" Type="http://schemas.openxmlformats.org/officeDocument/2006/relationships/footnotes" Target="footnotes.xml"/><Relationship Id="rId12" Type="http://schemas.openxmlformats.org/officeDocument/2006/relationships/image" Target="media/image4.tmp"/><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tmp"/><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fontTable" Target="fontTable.xml"/><Relationship Id="rId10" Type="http://schemas.openxmlformats.org/officeDocument/2006/relationships/image" Target="media/image2.tmp"/><Relationship Id="rId19"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tmp"/><Relationship Id="rId14" Type="http://schemas.openxmlformats.org/officeDocument/2006/relationships/image" Target="media/image6.png"/><Relationship Id="rId22"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9.jpeg"/></Relationships>
</file>

<file path=word/_rels/header2.xml.rels><?xml version="1.0" encoding="UTF-8" standalone="yes"?>
<Relationships xmlns="http://schemas.openxmlformats.org/package/2006/relationships"><Relationship Id="rId1" Type="http://schemas.openxmlformats.org/officeDocument/2006/relationships/image" Target="media/image9.jpeg"/></Relationships>
</file>

<file path=word/_rels/header3.xml.rels><?xml version="1.0" encoding="UTF-8" standalone="yes"?>
<Relationships xmlns="http://schemas.openxmlformats.org/package/2006/relationships"><Relationship Id="rId1" Type="http://schemas.openxmlformats.org/officeDocument/2006/relationships/image" Target="media/image9.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1">
  <go:docsCustomData xmlns:go="http://customooxmlschemas.google.com/" roundtripDataSignature="AMtx7mi3aIr9UojQM/wV1y+E4JPptzeNOA==">AMUW2mX6XfWilKOZK325xv/8M4yzOmA2OkxSKU0cxeQkI7/5C+L14wzYNPjHVed38/q5p+UJBCIwrB1FJ81EWWzvz1TYXvB7p50zJ/cXBPaOV3ut7E7zbwDZNHEZBBoL0vthUU+e2Gs1hK9VUYOLeXNIGt3WyENayg==</go:docsCustomData>
</go:gDocsCustomXmlDataStorage>
</file>

<file path=customXml/itemProps1.xml><?xml version="1.0" encoding="utf-8"?>
<ds:datastoreItem xmlns:ds="http://schemas.openxmlformats.org/officeDocument/2006/customXml" ds:itemID="{444208E6-B851-4EFF-81B0-9712FDCC7166}">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45</Pages>
  <Words>10849</Words>
  <Characters>59675</Characters>
  <Application>Microsoft Office Word</Application>
  <DocSecurity>0</DocSecurity>
  <Lines>497</Lines>
  <Paragraphs>140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70384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Israel Martinez Serrano</cp:lastModifiedBy>
  <cp:revision>4</cp:revision>
  <cp:lastPrinted>2026-07-10T16:13:00Z</cp:lastPrinted>
  <dcterms:created xsi:type="dcterms:W3CDTF">2026-07-10T16:13:00Z</dcterms:created>
  <dcterms:modified xsi:type="dcterms:W3CDTF">2026-08-07T18:04:00Z</dcterms:modified>
</cp:coreProperties>
</file>