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80125E" w14:textId="3BEA2B7A" w:rsidR="00BD7A3B" w:rsidRPr="00E76083" w:rsidRDefault="002905ED" w:rsidP="00A4767B">
      <w:pPr>
        <w:tabs>
          <w:tab w:val="left" w:pos="0"/>
        </w:tabs>
        <w:spacing w:line="360" w:lineRule="auto"/>
        <w:ind w:right="-879"/>
        <w:jc w:val="both"/>
        <w:rPr>
          <w:rFonts w:ascii="Palatino Linotype" w:eastAsia="Palatino Linotype" w:hAnsi="Palatino Linotype" w:cs="Palatino Linotype"/>
          <w:b/>
        </w:rPr>
      </w:pPr>
      <w:bookmarkStart w:id="0" w:name="_GoBack"/>
      <w:bookmarkEnd w:id="0"/>
      <w:r w:rsidRPr="00E76083">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w:t>
      </w:r>
      <w:r w:rsidR="00E76083" w:rsidRPr="00E76083">
        <w:rPr>
          <w:rFonts w:ascii="Palatino Linotype" w:eastAsia="Palatino Linotype" w:hAnsi="Palatino Linotype" w:cs="Palatino Linotype"/>
        </w:rPr>
        <w:t xml:space="preserve">Estado de México; </w:t>
      </w:r>
      <w:r w:rsidR="00E76083" w:rsidRPr="00E76083">
        <w:rPr>
          <w:rFonts w:ascii="Palatino Linotype" w:eastAsia="Palatino Linotype" w:hAnsi="Palatino Linotype" w:cs="Palatino Linotype"/>
          <w:b/>
        </w:rPr>
        <w:t>de fecha</w:t>
      </w:r>
      <w:r w:rsidR="00CA5C5B" w:rsidRPr="00E76083">
        <w:rPr>
          <w:rFonts w:ascii="Palatino Linotype" w:eastAsia="Palatino Linotype" w:hAnsi="Palatino Linotype" w:cs="Palatino Linotype"/>
          <w:b/>
        </w:rPr>
        <w:t xml:space="preserve"> </w:t>
      </w:r>
      <w:r w:rsidR="003569CB" w:rsidRPr="00E76083">
        <w:rPr>
          <w:rFonts w:ascii="Palatino Linotype" w:eastAsia="Palatino Linotype" w:hAnsi="Palatino Linotype" w:cs="Palatino Linotype"/>
          <w:b/>
        </w:rPr>
        <w:t xml:space="preserve">dieciocho </w:t>
      </w:r>
      <w:r w:rsidR="00E76083" w:rsidRPr="00E76083">
        <w:rPr>
          <w:rFonts w:ascii="Palatino Linotype" w:eastAsia="Palatino Linotype" w:hAnsi="Palatino Linotype" w:cs="Palatino Linotype"/>
          <w:b/>
        </w:rPr>
        <w:t xml:space="preserve">(18) </w:t>
      </w:r>
      <w:r w:rsidR="00E63270" w:rsidRPr="00E76083">
        <w:rPr>
          <w:rFonts w:ascii="Palatino Linotype" w:eastAsia="Palatino Linotype" w:hAnsi="Palatino Linotype" w:cs="Palatino Linotype"/>
          <w:b/>
        </w:rPr>
        <w:t>de febrero de dos mil veintiséis.</w:t>
      </w:r>
      <w:r w:rsidRPr="00E76083">
        <w:rPr>
          <w:rFonts w:ascii="Palatino Linotype" w:eastAsia="Palatino Linotype" w:hAnsi="Palatino Linotype" w:cs="Palatino Linotype"/>
          <w:b/>
        </w:rPr>
        <w:t xml:space="preserve"> </w:t>
      </w:r>
    </w:p>
    <w:p w14:paraId="764D5BDD" w14:textId="77777777" w:rsidR="00BD7A3B" w:rsidRPr="00E76083" w:rsidRDefault="00BD7A3B" w:rsidP="00A4767B">
      <w:pPr>
        <w:tabs>
          <w:tab w:val="left" w:pos="0"/>
        </w:tabs>
        <w:spacing w:line="360" w:lineRule="auto"/>
        <w:ind w:right="-879"/>
        <w:jc w:val="both"/>
        <w:rPr>
          <w:rFonts w:ascii="Palatino Linotype" w:eastAsia="Palatino Linotype" w:hAnsi="Palatino Linotype" w:cs="Palatino Linotype"/>
        </w:rPr>
      </w:pPr>
    </w:p>
    <w:p w14:paraId="10CA2493" w14:textId="7B6E6478" w:rsidR="00BD7A3B" w:rsidRPr="00E76083" w:rsidRDefault="002905ED" w:rsidP="00A4767B">
      <w:pPr>
        <w:spacing w:line="360" w:lineRule="auto"/>
        <w:ind w:right="-879"/>
        <w:jc w:val="both"/>
        <w:rPr>
          <w:rFonts w:ascii="Palatino Linotype" w:eastAsia="Palatino Linotype" w:hAnsi="Palatino Linotype" w:cs="Palatino Linotype"/>
        </w:rPr>
      </w:pPr>
      <w:r w:rsidRPr="00E76083">
        <w:rPr>
          <w:rFonts w:ascii="Palatino Linotype" w:eastAsia="Palatino Linotype" w:hAnsi="Palatino Linotype" w:cs="Palatino Linotype"/>
          <w:b/>
        </w:rPr>
        <w:t>VISTO</w:t>
      </w:r>
      <w:r w:rsidRPr="00E76083">
        <w:rPr>
          <w:rFonts w:ascii="Palatino Linotype" w:eastAsia="Palatino Linotype" w:hAnsi="Palatino Linotype" w:cs="Palatino Linotype"/>
        </w:rPr>
        <w:t xml:space="preserve"> el expediente electrónico formado con motivo del recurso de revisión </w:t>
      </w:r>
      <w:r w:rsidR="006B4469" w:rsidRPr="00E76083">
        <w:rPr>
          <w:rFonts w:ascii="Palatino Linotype" w:eastAsia="Palatino Linotype" w:hAnsi="Palatino Linotype" w:cs="Palatino Linotype"/>
          <w:b/>
        </w:rPr>
        <w:t>11528/INFOEM/ICR-39/IP/RR/2025</w:t>
      </w:r>
      <w:r w:rsidRPr="00E76083">
        <w:rPr>
          <w:rFonts w:ascii="Palatino Linotype" w:eastAsia="Palatino Linotype" w:hAnsi="Palatino Linotype" w:cs="Palatino Linotype"/>
          <w:b/>
        </w:rPr>
        <w:t xml:space="preserve">, </w:t>
      </w:r>
      <w:r w:rsidRPr="00E76083">
        <w:rPr>
          <w:rFonts w:ascii="Palatino Linotype" w:eastAsia="Palatino Linotype" w:hAnsi="Palatino Linotype" w:cs="Palatino Linotype"/>
        </w:rPr>
        <w:t xml:space="preserve">promovido </w:t>
      </w:r>
      <w:r w:rsidR="00CA5C5B" w:rsidRPr="00E76083">
        <w:rPr>
          <w:rFonts w:ascii="Palatino Linotype" w:eastAsia="Palatino Linotype" w:hAnsi="Palatino Linotype" w:cs="Palatino Linotype"/>
          <w:b/>
        </w:rPr>
        <w:t xml:space="preserve">por </w:t>
      </w:r>
      <w:r w:rsidR="006B4469" w:rsidRPr="00E76083">
        <w:rPr>
          <w:rFonts w:ascii="Palatino Linotype" w:eastAsia="Palatino Linotype" w:hAnsi="Palatino Linotype" w:cs="Palatino Linotype"/>
          <w:b/>
        </w:rPr>
        <w:t>una persona que se abstuvo de facilitar información para su identificación</w:t>
      </w:r>
      <w:r w:rsidRPr="00E76083">
        <w:rPr>
          <w:rFonts w:ascii="Palatino Linotype" w:eastAsia="Palatino Linotype" w:hAnsi="Palatino Linotype" w:cs="Palatino Linotype"/>
        </w:rPr>
        <w:t xml:space="preserve">, a quien en lo sucesivo se le identificara como </w:t>
      </w:r>
      <w:r w:rsidRPr="00E76083">
        <w:rPr>
          <w:rFonts w:ascii="Palatino Linotype" w:eastAsia="Palatino Linotype" w:hAnsi="Palatino Linotype" w:cs="Palatino Linotype"/>
          <w:b/>
        </w:rPr>
        <w:t>RECURRENTE</w:t>
      </w:r>
      <w:r w:rsidRPr="00E76083">
        <w:rPr>
          <w:rFonts w:ascii="Palatino Linotype" w:eastAsia="Palatino Linotype" w:hAnsi="Palatino Linotype" w:cs="Palatino Linotype"/>
        </w:rPr>
        <w:t xml:space="preserve">, en contra de la respuesta del </w:t>
      </w:r>
      <w:r w:rsidR="00CA5C5B" w:rsidRPr="00E76083">
        <w:rPr>
          <w:rFonts w:ascii="Palatino Linotype" w:eastAsia="Palatino Linotype" w:hAnsi="Palatino Linotype" w:cs="Palatino Linotype"/>
          <w:b/>
        </w:rPr>
        <w:t xml:space="preserve">Ayuntamiento de </w:t>
      </w:r>
      <w:r w:rsidR="006B4469" w:rsidRPr="00E76083">
        <w:rPr>
          <w:rFonts w:ascii="Palatino Linotype" w:eastAsia="Palatino Linotype" w:hAnsi="Palatino Linotype" w:cs="Palatino Linotype"/>
          <w:b/>
        </w:rPr>
        <w:t>Tepotzotlán</w:t>
      </w:r>
      <w:r w:rsidRPr="00E76083">
        <w:rPr>
          <w:rFonts w:ascii="Palatino Linotype" w:eastAsia="Palatino Linotype" w:hAnsi="Palatino Linotype" w:cs="Palatino Linotype"/>
          <w:b/>
        </w:rPr>
        <w:t xml:space="preserve">, </w:t>
      </w:r>
      <w:r w:rsidRPr="00E76083">
        <w:rPr>
          <w:rFonts w:ascii="Palatino Linotype" w:eastAsia="Palatino Linotype" w:hAnsi="Palatino Linotype" w:cs="Palatino Linotype"/>
        </w:rPr>
        <w:t xml:space="preserve">en </w:t>
      </w:r>
      <w:r w:rsidR="00E76083" w:rsidRPr="00E76083">
        <w:rPr>
          <w:rFonts w:ascii="Palatino Linotype" w:eastAsia="Palatino Linotype" w:hAnsi="Palatino Linotype" w:cs="Palatino Linotype"/>
        </w:rPr>
        <w:t>adelante</w:t>
      </w:r>
      <w:r w:rsidRPr="00E76083">
        <w:rPr>
          <w:rFonts w:ascii="Palatino Linotype" w:eastAsia="Palatino Linotype" w:hAnsi="Palatino Linotype" w:cs="Palatino Linotype"/>
        </w:rPr>
        <w:t xml:space="preserve"> el</w:t>
      </w:r>
      <w:r w:rsidRPr="00E76083">
        <w:rPr>
          <w:rFonts w:ascii="Palatino Linotype" w:eastAsia="Palatino Linotype" w:hAnsi="Palatino Linotype" w:cs="Palatino Linotype"/>
          <w:b/>
        </w:rPr>
        <w:t xml:space="preserve"> SUJETO OBLIGADO, </w:t>
      </w:r>
      <w:r w:rsidRPr="00E76083">
        <w:rPr>
          <w:rFonts w:ascii="Palatino Linotype" w:eastAsia="Palatino Linotype" w:hAnsi="Palatino Linotype" w:cs="Palatino Linotype"/>
        </w:rPr>
        <w:t xml:space="preserve">se procede a dictar la presente resolución, con base en los siguientes: </w:t>
      </w:r>
    </w:p>
    <w:p w14:paraId="35E9D579" w14:textId="77777777" w:rsidR="00BD7A3B" w:rsidRPr="00E76083" w:rsidRDefault="00BD7A3B" w:rsidP="00A4767B">
      <w:pPr>
        <w:spacing w:line="360" w:lineRule="auto"/>
        <w:ind w:right="-879"/>
        <w:jc w:val="both"/>
        <w:rPr>
          <w:rFonts w:ascii="Palatino Linotype" w:eastAsia="Palatino Linotype" w:hAnsi="Palatino Linotype" w:cs="Palatino Linotype"/>
        </w:rPr>
      </w:pPr>
    </w:p>
    <w:p w14:paraId="66AF5407" w14:textId="68D68639" w:rsidR="00BD7A3B" w:rsidRPr="00E76083" w:rsidRDefault="002905ED" w:rsidP="00A4767B">
      <w:pPr>
        <w:keepNext/>
        <w:keepLines/>
        <w:tabs>
          <w:tab w:val="left" w:pos="0"/>
        </w:tabs>
        <w:spacing w:line="360" w:lineRule="auto"/>
        <w:ind w:right="-879"/>
        <w:jc w:val="center"/>
        <w:rPr>
          <w:rFonts w:ascii="Palatino Linotype" w:eastAsia="Palatino Linotype" w:hAnsi="Palatino Linotype" w:cs="Palatino Linotype"/>
          <w:b/>
        </w:rPr>
      </w:pPr>
      <w:bookmarkStart w:id="1" w:name="_heading=h.dbwx6li7inh1" w:colFirst="0" w:colLast="0"/>
      <w:bookmarkEnd w:id="1"/>
      <w:r w:rsidRPr="00E76083">
        <w:rPr>
          <w:rFonts w:ascii="Palatino Linotype" w:eastAsia="Palatino Linotype" w:hAnsi="Palatino Linotype" w:cs="Palatino Linotype"/>
          <w:b/>
        </w:rPr>
        <w:t>A</w:t>
      </w:r>
      <w:r w:rsidR="00E76083" w:rsidRPr="00E76083">
        <w:rPr>
          <w:rFonts w:ascii="Palatino Linotype" w:eastAsia="Palatino Linotype" w:hAnsi="Palatino Linotype" w:cs="Palatino Linotype"/>
          <w:b/>
        </w:rPr>
        <w:t xml:space="preserve"> </w:t>
      </w:r>
      <w:r w:rsidRPr="00E76083">
        <w:rPr>
          <w:rFonts w:ascii="Palatino Linotype" w:eastAsia="Palatino Linotype" w:hAnsi="Palatino Linotype" w:cs="Palatino Linotype"/>
          <w:b/>
        </w:rPr>
        <w:t>N</w:t>
      </w:r>
      <w:r w:rsidR="00E76083" w:rsidRPr="00E76083">
        <w:rPr>
          <w:rFonts w:ascii="Palatino Linotype" w:eastAsia="Palatino Linotype" w:hAnsi="Palatino Linotype" w:cs="Palatino Linotype"/>
          <w:b/>
        </w:rPr>
        <w:t xml:space="preserve"> </w:t>
      </w:r>
      <w:r w:rsidRPr="00E76083">
        <w:rPr>
          <w:rFonts w:ascii="Palatino Linotype" w:eastAsia="Palatino Linotype" w:hAnsi="Palatino Linotype" w:cs="Palatino Linotype"/>
          <w:b/>
        </w:rPr>
        <w:t>T</w:t>
      </w:r>
      <w:r w:rsidR="00E76083" w:rsidRPr="00E76083">
        <w:rPr>
          <w:rFonts w:ascii="Palatino Linotype" w:eastAsia="Palatino Linotype" w:hAnsi="Palatino Linotype" w:cs="Palatino Linotype"/>
          <w:b/>
        </w:rPr>
        <w:t xml:space="preserve"> </w:t>
      </w:r>
      <w:r w:rsidRPr="00E76083">
        <w:rPr>
          <w:rFonts w:ascii="Palatino Linotype" w:eastAsia="Palatino Linotype" w:hAnsi="Palatino Linotype" w:cs="Palatino Linotype"/>
          <w:b/>
        </w:rPr>
        <w:t>E</w:t>
      </w:r>
      <w:r w:rsidR="00E76083" w:rsidRPr="00E76083">
        <w:rPr>
          <w:rFonts w:ascii="Palatino Linotype" w:eastAsia="Palatino Linotype" w:hAnsi="Palatino Linotype" w:cs="Palatino Linotype"/>
          <w:b/>
        </w:rPr>
        <w:t xml:space="preserve"> </w:t>
      </w:r>
      <w:r w:rsidRPr="00E76083">
        <w:rPr>
          <w:rFonts w:ascii="Palatino Linotype" w:eastAsia="Palatino Linotype" w:hAnsi="Palatino Linotype" w:cs="Palatino Linotype"/>
          <w:b/>
        </w:rPr>
        <w:t>C</w:t>
      </w:r>
      <w:r w:rsidR="00E76083" w:rsidRPr="00E76083">
        <w:rPr>
          <w:rFonts w:ascii="Palatino Linotype" w:eastAsia="Palatino Linotype" w:hAnsi="Palatino Linotype" w:cs="Palatino Linotype"/>
          <w:b/>
        </w:rPr>
        <w:t xml:space="preserve"> </w:t>
      </w:r>
      <w:r w:rsidRPr="00E76083">
        <w:rPr>
          <w:rFonts w:ascii="Palatino Linotype" w:eastAsia="Palatino Linotype" w:hAnsi="Palatino Linotype" w:cs="Palatino Linotype"/>
          <w:b/>
        </w:rPr>
        <w:t>E</w:t>
      </w:r>
      <w:r w:rsidR="00E76083" w:rsidRPr="00E76083">
        <w:rPr>
          <w:rFonts w:ascii="Palatino Linotype" w:eastAsia="Palatino Linotype" w:hAnsi="Palatino Linotype" w:cs="Palatino Linotype"/>
          <w:b/>
        </w:rPr>
        <w:t xml:space="preserve"> </w:t>
      </w:r>
      <w:r w:rsidRPr="00E76083">
        <w:rPr>
          <w:rFonts w:ascii="Palatino Linotype" w:eastAsia="Palatino Linotype" w:hAnsi="Palatino Linotype" w:cs="Palatino Linotype"/>
          <w:b/>
        </w:rPr>
        <w:t>D</w:t>
      </w:r>
      <w:r w:rsidR="00E76083" w:rsidRPr="00E76083">
        <w:rPr>
          <w:rFonts w:ascii="Palatino Linotype" w:eastAsia="Palatino Linotype" w:hAnsi="Palatino Linotype" w:cs="Palatino Linotype"/>
          <w:b/>
        </w:rPr>
        <w:t xml:space="preserve"> </w:t>
      </w:r>
      <w:r w:rsidRPr="00E76083">
        <w:rPr>
          <w:rFonts w:ascii="Palatino Linotype" w:eastAsia="Palatino Linotype" w:hAnsi="Palatino Linotype" w:cs="Palatino Linotype"/>
          <w:b/>
        </w:rPr>
        <w:t>E</w:t>
      </w:r>
      <w:r w:rsidR="00E76083" w:rsidRPr="00E76083">
        <w:rPr>
          <w:rFonts w:ascii="Palatino Linotype" w:eastAsia="Palatino Linotype" w:hAnsi="Palatino Linotype" w:cs="Palatino Linotype"/>
          <w:b/>
        </w:rPr>
        <w:t xml:space="preserve"> </w:t>
      </w:r>
      <w:r w:rsidRPr="00E76083">
        <w:rPr>
          <w:rFonts w:ascii="Palatino Linotype" w:eastAsia="Palatino Linotype" w:hAnsi="Palatino Linotype" w:cs="Palatino Linotype"/>
          <w:b/>
        </w:rPr>
        <w:t>N</w:t>
      </w:r>
      <w:r w:rsidR="00E76083" w:rsidRPr="00E76083">
        <w:rPr>
          <w:rFonts w:ascii="Palatino Linotype" w:eastAsia="Palatino Linotype" w:hAnsi="Palatino Linotype" w:cs="Palatino Linotype"/>
          <w:b/>
        </w:rPr>
        <w:t xml:space="preserve"> </w:t>
      </w:r>
      <w:r w:rsidRPr="00E76083">
        <w:rPr>
          <w:rFonts w:ascii="Palatino Linotype" w:eastAsia="Palatino Linotype" w:hAnsi="Palatino Linotype" w:cs="Palatino Linotype"/>
          <w:b/>
        </w:rPr>
        <w:t>T</w:t>
      </w:r>
      <w:r w:rsidR="00E76083" w:rsidRPr="00E76083">
        <w:rPr>
          <w:rFonts w:ascii="Palatino Linotype" w:eastAsia="Palatino Linotype" w:hAnsi="Palatino Linotype" w:cs="Palatino Linotype"/>
          <w:b/>
        </w:rPr>
        <w:t xml:space="preserve"> </w:t>
      </w:r>
      <w:r w:rsidRPr="00E76083">
        <w:rPr>
          <w:rFonts w:ascii="Palatino Linotype" w:eastAsia="Palatino Linotype" w:hAnsi="Palatino Linotype" w:cs="Palatino Linotype"/>
          <w:b/>
        </w:rPr>
        <w:t>E</w:t>
      </w:r>
      <w:r w:rsidR="00E76083" w:rsidRPr="00E76083">
        <w:rPr>
          <w:rFonts w:ascii="Palatino Linotype" w:eastAsia="Palatino Linotype" w:hAnsi="Palatino Linotype" w:cs="Palatino Linotype"/>
          <w:b/>
        </w:rPr>
        <w:t xml:space="preserve"> </w:t>
      </w:r>
      <w:r w:rsidRPr="00E76083">
        <w:rPr>
          <w:rFonts w:ascii="Palatino Linotype" w:eastAsia="Palatino Linotype" w:hAnsi="Palatino Linotype" w:cs="Palatino Linotype"/>
          <w:b/>
        </w:rPr>
        <w:t>S</w:t>
      </w:r>
    </w:p>
    <w:p w14:paraId="6F377EE9" w14:textId="77777777" w:rsidR="00BD7A3B" w:rsidRPr="00E76083" w:rsidRDefault="00BD7A3B" w:rsidP="00A4767B">
      <w:pPr>
        <w:keepNext/>
        <w:keepLines/>
        <w:tabs>
          <w:tab w:val="left" w:pos="0"/>
        </w:tabs>
        <w:spacing w:line="360" w:lineRule="auto"/>
        <w:ind w:right="-879"/>
        <w:jc w:val="center"/>
        <w:rPr>
          <w:rFonts w:ascii="Palatino Linotype" w:eastAsia="Palatino Linotype" w:hAnsi="Palatino Linotype" w:cs="Palatino Linotype"/>
          <w:b/>
        </w:rPr>
      </w:pPr>
    </w:p>
    <w:p w14:paraId="3F0C9FD7" w14:textId="68124DE6" w:rsidR="00BD7A3B" w:rsidRPr="00E76083" w:rsidRDefault="002905ED" w:rsidP="00A4767B">
      <w:pPr>
        <w:numPr>
          <w:ilvl w:val="0"/>
          <w:numId w:val="1"/>
        </w:numPr>
        <w:tabs>
          <w:tab w:val="left" w:pos="0"/>
        </w:tabs>
        <w:spacing w:line="360" w:lineRule="auto"/>
        <w:ind w:left="0" w:right="-879"/>
        <w:jc w:val="both"/>
        <w:rPr>
          <w:rFonts w:ascii="Palatino Linotype" w:eastAsia="Palatino Linotype" w:hAnsi="Palatino Linotype" w:cs="Palatino Linotype"/>
        </w:rPr>
      </w:pPr>
      <w:r w:rsidRPr="00E76083">
        <w:rPr>
          <w:rFonts w:ascii="Palatino Linotype" w:eastAsia="Palatino Linotype" w:hAnsi="Palatino Linotype" w:cs="Palatino Linotype"/>
        </w:rPr>
        <w:t xml:space="preserve">El </w:t>
      </w:r>
      <w:r w:rsidR="006B4469" w:rsidRPr="00E76083">
        <w:rPr>
          <w:rFonts w:ascii="Palatino Linotype" w:eastAsia="Palatino Linotype" w:hAnsi="Palatino Linotype" w:cs="Palatino Linotype"/>
          <w:b/>
        </w:rPr>
        <w:t>doce de agosto</w:t>
      </w:r>
      <w:r w:rsidRPr="00E76083">
        <w:rPr>
          <w:rFonts w:ascii="Palatino Linotype" w:eastAsia="Palatino Linotype" w:hAnsi="Palatino Linotype" w:cs="Palatino Linotype"/>
          <w:b/>
        </w:rPr>
        <w:t xml:space="preserve"> de dos mil veinticinco</w:t>
      </w:r>
      <w:r w:rsidRPr="00E76083">
        <w:rPr>
          <w:rFonts w:ascii="Palatino Linotype" w:eastAsia="Palatino Linotype" w:hAnsi="Palatino Linotype" w:cs="Palatino Linotype"/>
        </w:rPr>
        <w:t>, el</w:t>
      </w:r>
      <w:r w:rsidRPr="00E76083">
        <w:rPr>
          <w:rFonts w:ascii="Palatino Linotype" w:eastAsia="Palatino Linotype" w:hAnsi="Palatino Linotype" w:cs="Palatino Linotype"/>
          <w:b/>
        </w:rPr>
        <w:t xml:space="preserve"> </w:t>
      </w:r>
      <w:r w:rsidRPr="00E76083">
        <w:rPr>
          <w:rFonts w:ascii="Palatino Linotype" w:eastAsia="Palatino Linotype" w:hAnsi="Palatino Linotype" w:cs="Palatino Linotype"/>
        </w:rPr>
        <w:t>solicitante</w:t>
      </w:r>
      <w:r w:rsidRPr="00E76083">
        <w:rPr>
          <w:rFonts w:ascii="Palatino Linotype" w:eastAsia="Palatino Linotype" w:hAnsi="Palatino Linotype" w:cs="Palatino Linotype"/>
          <w:b/>
        </w:rPr>
        <w:t xml:space="preserve">  </w:t>
      </w:r>
      <w:r w:rsidRPr="00E76083">
        <w:rPr>
          <w:rFonts w:ascii="Palatino Linotype" w:eastAsia="Palatino Linotype" w:hAnsi="Palatino Linotype" w:cs="Palatino Linotype"/>
        </w:rPr>
        <w:t>presentó</w:t>
      </w:r>
      <w:r w:rsidRPr="00E76083">
        <w:rPr>
          <w:rFonts w:ascii="Palatino Linotype" w:eastAsia="Palatino Linotype" w:hAnsi="Palatino Linotype" w:cs="Palatino Linotype"/>
          <w:b/>
        </w:rPr>
        <w:t xml:space="preserve"> </w:t>
      </w:r>
      <w:r w:rsidRPr="00E76083">
        <w:rPr>
          <w:rFonts w:ascii="Palatino Linotype" w:eastAsia="Palatino Linotype" w:hAnsi="Palatino Linotype" w:cs="Palatino Linotype"/>
        </w:rPr>
        <w:t xml:space="preserve">ante el </w:t>
      </w:r>
      <w:r w:rsidRPr="00E76083">
        <w:rPr>
          <w:rFonts w:ascii="Palatino Linotype" w:eastAsia="Palatino Linotype" w:hAnsi="Palatino Linotype" w:cs="Palatino Linotype"/>
          <w:b/>
        </w:rPr>
        <w:t>SUJETO OBLIGADO,</w:t>
      </w:r>
      <w:r w:rsidRPr="00E76083">
        <w:rPr>
          <w:rFonts w:ascii="Palatino Linotype" w:eastAsia="Palatino Linotype" w:hAnsi="Palatino Linotype" w:cs="Palatino Linotype"/>
        </w:rPr>
        <w:t xml:space="preserve"> a través del Sistema de Acceso a la Información Mexiquense (SAIMEX), la solicitud de información pública registrada con el número </w:t>
      </w:r>
      <w:r w:rsidRPr="00E76083">
        <w:rPr>
          <w:rFonts w:ascii="Palatino Linotype" w:eastAsia="Palatino Linotype" w:hAnsi="Palatino Linotype" w:cs="Palatino Linotype"/>
          <w:b/>
        </w:rPr>
        <w:t> </w:t>
      </w:r>
      <w:r w:rsidR="006B4469" w:rsidRPr="00E76083">
        <w:rPr>
          <w:rFonts w:ascii="Palatino Linotype" w:eastAsia="Palatino Linotype" w:hAnsi="Palatino Linotype" w:cs="Palatino Linotype"/>
          <w:b/>
        </w:rPr>
        <w:t>00422</w:t>
      </w:r>
      <w:r w:rsidR="00CA5C5B" w:rsidRPr="00E76083">
        <w:rPr>
          <w:rFonts w:ascii="Palatino Linotype" w:eastAsia="Palatino Linotype" w:hAnsi="Palatino Linotype" w:cs="Palatino Linotype"/>
          <w:b/>
        </w:rPr>
        <w:t>/</w:t>
      </w:r>
      <w:r w:rsidR="006B4469" w:rsidRPr="00E76083">
        <w:rPr>
          <w:rFonts w:ascii="Palatino Linotype" w:eastAsia="Palatino Linotype" w:hAnsi="Palatino Linotype" w:cs="Palatino Linotype"/>
          <w:b/>
        </w:rPr>
        <w:t>TEPOTZOT</w:t>
      </w:r>
      <w:r w:rsidRPr="00E76083">
        <w:rPr>
          <w:rFonts w:ascii="Palatino Linotype" w:eastAsia="Palatino Linotype" w:hAnsi="Palatino Linotype" w:cs="Palatino Linotype"/>
          <w:b/>
        </w:rPr>
        <w:t>/IP/2025</w:t>
      </w:r>
      <w:r w:rsidRPr="00E76083">
        <w:rPr>
          <w:rFonts w:ascii="Palatino Linotype" w:eastAsia="Palatino Linotype" w:hAnsi="Palatino Linotype" w:cs="Palatino Linotype"/>
        </w:rPr>
        <w:t xml:space="preserve">, </w:t>
      </w:r>
      <w:r w:rsidR="00E76083">
        <w:rPr>
          <w:rFonts w:ascii="Palatino Linotype" w:eastAsia="Palatino Linotype" w:hAnsi="Palatino Linotype" w:cs="Palatino Linotype"/>
        </w:rPr>
        <w:t>en la que</w:t>
      </w:r>
      <w:r w:rsidRPr="00E76083">
        <w:rPr>
          <w:rFonts w:ascii="Palatino Linotype" w:eastAsia="Palatino Linotype" w:hAnsi="Palatino Linotype" w:cs="Palatino Linotype"/>
        </w:rPr>
        <w:t xml:space="preserve"> se solicitó:</w:t>
      </w:r>
    </w:p>
    <w:p w14:paraId="625CC3DC" w14:textId="77777777" w:rsidR="00BD7A3B" w:rsidRPr="00E76083" w:rsidRDefault="00BD7A3B" w:rsidP="00A4767B">
      <w:pPr>
        <w:tabs>
          <w:tab w:val="left" w:pos="0"/>
        </w:tabs>
        <w:spacing w:line="360" w:lineRule="auto"/>
        <w:ind w:right="-879"/>
        <w:jc w:val="both"/>
        <w:rPr>
          <w:rFonts w:ascii="Palatino Linotype" w:eastAsia="Palatino Linotype" w:hAnsi="Palatino Linotype" w:cs="Palatino Linotype"/>
        </w:rPr>
      </w:pPr>
    </w:p>
    <w:p w14:paraId="1BD2B713" w14:textId="77777777" w:rsidR="00BD7A3B" w:rsidRPr="00E76083" w:rsidRDefault="002905ED" w:rsidP="0013503F">
      <w:pPr>
        <w:ind w:left="1134" w:right="1106"/>
        <w:jc w:val="both"/>
        <w:rPr>
          <w:rFonts w:ascii="Palatino Linotype" w:eastAsia="Palatino Linotype" w:hAnsi="Palatino Linotype" w:cs="Palatino Linotype"/>
          <w:i/>
        </w:rPr>
      </w:pPr>
      <w:r w:rsidRPr="00E76083">
        <w:rPr>
          <w:rFonts w:ascii="Palatino Linotype" w:eastAsia="Palatino Linotype" w:hAnsi="Palatino Linotype" w:cs="Palatino Linotype"/>
          <w:i/>
        </w:rPr>
        <w:t>“</w:t>
      </w:r>
      <w:r w:rsidR="006B4469" w:rsidRPr="00E76083">
        <w:rPr>
          <w:rFonts w:ascii="Palatino Linotype" w:hAnsi="Palatino Linotype"/>
          <w:i/>
        </w:rPr>
        <w:t>Todos los documentos relacionados con la colocación de las estructuras de concreto colocadas entre junio, julio y agosto de 2025 en el puente que cruza la autopista México Querétaro, incluyendo factura de los trabajos de montaje, garantía de las estructuras de concreto, seguro y fianza de los movimientos de instalación, documentos dónde CaPuFe intervino o dió autorización para dichas maniobras, el nombre de la empresa que proporciono dichas estructuras de concreto, la factura de pago de las mismas, la garantía de estás, la operación de traslado.</w:t>
      </w:r>
      <w:r w:rsidRPr="00E76083">
        <w:rPr>
          <w:rFonts w:ascii="Palatino Linotype" w:eastAsia="Palatino Linotype" w:hAnsi="Palatino Linotype" w:cs="Palatino Linotype"/>
          <w:i/>
        </w:rPr>
        <w:t>” (Sic)</w:t>
      </w:r>
    </w:p>
    <w:p w14:paraId="7DC619CF" w14:textId="77777777" w:rsidR="00BD7A3B" w:rsidRDefault="00BD7A3B" w:rsidP="0013503F">
      <w:pPr>
        <w:tabs>
          <w:tab w:val="left" w:pos="0"/>
        </w:tabs>
        <w:spacing w:line="360" w:lineRule="auto"/>
        <w:ind w:left="1134" w:right="-879"/>
        <w:jc w:val="both"/>
        <w:rPr>
          <w:rFonts w:ascii="Palatino Linotype" w:eastAsia="Palatino Linotype" w:hAnsi="Palatino Linotype" w:cs="Palatino Linotype"/>
        </w:rPr>
      </w:pPr>
    </w:p>
    <w:p w14:paraId="21435CE7" w14:textId="77777777" w:rsidR="00E76083" w:rsidRPr="00E76083" w:rsidRDefault="00E76083" w:rsidP="0013503F">
      <w:pPr>
        <w:tabs>
          <w:tab w:val="left" w:pos="0"/>
        </w:tabs>
        <w:spacing w:line="360" w:lineRule="auto"/>
        <w:ind w:left="1134" w:right="-879"/>
        <w:jc w:val="both"/>
        <w:rPr>
          <w:rFonts w:ascii="Palatino Linotype" w:eastAsia="Palatino Linotype" w:hAnsi="Palatino Linotype" w:cs="Palatino Linotype"/>
        </w:rPr>
      </w:pPr>
    </w:p>
    <w:p w14:paraId="33D90619" w14:textId="77777777" w:rsidR="00BD7A3B" w:rsidRPr="00E76083" w:rsidRDefault="006B4469" w:rsidP="006B4469">
      <w:pPr>
        <w:pStyle w:val="Prrafodelista"/>
        <w:numPr>
          <w:ilvl w:val="0"/>
          <w:numId w:val="34"/>
        </w:numPr>
        <w:pBdr>
          <w:top w:val="nil"/>
          <w:left w:val="nil"/>
          <w:bottom w:val="nil"/>
          <w:right w:val="nil"/>
          <w:between w:val="nil"/>
        </w:pBdr>
        <w:spacing w:line="360" w:lineRule="auto"/>
        <w:ind w:left="0" w:right="-879" w:firstLine="0"/>
        <w:jc w:val="both"/>
        <w:rPr>
          <w:rFonts w:ascii="Palatino Linotype" w:eastAsia="Palatino Linotype" w:hAnsi="Palatino Linotype" w:cs="Palatino Linotype"/>
          <w:color w:val="000000"/>
          <w:sz w:val="24"/>
        </w:rPr>
      </w:pPr>
      <w:r w:rsidRPr="00E76083">
        <w:rPr>
          <w:rFonts w:ascii="Palatino Linotype" w:eastAsia="Palatino Linotype" w:hAnsi="Palatino Linotype" w:cs="Palatino Linotype"/>
          <w:b/>
          <w:color w:val="000000"/>
          <w:sz w:val="24"/>
        </w:rPr>
        <w:t>M</w:t>
      </w:r>
      <w:r w:rsidR="002905ED" w:rsidRPr="00E76083">
        <w:rPr>
          <w:rFonts w:ascii="Palatino Linotype" w:eastAsia="Palatino Linotype" w:hAnsi="Palatino Linotype" w:cs="Palatino Linotype"/>
          <w:b/>
          <w:color w:val="000000"/>
          <w:sz w:val="24"/>
        </w:rPr>
        <w:t>odalidad de entrega de la información</w:t>
      </w:r>
      <w:r w:rsidRPr="00E76083">
        <w:rPr>
          <w:rFonts w:ascii="Palatino Linotype" w:eastAsia="Palatino Linotype" w:hAnsi="Palatino Linotype" w:cs="Palatino Linotype"/>
          <w:b/>
          <w:color w:val="000000"/>
          <w:sz w:val="24"/>
        </w:rPr>
        <w:t>:</w:t>
      </w:r>
      <w:r w:rsidR="002905ED" w:rsidRPr="00E76083">
        <w:rPr>
          <w:rFonts w:ascii="Palatino Linotype" w:eastAsia="Palatino Linotype" w:hAnsi="Palatino Linotype" w:cs="Palatino Linotype"/>
          <w:color w:val="000000"/>
          <w:sz w:val="24"/>
        </w:rPr>
        <w:t xml:space="preserve"> a través de </w:t>
      </w:r>
      <w:r w:rsidR="002905ED" w:rsidRPr="00E76083">
        <w:rPr>
          <w:rFonts w:ascii="Palatino Linotype" w:eastAsia="Palatino Linotype" w:hAnsi="Palatino Linotype" w:cs="Palatino Linotype"/>
          <w:b/>
          <w:color w:val="000000"/>
          <w:sz w:val="24"/>
        </w:rPr>
        <w:t>SAIMEX</w:t>
      </w:r>
      <w:r w:rsidR="002905ED" w:rsidRPr="00E76083">
        <w:rPr>
          <w:rFonts w:ascii="Palatino Linotype" w:eastAsia="Palatino Linotype" w:hAnsi="Palatino Linotype" w:cs="Palatino Linotype"/>
          <w:color w:val="000000"/>
          <w:sz w:val="24"/>
        </w:rPr>
        <w:t>.</w:t>
      </w:r>
    </w:p>
    <w:p w14:paraId="4D173A60" w14:textId="77777777" w:rsidR="00BD7A3B" w:rsidRPr="00E76083" w:rsidRDefault="002905ED" w:rsidP="00A4767B">
      <w:pPr>
        <w:numPr>
          <w:ilvl w:val="0"/>
          <w:numId w:val="1"/>
        </w:numPr>
        <w:tabs>
          <w:tab w:val="left" w:pos="0"/>
        </w:tabs>
        <w:spacing w:line="360" w:lineRule="auto"/>
        <w:ind w:left="0" w:right="-879" w:firstLine="0"/>
        <w:jc w:val="both"/>
        <w:rPr>
          <w:rFonts w:ascii="Palatino Linotype" w:eastAsia="Palatino Linotype" w:hAnsi="Palatino Linotype" w:cs="Palatino Linotype"/>
          <w:color w:val="000000"/>
        </w:rPr>
      </w:pPr>
      <w:r w:rsidRPr="00E76083">
        <w:rPr>
          <w:rFonts w:ascii="Palatino Linotype" w:eastAsia="Palatino Linotype" w:hAnsi="Palatino Linotype" w:cs="Palatino Linotype"/>
          <w:color w:val="000000"/>
        </w:rPr>
        <w:lastRenderedPageBreak/>
        <w:t xml:space="preserve">De </w:t>
      </w:r>
      <w:r w:rsidRPr="00E76083">
        <w:rPr>
          <w:rFonts w:ascii="Palatino Linotype" w:eastAsia="Palatino Linotype" w:hAnsi="Palatino Linotype" w:cs="Palatino Linotype"/>
        </w:rPr>
        <w:t>conformidad</w:t>
      </w:r>
      <w:r w:rsidRPr="00E76083">
        <w:rPr>
          <w:rFonts w:ascii="Palatino Linotype" w:eastAsia="Palatino Linotype" w:hAnsi="Palatino Linotype" w:cs="Palatino Linotype"/>
          <w:color w:val="000000"/>
        </w:rPr>
        <w:t xml:space="preserve"> con el artículo 136, párrafo primero de la Ley de Transparencia y Acceso a la Información Pública del Estado de México y Municipios, el Sujeto Obligado debió dar contestación a la solicitud de acceso a la información; sin embargo, de las constancias que obran en el expediente electrónico del Sistema de Acceso a la Información Mexiquense (SAIMEX), se advierte que el</w:t>
      </w:r>
      <w:r w:rsidRPr="00E76083">
        <w:rPr>
          <w:rFonts w:ascii="Palatino Linotype" w:eastAsia="Palatino Linotype" w:hAnsi="Palatino Linotype" w:cs="Palatino Linotype"/>
          <w:b/>
        </w:rPr>
        <w:t xml:space="preserve"> </w:t>
      </w:r>
      <w:r w:rsidR="00CA5C5B" w:rsidRPr="00E76083">
        <w:rPr>
          <w:rFonts w:ascii="Palatino Linotype" w:eastAsia="Palatino Linotype" w:hAnsi="Palatino Linotype" w:cs="Palatino Linotype"/>
          <w:b/>
        </w:rPr>
        <w:t xml:space="preserve">Ayuntamiento de </w:t>
      </w:r>
      <w:r w:rsidR="006B4469" w:rsidRPr="00E76083">
        <w:rPr>
          <w:rFonts w:ascii="Palatino Linotype" w:eastAsia="Palatino Linotype" w:hAnsi="Palatino Linotype" w:cs="Palatino Linotype"/>
          <w:b/>
        </w:rPr>
        <w:t>Tepotzotlán</w:t>
      </w:r>
      <w:r w:rsidRPr="00E76083">
        <w:rPr>
          <w:rFonts w:ascii="Palatino Linotype" w:eastAsia="Palatino Linotype" w:hAnsi="Palatino Linotype" w:cs="Palatino Linotype"/>
          <w:color w:val="000000"/>
        </w:rPr>
        <w:t xml:space="preserve">, </w:t>
      </w:r>
      <w:r w:rsidRPr="00E76083">
        <w:rPr>
          <w:rFonts w:ascii="Palatino Linotype" w:eastAsia="Palatino Linotype" w:hAnsi="Palatino Linotype" w:cs="Palatino Linotype"/>
          <w:b/>
          <w:color w:val="000000"/>
        </w:rPr>
        <w:t>omitió dar respuesta</w:t>
      </w:r>
      <w:r w:rsidRPr="00E76083">
        <w:rPr>
          <w:rFonts w:ascii="Palatino Linotype" w:eastAsia="Palatino Linotype" w:hAnsi="Palatino Linotype" w:cs="Palatino Linotype"/>
          <w:color w:val="000000"/>
        </w:rPr>
        <w:t xml:space="preserve"> a la solicitud de información, por lo que se </w:t>
      </w:r>
      <w:r w:rsidRPr="00E76083">
        <w:rPr>
          <w:rFonts w:ascii="Palatino Linotype" w:eastAsia="Palatino Linotype" w:hAnsi="Palatino Linotype" w:cs="Palatino Linotype"/>
          <w:b/>
          <w:color w:val="000000"/>
        </w:rPr>
        <w:t>configura la negativa ficta</w:t>
      </w:r>
      <w:r w:rsidRPr="00E76083">
        <w:rPr>
          <w:rFonts w:ascii="Palatino Linotype" w:eastAsia="Palatino Linotype" w:hAnsi="Palatino Linotype" w:cs="Palatino Linotype"/>
          <w:color w:val="000000"/>
        </w:rPr>
        <w:t xml:space="preserve"> a entregar información, prevista, en los artículos 166, párrafo cuarto y 178, párrafo segundo de la Ley de Transparencia y Acceso a la Información Pública del Estado de México y Municipios.</w:t>
      </w:r>
    </w:p>
    <w:p w14:paraId="0F2750AA" w14:textId="77777777" w:rsidR="00BD7A3B" w:rsidRPr="00E76083" w:rsidRDefault="00BD7A3B" w:rsidP="00A4767B">
      <w:pPr>
        <w:tabs>
          <w:tab w:val="left" w:pos="0"/>
        </w:tabs>
        <w:spacing w:line="360" w:lineRule="auto"/>
        <w:ind w:right="-879"/>
        <w:jc w:val="both"/>
        <w:rPr>
          <w:rFonts w:ascii="Palatino Linotype" w:eastAsia="Palatino Linotype" w:hAnsi="Palatino Linotype" w:cs="Palatino Linotype"/>
        </w:rPr>
      </w:pPr>
      <w:bookmarkStart w:id="2" w:name="_heading=h.rt9ec2knm2nh" w:colFirst="0" w:colLast="0"/>
      <w:bookmarkEnd w:id="2"/>
    </w:p>
    <w:p w14:paraId="724E50C9" w14:textId="77777777" w:rsidR="00BD7A3B" w:rsidRPr="00E76083" w:rsidRDefault="002905ED" w:rsidP="00A4767B">
      <w:pPr>
        <w:numPr>
          <w:ilvl w:val="0"/>
          <w:numId w:val="1"/>
        </w:numPr>
        <w:pBdr>
          <w:top w:val="nil"/>
          <w:left w:val="nil"/>
          <w:bottom w:val="nil"/>
          <w:right w:val="nil"/>
          <w:between w:val="nil"/>
        </w:pBdr>
        <w:tabs>
          <w:tab w:val="left" w:pos="0"/>
        </w:tabs>
        <w:spacing w:line="360" w:lineRule="auto"/>
        <w:ind w:left="0" w:right="-879" w:firstLine="0"/>
        <w:jc w:val="both"/>
        <w:rPr>
          <w:rFonts w:ascii="Palatino Linotype" w:eastAsia="Palatino Linotype" w:hAnsi="Palatino Linotype" w:cs="Palatino Linotype"/>
          <w:b/>
          <w:color w:val="000000"/>
        </w:rPr>
      </w:pPr>
      <w:r w:rsidRPr="00E76083">
        <w:rPr>
          <w:rFonts w:ascii="Palatino Linotype" w:eastAsia="Palatino Linotype" w:hAnsi="Palatino Linotype" w:cs="Palatino Linotype"/>
          <w:color w:val="000000"/>
        </w:rPr>
        <w:t xml:space="preserve">El </w:t>
      </w:r>
      <w:r w:rsidR="006B4469" w:rsidRPr="00E76083">
        <w:rPr>
          <w:rFonts w:ascii="Palatino Linotype" w:eastAsia="Palatino Linotype" w:hAnsi="Palatino Linotype" w:cs="Palatino Linotype"/>
          <w:b/>
          <w:color w:val="000000"/>
        </w:rPr>
        <w:t>cinco de octubre</w:t>
      </w:r>
      <w:r w:rsidRPr="00E76083">
        <w:rPr>
          <w:rFonts w:ascii="Palatino Linotype" w:eastAsia="Palatino Linotype" w:hAnsi="Palatino Linotype" w:cs="Palatino Linotype"/>
          <w:b/>
          <w:color w:val="000000"/>
        </w:rPr>
        <w:t xml:space="preserve"> de dos mil veinticinco,</w:t>
      </w:r>
      <w:r w:rsidRPr="00E76083">
        <w:rPr>
          <w:rFonts w:ascii="Palatino Linotype" w:eastAsia="Palatino Linotype" w:hAnsi="Palatino Linotype" w:cs="Palatino Linotype"/>
          <w:color w:val="000000"/>
        </w:rPr>
        <w:t xml:space="preserve"> </w:t>
      </w:r>
      <w:r w:rsidRPr="00E76083">
        <w:rPr>
          <w:rFonts w:ascii="Palatino Linotype" w:eastAsia="Palatino Linotype" w:hAnsi="Palatino Linotype" w:cs="Palatino Linotype"/>
          <w:b/>
          <w:color w:val="000000"/>
        </w:rPr>
        <w:t xml:space="preserve"> </w:t>
      </w:r>
      <w:r w:rsidRPr="00E76083">
        <w:rPr>
          <w:rFonts w:ascii="Palatino Linotype" w:eastAsia="Palatino Linotype" w:hAnsi="Palatino Linotype" w:cs="Palatino Linotype"/>
          <w:color w:val="000000"/>
        </w:rPr>
        <w:t xml:space="preserve">el solicitante interpuso el </w:t>
      </w:r>
      <w:r w:rsidRPr="00E76083">
        <w:rPr>
          <w:rFonts w:ascii="Palatino Linotype" w:eastAsia="Palatino Linotype" w:hAnsi="Palatino Linotype" w:cs="Palatino Linotype"/>
          <w:b/>
          <w:color w:val="000000"/>
        </w:rPr>
        <w:t>recurso de revisión</w:t>
      </w:r>
      <w:r w:rsidRPr="00E76083">
        <w:rPr>
          <w:rFonts w:ascii="Palatino Linotype" w:eastAsia="Palatino Linotype" w:hAnsi="Palatino Linotype" w:cs="Palatino Linotype"/>
          <w:color w:val="000000"/>
        </w:rPr>
        <w:t>, señalando como:</w:t>
      </w:r>
    </w:p>
    <w:p w14:paraId="417E36B7" w14:textId="77777777" w:rsidR="00BD7A3B" w:rsidRPr="00E76083" w:rsidRDefault="00BD7A3B" w:rsidP="00A4767B">
      <w:pPr>
        <w:pBdr>
          <w:top w:val="nil"/>
          <w:left w:val="nil"/>
          <w:bottom w:val="nil"/>
          <w:right w:val="nil"/>
          <w:between w:val="nil"/>
        </w:pBdr>
        <w:tabs>
          <w:tab w:val="left" w:pos="0"/>
        </w:tabs>
        <w:ind w:right="-879"/>
        <w:jc w:val="both"/>
        <w:rPr>
          <w:rFonts w:ascii="Palatino Linotype" w:eastAsia="Palatino Linotype" w:hAnsi="Palatino Linotype" w:cs="Palatino Linotype"/>
          <w:b/>
          <w:color w:val="000000"/>
        </w:rPr>
      </w:pPr>
    </w:p>
    <w:p w14:paraId="2205E286" w14:textId="77777777" w:rsidR="006B4469" w:rsidRPr="00E76083" w:rsidRDefault="006B4469" w:rsidP="00E76083">
      <w:pPr>
        <w:pStyle w:val="Prrafodelista"/>
        <w:numPr>
          <w:ilvl w:val="0"/>
          <w:numId w:val="34"/>
        </w:numPr>
        <w:tabs>
          <w:tab w:val="left" w:pos="851"/>
          <w:tab w:val="left" w:pos="8222"/>
        </w:tabs>
        <w:ind w:right="1106"/>
        <w:rPr>
          <w:rFonts w:ascii="Palatino Linotype" w:eastAsia="Palatino Linotype" w:hAnsi="Palatino Linotype" w:cs="Palatino Linotype"/>
          <w:i/>
          <w:sz w:val="24"/>
        </w:rPr>
      </w:pPr>
      <w:r w:rsidRPr="00E76083">
        <w:rPr>
          <w:rFonts w:ascii="Palatino Linotype" w:eastAsia="Palatino Linotype" w:hAnsi="Palatino Linotype" w:cs="Palatino Linotype"/>
          <w:b/>
          <w:sz w:val="24"/>
        </w:rPr>
        <w:t>ACTO IMPUGNADO:</w:t>
      </w:r>
      <w:r w:rsidRPr="00E76083">
        <w:rPr>
          <w:rFonts w:ascii="Palatino Linotype" w:eastAsia="Palatino Linotype" w:hAnsi="Palatino Linotype" w:cs="Palatino Linotype"/>
          <w:i/>
          <w:sz w:val="24"/>
        </w:rPr>
        <w:t xml:space="preserve"> </w:t>
      </w:r>
    </w:p>
    <w:p w14:paraId="56CFF290" w14:textId="072A2626" w:rsidR="00BD7A3B" w:rsidRPr="00E76083" w:rsidRDefault="002905ED" w:rsidP="00E76083">
      <w:pPr>
        <w:tabs>
          <w:tab w:val="left" w:pos="851"/>
          <w:tab w:val="left" w:pos="8222"/>
        </w:tabs>
        <w:ind w:left="360" w:right="1106"/>
        <w:rPr>
          <w:rFonts w:ascii="Palatino Linotype" w:eastAsia="Palatino Linotype" w:hAnsi="Palatino Linotype" w:cs="Palatino Linotype"/>
          <w:i/>
        </w:rPr>
      </w:pPr>
      <w:r w:rsidRPr="00E76083">
        <w:rPr>
          <w:rFonts w:ascii="Palatino Linotype" w:eastAsia="Palatino Linotype" w:hAnsi="Palatino Linotype" w:cs="Palatino Linotype"/>
        </w:rPr>
        <w:t>“</w:t>
      </w:r>
      <w:r w:rsidR="006B4469" w:rsidRPr="00E76083">
        <w:rPr>
          <w:rFonts w:ascii="Palatino Linotype" w:hAnsi="Palatino Linotype"/>
          <w:i/>
          <w:color w:val="000000"/>
        </w:rPr>
        <w:t>La falta de respuesta a una solicitud de acceso a la información aun y cuando solicitaron prórroga</w:t>
      </w:r>
      <w:r w:rsidRPr="00E76083">
        <w:rPr>
          <w:rFonts w:ascii="Palatino Linotype" w:eastAsia="Palatino Linotype" w:hAnsi="Palatino Linotype" w:cs="Palatino Linotype"/>
          <w:i/>
          <w:color w:val="000000"/>
        </w:rPr>
        <w:t>”</w:t>
      </w:r>
      <w:r w:rsidRPr="00E76083">
        <w:rPr>
          <w:rFonts w:ascii="Palatino Linotype" w:eastAsia="Palatino Linotype" w:hAnsi="Palatino Linotype" w:cs="Palatino Linotype"/>
          <w:i/>
        </w:rPr>
        <w:t xml:space="preserve"> (Sic) </w:t>
      </w:r>
    </w:p>
    <w:p w14:paraId="02996DE3" w14:textId="77777777" w:rsidR="00BD7A3B" w:rsidRPr="00E76083" w:rsidRDefault="00BD7A3B" w:rsidP="00E76083">
      <w:pPr>
        <w:tabs>
          <w:tab w:val="left" w:pos="0"/>
        </w:tabs>
        <w:ind w:right="1106" w:hanging="141"/>
        <w:rPr>
          <w:rFonts w:ascii="Palatino Linotype" w:eastAsia="Palatino Linotype" w:hAnsi="Palatino Linotype" w:cs="Palatino Linotype"/>
          <w:i/>
        </w:rPr>
      </w:pPr>
    </w:p>
    <w:p w14:paraId="53193C56" w14:textId="77777777" w:rsidR="006B4469" w:rsidRPr="00E76083" w:rsidRDefault="006B4469" w:rsidP="00E76083">
      <w:pPr>
        <w:pStyle w:val="Prrafodelista"/>
        <w:numPr>
          <w:ilvl w:val="0"/>
          <w:numId w:val="34"/>
        </w:numPr>
        <w:tabs>
          <w:tab w:val="left" w:pos="851"/>
        </w:tabs>
        <w:ind w:right="1106"/>
        <w:rPr>
          <w:rFonts w:ascii="Palatino Linotype" w:eastAsia="Palatino Linotype" w:hAnsi="Palatino Linotype" w:cs="Palatino Linotype"/>
          <w:b/>
          <w:sz w:val="24"/>
        </w:rPr>
      </w:pPr>
      <w:r w:rsidRPr="00E76083">
        <w:rPr>
          <w:rFonts w:ascii="Palatino Linotype" w:eastAsia="Palatino Linotype" w:hAnsi="Palatino Linotype" w:cs="Palatino Linotype"/>
          <w:b/>
          <w:sz w:val="24"/>
        </w:rPr>
        <w:t xml:space="preserve">RAZONES O MOTIVOS DE INCONFORMIDAD: </w:t>
      </w:r>
    </w:p>
    <w:p w14:paraId="0A2C82CB" w14:textId="42FB8F9C" w:rsidR="00BD7A3B" w:rsidRPr="00E76083" w:rsidRDefault="00E76083" w:rsidP="00E76083">
      <w:pPr>
        <w:tabs>
          <w:tab w:val="left" w:pos="851"/>
        </w:tabs>
        <w:ind w:right="1106"/>
        <w:rPr>
          <w:rFonts w:ascii="Palatino Linotype" w:eastAsia="Palatino Linotype" w:hAnsi="Palatino Linotype" w:cs="Palatino Linotype"/>
          <w:i/>
        </w:rPr>
      </w:pPr>
      <w:r>
        <w:rPr>
          <w:rFonts w:ascii="Palatino Linotype" w:eastAsia="Palatino Linotype" w:hAnsi="Palatino Linotype" w:cs="Palatino Linotype"/>
        </w:rPr>
        <w:t xml:space="preserve">      </w:t>
      </w:r>
      <w:r w:rsidR="002905ED" w:rsidRPr="00E76083">
        <w:rPr>
          <w:rFonts w:ascii="Palatino Linotype" w:eastAsia="Palatino Linotype" w:hAnsi="Palatino Linotype" w:cs="Palatino Linotype"/>
        </w:rPr>
        <w:t>“</w:t>
      </w:r>
      <w:r w:rsidR="006B4469" w:rsidRPr="00E76083">
        <w:rPr>
          <w:rFonts w:ascii="Palatino Linotype" w:hAnsi="Palatino Linotype"/>
          <w:i/>
          <w:color w:val="000000"/>
        </w:rPr>
        <w:t>La falta de respuesta a una solicitud de acceso a la información</w:t>
      </w:r>
      <w:r w:rsidR="002905ED" w:rsidRPr="00E76083">
        <w:rPr>
          <w:rFonts w:ascii="Palatino Linotype" w:eastAsia="Palatino Linotype" w:hAnsi="Palatino Linotype" w:cs="Palatino Linotype"/>
          <w:i/>
        </w:rPr>
        <w:t>” (sic)</w:t>
      </w:r>
    </w:p>
    <w:p w14:paraId="68A25E2A" w14:textId="77777777" w:rsidR="00BD7A3B" w:rsidRPr="00E76083" w:rsidRDefault="00BD7A3B" w:rsidP="00A4767B">
      <w:pPr>
        <w:spacing w:line="360" w:lineRule="auto"/>
        <w:ind w:right="-879"/>
        <w:jc w:val="both"/>
        <w:rPr>
          <w:rFonts w:ascii="Palatino Linotype" w:eastAsia="Palatino Linotype" w:hAnsi="Palatino Linotype" w:cs="Palatino Linotype"/>
          <w:i/>
          <w:color w:val="000000"/>
        </w:rPr>
      </w:pPr>
    </w:p>
    <w:p w14:paraId="380368D8" w14:textId="11631D20" w:rsidR="00BD7A3B" w:rsidRPr="00E76083" w:rsidRDefault="00E76083" w:rsidP="00A4767B">
      <w:pPr>
        <w:numPr>
          <w:ilvl w:val="0"/>
          <w:numId w:val="1"/>
        </w:numPr>
        <w:spacing w:line="360" w:lineRule="auto"/>
        <w:ind w:left="0" w:right="-879" w:firstLine="0"/>
        <w:jc w:val="both"/>
        <w:rPr>
          <w:rFonts w:ascii="Palatino Linotype" w:eastAsia="Palatino Linotype" w:hAnsi="Palatino Linotype" w:cs="Palatino Linotype"/>
          <w:i/>
          <w:color w:val="000000"/>
        </w:rPr>
      </w:pPr>
      <w:r>
        <w:rPr>
          <w:rFonts w:ascii="Palatino Linotype" w:eastAsia="Palatino Linotype" w:hAnsi="Palatino Linotype" w:cs="Palatino Linotype"/>
        </w:rPr>
        <w:t>La Comisionada p</w:t>
      </w:r>
      <w:r w:rsidR="002905ED" w:rsidRPr="00E76083">
        <w:rPr>
          <w:rFonts w:ascii="Palatino Linotype" w:eastAsia="Palatino Linotype" w:hAnsi="Palatino Linotype" w:cs="Palatino Linotype"/>
        </w:rPr>
        <w:t xml:space="preserve">onente con fundamento en lo dispuesto por el artículo 185 fracción II de la ley de la materia, a través del </w:t>
      </w:r>
      <w:r w:rsidR="002905ED" w:rsidRPr="00E76083">
        <w:rPr>
          <w:rFonts w:ascii="Palatino Linotype" w:eastAsia="Palatino Linotype" w:hAnsi="Palatino Linotype" w:cs="Palatino Linotype"/>
          <w:b/>
        </w:rPr>
        <w:t>acuerdo de admisión</w:t>
      </w:r>
      <w:r w:rsidR="002905ED" w:rsidRPr="00E76083">
        <w:rPr>
          <w:rFonts w:ascii="Palatino Linotype" w:eastAsia="Palatino Linotype" w:hAnsi="Palatino Linotype" w:cs="Palatino Linotype"/>
        </w:rPr>
        <w:t xml:space="preserve"> del </w:t>
      </w:r>
      <w:r w:rsidR="00B96FAC" w:rsidRPr="00E76083">
        <w:rPr>
          <w:rFonts w:ascii="Palatino Linotype" w:eastAsia="Palatino Linotype" w:hAnsi="Palatino Linotype" w:cs="Palatino Linotype"/>
          <w:b/>
        </w:rPr>
        <w:t>siete de octubre</w:t>
      </w:r>
      <w:r w:rsidR="002905ED" w:rsidRPr="00E76083">
        <w:rPr>
          <w:rFonts w:ascii="Palatino Linotype" w:eastAsia="Palatino Linotype" w:hAnsi="Palatino Linotype" w:cs="Palatino Linotype"/>
          <w:b/>
        </w:rPr>
        <w:t xml:space="preserve"> de dos mil veinticinco</w:t>
      </w:r>
      <w:r w:rsidR="002905ED" w:rsidRPr="00E76083">
        <w:rPr>
          <w:rFonts w:ascii="Palatino Linotype" w:eastAsia="Palatino Linotype" w:hAnsi="Palatino Linotype" w:cs="Palatino Linotype"/>
        </w:rPr>
        <w:t xml:space="preserve">, puso a disposición de las partes el expediente electrónico vía Sistema de Acceso a la Información Mexiquense </w:t>
      </w:r>
      <w:r w:rsidR="002905ED" w:rsidRPr="00E76083">
        <w:rPr>
          <w:rFonts w:ascii="Palatino Linotype" w:eastAsia="Palatino Linotype" w:hAnsi="Palatino Linotype" w:cs="Palatino Linotype"/>
          <w:b/>
        </w:rPr>
        <w:t xml:space="preserve">(SAIMEX) </w:t>
      </w:r>
      <w:r w:rsidR="002905ED" w:rsidRPr="00E76083">
        <w:rPr>
          <w:rFonts w:ascii="Palatino Linotype" w:eastAsia="Palatino Linotype" w:hAnsi="Palatino Linotype" w:cs="Palatino Linotype"/>
        </w:rPr>
        <w:t xml:space="preserve">a efecto de que en un plazo máximo de siete días manifestaran lo que a derecho convinieran, ofrecieran pruebas y alegatos según corresponda al caso concreto, de esta forma para que el </w:t>
      </w:r>
      <w:r w:rsidR="002905ED" w:rsidRPr="00E76083">
        <w:rPr>
          <w:rFonts w:ascii="Palatino Linotype" w:eastAsia="Palatino Linotype" w:hAnsi="Palatino Linotype" w:cs="Palatino Linotype"/>
          <w:b/>
        </w:rPr>
        <w:t>SUJETO OBLIGADO</w:t>
      </w:r>
      <w:r w:rsidR="002905ED" w:rsidRPr="00E76083">
        <w:rPr>
          <w:rFonts w:ascii="Palatino Linotype" w:eastAsia="Palatino Linotype" w:hAnsi="Palatino Linotype" w:cs="Palatino Linotype"/>
        </w:rPr>
        <w:t xml:space="preserve"> presentara el Informe Justificado procedente.  </w:t>
      </w:r>
    </w:p>
    <w:p w14:paraId="75D9FC69" w14:textId="77777777" w:rsidR="00BD7A3B" w:rsidRPr="00E76083" w:rsidRDefault="00BD7A3B" w:rsidP="00A4767B">
      <w:pPr>
        <w:pBdr>
          <w:top w:val="nil"/>
          <w:left w:val="nil"/>
          <w:bottom w:val="nil"/>
          <w:right w:val="nil"/>
          <w:between w:val="nil"/>
        </w:pBdr>
        <w:spacing w:line="360" w:lineRule="auto"/>
        <w:ind w:right="-879"/>
        <w:rPr>
          <w:rFonts w:ascii="Palatino Linotype" w:eastAsia="Palatino Linotype" w:hAnsi="Palatino Linotype" w:cs="Palatino Linotype"/>
          <w:color w:val="000000"/>
        </w:rPr>
      </w:pPr>
    </w:p>
    <w:p w14:paraId="46B52F19" w14:textId="77777777" w:rsidR="00BD7A3B" w:rsidRPr="00E76083" w:rsidRDefault="002905ED" w:rsidP="00A4767B">
      <w:pPr>
        <w:numPr>
          <w:ilvl w:val="0"/>
          <w:numId w:val="1"/>
        </w:numPr>
        <w:spacing w:line="360" w:lineRule="auto"/>
        <w:ind w:left="0" w:right="-879" w:firstLine="0"/>
        <w:jc w:val="both"/>
        <w:rPr>
          <w:rFonts w:ascii="Palatino Linotype" w:eastAsia="Palatino Linotype" w:hAnsi="Palatino Linotype" w:cs="Palatino Linotype"/>
          <w:color w:val="000000"/>
        </w:rPr>
      </w:pPr>
      <w:r w:rsidRPr="00E76083">
        <w:rPr>
          <w:rFonts w:ascii="Palatino Linotype" w:eastAsia="Palatino Linotype" w:hAnsi="Palatino Linotype" w:cs="Palatino Linotype"/>
        </w:rPr>
        <w:lastRenderedPageBreak/>
        <w:t xml:space="preserve">De las constancias que obran en el expediente electrónico SAIMEX, se advierte que las </w:t>
      </w:r>
      <w:r w:rsidRPr="00E76083">
        <w:rPr>
          <w:rFonts w:ascii="Palatino Linotype" w:eastAsia="Palatino Linotype" w:hAnsi="Palatino Linotype" w:cs="Palatino Linotype"/>
          <w:b/>
        </w:rPr>
        <w:t>partes fueron omisas en emitir manifestaciones o alegatos</w:t>
      </w:r>
      <w:r w:rsidRPr="00E76083">
        <w:rPr>
          <w:rFonts w:ascii="Palatino Linotype" w:eastAsia="Palatino Linotype" w:hAnsi="Palatino Linotype" w:cs="Palatino Linotype"/>
        </w:rPr>
        <w:t>.</w:t>
      </w:r>
    </w:p>
    <w:p w14:paraId="2FDC9BBD" w14:textId="77777777" w:rsidR="00BD7A3B" w:rsidRPr="00E76083" w:rsidRDefault="00BD7A3B" w:rsidP="00A4767B">
      <w:pPr>
        <w:spacing w:line="360" w:lineRule="auto"/>
        <w:ind w:right="-879"/>
        <w:jc w:val="both"/>
        <w:rPr>
          <w:rFonts w:ascii="Palatino Linotype" w:eastAsia="Palatino Linotype" w:hAnsi="Palatino Linotype" w:cs="Palatino Linotype"/>
          <w:i/>
          <w:color w:val="000000"/>
        </w:rPr>
      </w:pPr>
    </w:p>
    <w:p w14:paraId="3D4F6A57" w14:textId="77777777" w:rsidR="00BD7A3B" w:rsidRPr="00E76083" w:rsidRDefault="002905ED" w:rsidP="00A4767B">
      <w:pPr>
        <w:numPr>
          <w:ilvl w:val="0"/>
          <w:numId w:val="1"/>
        </w:numPr>
        <w:spacing w:line="360" w:lineRule="auto"/>
        <w:ind w:left="0" w:right="-879" w:firstLine="0"/>
        <w:jc w:val="both"/>
        <w:rPr>
          <w:rFonts w:ascii="Palatino Linotype" w:eastAsia="Palatino Linotype" w:hAnsi="Palatino Linotype" w:cs="Palatino Linotype"/>
          <w:i/>
          <w:color w:val="000000"/>
        </w:rPr>
      </w:pPr>
      <w:r w:rsidRPr="00E76083">
        <w:rPr>
          <w:rFonts w:ascii="Palatino Linotype" w:eastAsia="Palatino Linotype" w:hAnsi="Palatino Linotype" w:cs="Palatino Linotype"/>
          <w:color w:val="000000"/>
        </w:rPr>
        <w:t xml:space="preserve">El </w:t>
      </w:r>
      <w:r w:rsidR="00B96FAC" w:rsidRPr="00E76083">
        <w:rPr>
          <w:rFonts w:ascii="Palatino Linotype" w:eastAsia="Palatino Linotype" w:hAnsi="Palatino Linotype" w:cs="Palatino Linotype"/>
          <w:b/>
          <w:color w:val="000000"/>
        </w:rPr>
        <w:t>diecisiete de octubre</w:t>
      </w:r>
      <w:r w:rsidRPr="00E76083">
        <w:rPr>
          <w:rFonts w:ascii="Palatino Linotype" w:eastAsia="Palatino Linotype" w:hAnsi="Palatino Linotype" w:cs="Palatino Linotype"/>
          <w:b/>
          <w:color w:val="000000"/>
        </w:rPr>
        <w:t xml:space="preserve"> de dos mil veinticinco,</w:t>
      </w:r>
      <w:r w:rsidRPr="00E76083">
        <w:rPr>
          <w:rFonts w:ascii="Palatino Linotype" w:eastAsia="Palatino Linotype" w:hAnsi="Palatino Linotype" w:cs="Palatino Linotype"/>
          <w:color w:val="000000"/>
        </w:rPr>
        <w:t xml:space="preserve"> se notificó acuerdo mediante el cual se decretó el </w:t>
      </w:r>
      <w:r w:rsidRPr="00E76083">
        <w:rPr>
          <w:rFonts w:ascii="Palatino Linotype" w:eastAsia="Palatino Linotype" w:hAnsi="Palatino Linotype" w:cs="Palatino Linotype"/>
          <w:b/>
          <w:color w:val="000000"/>
        </w:rPr>
        <w:t>cierre de instrucción</w:t>
      </w:r>
      <w:r w:rsidRPr="00E76083">
        <w:rPr>
          <w:rFonts w:ascii="Palatino Linotype" w:eastAsia="Palatino Linotype" w:hAnsi="Palatino Linotype" w:cs="Palatino Linotype"/>
          <w:color w:val="000000"/>
        </w:rPr>
        <w:t>.</w:t>
      </w:r>
    </w:p>
    <w:p w14:paraId="2AAF6CCA" w14:textId="77777777" w:rsidR="00BD7A3B" w:rsidRPr="00E76083" w:rsidRDefault="00BD7A3B" w:rsidP="00A4767B">
      <w:pPr>
        <w:spacing w:line="360" w:lineRule="auto"/>
        <w:ind w:right="-879"/>
        <w:jc w:val="both"/>
        <w:rPr>
          <w:rFonts w:ascii="Palatino Linotype" w:eastAsia="Palatino Linotype" w:hAnsi="Palatino Linotype" w:cs="Palatino Linotype"/>
          <w:i/>
          <w:color w:val="000000"/>
        </w:rPr>
      </w:pPr>
    </w:p>
    <w:p w14:paraId="26ED4B6A" w14:textId="77777777" w:rsidR="00BD7A3B" w:rsidRPr="00E76083" w:rsidRDefault="002905ED" w:rsidP="00A4767B">
      <w:pPr>
        <w:numPr>
          <w:ilvl w:val="0"/>
          <w:numId w:val="1"/>
        </w:numPr>
        <w:spacing w:line="360" w:lineRule="auto"/>
        <w:ind w:left="0" w:right="-879" w:firstLine="0"/>
        <w:jc w:val="both"/>
        <w:rPr>
          <w:rFonts w:ascii="Palatino Linotype" w:eastAsia="Palatino Linotype" w:hAnsi="Palatino Linotype" w:cs="Palatino Linotype"/>
        </w:rPr>
      </w:pPr>
      <w:r w:rsidRPr="00E76083">
        <w:rPr>
          <w:rFonts w:ascii="Palatino Linotype" w:eastAsia="Palatino Linotype" w:hAnsi="Palatino Linotype" w:cs="Palatino Linotype"/>
        </w:rPr>
        <w:t xml:space="preserve">El </w:t>
      </w:r>
      <w:r w:rsidR="00B96FAC" w:rsidRPr="00E76083">
        <w:rPr>
          <w:rFonts w:ascii="Palatino Linotype" w:eastAsia="Palatino Linotype" w:hAnsi="Palatino Linotype" w:cs="Palatino Linotype"/>
          <w:b/>
        </w:rPr>
        <w:t>veintidós de octubre</w:t>
      </w:r>
      <w:r w:rsidRPr="00E76083">
        <w:rPr>
          <w:rFonts w:ascii="Palatino Linotype" w:eastAsia="Palatino Linotype" w:hAnsi="Palatino Linotype" w:cs="Palatino Linotype"/>
          <w:b/>
        </w:rPr>
        <w:t xml:space="preserve"> de dos mil veinticinco</w:t>
      </w:r>
      <w:r w:rsidRPr="00E76083">
        <w:rPr>
          <w:rFonts w:ascii="Palatino Linotype" w:eastAsia="Palatino Linotype" w:hAnsi="Palatino Linotype" w:cs="Palatino Linotype"/>
        </w:rPr>
        <w:t xml:space="preserve">, el Pleno del Instituto de Transparencia, Accesos la Información Pública y Protección de Datos Personales del Estado de México y Municipios, durante la Octava Sesión Ordinaria, aprobó la </w:t>
      </w:r>
      <w:r w:rsidRPr="00E76083">
        <w:rPr>
          <w:rFonts w:ascii="Palatino Linotype" w:eastAsia="Palatino Linotype" w:hAnsi="Palatino Linotype" w:cs="Palatino Linotype"/>
          <w:b/>
        </w:rPr>
        <w:t>Resoluci</w:t>
      </w:r>
      <w:r w:rsidR="00B96FAC" w:rsidRPr="00E76083">
        <w:rPr>
          <w:rFonts w:ascii="Palatino Linotype" w:eastAsia="Palatino Linotype" w:hAnsi="Palatino Linotype" w:cs="Palatino Linotype"/>
          <w:b/>
        </w:rPr>
        <w:t>ón del Recurso de Revisión 11528</w:t>
      </w:r>
      <w:r w:rsidRPr="00E76083">
        <w:rPr>
          <w:rFonts w:ascii="Palatino Linotype" w:eastAsia="Palatino Linotype" w:hAnsi="Palatino Linotype" w:cs="Palatino Linotype"/>
          <w:b/>
        </w:rPr>
        <w:t>/INFOEM/IP/RR/2025</w:t>
      </w:r>
      <w:r w:rsidRPr="00E76083">
        <w:rPr>
          <w:rFonts w:ascii="Palatino Linotype" w:eastAsia="Palatino Linotype" w:hAnsi="Palatino Linotype" w:cs="Palatino Linotype"/>
        </w:rPr>
        <w:t>, en la cual se determinó lo siguiente:</w:t>
      </w:r>
    </w:p>
    <w:p w14:paraId="7872E6AA" w14:textId="77777777" w:rsidR="00BD7A3B" w:rsidRPr="00E76083" w:rsidRDefault="00BD7A3B" w:rsidP="00A4767B">
      <w:pPr>
        <w:ind w:right="-879"/>
        <w:jc w:val="both"/>
        <w:rPr>
          <w:rFonts w:ascii="Palatino Linotype" w:eastAsia="Palatino Linotype" w:hAnsi="Palatino Linotype" w:cs="Palatino Linotype"/>
        </w:rPr>
      </w:pPr>
    </w:p>
    <w:p w14:paraId="6B07FAB2" w14:textId="77777777" w:rsidR="00B96FAC" w:rsidRPr="00E76083" w:rsidRDefault="00B96FAC" w:rsidP="00FE758D">
      <w:pPr>
        <w:ind w:left="1134" w:right="1106"/>
        <w:jc w:val="both"/>
        <w:rPr>
          <w:rFonts w:ascii="Palatino Linotype" w:eastAsia="Palatino Linotype" w:hAnsi="Palatino Linotype" w:cs="Palatino Linotype"/>
          <w:i/>
          <w:color w:val="000000"/>
        </w:rPr>
      </w:pPr>
      <w:r w:rsidRPr="00E76083">
        <w:rPr>
          <w:rFonts w:ascii="Palatino Linotype" w:eastAsia="Palatino Linotype" w:hAnsi="Palatino Linotype" w:cs="Palatino Linotype"/>
          <w:i/>
          <w:color w:val="000000"/>
        </w:rPr>
        <w:t>PRIMERO. Resultan fundadas las razones o motivos de inconformidad hechos valer por</w:t>
      </w:r>
      <w:r w:rsidR="00FE758D" w:rsidRPr="00E76083">
        <w:rPr>
          <w:rFonts w:ascii="Palatino Linotype" w:eastAsia="Palatino Linotype" w:hAnsi="Palatino Linotype" w:cs="Palatino Linotype"/>
          <w:i/>
          <w:color w:val="000000"/>
        </w:rPr>
        <w:t xml:space="preserve"> </w:t>
      </w:r>
      <w:r w:rsidRPr="00E76083">
        <w:rPr>
          <w:rFonts w:ascii="Palatino Linotype" w:eastAsia="Palatino Linotype" w:hAnsi="Palatino Linotype" w:cs="Palatino Linotype"/>
          <w:i/>
          <w:color w:val="000000"/>
        </w:rPr>
        <w:t>LA RECURRENTE, en términos del considerando TERCERO, de la presente</w:t>
      </w:r>
      <w:r w:rsidR="00FE758D" w:rsidRPr="00E76083">
        <w:rPr>
          <w:rFonts w:ascii="Palatino Linotype" w:eastAsia="Palatino Linotype" w:hAnsi="Palatino Linotype" w:cs="Palatino Linotype"/>
          <w:i/>
          <w:color w:val="000000"/>
        </w:rPr>
        <w:t xml:space="preserve"> </w:t>
      </w:r>
      <w:r w:rsidRPr="00E76083">
        <w:rPr>
          <w:rFonts w:ascii="Palatino Linotype" w:eastAsia="Palatino Linotype" w:hAnsi="Palatino Linotype" w:cs="Palatino Linotype"/>
          <w:i/>
          <w:color w:val="000000"/>
        </w:rPr>
        <w:t>resolución.</w:t>
      </w:r>
    </w:p>
    <w:p w14:paraId="2C297115" w14:textId="77777777" w:rsidR="00B96FAC" w:rsidRPr="00E76083" w:rsidRDefault="00B96FAC" w:rsidP="00FE758D">
      <w:pPr>
        <w:ind w:left="1134" w:right="1106"/>
        <w:jc w:val="both"/>
        <w:rPr>
          <w:rFonts w:ascii="Palatino Linotype" w:eastAsia="Palatino Linotype" w:hAnsi="Palatino Linotype" w:cs="Palatino Linotype"/>
          <w:i/>
          <w:color w:val="000000"/>
        </w:rPr>
      </w:pPr>
    </w:p>
    <w:p w14:paraId="4CE3F431" w14:textId="77777777" w:rsidR="00E86A1F" w:rsidRPr="00E76083" w:rsidRDefault="00B96FAC" w:rsidP="00FE758D">
      <w:pPr>
        <w:ind w:left="1134" w:right="1106"/>
        <w:jc w:val="both"/>
        <w:rPr>
          <w:rFonts w:ascii="Palatino Linotype" w:eastAsia="Palatino Linotype" w:hAnsi="Palatino Linotype" w:cs="Palatino Linotype"/>
          <w:i/>
          <w:color w:val="000000"/>
        </w:rPr>
      </w:pPr>
      <w:r w:rsidRPr="00E76083">
        <w:rPr>
          <w:rFonts w:ascii="Palatino Linotype" w:eastAsia="Palatino Linotype" w:hAnsi="Palatino Linotype" w:cs="Palatino Linotype"/>
          <w:i/>
          <w:color w:val="000000"/>
        </w:rPr>
        <w:t>SEGUNDO. Se ORDENA al Sujeto Obligado atienda la solicitud de información folio</w:t>
      </w:r>
      <w:r w:rsidR="00FE758D" w:rsidRPr="00E76083">
        <w:rPr>
          <w:rFonts w:ascii="Palatino Linotype" w:eastAsia="Palatino Linotype" w:hAnsi="Palatino Linotype" w:cs="Palatino Linotype"/>
          <w:i/>
          <w:color w:val="000000"/>
        </w:rPr>
        <w:t xml:space="preserve"> </w:t>
      </w:r>
      <w:r w:rsidRPr="00E76083">
        <w:rPr>
          <w:rFonts w:ascii="Palatino Linotype" w:eastAsia="Palatino Linotype" w:hAnsi="Palatino Linotype" w:cs="Palatino Linotype"/>
          <w:i/>
          <w:color w:val="000000"/>
        </w:rPr>
        <w:t>00422/TEPOTZOT/IP/2025, vía Sistema de Acceso a la Información Mexiquense</w:t>
      </w:r>
      <w:r w:rsidR="00FE758D" w:rsidRPr="00E76083">
        <w:rPr>
          <w:rFonts w:ascii="Palatino Linotype" w:eastAsia="Palatino Linotype" w:hAnsi="Palatino Linotype" w:cs="Palatino Linotype"/>
          <w:i/>
          <w:color w:val="000000"/>
        </w:rPr>
        <w:t xml:space="preserve"> </w:t>
      </w:r>
      <w:r w:rsidRPr="00E76083">
        <w:rPr>
          <w:rFonts w:ascii="Palatino Linotype" w:eastAsia="Palatino Linotype" w:hAnsi="Palatino Linotype" w:cs="Palatino Linotype"/>
          <w:i/>
          <w:color w:val="000000"/>
        </w:rPr>
        <w:t>(SAIMEX), en términos del Considerando TERCERO de esta resolución.</w:t>
      </w:r>
    </w:p>
    <w:p w14:paraId="601BD32A" w14:textId="77777777" w:rsidR="00B96FAC" w:rsidRPr="00E76083" w:rsidRDefault="00B96FAC" w:rsidP="00FE758D">
      <w:pPr>
        <w:ind w:left="1134" w:right="1106"/>
        <w:jc w:val="both"/>
        <w:rPr>
          <w:rFonts w:ascii="Palatino Linotype" w:eastAsia="Palatino Linotype" w:hAnsi="Palatino Linotype" w:cs="Palatino Linotype"/>
          <w:i/>
        </w:rPr>
      </w:pPr>
    </w:p>
    <w:p w14:paraId="2680EA85" w14:textId="77777777" w:rsidR="00BD7A3B" w:rsidRDefault="00B96FAC" w:rsidP="00FE758D">
      <w:pPr>
        <w:ind w:left="1134" w:right="1106"/>
        <w:jc w:val="both"/>
        <w:rPr>
          <w:rFonts w:ascii="Palatino Linotype" w:eastAsia="Palatino Linotype" w:hAnsi="Palatino Linotype" w:cs="Palatino Linotype"/>
          <w:i/>
        </w:rPr>
      </w:pPr>
      <w:r w:rsidRPr="00E76083">
        <w:rPr>
          <w:rFonts w:ascii="Palatino Linotype" w:eastAsia="Palatino Linotype" w:hAnsi="Palatino Linotype" w:cs="Palatino Linotype"/>
          <w:i/>
        </w:rPr>
        <w:t>QUINTO. Se hace del conocimiento a LA RECURRENTE que, de conformidad con lo</w:t>
      </w:r>
      <w:r w:rsidR="00FE758D" w:rsidRPr="00E76083">
        <w:rPr>
          <w:rFonts w:ascii="Palatino Linotype" w:eastAsia="Palatino Linotype" w:hAnsi="Palatino Linotype" w:cs="Palatino Linotype"/>
          <w:i/>
        </w:rPr>
        <w:t xml:space="preserve"> </w:t>
      </w:r>
      <w:r w:rsidRPr="00E76083">
        <w:rPr>
          <w:rFonts w:ascii="Palatino Linotype" w:eastAsia="Palatino Linotype" w:hAnsi="Palatino Linotype" w:cs="Palatino Linotype"/>
          <w:i/>
        </w:rPr>
        <w:t>establecido en el artículo 179, párrafo segundo, de la Ley de Transparencia y Acceso a</w:t>
      </w:r>
      <w:r w:rsidR="00FE758D" w:rsidRPr="00E76083">
        <w:rPr>
          <w:rFonts w:ascii="Palatino Linotype" w:eastAsia="Palatino Linotype" w:hAnsi="Palatino Linotype" w:cs="Palatino Linotype"/>
          <w:i/>
        </w:rPr>
        <w:t xml:space="preserve"> </w:t>
      </w:r>
      <w:r w:rsidRPr="00E76083">
        <w:rPr>
          <w:rFonts w:ascii="Palatino Linotype" w:eastAsia="Palatino Linotype" w:hAnsi="Palatino Linotype" w:cs="Palatino Linotype"/>
          <w:i/>
        </w:rPr>
        <w:t>la Información Pública del Estado de México y Municipios, tiene derecho a interponer</w:t>
      </w:r>
      <w:r w:rsidR="00FE758D" w:rsidRPr="00E76083">
        <w:rPr>
          <w:rFonts w:ascii="Palatino Linotype" w:eastAsia="Palatino Linotype" w:hAnsi="Palatino Linotype" w:cs="Palatino Linotype"/>
          <w:i/>
        </w:rPr>
        <w:t xml:space="preserve"> </w:t>
      </w:r>
      <w:r w:rsidRPr="00E76083">
        <w:rPr>
          <w:rFonts w:ascii="Palatino Linotype" w:eastAsia="Palatino Linotype" w:hAnsi="Palatino Linotype" w:cs="Palatino Linotype"/>
          <w:i/>
        </w:rPr>
        <w:t>nuevamente Recurso de Revisión ante este Instituto, por la respuesta que proporcione</w:t>
      </w:r>
      <w:r w:rsidR="00FE758D" w:rsidRPr="00E76083">
        <w:rPr>
          <w:rFonts w:ascii="Palatino Linotype" w:eastAsia="Palatino Linotype" w:hAnsi="Palatino Linotype" w:cs="Palatino Linotype"/>
          <w:i/>
        </w:rPr>
        <w:t xml:space="preserve"> </w:t>
      </w:r>
      <w:r w:rsidRPr="00E76083">
        <w:rPr>
          <w:rFonts w:ascii="Palatino Linotype" w:eastAsia="Palatino Linotype" w:hAnsi="Palatino Linotype" w:cs="Palatino Linotype"/>
          <w:i/>
        </w:rPr>
        <w:t>EL SUJETO OBLIGADO, en cumplimiento a esta Resolución.</w:t>
      </w:r>
    </w:p>
    <w:p w14:paraId="2261161D" w14:textId="77777777" w:rsidR="00E76083" w:rsidRDefault="00E76083" w:rsidP="00FE758D">
      <w:pPr>
        <w:ind w:left="1134" w:right="1106"/>
        <w:jc w:val="both"/>
        <w:rPr>
          <w:rFonts w:ascii="Palatino Linotype" w:eastAsia="Palatino Linotype" w:hAnsi="Palatino Linotype" w:cs="Palatino Linotype"/>
          <w:i/>
        </w:rPr>
      </w:pPr>
    </w:p>
    <w:p w14:paraId="019A26F0" w14:textId="77777777" w:rsidR="00E76083" w:rsidRPr="00E76083" w:rsidRDefault="00E76083" w:rsidP="00FE758D">
      <w:pPr>
        <w:ind w:left="1134" w:right="1106"/>
        <w:jc w:val="both"/>
        <w:rPr>
          <w:rFonts w:ascii="Palatino Linotype" w:eastAsia="Palatino Linotype" w:hAnsi="Palatino Linotype" w:cs="Palatino Linotype"/>
          <w:i/>
          <w:color w:val="000000"/>
        </w:rPr>
      </w:pPr>
    </w:p>
    <w:p w14:paraId="3AB1B840" w14:textId="77777777" w:rsidR="00BD7A3B" w:rsidRPr="00E76083" w:rsidRDefault="002905ED" w:rsidP="00A4767B">
      <w:pPr>
        <w:numPr>
          <w:ilvl w:val="0"/>
          <w:numId w:val="1"/>
        </w:numPr>
        <w:spacing w:line="360" w:lineRule="auto"/>
        <w:ind w:left="0" w:right="-879" w:firstLine="0"/>
        <w:jc w:val="both"/>
        <w:rPr>
          <w:rFonts w:ascii="Palatino Linotype" w:eastAsia="Palatino Linotype" w:hAnsi="Palatino Linotype" w:cs="Palatino Linotype"/>
        </w:rPr>
      </w:pPr>
      <w:r w:rsidRPr="00E76083">
        <w:rPr>
          <w:rFonts w:ascii="Palatino Linotype" w:eastAsia="Palatino Linotype" w:hAnsi="Palatino Linotype" w:cs="Palatino Linotype"/>
        </w:rPr>
        <w:lastRenderedPageBreak/>
        <w:t xml:space="preserve">El </w:t>
      </w:r>
      <w:r w:rsidR="00FE758D" w:rsidRPr="00E76083">
        <w:rPr>
          <w:rFonts w:ascii="Palatino Linotype" w:eastAsia="Palatino Linotype" w:hAnsi="Palatino Linotype" w:cs="Palatino Linotype"/>
          <w:b/>
        </w:rPr>
        <w:t>veintisiete de octubre</w:t>
      </w:r>
      <w:r w:rsidRPr="00E76083">
        <w:rPr>
          <w:rFonts w:ascii="Palatino Linotype" w:eastAsia="Palatino Linotype" w:hAnsi="Palatino Linotype" w:cs="Palatino Linotype"/>
          <w:b/>
        </w:rPr>
        <w:t xml:space="preserve"> de dos mil veinticinco</w:t>
      </w:r>
      <w:r w:rsidRPr="00E76083">
        <w:rPr>
          <w:rFonts w:ascii="Palatino Linotype" w:eastAsia="Palatino Linotype" w:hAnsi="Palatino Linotype" w:cs="Palatino Linotype"/>
        </w:rPr>
        <w:t xml:space="preserve">, </w:t>
      </w:r>
      <w:r w:rsidRPr="00E76083">
        <w:rPr>
          <w:rFonts w:ascii="Palatino Linotype" w:eastAsia="Palatino Linotype" w:hAnsi="Palatino Linotype" w:cs="Palatino Linotype"/>
          <w:b/>
        </w:rPr>
        <w:t>se notificó</w:t>
      </w:r>
      <w:r w:rsidRPr="00E76083">
        <w:rPr>
          <w:rFonts w:ascii="Palatino Linotype" w:eastAsia="Palatino Linotype" w:hAnsi="Palatino Linotype" w:cs="Palatino Linotype"/>
        </w:rPr>
        <w:t xml:space="preserve"> por medio del Sistema de Acceso a la Información Mexiquense (SAIMEX), a las partes, </w:t>
      </w:r>
      <w:r w:rsidRPr="00E76083">
        <w:rPr>
          <w:rFonts w:ascii="Palatino Linotype" w:eastAsia="Palatino Linotype" w:hAnsi="Palatino Linotype" w:cs="Palatino Linotype"/>
          <w:b/>
        </w:rPr>
        <w:t>la resolución</w:t>
      </w:r>
      <w:r w:rsidRPr="00E76083">
        <w:rPr>
          <w:rFonts w:ascii="Palatino Linotype" w:eastAsia="Palatino Linotype" w:hAnsi="Palatino Linotype" w:cs="Palatino Linotype"/>
        </w:rPr>
        <w:t xml:space="preserve"> del Medio de Impugnación previamente referido.</w:t>
      </w:r>
    </w:p>
    <w:p w14:paraId="4EF6311D" w14:textId="77777777" w:rsidR="00BD7A3B" w:rsidRPr="00E76083" w:rsidRDefault="00BD7A3B" w:rsidP="00A4767B">
      <w:pPr>
        <w:spacing w:line="360" w:lineRule="auto"/>
        <w:ind w:right="-879"/>
        <w:jc w:val="both"/>
        <w:rPr>
          <w:rFonts w:ascii="Palatino Linotype" w:eastAsia="Palatino Linotype" w:hAnsi="Palatino Linotype" w:cs="Palatino Linotype"/>
          <w:b/>
          <w:color w:val="FF0000"/>
        </w:rPr>
      </w:pPr>
    </w:p>
    <w:p w14:paraId="55C6F269" w14:textId="77777777" w:rsidR="00BD7A3B" w:rsidRPr="00E76083" w:rsidRDefault="002905ED" w:rsidP="00A4767B">
      <w:pPr>
        <w:numPr>
          <w:ilvl w:val="0"/>
          <w:numId w:val="1"/>
        </w:numPr>
        <w:spacing w:line="360" w:lineRule="auto"/>
        <w:ind w:left="0" w:right="-879" w:firstLine="0"/>
        <w:jc w:val="both"/>
        <w:rPr>
          <w:rFonts w:ascii="Palatino Linotype" w:eastAsia="Palatino Linotype" w:hAnsi="Palatino Linotype" w:cs="Palatino Linotype"/>
          <w:b/>
          <w:color w:val="FF0000"/>
        </w:rPr>
      </w:pPr>
      <w:bookmarkStart w:id="3" w:name="_heading=h.t2bvwuudp66w" w:colFirst="0" w:colLast="0"/>
      <w:bookmarkEnd w:id="3"/>
      <w:r w:rsidRPr="00E76083">
        <w:rPr>
          <w:rFonts w:ascii="Palatino Linotype" w:eastAsia="Palatino Linotype" w:hAnsi="Palatino Linotype" w:cs="Palatino Linotype"/>
        </w:rPr>
        <w:t xml:space="preserve">Con fecha </w:t>
      </w:r>
      <w:r w:rsidR="00FE758D" w:rsidRPr="00E76083">
        <w:rPr>
          <w:rFonts w:ascii="Palatino Linotype" w:eastAsia="Palatino Linotype" w:hAnsi="Palatino Linotype" w:cs="Palatino Linotype"/>
          <w:b/>
        </w:rPr>
        <w:t>diez de noviembre</w:t>
      </w:r>
      <w:r w:rsidRPr="00E76083">
        <w:rPr>
          <w:rFonts w:ascii="Palatino Linotype" w:eastAsia="Palatino Linotype" w:hAnsi="Palatino Linotype" w:cs="Palatino Linotype"/>
          <w:b/>
        </w:rPr>
        <w:t xml:space="preserve"> de dos mil veinticinco</w:t>
      </w:r>
      <w:r w:rsidRPr="00E76083">
        <w:rPr>
          <w:rFonts w:ascii="Palatino Linotype" w:eastAsia="Palatino Linotype" w:hAnsi="Palatino Linotype" w:cs="Palatino Linotype"/>
        </w:rPr>
        <w:t xml:space="preserve">, </w:t>
      </w:r>
      <w:r w:rsidRPr="00E76083">
        <w:rPr>
          <w:rFonts w:ascii="Palatino Linotype" w:eastAsia="Palatino Linotype" w:hAnsi="Palatino Linotype" w:cs="Palatino Linotype"/>
          <w:b/>
        </w:rPr>
        <w:t>el Sujeto Obligado notificó</w:t>
      </w:r>
      <w:r w:rsidRPr="00E76083">
        <w:rPr>
          <w:rFonts w:ascii="Palatino Linotype" w:eastAsia="Palatino Linotype" w:hAnsi="Palatino Linotype" w:cs="Palatino Linotype"/>
        </w:rPr>
        <w:t xml:space="preserve"> a través del Sistema de Acceso a la Información Mexiquense (SAIMEX), </w:t>
      </w:r>
      <w:r w:rsidRPr="00E76083">
        <w:rPr>
          <w:rFonts w:ascii="Palatino Linotype" w:eastAsia="Palatino Linotype" w:hAnsi="Palatino Linotype" w:cs="Palatino Linotype"/>
          <w:b/>
        </w:rPr>
        <w:t>la entrega de información</w:t>
      </w:r>
      <w:r w:rsidRPr="00E76083">
        <w:rPr>
          <w:rFonts w:ascii="Palatino Linotype" w:eastAsia="Palatino Linotype" w:hAnsi="Palatino Linotype" w:cs="Palatino Linotype"/>
        </w:rPr>
        <w:t xml:space="preserve">, a través </w:t>
      </w:r>
      <w:r w:rsidR="00275C12" w:rsidRPr="00E76083">
        <w:rPr>
          <w:rFonts w:ascii="Palatino Linotype" w:eastAsia="Palatino Linotype" w:hAnsi="Palatino Linotype" w:cs="Palatino Linotype"/>
        </w:rPr>
        <w:t xml:space="preserve">de la titular </w:t>
      </w:r>
      <w:r w:rsidR="00536583" w:rsidRPr="00E76083">
        <w:rPr>
          <w:rFonts w:ascii="Palatino Linotype" w:eastAsia="Palatino Linotype" w:hAnsi="Palatino Linotype" w:cs="Palatino Linotype"/>
        </w:rPr>
        <w:t>de la Unidad de Transparencia</w:t>
      </w:r>
      <w:r w:rsidR="00526CCF" w:rsidRPr="00E76083">
        <w:rPr>
          <w:rFonts w:ascii="Palatino Linotype" w:eastAsia="Palatino Linotype" w:hAnsi="Palatino Linotype" w:cs="Palatino Linotype"/>
        </w:rPr>
        <w:t xml:space="preserve"> </w:t>
      </w:r>
      <w:r w:rsidR="006976E0" w:rsidRPr="00E76083">
        <w:rPr>
          <w:rFonts w:ascii="Palatino Linotype" w:eastAsia="Palatino Linotype" w:hAnsi="Palatino Linotype" w:cs="Palatino Linotype"/>
        </w:rPr>
        <w:t>quien</w:t>
      </w:r>
      <w:r w:rsidR="00526CCF" w:rsidRPr="00E76083">
        <w:rPr>
          <w:rFonts w:ascii="Palatino Linotype" w:eastAsia="Palatino Linotype" w:hAnsi="Palatino Linotype" w:cs="Palatino Linotype"/>
        </w:rPr>
        <w:t xml:space="preserve"> entrega </w:t>
      </w:r>
      <w:r w:rsidR="006976E0" w:rsidRPr="00E76083">
        <w:rPr>
          <w:rFonts w:ascii="Palatino Linotype" w:eastAsia="Palatino Linotype" w:hAnsi="Palatino Linotype" w:cs="Palatino Linotype"/>
        </w:rPr>
        <w:t xml:space="preserve">como </w:t>
      </w:r>
      <w:r w:rsidR="00526CCF" w:rsidRPr="00E76083">
        <w:rPr>
          <w:rFonts w:ascii="Palatino Linotype" w:eastAsia="Palatino Linotype" w:hAnsi="Palatino Linotype" w:cs="Palatino Linotype"/>
        </w:rPr>
        <w:t>información solicitada por el Recurrente</w:t>
      </w:r>
      <w:r w:rsidR="00536583" w:rsidRPr="00E76083">
        <w:rPr>
          <w:rFonts w:ascii="Palatino Linotype" w:eastAsia="Palatino Linotype" w:hAnsi="Palatino Linotype" w:cs="Palatino Linotype"/>
        </w:rPr>
        <w:t xml:space="preserve">, Oficio </w:t>
      </w:r>
      <w:r w:rsidR="00FE758D" w:rsidRPr="00E76083">
        <w:rPr>
          <w:rFonts w:ascii="Palatino Linotype" w:eastAsia="Palatino Linotype" w:hAnsi="Palatino Linotype" w:cs="Palatino Linotype"/>
        </w:rPr>
        <w:t xml:space="preserve">por el Director de Obras Públicas donde refiere que después de una búsqueda exhaustiva y minuciosa en los expedientes que obran en </w:t>
      </w:r>
      <w:r w:rsidR="00275C12" w:rsidRPr="00E76083">
        <w:rPr>
          <w:rFonts w:ascii="Palatino Linotype" w:eastAsia="Palatino Linotype" w:hAnsi="Palatino Linotype" w:cs="Palatino Linotype"/>
        </w:rPr>
        <w:t>su área</w:t>
      </w:r>
      <w:r w:rsidR="00FE758D" w:rsidRPr="00E76083">
        <w:rPr>
          <w:rFonts w:ascii="Palatino Linotype" w:eastAsia="Palatino Linotype" w:hAnsi="Palatino Linotype" w:cs="Palatino Linotype"/>
        </w:rPr>
        <w:t xml:space="preserve"> y en fecha de lo solicitado no se encontró la información solicitada por el Recurrente</w:t>
      </w:r>
      <w:r w:rsidR="00BC2623" w:rsidRPr="00E76083">
        <w:rPr>
          <w:rFonts w:ascii="Palatino Linotype" w:eastAsia="Palatino Linotype" w:hAnsi="Palatino Linotype" w:cs="Palatino Linotype"/>
        </w:rPr>
        <w:t>.</w:t>
      </w:r>
    </w:p>
    <w:p w14:paraId="4C4E8DEB" w14:textId="77777777" w:rsidR="00BD7A3B" w:rsidRPr="00E76083" w:rsidRDefault="00BD7A3B" w:rsidP="00A4767B">
      <w:pPr>
        <w:spacing w:line="360" w:lineRule="auto"/>
        <w:ind w:right="-879"/>
        <w:jc w:val="both"/>
        <w:rPr>
          <w:rFonts w:ascii="Palatino Linotype" w:eastAsia="Palatino Linotype" w:hAnsi="Palatino Linotype" w:cs="Palatino Linotype"/>
          <w:b/>
          <w:color w:val="FF0000"/>
        </w:rPr>
      </w:pPr>
    </w:p>
    <w:p w14:paraId="7CA76029" w14:textId="77777777" w:rsidR="00BD7A3B" w:rsidRPr="00E76083" w:rsidRDefault="002905ED" w:rsidP="00A4767B">
      <w:pPr>
        <w:numPr>
          <w:ilvl w:val="0"/>
          <w:numId w:val="1"/>
        </w:numPr>
        <w:spacing w:line="360" w:lineRule="auto"/>
        <w:ind w:left="0" w:right="-879" w:firstLine="0"/>
        <w:jc w:val="both"/>
        <w:rPr>
          <w:rFonts w:ascii="Palatino Linotype" w:eastAsia="Palatino Linotype" w:hAnsi="Palatino Linotype" w:cs="Palatino Linotype"/>
        </w:rPr>
      </w:pPr>
      <w:r w:rsidRPr="00E76083">
        <w:rPr>
          <w:rFonts w:ascii="Palatino Linotype" w:eastAsia="Palatino Linotype" w:hAnsi="Palatino Linotype" w:cs="Palatino Linotype"/>
        </w:rPr>
        <w:t xml:space="preserve">El </w:t>
      </w:r>
      <w:r w:rsidR="006976E0" w:rsidRPr="00E76083">
        <w:rPr>
          <w:rFonts w:ascii="Palatino Linotype" w:eastAsia="Palatino Linotype" w:hAnsi="Palatino Linotype" w:cs="Palatino Linotype"/>
          <w:b/>
        </w:rPr>
        <w:t>veintiuno de enero de dos mil veintiséis</w:t>
      </w:r>
      <w:r w:rsidRPr="00E76083">
        <w:rPr>
          <w:rFonts w:ascii="Palatino Linotype" w:eastAsia="Palatino Linotype" w:hAnsi="Palatino Linotype" w:cs="Palatino Linotype"/>
        </w:rPr>
        <w:t xml:space="preserve">, se recibió en este Instituto, a través del Sistema de </w:t>
      </w:r>
      <w:r w:rsidRPr="00E76083">
        <w:rPr>
          <w:rFonts w:ascii="Palatino Linotype" w:eastAsia="Palatino Linotype" w:hAnsi="Palatino Linotype" w:cs="Palatino Linotype"/>
          <w:b/>
        </w:rPr>
        <w:t>Acceso</w:t>
      </w:r>
      <w:r w:rsidRPr="00E76083">
        <w:rPr>
          <w:rFonts w:ascii="Palatino Linotype" w:eastAsia="Palatino Linotype" w:hAnsi="Palatino Linotype" w:cs="Palatino Linotype"/>
        </w:rPr>
        <w:t xml:space="preserve"> a la Información Mexiquense (SAIMEX), el </w:t>
      </w:r>
      <w:r w:rsidRPr="00E76083">
        <w:rPr>
          <w:rFonts w:ascii="Palatino Linotype" w:eastAsia="Palatino Linotype" w:hAnsi="Palatino Linotype" w:cs="Palatino Linotype"/>
          <w:b/>
        </w:rPr>
        <w:t>Recurso de Revisión</w:t>
      </w:r>
      <w:r w:rsidRPr="00E76083">
        <w:rPr>
          <w:rFonts w:ascii="Palatino Linotype" w:eastAsia="Palatino Linotype" w:hAnsi="Palatino Linotype" w:cs="Palatino Linotype"/>
        </w:rPr>
        <w:t xml:space="preserve"> interpuesto por la parte Recurrente, en contra de la entrega de información del Sujeto Obligado, en cumplimiento a la Resolución referida en el párrafo 9, lo anterior; en los siguientes términos:</w:t>
      </w:r>
    </w:p>
    <w:p w14:paraId="3C210566" w14:textId="77777777" w:rsidR="00BD7A3B" w:rsidRPr="00E76083" w:rsidRDefault="00BD7A3B" w:rsidP="00A4767B">
      <w:pPr>
        <w:widowControl w:val="0"/>
        <w:ind w:right="-879"/>
        <w:jc w:val="both"/>
        <w:rPr>
          <w:rFonts w:ascii="Palatino Linotype" w:eastAsia="Palatino Linotype" w:hAnsi="Palatino Linotype" w:cs="Palatino Linotype"/>
        </w:rPr>
      </w:pPr>
    </w:p>
    <w:p w14:paraId="59D8E14F" w14:textId="77777777" w:rsidR="00BD7A3B" w:rsidRPr="00E76083" w:rsidRDefault="002905ED" w:rsidP="00E76083">
      <w:pPr>
        <w:pStyle w:val="Prrafodelista"/>
        <w:numPr>
          <w:ilvl w:val="0"/>
          <w:numId w:val="34"/>
        </w:numPr>
        <w:tabs>
          <w:tab w:val="left" w:pos="4667"/>
        </w:tabs>
        <w:ind w:right="-879"/>
        <w:jc w:val="both"/>
        <w:rPr>
          <w:rFonts w:ascii="Palatino Linotype" w:eastAsia="Palatino Linotype" w:hAnsi="Palatino Linotype" w:cs="Palatino Linotype"/>
          <w:b/>
          <w:sz w:val="24"/>
        </w:rPr>
      </w:pPr>
      <w:r w:rsidRPr="00E76083">
        <w:rPr>
          <w:rFonts w:ascii="Palatino Linotype" w:eastAsia="Palatino Linotype" w:hAnsi="Palatino Linotype" w:cs="Palatino Linotype"/>
          <w:b/>
          <w:sz w:val="24"/>
        </w:rPr>
        <w:t>ACTO IMPUGNADO</w:t>
      </w:r>
    </w:p>
    <w:p w14:paraId="704889EF" w14:textId="77777777" w:rsidR="00BD7A3B" w:rsidRPr="00E76083" w:rsidRDefault="002905ED" w:rsidP="00E76083">
      <w:pPr>
        <w:ind w:right="-879" w:firstLine="360"/>
        <w:jc w:val="both"/>
        <w:rPr>
          <w:rFonts w:ascii="Palatino Linotype" w:eastAsia="Palatino Linotype" w:hAnsi="Palatino Linotype" w:cs="Palatino Linotype"/>
        </w:rPr>
      </w:pPr>
      <w:r w:rsidRPr="00E76083">
        <w:rPr>
          <w:rFonts w:ascii="Palatino Linotype" w:eastAsia="Palatino Linotype" w:hAnsi="Palatino Linotype" w:cs="Palatino Linotype"/>
        </w:rPr>
        <w:t>“</w:t>
      </w:r>
      <w:r w:rsidR="00B47162" w:rsidRPr="00E76083">
        <w:rPr>
          <w:rFonts w:ascii="Palatino Linotype" w:hAnsi="Palatino Linotype"/>
          <w:color w:val="000000"/>
        </w:rPr>
        <w:t>NO hay respuesta</w:t>
      </w:r>
      <w:r w:rsidRPr="00E76083">
        <w:rPr>
          <w:rFonts w:ascii="Palatino Linotype" w:eastAsia="Palatino Linotype" w:hAnsi="Palatino Linotype" w:cs="Palatino Linotype"/>
        </w:rPr>
        <w:t>” (Sic)</w:t>
      </w:r>
    </w:p>
    <w:p w14:paraId="29E087CB" w14:textId="77777777" w:rsidR="00BD7A3B" w:rsidRPr="00E76083" w:rsidRDefault="00BD7A3B" w:rsidP="00A4767B">
      <w:pPr>
        <w:ind w:right="-879"/>
        <w:jc w:val="both"/>
        <w:rPr>
          <w:rFonts w:ascii="Palatino Linotype" w:eastAsia="Palatino Linotype" w:hAnsi="Palatino Linotype" w:cs="Palatino Linotype"/>
          <w:color w:val="FF0000"/>
        </w:rPr>
      </w:pPr>
    </w:p>
    <w:p w14:paraId="25C634DD" w14:textId="77777777" w:rsidR="00BD7A3B" w:rsidRPr="00E76083" w:rsidRDefault="002905ED" w:rsidP="00E76083">
      <w:pPr>
        <w:pStyle w:val="Prrafodelista"/>
        <w:numPr>
          <w:ilvl w:val="0"/>
          <w:numId w:val="34"/>
        </w:numPr>
        <w:ind w:right="-879"/>
        <w:jc w:val="both"/>
        <w:rPr>
          <w:rFonts w:ascii="Palatino Linotype" w:eastAsia="Palatino Linotype" w:hAnsi="Palatino Linotype" w:cs="Palatino Linotype"/>
          <w:b/>
          <w:sz w:val="24"/>
        </w:rPr>
      </w:pPr>
      <w:r w:rsidRPr="00E76083">
        <w:rPr>
          <w:rFonts w:ascii="Palatino Linotype" w:eastAsia="Palatino Linotype" w:hAnsi="Palatino Linotype" w:cs="Palatino Linotype"/>
          <w:b/>
          <w:sz w:val="24"/>
        </w:rPr>
        <w:t>RAZONES O MOTIVOS DE LA INCONFORMIDAD</w:t>
      </w:r>
    </w:p>
    <w:p w14:paraId="3FE6CC04" w14:textId="77777777" w:rsidR="00BD7A3B" w:rsidRPr="00E76083" w:rsidRDefault="002905ED" w:rsidP="00E76083">
      <w:pPr>
        <w:ind w:right="-879" w:firstLine="360"/>
        <w:jc w:val="both"/>
        <w:rPr>
          <w:rFonts w:ascii="Palatino Linotype" w:eastAsia="Palatino Linotype" w:hAnsi="Palatino Linotype" w:cs="Palatino Linotype"/>
        </w:rPr>
      </w:pPr>
      <w:r w:rsidRPr="00E76083">
        <w:rPr>
          <w:rFonts w:ascii="Palatino Linotype" w:eastAsia="Palatino Linotype" w:hAnsi="Palatino Linotype" w:cs="Palatino Linotype"/>
        </w:rPr>
        <w:t>“</w:t>
      </w:r>
      <w:r w:rsidR="00C6000A" w:rsidRPr="00E76083">
        <w:rPr>
          <w:rFonts w:ascii="Palatino Linotype" w:hAnsi="Palatino Linotype"/>
          <w:color w:val="000000"/>
        </w:rPr>
        <w:t>No hay respuesta</w:t>
      </w:r>
      <w:r w:rsidRPr="00E76083">
        <w:rPr>
          <w:rFonts w:ascii="Palatino Linotype" w:eastAsia="Palatino Linotype" w:hAnsi="Palatino Linotype" w:cs="Palatino Linotype"/>
        </w:rPr>
        <w:t>” (Sic)</w:t>
      </w:r>
    </w:p>
    <w:p w14:paraId="142D851B" w14:textId="77777777" w:rsidR="00BD7A3B" w:rsidRPr="00E76083" w:rsidRDefault="00BD7A3B" w:rsidP="00A4767B">
      <w:pPr>
        <w:spacing w:line="360" w:lineRule="auto"/>
        <w:ind w:right="-879"/>
        <w:jc w:val="both"/>
        <w:rPr>
          <w:rFonts w:ascii="Palatino Linotype" w:eastAsia="Palatino Linotype" w:hAnsi="Palatino Linotype" w:cs="Palatino Linotype"/>
          <w:color w:val="2E75B5"/>
        </w:rPr>
      </w:pPr>
    </w:p>
    <w:p w14:paraId="31581382" w14:textId="6398F6D9" w:rsidR="006D0C70" w:rsidRPr="00E76083" w:rsidRDefault="00E76083" w:rsidP="006D0C70">
      <w:pPr>
        <w:numPr>
          <w:ilvl w:val="0"/>
          <w:numId w:val="35"/>
        </w:numPr>
        <w:pBdr>
          <w:top w:val="nil"/>
          <w:left w:val="nil"/>
          <w:bottom w:val="nil"/>
          <w:right w:val="nil"/>
          <w:between w:val="nil"/>
        </w:pBdr>
        <w:tabs>
          <w:tab w:val="left" w:pos="426"/>
        </w:tabs>
        <w:spacing w:line="360" w:lineRule="auto"/>
        <w:ind w:left="0" w:right="-879" w:firstLine="0"/>
        <w:jc w:val="both"/>
        <w:rPr>
          <w:rFonts w:ascii="Palatino Linotype" w:eastAsia="Palatino Linotype" w:hAnsi="Palatino Linotype" w:cs="Palatino Linotype"/>
          <w:i/>
          <w:color w:val="000000"/>
        </w:rPr>
      </w:pPr>
      <w:r>
        <w:rPr>
          <w:rFonts w:ascii="Palatino Linotype" w:eastAsia="Palatino Linotype" w:hAnsi="Palatino Linotype" w:cs="Palatino Linotype"/>
          <w:color w:val="000000"/>
        </w:rPr>
        <w:t>La Comisionada p</w:t>
      </w:r>
      <w:r w:rsidR="006D0C70" w:rsidRPr="00E76083">
        <w:rPr>
          <w:rFonts w:ascii="Palatino Linotype" w:eastAsia="Palatino Linotype" w:hAnsi="Palatino Linotype" w:cs="Palatino Linotype"/>
          <w:color w:val="000000"/>
        </w:rPr>
        <w:t xml:space="preserve">onente, con fundamento en lo dispuesto por el artículo 185, fracción II, de la ley de la materia, a través del acuerdo de admisión de cuatro de agosto de dos mil veinticinco, puso a disposición de las partes el expediente electrónico vía </w:t>
      </w:r>
      <w:r w:rsidR="006D0C70" w:rsidRPr="00E76083">
        <w:rPr>
          <w:rFonts w:ascii="Palatino Linotype" w:eastAsia="Palatino Linotype" w:hAnsi="Palatino Linotype" w:cs="Palatino Linotype"/>
          <w:b/>
          <w:color w:val="000000"/>
        </w:rPr>
        <w:t xml:space="preserve">SAIMEX </w:t>
      </w:r>
      <w:r w:rsidR="006D0C70" w:rsidRPr="00E76083">
        <w:rPr>
          <w:rFonts w:ascii="Palatino Linotype" w:eastAsia="Palatino Linotype" w:hAnsi="Palatino Linotype" w:cs="Palatino Linotype"/>
          <w:color w:val="000000"/>
        </w:rPr>
        <w:t xml:space="preserve">a efecto de que en un plazo máximo de siete días manifestaran lo que a derecho convinieran, ofrecieran </w:t>
      </w:r>
      <w:r w:rsidR="006D0C70" w:rsidRPr="00E76083">
        <w:rPr>
          <w:rFonts w:ascii="Palatino Linotype" w:eastAsia="Palatino Linotype" w:hAnsi="Palatino Linotype" w:cs="Palatino Linotype"/>
          <w:color w:val="000000"/>
        </w:rPr>
        <w:lastRenderedPageBreak/>
        <w:t xml:space="preserve">pruebas y alegatos según corresponda al caso concreto, de esta forma para que el </w:t>
      </w:r>
      <w:r w:rsidR="006D0C70" w:rsidRPr="00E76083">
        <w:rPr>
          <w:rFonts w:ascii="Palatino Linotype" w:eastAsia="Palatino Linotype" w:hAnsi="Palatino Linotype" w:cs="Palatino Linotype"/>
          <w:b/>
          <w:color w:val="000000"/>
        </w:rPr>
        <w:t>SUJETO OBLIGADO</w:t>
      </w:r>
      <w:r w:rsidR="006D0C70" w:rsidRPr="00E76083">
        <w:rPr>
          <w:rFonts w:ascii="Palatino Linotype" w:eastAsia="Palatino Linotype" w:hAnsi="Palatino Linotype" w:cs="Palatino Linotype"/>
          <w:color w:val="000000"/>
        </w:rPr>
        <w:t xml:space="preserve"> presentara el informe justificado procedente.</w:t>
      </w:r>
    </w:p>
    <w:p w14:paraId="1AF12CA2" w14:textId="77777777" w:rsidR="00BD7A3B" w:rsidRPr="00E76083" w:rsidRDefault="00BD7A3B" w:rsidP="00A4767B">
      <w:pPr>
        <w:spacing w:line="360" w:lineRule="auto"/>
        <w:ind w:right="-879"/>
        <w:jc w:val="both"/>
        <w:rPr>
          <w:rFonts w:ascii="Palatino Linotype" w:eastAsia="Palatino Linotype" w:hAnsi="Palatino Linotype" w:cs="Palatino Linotype"/>
          <w:color w:val="FF0000"/>
        </w:rPr>
      </w:pPr>
    </w:p>
    <w:p w14:paraId="314A047D" w14:textId="14933691" w:rsidR="00BD7A3B" w:rsidRPr="00E76083" w:rsidRDefault="002905ED" w:rsidP="00E76083">
      <w:pPr>
        <w:pStyle w:val="Prrafodelista"/>
        <w:numPr>
          <w:ilvl w:val="0"/>
          <w:numId w:val="35"/>
        </w:numPr>
        <w:spacing w:line="360" w:lineRule="auto"/>
        <w:ind w:left="0" w:right="-879" w:firstLine="0"/>
        <w:jc w:val="both"/>
        <w:rPr>
          <w:rFonts w:ascii="Palatino Linotype" w:eastAsia="Palatino Linotype" w:hAnsi="Palatino Linotype" w:cs="Palatino Linotype"/>
          <w:i/>
          <w:color w:val="000000"/>
        </w:rPr>
      </w:pPr>
      <w:r w:rsidRPr="00E76083">
        <w:rPr>
          <w:rFonts w:ascii="Palatino Linotype" w:eastAsia="Palatino Linotype" w:hAnsi="Palatino Linotype" w:cs="Palatino Linotype"/>
        </w:rPr>
        <w:t xml:space="preserve">De las constancias que obran en el expediente electrónico SAIMEX, se advierte que </w:t>
      </w:r>
      <w:r w:rsidR="006D0C70" w:rsidRPr="00E76083">
        <w:rPr>
          <w:rFonts w:ascii="Palatino Linotype" w:eastAsia="Palatino Linotype" w:hAnsi="Palatino Linotype" w:cs="Palatino Linotype"/>
        </w:rPr>
        <w:t>El SUJETO OBLIGADO omitió rendir el informe justificado correspondiente, por su parte, el RECURRENTE no realizó manifestaciones que a su derecho convinieran y asistieran.</w:t>
      </w:r>
    </w:p>
    <w:p w14:paraId="7F9B0DBE" w14:textId="77777777" w:rsidR="006D0C70" w:rsidRPr="00E76083" w:rsidRDefault="006D0C70" w:rsidP="006D0C70">
      <w:pPr>
        <w:pStyle w:val="Prrafodelista"/>
        <w:rPr>
          <w:rFonts w:ascii="Palatino Linotype" w:eastAsia="Palatino Linotype" w:hAnsi="Palatino Linotype" w:cs="Palatino Linotype"/>
          <w:i/>
          <w:color w:val="000000"/>
          <w:sz w:val="24"/>
        </w:rPr>
      </w:pPr>
    </w:p>
    <w:p w14:paraId="7A6B2629" w14:textId="6ACB19AA" w:rsidR="006D0C70" w:rsidRPr="00E76083" w:rsidRDefault="006D0C70" w:rsidP="006D0C70">
      <w:pPr>
        <w:numPr>
          <w:ilvl w:val="0"/>
          <w:numId w:val="35"/>
        </w:numPr>
        <w:pBdr>
          <w:top w:val="nil"/>
          <w:left w:val="nil"/>
          <w:bottom w:val="nil"/>
          <w:right w:val="nil"/>
          <w:between w:val="nil"/>
        </w:pBdr>
        <w:tabs>
          <w:tab w:val="left" w:pos="426"/>
        </w:tabs>
        <w:spacing w:line="360" w:lineRule="auto"/>
        <w:ind w:left="0" w:right="-879" w:firstLine="0"/>
        <w:jc w:val="both"/>
        <w:rPr>
          <w:rFonts w:ascii="Palatino Linotype" w:eastAsia="Palatino Linotype" w:hAnsi="Palatino Linotype" w:cs="Palatino Linotype"/>
          <w:color w:val="000000"/>
        </w:rPr>
      </w:pPr>
      <w:r w:rsidRPr="00E76083">
        <w:rPr>
          <w:rFonts w:ascii="Palatino Linotype" w:eastAsia="Palatino Linotype" w:hAnsi="Palatino Linotype" w:cs="Palatino Linotype"/>
          <w:color w:val="000000"/>
        </w:rPr>
        <w:t xml:space="preserve">Finalmente, el </w:t>
      </w:r>
      <w:r w:rsidR="00C6000A" w:rsidRPr="00E76083">
        <w:rPr>
          <w:rFonts w:ascii="Palatino Linotype" w:eastAsia="Palatino Linotype" w:hAnsi="Palatino Linotype" w:cs="Palatino Linotype"/>
          <w:color w:val="000000"/>
        </w:rPr>
        <w:t>seis de febrero de dos mil veintiséis</w:t>
      </w:r>
      <w:r w:rsidRPr="00E76083">
        <w:rPr>
          <w:rFonts w:ascii="Palatino Linotype" w:eastAsia="Palatino Linotype" w:hAnsi="Palatino Linotype" w:cs="Palatino Linotype"/>
          <w:color w:val="000000"/>
        </w:rPr>
        <w:t xml:space="preserve">, al no existir diligencia o pendiente por desahogar, la Comisionada Ponente decretó el </w:t>
      </w:r>
      <w:r w:rsidRPr="00E76083">
        <w:rPr>
          <w:rFonts w:ascii="Palatino Linotype" w:eastAsia="Palatino Linotype" w:hAnsi="Palatino Linotype" w:cs="Palatino Linotype"/>
          <w:b/>
          <w:color w:val="000000"/>
        </w:rPr>
        <w:t>cierre del periodo de instrucción</w:t>
      </w:r>
      <w:r w:rsidRPr="00E76083">
        <w:rPr>
          <w:rFonts w:ascii="Palatino Linotype" w:eastAsia="Palatino Linotype" w:hAnsi="Palatino Linotype" w:cs="Palatino Linotype"/>
          <w:color w:val="000000"/>
        </w:rPr>
        <w:t>, por lo que ordenó turnar el expediente para su resolución, misma que ahora se pronuncia; y</w:t>
      </w:r>
      <w:r w:rsidR="00E76083">
        <w:rPr>
          <w:rFonts w:ascii="Palatino Linotype" w:eastAsia="Palatino Linotype" w:hAnsi="Palatino Linotype" w:cs="Palatino Linotype"/>
          <w:color w:val="000000"/>
        </w:rPr>
        <w:t xml:space="preserve"> </w:t>
      </w:r>
    </w:p>
    <w:p w14:paraId="7BA3E1B6" w14:textId="77777777" w:rsidR="00BD7A3B" w:rsidRPr="00E76083" w:rsidRDefault="00BD7A3B" w:rsidP="00A4767B">
      <w:pPr>
        <w:spacing w:line="360" w:lineRule="auto"/>
        <w:ind w:right="-879"/>
        <w:jc w:val="both"/>
        <w:rPr>
          <w:rFonts w:ascii="Palatino Linotype" w:eastAsia="Palatino Linotype" w:hAnsi="Palatino Linotype" w:cs="Palatino Linotype"/>
          <w:b/>
        </w:rPr>
      </w:pPr>
    </w:p>
    <w:p w14:paraId="5916F5D5" w14:textId="77777777" w:rsidR="006D0C70" w:rsidRPr="00E76083" w:rsidRDefault="006D0C70" w:rsidP="006D0C70">
      <w:pPr>
        <w:pStyle w:val="Ttulo1"/>
        <w:spacing w:before="0" w:line="360" w:lineRule="auto"/>
        <w:jc w:val="center"/>
        <w:rPr>
          <w:rFonts w:ascii="Palatino Linotype" w:eastAsia="Palatino Linotype" w:hAnsi="Palatino Linotype" w:cs="Palatino Linotype"/>
          <w:b/>
          <w:color w:val="000000"/>
          <w:sz w:val="24"/>
          <w:szCs w:val="24"/>
        </w:rPr>
      </w:pPr>
      <w:r w:rsidRPr="00E76083">
        <w:rPr>
          <w:rFonts w:ascii="Palatino Linotype" w:eastAsia="Palatino Linotype" w:hAnsi="Palatino Linotype" w:cs="Palatino Linotype"/>
          <w:b/>
          <w:color w:val="000000"/>
          <w:sz w:val="24"/>
          <w:szCs w:val="24"/>
        </w:rPr>
        <w:t xml:space="preserve">C O N S I D E R A N D O </w:t>
      </w:r>
    </w:p>
    <w:p w14:paraId="60E1C9D0" w14:textId="77777777" w:rsidR="00BD7A3B" w:rsidRPr="00E76083" w:rsidRDefault="00BD7A3B" w:rsidP="00A4767B">
      <w:pPr>
        <w:pBdr>
          <w:top w:val="nil"/>
          <w:left w:val="nil"/>
          <w:bottom w:val="nil"/>
          <w:right w:val="nil"/>
          <w:between w:val="nil"/>
        </w:pBdr>
        <w:spacing w:line="360" w:lineRule="auto"/>
        <w:ind w:right="-879"/>
        <w:jc w:val="center"/>
        <w:rPr>
          <w:rFonts w:ascii="Palatino Linotype" w:eastAsia="Palatino Linotype" w:hAnsi="Palatino Linotype" w:cs="Palatino Linotype"/>
          <w:b/>
          <w:color w:val="000000"/>
        </w:rPr>
      </w:pPr>
    </w:p>
    <w:p w14:paraId="51081DCF" w14:textId="77777777" w:rsidR="006D0C70" w:rsidRPr="00E76083" w:rsidRDefault="006D0C70" w:rsidP="006D0C70">
      <w:pPr>
        <w:pStyle w:val="Ttulo2"/>
        <w:spacing w:before="0" w:line="360" w:lineRule="auto"/>
        <w:rPr>
          <w:rFonts w:ascii="Palatino Linotype" w:eastAsia="Palatino Linotype" w:hAnsi="Palatino Linotype" w:cs="Palatino Linotype"/>
          <w:b/>
          <w:color w:val="000000"/>
          <w:sz w:val="24"/>
          <w:szCs w:val="24"/>
        </w:rPr>
      </w:pPr>
      <w:bookmarkStart w:id="4" w:name="_heading=h.2et92p0" w:colFirst="0" w:colLast="0"/>
      <w:bookmarkEnd w:id="4"/>
      <w:r w:rsidRPr="00E76083">
        <w:rPr>
          <w:rFonts w:ascii="Palatino Linotype" w:eastAsia="Palatino Linotype" w:hAnsi="Palatino Linotype" w:cs="Palatino Linotype"/>
          <w:b/>
          <w:color w:val="000000"/>
          <w:sz w:val="24"/>
          <w:szCs w:val="24"/>
        </w:rPr>
        <w:t>PRIMERO. De la competencia</w:t>
      </w:r>
    </w:p>
    <w:p w14:paraId="3BE8E46D" w14:textId="77777777" w:rsidR="006D0C70" w:rsidRPr="00E76083" w:rsidRDefault="006D0C70" w:rsidP="006D0C70">
      <w:pPr>
        <w:numPr>
          <w:ilvl w:val="0"/>
          <w:numId w:val="35"/>
        </w:numPr>
        <w:tabs>
          <w:tab w:val="left" w:pos="426"/>
        </w:tabs>
        <w:spacing w:line="360" w:lineRule="auto"/>
        <w:ind w:left="0" w:firstLine="0"/>
        <w:jc w:val="both"/>
        <w:rPr>
          <w:rFonts w:ascii="Palatino Linotype" w:eastAsia="Palatino Linotype" w:hAnsi="Palatino Linotype" w:cs="Palatino Linotype"/>
          <w:color w:val="000000"/>
        </w:rPr>
      </w:pPr>
      <w:r w:rsidRPr="00E76083">
        <w:rPr>
          <w:rFonts w:ascii="Palatino Linotype" w:eastAsia="Palatino Linotype" w:hAnsi="Palatino Linotype" w:cs="Palatino Linotype"/>
          <w:color w:val="000000"/>
        </w:rPr>
        <w:t>Este Instituto de Transparencia, Acceso a la Información Pública y Protección de Datos Personales del Estado de México y Municipios es competente para conocer y resolver el presente Recurso de Revisión, conforme a lo dispuesto en el artículo 5, pá</w:t>
      </w:r>
      <w:r w:rsidRPr="00E76083">
        <w:rPr>
          <w:rFonts w:ascii="Palatino Linotype" w:eastAsia="Palatino Linotype" w:hAnsi="Palatino Linotype" w:cs="Palatino Linotype"/>
        </w:rPr>
        <w:t>r</w:t>
      </w:r>
      <w:r w:rsidRPr="00E76083">
        <w:rPr>
          <w:rFonts w:ascii="Palatino Linotype" w:eastAsia="Palatino Linotype" w:hAnsi="Palatino Linotype" w:cs="Palatino Linotype"/>
          <w:color w:val="000000"/>
        </w:rPr>
        <w:t xml:space="preserve">rafos trigésimo séptimo, trigésimo octavo y trigésimo noveno fracciones IV y V de la Constitución Política del Estado Libre y Soberano de México; </w:t>
      </w:r>
      <w:r w:rsidRPr="00E76083">
        <w:rPr>
          <w:rFonts w:ascii="Palatino Linotype" w:eastAsia="Palatino Linotype" w:hAnsi="Palatino Linotype" w:cs="Palatino Linotype"/>
        </w:rPr>
        <w:t>ordinal</w:t>
      </w:r>
      <w:r w:rsidRPr="00E76083">
        <w:rPr>
          <w:rFonts w:ascii="Palatino Linotype" w:eastAsia="Palatino Linotype" w:hAnsi="Palatino Linotype" w:cs="Palatino Linotype"/>
          <w:color w:val="000000"/>
        </w:rPr>
        <w:t xml:space="preserve"> 2, fracción II, 13, 29, 36, fracciones I y II, 176, 178, 179, 181 párrafo tercero y 185 de la Ley de Transparencia y Acceso a la Información Pública del Estado de México y Municipios; y 9, fracciones I y XXIII y 11 del Reglamento </w:t>
      </w:r>
      <w:r w:rsidRPr="00E76083">
        <w:rPr>
          <w:rFonts w:ascii="Palatino Linotype" w:eastAsia="Palatino Linotype" w:hAnsi="Palatino Linotype" w:cs="Palatino Linotype"/>
        </w:rPr>
        <w:t>Interior</w:t>
      </w:r>
      <w:r w:rsidRPr="00E76083">
        <w:rPr>
          <w:rFonts w:ascii="Palatino Linotype" w:eastAsia="Palatino Linotype" w:hAnsi="Palatino Linotype" w:cs="Palatino Linotype"/>
          <w:color w:val="000000"/>
        </w:rPr>
        <w:t xml:space="preserve"> del Instituto de Transparencia, Acceso a la Información Pública y Protección de Datos Personales del Estado de México y Municipios.</w:t>
      </w:r>
    </w:p>
    <w:p w14:paraId="70900C20" w14:textId="77777777" w:rsidR="006D0C70" w:rsidRPr="00E76083" w:rsidRDefault="006D0C70" w:rsidP="006D0C70">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color w:val="000000"/>
        </w:rPr>
      </w:pPr>
    </w:p>
    <w:p w14:paraId="612E225B" w14:textId="77777777" w:rsidR="006D0C70" w:rsidRPr="00E76083" w:rsidRDefault="006D0C70" w:rsidP="006D0C70">
      <w:pPr>
        <w:pStyle w:val="Ttulo2"/>
        <w:spacing w:before="0" w:line="360" w:lineRule="auto"/>
        <w:rPr>
          <w:rFonts w:ascii="Palatino Linotype" w:eastAsia="Palatino Linotype" w:hAnsi="Palatino Linotype" w:cs="Palatino Linotype"/>
          <w:b/>
          <w:color w:val="000000"/>
          <w:sz w:val="24"/>
          <w:szCs w:val="24"/>
        </w:rPr>
      </w:pPr>
      <w:bookmarkStart w:id="5" w:name="_heading=h.vgdbf2f3k0x" w:colFirst="0" w:colLast="0"/>
      <w:bookmarkEnd w:id="5"/>
      <w:r w:rsidRPr="00E76083">
        <w:rPr>
          <w:rFonts w:ascii="Palatino Linotype" w:eastAsia="Palatino Linotype" w:hAnsi="Palatino Linotype" w:cs="Palatino Linotype"/>
          <w:b/>
          <w:color w:val="000000"/>
          <w:sz w:val="24"/>
          <w:szCs w:val="24"/>
        </w:rPr>
        <w:lastRenderedPageBreak/>
        <w:t>SEGUNDO. De la oportunidad y procedencia.</w:t>
      </w:r>
    </w:p>
    <w:p w14:paraId="1F96E40D" w14:textId="77777777" w:rsidR="006D0C70" w:rsidRPr="00E76083" w:rsidRDefault="006D0C70" w:rsidP="006D0C70">
      <w:pPr>
        <w:numPr>
          <w:ilvl w:val="0"/>
          <w:numId w:val="35"/>
        </w:numPr>
        <w:tabs>
          <w:tab w:val="left" w:pos="426"/>
        </w:tabs>
        <w:spacing w:line="360" w:lineRule="auto"/>
        <w:ind w:left="0" w:firstLine="0"/>
        <w:jc w:val="both"/>
        <w:rPr>
          <w:rFonts w:ascii="Palatino Linotype" w:eastAsia="Palatino Linotype" w:hAnsi="Palatino Linotype" w:cs="Palatino Linotype"/>
          <w:color w:val="000000"/>
        </w:rPr>
      </w:pPr>
      <w:r w:rsidRPr="00E76083">
        <w:rPr>
          <w:rFonts w:ascii="Palatino Linotype" w:eastAsia="Palatino Linotype" w:hAnsi="Palatino Linotype" w:cs="Palatino Linotype"/>
        </w:rPr>
        <w:t xml:space="preserve">Es de precisar, que la Ley de Transparencia y Acceso a la Información Pública del Estado de México y Municipios, en el artículo 178 describe la procedencia del recurso de revisión, asimismo señala que el plazo del </w:t>
      </w:r>
      <w:r w:rsidRPr="00E76083">
        <w:rPr>
          <w:rFonts w:ascii="Palatino Linotype" w:eastAsia="Palatino Linotype" w:hAnsi="Palatino Linotype" w:cs="Palatino Linotype"/>
          <w:b/>
        </w:rPr>
        <w:t>SUJETO OBLIGADO</w:t>
      </w:r>
      <w:r w:rsidRPr="00E76083">
        <w:rPr>
          <w:rFonts w:ascii="Palatino Linotype" w:eastAsia="Palatino Linotype" w:hAnsi="Palatino Linotype" w:cs="Palatino Linotype"/>
        </w:rPr>
        <w:t xml:space="preserve"> para entregar la respuesta a una solicitud de información pública, es de 15 días hábiles posteriores a la presentación de ésta; por lo que, transcurrido este término, cuando no entregue la respuesta a la solicitud dentro del plazo previsto en la Ley, la solicitud se entenderá negada y el solicitante podrá interponer el recurso de revisión previsto en el ordenamiento en cita.  </w:t>
      </w:r>
    </w:p>
    <w:p w14:paraId="7AB797B8" w14:textId="77777777" w:rsidR="006D0C70" w:rsidRPr="00E76083" w:rsidRDefault="006D0C70" w:rsidP="006D0C70">
      <w:pPr>
        <w:tabs>
          <w:tab w:val="left" w:pos="426"/>
        </w:tabs>
        <w:spacing w:line="360" w:lineRule="auto"/>
        <w:jc w:val="both"/>
        <w:rPr>
          <w:rFonts w:ascii="Palatino Linotype" w:eastAsia="Palatino Linotype" w:hAnsi="Palatino Linotype" w:cs="Palatino Linotype"/>
          <w:color w:val="000000"/>
        </w:rPr>
      </w:pPr>
    </w:p>
    <w:p w14:paraId="7044553E" w14:textId="77777777" w:rsidR="006D0C70" w:rsidRPr="00E76083" w:rsidRDefault="006D0C70" w:rsidP="006D0C70">
      <w:pPr>
        <w:numPr>
          <w:ilvl w:val="0"/>
          <w:numId w:val="35"/>
        </w:numPr>
        <w:tabs>
          <w:tab w:val="left" w:pos="426"/>
        </w:tabs>
        <w:spacing w:line="360" w:lineRule="auto"/>
        <w:ind w:left="0" w:firstLine="0"/>
        <w:jc w:val="both"/>
        <w:rPr>
          <w:rFonts w:ascii="Palatino Linotype" w:eastAsia="Palatino Linotype" w:hAnsi="Palatino Linotype" w:cs="Palatino Linotype"/>
          <w:color w:val="000000"/>
        </w:rPr>
      </w:pPr>
      <w:r w:rsidRPr="00E76083">
        <w:rPr>
          <w:rFonts w:ascii="Palatino Linotype" w:eastAsia="Palatino Linotype" w:hAnsi="Palatino Linotype" w:cs="Palatino Linotype"/>
        </w:rPr>
        <w:t xml:space="preserve">Por ende, se constituye la figura jurídica de la </w:t>
      </w:r>
      <w:r w:rsidRPr="00E76083">
        <w:rPr>
          <w:rFonts w:ascii="Palatino Linotype" w:eastAsia="Palatino Linotype" w:hAnsi="Palatino Linotype" w:cs="Palatino Linotype"/>
          <w:i/>
        </w:rPr>
        <w:t>negativa ficta</w:t>
      </w:r>
      <w:r w:rsidRPr="00E76083">
        <w:rPr>
          <w:rFonts w:ascii="Palatino Linotype" w:eastAsia="Palatino Linotype" w:hAnsi="Palatino Linotype" w:cs="Palatino Linotype"/>
        </w:rPr>
        <w:t xml:space="preserve">, cuya esencia es atribuir un efecto negativo al silencio de la autoridad administrativa frente a las instancias y solicitudes que hagan los particulares, lo cual encuentra sustento en lo que establece el artículo </w:t>
      </w:r>
      <w:r w:rsidRPr="00E76083">
        <w:rPr>
          <w:rFonts w:ascii="Palatino Linotype" w:eastAsia="Palatino Linotype" w:hAnsi="Palatino Linotype" w:cs="Palatino Linotype"/>
          <w:b/>
        </w:rPr>
        <w:t>178</w:t>
      </w:r>
      <w:r w:rsidRPr="00E76083">
        <w:rPr>
          <w:rFonts w:ascii="Palatino Linotype" w:eastAsia="Palatino Linotype" w:hAnsi="Palatino Linotype" w:cs="Palatino Linotype"/>
        </w:rPr>
        <w:t xml:space="preserve"> segundo párrafo de </w:t>
      </w:r>
      <w:r w:rsidRPr="00E76083">
        <w:rPr>
          <w:rFonts w:ascii="Palatino Linotype" w:eastAsia="Palatino Linotype" w:hAnsi="Palatino Linotype" w:cs="Palatino Linotype"/>
          <w:b/>
        </w:rPr>
        <w:t>Ley de Transparencia y Acceso a la Información Pública del Estado de México y Municipios</w:t>
      </w:r>
      <w:r w:rsidRPr="00E76083">
        <w:rPr>
          <w:rFonts w:ascii="Palatino Linotype" w:eastAsia="Palatino Linotype" w:hAnsi="Palatino Linotype" w:cs="Palatino Linotype"/>
          <w:color w:val="000000"/>
          <w:highlight w:val="white"/>
        </w:rPr>
        <w:t xml:space="preserve">, que dispone; ante la falta de respuesta del </w:t>
      </w:r>
      <w:r w:rsidRPr="00E76083">
        <w:rPr>
          <w:rFonts w:ascii="Palatino Linotype" w:eastAsia="Palatino Linotype" w:hAnsi="Palatino Linotype" w:cs="Palatino Linotype"/>
          <w:b/>
          <w:color w:val="000000"/>
          <w:highlight w:val="white"/>
        </w:rPr>
        <w:t>SUJETO OBLIGADO,</w:t>
      </w:r>
      <w:r w:rsidRPr="00E76083">
        <w:rPr>
          <w:rFonts w:ascii="Palatino Linotype" w:eastAsia="Palatino Linotype" w:hAnsi="Palatino Linotype" w:cs="Palatino Linotype"/>
          <w:color w:val="000000"/>
          <w:highlight w:val="white"/>
        </w:rPr>
        <w:t xml:space="preserve"> dentro de los plazos establecidos en esta Ley, a una solicitud de acceso a la información pública, el recurso </w:t>
      </w:r>
      <w:r w:rsidRPr="00E76083">
        <w:rPr>
          <w:rFonts w:ascii="Palatino Linotype" w:eastAsia="Palatino Linotype" w:hAnsi="Palatino Linotype" w:cs="Palatino Linotype"/>
          <w:b/>
          <w:color w:val="000000"/>
          <w:highlight w:val="white"/>
        </w:rPr>
        <w:t xml:space="preserve">podrá ser interpuesto en cualquier momento. </w:t>
      </w:r>
    </w:p>
    <w:p w14:paraId="08871ED7" w14:textId="77777777" w:rsidR="006D0C70" w:rsidRPr="00E76083" w:rsidRDefault="006D0C70" w:rsidP="006D0C70">
      <w:pPr>
        <w:tabs>
          <w:tab w:val="left" w:pos="426"/>
        </w:tabs>
        <w:spacing w:line="360" w:lineRule="auto"/>
        <w:rPr>
          <w:rFonts w:ascii="Palatino Linotype" w:eastAsia="Palatino Linotype" w:hAnsi="Palatino Linotype" w:cs="Palatino Linotype"/>
          <w:color w:val="000000"/>
        </w:rPr>
      </w:pPr>
    </w:p>
    <w:p w14:paraId="42B6E690" w14:textId="77777777" w:rsidR="006D0C70" w:rsidRPr="00E76083" w:rsidRDefault="006D0C70" w:rsidP="006D0C70">
      <w:pPr>
        <w:numPr>
          <w:ilvl w:val="0"/>
          <w:numId w:val="35"/>
        </w:numPr>
        <w:tabs>
          <w:tab w:val="left" w:pos="426"/>
        </w:tabs>
        <w:spacing w:line="360" w:lineRule="auto"/>
        <w:ind w:left="0" w:firstLine="0"/>
        <w:jc w:val="both"/>
        <w:rPr>
          <w:rFonts w:ascii="Palatino Linotype" w:eastAsia="Palatino Linotype" w:hAnsi="Palatino Linotype" w:cs="Palatino Linotype"/>
          <w:color w:val="000000"/>
        </w:rPr>
      </w:pPr>
      <w:bookmarkStart w:id="6" w:name="_heading=h.5yf3ucvqvupc" w:colFirst="0" w:colLast="0"/>
      <w:bookmarkEnd w:id="6"/>
      <w:r w:rsidRPr="00E76083">
        <w:rPr>
          <w:rFonts w:ascii="Palatino Linotype" w:eastAsia="Palatino Linotype" w:hAnsi="Palatino Linotype" w:cs="Palatino Linotype"/>
        </w:rPr>
        <w:t xml:space="preserve">Por lo que, tratándose de la </w:t>
      </w:r>
      <w:r w:rsidRPr="00E76083">
        <w:rPr>
          <w:rFonts w:ascii="Palatino Linotype" w:eastAsia="Palatino Linotype" w:hAnsi="Palatino Linotype" w:cs="Palatino Linotype"/>
          <w:i/>
        </w:rPr>
        <w:t>negativa ficta</w:t>
      </w:r>
      <w:r w:rsidRPr="00E76083">
        <w:rPr>
          <w:rFonts w:ascii="Palatino Linotype" w:eastAsia="Palatino Linotype" w:hAnsi="Palatino Linotype" w:cs="Palatino Linotype"/>
        </w:rPr>
        <w:t xml:space="preserve"> no existe respuesta que se haga del conocimiento al particular, a partir de la cual pueda computarse el plazo legal establecido, por tal motivo es pertinente señalar que no existe plazo para la interposición del recurso de revisión, sirviendo de apoyo a lo anterior lo que dispone el Criterio de Interpretación en el orden administrativo número 001-15, emitido por el Pleno del Instituto de Transparencia y Acceso a la Información Pública del Estado de </w:t>
      </w:r>
      <w:r w:rsidRPr="00E76083">
        <w:rPr>
          <w:rFonts w:ascii="Palatino Linotype" w:eastAsia="Palatino Linotype" w:hAnsi="Palatino Linotype" w:cs="Palatino Linotype"/>
        </w:rPr>
        <w:lastRenderedPageBreak/>
        <w:t xml:space="preserve">México y Municipios, en la Sexta Sesión Ordinaria, y publicada en el Periódico Oficial “Gaceta del Gobierno” el veinticuatro de abril de dos mil quince, relativo a la interposición del recurso de revisión en cualquier tiempo cuando exista </w:t>
      </w:r>
      <w:r w:rsidRPr="00E76083">
        <w:rPr>
          <w:rFonts w:ascii="Palatino Linotype" w:eastAsia="Palatino Linotype" w:hAnsi="Palatino Linotype" w:cs="Palatino Linotype"/>
          <w:i/>
        </w:rPr>
        <w:t>negativa ficta</w:t>
      </w:r>
      <w:r w:rsidRPr="00E76083">
        <w:rPr>
          <w:rFonts w:ascii="Palatino Linotype" w:eastAsia="Palatino Linotype" w:hAnsi="Palatino Linotype" w:cs="Palatino Linotype"/>
        </w:rPr>
        <w:t>, que señala:</w:t>
      </w:r>
    </w:p>
    <w:p w14:paraId="7DB7EE96" w14:textId="77777777" w:rsidR="006D0C70" w:rsidRPr="00E76083" w:rsidRDefault="006D0C70" w:rsidP="006D0C70">
      <w:pPr>
        <w:tabs>
          <w:tab w:val="left" w:pos="284"/>
          <w:tab w:val="left" w:pos="7655"/>
        </w:tabs>
        <w:spacing w:line="360" w:lineRule="auto"/>
        <w:ind w:left="567" w:right="822"/>
        <w:jc w:val="center"/>
        <w:rPr>
          <w:rFonts w:ascii="Palatino Linotype" w:eastAsia="Palatino Linotype" w:hAnsi="Palatino Linotype" w:cs="Palatino Linotype"/>
          <w:b/>
        </w:rPr>
      </w:pPr>
      <w:r w:rsidRPr="00E76083">
        <w:rPr>
          <w:rFonts w:ascii="Palatino Linotype" w:eastAsia="Palatino Linotype" w:hAnsi="Palatino Linotype" w:cs="Palatino Linotype"/>
          <w:b/>
        </w:rPr>
        <w:t>Criterio 0001-15</w:t>
      </w:r>
    </w:p>
    <w:p w14:paraId="1448ED40" w14:textId="77777777" w:rsidR="006D0C70" w:rsidRPr="00E76083" w:rsidRDefault="006D0C70" w:rsidP="006D0C70">
      <w:pPr>
        <w:tabs>
          <w:tab w:val="left" w:pos="284"/>
          <w:tab w:val="left" w:pos="7655"/>
        </w:tabs>
        <w:spacing w:line="360" w:lineRule="auto"/>
        <w:ind w:left="567" w:right="822"/>
        <w:jc w:val="both"/>
        <w:rPr>
          <w:rFonts w:ascii="Palatino Linotype" w:eastAsia="Palatino Linotype" w:hAnsi="Palatino Linotype" w:cs="Palatino Linotype"/>
          <w:i/>
        </w:rPr>
      </w:pPr>
      <w:r w:rsidRPr="00E76083">
        <w:rPr>
          <w:rFonts w:ascii="Palatino Linotype" w:eastAsia="Palatino Linotype" w:hAnsi="Palatino Linotype" w:cs="Palatino Linotype"/>
          <w:b/>
          <w:i/>
        </w:rPr>
        <w:t>NEGATIVA FICTA. PLAZO PARA INTERPONER EL RECURSO DE REVISIÓN TRATÁNDOSE DE.</w:t>
      </w:r>
      <w:r w:rsidRPr="00E76083">
        <w:rPr>
          <w:rFonts w:ascii="Palatino Linotype" w:eastAsia="Palatino Linotype" w:hAnsi="Palatino Linotype" w:cs="Palatino Linotype"/>
          <w:i/>
        </w:rPr>
        <w:t xml:space="preserve"> “El artículo 48, párrafo tercero de la Ley de Transparencia y Acceso a la Información Pública del Estado de México y Municipios establece que, cuando no se entregue la respuesta a la solicitud dentro del plazo de 15 días establecidos en el artículo 46 de la Ley de la materia, se entenderá por negada la solicitud y podrá interponerse el recurso correspondiente. Por su parte, el artículo 72 del mismo ordenamiento legal establece el plazo de 15 días para interponer el recurso de revisión a partir del día siguiente al que tuvo conocimiento de la respuesta recaída a su solicitud, sin que se establezca excepción alguna tratándose de una falta de respuesta del sujeto obligado. Así, entonces, resulta evidente que, al no emitirse respuesta dentro del plazo establecido, se genera la ficción legal de una respuesta en sentido negativo; en el entendido de que el plazo para impugnar esa negativa podrá ser en cualquier tiempo y hasta en tanto no se dicte resolución expresa; es decir, mientras no haya respuesta por parte del Sujeto Obligado, momento a partir del cual deberá computarse el plazo previsto en el artículo 72 de la citada Ley.”</w:t>
      </w:r>
    </w:p>
    <w:p w14:paraId="4CC2745C" w14:textId="77777777" w:rsidR="006D0C70" w:rsidRPr="00E76083" w:rsidRDefault="006D0C70" w:rsidP="006D0C70">
      <w:pPr>
        <w:tabs>
          <w:tab w:val="left" w:pos="284"/>
          <w:tab w:val="left" w:pos="7655"/>
        </w:tabs>
        <w:spacing w:line="360" w:lineRule="auto"/>
        <w:ind w:left="567" w:right="822"/>
        <w:jc w:val="both"/>
        <w:rPr>
          <w:rFonts w:ascii="Palatino Linotype" w:eastAsia="Palatino Linotype" w:hAnsi="Palatino Linotype" w:cs="Palatino Linotype"/>
          <w:i/>
        </w:rPr>
      </w:pPr>
    </w:p>
    <w:p w14:paraId="5AF6CB88" w14:textId="77777777" w:rsidR="006D0C70" w:rsidRPr="00E76083" w:rsidRDefault="006D0C70" w:rsidP="006D0C70">
      <w:pPr>
        <w:numPr>
          <w:ilvl w:val="0"/>
          <w:numId w:val="35"/>
        </w:numPr>
        <w:tabs>
          <w:tab w:val="left" w:pos="426"/>
        </w:tabs>
        <w:spacing w:line="360" w:lineRule="auto"/>
        <w:ind w:left="0" w:firstLine="0"/>
        <w:jc w:val="both"/>
        <w:rPr>
          <w:rFonts w:ascii="Palatino Linotype" w:eastAsia="Palatino Linotype" w:hAnsi="Palatino Linotype" w:cs="Palatino Linotype"/>
          <w:color w:val="000000"/>
        </w:rPr>
      </w:pPr>
      <w:r w:rsidRPr="00E76083">
        <w:rPr>
          <w:rFonts w:ascii="Palatino Linotype" w:eastAsia="Palatino Linotype" w:hAnsi="Palatino Linotype" w:cs="Palatino Linotype"/>
          <w:color w:val="000000"/>
        </w:rPr>
        <w:t xml:space="preserve">Lo anterior, se explica porque la </w:t>
      </w:r>
      <w:r w:rsidRPr="00E76083">
        <w:rPr>
          <w:rFonts w:ascii="Palatino Linotype" w:eastAsia="Palatino Linotype" w:hAnsi="Palatino Linotype" w:cs="Palatino Linotype"/>
          <w:b/>
          <w:color w:val="000000"/>
          <w:u w:val="single"/>
        </w:rPr>
        <w:t>posible ausencia</w:t>
      </w:r>
      <w:r w:rsidRPr="00E76083">
        <w:rPr>
          <w:rFonts w:ascii="Palatino Linotype" w:eastAsia="Palatino Linotype" w:hAnsi="Palatino Linotype" w:cs="Palatino Linotype"/>
          <w:color w:val="000000"/>
        </w:rPr>
        <w:t xml:space="preserve"> de una respuesta en la solicitud constituye un acto que vulnera el derecho de manera continua y actualizable cada día, en tanto no se emita la respuesta a la que esté impuesto el </w:t>
      </w:r>
      <w:r w:rsidRPr="00E76083">
        <w:rPr>
          <w:rFonts w:ascii="Palatino Linotype" w:eastAsia="Palatino Linotype" w:hAnsi="Palatino Linotype" w:cs="Palatino Linotype"/>
          <w:b/>
          <w:color w:val="000000"/>
        </w:rPr>
        <w:t>SUJETO OBLIGADO</w:t>
      </w:r>
      <w:r w:rsidRPr="00E76083">
        <w:rPr>
          <w:rFonts w:ascii="Palatino Linotype" w:eastAsia="Palatino Linotype" w:hAnsi="Palatino Linotype" w:cs="Palatino Linotype"/>
          <w:color w:val="000000"/>
        </w:rPr>
        <w:t>.</w:t>
      </w:r>
    </w:p>
    <w:p w14:paraId="7A5E0B3E" w14:textId="77777777" w:rsidR="006D0C70" w:rsidRPr="00E76083" w:rsidRDefault="006D0C70" w:rsidP="006D0C70">
      <w:pPr>
        <w:numPr>
          <w:ilvl w:val="0"/>
          <w:numId w:val="35"/>
        </w:numPr>
        <w:tabs>
          <w:tab w:val="left" w:pos="426"/>
        </w:tabs>
        <w:spacing w:line="360" w:lineRule="auto"/>
        <w:ind w:left="0" w:firstLine="0"/>
        <w:jc w:val="both"/>
        <w:rPr>
          <w:rFonts w:ascii="Palatino Linotype" w:eastAsia="Palatino Linotype" w:hAnsi="Palatino Linotype" w:cs="Palatino Linotype"/>
        </w:rPr>
      </w:pPr>
      <w:r w:rsidRPr="00E76083">
        <w:rPr>
          <w:rFonts w:ascii="Palatino Linotype" w:eastAsia="Palatino Linotype" w:hAnsi="Palatino Linotype" w:cs="Palatino Linotype"/>
        </w:rPr>
        <w:lastRenderedPageBreak/>
        <w:t xml:space="preserve">Por otra parte, de la revisión al expediente electrónico del </w:t>
      </w:r>
      <w:r w:rsidRPr="00E76083">
        <w:rPr>
          <w:rFonts w:ascii="Palatino Linotype" w:eastAsia="Palatino Linotype" w:hAnsi="Palatino Linotype" w:cs="Palatino Linotype"/>
          <w:b/>
        </w:rPr>
        <w:t>SAIMEX</w:t>
      </w:r>
      <w:r w:rsidRPr="00E76083">
        <w:rPr>
          <w:rFonts w:ascii="Palatino Linotype" w:eastAsia="Palatino Linotype" w:hAnsi="Palatino Linotype" w:cs="Palatino Linotype"/>
        </w:rPr>
        <w:t xml:space="preserve"> se desprende que la parte solicitante, en ejercicio de su derecho de acceso a la información pública en el expediente que se revisa, tanto en la solicitud de información como en el recurso de revisión </w:t>
      </w:r>
      <w:r w:rsidRPr="00E76083">
        <w:rPr>
          <w:rFonts w:ascii="Palatino Linotype" w:eastAsia="Palatino Linotype" w:hAnsi="Palatino Linotype" w:cs="Palatino Linotype"/>
          <w:b/>
        </w:rPr>
        <w:t>no proporcionó ningún nombre, seudónimo o carácter para ser identificado, ni se tiene certeza de su identidad</w:t>
      </w:r>
      <w:r w:rsidRPr="00E76083">
        <w:rPr>
          <w:rFonts w:ascii="Palatino Linotype" w:eastAsia="Palatino Linotype" w:hAnsi="Palatino Linotype" w:cs="Palatino Linotype"/>
        </w:rPr>
        <w:t>; sin embargo, es importante señalar también que el nombre de los Solicitantes y Recurrentes no es un requisito indispensable para la tramitación del acto procesal específico en materia de acceso a la información, ello en estricto apego al numeral 155, párrafo tercero, de la Ley de la materia, en concatenación con el 180 del mismo ordenamiento.</w:t>
      </w:r>
    </w:p>
    <w:p w14:paraId="04E25378" w14:textId="77777777" w:rsidR="006D0C70" w:rsidRPr="00E76083" w:rsidRDefault="006D0C70" w:rsidP="006D0C70">
      <w:pPr>
        <w:pBdr>
          <w:top w:val="nil"/>
          <w:left w:val="nil"/>
          <w:bottom w:val="nil"/>
          <w:right w:val="nil"/>
          <w:between w:val="nil"/>
        </w:pBdr>
        <w:tabs>
          <w:tab w:val="left" w:pos="426"/>
        </w:tabs>
        <w:spacing w:line="360" w:lineRule="auto"/>
        <w:rPr>
          <w:rFonts w:ascii="Palatino Linotype" w:eastAsia="Palatino Linotype" w:hAnsi="Palatino Linotype" w:cs="Palatino Linotype"/>
          <w:color w:val="000000"/>
        </w:rPr>
      </w:pPr>
    </w:p>
    <w:p w14:paraId="79A8E580" w14:textId="77777777" w:rsidR="006D0C70" w:rsidRPr="00E76083" w:rsidRDefault="006D0C70" w:rsidP="006D0C70">
      <w:pPr>
        <w:numPr>
          <w:ilvl w:val="0"/>
          <w:numId w:val="35"/>
        </w:numPr>
        <w:tabs>
          <w:tab w:val="left" w:pos="426"/>
        </w:tabs>
        <w:spacing w:line="360" w:lineRule="auto"/>
        <w:ind w:left="0" w:firstLine="0"/>
        <w:jc w:val="both"/>
        <w:rPr>
          <w:rFonts w:ascii="Palatino Linotype" w:eastAsia="Palatino Linotype" w:hAnsi="Palatino Linotype" w:cs="Palatino Linotype"/>
        </w:rPr>
      </w:pPr>
      <w:r w:rsidRPr="00E76083">
        <w:rPr>
          <w:rFonts w:ascii="Palatino Linotype" w:eastAsia="Palatino Linotype" w:hAnsi="Palatino Linotype" w:cs="Palatino Linotype"/>
        </w:rPr>
        <w:t>Esto es así, ya que de conformidad con los artículos 6, Apartado A, fracciones III y IV de la Constitución Política de los Estados Unidos Mexicanos y 5, párrafos vigésimo, vigésimo primero y vigésimo segundo, fracciones IV y V, de la Constitución Política del Estado Libre y Soberano de México, se establece que toda persona, sin necesidad de acreditar interés alguno o justificar su utilización, tendrá acceso gratuito a la información pública, a sus datos personales o a la rectificación de éstos, además de que se establecerán mecanismos de acceso a la información y procedimientos de revisión expeditos que se sustanciarán ante los organismos autónomos especializados e imparciales que establece la Constitución Federal y local.</w:t>
      </w:r>
    </w:p>
    <w:p w14:paraId="5F796791" w14:textId="77777777" w:rsidR="006D0C70" w:rsidRPr="00E76083" w:rsidRDefault="006D0C70" w:rsidP="006D0C70">
      <w:pPr>
        <w:pBdr>
          <w:top w:val="nil"/>
          <w:left w:val="nil"/>
          <w:bottom w:val="nil"/>
          <w:right w:val="nil"/>
          <w:between w:val="nil"/>
        </w:pBdr>
        <w:ind w:left="720"/>
        <w:rPr>
          <w:rFonts w:ascii="Palatino Linotype" w:eastAsia="Palatino Linotype" w:hAnsi="Palatino Linotype" w:cs="Palatino Linotype"/>
          <w:color w:val="000000"/>
        </w:rPr>
      </w:pPr>
    </w:p>
    <w:p w14:paraId="4F87207C" w14:textId="77777777" w:rsidR="006D0C70" w:rsidRPr="00E76083" w:rsidRDefault="006D0C70" w:rsidP="006D0C70">
      <w:pPr>
        <w:numPr>
          <w:ilvl w:val="0"/>
          <w:numId w:val="35"/>
        </w:numPr>
        <w:tabs>
          <w:tab w:val="left" w:pos="426"/>
        </w:tabs>
        <w:spacing w:line="360" w:lineRule="auto"/>
        <w:ind w:left="0" w:firstLine="0"/>
        <w:jc w:val="both"/>
        <w:rPr>
          <w:rFonts w:ascii="Palatino Linotype" w:eastAsia="Palatino Linotype" w:hAnsi="Palatino Linotype" w:cs="Palatino Linotype"/>
        </w:rPr>
      </w:pPr>
      <w:r w:rsidRPr="00E76083">
        <w:rPr>
          <w:rFonts w:ascii="Palatino Linotype" w:eastAsia="Palatino Linotype" w:hAnsi="Palatino Linotype" w:cs="Palatino Linotype"/>
        </w:rPr>
        <w:t xml:space="preserve">Por lo cual, de una interpretación sistemática, armónica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w:t>
      </w:r>
      <w:r w:rsidRPr="00E76083">
        <w:rPr>
          <w:rFonts w:ascii="Palatino Linotype" w:eastAsia="Palatino Linotype" w:hAnsi="Palatino Linotype" w:cs="Palatino Linotype"/>
        </w:rPr>
        <w:lastRenderedPageBreak/>
        <w:t>posibilidad de que inclusive, la solicitud de acceso a la información pueda ser anónima o no contener un nombre que identifique al solicitante o que permita tener certeza sobre su identidad.</w:t>
      </w:r>
    </w:p>
    <w:p w14:paraId="0DF603BA" w14:textId="77777777" w:rsidR="006D0C70" w:rsidRPr="00E76083" w:rsidRDefault="006D0C70" w:rsidP="006D0C70">
      <w:pPr>
        <w:pBdr>
          <w:top w:val="nil"/>
          <w:left w:val="nil"/>
          <w:bottom w:val="nil"/>
          <w:right w:val="nil"/>
          <w:between w:val="nil"/>
        </w:pBdr>
        <w:tabs>
          <w:tab w:val="left" w:pos="426"/>
        </w:tabs>
        <w:spacing w:line="360" w:lineRule="auto"/>
        <w:rPr>
          <w:rFonts w:ascii="Palatino Linotype" w:eastAsia="Palatino Linotype" w:hAnsi="Palatino Linotype" w:cs="Palatino Linotype"/>
          <w:color w:val="000000"/>
        </w:rPr>
      </w:pPr>
    </w:p>
    <w:p w14:paraId="31F99F68" w14:textId="77777777" w:rsidR="006D0C70" w:rsidRPr="00E76083" w:rsidRDefault="006D0C70" w:rsidP="006D0C70">
      <w:pPr>
        <w:numPr>
          <w:ilvl w:val="0"/>
          <w:numId w:val="35"/>
        </w:numPr>
        <w:tabs>
          <w:tab w:val="left" w:pos="426"/>
        </w:tabs>
        <w:spacing w:line="360" w:lineRule="auto"/>
        <w:ind w:left="0" w:firstLine="0"/>
        <w:jc w:val="both"/>
        <w:rPr>
          <w:rFonts w:ascii="Palatino Linotype" w:eastAsia="Palatino Linotype" w:hAnsi="Palatino Linotype" w:cs="Palatino Linotype"/>
        </w:rPr>
      </w:pPr>
      <w:r w:rsidRPr="00E76083">
        <w:rPr>
          <w:rFonts w:ascii="Palatino Linotype" w:eastAsia="Palatino Linotype" w:hAnsi="Palatino Linotype" w:cs="Palatino Linotype"/>
        </w:rPr>
        <w:t>En ese entendido, se omite un análisis más profundo en torno a los conceptos de interés jurídico y legitimación, debido a que se estima que a ningún efecto práctico conduciría, puesto que la propia estructura del derecho fundamental bajo análisis no lo exige.</w:t>
      </w:r>
    </w:p>
    <w:p w14:paraId="50653265" w14:textId="77777777" w:rsidR="006D0C70" w:rsidRPr="00E76083" w:rsidRDefault="006D0C70" w:rsidP="006D0C70">
      <w:pPr>
        <w:pBdr>
          <w:top w:val="nil"/>
          <w:left w:val="nil"/>
          <w:bottom w:val="nil"/>
          <w:right w:val="nil"/>
          <w:between w:val="nil"/>
        </w:pBdr>
        <w:tabs>
          <w:tab w:val="left" w:pos="426"/>
        </w:tabs>
        <w:spacing w:line="360" w:lineRule="auto"/>
        <w:rPr>
          <w:rFonts w:ascii="Palatino Linotype" w:eastAsia="Palatino Linotype" w:hAnsi="Palatino Linotype" w:cs="Palatino Linotype"/>
          <w:color w:val="000000"/>
        </w:rPr>
      </w:pPr>
    </w:p>
    <w:p w14:paraId="554B2FD2" w14:textId="77777777" w:rsidR="006D0C70" w:rsidRPr="00E76083" w:rsidRDefault="006D0C70" w:rsidP="006D0C70">
      <w:pPr>
        <w:numPr>
          <w:ilvl w:val="0"/>
          <w:numId w:val="35"/>
        </w:numPr>
        <w:tabs>
          <w:tab w:val="left" w:pos="426"/>
        </w:tabs>
        <w:spacing w:line="360" w:lineRule="auto"/>
        <w:ind w:left="0" w:firstLine="0"/>
        <w:jc w:val="both"/>
        <w:rPr>
          <w:rFonts w:ascii="Palatino Linotype" w:eastAsia="Palatino Linotype" w:hAnsi="Palatino Linotype" w:cs="Palatino Linotype"/>
        </w:rPr>
      </w:pPr>
      <w:r w:rsidRPr="00E76083">
        <w:rPr>
          <w:rFonts w:ascii="Palatino Linotype" w:eastAsia="Palatino Linotype" w:hAnsi="Palatino Linotype" w:cs="Palatino Linotype"/>
        </w:rPr>
        <w:t xml:space="preserve">Por lo que el nombre del </w:t>
      </w:r>
      <w:r w:rsidRPr="00E76083">
        <w:rPr>
          <w:rFonts w:ascii="Palatino Linotype" w:eastAsia="Palatino Linotype" w:hAnsi="Palatino Linotype" w:cs="Palatino Linotype"/>
          <w:b/>
        </w:rPr>
        <w:t>SOLICITANTE</w:t>
      </w:r>
      <w:r w:rsidRPr="00E76083">
        <w:rPr>
          <w:rFonts w:ascii="Palatino Linotype" w:eastAsia="Palatino Linotype" w:hAnsi="Palatino Linotype" w:cs="Palatino Linotype"/>
        </w:rPr>
        <w:t xml:space="preserve"> y subsecuente </w:t>
      </w:r>
      <w:r w:rsidRPr="00E76083">
        <w:rPr>
          <w:rFonts w:ascii="Palatino Linotype" w:eastAsia="Palatino Linotype" w:hAnsi="Palatino Linotype" w:cs="Palatino Linotype"/>
          <w:b/>
        </w:rPr>
        <w:t>RECURRENTE</w:t>
      </w:r>
      <w:r w:rsidRPr="00E76083">
        <w:rPr>
          <w:rFonts w:ascii="Palatino Linotype" w:eastAsia="Palatino Linotype" w:hAnsi="Palatino Linotype" w:cs="Palatino Linotype"/>
        </w:rPr>
        <w:t xml:space="preserve"> no puede ser considerado un requisito indispensable de procedibilidad del recurso de revisión que nos ocupa, ya que el acceso a la información no está condicionado a acreditar algún interés ya sea jurídico o legítimo, máxime que es un elemento subsanable por este Órgano Resolutor.</w:t>
      </w:r>
    </w:p>
    <w:p w14:paraId="4076710B" w14:textId="77777777" w:rsidR="006D0C70" w:rsidRPr="00E76083" w:rsidRDefault="006D0C70" w:rsidP="006D0C70">
      <w:pPr>
        <w:pBdr>
          <w:top w:val="nil"/>
          <w:left w:val="nil"/>
          <w:bottom w:val="nil"/>
          <w:right w:val="nil"/>
          <w:between w:val="nil"/>
        </w:pBdr>
        <w:ind w:left="720"/>
        <w:rPr>
          <w:rFonts w:ascii="Palatino Linotype" w:eastAsia="Palatino Linotype" w:hAnsi="Palatino Linotype" w:cs="Palatino Linotype"/>
          <w:color w:val="000000"/>
        </w:rPr>
      </w:pPr>
    </w:p>
    <w:p w14:paraId="1ADB801A" w14:textId="77777777" w:rsidR="006D0C70" w:rsidRPr="00E76083" w:rsidRDefault="006D0C70" w:rsidP="006D0C70">
      <w:pPr>
        <w:numPr>
          <w:ilvl w:val="0"/>
          <w:numId w:val="35"/>
        </w:numPr>
        <w:tabs>
          <w:tab w:val="left" w:pos="426"/>
        </w:tabs>
        <w:spacing w:line="360" w:lineRule="auto"/>
        <w:ind w:left="0" w:right="49" w:firstLine="0"/>
        <w:jc w:val="both"/>
        <w:rPr>
          <w:rFonts w:ascii="Palatino Linotype" w:eastAsia="Palatino Linotype" w:hAnsi="Palatino Linotype" w:cs="Palatino Linotype"/>
          <w:b/>
        </w:rPr>
      </w:pPr>
      <w:r w:rsidRPr="00E76083">
        <w:rPr>
          <w:rFonts w:ascii="Palatino Linotype" w:eastAsia="Palatino Linotype" w:hAnsi="Palatino Linotype" w:cs="Palatino Linotype"/>
        </w:rPr>
        <w:t>Expuesto lo anterior,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14:paraId="71CE1566" w14:textId="77777777" w:rsidR="006D0C70" w:rsidRPr="00E76083" w:rsidRDefault="006D0C70" w:rsidP="006D0C70">
      <w:pPr>
        <w:pStyle w:val="Ttulo1"/>
        <w:spacing w:before="0" w:line="360" w:lineRule="auto"/>
        <w:rPr>
          <w:rFonts w:ascii="Palatino Linotype" w:eastAsia="Palatino Linotype" w:hAnsi="Palatino Linotype" w:cs="Palatino Linotype"/>
          <w:b/>
          <w:color w:val="000000"/>
          <w:sz w:val="24"/>
          <w:szCs w:val="24"/>
        </w:rPr>
      </w:pPr>
      <w:bookmarkStart w:id="7" w:name="_heading=h.g5dhtlcdft8e" w:colFirst="0" w:colLast="0"/>
      <w:bookmarkEnd w:id="7"/>
    </w:p>
    <w:p w14:paraId="0A17CD7D" w14:textId="77777777" w:rsidR="006D0C70" w:rsidRPr="00E76083" w:rsidRDefault="006D0C70" w:rsidP="006D0C70">
      <w:pPr>
        <w:pStyle w:val="Ttulo1"/>
        <w:spacing w:before="0" w:line="360" w:lineRule="auto"/>
        <w:rPr>
          <w:rFonts w:ascii="Palatino Linotype" w:eastAsia="Palatino Linotype" w:hAnsi="Palatino Linotype" w:cs="Palatino Linotype"/>
          <w:b/>
          <w:color w:val="000000"/>
          <w:sz w:val="24"/>
          <w:szCs w:val="24"/>
        </w:rPr>
      </w:pPr>
      <w:r w:rsidRPr="00E76083">
        <w:rPr>
          <w:rFonts w:ascii="Palatino Linotype" w:eastAsia="Palatino Linotype" w:hAnsi="Palatino Linotype" w:cs="Palatino Linotype"/>
          <w:b/>
          <w:color w:val="000000"/>
          <w:sz w:val="24"/>
          <w:szCs w:val="24"/>
        </w:rPr>
        <w:t xml:space="preserve">TERCERO. De las causales del sobreseimiento </w:t>
      </w:r>
    </w:p>
    <w:p w14:paraId="4E32E962" w14:textId="77777777" w:rsidR="00166D22" w:rsidRPr="00E76083" w:rsidRDefault="00166D22" w:rsidP="00166D22">
      <w:pPr>
        <w:numPr>
          <w:ilvl w:val="0"/>
          <w:numId w:val="36"/>
        </w:numPr>
        <w:pBdr>
          <w:top w:val="nil"/>
          <w:left w:val="nil"/>
          <w:bottom w:val="nil"/>
          <w:right w:val="nil"/>
          <w:between w:val="nil"/>
        </w:pBdr>
        <w:spacing w:line="360" w:lineRule="auto"/>
        <w:jc w:val="both"/>
        <w:rPr>
          <w:rFonts w:ascii="Palatino Linotype" w:eastAsia="Palatino Linotype" w:hAnsi="Palatino Linotype" w:cs="Palatino Linotype"/>
          <w:i/>
        </w:rPr>
      </w:pPr>
      <w:r w:rsidRPr="00E76083">
        <w:rPr>
          <w:rFonts w:ascii="Palatino Linotype" w:eastAsia="Calibri" w:hAnsi="Palatino Linotype" w:cs="Tahoma"/>
          <w:iCs/>
          <w:lang w:val="es-ES" w:eastAsia="es-ES_tradnl"/>
        </w:rPr>
        <w:t xml:space="preserve">De </w:t>
      </w:r>
      <w:r w:rsidRPr="00E76083">
        <w:rPr>
          <w:rFonts w:ascii="Palatino Linotype" w:eastAsia="Calibri" w:hAnsi="Palatino Linotype"/>
        </w:rPr>
        <w:t xml:space="preserve">acuerdo con el precepto legal contenido en la fracción IV del artículo 192 de la </w:t>
      </w:r>
      <w:r w:rsidRPr="00E76083">
        <w:rPr>
          <w:rFonts w:ascii="Palatino Linotype" w:eastAsia="Calibri" w:hAnsi="Palatino Linotype"/>
          <w:b/>
        </w:rPr>
        <w:t>Ley de Transparencia y Acceso a la Información Pública del Estado de México y Municipios</w:t>
      </w:r>
      <w:r w:rsidRPr="00E76083">
        <w:rPr>
          <w:rFonts w:ascii="Palatino Linotype" w:eastAsia="Calibri" w:hAnsi="Palatino Linotype"/>
        </w:rPr>
        <w:t>, el recurso será sobreseído, cuando una vez admitido, aparezca alguna causal de improcedencia en términos de la misma Ley.</w:t>
      </w:r>
    </w:p>
    <w:p w14:paraId="5FDC7AEA" w14:textId="77777777" w:rsidR="00166D22" w:rsidRPr="00E76083" w:rsidRDefault="00166D22" w:rsidP="00166D22">
      <w:pPr>
        <w:keepNext/>
        <w:keepLines/>
        <w:numPr>
          <w:ilvl w:val="1"/>
          <w:numId w:val="37"/>
        </w:numPr>
        <w:spacing w:line="360" w:lineRule="auto"/>
        <w:ind w:left="567" w:right="-28" w:firstLine="0"/>
        <w:outlineLvl w:val="1"/>
        <w:rPr>
          <w:rFonts w:ascii="Palatino Linotype" w:eastAsiaTheme="majorEastAsia" w:hAnsi="Palatino Linotype" w:cstheme="majorBidi"/>
          <w:b/>
          <w:iCs/>
        </w:rPr>
      </w:pPr>
      <w:bookmarkStart w:id="8" w:name="_Toc365136"/>
      <w:r w:rsidRPr="00E76083">
        <w:rPr>
          <w:rFonts w:ascii="Palatino Linotype" w:eastAsiaTheme="majorEastAsia" w:hAnsi="Palatino Linotype" w:cstheme="majorBidi"/>
          <w:b/>
          <w:iCs/>
        </w:rPr>
        <w:lastRenderedPageBreak/>
        <w:t xml:space="preserve"> De la solicitud de información</w:t>
      </w:r>
      <w:bookmarkEnd w:id="8"/>
      <w:r w:rsidRPr="00E76083">
        <w:rPr>
          <w:rFonts w:ascii="Palatino Linotype" w:eastAsiaTheme="majorEastAsia" w:hAnsi="Palatino Linotype" w:cstheme="majorBidi"/>
          <w:b/>
          <w:iCs/>
        </w:rPr>
        <w:t xml:space="preserve"> </w:t>
      </w:r>
    </w:p>
    <w:p w14:paraId="28645F17" w14:textId="77777777" w:rsidR="00166D22" w:rsidRPr="00E76083" w:rsidRDefault="00166D22" w:rsidP="00150FB8">
      <w:pPr>
        <w:numPr>
          <w:ilvl w:val="0"/>
          <w:numId w:val="36"/>
        </w:numPr>
        <w:pBdr>
          <w:top w:val="nil"/>
          <w:left w:val="nil"/>
          <w:bottom w:val="nil"/>
          <w:right w:val="nil"/>
          <w:between w:val="nil"/>
        </w:pBdr>
        <w:spacing w:line="360" w:lineRule="auto"/>
        <w:jc w:val="both"/>
        <w:rPr>
          <w:rFonts w:ascii="Palatino Linotype" w:eastAsia="Palatino Linotype" w:hAnsi="Palatino Linotype" w:cs="Palatino Linotype"/>
          <w:i/>
        </w:rPr>
      </w:pPr>
      <w:r w:rsidRPr="00E76083">
        <w:rPr>
          <w:rFonts w:ascii="Palatino Linotype" w:eastAsia="Palatino Linotype" w:hAnsi="Palatino Linotype" w:cs="Palatino Linotype"/>
          <w:color w:val="000000"/>
        </w:rPr>
        <w:t xml:space="preserve">Como se ha señalado, la parte </w:t>
      </w:r>
      <w:r w:rsidRPr="00E76083">
        <w:rPr>
          <w:rFonts w:ascii="Palatino Linotype" w:eastAsia="Palatino Linotype" w:hAnsi="Palatino Linotype" w:cs="Palatino Linotype"/>
          <w:b/>
          <w:color w:val="000000"/>
        </w:rPr>
        <w:t>RECURRENTE</w:t>
      </w:r>
      <w:r w:rsidRPr="00E76083">
        <w:rPr>
          <w:rFonts w:ascii="Palatino Linotype" w:eastAsia="Palatino Linotype" w:hAnsi="Palatino Linotype" w:cs="Palatino Linotype"/>
          <w:color w:val="000000"/>
        </w:rPr>
        <w:t xml:space="preserve"> requirió </w:t>
      </w:r>
      <w:r w:rsidR="00150FB8" w:rsidRPr="00E76083">
        <w:rPr>
          <w:rFonts w:ascii="Palatino Linotype" w:eastAsia="Palatino Linotype" w:hAnsi="Palatino Linotype" w:cs="Palatino Linotype"/>
          <w:color w:val="000000"/>
        </w:rPr>
        <w:t>con relación la construcción de las estructuras de concreto en la obra Puente de Conexión a la Autopista México – Querétaro (codo libramiento norte) las facturas, garantías, seguros, fianzas, documentos en que CAPUFE haya intervenido y el nombre de la empresa  proveedora.</w:t>
      </w:r>
    </w:p>
    <w:p w14:paraId="2DA0C767" w14:textId="77777777" w:rsidR="00166D22" w:rsidRPr="00E76083" w:rsidRDefault="00166D22" w:rsidP="00166D22">
      <w:pPr>
        <w:pBdr>
          <w:top w:val="nil"/>
          <w:left w:val="nil"/>
          <w:bottom w:val="nil"/>
          <w:right w:val="nil"/>
          <w:between w:val="nil"/>
        </w:pBdr>
        <w:spacing w:line="360" w:lineRule="auto"/>
        <w:jc w:val="both"/>
        <w:rPr>
          <w:rFonts w:ascii="Palatino Linotype" w:eastAsia="Palatino Linotype" w:hAnsi="Palatino Linotype" w:cs="Palatino Linotype"/>
          <w:i/>
        </w:rPr>
      </w:pPr>
    </w:p>
    <w:p w14:paraId="0C0E904A" w14:textId="77777777" w:rsidR="00166D22" w:rsidRPr="00E76083" w:rsidRDefault="00166D22" w:rsidP="00166D22">
      <w:pPr>
        <w:numPr>
          <w:ilvl w:val="0"/>
          <w:numId w:val="36"/>
        </w:numPr>
        <w:pBdr>
          <w:top w:val="nil"/>
          <w:left w:val="nil"/>
          <w:bottom w:val="nil"/>
          <w:right w:val="nil"/>
          <w:between w:val="nil"/>
        </w:pBdr>
        <w:spacing w:line="360" w:lineRule="auto"/>
        <w:jc w:val="both"/>
        <w:rPr>
          <w:rStyle w:val="Hipervnculo"/>
          <w:rFonts w:ascii="Palatino Linotype" w:eastAsia="Palatino Linotype" w:hAnsi="Palatino Linotype" w:cs="Palatino Linotype"/>
          <w:b/>
          <w:i/>
        </w:rPr>
      </w:pPr>
      <w:r w:rsidRPr="00E76083">
        <w:rPr>
          <w:rFonts w:ascii="Palatino Linotype" w:eastAsia="Palatino Linotype" w:hAnsi="Palatino Linotype" w:cs="Palatino Linotype"/>
          <w:color w:val="000000"/>
        </w:rPr>
        <w:t xml:space="preserve">En respuesta </w:t>
      </w:r>
      <w:r w:rsidR="00B47162" w:rsidRPr="00E76083">
        <w:rPr>
          <w:rFonts w:ascii="Palatino Linotype" w:eastAsia="Palatino Linotype" w:hAnsi="Palatino Linotype" w:cs="Palatino Linotype"/>
          <w:color w:val="000000"/>
        </w:rPr>
        <w:t xml:space="preserve">al Recurso de Revisión </w:t>
      </w:r>
      <w:r w:rsidR="00E04EE4" w:rsidRPr="00E76083">
        <w:rPr>
          <w:rFonts w:ascii="Palatino Linotype" w:eastAsia="Palatino Linotype" w:hAnsi="Palatino Linotype" w:cs="Palatino Linotype"/>
          <w:color w:val="000000"/>
        </w:rPr>
        <w:t xml:space="preserve">y en fecha diez de noviembre de dos mil veinticinco,  </w:t>
      </w:r>
      <w:r w:rsidRPr="00E76083">
        <w:rPr>
          <w:rFonts w:ascii="Palatino Linotype" w:eastAsia="Palatino Linotype" w:hAnsi="Palatino Linotype" w:cs="Palatino Linotype"/>
          <w:color w:val="000000"/>
        </w:rPr>
        <w:t xml:space="preserve">el </w:t>
      </w:r>
      <w:r w:rsidRPr="00E76083">
        <w:rPr>
          <w:rFonts w:ascii="Palatino Linotype" w:eastAsia="Palatino Linotype" w:hAnsi="Palatino Linotype" w:cs="Palatino Linotype"/>
          <w:b/>
          <w:color w:val="000000"/>
        </w:rPr>
        <w:t>SUJETO OBLIGADO,</w:t>
      </w:r>
      <w:r w:rsidRPr="00E76083">
        <w:rPr>
          <w:rFonts w:ascii="Palatino Linotype" w:eastAsia="Palatino Linotype" w:hAnsi="Palatino Linotype" w:cs="Palatino Linotype"/>
          <w:color w:val="000000"/>
        </w:rPr>
        <w:t xml:space="preserve"> </w:t>
      </w:r>
      <w:r w:rsidRPr="00E76083">
        <w:rPr>
          <w:rFonts w:ascii="Palatino Linotype" w:eastAsia="Palatino Linotype" w:hAnsi="Palatino Linotype" w:cs="Palatino Linotype"/>
        </w:rPr>
        <w:t xml:space="preserve">entregó por medio del Director de </w:t>
      </w:r>
      <w:r w:rsidR="00C6000A" w:rsidRPr="00E76083">
        <w:rPr>
          <w:rFonts w:ascii="Palatino Linotype" w:eastAsia="Palatino Linotype" w:hAnsi="Palatino Linotype" w:cs="Palatino Linotype"/>
        </w:rPr>
        <w:t xml:space="preserve">Obras Públicas </w:t>
      </w:r>
      <w:r w:rsidRPr="00E76083">
        <w:rPr>
          <w:rFonts w:ascii="Palatino Linotype" w:eastAsia="Palatino Linotype" w:hAnsi="Palatino Linotype" w:cs="Palatino Linotype"/>
        </w:rPr>
        <w:t xml:space="preserve"> </w:t>
      </w:r>
      <w:r w:rsidR="00C6000A" w:rsidRPr="00E76083">
        <w:rPr>
          <w:rFonts w:ascii="Palatino Linotype" w:eastAsia="Palatino Linotype" w:hAnsi="Palatino Linotype" w:cs="Palatino Linotype"/>
        </w:rPr>
        <w:t xml:space="preserve">un archivo en formato pdf denominado </w:t>
      </w:r>
      <w:r w:rsidR="00C6000A" w:rsidRPr="00E76083">
        <w:rPr>
          <w:rFonts w:ascii="Palatino Linotype" w:eastAsia="Palatino Linotype" w:hAnsi="Palatino Linotype" w:cs="Palatino Linotype"/>
          <w:b/>
        </w:rPr>
        <w:t xml:space="preserve">DOP-2182-2025 </w:t>
      </w:r>
      <w:r w:rsidR="00C6000A" w:rsidRPr="00E76083">
        <w:rPr>
          <w:rFonts w:ascii="Palatino Linotype" w:eastAsia="Palatino Linotype" w:hAnsi="Palatino Linotype" w:cs="Palatino Linotype"/>
        </w:rPr>
        <w:t>donde medularmente señala que después de la búsqueda exhaustiva en los expedientes que obran en su área y en la fecha solicitada no encontró la información relacionada.</w:t>
      </w:r>
    </w:p>
    <w:p w14:paraId="25C22081" w14:textId="77777777" w:rsidR="00166D22" w:rsidRPr="00E76083" w:rsidRDefault="00166D22" w:rsidP="00166D22">
      <w:pPr>
        <w:pBdr>
          <w:top w:val="nil"/>
          <w:left w:val="nil"/>
          <w:bottom w:val="nil"/>
          <w:right w:val="nil"/>
          <w:between w:val="nil"/>
        </w:pBdr>
        <w:ind w:right="48"/>
        <w:jc w:val="both"/>
        <w:rPr>
          <w:rFonts w:ascii="Palatino Linotype" w:eastAsia="Palatino Linotype" w:hAnsi="Palatino Linotype" w:cs="Palatino Linotype"/>
          <w:color w:val="000000"/>
        </w:rPr>
      </w:pPr>
    </w:p>
    <w:p w14:paraId="2365C27E" w14:textId="77777777" w:rsidR="00166D22" w:rsidRPr="00E76083" w:rsidRDefault="00166D22" w:rsidP="00166D22">
      <w:pPr>
        <w:pStyle w:val="Prrafodelista"/>
        <w:rPr>
          <w:rFonts w:ascii="Palatino Linotype" w:eastAsia="Palatino Linotype" w:hAnsi="Palatino Linotype" w:cs="Palatino Linotype"/>
          <w:color w:val="000000"/>
          <w:sz w:val="24"/>
        </w:rPr>
      </w:pPr>
    </w:p>
    <w:p w14:paraId="11E31625" w14:textId="77777777" w:rsidR="00166D22" w:rsidRPr="00E76083" w:rsidRDefault="00166D22" w:rsidP="00166D22">
      <w:pPr>
        <w:numPr>
          <w:ilvl w:val="0"/>
          <w:numId w:val="36"/>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E76083">
        <w:rPr>
          <w:rFonts w:ascii="Palatino Linotype" w:eastAsia="Palatino Linotype" w:hAnsi="Palatino Linotype" w:cs="Palatino Linotype"/>
          <w:color w:val="000000"/>
        </w:rPr>
        <w:t xml:space="preserve">Posteriormente, el </w:t>
      </w:r>
      <w:r w:rsidRPr="00E76083">
        <w:rPr>
          <w:rFonts w:ascii="Palatino Linotype" w:eastAsia="Palatino Linotype" w:hAnsi="Palatino Linotype" w:cs="Palatino Linotype"/>
          <w:b/>
          <w:color w:val="000000"/>
        </w:rPr>
        <w:t xml:space="preserve">RECURRENTE </w:t>
      </w:r>
      <w:r w:rsidRPr="00E76083">
        <w:rPr>
          <w:rFonts w:ascii="Palatino Linotype" w:eastAsia="Palatino Linotype" w:hAnsi="Palatino Linotype" w:cs="Palatino Linotype"/>
          <w:color w:val="000000"/>
        </w:rPr>
        <w:t xml:space="preserve">interpuso recurso de revisión </w:t>
      </w:r>
      <w:r w:rsidR="004E69BC" w:rsidRPr="00E76083">
        <w:rPr>
          <w:rFonts w:ascii="Palatino Linotype" w:eastAsia="Palatino Linotype" w:hAnsi="Palatino Linotype" w:cs="Palatino Linotype"/>
          <w:color w:val="000000"/>
        </w:rPr>
        <w:t>en fecha veintiuno de enero de dos mil veintiséis, es decir posterior a los quince días señalados por la Ley</w:t>
      </w:r>
      <w:r w:rsidR="004E69BC" w:rsidRPr="00E76083">
        <w:rPr>
          <w:rStyle w:val="Refdenotaalpie"/>
          <w:rFonts w:ascii="Palatino Linotype" w:eastAsia="Palatino Linotype" w:hAnsi="Palatino Linotype" w:cs="Palatino Linotype"/>
          <w:color w:val="000000"/>
        </w:rPr>
        <w:footnoteReference w:id="1"/>
      </w:r>
      <w:r w:rsidR="00E04EE4" w:rsidRPr="00E76083">
        <w:rPr>
          <w:rFonts w:ascii="Palatino Linotype" w:eastAsia="Palatino Linotype" w:hAnsi="Palatino Linotype" w:cs="Palatino Linotype"/>
          <w:color w:val="000000"/>
        </w:rPr>
        <w:t xml:space="preserve"> </w:t>
      </w:r>
      <w:r w:rsidR="0032282B" w:rsidRPr="00E76083">
        <w:rPr>
          <w:rFonts w:ascii="Palatino Linotype" w:eastAsia="Palatino Linotype" w:hAnsi="Palatino Linotype" w:cs="Palatino Linotype"/>
          <w:color w:val="000000"/>
        </w:rPr>
        <w:t xml:space="preserve">por lo que se aprecia </w:t>
      </w:r>
      <w:r w:rsidR="004E69BC" w:rsidRPr="00E76083">
        <w:rPr>
          <w:rFonts w:ascii="Palatino Linotype" w:eastAsia="Palatino Linotype" w:hAnsi="Palatino Linotype" w:cs="Palatino Linotype"/>
          <w:color w:val="000000"/>
        </w:rPr>
        <w:t xml:space="preserve">que el Recurso de Revisión </w:t>
      </w:r>
      <w:r w:rsidR="00E04EE4" w:rsidRPr="00E76083">
        <w:rPr>
          <w:rFonts w:ascii="Palatino Linotype" w:eastAsia="Palatino Linotype" w:hAnsi="Palatino Linotype" w:cs="Palatino Linotype"/>
          <w:color w:val="000000"/>
        </w:rPr>
        <w:t xml:space="preserve">debía ser interpuesto entre el once de noviembre y hasta el dos de diciembre de dos mil veinticinco; </w:t>
      </w:r>
      <w:r w:rsidR="004E69BC" w:rsidRPr="00E76083">
        <w:rPr>
          <w:rFonts w:ascii="Palatino Linotype" w:eastAsia="Palatino Linotype" w:hAnsi="Palatino Linotype" w:cs="Palatino Linotype"/>
          <w:color w:val="000000"/>
        </w:rPr>
        <w:t xml:space="preserve"> </w:t>
      </w:r>
      <w:r w:rsidR="00E04EE4" w:rsidRPr="00E76083">
        <w:rPr>
          <w:rFonts w:ascii="Palatino Linotype" w:eastAsia="Palatino Linotype" w:hAnsi="Palatino Linotype" w:cs="Palatino Linotype"/>
          <w:color w:val="000000"/>
        </w:rPr>
        <w:t xml:space="preserve">inconformándose medularmente </w:t>
      </w:r>
      <w:r w:rsidR="0032282B" w:rsidRPr="00E76083">
        <w:rPr>
          <w:rFonts w:ascii="Palatino Linotype" w:eastAsia="Palatino Linotype" w:hAnsi="Palatino Linotype" w:cs="Palatino Linotype"/>
          <w:color w:val="000000"/>
        </w:rPr>
        <w:t xml:space="preserve">el particular </w:t>
      </w:r>
      <w:r w:rsidR="00E04EE4" w:rsidRPr="00E76083">
        <w:rPr>
          <w:rFonts w:ascii="Palatino Linotype" w:eastAsia="Palatino Linotype" w:hAnsi="Palatino Linotype" w:cs="Palatino Linotype"/>
          <w:color w:val="000000"/>
        </w:rPr>
        <w:t xml:space="preserve">por </w:t>
      </w:r>
      <w:r w:rsidRPr="00E76083">
        <w:rPr>
          <w:rFonts w:ascii="Palatino Linotype" w:eastAsia="Palatino Linotype" w:hAnsi="Palatino Linotype" w:cs="Palatino Linotype"/>
          <w:color w:val="000000"/>
        </w:rPr>
        <w:t>la falta de respuesta a la solicitud de información por parte del Sujeto Obligado.</w:t>
      </w:r>
    </w:p>
    <w:p w14:paraId="4FD55006" w14:textId="77777777" w:rsidR="00166D22" w:rsidRPr="00E76083" w:rsidRDefault="00166D22" w:rsidP="00166D22">
      <w:pPr>
        <w:pBdr>
          <w:top w:val="nil"/>
          <w:left w:val="nil"/>
          <w:bottom w:val="nil"/>
          <w:right w:val="nil"/>
          <w:between w:val="nil"/>
        </w:pBdr>
        <w:spacing w:line="360" w:lineRule="auto"/>
        <w:jc w:val="center"/>
        <w:rPr>
          <w:rFonts w:ascii="Palatino Linotype" w:eastAsia="Palatino Linotype" w:hAnsi="Palatino Linotype" w:cs="Palatino Linotype"/>
          <w:color w:val="000000"/>
        </w:rPr>
      </w:pPr>
    </w:p>
    <w:p w14:paraId="456BD411" w14:textId="77777777" w:rsidR="00166D22" w:rsidRPr="00E76083" w:rsidRDefault="0032282B" w:rsidP="00166D22">
      <w:pPr>
        <w:pStyle w:val="Prrafodelista"/>
        <w:numPr>
          <w:ilvl w:val="0"/>
          <w:numId w:val="36"/>
        </w:numPr>
        <w:spacing w:line="360" w:lineRule="auto"/>
        <w:ind w:right="-28"/>
        <w:jc w:val="both"/>
        <w:rPr>
          <w:rFonts w:ascii="Palatino Linotype" w:eastAsia="Palatino Linotype" w:hAnsi="Palatino Linotype" w:cs="Palatino Linotype"/>
          <w:sz w:val="24"/>
        </w:rPr>
      </w:pPr>
      <w:r w:rsidRPr="00E76083">
        <w:rPr>
          <w:rFonts w:ascii="Palatino Linotype" w:eastAsia="Palatino Linotype" w:hAnsi="Palatino Linotype" w:cs="Palatino Linotype"/>
          <w:sz w:val="24"/>
        </w:rPr>
        <w:lastRenderedPageBreak/>
        <w:t xml:space="preserve">Así mismo, </w:t>
      </w:r>
      <w:r w:rsidR="00166D22" w:rsidRPr="00E76083">
        <w:rPr>
          <w:rFonts w:ascii="Palatino Linotype" w:hAnsi="Palatino Linotype"/>
          <w:sz w:val="24"/>
        </w:rPr>
        <w:t>el recurso revisión tiene como finalidad reparar cualquier posible afectación al derecho de acceso a la información pública en términos del Título Octavo de la Ley de Transparencia, Acceso a la Información Pública del Estado de</w:t>
      </w:r>
      <w:r w:rsidRPr="00E76083">
        <w:rPr>
          <w:rFonts w:ascii="Palatino Linotype" w:hAnsi="Palatino Linotype"/>
          <w:sz w:val="24"/>
        </w:rPr>
        <w:t xml:space="preserve"> </w:t>
      </w:r>
      <w:r w:rsidR="00166D22" w:rsidRPr="00E76083">
        <w:rPr>
          <w:rFonts w:ascii="Palatino Linotype" w:hAnsi="Palatino Linotype"/>
          <w:sz w:val="24"/>
        </w:rPr>
        <w:t xml:space="preserve">México y Municipios, y determinar la confirmación; revocación o modificación; desechamiento o sobreseimiento; y, en su caso, ordenar la entrega de la información respecto a la respuesta emitida por el </w:t>
      </w:r>
      <w:r w:rsidR="00166D22" w:rsidRPr="00E76083">
        <w:rPr>
          <w:rFonts w:ascii="Palatino Linotype" w:hAnsi="Palatino Linotype"/>
          <w:b/>
          <w:bCs/>
          <w:sz w:val="24"/>
        </w:rPr>
        <w:t>SUJETO OBLIGADO,</w:t>
      </w:r>
      <w:r w:rsidR="00166D22" w:rsidRPr="00E76083">
        <w:rPr>
          <w:rFonts w:ascii="Palatino Linotype" w:hAnsi="Palatino Linotype"/>
          <w:sz w:val="24"/>
        </w:rPr>
        <w:t xml:space="preserve"> lo cierto, es que este Órgano Garante advierte que se actualiza la causal de sobreseimiento prevista en la fracción V del artículo 192 de la Ley de Transparencia y Acceso a la Información Pública del Estado de México y Municipios, como se expone a continuación: </w:t>
      </w:r>
    </w:p>
    <w:p w14:paraId="7FA3E7E4" w14:textId="77777777" w:rsidR="00166D22" w:rsidRPr="00E76083" w:rsidRDefault="00166D22" w:rsidP="00166D22">
      <w:pPr>
        <w:tabs>
          <w:tab w:val="left" w:pos="7938"/>
        </w:tabs>
        <w:ind w:left="1134" w:right="851"/>
        <w:contextualSpacing/>
        <w:jc w:val="both"/>
        <w:rPr>
          <w:rFonts w:ascii="Palatino Linotype" w:hAnsi="Palatino Linotype"/>
          <w:i/>
          <w:iCs/>
        </w:rPr>
      </w:pPr>
      <w:r w:rsidRPr="00E76083">
        <w:rPr>
          <w:rFonts w:ascii="Palatino Linotype" w:hAnsi="Palatino Linotype"/>
          <w:b/>
          <w:bCs/>
          <w:i/>
          <w:iCs/>
        </w:rPr>
        <w:t>“</w:t>
      </w:r>
      <w:r w:rsidRPr="00E76083">
        <w:rPr>
          <w:rFonts w:ascii="Palatino Linotype" w:hAnsi="Palatino Linotype"/>
          <w:i/>
          <w:iCs/>
        </w:rPr>
        <w:t xml:space="preserve"> </w:t>
      </w:r>
      <w:r w:rsidRPr="00E76083">
        <w:rPr>
          <w:rFonts w:ascii="Palatino Linotype" w:hAnsi="Palatino Linotype"/>
          <w:b/>
          <w:bCs/>
          <w:i/>
          <w:iCs/>
        </w:rPr>
        <w:t>Artículo 192.</w:t>
      </w:r>
      <w:r w:rsidRPr="00E76083">
        <w:rPr>
          <w:rFonts w:ascii="Palatino Linotype" w:hAnsi="Palatino Linotype"/>
          <w:i/>
          <w:iCs/>
        </w:rPr>
        <w:t xml:space="preserve"> El recurso será sobreseído, en todo o en parte, cuando una vez admitido, se actualicen alguno de los siguientes supuestos: </w:t>
      </w:r>
    </w:p>
    <w:p w14:paraId="4E041EA6" w14:textId="77777777" w:rsidR="00166D22" w:rsidRPr="00E76083" w:rsidRDefault="00166D22" w:rsidP="00166D22">
      <w:pPr>
        <w:tabs>
          <w:tab w:val="left" w:pos="7938"/>
        </w:tabs>
        <w:ind w:left="1134" w:right="851"/>
        <w:contextualSpacing/>
        <w:jc w:val="both"/>
        <w:rPr>
          <w:rFonts w:ascii="Palatino Linotype" w:hAnsi="Palatino Linotype"/>
          <w:i/>
          <w:iCs/>
        </w:rPr>
      </w:pPr>
      <w:r w:rsidRPr="00E76083">
        <w:rPr>
          <w:rFonts w:ascii="Palatino Linotype" w:hAnsi="Palatino Linotype"/>
          <w:i/>
          <w:iCs/>
        </w:rPr>
        <w:t xml:space="preserve">(…) </w:t>
      </w:r>
    </w:p>
    <w:p w14:paraId="0F1893DC" w14:textId="77777777" w:rsidR="00166D22" w:rsidRPr="00E76083" w:rsidRDefault="00166D22" w:rsidP="00166D22">
      <w:pPr>
        <w:pStyle w:val="Prrafodelista"/>
        <w:tabs>
          <w:tab w:val="left" w:pos="7938"/>
        </w:tabs>
        <w:spacing w:line="360" w:lineRule="auto"/>
        <w:ind w:left="1134" w:right="851"/>
        <w:jc w:val="both"/>
        <w:rPr>
          <w:rFonts w:ascii="Palatino Linotype" w:eastAsia="Palatino Linotype" w:hAnsi="Palatino Linotype" w:cs="Palatino Linotype"/>
          <w:sz w:val="24"/>
        </w:rPr>
      </w:pPr>
      <w:r w:rsidRPr="00E76083">
        <w:rPr>
          <w:rFonts w:ascii="Palatino Linotype" w:hAnsi="Palatino Linotype"/>
          <w:b/>
          <w:bCs/>
          <w:i/>
          <w:iCs/>
          <w:sz w:val="24"/>
        </w:rPr>
        <w:t>IV. Admitido el recurso de revisión, aparezca alguna causal de improcedencia en los términos de la presente Ley;”</w:t>
      </w:r>
    </w:p>
    <w:p w14:paraId="3CED1253" w14:textId="77777777" w:rsidR="00166D22" w:rsidRPr="00E76083" w:rsidRDefault="00166D22" w:rsidP="00166D22">
      <w:pPr>
        <w:pStyle w:val="Prrafodelista"/>
        <w:ind w:left="0" w:right="-28"/>
        <w:jc w:val="both"/>
        <w:rPr>
          <w:rFonts w:ascii="Palatino Linotype" w:eastAsia="Palatino Linotype" w:hAnsi="Palatino Linotype" w:cs="Palatino Linotype"/>
          <w:sz w:val="24"/>
        </w:rPr>
      </w:pPr>
    </w:p>
    <w:p w14:paraId="6DE4C4DA" w14:textId="77777777" w:rsidR="00166D22" w:rsidRPr="00E76083" w:rsidRDefault="00166D22" w:rsidP="00166D22">
      <w:pPr>
        <w:pStyle w:val="Prrafodelista"/>
        <w:numPr>
          <w:ilvl w:val="0"/>
          <w:numId w:val="36"/>
        </w:numPr>
        <w:spacing w:line="360" w:lineRule="auto"/>
        <w:jc w:val="both"/>
        <w:rPr>
          <w:rFonts w:ascii="Palatino Linotype" w:hAnsi="Palatino Linotype"/>
          <w:sz w:val="24"/>
        </w:rPr>
      </w:pPr>
      <w:r w:rsidRPr="00E76083">
        <w:rPr>
          <w:rFonts w:ascii="Palatino Linotype" w:hAnsi="Palatino Linotype"/>
          <w:sz w:val="24"/>
        </w:rPr>
        <w:t xml:space="preserve">De lo anterior se advierte que la parte Recurrente refiere no haber recibido respuesta sin embargo como se ha observado de la respuesta emitida por el Sujeto Obligado </w:t>
      </w:r>
      <w:r w:rsidR="00B61C72" w:rsidRPr="00E76083">
        <w:rPr>
          <w:rFonts w:ascii="Palatino Linotype" w:hAnsi="Palatino Linotype"/>
          <w:sz w:val="24"/>
        </w:rPr>
        <w:t xml:space="preserve">si bien es cierto señala no </w:t>
      </w:r>
      <w:r w:rsidR="00582ED5" w:rsidRPr="00E76083">
        <w:rPr>
          <w:rFonts w:ascii="Palatino Linotype" w:hAnsi="Palatino Linotype"/>
          <w:sz w:val="24"/>
        </w:rPr>
        <w:t xml:space="preserve">haber localizado </w:t>
      </w:r>
      <w:r w:rsidR="00B61C72" w:rsidRPr="00E76083">
        <w:rPr>
          <w:rFonts w:ascii="Palatino Linotype" w:hAnsi="Palatino Linotype"/>
          <w:sz w:val="24"/>
        </w:rPr>
        <w:t xml:space="preserve"> la información requerida</w:t>
      </w:r>
      <w:r w:rsidRPr="00E76083">
        <w:rPr>
          <w:rFonts w:ascii="Palatino Linotype" w:hAnsi="Palatino Linotype"/>
          <w:sz w:val="24"/>
        </w:rPr>
        <w:t xml:space="preserve"> por el Recurrente; </w:t>
      </w:r>
      <w:r w:rsidR="00B61C72" w:rsidRPr="00E76083">
        <w:rPr>
          <w:rFonts w:ascii="Palatino Linotype" w:hAnsi="Palatino Linotype"/>
          <w:sz w:val="24"/>
        </w:rPr>
        <w:t xml:space="preserve">también se </w:t>
      </w:r>
      <w:r w:rsidR="0032282B" w:rsidRPr="00E76083">
        <w:rPr>
          <w:rFonts w:ascii="Palatino Linotype" w:hAnsi="Palatino Linotype"/>
          <w:sz w:val="24"/>
        </w:rPr>
        <w:t>percibe</w:t>
      </w:r>
      <w:r w:rsidR="00B61C72" w:rsidRPr="00E76083">
        <w:rPr>
          <w:rFonts w:ascii="Palatino Linotype" w:hAnsi="Palatino Linotype"/>
          <w:sz w:val="24"/>
        </w:rPr>
        <w:t xml:space="preserve"> que </w:t>
      </w:r>
      <w:r w:rsidR="004E69BC" w:rsidRPr="00E76083">
        <w:rPr>
          <w:rFonts w:ascii="Palatino Linotype" w:hAnsi="Palatino Linotype"/>
          <w:b/>
          <w:sz w:val="24"/>
        </w:rPr>
        <w:t>el recurso debe ser desechado por ser extemporáneo por haber transcurrid</w:t>
      </w:r>
      <w:r w:rsidRPr="00E76083">
        <w:rPr>
          <w:rFonts w:ascii="Palatino Linotype" w:hAnsi="Palatino Linotype"/>
          <w:b/>
          <w:sz w:val="24"/>
        </w:rPr>
        <w:t>o</w:t>
      </w:r>
      <w:r w:rsidR="004E69BC" w:rsidRPr="00E76083">
        <w:rPr>
          <w:rFonts w:ascii="Palatino Linotype" w:hAnsi="Palatino Linotype"/>
          <w:b/>
          <w:sz w:val="24"/>
        </w:rPr>
        <w:t xml:space="preserve"> el plazo establecido por la Ley a partir de la respuesta.</w:t>
      </w:r>
      <w:r w:rsidR="004E69BC" w:rsidRPr="00E76083">
        <w:rPr>
          <w:rStyle w:val="Refdenotaalpie"/>
          <w:rFonts w:ascii="Palatino Linotype" w:hAnsi="Palatino Linotype"/>
          <w:b/>
          <w:sz w:val="24"/>
        </w:rPr>
        <w:footnoteReference w:id="2"/>
      </w:r>
      <w:r w:rsidRPr="00E76083">
        <w:rPr>
          <w:rFonts w:ascii="Palatino Linotype" w:hAnsi="Palatino Linotype"/>
          <w:sz w:val="24"/>
        </w:rPr>
        <w:t xml:space="preserve"> </w:t>
      </w:r>
    </w:p>
    <w:p w14:paraId="7C60E311" w14:textId="77777777" w:rsidR="00166D22" w:rsidRPr="00E76083" w:rsidRDefault="00166D22" w:rsidP="00166D22">
      <w:pPr>
        <w:spacing w:line="360" w:lineRule="auto"/>
      </w:pPr>
    </w:p>
    <w:p w14:paraId="2BF3F764" w14:textId="77777777" w:rsidR="00166D22" w:rsidRPr="00E76083" w:rsidRDefault="00166D22" w:rsidP="00166D22">
      <w:pPr>
        <w:pStyle w:val="Prrafodelista"/>
        <w:numPr>
          <w:ilvl w:val="0"/>
          <w:numId w:val="36"/>
        </w:numPr>
        <w:spacing w:line="360" w:lineRule="auto"/>
        <w:jc w:val="both"/>
        <w:rPr>
          <w:rFonts w:ascii="Palatino Linotype" w:hAnsi="Palatino Linotype"/>
          <w:sz w:val="24"/>
        </w:rPr>
      </w:pPr>
      <w:r w:rsidRPr="00E76083">
        <w:rPr>
          <w:rFonts w:ascii="Palatino Linotype" w:hAnsi="Palatino Linotype"/>
          <w:sz w:val="24"/>
        </w:rPr>
        <w:t>En este orden de ideas, es conducente colegir que, en el presente Recurso de Revisión, se actualizó la causal de improcede</w:t>
      </w:r>
      <w:r w:rsidR="0032282B" w:rsidRPr="00E76083">
        <w:rPr>
          <w:rFonts w:ascii="Palatino Linotype" w:hAnsi="Palatino Linotype"/>
          <w:sz w:val="24"/>
        </w:rPr>
        <w:t>ncia prevista en la fracción I</w:t>
      </w:r>
      <w:r w:rsidRPr="00E76083">
        <w:rPr>
          <w:rFonts w:ascii="Palatino Linotype" w:hAnsi="Palatino Linotype"/>
          <w:sz w:val="24"/>
        </w:rPr>
        <w:t xml:space="preserve">, del numeral 191, de la Ley de Transparencia y Acceso a la Información Pública del Estado de </w:t>
      </w:r>
      <w:r w:rsidRPr="00E76083">
        <w:rPr>
          <w:rFonts w:ascii="Palatino Linotype" w:hAnsi="Palatino Linotype"/>
          <w:sz w:val="24"/>
        </w:rPr>
        <w:lastRenderedPageBreak/>
        <w:t xml:space="preserve">México y Municipios; por tanto, encuadra en el supuesto de sobreseimiento previsto en el artículo 192 fracción IV de la misma Ley; en virtud que no se actualizó ningún supuesto de procedencia señalado en el ordenamiento en cita. </w:t>
      </w:r>
    </w:p>
    <w:p w14:paraId="496686AD" w14:textId="77777777" w:rsidR="00166D22" w:rsidRPr="00E76083" w:rsidRDefault="00166D22" w:rsidP="00166D22">
      <w:pPr>
        <w:pStyle w:val="Prrafodelista"/>
        <w:rPr>
          <w:rFonts w:ascii="Palatino Linotype" w:hAnsi="Palatino Linotype"/>
          <w:sz w:val="24"/>
        </w:rPr>
      </w:pPr>
    </w:p>
    <w:p w14:paraId="7D498265" w14:textId="77777777" w:rsidR="00166D22" w:rsidRPr="00E76083" w:rsidRDefault="00166D22" w:rsidP="00166D22">
      <w:pPr>
        <w:pStyle w:val="Prrafodelista"/>
        <w:numPr>
          <w:ilvl w:val="0"/>
          <w:numId w:val="36"/>
        </w:numPr>
        <w:spacing w:line="360" w:lineRule="auto"/>
        <w:jc w:val="both"/>
        <w:rPr>
          <w:rFonts w:ascii="Palatino Linotype" w:eastAsia="Palatino Linotype" w:hAnsi="Palatino Linotype" w:cs="Palatino Linotype"/>
          <w:sz w:val="24"/>
        </w:rPr>
      </w:pPr>
      <w:r w:rsidRPr="00E76083">
        <w:rPr>
          <w:rFonts w:ascii="Palatino Linotype" w:eastAsia="Palatino Linotype" w:hAnsi="Palatino Linotype" w:cs="Palatino Linotype"/>
          <w:sz w:val="24"/>
        </w:rPr>
        <w:t xml:space="preserve">Siendo el </w:t>
      </w:r>
      <w:r w:rsidRPr="00E76083">
        <w:rPr>
          <w:rFonts w:ascii="Palatino Linotype" w:eastAsia="Palatino Linotype" w:hAnsi="Palatino Linotype" w:cs="Palatino Linotype"/>
          <w:i/>
          <w:sz w:val="24"/>
        </w:rPr>
        <w:t>sobreseimiento</w:t>
      </w:r>
      <w:r w:rsidRPr="00E76083">
        <w:rPr>
          <w:rFonts w:ascii="Palatino Linotype" w:eastAsia="Palatino Linotype" w:hAnsi="Palatino Linotype" w:cs="Palatino Linotype"/>
          <w:sz w:val="24"/>
        </w:rPr>
        <w:t xml:space="preserve"> un acto que da por terminado el procedimiento administrativo de impugnación sin resolver el fondo de la cuestión planteada, por presentarse causas que impiden a la autoridad referirse a lo sustancial de lo planteado por el recurrente, los efectos del sobreseimiento consisten en dar por concluido el recurso administrativo sin entrar al estudio de fondo del asunto de que se trate; lo anterior con apoyo en el criterio del Poder Judicial de la Federación con rubro:</w:t>
      </w:r>
    </w:p>
    <w:p w14:paraId="081C5DF2" w14:textId="77777777" w:rsidR="00166D22" w:rsidRPr="00E76083" w:rsidRDefault="00166D22" w:rsidP="00166D22">
      <w:pPr>
        <w:spacing w:after="120"/>
        <w:ind w:left="1134" w:right="902"/>
        <w:jc w:val="both"/>
        <w:rPr>
          <w:rFonts w:ascii="Palatino Linotype" w:eastAsia="Palatino Linotype" w:hAnsi="Palatino Linotype" w:cs="Palatino Linotype"/>
          <w:b/>
          <w:i/>
        </w:rPr>
      </w:pPr>
      <w:r w:rsidRPr="00E76083">
        <w:rPr>
          <w:rFonts w:ascii="Palatino Linotype" w:eastAsia="Palatino Linotype" w:hAnsi="Palatino Linotype" w:cs="Palatino Linotype"/>
          <w:i/>
        </w:rPr>
        <w:t>“</w:t>
      </w:r>
      <w:r w:rsidRPr="00E76083">
        <w:rPr>
          <w:rFonts w:ascii="Palatino Linotype" w:eastAsia="Palatino Linotype" w:hAnsi="Palatino Linotype" w:cs="Palatino Linotype"/>
          <w:b/>
          <w:i/>
        </w:rPr>
        <w:t>SOBRESEIMIENTO, NO PERMITE ENTRAR AL ESTUDIO DE LAS CUESTIONES DE FONDO</w:t>
      </w:r>
    </w:p>
    <w:p w14:paraId="434CCD21" w14:textId="77777777" w:rsidR="00166D22" w:rsidRPr="00E76083" w:rsidRDefault="00166D22" w:rsidP="00166D22">
      <w:pPr>
        <w:spacing w:before="120" w:after="120"/>
        <w:ind w:left="1134" w:right="902"/>
        <w:jc w:val="both"/>
        <w:rPr>
          <w:rFonts w:ascii="Palatino Linotype" w:eastAsia="Palatino Linotype" w:hAnsi="Palatino Linotype" w:cs="Palatino Linotype"/>
          <w:i/>
        </w:rPr>
      </w:pPr>
      <w:r w:rsidRPr="00E76083">
        <w:rPr>
          <w:rFonts w:ascii="Palatino Linotype" w:eastAsia="Palatino Linotype" w:hAnsi="Palatino Linotype" w:cs="Palatino Linotype"/>
          <w:i/>
        </w:rPr>
        <w:t>Localización: 213609. II.2o.183 K. Tribunales Colegiados de Circuito. Octava Época. Semanario Judicial de la Federación. Tomo XIII, Febrero de 1994, Pág. 420</w:t>
      </w:r>
    </w:p>
    <w:p w14:paraId="74663803" w14:textId="77777777" w:rsidR="00166D22" w:rsidRPr="00E76083" w:rsidRDefault="00166D22" w:rsidP="00166D22">
      <w:pPr>
        <w:spacing w:before="120" w:after="120"/>
        <w:ind w:left="1134" w:right="902"/>
        <w:jc w:val="both"/>
        <w:rPr>
          <w:rFonts w:ascii="Palatino Linotype" w:eastAsia="Palatino Linotype" w:hAnsi="Palatino Linotype" w:cs="Palatino Linotype"/>
          <w:i/>
        </w:rPr>
      </w:pPr>
      <w:r w:rsidRPr="00E76083">
        <w:rPr>
          <w:rFonts w:ascii="Palatino Linotype" w:eastAsia="Palatino Linotype" w:hAnsi="Palatino Linotype" w:cs="Palatino Linotype"/>
          <w:i/>
        </w:rPr>
        <w:t>Cuerpo de tesis: No causa agravio la sentencia que no se ocupa de los razonamientos tendientes a demostrar la inconstitucionalidad de los actos reclamados de las autoridades responsables, que constituyen el problema de fondo, si se decreta el sobreseimiento del juicio.” (Sic)</w:t>
      </w:r>
    </w:p>
    <w:p w14:paraId="107FC0CE" w14:textId="77777777" w:rsidR="00166D22" w:rsidRPr="00E76083" w:rsidRDefault="00166D22" w:rsidP="00166D22">
      <w:pPr>
        <w:spacing w:before="120" w:after="120"/>
        <w:ind w:left="1134" w:right="902"/>
        <w:jc w:val="both"/>
        <w:rPr>
          <w:rFonts w:ascii="Palatino Linotype" w:eastAsia="Palatino Linotype" w:hAnsi="Palatino Linotype" w:cs="Palatino Linotype"/>
          <w:i/>
        </w:rPr>
      </w:pPr>
    </w:p>
    <w:p w14:paraId="1014601A" w14:textId="77777777" w:rsidR="00166D22" w:rsidRPr="00E76083" w:rsidRDefault="00166D22" w:rsidP="00166D22">
      <w:pPr>
        <w:pStyle w:val="Prrafodelista"/>
        <w:numPr>
          <w:ilvl w:val="0"/>
          <w:numId w:val="36"/>
        </w:numPr>
        <w:spacing w:line="360" w:lineRule="auto"/>
        <w:jc w:val="both"/>
        <w:rPr>
          <w:rFonts w:ascii="Palatino Linotype" w:eastAsia="Palatino Linotype" w:hAnsi="Palatino Linotype" w:cs="Palatino Linotype"/>
          <w:sz w:val="24"/>
        </w:rPr>
      </w:pPr>
      <w:r w:rsidRPr="00E76083">
        <w:rPr>
          <w:rFonts w:ascii="Palatino Linotype" w:eastAsia="Palatino Linotype" w:hAnsi="Palatino Linotype" w:cs="Palatino Linotype"/>
          <w:sz w:val="24"/>
        </w:rPr>
        <w:t>Cabe destacar que la decisión de este Organismo Colegiado de sobreseer el recurso de revisión no implica una limitación o negación a la justicia, según lo ha establecido el Poder Judicial Federal, en el criterio que es aplicable por analogía, con rubro:</w:t>
      </w:r>
    </w:p>
    <w:p w14:paraId="78B780EF" w14:textId="77777777" w:rsidR="00166D22" w:rsidRPr="00E76083" w:rsidRDefault="00166D22" w:rsidP="00166D22">
      <w:pPr>
        <w:spacing w:before="120" w:after="120"/>
        <w:ind w:left="1134" w:right="902"/>
        <w:jc w:val="both"/>
        <w:rPr>
          <w:rFonts w:ascii="Palatino Linotype" w:eastAsia="Palatino Linotype" w:hAnsi="Palatino Linotype" w:cs="Palatino Linotype"/>
          <w:b/>
          <w:i/>
        </w:rPr>
      </w:pPr>
      <w:r w:rsidRPr="00E76083">
        <w:rPr>
          <w:rFonts w:ascii="Palatino Linotype" w:eastAsia="Palatino Linotype" w:hAnsi="Palatino Linotype" w:cs="Palatino Linotype"/>
          <w:b/>
          <w:i/>
        </w:rPr>
        <w:t>“DESECHAMIENTO O SOBRESEIMIENTO EN EL JUICIO DE AMPARO. NO IMPLICA DENEGACIÓN DE JUSTICIA NI GENERA INSEGURIDAD JURÍDICA”</w:t>
      </w:r>
    </w:p>
    <w:p w14:paraId="32DA5992" w14:textId="77777777" w:rsidR="00166D22" w:rsidRPr="00E76083" w:rsidRDefault="00166D22" w:rsidP="00166D22">
      <w:pPr>
        <w:spacing w:before="120" w:after="120"/>
        <w:ind w:left="1134" w:right="902"/>
        <w:jc w:val="both"/>
        <w:rPr>
          <w:rFonts w:ascii="Palatino Linotype" w:eastAsia="Palatino Linotype" w:hAnsi="Palatino Linotype" w:cs="Palatino Linotype"/>
          <w:i/>
        </w:rPr>
      </w:pPr>
      <w:r w:rsidRPr="00E76083">
        <w:rPr>
          <w:rFonts w:ascii="Palatino Linotype" w:eastAsia="Palatino Linotype" w:hAnsi="Palatino Linotype" w:cs="Palatino Linotype"/>
          <w:i/>
        </w:rPr>
        <w:lastRenderedPageBreak/>
        <w:t>Cuerpo de la tesis: Cuando se desecha una demanda de amparo o se sobresee en el juicio, ello no implica denegar justicia ni genera inseguridad jurídica, ya que la obligación de los tribunales no es tramitar y resolver en el fondo todos los asuntos sometidos a su consideración en forma favorable a los intereses del solicitante, sino que se circunscribe a la posibilidad que tiene cualquier individuo de acudir ante los órganos jurisdiccionales, con su promoción (demanda), a la cual debe darse el trámite acorde a las formalidades rectoras del procedimiento respectivo, dentro de las cuales el legislador previó las causales de improcedencia y sobreseimiento. Así, cuando el juzgador o tribunal de amparo se funda en una de ellas para desechar o sobreseer en un juicio, imparte justicia, puesto que el acceso a ella no se ve menoscabado, sino que es efectivo, ni se deja en estado de indefensión al promovente, no obstante sea desfavorable, al no poder negar que se da respuesta a la petición de amparo, con independencia de que no comparta el sentido de la resolución, dado que de esa forma quien imparte justicia se pronuncia sobre la acción, diciendo así el derecho y permitiendo que impere el orden jurídico.” (Sic)</w:t>
      </w:r>
      <w:r w:rsidRPr="00E76083">
        <w:rPr>
          <w:rFonts w:ascii="Palatino Linotype" w:eastAsia="Palatino Linotype" w:hAnsi="Palatino Linotype" w:cs="Palatino Linotype"/>
        </w:rPr>
        <w:tab/>
      </w:r>
    </w:p>
    <w:p w14:paraId="7DAAFC8B" w14:textId="77777777" w:rsidR="00166D22" w:rsidRPr="00E76083" w:rsidRDefault="00166D22" w:rsidP="00166D22">
      <w:pPr>
        <w:spacing w:line="360" w:lineRule="auto"/>
        <w:jc w:val="both"/>
        <w:rPr>
          <w:rFonts w:ascii="Palatino Linotype" w:hAnsi="Palatino Linotype"/>
        </w:rPr>
      </w:pPr>
    </w:p>
    <w:p w14:paraId="23A75DC7" w14:textId="77777777" w:rsidR="00166D22" w:rsidRPr="00E76083" w:rsidRDefault="00166D22" w:rsidP="00166D22">
      <w:pPr>
        <w:pStyle w:val="Prrafodelista"/>
        <w:numPr>
          <w:ilvl w:val="0"/>
          <w:numId w:val="36"/>
        </w:numPr>
        <w:spacing w:line="360" w:lineRule="auto"/>
        <w:jc w:val="both"/>
        <w:rPr>
          <w:rFonts w:ascii="Palatino Linotype" w:hAnsi="Palatino Linotype"/>
          <w:sz w:val="24"/>
        </w:rPr>
      </w:pPr>
      <w:r w:rsidRPr="00E76083">
        <w:rPr>
          <w:rFonts w:ascii="Palatino Linotype" w:hAnsi="Palatino Linotype"/>
          <w:sz w:val="24"/>
        </w:rPr>
        <w:t xml:space="preserve">Finalmente, se dejan a salvo los derechos de la Particular a fin de que, en considerarlo pertinente, interponga una nueva solicitud de acceso a la información, ante el Sujeto Obligado, en el que requiera la información de su interés. </w:t>
      </w:r>
    </w:p>
    <w:p w14:paraId="66C569BE" w14:textId="77777777" w:rsidR="00166D22" w:rsidRPr="00E76083" w:rsidRDefault="00166D22" w:rsidP="00166D22">
      <w:pPr>
        <w:spacing w:line="360" w:lineRule="auto"/>
        <w:jc w:val="both"/>
        <w:rPr>
          <w:rFonts w:ascii="Palatino Linotype" w:hAnsi="Palatino Linotype"/>
          <w:color w:val="0D0D0D"/>
        </w:rPr>
      </w:pPr>
    </w:p>
    <w:p w14:paraId="3E767EAE" w14:textId="77777777" w:rsidR="00166D22" w:rsidRPr="00E76083" w:rsidRDefault="00166D22" w:rsidP="00166D22">
      <w:pPr>
        <w:pStyle w:val="Prrafodelista"/>
        <w:numPr>
          <w:ilvl w:val="0"/>
          <w:numId w:val="36"/>
        </w:numPr>
        <w:spacing w:line="360" w:lineRule="auto"/>
        <w:jc w:val="both"/>
        <w:rPr>
          <w:rFonts w:ascii="Palatino Linotype" w:hAnsi="Palatino Linotype"/>
          <w:sz w:val="24"/>
        </w:rPr>
      </w:pPr>
      <w:r w:rsidRPr="00E76083">
        <w:rPr>
          <w:rFonts w:ascii="Palatino Linotype" w:hAnsi="Palatino Linotype"/>
          <w:sz w:val="24"/>
        </w:rPr>
        <w:t xml:space="preserve">Por lo que, con fundamento en los artículos 186, fracción I y 192 fracción IV; en </w:t>
      </w:r>
      <w:r w:rsidR="0032282B" w:rsidRPr="00E76083">
        <w:rPr>
          <w:rFonts w:ascii="Palatino Linotype" w:hAnsi="Palatino Linotype"/>
          <w:sz w:val="24"/>
        </w:rPr>
        <w:t>relación con el 191 fracción I</w:t>
      </w:r>
      <w:r w:rsidRPr="00E76083">
        <w:rPr>
          <w:rFonts w:ascii="Palatino Linotype" w:hAnsi="Palatino Linotype"/>
          <w:sz w:val="24"/>
        </w:rPr>
        <w:t xml:space="preserve">, de la Ley de Transparencia y Acceso a la Información Pública del Estado de México y Municipios, es procedente </w:t>
      </w:r>
      <w:r w:rsidRPr="00E76083">
        <w:rPr>
          <w:rFonts w:ascii="Palatino Linotype" w:hAnsi="Palatino Linotype"/>
          <w:b/>
          <w:sz w:val="24"/>
        </w:rPr>
        <w:t>SOBRESEER</w:t>
      </w:r>
      <w:r w:rsidRPr="00E76083">
        <w:rPr>
          <w:rFonts w:ascii="Palatino Linotype" w:hAnsi="Palatino Linotype"/>
          <w:sz w:val="24"/>
        </w:rPr>
        <w:t xml:space="preserve"> el Recurso de Revisión </w:t>
      </w:r>
      <w:r w:rsidR="00B61C72" w:rsidRPr="00E76083">
        <w:rPr>
          <w:rFonts w:ascii="Palatino Linotype" w:hAnsi="Palatino Linotype"/>
          <w:b/>
          <w:sz w:val="24"/>
        </w:rPr>
        <w:t>11528</w:t>
      </w:r>
      <w:r w:rsidRPr="00E76083">
        <w:rPr>
          <w:rFonts w:ascii="Palatino Linotype" w:hAnsi="Palatino Linotype"/>
          <w:b/>
          <w:sz w:val="24"/>
        </w:rPr>
        <w:t>/INFOEM/</w:t>
      </w:r>
      <w:r w:rsidR="00B61C72" w:rsidRPr="00E76083">
        <w:rPr>
          <w:rFonts w:ascii="Palatino Linotype" w:hAnsi="Palatino Linotype"/>
          <w:b/>
          <w:sz w:val="24"/>
        </w:rPr>
        <w:t>ICR-39/</w:t>
      </w:r>
      <w:r w:rsidRPr="00E76083">
        <w:rPr>
          <w:rFonts w:ascii="Palatino Linotype" w:hAnsi="Palatino Linotype"/>
          <w:b/>
          <w:sz w:val="24"/>
        </w:rPr>
        <w:t>IP/RR/2025</w:t>
      </w:r>
      <w:r w:rsidRPr="00E76083">
        <w:rPr>
          <w:rFonts w:ascii="Palatino Linotype" w:hAnsi="Palatino Linotype"/>
          <w:sz w:val="24"/>
        </w:rPr>
        <w:t>, ya que una vez admitido el Recurso de Revisión surgió una causal de improcedencia.</w:t>
      </w:r>
    </w:p>
    <w:p w14:paraId="62E6BF30" w14:textId="77777777" w:rsidR="006D0C70" w:rsidRPr="00E76083" w:rsidRDefault="006D0C70" w:rsidP="006D0C70">
      <w:pPr>
        <w:pBdr>
          <w:top w:val="nil"/>
          <w:left w:val="nil"/>
          <w:bottom w:val="nil"/>
          <w:right w:val="nil"/>
          <w:between w:val="nil"/>
        </w:pBdr>
        <w:ind w:left="720"/>
        <w:rPr>
          <w:rFonts w:ascii="Palatino Linotype" w:eastAsia="Palatino Linotype" w:hAnsi="Palatino Linotype" w:cs="Palatino Linotype"/>
          <w:color w:val="000000"/>
        </w:rPr>
      </w:pPr>
    </w:p>
    <w:p w14:paraId="49417672" w14:textId="30B9BCC5" w:rsidR="006D0C70" w:rsidRPr="00E76083" w:rsidRDefault="006D0C70" w:rsidP="0032282B">
      <w:pPr>
        <w:numPr>
          <w:ilvl w:val="0"/>
          <w:numId w:val="38"/>
        </w:numPr>
        <w:pBdr>
          <w:top w:val="nil"/>
          <w:left w:val="nil"/>
          <w:bottom w:val="nil"/>
          <w:right w:val="nil"/>
          <w:between w:val="nil"/>
        </w:pBdr>
        <w:tabs>
          <w:tab w:val="left" w:pos="426"/>
        </w:tabs>
        <w:spacing w:line="360" w:lineRule="auto"/>
        <w:ind w:left="0" w:firstLine="0"/>
        <w:jc w:val="both"/>
        <w:rPr>
          <w:rFonts w:ascii="Palatino Linotype" w:eastAsia="Palatino Linotype" w:hAnsi="Palatino Linotype" w:cs="Palatino Linotype"/>
          <w:b/>
          <w:color w:val="000000"/>
        </w:rPr>
      </w:pPr>
      <w:bookmarkStart w:id="9" w:name="_heading=h.z22opfce4zin" w:colFirst="0" w:colLast="0"/>
      <w:bookmarkEnd w:id="9"/>
      <w:r w:rsidRPr="00E76083">
        <w:rPr>
          <w:rFonts w:ascii="Palatino Linotype" w:eastAsia="Palatino Linotype" w:hAnsi="Palatino Linotype" w:cs="Palatino Linotype"/>
          <w:color w:val="222222"/>
        </w:rPr>
        <w:t xml:space="preserve">Por lo anteriormente expuesto y fundado, este </w:t>
      </w:r>
      <w:r w:rsidRPr="00E76083">
        <w:rPr>
          <w:rFonts w:ascii="Palatino Linotype" w:eastAsia="Palatino Linotype" w:hAnsi="Palatino Linotype" w:cs="Palatino Linotype"/>
          <w:b/>
          <w:color w:val="222222"/>
        </w:rPr>
        <w:t>ÓRGANO GARANTE</w:t>
      </w:r>
      <w:r w:rsidRPr="00E76083">
        <w:rPr>
          <w:rFonts w:ascii="Palatino Linotype" w:eastAsia="Palatino Linotype" w:hAnsi="Palatino Linotype" w:cs="Palatino Linotype"/>
          <w:color w:val="222222"/>
        </w:rPr>
        <w:t xml:space="preserve"> emite los siguientes: </w:t>
      </w:r>
      <w:r w:rsidR="00E76083">
        <w:rPr>
          <w:rFonts w:ascii="Palatino Linotype" w:eastAsia="Palatino Linotype" w:hAnsi="Palatino Linotype" w:cs="Palatino Linotype"/>
          <w:color w:val="222222"/>
        </w:rPr>
        <w:t>--------------------------------------------------------------------------------------------------</w:t>
      </w:r>
    </w:p>
    <w:p w14:paraId="6F69BD5E" w14:textId="77777777" w:rsidR="006D0C70" w:rsidRPr="00E76083" w:rsidRDefault="006D0C70" w:rsidP="006D0C70">
      <w:pPr>
        <w:pBdr>
          <w:top w:val="nil"/>
          <w:left w:val="nil"/>
          <w:bottom w:val="nil"/>
          <w:right w:val="nil"/>
          <w:between w:val="nil"/>
        </w:pBdr>
        <w:tabs>
          <w:tab w:val="left" w:pos="426"/>
        </w:tabs>
        <w:spacing w:line="360" w:lineRule="auto"/>
        <w:jc w:val="center"/>
        <w:rPr>
          <w:rFonts w:ascii="Palatino Linotype" w:eastAsia="Palatino Linotype" w:hAnsi="Palatino Linotype" w:cs="Palatino Linotype"/>
          <w:b/>
          <w:color w:val="000000"/>
        </w:rPr>
      </w:pPr>
      <w:r w:rsidRPr="00E76083">
        <w:rPr>
          <w:rFonts w:ascii="Palatino Linotype" w:eastAsia="Palatino Linotype" w:hAnsi="Palatino Linotype" w:cs="Palatino Linotype"/>
          <w:b/>
          <w:color w:val="000000"/>
        </w:rPr>
        <w:lastRenderedPageBreak/>
        <w:t>R E S O L U T I V O S</w:t>
      </w:r>
    </w:p>
    <w:p w14:paraId="4692A3B4" w14:textId="77777777" w:rsidR="006D0C70" w:rsidRPr="00E76083" w:rsidRDefault="006D0C70" w:rsidP="006D0C70">
      <w:pPr>
        <w:widowControl w:val="0"/>
        <w:pBdr>
          <w:top w:val="nil"/>
          <w:left w:val="nil"/>
          <w:bottom w:val="nil"/>
          <w:right w:val="nil"/>
          <w:between w:val="nil"/>
        </w:pBdr>
        <w:tabs>
          <w:tab w:val="left" w:pos="1701"/>
        </w:tabs>
        <w:spacing w:line="360" w:lineRule="auto"/>
        <w:jc w:val="both"/>
        <w:rPr>
          <w:rFonts w:ascii="Palatino Linotype" w:eastAsia="Palatino Linotype" w:hAnsi="Palatino Linotype" w:cs="Palatino Linotype"/>
          <w:b/>
          <w:color w:val="000000"/>
        </w:rPr>
      </w:pPr>
      <w:bookmarkStart w:id="10" w:name="_heading=h.so2b5wezjcah" w:colFirst="0" w:colLast="0"/>
      <w:bookmarkEnd w:id="10"/>
    </w:p>
    <w:p w14:paraId="029F013E" w14:textId="21C0BCDF" w:rsidR="006D0C70" w:rsidRPr="00E76083" w:rsidRDefault="006D0C70" w:rsidP="006D0C70">
      <w:pPr>
        <w:widowControl w:val="0"/>
        <w:pBdr>
          <w:top w:val="nil"/>
          <w:left w:val="nil"/>
          <w:bottom w:val="nil"/>
          <w:right w:val="nil"/>
          <w:between w:val="nil"/>
        </w:pBdr>
        <w:tabs>
          <w:tab w:val="left" w:pos="1701"/>
        </w:tabs>
        <w:spacing w:line="360" w:lineRule="auto"/>
        <w:jc w:val="both"/>
        <w:rPr>
          <w:rFonts w:ascii="Palatino Linotype" w:eastAsia="Palatino Linotype" w:hAnsi="Palatino Linotype" w:cs="Palatino Linotype"/>
          <w:color w:val="000000"/>
        </w:rPr>
      </w:pPr>
      <w:r w:rsidRPr="00E76083">
        <w:rPr>
          <w:rFonts w:ascii="Palatino Linotype" w:eastAsia="Palatino Linotype" w:hAnsi="Palatino Linotype" w:cs="Palatino Linotype"/>
          <w:b/>
          <w:color w:val="000000"/>
        </w:rPr>
        <w:t xml:space="preserve">PRIMERO. </w:t>
      </w:r>
      <w:r w:rsidRPr="00E76083">
        <w:rPr>
          <w:rFonts w:ascii="Palatino Linotype" w:eastAsia="Palatino Linotype" w:hAnsi="Palatino Linotype" w:cs="Palatino Linotype"/>
          <w:color w:val="000000"/>
        </w:rPr>
        <w:t xml:space="preserve">Se </w:t>
      </w:r>
      <w:r w:rsidRPr="00E76083">
        <w:rPr>
          <w:rFonts w:ascii="Palatino Linotype" w:eastAsia="Palatino Linotype" w:hAnsi="Palatino Linotype" w:cs="Palatino Linotype"/>
          <w:b/>
          <w:color w:val="000000"/>
        </w:rPr>
        <w:t>SOBRESEE</w:t>
      </w:r>
      <w:r w:rsidRPr="00E76083">
        <w:rPr>
          <w:rFonts w:ascii="Palatino Linotype" w:eastAsia="Palatino Linotype" w:hAnsi="Palatino Linotype" w:cs="Palatino Linotype"/>
          <w:color w:val="000000"/>
        </w:rPr>
        <w:t xml:space="preserve"> el Recurso de Revisión número </w:t>
      </w:r>
      <w:r w:rsidR="00B61C72" w:rsidRPr="00E76083">
        <w:rPr>
          <w:rFonts w:ascii="Palatino Linotype" w:eastAsia="Palatino Linotype" w:hAnsi="Palatino Linotype" w:cs="Palatino Linotype"/>
          <w:b/>
          <w:color w:val="000000"/>
        </w:rPr>
        <w:t>11528/INFOEM/ICR-39/IP/RR/2025</w:t>
      </w:r>
      <w:r w:rsidRPr="00E76083">
        <w:rPr>
          <w:rFonts w:ascii="Palatino Linotype" w:eastAsia="Palatino Linotype" w:hAnsi="Palatino Linotype" w:cs="Palatino Linotype"/>
          <w:b/>
          <w:color w:val="000000"/>
        </w:rPr>
        <w:t xml:space="preserve">, </w:t>
      </w:r>
      <w:r w:rsidR="007C7463" w:rsidRPr="00E76083">
        <w:rPr>
          <w:rFonts w:ascii="Palatino Linotype" w:eastAsia="Palatino Linotype" w:hAnsi="Palatino Linotype" w:cs="Palatino Linotype"/>
          <w:bCs/>
          <w:color w:val="000000"/>
        </w:rPr>
        <w:t xml:space="preserve">por ser improcedente, </w:t>
      </w:r>
      <w:r w:rsidRPr="00E76083">
        <w:rPr>
          <w:rFonts w:ascii="Palatino Linotype" w:eastAsia="Palatino Linotype" w:hAnsi="Palatino Linotype" w:cs="Palatino Linotype"/>
          <w:bCs/>
          <w:color w:val="000000"/>
        </w:rPr>
        <w:t>conforme</w:t>
      </w:r>
      <w:r w:rsidRPr="00E76083">
        <w:rPr>
          <w:rFonts w:ascii="Palatino Linotype" w:eastAsia="Palatino Linotype" w:hAnsi="Palatino Linotype" w:cs="Palatino Linotype"/>
          <w:color w:val="000000"/>
        </w:rPr>
        <w:t xml:space="preserve"> al artículo 192, fracción IV,</w:t>
      </w:r>
      <w:r w:rsidR="0032282B" w:rsidRPr="00E76083">
        <w:rPr>
          <w:rFonts w:ascii="Palatino Linotype" w:eastAsia="Palatino Linotype" w:hAnsi="Palatino Linotype" w:cs="Palatino Linotype"/>
          <w:color w:val="000000"/>
        </w:rPr>
        <w:t xml:space="preserve"> en relación con la fracción I</w:t>
      </w:r>
      <w:r w:rsidRPr="00E76083">
        <w:rPr>
          <w:rFonts w:ascii="Palatino Linotype" w:eastAsia="Palatino Linotype" w:hAnsi="Palatino Linotype" w:cs="Palatino Linotype"/>
          <w:color w:val="000000"/>
        </w:rPr>
        <w:t xml:space="preserve">, del artículo 191 de la Ley de Transparencia y Acceso a la Información Pública del Estado de México y Municipios, en términos del </w:t>
      </w:r>
      <w:r w:rsidRPr="00E76083">
        <w:rPr>
          <w:rFonts w:ascii="Palatino Linotype" w:eastAsia="Palatino Linotype" w:hAnsi="Palatino Linotype" w:cs="Palatino Linotype"/>
          <w:b/>
          <w:color w:val="000000"/>
        </w:rPr>
        <w:t>Considerando</w:t>
      </w:r>
      <w:r w:rsidRPr="00E76083">
        <w:rPr>
          <w:rFonts w:ascii="Palatino Linotype" w:eastAsia="Palatino Linotype" w:hAnsi="Palatino Linotype" w:cs="Palatino Linotype"/>
          <w:color w:val="000000"/>
        </w:rPr>
        <w:t xml:space="preserve"> </w:t>
      </w:r>
      <w:r w:rsidRPr="00E76083">
        <w:rPr>
          <w:rFonts w:ascii="Palatino Linotype" w:eastAsia="Palatino Linotype" w:hAnsi="Palatino Linotype" w:cs="Palatino Linotype"/>
          <w:b/>
          <w:color w:val="000000"/>
        </w:rPr>
        <w:t>TERCERO</w:t>
      </w:r>
      <w:r w:rsidRPr="00E76083">
        <w:rPr>
          <w:rFonts w:ascii="Palatino Linotype" w:eastAsia="Palatino Linotype" w:hAnsi="Palatino Linotype" w:cs="Palatino Linotype"/>
          <w:color w:val="000000"/>
        </w:rPr>
        <w:t xml:space="preserve"> de la presente Resolución.</w:t>
      </w:r>
    </w:p>
    <w:p w14:paraId="28FF5AA0" w14:textId="77777777" w:rsidR="006D0C70" w:rsidRPr="00E76083" w:rsidRDefault="006D0C70" w:rsidP="006D0C70">
      <w:pPr>
        <w:widowControl w:val="0"/>
        <w:pBdr>
          <w:top w:val="nil"/>
          <w:left w:val="nil"/>
          <w:bottom w:val="nil"/>
          <w:right w:val="nil"/>
          <w:between w:val="nil"/>
        </w:pBdr>
        <w:tabs>
          <w:tab w:val="left" w:pos="1701"/>
        </w:tabs>
        <w:spacing w:line="360" w:lineRule="auto"/>
        <w:jc w:val="both"/>
        <w:rPr>
          <w:rFonts w:ascii="Palatino Linotype" w:eastAsia="Palatino Linotype" w:hAnsi="Palatino Linotype" w:cs="Palatino Linotype"/>
          <w:color w:val="000000"/>
        </w:rPr>
      </w:pPr>
    </w:p>
    <w:p w14:paraId="67448152" w14:textId="1DDB8931" w:rsidR="006D0C70" w:rsidRPr="00E76083" w:rsidRDefault="006D0C70" w:rsidP="006D0C70">
      <w:pPr>
        <w:spacing w:line="360" w:lineRule="auto"/>
        <w:jc w:val="both"/>
        <w:rPr>
          <w:rFonts w:ascii="Palatino Linotype" w:eastAsia="Palatino Linotype" w:hAnsi="Palatino Linotype" w:cs="Palatino Linotype"/>
          <w:color w:val="000000"/>
        </w:rPr>
      </w:pPr>
      <w:bookmarkStart w:id="11" w:name="_heading=h.xbn0ak4j77gd" w:colFirst="0" w:colLast="0"/>
      <w:bookmarkEnd w:id="11"/>
      <w:r w:rsidRPr="00E76083">
        <w:rPr>
          <w:rFonts w:ascii="Palatino Linotype" w:eastAsia="Palatino Linotype" w:hAnsi="Palatino Linotype" w:cs="Palatino Linotype"/>
          <w:b/>
        </w:rPr>
        <w:t>SEGUNDO.</w:t>
      </w:r>
      <w:r w:rsidRPr="00E76083">
        <w:rPr>
          <w:rFonts w:ascii="Palatino Linotype" w:eastAsia="Palatino Linotype" w:hAnsi="Palatino Linotype" w:cs="Palatino Linotype"/>
          <w:b/>
          <w:color w:val="000000"/>
        </w:rPr>
        <w:t xml:space="preserve"> </w:t>
      </w:r>
      <w:r w:rsidR="003569CB" w:rsidRPr="00E76083">
        <w:rPr>
          <w:rFonts w:ascii="Palatino Linotype" w:eastAsia="Palatino Linotype" w:hAnsi="Palatino Linotype" w:cs="Palatino Linotype"/>
          <w:b/>
          <w:color w:val="000000"/>
        </w:rPr>
        <w:t>Notifíquese</w:t>
      </w:r>
      <w:r w:rsidRPr="00E76083">
        <w:rPr>
          <w:rFonts w:ascii="Palatino Linotype" w:eastAsia="Palatino Linotype" w:hAnsi="Palatino Linotype" w:cs="Palatino Linotype"/>
          <w:b/>
          <w:color w:val="000000"/>
        </w:rPr>
        <w:t xml:space="preserve"> </w:t>
      </w:r>
      <w:r w:rsidRPr="00E76083">
        <w:rPr>
          <w:rFonts w:ascii="Palatino Linotype" w:eastAsia="Palatino Linotype" w:hAnsi="Palatino Linotype" w:cs="Palatino Linotype"/>
          <w:color w:val="000000"/>
        </w:rPr>
        <w:t>al Titular de la Unidad de Transparencia del</w:t>
      </w:r>
      <w:r w:rsidRPr="00E76083">
        <w:rPr>
          <w:rFonts w:ascii="Palatino Linotype" w:eastAsia="Palatino Linotype" w:hAnsi="Palatino Linotype" w:cs="Palatino Linotype"/>
          <w:b/>
          <w:color w:val="000000"/>
        </w:rPr>
        <w:t xml:space="preserve"> SUJETO OBLIGADO</w:t>
      </w:r>
      <w:r w:rsidRPr="00E76083">
        <w:rPr>
          <w:rFonts w:ascii="Palatino Linotype" w:eastAsia="Palatino Linotype" w:hAnsi="Palatino Linotype" w:cs="Palatino Linotype"/>
          <w:color w:val="000000"/>
        </w:rPr>
        <w:t xml:space="preserve"> vía Sistema de Acceso a Información Mexiquense (SAIMEX), la presente Resolución para su conocimiento. </w:t>
      </w:r>
    </w:p>
    <w:p w14:paraId="4A22056C" w14:textId="77777777" w:rsidR="006D0C70" w:rsidRPr="00E76083" w:rsidRDefault="006D0C70" w:rsidP="006D0C70">
      <w:pPr>
        <w:spacing w:line="360" w:lineRule="auto"/>
        <w:jc w:val="both"/>
        <w:rPr>
          <w:rFonts w:ascii="Palatino Linotype" w:eastAsia="Palatino Linotype" w:hAnsi="Palatino Linotype" w:cs="Palatino Linotype"/>
          <w:b/>
          <w:color w:val="000000"/>
        </w:rPr>
      </w:pPr>
    </w:p>
    <w:p w14:paraId="1636E9E3" w14:textId="77777777" w:rsidR="006D0C70" w:rsidRPr="00E76083" w:rsidRDefault="006D0C70" w:rsidP="006D0C70">
      <w:pPr>
        <w:spacing w:line="360" w:lineRule="auto"/>
        <w:jc w:val="both"/>
        <w:rPr>
          <w:rFonts w:ascii="Palatino Linotype" w:eastAsia="Palatino Linotype" w:hAnsi="Palatino Linotype" w:cs="Palatino Linotype"/>
        </w:rPr>
      </w:pPr>
      <w:bookmarkStart w:id="12" w:name="_heading=h.j78dvibjvaph" w:colFirst="0" w:colLast="0"/>
      <w:bookmarkEnd w:id="12"/>
      <w:r w:rsidRPr="00E76083">
        <w:rPr>
          <w:rFonts w:ascii="Palatino Linotype" w:eastAsia="Palatino Linotype" w:hAnsi="Palatino Linotype" w:cs="Palatino Linotype"/>
          <w:b/>
        </w:rPr>
        <w:t xml:space="preserve">TERCERO. </w:t>
      </w:r>
      <w:r w:rsidRPr="00E76083">
        <w:rPr>
          <w:rFonts w:ascii="Palatino Linotype" w:eastAsia="Palatino Linotype" w:hAnsi="Palatino Linotype" w:cs="Palatino Linotype"/>
          <w:b/>
          <w:color w:val="222222"/>
        </w:rPr>
        <w:t xml:space="preserve">Notifíquese </w:t>
      </w:r>
      <w:r w:rsidRPr="00E76083">
        <w:rPr>
          <w:rFonts w:ascii="Palatino Linotype" w:eastAsia="Palatino Linotype" w:hAnsi="Palatino Linotype" w:cs="Palatino Linotype"/>
          <w:color w:val="222222"/>
        </w:rPr>
        <w:t>a</w:t>
      </w:r>
      <w:r w:rsidRPr="00E76083">
        <w:rPr>
          <w:rFonts w:ascii="Palatino Linotype" w:eastAsia="Palatino Linotype" w:hAnsi="Palatino Linotype" w:cs="Palatino Linotype"/>
        </w:rPr>
        <w:t>l</w:t>
      </w:r>
      <w:r w:rsidRPr="00E76083">
        <w:rPr>
          <w:rFonts w:ascii="Palatino Linotype" w:eastAsia="Palatino Linotype" w:hAnsi="Palatino Linotype" w:cs="Palatino Linotype"/>
          <w:b/>
        </w:rPr>
        <w:t xml:space="preserve"> RECURRENTE </w:t>
      </w:r>
      <w:r w:rsidRPr="00E76083">
        <w:rPr>
          <w:rFonts w:ascii="Palatino Linotype" w:eastAsia="Palatino Linotype" w:hAnsi="Palatino Linotype" w:cs="Palatino Linotype"/>
        </w:rPr>
        <w:t>la presente Resolución.</w:t>
      </w:r>
    </w:p>
    <w:p w14:paraId="53B76149" w14:textId="77777777" w:rsidR="006D0C70" w:rsidRPr="00E76083" w:rsidRDefault="006D0C70" w:rsidP="006D0C70">
      <w:pPr>
        <w:spacing w:line="360" w:lineRule="auto"/>
        <w:jc w:val="both"/>
        <w:rPr>
          <w:rFonts w:ascii="Palatino Linotype" w:eastAsia="Palatino Linotype" w:hAnsi="Palatino Linotype" w:cs="Palatino Linotype"/>
        </w:rPr>
      </w:pPr>
    </w:p>
    <w:p w14:paraId="3D1C13B9" w14:textId="77777777" w:rsidR="006D0C70" w:rsidRPr="00E76083" w:rsidRDefault="006D0C70" w:rsidP="006D0C70">
      <w:pPr>
        <w:spacing w:line="360" w:lineRule="auto"/>
        <w:jc w:val="both"/>
        <w:rPr>
          <w:rFonts w:ascii="Palatino Linotype" w:eastAsia="Palatino Linotype" w:hAnsi="Palatino Linotype" w:cs="Palatino Linotype"/>
        </w:rPr>
      </w:pPr>
      <w:bookmarkStart w:id="13" w:name="_heading=h.dyl30cvko7jr" w:colFirst="0" w:colLast="0"/>
      <w:bookmarkEnd w:id="13"/>
      <w:r w:rsidRPr="00E76083">
        <w:rPr>
          <w:rFonts w:ascii="Palatino Linotype" w:eastAsia="Palatino Linotype" w:hAnsi="Palatino Linotype" w:cs="Palatino Linotype"/>
          <w:b/>
        </w:rPr>
        <w:t>CUARTO.</w:t>
      </w:r>
      <w:r w:rsidRPr="00E76083">
        <w:rPr>
          <w:rFonts w:ascii="Palatino Linotype" w:eastAsia="Palatino Linotype" w:hAnsi="Palatino Linotype" w:cs="Palatino Linotype"/>
        </w:rPr>
        <w:t xml:space="preserve"> Se hace del conocimiento del </w:t>
      </w:r>
      <w:r w:rsidRPr="00E76083">
        <w:rPr>
          <w:rFonts w:ascii="Palatino Linotype" w:eastAsia="Palatino Linotype" w:hAnsi="Palatino Linotype" w:cs="Palatino Linotype"/>
          <w:b/>
        </w:rPr>
        <w:t>RECURRENTE</w:t>
      </w:r>
      <w:r w:rsidRPr="00E76083">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impugnarla vía juicio de amparo en los términos de las leyes aplicables.</w:t>
      </w:r>
    </w:p>
    <w:p w14:paraId="792D70C0" w14:textId="77777777" w:rsidR="006D0C70" w:rsidRPr="00E76083" w:rsidRDefault="006D0C70" w:rsidP="006D0C70">
      <w:pPr>
        <w:spacing w:line="360" w:lineRule="auto"/>
        <w:jc w:val="both"/>
        <w:rPr>
          <w:rFonts w:ascii="Palatino Linotype" w:eastAsia="Palatino Linotype" w:hAnsi="Palatino Linotype" w:cs="Palatino Linotype"/>
        </w:rPr>
      </w:pPr>
    </w:p>
    <w:p w14:paraId="681464A3" w14:textId="77777777" w:rsidR="00BE7D00" w:rsidRPr="00E76083" w:rsidRDefault="00BE7D00" w:rsidP="00BE7D00">
      <w:pPr>
        <w:spacing w:before="240" w:after="240" w:line="360" w:lineRule="auto"/>
        <w:ind w:firstLine="1"/>
        <w:jc w:val="both"/>
        <w:rPr>
          <w:rFonts w:ascii="Palatino Linotype" w:hAnsi="Palatino Linotype"/>
        </w:rPr>
      </w:pPr>
      <w:bookmarkStart w:id="14" w:name="_Hlk99014733"/>
      <w:r w:rsidRPr="00E76083">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w:t>
      </w:r>
      <w:r w:rsidRPr="00E76083">
        <w:rPr>
          <w:rFonts w:ascii="Palatino Linotype" w:hAnsi="Palatino Linotype" w:cs="Palatino Linotype"/>
        </w:rPr>
        <w:lastRenderedPageBreak/>
        <w:t xml:space="preserve">DEL ROSARIO MEJÍA AYALA, SHARON CRISTINA MORALES MARTÍNEZ, LUIS GUSTAVO PARRA NORIEGA Y GUADALUPE RAMÍREZ PEÑA; EN LA SEXTA SESIÓN ORDINARIA, CELEBRADA EL DIECIOCHO (18) DE FEBRERO DE DOS MIL VEINTISÉIS, ANTE EL SECRETARIO TÉCNICO DEL PLENO </w:t>
      </w:r>
      <w:r w:rsidRPr="00E76083">
        <w:rPr>
          <w:rFonts w:ascii="Palatino Linotype" w:hAnsi="Palatino Linotype" w:cs="Palatino Linotype"/>
          <w:color w:val="000000" w:themeColor="text1"/>
        </w:rPr>
        <w:t>ALEXIS TAPIA RAMÍREZ.</w:t>
      </w:r>
    </w:p>
    <w:bookmarkEnd w:id="14"/>
    <w:p w14:paraId="4A5CE46F" w14:textId="77777777" w:rsidR="00BD7A3B" w:rsidRPr="00E76083" w:rsidRDefault="00BD7A3B" w:rsidP="006D0C70">
      <w:pPr>
        <w:pStyle w:val="Ttulo2"/>
        <w:spacing w:before="0" w:line="360" w:lineRule="auto"/>
        <w:ind w:right="-879"/>
        <w:rPr>
          <w:sz w:val="24"/>
          <w:szCs w:val="24"/>
        </w:rPr>
      </w:pPr>
    </w:p>
    <w:p w14:paraId="3FFCCBEA" w14:textId="77777777" w:rsidR="00E1758E" w:rsidRPr="00E76083" w:rsidRDefault="00E1758E" w:rsidP="00E1758E"/>
    <w:p w14:paraId="6027B65C" w14:textId="77777777" w:rsidR="00E1758E" w:rsidRPr="00E76083" w:rsidRDefault="00E1758E" w:rsidP="00E1758E"/>
    <w:p w14:paraId="6E8BC5E7" w14:textId="77777777" w:rsidR="00E1758E" w:rsidRPr="00E76083" w:rsidRDefault="00E1758E" w:rsidP="00E1758E"/>
    <w:p w14:paraId="033430FF" w14:textId="77777777" w:rsidR="00E1758E" w:rsidRPr="00E76083" w:rsidRDefault="00E1758E" w:rsidP="00E1758E"/>
    <w:p w14:paraId="044866B4" w14:textId="77777777" w:rsidR="00E1758E" w:rsidRPr="00E76083" w:rsidRDefault="00E1758E" w:rsidP="00E1758E"/>
    <w:p w14:paraId="6898C67B" w14:textId="77777777" w:rsidR="00E1758E" w:rsidRPr="00E76083" w:rsidRDefault="00E1758E" w:rsidP="00E1758E"/>
    <w:p w14:paraId="48034B45" w14:textId="77777777" w:rsidR="00E1758E" w:rsidRPr="00E76083" w:rsidRDefault="00E1758E" w:rsidP="00E1758E"/>
    <w:p w14:paraId="416B6484" w14:textId="77777777" w:rsidR="00E1758E" w:rsidRPr="00E76083" w:rsidRDefault="00E1758E" w:rsidP="00E1758E"/>
    <w:p w14:paraId="4FFBFC9C" w14:textId="77777777" w:rsidR="00E1758E" w:rsidRPr="00E76083" w:rsidRDefault="00E1758E" w:rsidP="00E1758E"/>
    <w:p w14:paraId="1116D2A7" w14:textId="77777777" w:rsidR="00E1758E" w:rsidRPr="00E76083" w:rsidRDefault="00E1758E" w:rsidP="00E1758E"/>
    <w:p w14:paraId="339C0C50" w14:textId="77777777" w:rsidR="00E1758E" w:rsidRDefault="00E1758E" w:rsidP="00E1758E"/>
    <w:p w14:paraId="608B9D64" w14:textId="77777777" w:rsidR="00E76083" w:rsidRDefault="00E76083" w:rsidP="00E1758E"/>
    <w:p w14:paraId="6721FEA3" w14:textId="77777777" w:rsidR="00E76083" w:rsidRDefault="00E76083" w:rsidP="00E1758E"/>
    <w:p w14:paraId="1E328FFA" w14:textId="77777777" w:rsidR="00E76083" w:rsidRDefault="00E76083" w:rsidP="00E1758E"/>
    <w:p w14:paraId="14CA3EB8" w14:textId="77777777" w:rsidR="00E76083" w:rsidRDefault="00E76083" w:rsidP="00E1758E"/>
    <w:p w14:paraId="2DD4C49A" w14:textId="77777777" w:rsidR="00E76083" w:rsidRDefault="00E76083" w:rsidP="00E1758E"/>
    <w:p w14:paraId="568724C8" w14:textId="77777777" w:rsidR="00E76083" w:rsidRDefault="00E76083" w:rsidP="00E1758E"/>
    <w:p w14:paraId="199AE885" w14:textId="77777777" w:rsidR="00E76083" w:rsidRDefault="00E76083" w:rsidP="00E1758E"/>
    <w:p w14:paraId="66D70451" w14:textId="77777777" w:rsidR="00E76083" w:rsidRDefault="00E76083" w:rsidP="00E1758E"/>
    <w:p w14:paraId="61CD74A3" w14:textId="77777777" w:rsidR="00E76083" w:rsidRDefault="00E76083" w:rsidP="00E1758E"/>
    <w:p w14:paraId="2200698F" w14:textId="77777777" w:rsidR="00E76083" w:rsidRDefault="00E76083" w:rsidP="00E1758E"/>
    <w:p w14:paraId="04DE4C59" w14:textId="77777777" w:rsidR="00E76083" w:rsidRDefault="00E76083" w:rsidP="00E1758E"/>
    <w:p w14:paraId="5F23AB0D" w14:textId="77777777" w:rsidR="00E76083" w:rsidRDefault="00E76083" w:rsidP="00E1758E"/>
    <w:p w14:paraId="7665FED1" w14:textId="77777777" w:rsidR="00E76083" w:rsidRDefault="00E76083" w:rsidP="00E1758E"/>
    <w:p w14:paraId="41ED83BF" w14:textId="77777777" w:rsidR="00E76083" w:rsidRDefault="00E76083" w:rsidP="00E1758E"/>
    <w:p w14:paraId="4FE41EE9" w14:textId="77777777" w:rsidR="00E76083" w:rsidRDefault="00E76083" w:rsidP="00E1758E"/>
    <w:p w14:paraId="7D82B964" w14:textId="77777777" w:rsidR="00E76083" w:rsidRDefault="00E76083" w:rsidP="00E1758E"/>
    <w:p w14:paraId="1B0F2EFC" w14:textId="77777777" w:rsidR="00E76083" w:rsidRDefault="00E76083" w:rsidP="00E1758E"/>
    <w:p w14:paraId="308A448D" w14:textId="77777777" w:rsidR="00E76083" w:rsidRDefault="00E76083" w:rsidP="00E1758E"/>
    <w:p w14:paraId="4374A83E" w14:textId="77777777" w:rsidR="00E76083" w:rsidRDefault="00E76083" w:rsidP="00E1758E"/>
    <w:p w14:paraId="6D673640" w14:textId="77777777" w:rsidR="00E76083" w:rsidRDefault="00E76083" w:rsidP="00E1758E"/>
    <w:p w14:paraId="2B992C63" w14:textId="77777777" w:rsidR="00E76083" w:rsidRDefault="00E76083" w:rsidP="00E1758E"/>
    <w:p w14:paraId="2E48A49D" w14:textId="77777777" w:rsidR="00E76083" w:rsidRDefault="00E76083" w:rsidP="00E1758E"/>
    <w:p w14:paraId="33DFDBED" w14:textId="77777777" w:rsidR="00E76083" w:rsidRPr="00E76083" w:rsidRDefault="00E76083" w:rsidP="00E1758E"/>
    <w:sectPr w:rsidR="00E76083" w:rsidRPr="00E76083">
      <w:headerReference w:type="even" r:id="rId9"/>
      <w:headerReference w:type="default" r:id="rId10"/>
      <w:footerReference w:type="default" r:id="rId11"/>
      <w:headerReference w:type="first" r:id="rId12"/>
      <w:footerReference w:type="first" r:id="rId13"/>
      <w:pgSz w:w="12240" w:h="15840"/>
      <w:pgMar w:top="80" w:right="1608" w:bottom="1418"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C4EEBA" w14:textId="77777777" w:rsidR="00C05209" w:rsidRDefault="00C05209">
      <w:r>
        <w:separator/>
      </w:r>
    </w:p>
  </w:endnote>
  <w:endnote w:type="continuationSeparator" w:id="0">
    <w:p w14:paraId="1AD54AC7" w14:textId="77777777" w:rsidR="00C05209" w:rsidRDefault="00C052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CD64DF" w14:textId="77777777" w:rsidR="00E04EE4" w:rsidRPr="00E76083" w:rsidRDefault="00E04EE4">
    <w:pPr>
      <w:pBdr>
        <w:top w:val="nil"/>
        <w:left w:val="nil"/>
        <w:bottom w:val="nil"/>
        <w:right w:val="nil"/>
        <w:between w:val="nil"/>
      </w:pBdr>
      <w:tabs>
        <w:tab w:val="center" w:pos="4419"/>
        <w:tab w:val="right" w:pos="8838"/>
      </w:tabs>
      <w:jc w:val="right"/>
      <w:rPr>
        <w:rFonts w:ascii="Palatino Linotype" w:hAnsi="Palatino Linotype"/>
        <w:b/>
        <w:color w:val="000000"/>
        <w:sz w:val="22"/>
      </w:rPr>
    </w:pPr>
    <w:r w:rsidRPr="00E76083">
      <w:rPr>
        <w:rFonts w:ascii="Palatino Linotype" w:hAnsi="Palatino Linotype"/>
        <w:b/>
        <w:color w:val="000000"/>
        <w:sz w:val="22"/>
      </w:rPr>
      <w:t xml:space="preserve">Página </w:t>
    </w:r>
    <w:r w:rsidRPr="00E76083">
      <w:rPr>
        <w:rFonts w:ascii="Palatino Linotype" w:hAnsi="Palatino Linotype"/>
        <w:b/>
        <w:color w:val="000000"/>
        <w:sz w:val="22"/>
      </w:rPr>
      <w:fldChar w:fldCharType="begin"/>
    </w:r>
    <w:r w:rsidRPr="00E76083">
      <w:rPr>
        <w:rFonts w:ascii="Palatino Linotype" w:hAnsi="Palatino Linotype"/>
        <w:b/>
        <w:color w:val="000000"/>
        <w:sz w:val="22"/>
      </w:rPr>
      <w:instrText>PAGE</w:instrText>
    </w:r>
    <w:r w:rsidRPr="00E76083">
      <w:rPr>
        <w:rFonts w:ascii="Palatino Linotype" w:hAnsi="Palatino Linotype"/>
        <w:b/>
        <w:color w:val="000000"/>
        <w:sz w:val="22"/>
      </w:rPr>
      <w:fldChar w:fldCharType="separate"/>
    </w:r>
    <w:r w:rsidR="00E76083">
      <w:rPr>
        <w:rFonts w:ascii="Palatino Linotype" w:hAnsi="Palatino Linotype"/>
        <w:b/>
        <w:noProof/>
        <w:color w:val="000000"/>
        <w:sz w:val="22"/>
      </w:rPr>
      <w:t>16</w:t>
    </w:r>
    <w:r w:rsidRPr="00E76083">
      <w:rPr>
        <w:rFonts w:ascii="Palatino Linotype" w:hAnsi="Palatino Linotype"/>
        <w:b/>
        <w:color w:val="000000"/>
        <w:sz w:val="22"/>
      </w:rPr>
      <w:fldChar w:fldCharType="end"/>
    </w:r>
    <w:r w:rsidRPr="00E76083">
      <w:rPr>
        <w:rFonts w:ascii="Palatino Linotype" w:hAnsi="Palatino Linotype"/>
        <w:b/>
        <w:color w:val="000000"/>
        <w:sz w:val="22"/>
      </w:rPr>
      <w:t xml:space="preserve"> de </w:t>
    </w:r>
    <w:r w:rsidRPr="00E76083">
      <w:rPr>
        <w:rFonts w:ascii="Palatino Linotype" w:hAnsi="Palatino Linotype"/>
        <w:b/>
        <w:color w:val="000000"/>
        <w:sz w:val="22"/>
      </w:rPr>
      <w:fldChar w:fldCharType="begin"/>
    </w:r>
    <w:r w:rsidRPr="00E76083">
      <w:rPr>
        <w:rFonts w:ascii="Palatino Linotype" w:hAnsi="Palatino Linotype"/>
        <w:b/>
        <w:color w:val="000000"/>
        <w:sz w:val="22"/>
      </w:rPr>
      <w:instrText>NUMPAGES</w:instrText>
    </w:r>
    <w:r w:rsidRPr="00E76083">
      <w:rPr>
        <w:rFonts w:ascii="Palatino Linotype" w:hAnsi="Palatino Linotype"/>
        <w:b/>
        <w:color w:val="000000"/>
        <w:sz w:val="22"/>
      </w:rPr>
      <w:fldChar w:fldCharType="separate"/>
    </w:r>
    <w:r w:rsidR="00E76083">
      <w:rPr>
        <w:rFonts w:ascii="Palatino Linotype" w:hAnsi="Palatino Linotype"/>
        <w:b/>
        <w:noProof/>
        <w:color w:val="000000"/>
        <w:sz w:val="22"/>
      </w:rPr>
      <w:t>16</w:t>
    </w:r>
    <w:r w:rsidRPr="00E76083">
      <w:rPr>
        <w:rFonts w:ascii="Palatino Linotype" w:hAnsi="Palatino Linotype"/>
        <w:b/>
        <w:color w:val="000000"/>
        <w:sz w:val="22"/>
      </w:rPr>
      <w:fldChar w:fldCharType="end"/>
    </w:r>
  </w:p>
  <w:p w14:paraId="3AA37FD3" w14:textId="77777777" w:rsidR="00E04EE4" w:rsidRDefault="00E04EE4">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6556CF" w14:textId="77777777" w:rsidR="00E04EE4" w:rsidRPr="00E76083" w:rsidRDefault="00E04EE4">
    <w:pPr>
      <w:pBdr>
        <w:top w:val="nil"/>
        <w:left w:val="nil"/>
        <w:bottom w:val="nil"/>
        <w:right w:val="nil"/>
        <w:between w:val="nil"/>
      </w:pBdr>
      <w:tabs>
        <w:tab w:val="center" w:pos="4419"/>
        <w:tab w:val="right" w:pos="8838"/>
      </w:tabs>
      <w:jc w:val="right"/>
      <w:rPr>
        <w:rFonts w:ascii="Palatino Linotype" w:hAnsi="Palatino Linotype"/>
        <w:color w:val="000000"/>
        <w:sz w:val="22"/>
      </w:rPr>
    </w:pPr>
    <w:r w:rsidRPr="00E76083">
      <w:rPr>
        <w:rFonts w:ascii="Palatino Linotype" w:hAnsi="Palatino Linotype"/>
        <w:color w:val="000000"/>
        <w:sz w:val="22"/>
      </w:rPr>
      <w:t xml:space="preserve">Página </w:t>
    </w:r>
    <w:r w:rsidRPr="00E76083">
      <w:rPr>
        <w:rFonts w:ascii="Palatino Linotype" w:hAnsi="Palatino Linotype"/>
        <w:b/>
        <w:color w:val="000000"/>
        <w:sz w:val="22"/>
      </w:rPr>
      <w:fldChar w:fldCharType="begin"/>
    </w:r>
    <w:r w:rsidRPr="00E76083">
      <w:rPr>
        <w:rFonts w:ascii="Palatino Linotype" w:hAnsi="Palatino Linotype"/>
        <w:b/>
        <w:color w:val="000000"/>
        <w:sz w:val="22"/>
      </w:rPr>
      <w:instrText>PAGE</w:instrText>
    </w:r>
    <w:r w:rsidRPr="00E76083">
      <w:rPr>
        <w:rFonts w:ascii="Palatino Linotype" w:hAnsi="Palatino Linotype"/>
        <w:b/>
        <w:color w:val="000000"/>
        <w:sz w:val="22"/>
      </w:rPr>
      <w:fldChar w:fldCharType="separate"/>
    </w:r>
    <w:r w:rsidR="00E76083">
      <w:rPr>
        <w:rFonts w:ascii="Palatino Linotype" w:hAnsi="Palatino Linotype"/>
        <w:b/>
        <w:noProof/>
        <w:color w:val="000000"/>
        <w:sz w:val="22"/>
      </w:rPr>
      <w:t>1</w:t>
    </w:r>
    <w:r w:rsidRPr="00E76083">
      <w:rPr>
        <w:rFonts w:ascii="Palatino Linotype" w:hAnsi="Palatino Linotype"/>
        <w:b/>
        <w:color w:val="000000"/>
        <w:sz w:val="22"/>
      </w:rPr>
      <w:fldChar w:fldCharType="end"/>
    </w:r>
    <w:r w:rsidRPr="00E76083">
      <w:rPr>
        <w:rFonts w:ascii="Palatino Linotype" w:hAnsi="Palatino Linotype"/>
        <w:color w:val="000000"/>
        <w:sz w:val="22"/>
      </w:rPr>
      <w:t xml:space="preserve"> de </w:t>
    </w:r>
    <w:r w:rsidRPr="00E76083">
      <w:rPr>
        <w:rFonts w:ascii="Palatino Linotype" w:hAnsi="Palatino Linotype"/>
        <w:b/>
        <w:color w:val="000000"/>
        <w:sz w:val="22"/>
      </w:rPr>
      <w:fldChar w:fldCharType="begin"/>
    </w:r>
    <w:r w:rsidRPr="00E76083">
      <w:rPr>
        <w:rFonts w:ascii="Palatino Linotype" w:hAnsi="Palatino Linotype"/>
        <w:b/>
        <w:color w:val="000000"/>
        <w:sz w:val="22"/>
      </w:rPr>
      <w:instrText>NUMPAGES</w:instrText>
    </w:r>
    <w:r w:rsidRPr="00E76083">
      <w:rPr>
        <w:rFonts w:ascii="Palatino Linotype" w:hAnsi="Palatino Linotype"/>
        <w:b/>
        <w:color w:val="000000"/>
        <w:sz w:val="22"/>
      </w:rPr>
      <w:fldChar w:fldCharType="separate"/>
    </w:r>
    <w:r w:rsidR="00E76083">
      <w:rPr>
        <w:rFonts w:ascii="Palatino Linotype" w:hAnsi="Palatino Linotype"/>
        <w:b/>
        <w:noProof/>
        <w:color w:val="000000"/>
        <w:sz w:val="22"/>
      </w:rPr>
      <w:t>16</w:t>
    </w:r>
    <w:r w:rsidRPr="00E76083">
      <w:rPr>
        <w:rFonts w:ascii="Palatino Linotype" w:hAnsi="Palatino Linotype"/>
        <w:b/>
        <w:color w:val="000000"/>
        <w:sz w:val="22"/>
      </w:rPr>
      <w:fldChar w:fldCharType="end"/>
    </w:r>
  </w:p>
  <w:p w14:paraId="23BFFC85" w14:textId="77777777" w:rsidR="00E04EE4" w:rsidRDefault="00E04EE4">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7C8B77" w14:textId="77777777" w:rsidR="00C05209" w:rsidRDefault="00C05209">
      <w:r>
        <w:separator/>
      </w:r>
    </w:p>
  </w:footnote>
  <w:footnote w:type="continuationSeparator" w:id="0">
    <w:p w14:paraId="114C5211" w14:textId="77777777" w:rsidR="00C05209" w:rsidRDefault="00C05209">
      <w:r>
        <w:continuationSeparator/>
      </w:r>
    </w:p>
  </w:footnote>
  <w:footnote w:id="1">
    <w:p w14:paraId="26351B23" w14:textId="77777777" w:rsidR="00E04EE4" w:rsidRPr="004E69BC" w:rsidRDefault="00E04EE4" w:rsidP="004E69BC">
      <w:pPr>
        <w:pStyle w:val="Textonotapie"/>
        <w:rPr>
          <w:rFonts w:ascii="Palatino Linotype" w:hAnsi="Palatino Linotype"/>
          <w:sz w:val="18"/>
        </w:rPr>
      </w:pPr>
      <w:r>
        <w:rPr>
          <w:rStyle w:val="Refdenotaalpie"/>
        </w:rPr>
        <w:footnoteRef/>
      </w:r>
      <w:r>
        <w:t xml:space="preserve"> </w:t>
      </w:r>
      <w:r w:rsidRPr="004E69BC">
        <w:rPr>
          <w:rFonts w:ascii="Palatino Linotype" w:hAnsi="Palatino Linotype"/>
          <w:sz w:val="18"/>
        </w:rPr>
        <w:t>LEY DE TRANSPARENCIA Y ACCESO A LA INFORMACIÓN</w:t>
      </w:r>
      <w:r>
        <w:rPr>
          <w:rFonts w:ascii="Palatino Linotype" w:hAnsi="Palatino Linotype"/>
          <w:sz w:val="18"/>
        </w:rPr>
        <w:t xml:space="preserve"> </w:t>
      </w:r>
      <w:r w:rsidRPr="004E69BC">
        <w:rPr>
          <w:rFonts w:ascii="Palatino Linotype" w:hAnsi="Palatino Linotype"/>
          <w:sz w:val="18"/>
        </w:rPr>
        <w:t xml:space="preserve">PÚBLICA DEL ESTADO DE MÉXICO Y MUNICIPIOS. </w:t>
      </w:r>
      <w:r w:rsidRPr="004E69BC">
        <w:rPr>
          <w:rFonts w:ascii="Palatino Linotype" w:hAnsi="Palatino Linotype"/>
          <w:b/>
          <w:bCs/>
          <w:sz w:val="18"/>
        </w:rPr>
        <w:t xml:space="preserve">Artículo 178. </w:t>
      </w:r>
      <w:r w:rsidRPr="004E69BC">
        <w:rPr>
          <w:rFonts w:ascii="Palatino Linotype" w:hAnsi="Palatino Linotype"/>
          <w:sz w:val="18"/>
        </w:rPr>
        <w:t>El solicitante podrá interponer, por sí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w:t>
      </w:r>
    </w:p>
  </w:footnote>
  <w:footnote w:id="2">
    <w:p w14:paraId="5E5EC65C" w14:textId="77777777" w:rsidR="00E04EE4" w:rsidRPr="004E69BC" w:rsidRDefault="00E04EE4">
      <w:pPr>
        <w:pStyle w:val="Textonotapie"/>
        <w:rPr>
          <w:rFonts w:ascii="Palatino Linotype" w:hAnsi="Palatino Linotype"/>
          <w:sz w:val="18"/>
        </w:rPr>
      </w:pPr>
      <w:r>
        <w:rPr>
          <w:rStyle w:val="Refdenotaalpie"/>
        </w:rPr>
        <w:footnoteRef/>
      </w:r>
      <w:r>
        <w:t xml:space="preserve"> </w:t>
      </w:r>
      <w:r w:rsidRPr="004E69BC">
        <w:rPr>
          <w:rFonts w:ascii="Palatino Linotype" w:hAnsi="Palatino Linotype"/>
          <w:sz w:val="18"/>
        </w:rPr>
        <w:t>Ley de Transparencia y Acceso a la Información Pública del Estado de México y Municipios art. 191 fr.I.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7810B5" w14:textId="77777777" w:rsidR="00E04EE4" w:rsidRDefault="00C05209">
    <w:pPr>
      <w:pBdr>
        <w:top w:val="nil"/>
        <w:left w:val="nil"/>
        <w:bottom w:val="nil"/>
        <w:right w:val="nil"/>
        <w:between w:val="nil"/>
      </w:pBdr>
      <w:tabs>
        <w:tab w:val="center" w:pos="4419"/>
        <w:tab w:val="right" w:pos="8838"/>
      </w:tabs>
      <w:rPr>
        <w:color w:val="000000"/>
      </w:rPr>
    </w:pPr>
    <w:r>
      <w:rPr>
        <w:color w:val="000000"/>
      </w:rPr>
      <w:pict w14:anchorId="6F7BA4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 style="position:absolute;margin-left:0;margin-top:0;width:589.8pt;height:768pt;z-index:-251657728;mso-position-horizontal:center;mso-position-horizontal-relative:margin;mso-position-vertical:center;mso-position-vertical-relative:margin">
          <v:imagedata r:id="rId1" o:title="image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207" w:type="dxa"/>
      <w:tblInd w:w="0" w:type="dxa"/>
      <w:tblLayout w:type="fixed"/>
      <w:tblLook w:val="0400" w:firstRow="0" w:lastRow="0" w:firstColumn="0" w:lastColumn="0" w:noHBand="0" w:noVBand="1"/>
    </w:tblPr>
    <w:tblGrid>
      <w:gridCol w:w="1985"/>
      <w:gridCol w:w="8222"/>
    </w:tblGrid>
    <w:tr w:rsidR="00E04EE4" w14:paraId="0E901F23" w14:textId="77777777" w:rsidTr="00E76083">
      <w:trPr>
        <w:trHeight w:val="1435"/>
      </w:trPr>
      <w:tc>
        <w:tcPr>
          <w:tcW w:w="1985" w:type="dxa"/>
          <w:shd w:val="clear" w:color="auto" w:fill="auto"/>
        </w:tcPr>
        <w:p w14:paraId="1601E10D" w14:textId="77777777" w:rsidR="00E04EE4" w:rsidRDefault="00E04EE4">
          <w:pPr>
            <w:tabs>
              <w:tab w:val="right" w:pos="4273"/>
            </w:tabs>
            <w:rPr>
              <w:rFonts w:ascii="Garamond" w:eastAsia="Garamond" w:hAnsi="Garamond" w:cs="Garamond"/>
              <w:sz w:val="16"/>
              <w:szCs w:val="16"/>
            </w:rPr>
          </w:pPr>
        </w:p>
      </w:tc>
      <w:tc>
        <w:tcPr>
          <w:tcW w:w="8222" w:type="dxa"/>
          <w:shd w:val="clear" w:color="auto" w:fill="auto"/>
        </w:tcPr>
        <w:tbl>
          <w:tblPr>
            <w:tblStyle w:val="a1"/>
            <w:tblW w:w="7182" w:type="dxa"/>
            <w:tblInd w:w="1161" w:type="dxa"/>
            <w:tblLayout w:type="fixed"/>
            <w:tblLook w:val="0400" w:firstRow="0" w:lastRow="0" w:firstColumn="0" w:lastColumn="0" w:noHBand="0" w:noVBand="1"/>
          </w:tblPr>
          <w:tblGrid>
            <w:gridCol w:w="2964"/>
            <w:gridCol w:w="4218"/>
          </w:tblGrid>
          <w:tr w:rsidR="00E04EE4" w14:paraId="0E5F6C19" w14:textId="77777777" w:rsidTr="00E76083">
            <w:trPr>
              <w:trHeight w:val="144"/>
            </w:trPr>
            <w:tc>
              <w:tcPr>
                <w:tcW w:w="2964" w:type="dxa"/>
                <w:shd w:val="clear" w:color="auto" w:fill="auto"/>
              </w:tcPr>
              <w:p w14:paraId="253711FC" w14:textId="77777777" w:rsidR="00E04EE4" w:rsidRPr="00E76083" w:rsidRDefault="00E04EE4">
                <w:pPr>
                  <w:tabs>
                    <w:tab w:val="right" w:pos="8838"/>
                  </w:tabs>
                  <w:ind w:left="-264" w:right="-105" w:firstLine="195"/>
                  <w:rPr>
                    <w:rFonts w:ascii="Palatino Linotype" w:eastAsia="Palatino Linotype" w:hAnsi="Palatino Linotype" w:cs="Palatino Linotype"/>
                    <w:b/>
                    <w:szCs w:val="22"/>
                  </w:rPr>
                </w:pPr>
                <w:r w:rsidRPr="00E76083">
                  <w:rPr>
                    <w:rFonts w:ascii="Palatino Linotype" w:eastAsia="Palatino Linotype" w:hAnsi="Palatino Linotype" w:cs="Palatino Linotype"/>
                    <w:b/>
                    <w:szCs w:val="22"/>
                  </w:rPr>
                  <w:t>Recurso de Revisión:</w:t>
                </w:r>
              </w:p>
            </w:tc>
            <w:tc>
              <w:tcPr>
                <w:tcW w:w="4218" w:type="dxa"/>
                <w:shd w:val="clear" w:color="auto" w:fill="auto"/>
              </w:tcPr>
              <w:p w14:paraId="4CB9C8F6" w14:textId="77777777" w:rsidR="00E04EE4" w:rsidRPr="00E76083" w:rsidRDefault="00E04EE4">
                <w:pPr>
                  <w:tabs>
                    <w:tab w:val="right" w:pos="8838"/>
                  </w:tabs>
                  <w:ind w:left="-74" w:right="-105"/>
                  <w:jc w:val="both"/>
                  <w:rPr>
                    <w:rFonts w:ascii="Palatino Linotype" w:eastAsia="Palatino Linotype" w:hAnsi="Palatino Linotype" w:cs="Palatino Linotype"/>
                    <w:szCs w:val="22"/>
                  </w:rPr>
                </w:pPr>
                <w:r w:rsidRPr="00E76083">
                  <w:rPr>
                    <w:rFonts w:ascii="Palatino Linotype" w:eastAsia="Palatino Linotype" w:hAnsi="Palatino Linotype" w:cs="Palatino Linotype"/>
                    <w:szCs w:val="22"/>
                  </w:rPr>
                  <w:t>11528/INFOEM/ICR-39/IP/RR/2025</w:t>
                </w:r>
              </w:p>
            </w:tc>
          </w:tr>
          <w:tr w:rsidR="00E04EE4" w14:paraId="4C606296" w14:textId="77777777" w:rsidTr="00E76083">
            <w:trPr>
              <w:trHeight w:val="283"/>
            </w:trPr>
            <w:tc>
              <w:tcPr>
                <w:tcW w:w="2964" w:type="dxa"/>
                <w:shd w:val="clear" w:color="auto" w:fill="auto"/>
              </w:tcPr>
              <w:p w14:paraId="7DC2AFAE" w14:textId="77777777" w:rsidR="00E04EE4" w:rsidRPr="00E76083" w:rsidRDefault="00E04EE4">
                <w:pPr>
                  <w:tabs>
                    <w:tab w:val="right" w:pos="8838"/>
                  </w:tabs>
                  <w:ind w:left="-74" w:right="-105"/>
                  <w:rPr>
                    <w:rFonts w:ascii="Palatino Linotype" w:eastAsia="Palatino Linotype" w:hAnsi="Palatino Linotype" w:cs="Palatino Linotype"/>
                    <w:b/>
                    <w:szCs w:val="22"/>
                  </w:rPr>
                </w:pPr>
                <w:r w:rsidRPr="00E76083">
                  <w:rPr>
                    <w:rFonts w:ascii="Palatino Linotype" w:eastAsia="Palatino Linotype" w:hAnsi="Palatino Linotype" w:cs="Palatino Linotype"/>
                    <w:b/>
                    <w:szCs w:val="22"/>
                  </w:rPr>
                  <w:t>Sujeto Obligado:</w:t>
                </w:r>
              </w:p>
            </w:tc>
            <w:tc>
              <w:tcPr>
                <w:tcW w:w="4218" w:type="dxa"/>
                <w:shd w:val="clear" w:color="auto" w:fill="auto"/>
              </w:tcPr>
              <w:p w14:paraId="30DA93AF" w14:textId="77777777" w:rsidR="00E04EE4" w:rsidRPr="00E76083" w:rsidRDefault="00E04EE4" w:rsidP="00E76083">
                <w:pPr>
                  <w:ind w:left="-103"/>
                  <w:rPr>
                    <w:rFonts w:ascii="Palatino Linotype" w:eastAsia="Palatino Linotype" w:hAnsi="Palatino Linotype" w:cs="Palatino Linotype"/>
                    <w:szCs w:val="22"/>
                  </w:rPr>
                </w:pPr>
                <w:r w:rsidRPr="00E76083">
                  <w:rPr>
                    <w:rFonts w:ascii="Palatino Linotype" w:eastAsia="Palatino Linotype" w:hAnsi="Palatino Linotype" w:cs="Palatino Linotype"/>
                    <w:szCs w:val="22"/>
                  </w:rPr>
                  <w:t>Ayuntamiento de Tepotzotlán</w:t>
                </w:r>
              </w:p>
            </w:tc>
          </w:tr>
          <w:tr w:rsidR="00E04EE4" w14:paraId="02CD5E0D" w14:textId="77777777" w:rsidTr="00E76083">
            <w:trPr>
              <w:trHeight w:val="283"/>
            </w:trPr>
            <w:tc>
              <w:tcPr>
                <w:tcW w:w="2964" w:type="dxa"/>
                <w:shd w:val="clear" w:color="auto" w:fill="auto"/>
              </w:tcPr>
              <w:p w14:paraId="28B2EF4F" w14:textId="77777777" w:rsidR="00E04EE4" w:rsidRPr="00E76083" w:rsidRDefault="00E04EE4">
                <w:pPr>
                  <w:tabs>
                    <w:tab w:val="right" w:pos="8838"/>
                  </w:tabs>
                  <w:ind w:left="-74" w:right="-105"/>
                  <w:rPr>
                    <w:rFonts w:ascii="Palatino Linotype" w:eastAsia="Palatino Linotype" w:hAnsi="Palatino Linotype" w:cs="Palatino Linotype"/>
                    <w:b/>
                    <w:szCs w:val="22"/>
                  </w:rPr>
                </w:pPr>
                <w:r w:rsidRPr="00E76083">
                  <w:rPr>
                    <w:rFonts w:ascii="Palatino Linotype" w:eastAsia="Palatino Linotype" w:hAnsi="Palatino Linotype" w:cs="Palatino Linotype"/>
                    <w:b/>
                    <w:szCs w:val="22"/>
                  </w:rPr>
                  <w:t>Comisionada ponente:</w:t>
                </w:r>
              </w:p>
            </w:tc>
            <w:tc>
              <w:tcPr>
                <w:tcW w:w="4218" w:type="dxa"/>
                <w:shd w:val="clear" w:color="auto" w:fill="auto"/>
              </w:tcPr>
              <w:p w14:paraId="739362DE" w14:textId="77777777" w:rsidR="00E04EE4" w:rsidRPr="00E76083" w:rsidRDefault="00E04EE4">
                <w:pPr>
                  <w:tabs>
                    <w:tab w:val="right" w:pos="8838"/>
                  </w:tabs>
                  <w:ind w:left="-74" w:right="-105"/>
                  <w:jc w:val="both"/>
                  <w:rPr>
                    <w:rFonts w:ascii="Palatino Linotype" w:eastAsia="Palatino Linotype" w:hAnsi="Palatino Linotype" w:cs="Palatino Linotype"/>
                    <w:szCs w:val="22"/>
                  </w:rPr>
                </w:pPr>
                <w:r w:rsidRPr="00E76083">
                  <w:rPr>
                    <w:rFonts w:ascii="Palatino Linotype" w:eastAsia="Palatino Linotype" w:hAnsi="Palatino Linotype" w:cs="Palatino Linotype"/>
                    <w:szCs w:val="22"/>
                  </w:rPr>
                  <w:t>María del Rosario Mejía Ayala</w:t>
                </w:r>
              </w:p>
              <w:p w14:paraId="7844CF30" w14:textId="77777777" w:rsidR="00E04EE4" w:rsidRPr="00E76083" w:rsidRDefault="00E04EE4">
                <w:pPr>
                  <w:tabs>
                    <w:tab w:val="right" w:pos="8838"/>
                  </w:tabs>
                  <w:ind w:left="-74" w:right="-105"/>
                  <w:jc w:val="both"/>
                  <w:rPr>
                    <w:rFonts w:ascii="Palatino Linotype" w:eastAsia="Palatino Linotype" w:hAnsi="Palatino Linotype" w:cs="Palatino Linotype"/>
                    <w:szCs w:val="22"/>
                  </w:rPr>
                </w:pPr>
              </w:p>
            </w:tc>
          </w:tr>
        </w:tbl>
        <w:p w14:paraId="1B9DC4B5" w14:textId="77777777" w:rsidR="00E04EE4" w:rsidRDefault="00E04EE4">
          <w:pPr>
            <w:tabs>
              <w:tab w:val="right" w:pos="8838"/>
            </w:tabs>
            <w:ind w:left="-28"/>
            <w:jc w:val="both"/>
            <w:rPr>
              <w:rFonts w:ascii="Arial" w:eastAsia="Arial" w:hAnsi="Arial" w:cs="Arial"/>
              <w:b/>
              <w:sz w:val="22"/>
              <w:szCs w:val="22"/>
            </w:rPr>
          </w:pPr>
        </w:p>
      </w:tc>
    </w:tr>
  </w:tbl>
  <w:p w14:paraId="4A0741DA" w14:textId="77777777" w:rsidR="00E04EE4" w:rsidRDefault="00C05209">
    <w:pPr>
      <w:pBdr>
        <w:top w:val="nil"/>
        <w:left w:val="nil"/>
        <w:bottom w:val="nil"/>
        <w:right w:val="nil"/>
        <w:between w:val="nil"/>
      </w:pBdr>
      <w:tabs>
        <w:tab w:val="center" w:pos="4419"/>
        <w:tab w:val="right" w:pos="8838"/>
      </w:tabs>
      <w:rPr>
        <w:color w:val="000000"/>
        <w:sz w:val="14"/>
        <w:szCs w:val="14"/>
      </w:rPr>
    </w:pPr>
    <w:r>
      <w:rPr>
        <w:color w:val="000000"/>
        <w:sz w:val="14"/>
        <w:szCs w:val="14"/>
      </w:rPr>
      <w:pict w14:anchorId="756DEBB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1" type="#_x0000_t75" alt="" style="position:absolute;margin-left:-68.8pt;margin-top:-120.5pt;width:589.8pt;height:768pt;z-index:-251659776;mso-position-horizontal:absolute;mso-position-horizontal-relative:margin;mso-position-vertical:absolute;mso-position-vertical-relative:margin">
          <v:imagedata r:id="rId1" o:title="image2"/>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2"/>
      <w:tblW w:w="10490" w:type="dxa"/>
      <w:tblInd w:w="0" w:type="dxa"/>
      <w:tblLayout w:type="fixed"/>
      <w:tblLook w:val="0400" w:firstRow="0" w:lastRow="0" w:firstColumn="0" w:lastColumn="0" w:noHBand="0" w:noVBand="1"/>
    </w:tblPr>
    <w:tblGrid>
      <w:gridCol w:w="2268"/>
      <w:gridCol w:w="8222"/>
    </w:tblGrid>
    <w:tr w:rsidR="00E04EE4" w14:paraId="780FE204" w14:textId="77777777" w:rsidTr="00E76083">
      <w:trPr>
        <w:trHeight w:val="1435"/>
      </w:trPr>
      <w:tc>
        <w:tcPr>
          <w:tcW w:w="2268" w:type="dxa"/>
          <w:shd w:val="clear" w:color="auto" w:fill="auto"/>
        </w:tcPr>
        <w:p w14:paraId="30E6E423" w14:textId="77777777" w:rsidR="00E04EE4" w:rsidRDefault="00E04EE4">
          <w:pPr>
            <w:tabs>
              <w:tab w:val="right" w:pos="4273"/>
            </w:tabs>
            <w:rPr>
              <w:rFonts w:ascii="Garamond" w:eastAsia="Garamond" w:hAnsi="Garamond" w:cs="Garamond"/>
              <w:sz w:val="22"/>
              <w:szCs w:val="22"/>
            </w:rPr>
          </w:pPr>
        </w:p>
      </w:tc>
      <w:tc>
        <w:tcPr>
          <w:tcW w:w="8222" w:type="dxa"/>
          <w:shd w:val="clear" w:color="auto" w:fill="auto"/>
        </w:tcPr>
        <w:tbl>
          <w:tblPr>
            <w:tblStyle w:val="a3"/>
            <w:tblW w:w="7040" w:type="dxa"/>
            <w:tblInd w:w="1019" w:type="dxa"/>
            <w:tblLayout w:type="fixed"/>
            <w:tblLook w:val="0400" w:firstRow="0" w:lastRow="0" w:firstColumn="0" w:lastColumn="0" w:noHBand="0" w:noVBand="1"/>
          </w:tblPr>
          <w:tblGrid>
            <w:gridCol w:w="2822"/>
            <w:gridCol w:w="4218"/>
          </w:tblGrid>
          <w:tr w:rsidR="00E04EE4" w14:paraId="0E1360FA" w14:textId="77777777" w:rsidTr="00E76083">
            <w:trPr>
              <w:trHeight w:val="144"/>
            </w:trPr>
            <w:tc>
              <w:tcPr>
                <w:tcW w:w="2822" w:type="dxa"/>
                <w:shd w:val="clear" w:color="auto" w:fill="auto"/>
              </w:tcPr>
              <w:p w14:paraId="13D14414" w14:textId="77777777" w:rsidR="00E04EE4" w:rsidRPr="00E76083" w:rsidRDefault="00E04EE4">
                <w:pPr>
                  <w:tabs>
                    <w:tab w:val="right" w:pos="8838"/>
                  </w:tabs>
                  <w:ind w:left="-264" w:right="-105" w:firstLine="195"/>
                  <w:rPr>
                    <w:rFonts w:ascii="Palatino Linotype" w:eastAsia="Palatino Linotype" w:hAnsi="Palatino Linotype" w:cs="Palatino Linotype"/>
                    <w:b/>
                    <w:szCs w:val="22"/>
                  </w:rPr>
                </w:pPr>
                <w:r w:rsidRPr="00E76083">
                  <w:rPr>
                    <w:rFonts w:ascii="Palatino Linotype" w:eastAsia="Palatino Linotype" w:hAnsi="Palatino Linotype" w:cs="Palatino Linotype"/>
                    <w:b/>
                    <w:szCs w:val="22"/>
                  </w:rPr>
                  <w:t>Recurso de Revisión:</w:t>
                </w:r>
              </w:p>
            </w:tc>
            <w:tc>
              <w:tcPr>
                <w:tcW w:w="4218" w:type="dxa"/>
                <w:shd w:val="clear" w:color="auto" w:fill="auto"/>
              </w:tcPr>
              <w:p w14:paraId="5E2D61F2" w14:textId="77777777" w:rsidR="00E04EE4" w:rsidRPr="00E76083" w:rsidRDefault="00E04EE4" w:rsidP="00CA5C5B">
                <w:pPr>
                  <w:tabs>
                    <w:tab w:val="right" w:pos="8838"/>
                  </w:tabs>
                  <w:ind w:left="-74" w:right="-105"/>
                  <w:jc w:val="both"/>
                  <w:rPr>
                    <w:rFonts w:ascii="Palatino Linotype" w:eastAsia="Palatino Linotype" w:hAnsi="Palatino Linotype" w:cs="Palatino Linotype"/>
                    <w:szCs w:val="22"/>
                  </w:rPr>
                </w:pPr>
                <w:r w:rsidRPr="00E76083">
                  <w:rPr>
                    <w:rFonts w:ascii="Palatino Linotype" w:eastAsia="Palatino Linotype" w:hAnsi="Palatino Linotype" w:cs="Palatino Linotype"/>
                    <w:szCs w:val="22"/>
                  </w:rPr>
                  <w:t>11528/INFOEM/ICR-39/IP/RR/2025</w:t>
                </w:r>
              </w:p>
            </w:tc>
          </w:tr>
          <w:tr w:rsidR="00E04EE4" w14:paraId="2645CA34" w14:textId="77777777" w:rsidTr="00E76083">
            <w:trPr>
              <w:trHeight w:val="144"/>
            </w:trPr>
            <w:tc>
              <w:tcPr>
                <w:tcW w:w="2822" w:type="dxa"/>
                <w:shd w:val="clear" w:color="auto" w:fill="auto"/>
              </w:tcPr>
              <w:p w14:paraId="187C050E" w14:textId="77777777" w:rsidR="00E04EE4" w:rsidRPr="00E76083" w:rsidRDefault="00E04EE4">
                <w:pPr>
                  <w:tabs>
                    <w:tab w:val="right" w:pos="8838"/>
                  </w:tabs>
                  <w:ind w:left="-74" w:right="-105"/>
                  <w:rPr>
                    <w:rFonts w:ascii="Palatino Linotype" w:eastAsia="Palatino Linotype" w:hAnsi="Palatino Linotype" w:cs="Palatino Linotype"/>
                    <w:b/>
                    <w:szCs w:val="22"/>
                  </w:rPr>
                </w:pPr>
                <w:r w:rsidRPr="00E76083">
                  <w:rPr>
                    <w:rFonts w:ascii="Palatino Linotype" w:eastAsia="Palatino Linotype" w:hAnsi="Palatino Linotype" w:cs="Palatino Linotype"/>
                    <w:b/>
                    <w:szCs w:val="22"/>
                  </w:rPr>
                  <w:t>Recurrente:</w:t>
                </w:r>
              </w:p>
            </w:tc>
            <w:tc>
              <w:tcPr>
                <w:tcW w:w="4218" w:type="dxa"/>
                <w:shd w:val="clear" w:color="auto" w:fill="auto"/>
              </w:tcPr>
              <w:p w14:paraId="68DAA055" w14:textId="77777777" w:rsidR="00E04EE4" w:rsidRPr="00E76083" w:rsidRDefault="00E04EE4">
                <w:pPr>
                  <w:tabs>
                    <w:tab w:val="left" w:pos="3122"/>
                    <w:tab w:val="right" w:pos="8838"/>
                  </w:tabs>
                  <w:ind w:left="-74" w:right="-105"/>
                  <w:jc w:val="both"/>
                  <w:rPr>
                    <w:rFonts w:ascii="Palatino Linotype" w:eastAsia="Palatino Linotype" w:hAnsi="Palatino Linotype" w:cs="Palatino Linotype"/>
                    <w:szCs w:val="22"/>
                  </w:rPr>
                </w:pPr>
              </w:p>
            </w:tc>
          </w:tr>
          <w:tr w:rsidR="00E04EE4" w14:paraId="1F7301EA" w14:textId="77777777" w:rsidTr="00E76083">
            <w:trPr>
              <w:trHeight w:val="283"/>
            </w:trPr>
            <w:tc>
              <w:tcPr>
                <w:tcW w:w="2822" w:type="dxa"/>
                <w:shd w:val="clear" w:color="auto" w:fill="auto"/>
              </w:tcPr>
              <w:p w14:paraId="5E6AE0E4" w14:textId="77777777" w:rsidR="00E04EE4" w:rsidRPr="00E76083" w:rsidRDefault="00E04EE4">
                <w:pPr>
                  <w:tabs>
                    <w:tab w:val="right" w:pos="8838"/>
                  </w:tabs>
                  <w:ind w:left="-74" w:right="-105"/>
                  <w:rPr>
                    <w:rFonts w:ascii="Palatino Linotype" w:eastAsia="Palatino Linotype" w:hAnsi="Palatino Linotype" w:cs="Palatino Linotype"/>
                    <w:b/>
                    <w:szCs w:val="22"/>
                  </w:rPr>
                </w:pPr>
                <w:r w:rsidRPr="00E76083">
                  <w:rPr>
                    <w:rFonts w:ascii="Palatino Linotype" w:eastAsia="Palatino Linotype" w:hAnsi="Palatino Linotype" w:cs="Palatino Linotype"/>
                    <w:b/>
                    <w:szCs w:val="22"/>
                  </w:rPr>
                  <w:t>Sujeto Obligado:</w:t>
                </w:r>
              </w:p>
            </w:tc>
            <w:tc>
              <w:tcPr>
                <w:tcW w:w="4218" w:type="dxa"/>
                <w:shd w:val="clear" w:color="auto" w:fill="auto"/>
              </w:tcPr>
              <w:p w14:paraId="454266EA" w14:textId="77777777" w:rsidR="00E04EE4" w:rsidRPr="00E76083" w:rsidRDefault="00E04EE4" w:rsidP="00E76083">
                <w:pPr>
                  <w:ind w:left="-115"/>
                  <w:rPr>
                    <w:rFonts w:ascii="Palatino Linotype" w:eastAsia="Palatino Linotype" w:hAnsi="Palatino Linotype" w:cs="Palatino Linotype"/>
                    <w:szCs w:val="22"/>
                  </w:rPr>
                </w:pPr>
                <w:r w:rsidRPr="00E76083">
                  <w:rPr>
                    <w:rFonts w:ascii="Palatino Linotype" w:eastAsia="Palatino Linotype" w:hAnsi="Palatino Linotype" w:cs="Palatino Linotype"/>
                    <w:szCs w:val="22"/>
                  </w:rPr>
                  <w:t>Ayuntamiento de Tepotzotlán</w:t>
                </w:r>
              </w:p>
            </w:tc>
          </w:tr>
          <w:tr w:rsidR="00E04EE4" w14:paraId="10F69296" w14:textId="77777777" w:rsidTr="00E76083">
            <w:trPr>
              <w:trHeight w:val="283"/>
            </w:trPr>
            <w:tc>
              <w:tcPr>
                <w:tcW w:w="2822" w:type="dxa"/>
                <w:shd w:val="clear" w:color="auto" w:fill="auto"/>
              </w:tcPr>
              <w:p w14:paraId="1A1D3EDC" w14:textId="77777777" w:rsidR="00E04EE4" w:rsidRPr="00E76083" w:rsidRDefault="00E04EE4">
                <w:pPr>
                  <w:tabs>
                    <w:tab w:val="right" w:pos="8838"/>
                  </w:tabs>
                  <w:ind w:left="-74" w:right="-105"/>
                  <w:rPr>
                    <w:rFonts w:ascii="Palatino Linotype" w:eastAsia="Palatino Linotype" w:hAnsi="Palatino Linotype" w:cs="Palatino Linotype"/>
                    <w:b/>
                    <w:szCs w:val="22"/>
                  </w:rPr>
                </w:pPr>
                <w:r w:rsidRPr="00E76083">
                  <w:rPr>
                    <w:rFonts w:ascii="Palatino Linotype" w:eastAsia="Palatino Linotype" w:hAnsi="Palatino Linotype" w:cs="Palatino Linotype"/>
                    <w:b/>
                    <w:szCs w:val="22"/>
                  </w:rPr>
                  <w:t>Comisionada ponente:</w:t>
                </w:r>
              </w:p>
            </w:tc>
            <w:tc>
              <w:tcPr>
                <w:tcW w:w="4218" w:type="dxa"/>
                <w:shd w:val="clear" w:color="auto" w:fill="auto"/>
              </w:tcPr>
              <w:p w14:paraId="6F013105" w14:textId="77777777" w:rsidR="00E04EE4" w:rsidRPr="00E76083" w:rsidRDefault="00E04EE4">
                <w:pPr>
                  <w:tabs>
                    <w:tab w:val="right" w:pos="8838"/>
                  </w:tabs>
                  <w:ind w:left="-74" w:right="-105"/>
                  <w:jc w:val="both"/>
                  <w:rPr>
                    <w:rFonts w:ascii="Palatino Linotype" w:eastAsia="Palatino Linotype" w:hAnsi="Palatino Linotype" w:cs="Palatino Linotype"/>
                    <w:szCs w:val="22"/>
                  </w:rPr>
                </w:pPr>
                <w:r w:rsidRPr="00E76083">
                  <w:rPr>
                    <w:rFonts w:ascii="Palatino Linotype" w:eastAsia="Palatino Linotype" w:hAnsi="Palatino Linotype" w:cs="Palatino Linotype"/>
                    <w:szCs w:val="22"/>
                  </w:rPr>
                  <w:t>María del Rosario Mejía Ayala</w:t>
                </w:r>
              </w:p>
              <w:p w14:paraId="1BC28860" w14:textId="77777777" w:rsidR="00E04EE4" w:rsidRPr="00E76083" w:rsidRDefault="00E04EE4">
                <w:pPr>
                  <w:tabs>
                    <w:tab w:val="right" w:pos="8838"/>
                  </w:tabs>
                  <w:ind w:left="-74" w:right="-105"/>
                  <w:jc w:val="both"/>
                  <w:rPr>
                    <w:rFonts w:ascii="Palatino Linotype" w:eastAsia="Palatino Linotype" w:hAnsi="Palatino Linotype" w:cs="Palatino Linotype"/>
                    <w:szCs w:val="22"/>
                  </w:rPr>
                </w:pPr>
              </w:p>
            </w:tc>
          </w:tr>
        </w:tbl>
        <w:p w14:paraId="5E623173" w14:textId="77777777" w:rsidR="00E04EE4" w:rsidRDefault="00E04EE4">
          <w:pPr>
            <w:tabs>
              <w:tab w:val="right" w:pos="8838"/>
            </w:tabs>
            <w:ind w:left="-28"/>
            <w:jc w:val="both"/>
            <w:rPr>
              <w:rFonts w:ascii="Arial" w:eastAsia="Arial" w:hAnsi="Arial" w:cs="Arial"/>
              <w:b/>
              <w:sz w:val="22"/>
              <w:szCs w:val="22"/>
            </w:rPr>
          </w:pPr>
        </w:p>
      </w:tc>
    </w:tr>
  </w:tbl>
  <w:p w14:paraId="145E9A1C" w14:textId="77777777" w:rsidR="00E04EE4" w:rsidRDefault="00C05209">
    <w:pPr>
      <w:pBdr>
        <w:top w:val="nil"/>
        <w:left w:val="nil"/>
        <w:bottom w:val="nil"/>
        <w:right w:val="nil"/>
        <w:between w:val="nil"/>
      </w:pBdr>
      <w:tabs>
        <w:tab w:val="center" w:pos="4419"/>
        <w:tab w:val="right" w:pos="8838"/>
      </w:tabs>
      <w:rPr>
        <w:color w:val="000000"/>
        <w:sz w:val="2"/>
        <w:szCs w:val="2"/>
      </w:rPr>
    </w:pPr>
    <w:r>
      <w:rPr>
        <w:color w:val="000000"/>
        <w:sz w:val="2"/>
        <w:szCs w:val="2"/>
      </w:rPr>
      <w:pict w14:anchorId="14F8C1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68.8pt;margin-top:-117.6pt;width:589.8pt;height:768pt;z-index:-251658752;mso-position-horizontal:absolute;mso-position-horizontal-relative:margin;mso-position-vertical:absolute;mso-position-vertical-relative:margin">
          <v:imagedata r:id="rId1" o:title="image2"/>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3431B"/>
    <w:multiLevelType w:val="multilevel"/>
    <w:tmpl w:val="D89C780C"/>
    <w:lvl w:ilvl="0">
      <w:start w:val="29"/>
      <w:numFmt w:val="decimal"/>
      <w:lvlText w:val="%1."/>
      <w:lvlJc w:val="left"/>
      <w:pPr>
        <w:ind w:left="360" w:hanging="360"/>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79B6C15"/>
    <w:multiLevelType w:val="hybridMultilevel"/>
    <w:tmpl w:val="97DA0ADA"/>
    <w:lvl w:ilvl="0" w:tplc="191A38F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1191499"/>
    <w:multiLevelType w:val="multilevel"/>
    <w:tmpl w:val="F0ACBB76"/>
    <w:lvl w:ilvl="0">
      <w:start w:val="44"/>
      <w:numFmt w:val="decimal"/>
      <w:lvlText w:val="%1."/>
      <w:lvlJc w:val="left"/>
      <w:pPr>
        <w:ind w:left="928" w:hanging="360"/>
      </w:pPr>
      <w:rPr>
        <w:rFonts w:ascii="Palatino Linotype" w:hAnsi="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24D44A3"/>
    <w:multiLevelType w:val="multilevel"/>
    <w:tmpl w:val="4F6AE9F6"/>
    <w:lvl w:ilvl="0">
      <w:start w:val="63"/>
      <w:numFmt w:val="decimal"/>
      <w:lvlText w:val="%1."/>
      <w:lvlJc w:val="left"/>
      <w:pPr>
        <w:ind w:left="360" w:hanging="360"/>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42F0DC0"/>
    <w:multiLevelType w:val="hybridMultilevel"/>
    <w:tmpl w:val="DF4A996A"/>
    <w:lvl w:ilvl="0" w:tplc="191A38F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4EE2637"/>
    <w:multiLevelType w:val="multilevel"/>
    <w:tmpl w:val="EA9CFB06"/>
    <w:lvl w:ilvl="0">
      <w:start w:val="11"/>
      <w:numFmt w:val="decimal"/>
      <w:lvlText w:val="%1."/>
      <w:lvlJc w:val="left"/>
      <w:pPr>
        <w:ind w:left="4613" w:hanging="360"/>
      </w:pPr>
      <w:rPr>
        <w:rFonts w:ascii="Palatino Linotype" w:eastAsia="Palatino Linotype" w:hAnsi="Palatino Linotype" w:cs="Palatino Linotype" w:hint="default"/>
        <w:b/>
        <w:i w:val="0"/>
        <w:color w:val="000000"/>
        <w:sz w:val="24"/>
        <w:szCs w:val="24"/>
      </w:rPr>
    </w:lvl>
    <w:lvl w:ilvl="1">
      <w:start w:val="1"/>
      <w:numFmt w:val="upperRoman"/>
      <w:lvlText w:val="%2."/>
      <w:lvlJc w:val="left"/>
      <w:pPr>
        <w:ind w:left="1800" w:hanging="720"/>
      </w:pPr>
      <w:rPr>
        <w:rFonts w:ascii="Palatino Linotype" w:eastAsia="Palatino Linotype" w:hAnsi="Palatino Linotype" w:cs="Palatino Linotype" w:hint="default"/>
        <w:b/>
        <w:i w:val="0"/>
        <w:color w:val="000000"/>
      </w:rPr>
    </w:lvl>
    <w:lvl w:ilvl="2">
      <w:start w:val="4"/>
      <w:numFmt w:val="lowerRoman"/>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04"/>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5230DD6"/>
    <w:multiLevelType w:val="multilevel"/>
    <w:tmpl w:val="C68C785E"/>
    <w:lvl w:ilvl="0">
      <w:start w:val="35"/>
      <w:numFmt w:val="decimal"/>
      <w:lvlText w:val="%1."/>
      <w:lvlJc w:val="left"/>
      <w:pPr>
        <w:ind w:left="4613" w:hanging="360"/>
      </w:pPr>
      <w:rPr>
        <w:rFonts w:ascii="Palatino Linotype" w:eastAsia="Palatino Linotype" w:hAnsi="Palatino Linotype" w:cs="Palatino Linotype" w:hint="default"/>
        <w:b/>
        <w:i w:val="0"/>
        <w:color w:val="000000"/>
        <w:sz w:val="24"/>
        <w:szCs w:val="24"/>
      </w:rPr>
    </w:lvl>
    <w:lvl w:ilvl="1">
      <w:start w:val="1"/>
      <w:numFmt w:val="upperRoman"/>
      <w:lvlText w:val="%2."/>
      <w:lvlJc w:val="left"/>
      <w:pPr>
        <w:ind w:left="1800" w:hanging="720"/>
      </w:pPr>
      <w:rPr>
        <w:rFonts w:ascii="Palatino Linotype" w:eastAsia="Palatino Linotype" w:hAnsi="Palatino Linotype" w:cs="Palatino Linotype" w:hint="default"/>
        <w:b/>
        <w:i w:val="0"/>
        <w:color w:val="000000"/>
      </w:rPr>
    </w:lvl>
    <w:lvl w:ilvl="2">
      <w:start w:val="4"/>
      <w:numFmt w:val="lowerRoman"/>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04"/>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1860488F"/>
    <w:multiLevelType w:val="multilevel"/>
    <w:tmpl w:val="6FB85E2C"/>
    <w:lvl w:ilvl="0">
      <w:start w:val="4"/>
      <w:numFmt w:val="decimal"/>
      <w:lvlText w:val="%1."/>
      <w:lvlJc w:val="left"/>
      <w:pPr>
        <w:ind w:left="644" w:hanging="357"/>
      </w:pPr>
      <w:rPr>
        <w:rFonts w:ascii="Palatino Linotype" w:eastAsia="Palatino Linotype" w:hAnsi="Palatino Linotype" w:cs="Palatino Linotype" w:hint="default"/>
        <w:b/>
        <w:i w:val="0"/>
        <w:color w:val="000000"/>
        <w:sz w:val="24"/>
        <w:szCs w:val="24"/>
      </w:rPr>
    </w:lvl>
    <w:lvl w:ilvl="1">
      <w:start w:val="1"/>
      <w:numFmt w:val="upperRoman"/>
      <w:lvlText w:val="%2."/>
      <w:lvlJc w:val="right"/>
      <w:pPr>
        <w:ind w:left="7525" w:hanging="720"/>
      </w:pPr>
      <w:rPr>
        <w:rFonts w:hint="default"/>
      </w:rPr>
    </w:lvl>
    <w:lvl w:ilvl="2">
      <w:start w:val="4"/>
      <w:numFmt w:val="lowerLetter"/>
      <w:lvlText w:val="%3)"/>
      <w:lvlJc w:val="left"/>
      <w:pPr>
        <w:ind w:left="2340" w:hanging="360"/>
      </w:pPr>
      <w:rPr>
        <w:rFonts w:hint="default"/>
      </w:rPr>
    </w:lvl>
    <w:lvl w:ilvl="3">
      <w:start w:val="1"/>
      <w:numFmt w:val="decimal"/>
      <w:lvlText w:val="%4."/>
      <w:lvlJc w:val="left"/>
      <w:pPr>
        <w:ind w:left="2880" w:hanging="360"/>
      </w:pPr>
      <w:rPr>
        <w:rFonts w:hint="default"/>
      </w:rPr>
    </w:lvl>
    <w:lvl w:ilvl="4">
      <w:start w:val="104"/>
      <w:numFmt w:val="decimal"/>
      <w:lvlText w:val="%5"/>
      <w:lvlJc w:val="left"/>
      <w:pPr>
        <w:ind w:left="3600" w:hanging="360"/>
      </w:pPr>
      <w:rPr>
        <w:rFonts w:hint="default"/>
        <w:b/>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b/>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1900504E"/>
    <w:multiLevelType w:val="multilevel"/>
    <w:tmpl w:val="1C4A9880"/>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rPr>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35D5F20"/>
    <w:multiLevelType w:val="hybridMultilevel"/>
    <w:tmpl w:val="4D44AD6A"/>
    <w:lvl w:ilvl="0" w:tplc="ECEE0348">
      <w:start w:val="1"/>
      <w:numFmt w:val="upperRoman"/>
      <w:lvlText w:val="%1."/>
      <w:lvlJc w:val="left"/>
      <w:pPr>
        <w:ind w:left="1854" w:hanging="720"/>
      </w:pPr>
      <w:rPr>
        <w:rFonts w:hint="default"/>
      </w:rPr>
    </w:lvl>
    <w:lvl w:ilvl="1" w:tplc="080A0019" w:tentative="1">
      <w:start w:val="1"/>
      <w:numFmt w:val="lowerLetter"/>
      <w:lvlText w:val="%2."/>
      <w:lvlJc w:val="left"/>
      <w:pPr>
        <w:ind w:left="2214" w:hanging="360"/>
      </w:pPr>
    </w:lvl>
    <w:lvl w:ilvl="2" w:tplc="080A001B" w:tentative="1">
      <w:start w:val="1"/>
      <w:numFmt w:val="lowerRoman"/>
      <w:lvlText w:val="%3."/>
      <w:lvlJc w:val="right"/>
      <w:pPr>
        <w:ind w:left="2934" w:hanging="180"/>
      </w:pPr>
    </w:lvl>
    <w:lvl w:ilvl="3" w:tplc="080A000F" w:tentative="1">
      <w:start w:val="1"/>
      <w:numFmt w:val="decimal"/>
      <w:lvlText w:val="%4."/>
      <w:lvlJc w:val="left"/>
      <w:pPr>
        <w:ind w:left="3654" w:hanging="360"/>
      </w:pPr>
    </w:lvl>
    <w:lvl w:ilvl="4" w:tplc="080A0019" w:tentative="1">
      <w:start w:val="1"/>
      <w:numFmt w:val="lowerLetter"/>
      <w:lvlText w:val="%5."/>
      <w:lvlJc w:val="left"/>
      <w:pPr>
        <w:ind w:left="4374" w:hanging="360"/>
      </w:pPr>
    </w:lvl>
    <w:lvl w:ilvl="5" w:tplc="080A001B" w:tentative="1">
      <w:start w:val="1"/>
      <w:numFmt w:val="lowerRoman"/>
      <w:lvlText w:val="%6."/>
      <w:lvlJc w:val="right"/>
      <w:pPr>
        <w:ind w:left="5094" w:hanging="180"/>
      </w:pPr>
    </w:lvl>
    <w:lvl w:ilvl="6" w:tplc="080A000F" w:tentative="1">
      <w:start w:val="1"/>
      <w:numFmt w:val="decimal"/>
      <w:lvlText w:val="%7."/>
      <w:lvlJc w:val="left"/>
      <w:pPr>
        <w:ind w:left="5814" w:hanging="360"/>
      </w:pPr>
    </w:lvl>
    <w:lvl w:ilvl="7" w:tplc="080A0019" w:tentative="1">
      <w:start w:val="1"/>
      <w:numFmt w:val="lowerLetter"/>
      <w:lvlText w:val="%8."/>
      <w:lvlJc w:val="left"/>
      <w:pPr>
        <w:ind w:left="6534" w:hanging="360"/>
      </w:pPr>
    </w:lvl>
    <w:lvl w:ilvl="8" w:tplc="080A001B" w:tentative="1">
      <w:start w:val="1"/>
      <w:numFmt w:val="lowerRoman"/>
      <w:lvlText w:val="%9."/>
      <w:lvlJc w:val="right"/>
      <w:pPr>
        <w:ind w:left="7254" w:hanging="180"/>
      </w:pPr>
    </w:lvl>
  </w:abstractNum>
  <w:abstractNum w:abstractNumId="10" w15:restartNumberingAfterBreak="0">
    <w:nsid w:val="27397A84"/>
    <w:multiLevelType w:val="hybridMultilevel"/>
    <w:tmpl w:val="EB362E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78A0D39"/>
    <w:multiLevelType w:val="multilevel"/>
    <w:tmpl w:val="E7763E82"/>
    <w:lvl w:ilvl="0">
      <w:start w:val="79"/>
      <w:numFmt w:val="decimal"/>
      <w:lvlText w:val="%1."/>
      <w:lvlJc w:val="left"/>
      <w:pPr>
        <w:ind w:left="0" w:firstLine="0"/>
      </w:pPr>
      <w:rPr>
        <w:rFonts w:ascii="Palatino Linotype" w:eastAsia="Palatino Linotype" w:hAnsi="Palatino Linotype" w:cs="Palatino Linotype" w:hint="default"/>
        <w:b/>
        <w:i w:val="0"/>
        <w:sz w:val="24"/>
        <w:szCs w:val="24"/>
      </w:rPr>
    </w:lvl>
    <w:lvl w:ilvl="1">
      <w:start w:val="1"/>
      <w:numFmt w:val="lowerLetter"/>
      <w:lvlText w:val="%2)"/>
      <w:lvlJc w:val="left"/>
      <w:pPr>
        <w:ind w:left="1440" w:hanging="360"/>
      </w:pPr>
      <w:rPr>
        <w:rFonts w:hint="default"/>
        <w:b/>
        <w:i w:val="0"/>
      </w:rPr>
    </w:lvl>
    <w:lvl w:ilvl="2">
      <w:start w:val="1"/>
      <w:numFmt w:val="bullet"/>
      <w:lvlText w:val="⮚"/>
      <w:lvlJc w:val="left"/>
      <w:pPr>
        <w:ind w:left="2340" w:hanging="360"/>
      </w:pPr>
      <w:rPr>
        <w:rFonts w:ascii="Noto Sans Symbols" w:eastAsia="Noto Sans Symbols" w:hAnsi="Noto Sans Symbols" w:cs="Noto Sans Symbols" w:hint="default"/>
        <w:strike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83C371A"/>
    <w:multiLevelType w:val="hybridMultilevel"/>
    <w:tmpl w:val="08AAB4F2"/>
    <w:lvl w:ilvl="0" w:tplc="3C48E5BC">
      <w:start w:val="1"/>
      <w:numFmt w:val="upperRoman"/>
      <w:lvlText w:val="%1."/>
      <w:lvlJc w:val="left"/>
      <w:pPr>
        <w:ind w:left="1854" w:hanging="720"/>
      </w:pPr>
      <w:rPr>
        <w:rFonts w:hint="default"/>
      </w:rPr>
    </w:lvl>
    <w:lvl w:ilvl="1" w:tplc="080A0019" w:tentative="1">
      <w:start w:val="1"/>
      <w:numFmt w:val="lowerLetter"/>
      <w:lvlText w:val="%2."/>
      <w:lvlJc w:val="left"/>
      <w:pPr>
        <w:ind w:left="2214" w:hanging="360"/>
      </w:pPr>
    </w:lvl>
    <w:lvl w:ilvl="2" w:tplc="080A001B" w:tentative="1">
      <w:start w:val="1"/>
      <w:numFmt w:val="lowerRoman"/>
      <w:lvlText w:val="%3."/>
      <w:lvlJc w:val="right"/>
      <w:pPr>
        <w:ind w:left="2934" w:hanging="180"/>
      </w:pPr>
    </w:lvl>
    <w:lvl w:ilvl="3" w:tplc="080A000F" w:tentative="1">
      <w:start w:val="1"/>
      <w:numFmt w:val="decimal"/>
      <w:lvlText w:val="%4."/>
      <w:lvlJc w:val="left"/>
      <w:pPr>
        <w:ind w:left="3654" w:hanging="360"/>
      </w:pPr>
    </w:lvl>
    <w:lvl w:ilvl="4" w:tplc="080A0019" w:tentative="1">
      <w:start w:val="1"/>
      <w:numFmt w:val="lowerLetter"/>
      <w:lvlText w:val="%5."/>
      <w:lvlJc w:val="left"/>
      <w:pPr>
        <w:ind w:left="4374" w:hanging="360"/>
      </w:pPr>
    </w:lvl>
    <w:lvl w:ilvl="5" w:tplc="080A001B" w:tentative="1">
      <w:start w:val="1"/>
      <w:numFmt w:val="lowerRoman"/>
      <w:lvlText w:val="%6."/>
      <w:lvlJc w:val="right"/>
      <w:pPr>
        <w:ind w:left="5094" w:hanging="180"/>
      </w:pPr>
    </w:lvl>
    <w:lvl w:ilvl="6" w:tplc="080A000F" w:tentative="1">
      <w:start w:val="1"/>
      <w:numFmt w:val="decimal"/>
      <w:lvlText w:val="%7."/>
      <w:lvlJc w:val="left"/>
      <w:pPr>
        <w:ind w:left="5814" w:hanging="360"/>
      </w:pPr>
    </w:lvl>
    <w:lvl w:ilvl="7" w:tplc="080A0019" w:tentative="1">
      <w:start w:val="1"/>
      <w:numFmt w:val="lowerLetter"/>
      <w:lvlText w:val="%8."/>
      <w:lvlJc w:val="left"/>
      <w:pPr>
        <w:ind w:left="6534" w:hanging="360"/>
      </w:pPr>
    </w:lvl>
    <w:lvl w:ilvl="8" w:tplc="080A001B" w:tentative="1">
      <w:start w:val="1"/>
      <w:numFmt w:val="lowerRoman"/>
      <w:lvlText w:val="%9."/>
      <w:lvlJc w:val="right"/>
      <w:pPr>
        <w:ind w:left="7254" w:hanging="180"/>
      </w:pPr>
    </w:lvl>
  </w:abstractNum>
  <w:abstractNum w:abstractNumId="13" w15:restartNumberingAfterBreak="0">
    <w:nsid w:val="28B60397"/>
    <w:multiLevelType w:val="hybridMultilevel"/>
    <w:tmpl w:val="7A2A41A2"/>
    <w:lvl w:ilvl="0" w:tplc="251AACF4">
      <w:start w:val="1"/>
      <w:numFmt w:val="upperRoman"/>
      <w:lvlText w:val="%1."/>
      <w:lvlJc w:val="left"/>
      <w:pPr>
        <w:ind w:left="1854" w:hanging="720"/>
      </w:pPr>
      <w:rPr>
        <w:rFonts w:hint="default"/>
      </w:rPr>
    </w:lvl>
    <w:lvl w:ilvl="1" w:tplc="080A0019" w:tentative="1">
      <w:start w:val="1"/>
      <w:numFmt w:val="lowerLetter"/>
      <w:lvlText w:val="%2."/>
      <w:lvlJc w:val="left"/>
      <w:pPr>
        <w:ind w:left="2214" w:hanging="360"/>
      </w:pPr>
    </w:lvl>
    <w:lvl w:ilvl="2" w:tplc="080A001B" w:tentative="1">
      <w:start w:val="1"/>
      <w:numFmt w:val="lowerRoman"/>
      <w:lvlText w:val="%3."/>
      <w:lvlJc w:val="right"/>
      <w:pPr>
        <w:ind w:left="2934" w:hanging="180"/>
      </w:pPr>
    </w:lvl>
    <w:lvl w:ilvl="3" w:tplc="080A000F" w:tentative="1">
      <w:start w:val="1"/>
      <w:numFmt w:val="decimal"/>
      <w:lvlText w:val="%4."/>
      <w:lvlJc w:val="left"/>
      <w:pPr>
        <w:ind w:left="3654" w:hanging="360"/>
      </w:pPr>
    </w:lvl>
    <w:lvl w:ilvl="4" w:tplc="080A0019" w:tentative="1">
      <w:start w:val="1"/>
      <w:numFmt w:val="lowerLetter"/>
      <w:lvlText w:val="%5."/>
      <w:lvlJc w:val="left"/>
      <w:pPr>
        <w:ind w:left="4374" w:hanging="360"/>
      </w:pPr>
    </w:lvl>
    <w:lvl w:ilvl="5" w:tplc="080A001B" w:tentative="1">
      <w:start w:val="1"/>
      <w:numFmt w:val="lowerRoman"/>
      <w:lvlText w:val="%6."/>
      <w:lvlJc w:val="right"/>
      <w:pPr>
        <w:ind w:left="5094" w:hanging="180"/>
      </w:pPr>
    </w:lvl>
    <w:lvl w:ilvl="6" w:tplc="080A000F" w:tentative="1">
      <w:start w:val="1"/>
      <w:numFmt w:val="decimal"/>
      <w:lvlText w:val="%7."/>
      <w:lvlJc w:val="left"/>
      <w:pPr>
        <w:ind w:left="5814" w:hanging="360"/>
      </w:pPr>
    </w:lvl>
    <w:lvl w:ilvl="7" w:tplc="080A0019" w:tentative="1">
      <w:start w:val="1"/>
      <w:numFmt w:val="lowerLetter"/>
      <w:lvlText w:val="%8."/>
      <w:lvlJc w:val="left"/>
      <w:pPr>
        <w:ind w:left="6534" w:hanging="360"/>
      </w:pPr>
    </w:lvl>
    <w:lvl w:ilvl="8" w:tplc="080A001B" w:tentative="1">
      <w:start w:val="1"/>
      <w:numFmt w:val="lowerRoman"/>
      <w:lvlText w:val="%9."/>
      <w:lvlJc w:val="right"/>
      <w:pPr>
        <w:ind w:left="7254" w:hanging="180"/>
      </w:pPr>
    </w:lvl>
  </w:abstractNum>
  <w:abstractNum w:abstractNumId="14" w15:restartNumberingAfterBreak="0">
    <w:nsid w:val="2D74097B"/>
    <w:multiLevelType w:val="multilevel"/>
    <w:tmpl w:val="60F0440E"/>
    <w:lvl w:ilvl="0">
      <w:start w:val="24"/>
      <w:numFmt w:val="decimal"/>
      <w:lvlText w:val="%1."/>
      <w:lvlJc w:val="left"/>
      <w:pPr>
        <w:ind w:left="0" w:firstLine="0"/>
      </w:pPr>
      <w:rPr>
        <w:rFonts w:ascii="Palatino Linotype" w:eastAsia="Palatino Linotype" w:hAnsi="Palatino Linotype" w:cs="Palatino Linotype" w:hint="default"/>
        <w:b/>
        <w:i w:val="0"/>
        <w:color w:val="auto"/>
        <w:sz w:val="24"/>
        <w:szCs w:val="24"/>
      </w:rPr>
    </w:lvl>
    <w:lvl w:ilvl="1">
      <w:start w:val="1"/>
      <w:numFmt w:val="lowerLetter"/>
      <w:lvlText w:val="%2)"/>
      <w:lvlJc w:val="left"/>
      <w:pPr>
        <w:ind w:left="1440" w:hanging="360"/>
      </w:pPr>
      <w:rPr>
        <w:rFonts w:hint="default"/>
        <w:b/>
        <w:i w:val="0"/>
      </w:rPr>
    </w:lvl>
    <w:lvl w:ilvl="2">
      <w:start w:val="1"/>
      <w:numFmt w:val="bullet"/>
      <w:lvlText w:val="⮚"/>
      <w:lvlJc w:val="left"/>
      <w:pPr>
        <w:ind w:left="2340" w:hanging="360"/>
      </w:pPr>
      <w:rPr>
        <w:rFonts w:ascii="Noto Sans Symbols" w:eastAsia="Noto Sans Symbols" w:hAnsi="Noto Sans Symbols" w:cs="Noto Sans Symbols" w:hint="default"/>
        <w:strike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2E0403AC"/>
    <w:multiLevelType w:val="multilevel"/>
    <w:tmpl w:val="2FAE71FC"/>
    <w:lvl w:ilvl="0">
      <w:start w:val="37"/>
      <w:numFmt w:val="decimal"/>
      <w:lvlText w:val="%1."/>
      <w:lvlJc w:val="left"/>
      <w:pPr>
        <w:ind w:left="360" w:hanging="360"/>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33D23726"/>
    <w:multiLevelType w:val="multilevel"/>
    <w:tmpl w:val="ED407232"/>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7B12E1E"/>
    <w:multiLevelType w:val="multilevel"/>
    <w:tmpl w:val="40D23766"/>
    <w:lvl w:ilvl="0">
      <w:start w:val="62"/>
      <w:numFmt w:val="decimal"/>
      <w:lvlText w:val="%1."/>
      <w:lvlJc w:val="left"/>
      <w:pPr>
        <w:ind w:left="928" w:hanging="360"/>
      </w:pPr>
      <w:rPr>
        <w:rFonts w:ascii="Palatino Linotype" w:hAnsi="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417D07B1"/>
    <w:multiLevelType w:val="hybridMultilevel"/>
    <w:tmpl w:val="39DE4F5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477505AA"/>
    <w:multiLevelType w:val="multilevel"/>
    <w:tmpl w:val="D0807262"/>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20" w15:restartNumberingAfterBreak="0">
    <w:nsid w:val="4B3D33E9"/>
    <w:multiLevelType w:val="hybridMultilevel"/>
    <w:tmpl w:val="D8360ED6"/>
    <w:lvl w:ilvl="0" w:tplc="47F88042">
      <w:start w:val="1"/>
      <w:numFmt w:val="upperRoman"/>
      <w:lvlText w:val="%1."/>
      <w:lvlJc w:val="left"/>
      <w:pPr>
        <w:ind w:left="1429" w:hanging="72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21" w15:restartNumberingAfterBreak="0">
    <w:nsid w:val="4E6118AF"/>
    <w:multiLevelType w:val="multilevel"/>
    <w:tmpl w:val="457E642C"/>
    <w:lvl w:ilvl="0">
      <w:start w:val="1"/>
      <w:numFmt w:val="decimal"/>
      <w:pStyle w:val="Listaconvietas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52D32302"/>
    <w:multiLevelType w:val="multilevel"/>
    <w:tmpl w:val="CCA093BC"/>
    <w:lvl w:ilvl="0">
      <w:start w:val="36"/>
      <w:numFmt w:val="decimal"/>
      <w:lvlText w:val="%1."/>
      <w:lvlJc w:val="left"/>
      <w:pPr>
        <w:ind w:left="360" w:hanging="360"/>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560839D1"/>
    <w:multiLevelType w:val="hybridMultilevel"/>
    <w:tmpl w:val="E61EA58E"/>
    <w:lvl w:ilvl="0" w:tplc="C302A056">
      <w:start w:val="1"/>
      <w:numFmt w:val="decimal"/>
      <w:lvlText w:val="%1."/>
      <w:lvlJc w:val="left"/>
      <w:pPr>
        <w:ind w:left="928" w:hanging="360"/>
      </w:pPr>
      <w:rPr>
        <w:b/>
        <w:i w:val="0"/>
        <w:color w:val="000000" w:themeColor="text1"/>
        <w:sz w:val="24"/>
        <w:szCs w:val="24"/>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573D15D8"/>
    <w:multiLevelType w:val="multilevel"/>
    <w:tmpl w:val="4664B7AC"/>
    <w:lvl w:ilvl="0">
      <w:start w:val="1"/>
      <w:numFmt w:val="bullet"/>
      <w:lvlText w:val="●"/>
      <w:lvlJc w:val="left"/>
      <w:pPr>
        <w:ind w:left="778" w:hanging="360"/>
      </w:pPr>
      <w:rPr>
        <w:rFonts w:ascii="Noto Sans Symbols" w:eastAsia="Noto Sans Symbols" w:hAnsi="Noto Sans Symbols" w:cs="Noto Sans Symbols"/>
      </w:rPr>
    </w:lvl>
    <w:lvl w:ilvl="1">
      <w:start w:val="1"/>
      <w:numFmt w:val="bullet"/>
      <w:lvlText w:val="o"/>
      <w:lvlJc w:val="left"/>
      <w:pPr>
        <w:ind w:left="1498" w:hanging="360"/>
      </w:pPr>
      <w:rPr>
        <w:rFonts w:ascii="Courier New" w:eastAsia="Courier New" w:hAnsi="Courier New" w:cs="Courier New"/>
      </w:rPr>
    </w:lvl>
    <w:lvl w:ilvl="2">
      <w:start w:val="1"/>
      <w:numFmt w:val="bullet"/>
      <w:lvlText w:val="▪"/>
      <w:lvlJc w:val="left"/>
      <w:pPr>
        <w:ind w:left="2218" w:hanging="360"/>
      </w:pPr>
      <w:rPr>
        <w:rFonts w:ascii="Noto Sans Symbols" w:eastAsia="Noto Sans Symbols" w:hAnsi="Noto Sans Symbols" w:cs="Noto Sans Symbols"/>
      </w:rPr>
    </w:lvl>
    <w:lvl w:ilvl="3">
      <w:start w:val="1"/>
      <w:numFmt w:val="bullet"/>
      <w:lvlText w:val="●"/>
      <w:lvlJc w:val="left"/>
      <w:pPr>
        <w:ind w:left="2938" w:hanging="360"/>
      </w:pPr>
      <w:rPr>
        <w:rFonts w:ascii="Noto Sans Symbols" w:eastAsia="Noto Sans Symbols" w:hAnsi="Noto Sans Symbols" w:cs="Noto Sans Symbols"/>
      </w:rPr>
    </w:lvl>
    <w:lvl w:ilvl="4">
      <w:start w:val="1"/>
      <w:numFmt w:val="bullet"/>
      <w:lvlText w:val="o"/>
      <w:lvlJc w:val="left"/>
      <w:pPr>
        <w:ind w:left="3658" w:hanging="360"/>
      </w:pPr>
      <w:rPr>
        <w:rFonts w:ascii="Courier New" w:eastAsia="Courier New" w:hAnsi="Courier New" w:cs="Courier New"/>
      </w:rPr>
    </w:lvl>
    <w:lvl w:ilvl="5">
      <w:start w:val="1"/>
      <w:numFmt w:val="bullet"/>
      <w:lvlText w:val="▪"/>
      <w:lvlJc w:val="left"/>
      <w:pPr>
        <w:ind w:left="4378" w:hanging="360"/>
      </w:pPr>
      <w:rPr>
        <w:rFonts w:ascii="Noto Sans Symbols" w:eastAsia="Noto Sans Symbols" w:hAnsi="Noto Sans Symbols" w:cs="Noto Sans Symbols"/>
      </w:rPr>
    </w:lvl>
    <w:lvl w:ilvl="6">
      <w:start w:val="1"/>
      <w:numFmt w:val="bullet"/>
      <w:lvlText w:val="●"/>
      <w:lvlJc w:val="left"/>
      <w:pPr>
        <w:ind w:left="5098" w:hanging="360"/>
      </w:pPr>
      <w:rPr>
        <w:rFonts w:ascii="Noto Sans Symbols" w:eastAsia="Noto Sans Symbols" w:hAnsi="Noto Sans Symbols" w:cs="Noto Sans Symbols"/>
      </w:rPr>
    </w:lvl>
    <w:lvl w:ilvl="7">
      <w:start w:val="1"/>
      <w:numFmt w:val="bullet"/>
      <w:lvlText w:val="o"/>
      <w:lvlJc w:val="left"/>
      <w:pPr>
        <w:ind w:left="5818" w:hanging="360"/>
      </w:pPr>
      <w:rPr>
        <w:rFonts w:ascii="Courier New" w:eastAsia="Courier New" w:hAnsi="Courier New" w:cs="Courier New"/>
      </w:rPr>
    </w:lvl>
    <w:lvl w:ilvl="8">
      <w:start w:val="1"/>
      <w:numFmt w:val="bullet"/>
      <w:lvlText w:val="▪"/>
      <w:lvlJc w:val="left"/>
      <w:pPr>
        <w:ind w:left="6538" w:hanging="360"/>
      </w:pPr>
      <w:rPr>
        <w:rFonts w:ascii="Noto Sans Symbols" w:eastAsia="Noto Sans Symbols" w:hAnsi="Noto Sans Symbols" w:cs="Noto Sans Symbols"/>
      </w:rPr>
    </w:lvl>
  </w:abstractNum>
  <w:abstractNum w:abstractNumId="25" w15:restartNumberingAfterBreak="0">
    <w:nsid w:val="588F272F"/>
    <w:multiLevelType w:val="multilevel"/>
    <w:tmpl w:val="E48A1976"/>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lowerLetter"/>
      <w:lvlText w:val="%2)"/>
      <w:lvlJc w:val="left"/>
      <w:pPr>
        <w:ind w:left="1440" w:hanging="360"/>
      </w:pPr>
      <w:rPr>
        <w:b/>
        <w:i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9303E02"/>
    <w:multiLevelType w:val="multilevel"/>
    <w:tmpl w:val="28F24F1E"/>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A177B67"/>
    <w:multiLevelType w:val="multilevel"/>
    <w:tmpl w:val="C58AC4AA"/>
    <w:lvl w:ilvl="0">
      <w:start w:val="34"/>
      <w:numFmt w:val="decimal"/>
      <w:lvlText w:val="%1."/>
      <w:lvlJc w:val="left"/>
      <w:pPr>
        <w:ind w:left="502" w:hanging="360"/>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5E7B5996"/>
    <w:multiLevelType w:val="multilevel"/>
    <w:tmpl w:val="197AB0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622E44B2"/>
    <w:multiLevelType w:val="multilevel"/>
    <w:tmpl w:val="6CF68370"/>
    <w:lvl w:ilvl="0">
      <w:start w:val="3"/>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6529200B"/>
    <w:multiLevelType w:val="hybridMultilevel"/>
    <w:tmpl w:val="E26264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EC7190A"/>
    <w:multiLevelType w:val="multilevel"/>
    <w:tmpl w:val="5C3A745E"/>
    <w:lvl w:ilvl="0">
      <w:start w:val="130"/>
      <w:numFmt w:val="decimal"/>
      <w:lvlText w:val="%1."/>
      <w:lvlJc w:val="left"/>
      <w:pPr>
        <w:ind w:left="360" w:hanging="360"/>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73282746"/>
    <w:multiLevelType w:val="multilevel"/>
    <w:tmpl w:val="E2101D9E"/>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3" w15:restartNumberingAfterBreak="0">
    <w:nsid w:val="745C4DFB"/>
    <w:multiLevelType w:val="multilevel"/>
    <w:tmpl w:val="C5D040BC"/>
    <w:lvl w:ilvl="0">
      <w:start w:val="1"/>
      <w:numFmt w:val="decimal"/>
      <w:lvlText w:val="%1."/>
      <w:lvlJc w:val="left"/>
      <w:pPr>
        <w:ind w:left="644"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75E24C7"/>
    <w:multiLevelType w:val="multilevel"/>
    <w:tmpl w:val="5D1A02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7C2B43FB"/>
    <w:multiLevelType w:val="hybridMultilevel"/>
    <w:tmpl w:val="DA220B40"/>
    <w:lvl w:ilvl="0" w:tplc="9AFC3072">
      <w:start w:val="1"/>
      <w:numFmt w:val="upperRoman"/>
      <w:lvlText w:val="%1."/>
      <w:lvlJc w:val="left"/>
      <w:pPr>
        <w:ind w:left="76" w:hanging="720"/>
      </w:pPr>
      <w:rPr>
        <w:rFonts w:hint="default"/>
      </w:rPr>
    </w:lvl>
    <w:lvl w:ilvl="1" w:tplc="080A0019" w:tentative="1">
      <w:start w:val="1"/>
      <w:numFmt w:val="lowerLetter"/>
      <w:lvlText w:val="%2."/>
      <w:lvlJc w:val="left"/>
      <w:pPr>
        <w:ind w:left="436" w:hanging="360"/>
      </w:pPr>
    </w:lvl>
    <w:lvl w:ilvl="2" w:tplc="080A001B" w:tentative="1">
      <w:start w:val="1"/>
      <w:numFmt w:val="lowerRoman"/>
      <w:lvlText w:val="%3."/>
      <w:lvlJc w:val="right"/>
      <w:pPr>
        <w:ind w:left="1156" w:hanging="180"/>
      </w:pPr>
    </w:lvl>
    <w:lvl w:ilvl="3" w:tplc="080A000F" w:tentative="1">
      <w:start w:val="1"/>
      <w:numFmt w:val="decimal"/>
      <w:lvlText w:val="%4."/>
      <w:lvlJc w:val="left"/>
      <w:pPr>
        <w:ind w:left="1876" w:hanging="360"/>
      </w:pPr>
    </w:lvl>
    <w:lvl w:ilvl="4" w:tplc="080A0019" w:tentative="1">
      <w:start w:val="1"/>
      <w:numFmt w:val="lowerLetter"/>
      <w:lvlText w:val="%5."/>
      <w:lvlJc w:val="left"/>
      <w:pPr>
        <w:ind w:left="2596" w:hanging="360"/>
      </w:pPr>
    </w:lvl>
    <w:lvl w:ilvl="5" w:tplc="080A001B" w:tentative="1">
      <w:start w:val="1"/>
      <w:numFmt w:val="lowerRoman"/>
      <w:lvlText w:val="%6."/>
      <w:lvlJc w:val="right"/>
      <w:pPr>
        <w:ind w:left="3316" w:hanging="180"/>
      </w:pPr>
    </w:lvl>
    <w:lvl w:ilvl="6" w:tplc="080A000F" w:tentative="1">
      <w:start w:val="1"/>
      <w:numFmt w:val="decimal"/>
      <w:lvlText w:val="%7."/>
      <w:lvlJc w:val="left"/>
      <w:pPr>
        <w:ind w:left="4036" w:hanging="360"/>
      </w:pPr>
    </w:lvl>
    <w:lvl w:ilvl="7" w:tplc="080A0019" w:tentative="1">
      <w:start w:val="1"/>
      <w:numFmt w:val="lowerLetter"/>
      <w:lvlText w:val="%8."/>
      <w:lvlJc w:val="left"/>
      <w:pPr>
        <w:ind w:left="4756" w:hanging="360"/>
      </w:pPr>
    </w:lvl>
    <w:lvl w:ilvl="8" w:tplc="080A001B" w:tentative="1">
      <w:start w:val="1"/>
      <w:numFmt w:val="lowerRoman"/>
      <w:lvlText w:val="%9."/>
      <w:lvlJc w:val="right"/>
      <w:pPr>
        <w:ind w:left="5476" w:hanging="180"/>
      </w:pPr>
    </w:lvl>
  </w:abstractNum>
  <w:abstractNum w:abstractNumId="36" w15:restartNumberingAfterBreak="0">
    <w:nsid w:val="7C435A25"/>
    <w:multiLevelType w:val="multilevel"/>
    <w:tmpl w:val="D6A28C5A"/>
    <w:lvl w:ilvl="0">
      <w:start w:val="26"/>
      <w:numFmt w:val="decimal"/>
      <w:lvlText w:val="%1."/>
      <w:lvlJc w:val="left"/>
      <w:pPr>
        <w:ind w:left="360" w:hanging="360"/>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7FAF3AF7"/>
    <w:multiLevelType w:val="multilevel"/>
    <w:tmpl w:val="806E699A"/>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7"/>
  </w:num>
  <w:num w:numId="2">
    <w:abstractNumId w:val="32"/>
  </w:num>
  <w:num w:numId="3">
    <w:abstractNumId w:val="19"/>
  </w:num>
  <w:num w:numId="4">
    <w:abstractNumId w:val="26"/>
  </w:num>
  <w:num w:numId="5">
    <w:abstractNumId w:val="24"/>
  </w:num>
  <w:num w:numId="6">
    <w:abstractNumId w:val="28"/>
  </w:num>
  <w:num w:numId="7">
    <w:abstractNumId w:val="21"/>
  </w:num>
  <w:num w:numId="8">
    <w:abstractNumId w:val="7"/>
  </w:num>
  <w:num w:numId="9">
    <w:abstractNumId w:val="2"/>
  </w:num>
  <w:num w:numId="10">
    <w:abstractNumId w:val="36"/>
  </w:num>
  <w:num w:numId="11">
    <w:abstractNumId w:val="1"/>
  </w:num>
  <w:num w:numId="12">
    <w:abstractNumId w:val="16"/>
  </w:num>
  <w:num w:numId="13">
    <w:abstractNumId w:val="22"/>
  </w:num>
  <w:num w:numId="14">
    <w:abstractNumId w:val="29"/>
  </w:num>
  <w:num w:numId="15">
    <w:abstractNumId w:val="27"/>
  </w:num>
  <w:num w:numId="16">
    <w:abstractNumId w:val="35"/>
  </w:num>
  <w:num w:numId="17">
    <w:abstractNumId w:val="4"/>
  </w:num>
  <w:num w:numId="18">
    <w:abstractNumId w:val="12"/>
  </w:num>
  <w:num w:numId="19">
    <w:abstractNumId w:val="9"/>
  </w:num>
  <w:num w:numId="20">
    <w:abstractNumId w:val="10"/>
  </w:num>
  <w:num w:numId="21">
    <w:abstractNumId w:val="23"/>
  </w:num>
  <w:num w:numId="22">
    <w:abstractNumId w:val="13"/>
  </w:num>
  <w:num w:numId="23">
    <w:abstractNumId w:val="17"/>
  </w:num>
  <w:num w:numId="24">
    <w:abstractNumId w:val="20"/>
  </w:num>
  <w:num w:numId="25">
    <w:abstractNumId w:val="11"/>
  </w:num>
  <w:num w:numId="26">
    <w:abstractNumId w:val="8"/>
  </w:num>
  <w:num w:numId="27">
    <w:abstractNumId w:val="25"/>
  </w:num>
  <w:num w:numId="28">
    <w:abstractNumId w:val="34"/>
  </w:num>
  <w:num w:numId="29">
    <w:abstractNumId w:val="30"/>
  </w:num>
  <w:num w:numId="30">
    <w:abstractNumId w:val="0"/>
  </w:num>
  <w:num w:numId="31">
    <w:abstractNumId w:val="15"/>
  </w:num>
  <w:num w:numId="32">
    <w:abstractNumId w:val="3"/>
  </w:num>
  <w:num w:numId="33">
    <w:abstractNumId w:val="31"/>
  </w:num>
  <w:num w:numId="34">
    <w:abstractNumId w:val="18"/>
  </w:num>
  <w:num w:numId="35">
    <w:abstractNumId w:val="5"/>
  </w:num>
  <w:num w:numId="36">
    <w:abstractNumId w:val="14"/>
  </w:num>
  <w:num w:numId="37">
    <w:abstractNumId w:val="33"/>
  </w:num>
  <w:num w:numId="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7A3B"/>
    <w:rsid w:val="000054FF"/>
    <w:rsid w:val="00093698"/>
    <w:rsid w:val="000A04D8"/>
    <w:rsid w:val="000A7058"/>
    <w:rsid w:val="00116A42"/>
    <w:rsid w:val="0013503F"/>
    <w:rsid w:val="00150FB8"/>
    <w:rsid w:val="00166D22"/>
    <w:rsid w:val="001B321C"/>
    <w:rsid w:val="00224063"/>
    <w:rsid w:val="002269D8"/>
    <w:rsid w:val="002276C8"/>
    <w:rsid w:val="00254C7D"/>
    <w:rsid w:val="00275C12"/>
    <w:rsid w:val="002905ED"/>
    <w:rsid w:val="002C6DF8"/>
    <w:rsid w:val="00317542"/>
    <w:rsid w:val="0032282B"/>
    <w:rsid w:val="0032682C"/>
    <w:rsid w:val="00333096"/>
    <w:rsid w:val="003569CB"/>
    <w:rsid w:val="003967C2"/>
    <w:rsid w:val="00397AA3"/>
    <w:rsid w:val="00405D34"/>
    <w:rsid w:val="004716FB"/>
    <w:rsid w:val="00475D2F"/>
    <w:rsid w:val="00491819"/>
    <w:rsid w:val="004956F9"/>
    <w:rsid w:val="004B467B"/>
    <w:rsid w:val="004C23CD"/>
    <w:rsid w:val="004C5CA6"/>
    <w:rsid w:val="004E69BC"/>
    <w:rsid w:val="005042DC"/>
    <w:rsid w:val="00526105"/>
    <w:rsid w:val="00526CCF"/>
    <w:rsid w:val="00536583"/>
    <w:rsid w:val="00582ED5"/>
    <w:rsid w:val="005C5E93"/>
    <w:rsid w:val="005E2868"/>
    <w:rsid w:val="005E4597"/>
    <w:rsid w:val="0061505E"/>
    <w:rsid w:val="00625624"/>
    <w:rsid w:val="006976E0"/>
    <w:rsid w:val="006B4469"/>
    <w:rsid w:val="006D0C70"/>
    <w:rsid w:val="00705F3C"/>
    <w:rsid w:val="00723B91"/>
    <w:rsid w:val="007A4D77"/>
    <w:rsid w:val="007C7463"/>
    <w:rsid w:val="007E5ED3"/>
    <w:rsid w:val="00802E74"/>
    <w:rsid w:val="0086047C"/>
    <w:rsid w:val="00862AA6"/>
    <w:rsid w:val="008715EB"/>
    <w:rsid w:val="008D2F4E"/>
    <w:rsid w:val="008F0EEB"/>
    <w:rsid w:val="008F40CB"/>
    <w:rsid w:val="009109E5"/>
    <w:rsid w:val="00936333"/>
    <w:rsid w:val="0094143E"/>
    <w:rsid w:val="009448F7"/>
    <w:rsid w:val="00963F9C"/>
    <w:rsid w:val="00977CAF"/>
    <w:rsid w:val="00983B44"/>
    <w:rsid w:val="00996D31"/>
    <w:rsid w:val="009D054C"/>
    <w:rsid w:val="009F05ED"/>
    <w:rsid w:val="009F3C67"/>
    <w:rsid w:val="009F6626"/>
    <w:rsid w:val="00A109FD"/>
    <w:rsid w:val="00A135B2"/>
    <w:rsid w:val="00A14C67"/>
    <w:rsid w:val="00A24891"/>
    <w:rsid w:val="00A4767B"/>
    <w:rsid w:val="00A77F4B"/>
    <w:rsid w:val="00AE75F8"/>
    <w:rsid w:val="00B031C4"/>
    <w:rsid w:val="00B334BD"/>
    <w:rsid w:val="00B47162"/>
    <w:rsid w:val="00B57EE5"/>
    <w:rsid w:val="00B61C72"/>
    <w:rsid w:val="00B67947"/>
    <w:rsid w:val="00B96FAC"/>
    <w:rsid w:val="00BA1964"/>
    <w:rsid w:val="00BB0E3E"/>
    <w:rsid w:val="00BC2623"/>
    <w:rsid w:val="00BD1D9B"/>
    <w:rsid w:val="00BD7A3B"/>
    <w:rsid w:val="00BE7D00"/>
    <w:rsid w:val="00BF6987"/>
    <w:rsid w:val="00C05209"/>
    <w:rsid w:val="00C1677D"/>
    <w:rsid w:val="00C1725F"/>
    <w:rsid w:val="00C5077F"/>
    <w:rsid w:val="00C6000A"/>
    <w:rsid w:val="00CA5C5B"/>
    <w:rsid w:val="00CC3279"/>
    <w:rsid w:val="00CC33EE"/>
    <w:rsid w:val="00CE0E49"/>
    <w:rsid w:val="00D07902"/>
    <w:rsid w:val="00D2414E"/>
    <w:rsid w:val="00D4080D"/>
    <w:rsid w:val="00DC0243"/>
    <w:rsid w:val="00DD4821"/>
    <w:rsid w:val="00E02AE4"/>
    <w:rsid w:val="00E04EE4"/>
    <w:rsid w:val="00E1758E"/>
    <w:rsid w:val="00E41041"/>
    <w:rsid w:val="00E4500F"/>
    <w:rsid w:val="00E63270"/>
    <w:rsid w:val="00E76083"/>
    <w:rsid w:val="00E86A1F"/>
    <w:rsid w:val="00EA27D8"/>
    <w:rsid w:val="00EA516E"/>
    <w:rsid w:val="00EC163B"/>
    <w:rsid w:val="00EC5AB7"/>
    <w:rsid w:val="00EF730B"/>
    <w:rsid w:val="00F54EA1"/>
    <w:rsid w:val="00F57133"/>
    <w:rsid w:val="00F7108D"/>
    <w:rsid w:val="00F821C2"/>
    <w:rsid w:val="00FA7F41"/>
    <w:rsid w:val="00FE758D"/>
    <w:rsid w:val="00FF426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FE9E7B3"/>
  <w15:docId w15:val="{789F2F56-AE21-4F47-9E69-0AD302EB7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6650"/>
  </w:style>
  <w:style w:type="paragraph" w:styleId="Ttulo1">
    <w:name w:val="heading 1"/>
    <w:basedOn w:val="Normal"/>
    <w:next w:val="Normal"/>
    <w:link w:val="Ttulo1Car"/>
    <w:uiPriority w:val="9"/>
    <w:qFormat/>
    <w:rsid w:val="005B665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A7426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5B6650"/>
    <w:pPr>
      <w:keepNext/>
      <w:keepLines/>
      <w:spacing w:before="40"/>
      <w:outlineLvl w:val="2"/>
    </w:pPr>
    <w:rPr>
      <w:rFonts w:asciiTheme="majorHAnsi" w:eastAsiaTheme="majorEastAsia" w:hAnsiTheme="majorHAnsi" w:cstheme="majorBidi"/>
      <w:color w:val="1F4D78" w:themeColor="accent1" w:themeShade="7F"/>
      <w:lang w:val="es-ES_tradnl" w:eastAsia="es-ES"/>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character" w:customStyle="1" w:styleId="Ttulo1Car">
    <w:name w:val="Título 1 Car"/>
    <w:basedOn w:val="Fuentedeprrafopredeter"/>
    <w:link w:val="Ttulo1"/>
    <w:uiPriority w:val="9"/>
    <w:rsid w:val="005B6650"/>
    <w:rPr>
      <w:rFonts w:asciiTheme="majorHAnsi" w:eastAsiaTheme="majorEastAsia" w:hAnsiTheme="majorHAnsi" w:cstheme="majorBidi"/>
      <w:color w:val="2E74B5" w:themeColor="accent1" w:themeShade="BF"/>
      <w:sz w:val="32"/>
      <w:szCs w:val="32"/>
      <w:lang w:eastAsia="es-MX"/>
    </w:rPr>
  </w:style>
  <w:style w:type="character" w:customStyle="1" w:styleId="Ttulo3Car">
    <w:name w:val="Título 3 Car"/>
    <w:basedOn w:val="Fuentedeprrafopredeter"/>
    <w:link w:val="Ttulo3"/>
    <w:uiPriority w:val="9"/>
    <w:rsid w:val="005B6650"/>
    <w:rPr>
      <w:rFonts w:asciiTheme="majorHAnsi" w:eastAsiaTheme="majorEastAsia" w:hAnsiTheme="majorHAnsi" w:cstheme="majorBidi"/>
      <w:color w:val="1F4D78" w:themeColor="accent1" w:themeShade="7F"/>
      <w:sz w:val="24"/>
      <w:szCs w:val="24"/>
      <w:lang w:val="es-ES_tradnl" w:eastAsia="es-ES"/>
    </w:rPr>
  </w:style>
  <w:style w:type="paragraph" w:styleId="Encabezado">
    <w:name w:val="header"/>
    <w:basedOn w:val="Normal"/>
    <w:link w:val="EncabezadoCar"/>
    <w:uiPriority w:val="99"/>
    <w:unhideWhenUsed/>
    <w:rsid w:val="005B6650"/>
    <w:pPr>
      <w:tabs>
        <w:tab w:val="center" w:pos="4419"/>
        <w:tab w:val="right" w:pos="8838"/>
      </w:tabs>
    </w:pPr>
  </w:style>
  <w:style w:type="character" w:customStyle="1" w:styleId="EncabezadoCar">
    <w:name w:val="Encabezado Car"/>
    <w:basedOn w:val="Fuentedeprrafopredeter"/>
    <w:link w:val="Encabezado"/>
    <w:uiPriority w:val="99"/>
    <w:rsid w:val="005B6650"/>
    <w:rPr>
      <w:rFonts w:ascii="Times New Roman" w:eastAsia="Times New Roman" w:hAnsi="Times New Roman" w:cs="Times New Roman"/>
      <w:sz w:val="24"/>
      <w:szCs w:val="24"/>
      <w:lang w:eastAsia="es-MX"/>
    </w:rPr>
  </w:style>
  <w:style w:type="paragraph" w:styleId="Piedepgina">
    <w:name w:val="footer"/>
    <w:basedOn w:val="Normal"/>
    <w:link w:val="PiedepginaCar"/>
    <w:uiPriority w:val="99"/>
    <w:unhideWhenUsed/>
    <w:rsid w:val="005B6650"/>
    <w:pPr>
      <w:tabs>
        <w:tab w:val="center" w:pos="4419"/>
        <w:tab w:val="right" w:pos="8838"/>
      </w:tabs>
    </w:pPr>
  </w:style>
  <w:style w:type="character" w:customStyle="1" w:styleId="PiedepginaCar">
    <w:name w:val="Pie de página Car"/>
    <w:basedOn w:val="Fuentedeprrafopredeter"/>
    <w:link w:val="Piedepgina"/>
    <w:uiPriority w:val="99"/>
    <w:rsid w:val="005B6650"/>
    <w:rPr>
      <w:rFonts w:ascii="Times New Roman" w:eastAsia="Times New Roman" w:hAnsi="Times New Roman" w:cs="Times New Roman"/>
      <w:sz w:val="24"/>
      <w:szCs w:val="24"/>
      <w:lang w:eastAsia="es-MX"/>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5B6650"/>
    <w:pPr>
      <w:ind w:left="720"/>
      <w:contextualSpacing/>
    </w:pPr>
    <w:rPr>
      <w:rFonts w:ascii="Century Gothic" w:hAnsi="Century Gothic"/>
      <w:sz w:val="22"/>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rsid w:val="005B6650"/>
    <w:rPr>
      <w:rFonts w:ascii="Century Gothic" w:eastAsia="Times New Roman" w:hAnsi="Century Gothic" w:cs="Times New Roman"/>
      <w:szCs w:val="24"/>
      <w:lang w:eastAsia="es-MX"/>
    </w:rPr>
  </w:style>
  <w:style w:type="character" w:styleId="Hipervnculo">
    <w:name w:val="Hyperlink"/>
    <w:aliases w:val="Hipervínculo1,Hipervínculo11,Hipervínculo12,Hipervínculo13,Hipervínculo14,Hipervínculo15"/>
    <w:uiPriority w:val="99"/>
    <w:unhideWhenUsed/>
    <w:rsid w:val="005B6650"/>
    <w:rPr>
      <w:color w:val="0563C1"/>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5B6650"/>
    <w:rPr>
      <w:rFonts w:asciiTheme="minorHAnsi" w:eastAsiaTheme="minorHAnsi" w:hAnsiTheme="minorHAnsi" w:cstheme="minorBidi"/>
      <w:sz w:val="20"/>
      <w:szCs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5B6650"/>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iPriority w:val="99"/>
    <w:unhideWhenUsed/>
    <w:qFormat/>
    <w:rsid w:val="005B6650"/>
    <w:rPr>
      <w:vertAlign w:val="superscript"/>
    </w:rPr>
  </w:style>
  <w:style w:type="table" w:styleId="Tablaconcuadrcula">
    <w:name w:val="Table Grid"/>
    <w:basedOn w:val="Tablanormal"/>
    <w:uiPriority w:val="39"/>
    <w:rsid w:val="001703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4-nfasis3">
    <w:name w:val="Grid Table 4 Accent 3"/>
    <w:basedOn w:val="Tablanormal"/>
    <w:uiPriority w:val="49"/>
    <w:rsid w:val="006F6869"/>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Listaconvietas2">
    <w:name w:val="List Bullet 2"/>
    <w:basedOn w:val="Normal"/>
    <w:uiPriority w:val="99"/>
    <w:unhideWhenUsed/>
    <w:rsid w:val="00A7426F"/>
    <w:pPr>
      <w:numPr>
        <w:numId w:val="7"/>
      </w:numPr>
      <w:contextualSpacing/>
    </w:pPr>
    <w:rPr>
      <w:sz w:val="20"/>
      <w:szCs w:val="20"/>
      <w:lang w:eastAsia="es-ES"/>
    </w:rPr>
  </w:style>
  <w:style w:type="character" w:customStyle="1" w:styleId="Ttulo2Car">
    <w:name w:val="Título 2 Car"/>
    <w:basedOn w:val="Fuentedeprrafopredeter"/>
    <w:link w:val="Ttulo2"/>
    <w:uiPriority w:val="9"/>
    <w:rsid w:val="00A7426F"/>
    <w:rPr>
      <w:rFonts w:asciiTheme="majorHAnsi" w:eastAsiaTheme="majorEastAsia" w:hAnsiTheme="majorHAnsi" w:cstheme="majorBidi"/>
      <w:color w:val="2E74B5" w:themeColor="accent1" w:themeShade="BF"/>
      <w:sz w:val="26"/>
      <w:szCs w:val="26"/>
      <w:lang w:eastAsia="es-MX"/>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styleId="Tabladecuadrcula1clara-nfasis1">
    <w:name w:val="Grid Table 1 Light Accent 1"/>
    <w:basedOn w:val="Tablanormal"/>
    <w:uiPriority w:val="46"/>
    <w:rsid w:val="00983B44"/>
    <w:rPr>
      <w:sz w:val="20"/>
      <w:szCs w:val="20"/>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Textodeglobo">
    <w:name w:val="Balloon Text"/>
    <w:basedOn w:val="Normal"/>
    <w:link w:val="TextodegloboCar"/>
    <w:uiPriority w:val="99"/>
    <w:semiHidden/>
    <w:unhideWhenUsed/>
    <w:rsid w:val="0031754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17542"/>
    <w:rPr>
      <w:rFonts w:ascii="Segoe UI" w:hAnsi="Segoe UI" w:cs="Segoe UI"/>
      <w:sz w:val="18"/>
      <w:szCs w:val="18"/>
    </w:rPr>
  </w:style>
  <w:style w:type="paragraph" w:customStyle="1" w:styleId="Default">
    <w:name w:val="Default"/>
    <w:qFormat/>
    <w:rsid w:val="00BA1964"/>
    <w:pPr>
      <w:autoSpaceDE w:val="0"/>
      <w:autoSpaceDN w:val="0"/>
      <w:adjustRightInd w:val="0"/>
    </w:pPr>
    <w:rPr>
      <w:rFonts w:ascii="Arial" w:hAnsi="Arial" w:cs="Arial"/>
      <w:color w:val="000000"/>
    </w:rPr>
  </w:style>
  <w:style w:type="paragraph" w:styleId="NormalWeb">
    <w:name w:val="Normal (Web)"/>
    <w:basedOn w:val="Normal"/>
    <w:uiPriority w:val="99"/>
    <w:unhideWhenUsed/>
    <w:rsid w:val="004956F9"/>
    <w:pPr>
      <w:spacing w:before="100" w:beforeAutospacing="1" w:after="100" w:afterAutospacing="1"/>
    </w:pPr>
  </w:style>
  <w:style w:type="character" w:customStyle="1" w:styleId="apple-style-span">
    <w:name w:val="apple-style-span"/>
    <w:rsid w:val="00093698"/>
  </w:style>
  <w:style w:type="paragraph" w:customStyle="1" w:styleId="Citas">
    <w:name w:val="Citas"/>
    <w:basedOn w:val="Normal"/>
    <w:qFormat/>
    <w:rsid w:val="00093698"/>
    <w:pPr>
      <w:spacing w:before="240" w:after="160" w:line="360" w:lineRule="auto"/>
      <w:ind w:left="851" w:right="851"/>
      <w:jc w:val="both"/>
    </w:pPr>
    <w:rPr>
      <w:rFonts w:ascii="Palatino Linotype" w:eastAsiaTheme="minorHAnsi" w:hAnsi="Palatino Linotype" w:cs="Arial"/>
      <w: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73454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2q3Wvzv/MUlEPCKdgglX68ctYA==">CgMxLjAyDmguZGJ3eDZsaTdpbmgxMg5oLnJ0OWVjMmtubTJuaDIOaC50MmJ2d3V1ZHA2NncyCWguMmV0OTJwMDIIaC50eWpjd3QyCWguM2R5NnZrbTIJaC4xdDNoNXNmMgloLjJzOGV5bzEyCWguMTdkcDh2dTgAciExZ0MzOTU1bk83REpfYjBUNDNMaE5Vc25ZcmpUT21UUkI=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FD4B277-E015-462B-8B4D-C792DFCE1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455</TotalTime>
  <Pages>16</Pages>
  <Words>3456</Words>
  <Characters>19013</Characters>
  <Application>Microsoft Office Word</Application>
  <DocSecurity>0</DocSecurity>
  <Lines>158</Lines>
  <Paragraphs>44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22425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INFOEM549</dc:creator>
  <cp:lastModifiedBy>Cuenta Microsoft</cp:lastModifiedBy>
  <cp:revision>19</cp:revision>
  <cp:lastPrinted>2026-02-20T16:07:00Z</cp:lastPrinted>
  <dcterms:created xsi:type="dcterms:W3CDTF">2026-01-26T20:01:00Z</dcterms:created>
  <dcterms:modified xsi:type="dcterms:W3CDTF">2026-02-25T23:22:00Z</dcterms:modified>
</cp:coreProperties>
</file>