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eastAsia="Palatino Linotype" w:hAnsi="Palatino Linotype" w:cs="Palatino Linotype"/>
          <w:color w:val="auto"/>
          <w:sz w:val="22"/>
          <w:szCs w:val="22"/>
          <w:lang w:val="es-ES"/>
        </w:rPr>
        <w:id w:val="1632983033"/>
        <w:docPartObj>
          <w:docPartGallery w:val="Table of Contents"/>
          <w:docPartUnique/>
        </w:docPartObj>
      </w:sdtPr>
      <w:sdtEndPr>
        <w:rPr>
          <w:b/>
          <w:bCs/>
        </w:rPr>
      </w:sdtEndPr>
      <w:sdtContent>
        <w:p w14:paraId="49AA4E8D" w14:textId="77777777" w:rsidR="004049D7" w:rsidRDefault="004049D7">
          <w:pPr>
            <w:pStyle w:val="TtuloTDC"/>
          </w:pPr>
          <w:r>
            <w:rPr>
              <w:lang w:val="es-ES"/>
            </w:rPr>
            <w:t>Tabla de contenido</w:t>
          </w:r>
        </w:p>
        <w:p w14:paraId="25944141" w14:textId="77777777" w:rsidR="00AE5ACC" w:rsidRDefault="004049D7">
          <w:pPr>
            <w:pStyle w:val="TDC1"/>
            <w:tabs>
              <w:tab w:val="right" w:leader="dot" w:pos="9204"/>
            </w:tabs>
            <w:rPr>
              <w:rFonts w:asciiTheme="minorHAnsi" w:eastAsiaTheme="minorEastAsia" w:hAnsiTheme="minorHAnsi" w:cstheme="minorBidi"/>
              <w:noProof/>
            </w:rPr>
          </w:pPr>
          <w:r>
            <w:rPr>
              <w:b/>
              <w:bCs/>
              <w:lang w:val="es-ES"/>
            </w:rPr>
            <w:fldChar w:fldCharType="begin"/>
          </w:r>
          <w:r>
            <w:rPr>
              <w:b/>
              <w:bCs/>
              <w:lang w:val="es-ES"/>
            </w:rPr>
            <w:instrText xml:space="preserve"> TOC \o "1-3" \h \z \u </w:instrText>
          </w:r>
          <w:r>
            <w:rPr>
              <w:b/>
              <w:bCs/>
              <w:lang w:val="es-ES"/>
            </w:rPr>
            <w:fldChar w:fldCharType="separate"/>
          </w:r>
          <w:hyperlink w:anchor="_Toc223619990" w:history="1">
            <w:r w:rsidR="00AE5ACC" w:rsidRPr="00A74EAB">
              <w:rPr>
                <w:rStyle w:val="Hipervnculo"/>
                <w:noProof/>
              </w:rPr>
              <w:t>A N T E C E D E N T E S</w:t>
            </w:r>
            <w:r w:rsidR="00AE5ACC">
              <w:rPr>
                <w:noProof/>
                <w:webHidden/>
              </w:rPr>
              <w:tab/>
            </w:r>
            <w:r w:rsidR="00AE5ACC">
              <w:rPr>
                <w:noProof/>
                <w:webHidden/>
              </w:rPr>
              <w:fldChar w:fldCharType="begin"/>
            </w:r>
            <w:r w:rsidR="00AE5ACC">
              <w:rPr>
                <w:noProof/>
                <w:webHidden/>
              </w:rPr>
              <w:instrText xml:space="preserve"> PAGEREF _Toc223619990 \h </w:instrText>
            </w:r>
            <w:r w:rsidR="00AE5ACC">
              <w:rPr>
                <w:noProof/>
                <w:webHidden/>
              </w:rPr>
            </w:r>
            <w:r w:rsidR="00AE5ACC">
              <w:rPr>
                <w:noProof/>
                <w:webHidden/>
              </w:rPr>
              <w:fldChar w:fldCharType="separate"/>
            </w:r>
            <w:r w:rsidR="004D3EEA">
              <w:rPr>
                <w:noProof/>
                <w:webHidden/>
              </w:rPr>
              <w:t>2</w:t>
            </w:r>
            <w:r w:rsidR="00AE5ACC">
              <w:rPr>
                <w:noProof/>
                <w:webHidden/>
              </w:rPr>
              <w:fldChar w:fldCharType="end"/>
            </w:r>
          </w:hyperlink>
        </w:p>
        <w:p w14:paraId="43981FC6" w14:textId="77777777" w:rsidR="00AE5ACC" w:rsidRDefault="00AE5ACC">
          <w:pPr>
            <w:pStyle w:val="TDC2"/>
            <w:tabs>
              <w:tab w:val="right" w:leader="dot" w:pos="9204"/>
            </w:tabs>
            <w:rPr>
              <w:rFonts w:asciiTheme="minorHAnsi" w:eastAsiaTheme="minorEastAsia" w:hAnsiTheme="minorHAnsi" w:cstheme="minorBidi"/>
              <w:noProof/>
            </w:rPr>
          </w:pPr>
          <w:hyperlink w:anchor="_Toc223619991" w:history="1">
            <w:r w:rsidRPr="00A74EAB">
              <w:rPr>
                <w:rStyle w:val="Hipervnculo"/>
                <w:noProof/>
              </w:rPr>
              <w:t>I. Presentación de la solicitud de información</w:t>
            </w:r>
            <w:r>
              <w:rPr>
                <w:noProof/>
                <w:webHidden/>
              </w:rPr>
              <w:tab/>
            </w:r>
            <w:r>
              <w:rPr>
                <w:noProof/>
                <w:webHidden/>
              </w:rPr>
              <w:fldChar w:fldCharType="begin"/>
            </w:r>
            <w:r>
              <w:rPr>
                <w:noProof/>
                <w:webHidden/>
              </w:rPr>
              <w:instrText xml:space="preserve"> PAGEREF _Toc223619991 \h </w:instrText>
            </w:r>
            <w:r>
              <w:rPr>
                <w:noProof/>
                <w:webHidden/>
              </w:rPr>
            </w:r>
            <w:r>
              <w:rPr>
                <w:noProof/>
                <w:webHidden/>
              </w:rPr>
              <w:fldChar w:fldCharType="separate"/>
            </w:r>
            <w:r w:rsidR="004D3EEA">
              <w:rPr>
                <w:noProof/>
                <w:webHidden/>
              </w:rPr>
              <w:t>2</w:t>
            </w:r>
            <w:r>
              <w:rPr>
                <w:noProof/>
                <w:webHidden/>
              </w:rPr>
              <w:fldChar w:fldCharType="end"/>
            </w:r>
          </w:hyperlink>
        </w:p>
        <w:p w14:paraId="3E07BB82" w14:textId="77777777" w:rsidR="00AE5ACC" w:rsidRDefault="00AE5ACC">
          <w:pPr>
            <w:pStyle w:val="TDC2"/>
            <w:tabs>
              <w:tab w:val="right" w:leader="dot" w:pos="9204"/>
            </w:tabs>
            <w:rPr>
              <w:rFonts w:asciiTheme="minorHAnsi" w:eastAsiaTheme="minorEastAsia" w:hAnsiTheme="minorHAnsi" w:cstheme="minorBidi"/>
              <w:noProof/>
            </w:rPr>
          </w:pPr>
          <w:hyperlink w:anchor="_Toc223619992" w:history="1">
            <w:r w:rsidRPr="00A74EAB">
              <w:rPr>
                <w:rStyle w:val="Hipervnculo"/>
                <w:noProof/>
              </w:rPr>
              <w:t>II. Respuesta del Sujeto Obligado</w:t>
            </w:r>
            <w:r>
              <w:rPr>
                <w:noProof/>
                <w:webHidden/>
              </w:rPr>
              <w:tab/>
            </w:r>
            <w:r>
              <w:rPr>
                <w:noProof/>
                <w:webHidden/>
              </w:rPr>
              <w:fldChar w:fldCharType="begin"/>
            </w:r>
            <w:r>
              <w:rPr>
                <w:noProof/>
                <w:webHidden/>
              </w:rPr>
              <w:instrText xml:space="preserve"> PAGEREF _Toc223619992 \h </w:instrText>
            </w:r>
            <w:r>
              <w:rPr>
                <w:noProof/>
                <w:webHidden/>
              </w:rPr>
            </w:r>
            <w:r>
              <w:rPr>
                <w:noProof/>
                <w:webHidden/>
              </w:rPr>
              <w:fldChar w:fldCharType="separate"/>
            </w:r>
            <w:r w:rsidR="004D3EEA">
              <w:rPr>
                <w:noProof/>
                <w:webHidden/>
              </w:rPr>
              <w:t>3</w:t>
            </w:r>
            <w:r>
              <w:rPr>
                <w:noProof/>
                <w:webHidden/>
              </w:rPr>
              <w:fldChar w:fldCharType="end"/>
            </w:r>
          </w:hyperlink>
        </w:p>
        <w:p w14:paraId="49B13621" w14:textId="77777777" w:rsidR="00AE5ACC" w:rsidRDefault="00AE5ACC">
          <w:pPr>
            <w:pStyle w:val="TDC2"/>
            <w:tabs>
              <w:tab w:val="right" w:leader="dot" w:pos="9204"/>
            </w:tabs>
            <w:rPr>
              <w:rFonts w:asciiTheme="minorHAnsi" w:eastAsiaTheme="minorEastAsia" w:hAnsiTheme="minorHAnsi" w:cstheme="minorBidi"/>
              <w:noProof/>
            </w:rPr>
          </w:pPr>
          <w:hyperlink w:anchor="_Toc223619993" w:history="1">
            <w:r w:rsidRPr="00A74EAB">
              <w:rPr>
                <w:rStyle w:val="Hipervnculo"/>
                <w:noProof/>
              </w:rPr>
              <w:t>III. Interposición del Recurso de Revisión</w:t>
            </w:r>
            <w:r>
              <w:rPr>
                <w:noProof/>
                <w:webHidden/>
              </w:rPr>
              <w:tab/>
            </w:r>
            <w:r>
              <w:rPr>
                <w:noProof/>
                <w:webHidden/>
              </w:rPr>
              <w:fldChar w:fldCharType="begin"/>
            </w:r>
            <w:r>
              <w:rPr>
                <w:noProof/>
                <w:webHidden/>
              </w:rPr>
              <w:instrText xml:space="preserve"> PAGEREF _Toc223619993 \h </w:instrText>
            </w:r>
            <w:r>
              <w:rPr>
                <w:noProof/>
                <w:webHidden/>
              </w:rPr>
            </w:r>
            <w:r>
              <w:rPr>
                <w:noProof/>
                <w:webHidden/>
              </w:rPr>
              <w:fldChar w:fldCharType="separate"/>
            </w:r>
            <w:r w:rsidR="004D3EEA">
              <w:rPr>
                <w:noProof/>
                <w:webHidden/>
              </w:rPr>
              <w:t>3</w:t>
            </w:r>
            <w:r>
              <w:rPr>
                <w:noProof/>
                <w:webHidden/>
              </w:rPr>
              <w:fldChar w:fldCharType="end"/>
            </w:r>
          </w:hyperlink>
        </w:p>
        <w:p w14:paraId="2E7669E7" w14:textId="77777777" w:rsidR="00AE5ACC" w:rsidRDefault="00AE5ACC">
          <w:pPr>
            <w:pStyle w:val="TDC2"/>
            <w:tabs>
              <w:tab w:val="right" w:leader="dot" w:pos="9204"/>
            </w:tabs>
            <w:rPr>
              <w:rFonts w:asciiTheme="minorHAnsi" w:eastAsiaTheme="minorEastAsia" w:hAnsiTheme="minorHAnsi" w:cstheme="minorBidi"/>
              <w:noProof/>
            </w:rPr>
          </w:pPr>
          <w:hyperlink w:anchor="_Toc223619994" w:history="1">
            <w:r w:rsidRPr="00A74EAB">
              <w:rPr>
                <w:rStyle w:val="Hipervnculo"/>
                <w:noProof/>
              </w:rPr>
              <w:t>IV. Trámite del Recurso de Revisión ante este Instituto</w:t>
            </w:r>
            <w:r>
              <w:rPr>
                <w:noProof/>
                <w:webHidden/>
              </w:rPr>
              <w:tab/>
            </w:r>
            <w:r>
              <w:rPr>
                <w:noProof/>
                <w:webHidden/>
              </w:rPr>
              <w:fldChar w:fldCharType="begin"/>
            </w:r>
            <w:r>
              <w:rPr>
                <w:noProof/>
                <w:webHidden/>
              </w:rPr>
              <w:instrText xml:space="preserve"> PAGEREF _Toc223619994 \h </w:instrText>
            </w:r>
            <w:r>
              <w:rPr>
                <w:noProof/>
                <w:webHidden/>
              </w:rPr>
            </w:r>
            <w:r>
              <w:rPr>
                <w:noProof/>
                <w:webHidden/>
              </w:rPr>
              <w:fldChar w:fldCharType="separate"/>
            </w:r>
            <w:r w:rsidR="004D3EEA">
              <w:rPr>
                <w:noProof/>
                <w:webHidden/>
              </w:rPr>
              <w:t>4</w:t>
            </w:r>
            <w:r>
              <w:rPr>
                <w:noProof/>
                <w:webHidden/>
              </w:rPr>
              <w:fldChar w:fldCharType="end"/>
            </w:r>
          </w:hyperlink>
        </w:p>
        <w:p w14:paraId="0FC99B90" w14:textId="77777777" w:rsidR="00AE5ACC" w:rsidRDefault="00AE5ACC">
          <w:pPr>
            <w:pStyle w:val="TDC1"/>
            <w:tabs>
              <w:tab w:val="right" w:leader="dot" w:pos="9204"/>
            </w:tabs>
            <w:rPr>
              <w:rFonts w:asciiTheme="minorHAnsi" w:eastAsiaTheme="minorEastAsia" w:hAnsiTheme="minorHAnsi" w:cstheme="minorBidi"/>
              <w:noProof/>
            </w:rPr>
          </w:pPr>
          <w:hyperlink w:anchor="_Toc223619995" w:history="1">
            <w:r w:rsidRPr="00A74EAB">
              <w:rPr>
                <w:rStyle w:val="Hipervnculo"/>
                <w:noProof/>
              </w:rPr>
              <w:t>C O N S I D E R A N D O S</w:t>
            </w:r>
            <w:r>
              <w:rPr>
                <w:noProof/>
                <w:webHidden/>
              </w:rPr>
              <w:tab/>
            </w:r>
            <w:r>
              <w:rPr>
                <w:noProof/>
                <w:webHidden/>
              </w:rPr>
              <w:fldChar w:fldCharType="begin"/>
            </w:r>
            <w:r>
              <w:rPr>
                <w:noProof/>
                <w:webHidden/>
              </w:rPr>
              <w:instrText xml:space="preserve"> PAGEREF _Toc223619995 \h </w:instrText>
            </w:r>
            <w:r>
              <w:rPr>
                <w:noProof/>
                <w:webHidden/>
              </w:rPr>
            </w:r>
            <w:r>
              <w:rPr>
                <w:noProof/>
                <w:webHidden/>
              </w:rPr>
              <w:fldChar w:fldCharType="separate"/>
            </w:r>
            <w:r w:rsidR="004D3EEA">
              <w:rPr>
                <w:noProof/>
                <w:webHidden/>
              </w:rPr>
              <w:t>8</w:t>
            </w:r>
            <w:r>
              <w:rPr>
                <w:noProof/>
                <w:webHidden/>
              </w:rPr>
              <w:fldChar w:fldCharType="end"/>
            </w:r>
          </w:hyperlink>
        </w:p>
        <w:p w14:paraId="44619238" w14:textId="77777777" w:rsidR="00AE5ACC" w:rsidRDefault="00AE5ACC">
          <w:pPr>
            <w:pStyle w:val="TDC2"/>
            <w:tabs>
              <w:tab w:val="right" w:leader="dot" w:pos="9204"/>
            </w:tabs>
            <w:rPr>
              <w:rFonts w:asciiTheme="minorHAnsi" w:eastAsiaTheme="minorEastAsia" w:hAnsiTheme="minorHAnsi" w:cstheme="minorBidi"/>
              <w:noProof/>
            </w:rPr>
          </w:pPr>
          <w:hyperlink w:anchor="_Toc223619996" w:history="1">
            <w:r w:rsidRPr="00A74EAB">
              <w:rPr>
                <w:rStyle w:val="Hipervnculo"/>
                <w:noProof/>
              </w:rPr>
              <w:t>PRIMERO. Competencia</w:t>
            </w:r>
            <w:r>
              <w:rPr>
                <w:noProof/>
                <w:webHidden/>
              </w:rPr>
              <w:tab/>
            </w:r>
            <w:r>
              <w:rPr>
                <w:noProof/>
                <w:webHidden/>
              </w:rPr>
              <w:fldChar w:fldCharType="begin"/>
            </w:r>
            <w:r>
              <w:rPr>
                <w:noProof/>
                <w:webHidden/>
              </w:rPr>
              <w:instrText xml:space="preserve"> PAGEREF _Toc223619996 \h </w:instrText>
            </w:r>
            <w:r>
              <w:rPr>
                <w:noProof/>
                <w:webHidden/>
              </w:rPr>
            </w:r>
            <w:r>
              <w:rPr>
                <w:noProof/>
                <w:webHidden/>
              </w:rPr>
              <w:fldChar w:fldCharType="separate"/>
            </w:r>
            <w:r w:rsidR="004D3EEA">
              <w:rPr>
                <w:noProof/>
                <w:webHidden/>
              </w:rPr>
              <w:t>8</w:t>
            </w:r>
            <w:r>
              <w:rPr>
                <w:noProof/>
                <w:webHidden/>
              </w:rPr>
              <w:fldChar w:fldCharType="end"/>
            </w:r>
          </w:hyperlink>
        </w:p>
        <w:p w14:paraId="6E333CF1" w14:textId="77777777" w:rsidR="00AE5ACC" w:rsidRDefault="00AE5ACC">
          <w:pPr>
            <w:pStyle w:val="TDC2"/>
            <w:tabs>
              <w:tab w:val="right" w:leader="dot" w:pos="9204"/>
            </w:tabs>
            <w:rPr>
              <w:rFonts w:asciiTheme="minorHAnsi" w:eastAsiaTheme="minorEastAsia" w:hAnsiTheme="minorHAnsi" w:cstheme="minorBidi"/>
              <w:noProof/>
            </w:rPr>
          </w:pPr>
          <w:hyperlink w:anchor="_Toc223619997" w:history="1">
            <w:r w:rsidRPr="00A74EAB">
              <w:rPr>
                <w:rStyle w:val="Hipervnculo"/>
                <w:noProof/>
              </w:rPr>
              <w:t>SEGUNDO. Causales de improcedencia</w:t>
            </w:r>
            <w:r>
              <w:rPr>
                <w:noProof/>
                <w:webHidden/>
              </w:rPr>
              <w:tab/>
            </w:r>
            <w:r>
              <w:rPr>
                <w:noProof/>
                <w:webHidden/>
              </w:rPr>
              <w:fldChar w:fldCharType="begin"/>
            </w:r>
            <w:r>
              <w:rPr>
                <w:noProof/>
                <w:webHidden/>
              </w:rPr>
              <w:instrText xml:space="preserve"> PAGEREF _Toc223619997 \h </w:instrText>
            </w:r>
            <w:r>
              <w:rPr>
                <w:noProof/>
                <w:webHidden/>
              </w:rPr>
            </w:r>
            <w:r>
              <w:rPr>
                <w:noProof/>
                <w:webHidden/>
              </w:rPr>
              <w:fldChar w:fldCharType="separate"/>
            </w:r>
            <w:r w:rsidR="004D3EEA">
              <w:rPr>
                <w:noProof/>
                <w:webHidden/>
              </w:rPr>
              <w:t>8</w:t>
            </w:r>
            <w:r>
              <w:rPr>
                <w:noProof/>
                <w:webHidden/>
              </w:rPr>
              <w:fldChar w:fldCharType="end"/>
            </w:r>
          </w:hyperlink>
        </w:p>
        <w:p w14:paraId="3EB5D825" w14:textId="77777777" w:rsidR="00AE5ACC" w:rsidRDefault="00AE5ACC">
          <w:pPr>
            <w:pStyle w:val="TDC2"/>
            <w:tabs>
              <w:tab w:val="right" w:leader="dot" w:pos="9204"/>
            </w:tabs>
            <w:rPr>
              <w:rFonts w:asciiTheme="minorHAnsi" w:eastAsiaTheme="minorEastAsia" w:hAnsiTheme="minorHAnsi" w:cstheme="minorBidi"/>
              <w:noProof/>
            </w:rPr>
          </w:pPr>
          <w:hyperlink w:anchor="_Toc223619998" w:history="1">
            <w:r w:rsidRPr="00A74EAB">
              <w:rPr>
                <w:rStyle w:val="Hipervnculo"/>
                <w:noProof/>
              </w:rPr>
              <w:t>TERCERO. Causales de sobreseimiento</w:t>
            </w:r>
            <w:r>
              <w:rPr>
                <w:noProof/>
                <w:webHidden/>
              </w:rPr>
              <w:tab/>
            </w:r>
            <w:r>
              <w:rPr>
                <w:noProof/>
                <w:webHidden/>
              </w:rPr>
              <w:fldChar w:fldCharType="begin"/>
            </w:r>
            <w:r>
              <w:rPr>
                <w:noProof/>
                <w:webHidden/>
              </w:rPr>
              <w:instrText xml:space="preserve"> PAGEREF _Toc223619998 \h </w:instrText>
            </w:r>
            <w:r>
              <w:rPr>
                <w:noProof/>
                <w:webHidden/>
              </w:rPr>
            </w:r>
            <w:r>
              <w:rPr>
                <w:noProof/>
                <w:webHidden/>
              </w:rPr>
              <w:fldChar w:fldCharType="separate"/>
            </w:r>
            <w:r w:rsidR="004D3EEA">
              <w:rPr>
                <w:noProof/>
                <w:webHidden/>
              </w:rPr>
              <w:t>9</w:t>
            </w:r>
            <w:r>
              <w:rPr>
                <w:noProof/>
                <w:webHidden/>
              </w:rPr>
              <w:fldChar w:fldCharType="end"/>
            </w:r>
          </w:hyperlink>
        </w:p>
        <w:p w14:paraId="6131E12D" w14:textId="77777777" w:rsidR="00AE5ACC" w:rsidRDefault="00AE5ACC">
          <w:pPr>
            <w:pStyle w:val="TDC2"/>
            <w:tabs>
              <w:tab w:val="right" w:leader="dot" w:pos="9204"/>
            </w:tabs>
            <w:rPr>
              <w:rFonts w:asciiTheme="minorHAnsi" w:eastAsiaTheme="minorEastAsia" w:hAnsiTheme="minorHAnsi" w:cstheme="minorBidi"/>
              <w:noProof/>
            </w:rPr>
          </w:pPr>
          <w:hyperlink w:anchor="_Toc223619999" w:history="1">
            <w:r w:rsidRPr="00A74EAB">
              <w:rPr>
                <w:rStyle w:val="Hipervnculo"/>
                <w:noProof/>
              </w:rPr>
              <w:t>CUARTO. Decisión</w:t>
            </w:r>
            <w:r>
              <w:rPr>
                <w:noProof/>
                <w:webHidden/>
              </w:rPr>
              <w:tab/>
            </w:r>
            <w:r>
              <w:rPr>
                <w:noProof/>
                <w:webHidden/>
              </w:rPr>
              <w:fldChar w:fldCharType="begin"/>
            </w:r>
            <w:r>
              <w:rPr>
                <w:noProof/>
                <w:webHidden/>
              </w:rPr>
              <w:instrText xml:space="preserve"> PAGEREF _Toc223619999 \h </w:instrText>
            </w:r>
            <w:r>
              <w:rPr>
                <w:noProof/>
                <w:webHidden/>
              </w:rPr>
            </w:r>
            <w:r>
              <w:rPr>
                <w:noProof/>
                <w:webHidden/>
              </w:rPr>
              <w:fldChar w:fldCharType="separate"/>
            </w:r>
            <w:r w:rsidR="004D3EEA">
              <w:rPr>
                <w:noProof/>
                <w:webHidden/>
              </w:rPr>
              <w:t>19</w:t>
            </w:r>
            <w:r>
              <w:rPr>
                <w:noProof/>
                <w:webHidden/>
              </w:rPr>
              <w:fldChar w:fldCharType="end"/>
            </w:r>
          </w:hyperlink>
        </w:p>
        <w:p w14:paraId="51985E1A" w14:textId="77777777" w:rsidR="00AE5ACC" w:rsidRDefault="00AE5ACC">
          <w:pPr>
            <w:pStyle w:val="TDC1"/>
            <w:tabs>
              <w:tab w:val="right" w:leader="dot" w:pos="9204"/>
            </w:tabs>
            <w:rPr>
              <w:rFonts w:asciiTheme="minorHAnsi" w:eastAsiaTheme="minorEastAsia" w:hAnsiTheme="minorHAnsi" w:cstheme="minorBidi"/>
              <w:noProof/>
            </w:rPr>
          </w:pPr>
          <w:hyperlink w:anchor="_Toc223620000" w:history="1">
            <w:r w:rsidRPr="00A74EAB">
              <w:rPr>
                <w:rStyle w:val="Hipervnculo"/>
                <w:noProof/>
              </w:rPr>
              <w:t>R E S U E L V E</w:t>
            </w:r>
            <w:r>
              <w:rPr>
                <w:noProof/>
                <w:webHidden/>
              </w:rPr>
              <w:tab/>
            </w:r>
            <w:r>
              <w:rPr>
                <w:noProof/>
                <w:webHidden/>
              </w:rPr>
              <w:fldChar w:fldCharType="begin"/>
            </w:r>
            <w:r>
              <w:rPr>
                <w:noProof/>
                <w:webHidden/>
              </w:rPr>
              <w:instrText xml:space="preserve"> PAGEREF _Toc223620000 \h </w:instrText>
            </w:r>
            <w:r>
              <w:rPr>
                <w:noProof/>
                <w:webHidden/>
              </w:rPr>
            </w:r>
            <w:r>
              <w:rPr>
                <w:noProof/>
                <w:webHidden/>
              </w:rPr>
              <w:fldChar w:fldCharType="separate"/>
            </w:r>
            <w:r w:rsidR="004D3EEA">
              <w:rPr>
                <w:noProof/>
                <w:webHidden/>
              </w:rPr>
              <w:t>20</w:t>
            </w:r>
            <w:r>
              <w:rPr>
                <w:noProof/>
                <w:webHidden/>
              </w:rPr>
              <w:fldChar w:fldCharType="end"/>
            </w:r>
          </w:hyperlink>
        </w:p>
        <w:p w14:paraId="5D5EF4B8" w14:textId="77777777" w:rsidR="004049D7" w:rsidRDefault="004049D7">
          <w:r>
            <w:rPr>
              <w:b/>
              <w:bCs/>
              <w:lang w:val="es-ES"/>
            </w:rPr>
            <w:fldChar w:fldCharType="end"/>
          </w:r>
        </w:p>
      </w:sdtContent>
    </w:sdt>
    <w:p w14:paraId="1EDF188D" w14:textId="77777777" w:rsidR="00F4742C" w:rsidRPr="004049D7" w:rsidRDefault="00F4742C">
      <w:pPr>
        <w:pStyle w:val="Ttulo2"/>
        <w:spacing w:before="0" w:after="0"/>
      </w:pPr>
    </w:p>
    <w:p w14:paraId="6FBDADAA" w14:textId="77777777" w:rsidR="00F4742C" w:rsidRPr="004049D7" w:rsidRDefault="00F4742C">
      <w:pPr>
        <w:spacing w:after="0" w:line="360" w:lineRule="auto"/>
      </w:pPr>
    </w:p>
    <w:p w14:paraId="5ABC47CB" w14:textId="77777777" w:rsidR="00F4742C" w:rsidRPr="004049D7" w:rsidRDefault="00E211E5">
      <w:pPr>
        <w:spacing w:after="0" w:line="360" w:lineRule="auto"/>
      </w:pPr>
      <w:r w:rsidRPr="004049D7">
        <w:br w:type="page"/>
      </w:r>
    </w:p>
    <w:p w14:paraId="041B2C76" w14:textId="77777777" w:rsidR="00F4742C" w:rsidRPr="004049D7" w:rsidRDefault="00E211E5">
      <w:pPr>
        <w:spacing w:after="0" w:line="360" w:lineRule="auto"/>
      </w:pPr>
      <w:r w:rsidRPr="004049D7">
        <w:lastRenderedPageBreak/>
        <w:t>Resolución del Pleno del Instituto de Transparencia, Acceso a la Información Pública y Protección de Datos Personales del Estado de México y Municipios, con domicilio en Metepec, Estado de México, de fecha cinco de marzo de dos mil veintiséis.</w:t>
      </w:r>
    </w:p>
    <w:p w14:paraId="21856C0F" w14:textId="77777777" w:rsidR="00F4742C" w:rsidRPr="004049D7" w:rsidRDefault="00F4742C">
      <w:pPr>
        <w:spacing w:after="0" w:line="360" w:lineRule="auto"/>
        <w:rPr>
          <w:b/>
          <w:bCs/>
        </w:rPr>
      </w:pPr>
    </w:p>
    <w:p w14:paraId="168F2FFA" w14:textId="03C136CD" w:rsidR="00F4742C" w:rsidRPr="004049D7" w:rsidRDefault="00E211E5">
      <w:pPr>
        <w:spacing w:after="0" w:line="360" w:lineRule="auto"/>
      </w:pPr>
      <w:r w:rsidRPr="004049D7">
        <w:rPr>
          <w:b/>
          <w:bCs/>
        </w:rPr>
        <w:t>VISTO</w:t>
      </w:r>
      <w:r w:rsidRPr="004049D7">
        <w:t xml:space="preserve"> el expediente conformado con motivo del Recurso de Revisión </w:t>
      </w:r>
      <w:r w:rsidRPr="00ED5AD5">
        <w:rPr>
          <w:b/>
        </w:rPr>
        <w:t>14361/INFOEM/IP/RR/2025</w:t>
      </w:r>
      <w:r w:rsidRPr="004049D7">
        <w:t xml:space="preserve">, interpuesto por </w:t>
      </w:r>
      <w:r w:rsidR="00430251" w:rsidRPr="00430251">
        <w:rPr>
          <w:b/>
          <w:bCs/>
          <w:highlight w:val="black"/>
        </w:rPr>
        <w:t>XXXXXXXXXXXX</w:t>
      </w:r>
      <w:r w:rsidR="00430251">
        <w:rPr>
          <w:b/>
          <w:bCs/>
          <w:highlight w:val="black"/>
        </w:rPr>
        <w:t>XXXXXX</w:t>
      </w:r>
      <w:r w:rsidR="00430251" w:rsidRPr="00430251">
        <w:rPr>
          <w:b/>
          <w:bCs/>
          <w:highlight w:val="black"/>
        </w:rPr>
        <w:t>XXXXXXX</w:t>
      </w:r>
      <w:r w:rsidRPr="004049D7">
        <w:t xml:space="preserve">, en lo sucesivo la persona Recurrente o Particular, en contra de la respuesta del Sujeto Obligado, </w:t>
      </w:r>
      <w:r w:rsidRPr="00ED5AD5">
        <w:rPr>
          <w:b/>
        </w:rPr>
        <w:t>Ayuntamiento de Papalotla</w:t>
      </w:r>
      <w:r w:rsidRPr="004049D7">
        <w:t xml:space="preserve"> se emite la presente Resolución, con base en los antecedentes y considerandos que se exponen a continuación:</w:t>
      </w:r>
    </w:p>
    <w:p w14:paraId="0E3049F6" w14:textId="77777777" w:rsidR="00F4742C" w:rsidRPr="004049D7" w:rsidRDefault="00F4742C">
      <w:pPr>
        <w:spacing w:after="0" w:line="360" w:lineRule="auto"/>
      </w:pPr>
    </w:p>
    <w:p w14:paraId="6D92286C" w14:textId="77777777" w:rsidR="00F4742C" w:rsidRPr="004049D7" w:rsidRDefault="00E211E5">
      <w:pPr>
        <w:pStyle w:val="Ttulo1"/>
        <w:spacing w:before="0" w:after="0"/>
        <w:rPr>
          <w:sz w:val="22"/>
          <w:szCs w:val="22"/>
        </w:rPr>
      </w:pPr>
      <w:bookmarkStart w:id="0" w:name="_heading=h.yj2kwprelke5" w:colFirst="0" w:colLast="0"/>
      <w:bookmarkStart w:id="1" w:name="_Toc223619990"/>
      <w:bookmarkEnd w:id="0"/>
      <w:r w:rsidRPr="004049D7">
        <w:rPr>
          <w:sz w:val="22"/>
          <w:szCs w:val="22"/>
        </w:rPr>
        <w:t>A N T E C E D E N T E S</w:t>
      </w:r>
      <w:bookmarkEnd w:id="1"/>
    </w:p>
    <w:p w14:paraId="1B25B112" w14:textId="77777777" w:rsidR="00F4742C" w:rsidRPr="004049D7" w:rsidRDefault="00F4742C">
      <w:pPr>
        <w:spacing w:after="0" w:line="360" w:lineRule="auto"/>
      </w:pPr>
      <w:bookmarkStart w:id="2" w:name="_heading=h.gjdgxs" w:colFirst="0" w:colLast="0"/>
      <w:bookmarkEnd w:id="2"/>
    </w:p>
    <w:p w14:paraId="1006C081" w14:textId="77777777" w:rsidR="00F4742C" w:rsidRPr="004049D7" w:rsidRDefault="00E211E5">
      <w:pPr>
        <w:pStyle w:val="Ttulo2"/>
        <w:spacing w:before="0" w:after="0"/>
      </w:pPr>
      <w:bookmarkStart w:id="3" w:name="_heading=h.ufsf6flr825d" w:colFirst="0" w:colLast="0"/>
      <w:bookmarkStart w:id="4" w:name="_Toc223619991"/>
      <w:bookmarkEnd w:id="3"/>
      <w:r w:rsidRPr="004049D7">
        <w:t>I. Presentación de la solicitud de información</w:t>
      </w:r>
      <w:bookmarkEnd w:id="4"/>
    </w:p>
    <w:p w14:paraId="6E13DAD8" w14:textId="77777777" w:rsidR="00F4742C" w:rsidRPr="004049D7" w:rsidRDefault="00F4742C">
      <w:pPr>
        <w:tabs>
          <w:tab w:val="left" w:pos="567"/>
        </w:tabs>
        <w:spacing w:after="0" w:line="360" w:lineRule="auto"/>
      </w:pPr>
    </w:p>
    <w:p w14:paraId="0ABF8356" w14:textId="77777777" w:rsidR="00F4742C" w:rsidRPr="004049D7" w:rsidRDefault="00E211E5">
      <w:pPr>
        <w:spacing w:after="0" w:line="360" w:lineRule="auto"/>
        <w:rPr>
          <w:color w:val="000000"/>
        </w:rPr>
      </w:pPr>
      <w:r w:rsidRPr="004049D7">
        <w:t xml:space="preserve">Con fecha doce de noviembre dos mil veinticinco, </w:t>
      </w:r>
      <w:r w:rsidRPr="004049D7">
        <w:rPr>
          <w:color w:val="000000"/>
        </w:rPr>
        <w:t>la parte Solicitante presentó una solicitud de acceso a la información pública,</w:t>
      </w:r>
      <w:r w:rsidRPr="004049D7">
        <w:t xml:space="preserve"> a través del</w:t>
      </w:r>
      <w:r w:rsidRPr="004049D7">
        <w:rPr>
          <w:color w:val="000000"/>
        </w:rPr>
        <w:t xml:space="preserve"> Sistema de Acceso a la Información Mexiquense, en lo sucesivo el SAIMEX; ante el Ayuntamiento de Papalotla, en la que requirió lo siguiente:</w:t>
      </w:r>
    </w:p>
    <w:p w14:paraId="701E3F40" w14:textId="77777777" w:rsidR="00F4742C" w:rsidRPr="004049D7" w:rsidRDefault="00F4742C">
      <w:pPr>
        <w:spacing w:after="0" w:line="360" w:lineRule="auto"/>
        <w:rPr>
          <w:color w:val="000000"/>
        </w:rPr>
      </w:pPr>
    </w:p>
    <w:p w14:paraId="536D5F41" w14:textId="77777777" w:rsidR="00F4742C" w:rsidRPr="004049D7" w:rsidRDefault="00E211E5">
      <w:pPr>
        <w:tabs>
          <w:tab w:val="left" w:pos="567"/>
        </w:tabs>
        <w:spacing w:after="0" w:line="360" w:lineRule="auto"/>
        <w:ind w:left="567" w:right="709"/>
        <w:rPr>
          <w:b/>
          <w:bCs/>
          <w:sz w:val="20"/>
          <w:szCs w:val="20"/>
        </w:rPr>
      </w:pPr>
      <w:r w:rsidRPr="004049D7">
        <w:rPr>
          <w:b/>
          <w:bCs/>
          <w:sz w:val="20"/>
          <w:szCs w:val="20"/>
        </w:rPr>
        <w:t>Folio de la solicitud: 00080/PAPALO/IP/2025</w:t>
      </w:r>
    </w:p>
    <w:p w14:paraId="25EC14C2" w14:textId="77777777" w:rsidR="00F4742C" w:rsidRPr="004049D7" w:rsidRDefault="00E211E5">
      <w:pPr>
        <w:tabs>
          <w:tab w:val="left" w:pos="567"/>
        </w:tabs>
        <w:spacing w:after="0" w:line="360" w:lineRule="auto"/>
        <w:ind w:left="567" w:right="709"/>
        <w:rPr>
          <w:b/>
          <w:bCs/>
          <w:sz w:val="20"/>
          <w:szCs w:val="20"/>
        </w:rPr>
      </w:pPr>
      <w:r w:rsidRPr="004049D7">
        <w:rPr>
          <w:b/>
          <w:bCs/>
          <w:sz w:val="20"/>
          <w:szCs w:val="20"/>
        </w:rPr>
        <w:t>DESCRIPCIÓN CLARA Y PRECISA DE LA INFORMACIÓN SOLICITADA</w:t>
      </w:r>
    </w:p>
    <w:p w14:paraId="6CE52FA4" w14:textId="77777777" w:rsidR="00F4742C" w:rsidRPr="004049D7" w:rsidRDefault="00E211E5">
      <w:pPr>
        <w:tabs>
          <w:tab w:val="left" w:pos="4667"/>
        </w:tabs>
        <w:spacing w:after="0" w:line="360" w:lineRule="auto"/>
        <w:ind w:left="567" w:right="709"/>
        <w:rPr>
          <w:i/>
          <w:iCs/>
          <w:sz w:val="20"/>
          <w:szCs w:val="20"/>
        </w:rPr>
      </w:pPr>
      <w:r w:rsidRPr="004049D7">
        <w:rPr>
          <w:i/>
          <w:iCs/>
          <w:sz w:val="20"/>
          <w:szCs w:val="20"/>
        </w:rPr>
        <w:t>“Se solicita una copia digital (versión pública) del documento que contenga el listado de aquella (s) persona (s) servidora (s) pública (s) que se encuentre (n) en algún proceso judicial (en cualquier materia o rama jurídica) en RAZÓN DE GÉNERO derivado éste (el proceso) por el desempeño de sus funciones como persona (s) servidora (s) pública (s). Lo anterior para el período comprendido entre el 1 de enero de 2025 a la fecha y aplicable a toda la Administración Pública Municipal incluyendo a regidurías, sindicatura y presidencia municipal."  (Sic).</w:t>
      </w:r>
    </w:p>
    <w:p w14:paraId="2F618643" w14:textId="77777777" w:rsidR="00F4742C" w:rsidRPr="004049D7" w:rsidRDefault="00F4742C">
      <w:pPr>
        <w:tabs>
          <w:tab w:val="left" w:pos="4667"/>
        </w:tabs>
        <w:spacing w:after="0" w:line="360" w:lineRule="auto"/>
        <w:ind w:left="567" w:right="709"/>
        <w:rPr>
          <w:b/>
          <w:bCs/>
          <w:sz w:val="20"/>
          <w:szCs w:val="20"/>
        </w:rPr>
      </w:pPr>
    </w:p>
    <w:p w14:paraId="4B689088" w14:textId="77777777" w:rsidR="00F4742C" w:rsidRPr="004049D7" w:rsidRDefault="00E211E5">
      <w:pPr>
        <w:tabs>
          <w:tab w:val="left" w:pos="4667"/>
        </w:tabs>
        <w:spacing w:after="0" w:line="360" w:lineRule="auto"/>
        <w:ind w:left="567" w:right="709"/>
        <w:rPr>
          <w:i/>
          <w:iCs/>
          <w:sz w:val="20"/>
          <w:szCs w:val="20"/>
        </w:rPr>
      </w:pPr>
      <w:r w:rsidRPr="004049D7">
        <w:rPr>
          <w:b/>
          <w:bCs/>
          <w:sz w:val="20"/>
          <w:szCs w:val="20"/>
        </w:rPr>
        <w:t xml:space="preserve">MODALIDAD DE ENTREGA </w:t>
      </w:r>
      <w:r w:rsidRPr="004049D7">
        <w:rPr>
          <w:i/>
          <w:iCs/>
          <w:sz w:val="20"/>
          <w:szCs w:val="20"/>
        </w:rPr>
        <w:t>“A través del SAIMEX.”</w:t>
      </w:r>
    </w:p>
    <w:p w14:paraId="057D833B" w14:textId="77777777" w:rsidR="00F4742C" w:rsidRPr="004049D7" w:rsidRDefault="00F4742C">
      <w:pPr>
        <w:tabs>
          <w:tab w:val="left" w:pos="4667"/>
        </w:tabs>
        <w:spacing w:after="0" w:line="360" w:lineRule="auto"/>
        <w:ind w:left="567" w:right="709"/>
        <w:rPr>
          <w:i/>
          <w:iCs/>
          <w:sz w:val="20"/>
          <w:szCs w:val="20"/>
        </w:rPr>
      </w:pPr>
    </w:p>
    <w:p w14:paraId="3B202F66" w14:textId="77777777" w:rsidR="00F4742C" w:rsidRPr="004049D7" w:rsidRDefault="00E211E5">
      <w:pPr>
        <w:pStyle w:val="Ttulo2"/>
        <w:spacing w:before="0" w:after="0"/>
      </w:pPr>
      <w:bookmarkStart w:id="5" w:name="_heading=h.twvcz5l5l5w9" w:colFirst="0" w:colLast="0"/>
      <w:bookmarkStart w:id="6" w:name="_Toc223619992"/>
      <w:bookmarkEnd w:id="5"/>
      <w:r w:rsidRPr="004049D7">
        <w:lastRenderedPageBreak/>
        <w:t>II. Respuesta del Sujeto Obligado</w:t>
      </w:r>
      <w:bookmarkEnd w:id="6"/>
    </w:p>
    <w:p w14:paraId="5CC72209" w14:textId="77777777" w:rsidR="00F4742C" w:rsidRPr="004049D7" w:rsidRDefault="00F4742C">
      <w:pPr>
        <w:spacing w:after="0" w:line="360" w:lineRule="auto"/>
      </w:pPr>
    </w:p>
    <w:p w14:paraId="5E71A622" w14:textId="77777777" w:rsidR="00F4742C" w:rsidRPr="004049D7" w:rsidRDefault="00E211E5">
      <w:pPr>
        <w:spacing w:after="0" w:line="360" w:lineRule="auto"/>
      </w:pPr>
      <w:r w:rsidRPr="004049D7">
        <w:t>El tres de diciembre de dos mil veinticinco, el Sujeto Obligado a través de SAIMEX, dio respuesta mediante los siguientes archivos:</w:t>
      </w:r>
    </w:p>
    <w:p w14:paraId="48FF51A6" w14:textId="77777777" w:rsidR="00F4742C" w:rsidRPr="004049D7" w:rsidRDefault="00F4742C">
      <w:pPr>
        <w:spacing w:after="0" w:line="360" w:lineRule="auto"/>
      </w:pPr>
    </w:p>
    <w:p w14:paraId="05EC2B58" w14:textId="77777777" w:rsidR="00F4742C" w:rsidRPr="004049D7" w:rsidRDefault="00E211E5">
      <w:pPr>
        <w:numPr>
          <w:ilvl w:val="0"/>
          <w:numId w:val="1"/>
        </w:numPr>
        <w:pBdr>
          <w:top w:val="nil"/>
          <w:left w:val="nil"/>
          <w:bottom w:val="nil"/>
          <w:right w:val="nil"/>
          <w:between w:val="nil"/>
        </w:pBdr>
        <w:spacing w:after="0" w:line="360" w:lineRule="auto"/>
        <w:rPr>
          <w:i/>
          <w:iCs/>
          <w:color w:val="000000"/>
        </w:rPr>
      </w:pPr>
      <w:r w:rsidRPr="004049D7">
        <w:rPr>
          <w:b/>
          <w:bCs/>
          <w:i/>
          <w:iCs/>
          <w:color w:val="000000"/>
        </w:rPr>
        <w:t xml:space="preserve">R.SOLICITUD 80.pdf; </w:t>
      </w:r>
      <w:r w:rsidRPr="004049D7">
        <w:rPr>
          <w:color w:val="000000"/>
        </w:rPr>
        <w:t>del que se advierte un oficio suscrito por la Titular de la Unidad de Transparencia del Sujeto Obligado, en el que se declaró incompetente para conocer de la información en los siguientes términos:</w:t>
      </w:r>
    </w:p>
    <w:p w14:paraId="504780DF" w14:textId="77777777" w:rsidR="00F4742C" w:rsidRPr="004049D7" w:rsidRDefault="00E211E5">
      <w:pPr>
        <w:spacing w:after="0" w:line="360" w:lineRule="auto"/>
        <w:ind w:left="567" w:right="709"/>
        <w:rPr>
          <w:i/>
          <w:iCs/>
          <w:color w:val="000000"/>
          <w:sz w:val="20"/>
          <w:szCs w:val="20"/>
        </w:rPr>
      </w:pPr>
      <w:r w:rsidRPr="004049D7">
        <w:rPr>
          <w:i/>
          <w:iCs/>
          <w:color w:val="000000"/>
          <w:sz w:val="20"/>
          <w:szCs w:val="20"/>
        </w:rPr>
        <w:t>“…</w:t>
      </w:r>
    </w:p>
    <w:p w14:paraId="6227C3CD" w14:textId="77777777" w:rsidR="00F4742C" w:rsidRPr="004049D7" w:rsidRDefault="00E211E5">
      <w:pPr>
        <w:spacing w:after="0" w:line="360" w:lineRule="auto"/>
        <w:ind w:left="567" w:right="709"/>
        <w:rPr>
          <w:i/>
          <w:iCs/>
          <w:color w:val="000000"/>
          <w:sz w:val="20"/>
          <w:szCs w:val="20"/>
        </w:rPr>
      </w:pPr>
      <w:r w:rsidRPr="004049D7">
        <w:rPr>
          <w:i/>
          <w:iCs/>
          <w:color w:val="000000"/>
          <w:sz w:val="20"/>
          <w:szCs w:val="20"/>
        </w:rPr>
        <w:t>En atención a su solicitud, mediante la cual se requiere conocer si algún servidor público está sujeto a algún proceso judicial en cualquier materia o rama jurídica, en razón de género y derivado del desempeño de sus funciones, se informa lo siguiente: El H. Ayuntamiento municipal de Papalotla, no tiene competencia directa para conocer ni registrar de manera oficial los procesos judiciales en los que pudieran estar involucrados los servidores públicos, ya que dicha información corresponde al ámbito del poder judicial y de las autoridades jurisdiccionales competentes.</w:t>
      </w:r>
    </w:p>
    <w:p w14:paraId="2A8F72AE" w14:textId="77777777" w:rsidR="00F4742C" w:rsidRPr="004049D7" w:rsidRDefault="00E211E5">
      <w:pPr>
        <w:spacing w:after="0" w:line="360" w:lineRule="auto"/>
        <w:ind w:left="567" w:right="709"/>
        <w:rPr>
          <w:i/>
          <w:iCs/>
          <w:color w:val="000000"/>
          <w:sz w:val="20"/>
          <w:szCs w:val="20"/>
        </w:rPr>
      </w:pPr>
      <w:r w:rsidRPr="004049D7">
        <w:rPr>
          <w:i/>
          <w:iCs/>
          <w:color w:val="000000"/>
          <w:sz w:val="20"/>
          <w:szCs w:val="20"/>
        </w:rPr>
        <w:t>…”</w:t>
      </w:r>
    </w:p>
    <w:p w14:paraId="5C2F4391" w14:textId="77777777" w:rsidR="00F4742C" w:rsidRPr="004049D7" w:rsidRDefault="00E211E5">
      <w:pPr>
        <w:pStyle w:val="Ttulo2"/>
        <w:spacing w:before="0" w:after="0"/>
      </w:pPr>
      <w:bookmarkStart w:id="7" w:name="_heading=h.ix997bwevzik" w:colFirst="0" w:colLast="0"/>
      <w:bookmarkStart w:id="8" w:name="_Toc223619993"/>
      <w:bookmarkEnd w:id="7"/>
      <w:r w:rsidRPr="004049D7">
        <w:t>III. Interposición del Recurso de Revisión</w:t>
      </w:r>
      <w:bookmarkEnd w:id="8"/>
    </w:p>
    <w:p w14:paraId="1C400106" w14:textId="77777777" w:rsidR="00F4742C" w:rsidRPr="004049D7" w:rsidRDefault="00F4742C">
      <w:pPr>
        <w:spacing w:after="0" w:line="360" w:lineRule="auto"/>
        <w:rPr>
          <w:b/>
          <w:bCs/>
        </w:rPr>
      </w:pPr>
    </w:p>
    <w:p w14:paraId="5E73F382" w14:textId="77777777" w:rsidR="00F4742C" w:rsidRPr="004049D7" w:rsidRDefault="00E211E5">
      <w:pPr>
        <w:spacing w:after="0" w:line="360" w:lineRule="auto"/>
      </w:pPr>
      <w:bookmarkStart w:id="9" w:name="_heading=h.2et92p0" w:colFirst="0" w:colLast="0"/>
      <w:bookmarkEnd w:id="9"/>
      <w:r w:rsidRPr="004049D7">
        <w:t>Con fecha quince de diciembre de dos mil veinticinco, se recibió en este Instituto, a través del SAIMEX, el Recurso de Revisión interpuesto por la persona Recurrente, en los siguientes términos:</w:t>
      </w:r>
    </w:p>
    <w:p w14:paraId="2151A223" w14:textId="77777777" w:rsidR="00F4742C" w:rsidRPr="004049D7" w:rsidRDefault="00F4742C">
      <w:pPr>
        <w:spacing w:after="0" w:line="360" w:lineRule="auto"/>
      </w:pPr>
    </w:p>
    <w:p w14:paraId="53C5DF5F" w14:textId="77777777" w:rsidR="00F4742C" w:rsidRPr="004049D7" w:rsidRDefault="00E211E5">
      <w:pPr>
        <w:spacing w:after="0" w:line="360" w:lineRule="auto"/>
        <w:ind w:left="567" w:right="709"/>
        <w:rPr>
          <w:b/>
          <w:bCs/>
          <w:sz w:val="20"/>
          <w:szCs w:val="20"/>
        </w:rPr>
      </w:pPr>
      <w:r w:rsidRPr="004049D7">
        <w:rPr>
          <w:b/>
          <w:bCs/>
          <w:sz w:val="20"/>
          <w:szCs w:val="20"/>
        </w:rPr>
        <w:t>ACTO IMPUGNADO</w:t>
      </w:r>
      <w:r w:rsidRPr="004049D7">
        <w:rPr>
          <w:b/>
          <w:bCs/>
          <w:sz w:val="20"/>
          <w:szCs w:val="20"/>
        </w:rPr>
        <w:tab/>
      </w:r>
    </w:p>
    <w:p w14:paraId="6917245D" w14:textId="77777777" w:rsidR="00F4742C" w:rsidRPr="004049D7" w:rsidRDefault="00E211E5">
      <w:pPr>
        <w:spacing w:after="0" w:line="360" w:lineRule="auto"/>
        <w:ind w:left="567" w:right="709"/>
        <w:rPr>
          <w:i/>
          <w:iCs/>
          <w:sz w:val="20"/>
          <w:szCs w:val="20"/>
        </w:rPr>
      </w:pPr>
      <w:r w:rsidRPr="004049D7">
        <w:rPr>
          <w:i/>
          <w:iCs/>
          <w:sz w:val="20"/>
          <w:szCs w:val="20"/>
        </w:rPr>
        <w:t xml:space="preserve">“Respuesta del Sujeto Obligado” </w:t>
      </w:r>
    </w:p>
    <w:p w14:paraId="37DAF05B" w14:textId="77777777" w:rsidR="00F4742C" w:rsidRPr="004049D7" w:rsidRDefault="00F4742C">
      <w:pPr>
        <w:spacing w:after="0" w:line="360" w:lineRule="auto"/>
        <w:ind w:left="567" w:right="709"/>
        <w:rPr>
          <w:sz w:val="20"/>
          <w:szCs w:val="20"/>
        </w:rPr>
      </w:pPr>
    </w:p>
    <w:p w14:paraId="6543B477" w14:textId="77777777" w:rsidR="00F4742C" w:rsidRPr="004049D7" w:rsidRDefault="00E211E5">
      <w:pPr>
        <w:spacing w:after="0" w:line="360" w:lineRule="auto"/>
        <w:ind w:left="567" w:right="709"/>
        <w:rPr>
          <w:b/>
          <w:bCs/>
          <w:sz w:val="20"/>
          <w:szCs w:val="20"/>
        </w:rPr>
      </w:pPr>
      <w:r w:rsidRPr="004049D7">
        <w:rPr>
          <w:b/>
          <w:bCs/>
          <w:sz w:val="20"/>
          <w:szCs w:val="20"/>
        </w:rPr>
        <w:t>RAZONES O MOTIVOS DE LA INCONFORMIDAD</w:t>
      </w:r>
      <w:r w:rsidRPr="004049D7">
        <w:rPr>
          <w:b/>
          <w:bCs/>
          <w:sz w:val="20"/>
          <w:szCs w:val="20"/>
        </w:rPr>
        <w:tab/>
      </w:r>
    </w:p>
    <w:p w14:paraId="716F1829" w14:textId="77777777" w:rsidR="00F4742C" w:rsidRPr="004049D7" w:rsidRDefault="00E211E5">
      <w:pPr>
        <w:tabs>
          <w:tab w:val="left" w:pos="4667"/>
        </w:tabs>
        <w:spacing w:after="0" w:line="360" w:lineRule="auto"/>
        <w:ind w:left="567" w:right="709"/>
        <w:rPr>
          <w:i/>
          <w:iCs/>
          <w:sz w:val="20"/>
          <w:szCs w:val="20"/>
        </w:rPr>
      </w:pPr>
      <w:r w:rsidRPr="004049D7">
        <w:rPr>
          <w:i/>
          <w:iCs/>
          <w:sz w:val="20"/>
          <w:szCs w:val="20"/>
        </w:rPr>
        <w:t xml:space="preserve">“La respuesta que el Sujeto Obligado da la solicitud de información pública número 00080/PAPALO/IP/2025, es la siguiente: "[...] El H. Ayuntamiento municipal de Papalotla, no tiene competencia directa para conocer ni registrar de manera oficial los procesos judiciales en los </w:t>
      </w:r>
      <w:r w:rsidRPr="004049D7">
        <w:rPr>
          <w:i/>
          <w:iCs/>
          <w:sz w:val="20"/>
          <w:szCs w:val="20"/>
        </w:rPr>
        <w:lastRenderedPageBreak/>
        <w:t xml:space="preserve">que pudieran estar involucrados los servidores públicos, ya que dicha información corresponde al ámbito del poder judicial y de las autoridades jurisdiccionales competentes [...]" Pues bien, en la solicitud referida, se menciona que en el objeto de la misma (listado de personas servidoras públicas que se encuentren en algún proceso judicial por alguna cuestión en razón de género), se considere "cualquier materia o rama jurídica". En otras palabras, en nuestro país, el llamado derecho administrativo es considerado como una rama o materia de orden jurídico. El Sujeto Obligado, al estar, principalmente, constreñido a la observancia de las leyes de orden jurídico-administrativo, sí que tiene la competencia para tener información con respecto a lo solicitado, lo que redunda en que la motivación y fundamentación que da en su respuesta sea errónea.” </w:t>
      </w:r>
    </w:p>
    <w:p w14:paraId="4DFEE26B" w14:textId="77777777" w:rsidR="00F4742C" w:rsidRPr="004049D7" w:rsidRDefault="00F4742C">
      <w:pPr>
        <w:pBdr>
          <w:top w:val="nil"/>
          <w:left w:val="nil"/>
          <w:bottom w:val="nil"/>
          <w:right w:val="nil"/>
          <w:between w:val="nil"/>
        </w:pBdr>
        <w:spacing w:after="0" w:line="360" w:lineRule="auto"/>
        <w:jc w:val="left"/>
        <w:rPr>
          <w:color w:val="000000"/>
        </w:rPr>
      </w:pPr>
    </w:p>
    <w:p w14:paraId="4640F0B9" w14:textId="77777777" w:rsidR="00F4742C" w:rsidRPr="004049D7" w:rsidRDefault="00E211E5">
      <w:pPr>
        <w:pStyle w:val="Ttulo2"/>
        <w:spacing w:before="0" w:after="0"/>
      </w:pPr>
      <w:bookmarkStart w:id="10" w:name="_heading=h.c8xia9uujp6x" w:colFirst="0" w:colLast="0"/>
      <w:bookmarkStart w:id="11" w:name="_Toc223619994"/>
      <w:bookmarkEnd w:id="10"/>
      <w:r w:rsidRPr="004049D7">
        <w:t>IV. Trámite del Recurso de Revisión ante este Instituto</w:t>
      </w:r>
      <w:bookmarkEnd w:id="11"/>
    </w:p>
    <w:p w14:paraId="445FB87B" w14:textId="77777777" w:rsidR="00F4742C" w:rsidRPr="004049D7" w:rsidRDefault="00F4742C">
      <w:pPr>
        <w:spacing w:after="0" w:line="360" w:lineRule="auto"/>
        <w:rPr>
          <w:b/>
          <w:bCs/>
        </w:rPr>
      </w:pPr>
    </w:p>
    <w:p w14:paraId="27352745" w14:textId="77777777" w:rsidR="00F4742C" w:rsidRPr="004049D7" w:rsidRDefault="00E211E5">
      <w:pPr>
        <w:spacing w:after="0" w:line="360" w:lineRule="auto"/>
        <w:rPr>
          <w:color w:val="000000"/>
        </w:rPr>
      </w:pPr>
      <w:r w:rsidRPr="004049D7">
        <w:rPr>
          <w:b/>
          <w:bCs/>
        </w:rPr>
        <w:t>a) Turno del Medio de Impugnación.</w:t>
      </w:r>
      <w:r w:rsidRPr="004049D7">
        <w:t xml:space="preserve"> </w:t>
      </w:r>
      <w:r w:rsidRPr="004049D7">
        <w:rPr>
          <w:color w:val="000000"/>
        </w:rPr>
        <w:t xml:space="preserve">El </w:t>
      </w:r>
      <w:r w:rsidRPr="004049D7">
        <w:t>quince de diciembre de dos mil veinticinco</w:t>
      </w:r>
      <w:r w:rsidRPr="004049D7">
        <w:rPr>
          <w:color w:val="000000"/>
        </w:rPr>
        <w:t>, el SAIMEX, asignó el número de expediente</w:t>
      </w:r>
      <w:r w:rsidRPr="004049D7">
        <w:rPr>
          <w:b/>
          <w:bCs/>
          <w:color w:val="000000"/>
        </w:rPr>
        <w:t xml:space="preserve"> 14361/INFOEM/IP/RR/2025, </w:t>
      </w:r>
      <w:r w:rsidRPr="004049D7">
        <w:rPr>
          <w:color w:val="000000"/>
        </w:rPr>
        <w:t>al medio de impugnación que nos ocupan, con base en el sistema aprobado por el Pleno de este Órgano Garante y se turnó al Comisionado Ponente Luis Gustavo Parra Noriega, para los efectos del artículo 185, fracción I de la Ley de Transparencia y Acceso a la Información Pública del Estado de México y Municipios.</w:t>
      </w:r>
    </w:p>
    <w:p w14:paraId="3D303AB6" w14:textId="77777777" w:rsidR="00F4742C" w:rsidRPr="004049D7" w:rsidRDefault="00F4742C">
      <w:pPr>
        <w:spacing w:after="0" w:line="360" w:lineRule="auto"/>
      </w:pPr>
    </w:p>
    <w:p w14:paraId="7E493E3E" w14:textId="77777777" w:rsidR="00F4742C" w:rsidRPr="004049D7" w:rsidRDefault="00E211E5">
      <w:pPr>
        <w:spacing w:after="0" w:line="360" w:lineRule="auto"/>
        <w:rPr>
          <w:color w:val="000000"/>
        </w:rPr>
      </w:pPr>
      <w:r w:rsidRPr="004049D7">
        <w:rPr>
          <w:b/>
          <w:bCs/>
        </w:rPr>
        <w:t>b) Admisión del Recurso de Revisión.</w:t>
      </w:r>
      <w:r w:rsidRPr="004049D7">
        <w:t xml:space="preserve"> </w:t>
      </w:r>
      <w:r w:rsidRPr="004049D7">
        <w:rPr>
          <w:color w:val="000000"/>
        </w:rPr>
        <w:t xml:space="preserve">El </w:t>
      </w:r>
      <w:r w:rsidRPr="004049D7">
        <w:t>dieciocho de diciembre de dos mil veinticinco</w:t>
      </w:r>
      <w:r w:rsidRPr="004049D7">
        <w:rPr>
          <w:color w:val="000000"/>
        </w:rPr>
        <w:t xml:space="preserve">, se notificó vía SAIMEX, el acuerdo mediante el cual se determinó la admisión del Recurso de Revisión interpuesto por la persona Recurrente en contra del Sujeto Obligado, en términos del artículo 185, fracciones I y II de la Ley de Transparencia y Acceso a la Información Pública del Estado de México y Municipios, en el que se les otorgó un plazo de siete días hábiles posteriores a la misma, para que </w:t>
      </w:r>
      <w:r w:rsidRPr="004049D7">
        <w:t>manifestara</w:t>
      </w:r>
      <w:r w:rsidRPr="004049D7">
        <w:rPr>
          <w:color w:val="000000"/>
        </w:rPr>
        <w:t xml:space="preserve"> lo que a su derecho conviniera y </w:t>
      </w:r>
      <w:r w:rsidRPr="004049D7">
        <w:t>formularán</w:t>
      </w:r>
      <w:r w:rsidRPr="004049D7">
        <w:rPr>
          <w:color w:val="000000"/>
        </w:rPr>
        <w:t xml:space="preserve"> alegatos.</w:t>
      </w:r>
    </w:p>
    <w:p w14:paraId="5AE5C077" w14:textId="77777777" w:rsidR="00F4742C" w:rsidRPr="004049D7" w:rsidRDefault="00F4742C">
      <w:pPr>
        <w:spacing w:after="0" w:line="360" w:lineRule="auto"/>
        <w:rPr>
          <w:color w:val="000000"/>
        </w:rPr>
      </w:pPr>
    </w:p>
    <w:p w14:paraId="3B157D75" w14:textId="77777777" w:rsidR="00F4742C" w:rsidRPr="004049D7" w:rsidRDefault="00E211E5">
      <w:pPr>
        <w:spacing w:after="0" w:line="360" w:lineRule="auto"/>
        <w:rPr>
          <w:color w:val="000000"/>
        </w:rPr>
      </w:pPr>
      <w:r w:rsidRPr="004049D7">
        <w:rPr>
          <w:b/>
          <w:bCs/>
          <w:color w:val="000000"/>
        </w:rPr>
        <w:lastRenderedPageBreak/>
        <w:t>c) Requerimiento de información adicional</w:t>
      </w:r>
      <w:r w:rsidRPr="004049D7">
        <w:rPr>
          <w:color w:val="000000"/>
        </w:rPr>
        <w:t>. En fecha veinte de febrero de dos mil veinticinco, mediante SAIMEX y por correo electrónico institucional se realizó un requerimiento de información adicional al Sujeto Obligado en los siguientes términos:</w:t>
      </w:r>
    </w:p>
    <w:p w14:paraId="427ABE61" w14:textId="77777777" w:rsidR="00F4742C" w:rsidRPr="004049D7" w:rsidRDefault="00F4742C">
      <w:pPr>
        <w:spacing w:after="0" w:line="360" w:lineRule="auto"/>
        <w:rPr>
          <w:color w:val="000000"/>
        </w:rPr>
      </w:pPr>
    </w:p>
    <w:p w14:paraId="79E67703" w14:textId="77777777" w:rsidR="00F4742C" w:rsidRPr="004049D7" w:rsidRDefault="00E211E5">
      <w:pPr>
        <w:spacing w:after="0" w:line="360" w:lineRule="auto"/>
        <w:ind w:left="567" w:right="709"/>
        <w:rPr>
          <w:i/>
          <w:iCs/>
          <w:color w:val="000000"/>
          <w:sz w:val="20"/>
          <w:szCs w:val="20"/>
        </w:rPr>
      </w:pPr>
      <w:r w:rsidRPr="004049D7">
        <w:rPr>
          <w:i/>
          <w:iCs/>
          <w:color w:val="000000"/>
          <w:sz w:val="20"/>
          <w:szCs w:val="20"/>
        </w:rPr>
        <w:t>“…</w:t>
      </w:r>
    </w:p>
    <w:p w14:paraId="19709DE3" w14:textId="77777777" w:rsidR="00F4742C" w:rsidRPr="004049D7" w:rsidRDefault="00E211E5">
      <w:pPr>
        <w:spacing w:after="0" w:line="360" w:lineRule="auto"/>
        <w:ind w:left="567" w:right="709"/>
        <w:rPr>
          <w:i/>
          <w:iCs/>
          <w:color w:val="000000"/>
          <w:sz w:val="20"/>
          <w:szCs w:val="20"/>
        </w:rPr>
      </w:pPr>
      <w:r w:rsidRPr="004049D7">
        <w:rPr>
          <w:i/>
          <w:iCs/>
          <w:color w:val="000000"/>
          <w:sz w:val="20"/>
          <w:szCs w:val="20"/>
        </w:rPr>
        <w:t xml:space="preserve">…con el objeto de contar con los elementos necesarios para la elaboración del proyecto de resolución correspondiente, requiere al Sujeto Obligado, para que informe lo siguiente: </w:t>
      </w:r>
    </w:p>
    <w:p w14:paraId="1065C13E" w14:textId="77777777" w:rsidR="00F4742C" w:rsidRPr="004049D7" w:rsidRDefault="00F4742C">
      <w:pPr>
        <w:spacing w:after="0" w:line="360" w:lineRule="auto"/>
        <w:ind w:left="567" w:right="709"/>
        <w:rPr>
          <w:i/>
          <w:iCs/>
          <w:color w:val="000000"/>
          <w:sz w:val="20"/>
          <w:szCs w:val="20"/>
        </w:rPr>
      </w:pPr>
    </w:p>
    <w:p w14:paraId="2AB32EB5" w14:textId="77777777" w:rsidR="00F4742C" w:rsidRPr="004049D7" w:rsidRDefault="00E211E5">
      <w:pPr>
        <w:spacing w:after="0" w:line="360" w:lineRule="auto"/>
        <w:ind w:left="567" w:right="709"/>
        <w:rPr>
          <w:i/>
          <w:iCs/>
          <w:color w:val="000000"/>
          <w:sz w:val="20"/>
          <w:szCs w:val="20"/>
        </w:rPr>
      </w:pPr>
      <w:r w:rsidRPr="004049D7">
        <w:rPr>
          <w:i/>
          <w:iCs/>
          <w:color w:val="000000"/>
          <w:sz w:val="20"/>
          <w:szCs w:val="20"/>
        </w:rPr>
        <w:t xml:space="preserve">• Si del primero de enero al doce de noviembre de dos mil veinticinco, existía algún procedimiento en trámite o concluido, en contra de personas servidores públicas, con motivo o razón de género de cualquier naturaleza (responsabilidad administrativa, disciplinario, penal, entre otros); </w:t>
      </w:r>
    </w:p>
    <w:p w14:paraId="37139EA9" w14:textId="77777777" w:rsidR="00F4742C" w:rsidRPr="004049D7" w:rsidRDefault="00F4742C">
      <w:pPr>
        <w:spacing w:after="0" w:line="360" w:lineRule="auto"/>
        <w:ind w:left="567" w:right="709"/>
        <w:rPr>
          <w:i/>
          <w:iCs/>
          <w:color w:val="000000"/>
          <w:sz w:val="20"/>
          <w:szCs w:val="20"/>
        </w:rPr>
      </w:pPr>
    </w:p>
    <w:p w14:paraId="06BA891F" w14:textId="77777777" w:rsidR="00F4742C" w:rsidRPr="004049D7" w:rsidRDefault="00E211E5">
      <w:pPr>
        <w:spacing w:after="0" w:line="360" w:lineRule="auto"/>
        <w:ind w:left="567" w:right="709"/>
        <w:rPr>
          <w:i/>
          <w:iCs/>
          <w:color w:val="000000"/>
          <w:sz w:val="20"/>
          <w:szCs w:val="20"/>
        </w:rPr>
      </w:pPr>
      <w:r w:rsidRPr="004049D7">
        <w:rPr>
          <w:i/>
          <w:iCs/>
          <w:color w:val="000000"/>
          <w:sz w:val="20"/>
          <w:szCs w:val="20"/>
        </w:rPr>
        <w:t xml:space="preserve">• En caso afirmativo: </w:t>
      </w:r>
    </w:p>
    <w:p w14:paraId="3D2B27EE" w14:textId="77777777" w:rsidR="00F4742C" w:rsidRPr="004049D7" w:rsidRDefault="00E211E5">
      <w:pPr>
        <w:spacing w:after="0" w:line="360" w:lineRule="auto"/>
        <w:ind w:left="567" w:right="709"/>
        <w:rPr>
          <w:i/>
          <w:iCs/>
          <w:color w:val="000000"/>
          <w:sz w:val="20"/>
          <w:szCs w:val="20"/>
        </w:rPr>
      </w:pPr>
      <w:r w:rsidRPr="004049D7">
        <w:rPr>
          <w:i/>
          <w:iCs/>
          <w:color w:val="000000"/>
          <w:sz w:val="20"/>
          <w:szCs w:val="20"/>
        </w:rPr>
        <w:t xml:space="preserve">a) El número total de aquellos que se encontraban en trámite; </w:t>
      </w:r>
    </w:p>
    <w:p w14:paraId="3BA79BBF" w14:textId="77777777" w:rsidR="00F4742C" w:rsidRPr="004049D7" w:rsidRDefault="00E211E5">
      <w:pPr>
        <w:spacing w:after="0" w:line="360" w:lineRule="auto"/>
        <w:ind w:left="567" w:right="709"/>
        <w:rPr>
          <w:i/>
          <w:iCs/>
          <w:color w:val="000000"/>
          <w:sz w:val="20"/>
          <w:szCs w:val="20"/>
        </w:rPr>
      </w:pPr>
      <w:r w:rsidRPr="004049D7">
        <w:rPr>
          <w:i/>
          <w:iCs/>
          <w:color w:val="000000"/>
          <w:sz w:val="20"/>
          <w:szCs w:val="20"/>
        </w:rPr>
        <w:t xml:space="preserve">b) El número total de aquellos que se encontraban concluidos; </w:t>
      </w:r>
    </w:p>
    <w:p w14:paraId="280EB066" w14:textId="77777777" w:rsidR="00F4742C" w:rsidRPr="004049D7" w:rsidRDefault="00E211E5">
      <w:pPr>
        <w:spacing w:after="0" w:line="360" w:lineRule="auto"/>
        <w:ind w:left="567" w:right="709"/>
        <w:rPr>
          <w:i/>
          <w:iCs/>
          <w:color w:val="000000"/>
          <w:sz w:val="20"/>
          <w:szCs w:val="20"/>
        </w:rPr>
      </w:pPr>
      <w:r w:rsidRPr="004049D7">
        <w:rPr>
          <w:i/>
          <w:iCs/>
          <w:color w:val="000000"/>
          <w:sz w:val="20"/>
          <w:szCs w:val="20"/>
        </w:rPr>
        <w:t xml:space="preserve">c) El tipo de procedimiento (responsabilidad administrativa, disciplinario, penal, entre otros) </w:t>
      </w:r>
    </w:p>
    <w:p w14:paraId="569213DE" w14:textId="77777777" w:rsidR="00F4742C" w:rsidRPr="004049D7" w:rsidRDefault="00E211E5">
      <w:pPr>
        <w:spacing w:after="0" w:line="360" w:lineRule="auto"/>
        <w:ind w:left="567" w:right="709"/>
        <w:rPr>
          <w:i/>
          <w:iCs/>
          <w:color w:val="000000"/>
          <w:sz w:val="20"/>
          <w:szCs w:val="20"/>
        </w:rPr>
      </w:pPr>
      <w:r w:rsidRPr="004049D7">
        <w:rPr>
          <w:i/>
          <w:iCs/>
          <w:color w:val="000000"/>
          <w:sz w:val="20"/>
          <w:szCs w:val="20"/>
        </w:rPr>
        <w:t>d) Si alguno de los procedimientos se relacionada con alguna de las excepciones establecidas en el artículo 142 de la Ley de Transparencia y Acceso a la Información Pública del Estado de México y Municipios.</w:t>
      </w:r>
    </w:p>
    <w:p w14:paraId="3D110B2F" w14:textId="77777777" w:rsidR="00F4742C" w:rsidRPr="004049D7" w:rsidRDefault="00E211E5">
      <w:pPr>
        <w:spacing w:after="0" w:line="360" w:lineRule="auto"/>
        <w:ind w:left="567" w:right="709"/>
        <w:rPr>
          <w:i/>
          <w:iCs/>
          <w:color w:val="000000"/>
          <w:sz w:val="20"/>
          <w:szCs w:val="20"/>
        </w:rPr>
      </w:pPr>
      <w:r w:rsidRPr="004049D7">
        <w:rPr>
          <w:i/>
          <w:iCs/>
          <w:color w:val="000000"/>
          <w:sz w:val="20"/>
          <w:szCs w:val="20"/>
        </w:rPr>
        <w:t>…”</w:t>
      </w:r>
    </w:p>
    <w:p w14:paraId="51E6D441" w14:textId="77777777" w:rsidR="00F4742C" w:rsidRPr="004049D7" w:rsidRDefault="00F4742C">
      <w:pPr>
        <w:spacing w:after="0" w:line="360" w:lineRule="auto"/>
        <w:ind w:left="567" w:right="709"/>
        <w:rPr>
          <w:i/>
          <w:iCs/>
          <w:color w:val="000000"/>
          <w:sz w:val="20"/>
          <w:szCs w:val="20"/>
        </w:rPr>
      </w:pPr>
    </w:p>
    <w:p w14:paraId="1F6994B6" w14:textId="77777777" w:rsidR="00F4742C" w:rsidRPr="004049D7" w:rsidRDefault="00E211E5">
      <w:pPr>
        <w:spacing w:after="0" w:line="360" w:lineRule="auto"/>
        <w:rPr>
          <w:color w:val="000000"/>
        </w:rPr>
      </w:pPr>
      <w:r w:rsidRPr="004049D7">
        <w:rPr>
          <w:b/>
          <w:bCs/>
          <w:color w:val="000000"/>
        </w:rPr>
        <w:t>d) Desahogo de requerimiento de información adicional</w:t>
      </w:r>
      <w:r w:rsidRPr="004049D7">
        <w:rPr>
          <w:color w:val="000000"/>
        </w:rPr>
        <w:t xml:space="preserve"> </w:t>
      </w:r>
      <w:r w:rsidRPr="004049D7">
        <w:rPr>
          <w:b/>
          <w:bCs/>
          <w:color w:val="000000"/>
        </w:rPr>
        <w:t>e informe justificado</w:t>
      </w:r>
      <w:r w:rsidRPr="004049D7">
        <w:rPr>
          <w:color w:val="000000"/>
        </w:rPr>
        <w:t>. En fecha veinticuatro de febrero de dos mil veintiséis, mediante SAIMEX y por correo electrónico institucional el Sujeto Obligado desahogó el requerimiento de información adicional, en el que también rindió informe justificado, en los siguientes términos:</w:t>
      </w:r>
    </w:p>
    <w:p w14:paraId="307ACE74" w14:textId="77777777" w:rsidR="00F4742C" w:rsidRPr="004049D7" w:rsidRDefault="00F4742C">
      <w:pPr>
        <w:spacing w:after="0" w:line="360" w:lineRule="auto"/>
        <w:rPr>
          <w:color w:val="000000"/>
        </w:rPr>
      </w:pPr>
    </w:p>
    <w:p w14:paraId="724F04CA" w14:textId="77777777" w:rsidR="00F4742C" w:rsidRPr="004049D7" w:rsidRDefault="00E211E5">
      <w:pPr>
        <w:numPr>
          <w:ilvl w:val="0"/>
          <w:numId w:val="1"/>
        </w:numPr>
        <w:pBdr>
          <w:top w:val="nil"/>
          <w:left w:val="nil"/>
          <w:bottom w:val="nil"/>
          <w:right w:val="nil"/>
          <w:between w:val="nil"/>
        </w:pBdr>
        <w:spacing w:after="0" w:line="360" w:lineRule="auto"/>
        <w:rPr>
          <w:color w:val="000000"/>
        </w:rPr>
      </w:pPr>
      <w:r w:rsidRPr="004049D7">
        <w:rPr>
          <w:b/>
          <w:bCs/>
          <w:i/>
          <w:iCs/>
          <w:color w:val="000000"/>
        </w:rPr>
        <w:t xml:space="preserve">DESAHOGO DE REQUERIMIENTO.pdf; </w:t>
      </w:r>
      <w:r w:rsidRPr="004049D7">
        <w:rPr>
          <w:color w:val="000000"/>
        </w:rPr>
        <w:t xml:space="preserve">del que se advierte un oficio suscrito por la Titular de la Unidad de Transparencia del Sujeto Obligado </w:t>
      </w:r>
      <w:r w:rsidRPr="004049D7">
        <w:t>en el</w:t>
      </w:r>
      <w:r w:rsidRPr="004049D7">
        <w:rPr>
          <w:color w:val="000000"/>
        </w:rPr>
        <w:t xml:space="preserve"> que informó que se realizaron las gestiones ante las áreas competentes y que se anexan las contestaciones </w:t>
      </w:r>
      <w:r w:rsidRPr="004049D7">
        <w:rPr>
          <w:color w:val="000000"/>
        </w:rPr>
        <w:lastRenderedPageBreak/>
        <w:t>emitidas por el Órgano Interno de Control, el Instituto de la Mujer y la Consejería Jurídica y que de ellas se desprende que no existe procedimiento en trámite o concluido en contra de personas servidoras públicas, con motivo o razón de género de cualquier naturaleza (responsabilidad administrativa, disciplinario, penal, entre otros), dentro del periodo comprendido del 1 de enero al 12 de noviembre de 2025</w:t>
      </w:r>
    </w:p>
    <w:p w14:paraId="5C77B29E" w14:textId="77777777" w:rsidR="00F4742C" w:rsidRPr="004049D7" w:rsidRDefault="00F4742C">
      <w:pPr>
        <w:pBdr>
          <w:top w:val="nil"/>
          <w:left w:val="nil"/>
          <w:bottom w:val="nil"/>
          <w:right w:val="nil"/>
          <w:between w:val="nil"/>
        </w:pBdr>
        <w:spacing w:after="0" w:line="360" w:lineRule="auto"/>
        <w:ind w:left="720"/>
        <w:rPr>
          <w:color w:val="000000"/>
        </w:rPr>
      </w:pPr>
    </w:p>
    <w:p w14:paraId="770C2D57" w14:textId="77777777" w:rsidR="00F4742C" w:rsidRPr="004049D7" w:rsidRDefault="00E211E5">
      <w:pPr>
        <w:numPr>
          <w:ilvl w:val="0"/>
          <w:numId w:val="1"/>
        </w:numPr>
        <w:pBdr>
          <w:top w:val="nil"/>
          <w:left w:val="nil"/>
          <w:bottom w:val="nil"/>
          <w:right w:val="nil"/>
          <w:between w:val="nil"/>
        </w:pBdr>
        <w:spacing w:after="0" w:line="360" w:lineRule="auto"/>
        <w:rPr>
          <w:b/>
          <w:bCs/>
          <w:i/>
          <w:iCs/>
          <w:color w:val="000000"/>
        </w:rPr>
      </w:pPr>
      <w:r w:rsidRPr="004049D7">
        <w:rPr>
          <w:b/>
          <w:bCs/>
          <w:i/>
          <w:iCs/>
          <w:color w:val="000000"/>
        </w:rPr>
        <w:t xml:space="preserve">CONSEJERÍA JURÍDICA.pdf; </w:t>
      </w:r>
      <w:r w:rsidRPr="004049D7">
        <w:rPr>
          <w:color w:val="000000"/>
        </w:rPr>
        <w:t>del que se desprende un oficio suscrito por la Directora de la Coordinación Jurídica y Legal y titular de la Unidad Administrativa de la Consejería Jurídica en el que informó lo siguiente:</w:t>
      </w:r>
    </w:p>
    <w:p w14:paraId="2934498F" w14:textId="77777777" w:rsidR="00F4742C" w:rsidRPr="004049D7" w:rsidRDefault="00F4742C">
      <w:pPr>
        <w:pBdr>
          <w:top w:val="nil"/>
          <w:left w:val="nil"/>
          <w:bottom w:val="nil"/>
          <w:right w:val="nil"/>
          <w:between w:val="nil"/>
        </w:pBdr>
        <w:spacing w:after="0" w:line="360" w:lineRule="auto"/>
        <w:ind w:left="720"/>
        <w:rPr>
          <w:b/>
          <w:bCs/>
          <w:i/>
          <w:iCs/>
          <w:color w:val="000000"/>
        </w:rPr>
      </w:pPr>
    </w:p>
    <w:p w14:paraId="55F6BC9A" w14:textId="77777777" w:rsidR="00F4742C" w:rsidRPr="004049D7" w:rsidRDefault="00E211E5">
      <w:pPr>
        <w:pBdr>
          <w:top w:val="nil"/>
          <w:left w:val="nil"/>
          <w:bottom w:val="nil"/>
          <w:right w:val="nil"/>
          <w:between w:val="nil"/>
        </w:pBdr>
        <w:spacing w:after="0" w:line="360" w:lineRule="auto"/>
        <w:ind w:left="720"/>
        <w:rPr>
          <w:b/>
          <w:bCs/>
          <w:i/>
          <w:iCs/>
          <w:color w:val="000000"/>
          <w:sz w:val="20"/>
          <w:szCs w:val="20"/>
        </w:rPr>
      </w:pPr>
      <w:r w:rsidRPr="004049D7">
        <w:rPr>
          <w:b/>
          <w:bCs/>
          <w:i/>
          <w:iCs/>
          <w:color w:val="000000"/>
          <w:sz w:val="20"/>
          <w:szCs w:val="20"/>
        </w:rPr>
        <w:t xml:space="preserve">“MANIFIESTA: </w:t>
      </w:r>
      <w:r w:rsidRPr="004049D7">
        <w:rPr>
          <w:i/>
          <w:iCs/>
          <w:color w:val="000000"/>
          <w:sz w:val="20"/>
          <w:szCs w:val="20"/>
        </w:rPr>
        <w:t>procedimiento en trámite o concluido en contra de servidores públicos con motivo o razón de género de cualquier naturaleza</w:t>
      </w:r>
      <w:r w:rsidRPr="004049D7">
        <w:rPr>
          <w:b/>
          <w:bCs/>
          <w:i/>
          <w:iCs/>
          <w:color w:val="000000"/>
          <w:sz w:val="20"/>
          <w:szCs w:val="20"/>
        </w:rPr>
        <w:t xml:space="preserve"> TOTAL O”</w:t>
      </w:r>
    </w:p>
    <w:p w14:paraId="75AE4EFC" w14:textId="77777777" w:rsidR="00F4742C" w:rsidRPr="004049D7" w:rsidRDefault="00F4742C">
      <w:pPr>
        <w:pBdr>
          <w:top w:val="nil"/>
          <w:left w:val="nil"/>
          <w:bottom w:val="nil"/>
          <w:right w:val="nil"/>
          <w:between w:val="nil"/>
        </w:pBdr>
        <w:spacing w:after="0" w:line="360" w:lineRule="auto"/>
        <w:ind w:left="720"/>
        <w:rPr>
          <w:b/>
          <w:bCs/>
          <w:i/>
          <w:iCs/>
          <w:color w:val="000000"/>
          <w:sz w:val="20"/>
          <w:szCs w:val="20"/>
        </w:rPr>
      </w:pPr>
    </w:p>
    <w:p w14:paraId="3B192118" w14:textId="77777777" w:rsidR="00F4742C" w:rsidRPr="004049D7" w:rsidRDefault="00E211E5">
      <w:pPr>
        <w:numPr>
          <w:ilvl w:val="0"/>
          <w:numId w:val="1"/>
        </w:numPr>
        <w:pBdr>
          <w:top w:val="nil"/>
          <w:left w:val="nil"/>
          <w:bottom w:val="nil"/>
          <w:right w:val="nil"/>
          <w:between w:val="nil"/>
        </w:pBdr>
        <w:spacing w:after="0" w:line="360" w:lineRule="auto"/>
        <w:rPr>
          <w:b/>
          <w:bCs/>
          <w:i/>
          <w:iCs/>
          <w:color w:val="000000"/>
        </w:rPr>
      </w:pPr>
      <w:r w:rsidRPr="004049D7">
        <w:rPr>
          <w:b/>
          <w:bCs/>
          <w:i/>
          <w:iCs/>
          <w:color w:val="000000"/>
        </w:rPr>
        <w:t xml:space="preserve">INSTITUTO DE LA MUJER.pdf; </w:t>
      </w:r>
      <w:r w:rsidRPr="004049D7">
        <w:rPr>
          <w:color w:val="000000"/>
        </w:rPr>
        <w:t>del que se desprende un oficio suscrito por la Titular del Instituto de la Mujer del Sujeto Obligado en el que informó:</w:t>
      </w:r>
    </w:p>
    <w:p w14:paraId="4E175FD3" w14:textId="77777777" w:rsidR="00F4742C" w:rsidRPr="004049D7" w:rsidRDefault="00E211E5">
      <w:pPr>
        <w:spacing w:after="0" w:line="360" w:lineRule="auto"/>
        <w:ind w:left="567" w:right="709"/>
        <w:rPr>
          <w:i/>
          <w:iCs/>
          <w:color w:val="000000"/>
          <w:sz w:val="20"/>
          <w:szCs w:val="20"/>
        </w:rPr>
      </w:pPr>
      <w:r w:rsidRPr="004049D7">
        <w:rPr>
          <w:i/>
          <w:iCs/>
          <w:color w:val="000000"/>
          <w:sz w:val="20"/>
          <w:szCs w:val="20"/>
        </w:rPr>
        <w:t>“…</w:t>
      </w:r>
    </w:p>
    <w:p w14:paraId="71C3EDC7" w14:textId="77777777" w:rsidR="00F4742C" w:rsidRPr="004049D7" w:rsidRDefault="00E211E5">
      <w:pPr>
        <w:spacing w:after="0" w:line="360" w:lineRule="auto"/>
        <w:ind w:left="567" w:right="709"/>
        <w:rPr>
          <w:i/>
          <w:iCs/>
          <w:color w:val="000000"/>
          <w:sz w:val="20"/>
          <w:szCs w:val="20"/>
        </w:rPr>
      </w:pPr>
      <w:r w:rsidRPr="004049D7">
        <w:rPr>
          <w:i/>
          <w:iCs/>
          <w:color w:val="000000"/>
          <w:sz w:val="20"/>
          <w:szCs w:val="20"/>
        </w:rPr>
        <w:t xml:space="preserve">…le hago de su conocimiento que se realizó una búsqueda exhaustiva dentro de los archivos digitales y físicos en el área del Instituto de la Mujer y al respecto le informo que: </w:t>
      </w:r>
    </w:p>
    <w:p w14:paraId="0485DA1E" w14:textId="77777777" w:rsidR="00F4742C" w:rsidRPr="004049D7" w:rsidRDefault="00E211E5">
      <w:pPr>
        <w:spacing w:after="0" w:line="360" w:lineRule="auto"/>
        <w:ind w:left="567" w:right="709"/>
        <w:rPr>
          <w:i/>
          <w:iCs/>
          <w:color w:val="000000"/>
          <w:sz w:val="20"/>
          <w:szCs w:val="20"/>
        </w:rPr>
      </w:pPr>
      <w:r w:rsidRPr="004049D7">
        <w:rPr>
          <w:i/>
          <w:iCs/>
          <w:color w:val="000000"/>
          <w:sz w:val="20"/>
          <w:szCs w:val="20"/>
        </w:rPr>
        <w:t xml:space="preserve">1. Procedimiento en trámite o concluido, en contra de personas servidores públicos, con motivo o razón de </w:t>
      </w:r>
      <w:r w:rsidRPr="004049D7">
        <w:rPr>
          <w:i/>
          <w:iCs/>
          <w:sz w:val="20"/>
          <w:szCs w:val="20"/>
        </w:rPr>
        <w:t>género</w:t>
      </w:r>
      <w:r w:rsidRPr="004049D7">
        <w:rPr>
          <w:i/>
          <w:iCs/>
          <w:color w:val="000000"/>
          <w:sz w:val="20"/>
          <w:szCs w:val="20"/>
        </w:rPr>
        <w:t xml:space="preserve"> de cualquier naturaleza (responsabilidad administrativa, disciplinario, penal, entre otros):</w:t>
      </w:r>
      <w:r w:rsidRPr="004049D7">
        <w:rPr>
          <w:b/>
          <w:bCs/>
          <w:i/>
          <w:iCs/>
          <w:color w:val="000000"/>
          <w:sz w:val="20"/>
          <w:szCs w:val="20"/>
        </w:rPr>
        <w:t xml:space="preserve"> 0</w:t>
      </w:r>
      <w:r w:rsidRPr="004049D7">
        <w:rPr>
          <w:i/>
          <w:iCs/>
          <w:color w:val="000000"/>
          <w:sz w:val="20"/>
          <w:szCs w:val="20"/>
        </w:rPr>
        <w:t>”</w:t>
      </w:r>
    </w:p>
    <w:p w14:paraId="1E0D56E4" w14:textId="77777777" w:rsidR="00F4742C" w:rsidRPr="004049D7" w:rsidRDefault="00F4742C">
      <w:pPr>
        <w:spacing w:after="0" w:line="360" w:lineRule="auto"/>
        <w:rPr>
          <w:b/>
          <w:bCs/>
          <w:i/>
          <w:iCs/>
          <w:color w:val="000000"/>
          <w:sz w:val="20"/>
          <w:szCs w:val="20"/>
        </w:rPr>
      </w:pPr>
    </w:p>
    <w:p w14:paraId="00CB1FD4" w14:textId="77777777" w:rsidR="00F4742C" w:rsidRPr="004049D7" w:rsidRDefault="00E211E5">
      <w:pPr>
        <w:numPr>
          <w:ilvl w:val="0"/>
          <w:numId w:val="1"/>
        </w:numPr>
        <w:pBdr>
          <w:top w:val="nil"/>
          <w:left w:val="nil"/>
          <w:bottom w:val="nil"/>
          <w:right w:val="nil"/>
          <w:between w:val="nil"/>
        </w:pBdr>
        <w:spacing w:after="0" w:line="360" w:lineRule="auto"/>
        <w:rPr>
          <w:b/>
          <w:bCs/>
          <w:i/>
          <w:iCs/>
          <w:color w:val="000000"/>
        </w:rPr>
      </w:pPr>
      <w:r w:rsidRPr="004049D7">
        <w:rPr>
          <w:b/>
          <w:bCs/>
          <w:i/>
          <w:iCs/>
          <w:color w:val="000000"/>
        </w:rPr>
        <w:t xml:space="preserve">CONTRALORÍA INTERNA.pdf; </w:t>
      </w:r>
      <w:r w:rsidRPr="004049D7">
        <w:rPr>
          <w:color w:val="000000"/>
        </w:rPr>
        <w:t xml:space="preserve"> del que se observa un oficio suscrito por el Titular del Órgano Interno de Control, en el que informó lo siguiente:</w:t>
      </w:r>
    </w:p>
    <w:p w14:paraId="0B90C7EF" w14:textId="77777777" w:rsidR="00F4742C" w:rsidRPr="004049D7" w:rsidRDefault="00E211E5">
      <w:pPr>
        <w:spacing w:after="0" w:line="360" w:lineRule="auto"/>
        <w:ind w:left="567" w:right="709"/>
        <w:rPr>
          <w:i/>
          <w:iCs/>
          <w:color w:val="000000"/>
          <w:sz w:val="20"/>
          <w:szCs w:val="20"/>
        </w:rPr>
      </w:pPr>
      <w:r w:rsidRPr="004049D7">
        <w:rPr>
          <w:i/>
          <w:iCs/>
          <w:color w:val="000000"/>
          <w:sz w:val="20"/>
          <w:szCs w:val="20"/>
        </w:rPr>
        <w:t>“…</w:t>
      </w:r>
    </w:p>
    <w:p w14:paraId="4C52CCFA" w14:textId="77777777" w:rsidR="00F4742C" w:rsidRPr="004049D7" w:rsidRDefault="00E211E5">
      <w:pPr>
        <w:spacing w:after="0" w:line="360" w:lineRule="auto"/>
        <w:ind w:left="567" w:right="709"/>
        <w:rPr>
          <w:i/>
          <w:iCs/>
          <w:color w:val="000000"/>
          <w:sz w:val="20"/>
          <w:szCs w:val="20"/>
        </w:rPr>
      </w:pPr>
      <w:r w:rsidRPr="004049D7">
        <w:rPr>
          <w:i/>
          <w:iCs/>
          <w:color w:val="000000"/>
          <w:sz w:val="20"/>
          <w:szCs w:val="20"/>
        </w:rPr>
        <w:t>En este Órgano Interno de Control no existe procedimiento entre el primero de enero al doce de noviembre de dos mil veinticinco en trámite o concluido con motivo o razón de género.</w:t>
      </w:r>
    </w:p>
    <w:p w14:paraId="1F8E7E28" w14:textId="77777777" w:rsidR="00F4742C" w:rsidRPr="004049D7" w:rsidRDefault="00E211E5">
      <w:pPr>
        <w:spacing w:after="0" w:line="360" w:lineRule="auto"/>
        <w:ind w:left="567" w:right="709"/>
        <w:rPr>
          <w:i/>
          <w:iCs/>
          <w:color w:val="000000"/>
          <w:sz w:val="20"/>
          <w:szCs w:val="20"/>
        </w:rPr>
      </w:pPr>
      <w:r w:rsidRPr="004049D7">
        <w:rPr>
          <w:i/>
          <w:iCs/>
          <w:color w:val="000000"/>
          <w:sz w:val="20"/>
          <w:szCs w:val="20"/>
        </w:rPr>
        <w:t>…”</w:t>
      </w:r>
    </w:p>
    <w:p w14:paraId="388A92E8" w14:textId="77777777" w:rsidR="00F4742C" w:rsidRPr="004049D7" w:rsidRDefault="00F4742C">
      <w:pPr>
        <w:spacing w:after="0" w:line="360" w:lineRule="auto"/>
        <w:ind w:left="567" w:right="709"/>
        <w:rPr>
          <w:i/>
          <w:iCs/>
          <w:color w:val="000000"/>
          <w:sz w:val="20"/>
          <w:szCs w:val="20"/>
        </w:rPr>
      </w:pPr>
    </w:p>
    <w:p w14:paraId="3732A7F9" w14:textId="77777777" w:rsidR="00F4742C" w:rsidRPr="004049D7" w:rsidRDefault="00E211E5">
      <w:pPr>
        <w:spacing w:after="0" w:line="360" w:lineRule="auto"/>
        <w:rPr>
          <w:color w:val="000000"/>
        </w:rPr>
      </w:pPr>
      <w:r w:rsidRPr="004049D7">
        <w:rPr>
          <w:b/>
          <w:bCs/>
          <w:color w:val="000000"/>
        </w:rPr>
        <w:lastRenderedPageBreak/>
        <w:t xml:space="preserve">e) Vista de Informe Justificado. </w:t>
      </w:r>
      <w:r w:rsidRPr="004049D7">
        <w:rPr>
          <w:color w:val="000000"/>
        </w:rPr>
        <w:t>El veinticuatro de febrero de dos mil veintiséis, se notificó a través del SAIMEX, el acuerdo mediante el cual se puso a la vista de la parte Recurrente el Informe Justificado y desahogo de requerimiento de información adicional, proveído por el cual se le otorgó a este último, un término de tres días hábiles contados a partir del día siguiente a la notificación, para que emitiera las manifestaciones que conforme a sus intereses convenga.</w:t>
      </w:r>
    </w:p>
    <w:p w14:paraId="2D62BF32" w14:textId="77777777" w:rsidR="00F4742C" w:rsidRPr="004049D7" w:rsidRDefault="00F4742C">
      <w:pPr>
        <w:widowControl w:val="0"/>
        <w:spacing w:after="0" w:line="360" w:lineRule="auto"/>
        <w:rPr>
          <w:b/>
          <w:bCs/>
        </w:rPr>
      </w:pPr>
    </w:p>
    <w:p w14:paraId="404D9C6F" w14:textId="77777777" w:rsidR="00F4742C" w:rsidRPr="004049D7" w:rsidRDefault="00E211E5">
      <w:pPr>
        <w:spacing w:after="0" w:line="360" w:lineRule="auto"/>
      </w:pPr>
      <w:r w:rsidRPr="004049D7">
        <w:rPr>
          <w:b/>
          <w:bCs/>
        </w:rPr>
        <w:t xml:space="preserve">f) Manifestaciones de la parte Recurrente. </w:t>
      </w:r>
      <w:r w:rsidRPr="004049D7">
        <w:t>De las constancias que integran el expediente se advierte que la parte Recurrente no añadió manifestaciones.</w:t>
      </w:r>
    </w:p>
    <w:p w14:paraId="7C771BCC" w14:textId="77777777" w:rsidR="00F4742C" w:rsidRPr="004049D7" w:rsidRDefault="00F4742C">
      <w:pPr>
        <w:pBdr>
          <w:top w:val="nil"/>
          <w:left w:val="nil"/>
          <w:bottom w:val="nil"/>
          <w:right w:val="nil"/>
          <w:between w:val="nil"/>
        </w:pBdr>
        <w:tabs>
          <w:tab w:val="left" w:pos="426"/>
        </w:tabs>
        <w:spacing w:after="0" w:line="360" w:lineRule="auto"/>
        <w:rPr>
          <w:b/>
          <w:bCs/>
          <w:color w:val="000000"/>
        </w:rPr>
      </w:pPr>
    </w:p>
    <w:p w14:paraId="00725A46" w14:textId="77777777" w:rsidR="00F4742C" w:rsidRPr="004049D7" w:rsidRDefault="00E211E5">
      <w:pPr>
        <w:pBdr>
          <w:top w:val="nil"/>
          <w:left w:val="nil"/>
          <w:bottom w:val="nil"/>
          <w:right w:val="nil"/>
          <w:between w:val="nil"/>
        </w:pBdr>
        <w:tabs>
          <w:tab w:val="left" w:pos="426"/>
        </w:tabs>
        <w:spacing w:after="0" w:line="360" w:lineRule="auto"/>
        <w:rPr>
          <w:b/>
          <w:bCs/>
          <w:color w:val="000000"/>
        </w:rPr>
      </w:pPr>
      <w:r w:rsidRPr="004049D7">
        <w:rPr>
          <w:b/>
          <w:bCs/>
        </w:rPr>
        <w:t xml:space="preserve">g) Ampliación de plazo para resolver. </w:t>
      </w:r>
      <w:r w:rsidRPr="004049D7">
        <w:t>El veintiséis de febrero de dos mil veintiséis, se notificó vía SAIMEX el acuerdo mediante el cual, el Comisionado Ponente, con fundamento en lo dispuesto por el artículo 181, párrafo tercero, de la Ley de Transparencia y Acceso a la Información Pública del Estado de México y Municipios, acordó ampliar por un periodo de quince días hábiles, el plazo para resolver el Recurso de Revisión que nos ocupa</w:t>
      </w:r>
    </w:p>
    <w:p w14:paraId="3DFDD7F7" w14:textId="77777777" w:rsidR="00F4742C" w:rsidRPr="004049D7" w:rsidRDefault="00F4742C">
      <w:pPr>
        <w:pBdr>
          <w:top w:val="nil"/>
          <w:left w:val="nil"/>
          <w:bottom w:val="nil"/>
          <w:right w:val="nil"/>
          <w:between w:val="nil"/>
        </w:pBdr>
        <w:tabs>
          <w:tab w:val="left" w:pos="426"/>
        </w:tabs>
        <w:spacing w:after="0" w:line="360" w:lineRule="auto"/>
        <w:rPr>
          <w:b/>
          <w:bCs/>
          <w:color w:val="000000"/>
        </w:rPr>
      </w:pPr>
    </w:p>
    <w:p w14:paraId="4E5302D6" w14:textId="77777777" w:rsidR="00F4742C" w:rsidRPr="004049D7" w:rsidRDefault="00E211E5">
      <w:pPr>
        <w:spacing w:after="0" w:line="360" w:lineRule="auto"/>
      </w:pPr>
      <w:r w:rsidRPr="004049D7">
        <w:rPr>
          <w:b/>
          <w:bCs/>
        </w:rPr>
        <w:t>h) Cierre de instrucción.</w:t>
      </w:r>
      <w:r w:rsidRPr="004049D7">
        <w:t xml:space="preserve"> El tres de marzo de dos mil veintiséis,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en la misma fecha, mediante el SAIMEX.</w:t>
      </w:r>
    </w:p>
    <w:p w14:paraId="61A0A475" w14:textId="77777777" w:rsidR="00F4742C" w:rsidRPr="004049D7" w:rsidRDefault="00F4742C">
      <w:pPr>
        <w:spacing w:after="0" w:line="360" w:lineRule="auto"/>
      </w:pPr>
    </w:p>
    <w:p w14:paraId="6AD1F8BD" w14:textId="77777777" w:rsidR="00F4742C" w:rsidRPr="004049D7" w:rsidRDefault="00E211E5">
      <w:pPr>
        <w:spacing w:after="0" w:line="360" w:lineRule="auto"/>
      </w:pPr>
      <w:r w:rsidRPr="004049D7">
        <w:t xml:space="preserve">En razón de que fue debidamente sustanciado e integrado el expediente electrónico y no existir diligencia pendiente de desahogo, se emite la resolución que conforme a Derecho proceda, de acuerdo a los siguientes: </w:t>
      </w:r>
    </w:p>
    <w:p w14:paraId="14405B81" w14:textId="77777777" w:rsidR="00F4742C" w:rsidRPr="004049D7" w:rsidRDefault="00F4742C">
      <w:pPr>
        <w:spacing w:after="0" w:line="360" w:lineRule="auto"/>
      </w:pPr>
    </w:p>
    <w:p w14:paraId="04032C9F" w14:textId="77777777" w:rsidR="00F4742C" w:rsidRPr="004049D7" w:rsidRDefault="00E211E5">
      <w:pPr>
        <w:pStyle w:val="Ttulo1"/>
        <w:spacing w:before="0" w:after="0"/>
        <w:rPr>
          <w:sz w:val="22"/>
          <w:szCs w:val="22"/>
        </w:rPr>
      </w:pPr>
      <w:bookmarkStart w:id="12" w:name="_heading=h.hhlbsukr8ndh" w:colFirst="0" w:colLast="0"/>
      <w:bookmarkStart w:id="13" w:name="_Toc223619995"/>
      <w:bookmarkEnd w:id="12"/>
      <w:r w:rsidRPr="004049D7">
        <w:rPr>
          <w:sz w:val="22"/>
          <w:szCs w:val="22"/>
        </w:rPr>
        <w:t>C O N S I D E R A N D O S</w:t>
      </w:r>
      <w:bookmarkEnd w:id="13"/>
    </w:p>
    <w:p w14:paraId="08D3918D" w14:textId="77777777" w:rsidR="00F4742C" w:rsidRPr="004049D7" w:rsidRDefault="00F4742C">
      <w:pPr>
        <w:spacing w:after="0" w:line="360" w:lineRule="auto"/>
        <w:rPr>
          <w:b/>
          <w:bCs/>
        </w:rPr>
      </w:pPr>
    </w:p>
    <w:p w14:paraId="37839422" w14:textId="77777777" w:rsidR="00F4742C" w:rsidRPr="004049D7" w:rsidRDefault="00E211E5">
      <w:pPr>
        <w:pStyle w:val="Ttulo2"/>
        <w:spacing w:before="0" w:after="0"/>
      </w:pPr>
      <w:bookmarkStart w:id="14" w:name="_heading=h.fv7xu07l9jfz" w:colFirst="0" w:colLast="0"/>
      <w:bookmarkStart w:id="15" w:name="_Toc223619996"/>
      <w:bookmarkEnd w:id="14"/>
      <w:r w:rsidRPr="004049D7">
        <w:lastRenderedPageBreak/>
        <w:t>PRIMERO. Competencia</w:t>
      </w:r>
      <w:bookmarkEnd w:id="15"/>
    </w:p>
    <w:p w14:paraId="4DD6A1E2" w14:textId="77777777" w:rsidR="00F4742C" w:rsidRPr="004049D7" w:rsidRDefault="00F4742C">
      <w:pPr>
        <w:spacing w:after="0" w:line="360" w:lineRule="auto"/>
      </w:pPr>
    </w:p>
    <w:p w14:paraId="3E0D4A85" w14:textId="77777777" w:rsidR="00F4742C" w:rsidRPr="004049D7" w:rsidRDefault="00E211E5">
      <w:pPr>
        <w:spacing w:after="0" w:line="360" w:lineRule="auto"/>
      </w:pPr>
      <w:r w:rsidRPr="004049D7">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1EF0ADFB" w14:textId="77777777" w:rsidR="00F4742C" w:rsidRPr="004049D7" w:rsidRDefault="00F4742C">
      <w:pPr>
        <w:spacing w:after="0" w:line="360" w:lineRule="auto"/>
      </w:pPr>
    </w:p>
    <w:p w14:paraId="124F2B9C" w14:textId="77777777" w:rsidR="00F4742C" w:rsidRPr="004049D7" w:rsidRDefault="00E211E5">
      <w:pPr>
        <w:pStyle w:val="Ttulo2"/>
        <w:spacing w:before="0" w:after="0"/>
      </w:pPr>
      <w:bookmarkStart w:id="16" w:name="_heading=h.g4yvoyapuxvq" w:colFirst="0" w:colLast="0"/>
      <w:bookmarkStart w:id="17" w:name="_Toc223619997"/>
      <w:bookmarkEnd w:id="16"/>
      <w:r w:rsidRPr="004049D7">
        <w:t>SEGUNDO. Causales de improcedencia</w:t>
      </w:r>
      <w:bookmarkEnd w:id="17"/>
      <w:r w:rsidRPr="004049D7">
        <w:t xml:space="preserve"> </w:t>
      </w:r>
    </w:p>
    <w:p w14:paraId="0248C6B5" w14:textId="77777777" w:rsidR="00F4742C" w:rsidRPr="004049D7" w:rsidRDefault="00F4742C">
      <w:pPr>
        <w:spacing w:after="0" w:line="360" w:lineRule="auto"/>
      </w:pPr>
    </w:p>
    <w:p w14:paraId="3CFBC8B9" w14:textId="77777777" w:rsidR="00F4742C" w:rsidRPr="004049D7" w:rsidRDefault="00E211E5">
      <w:pPr>
        <w:spacing w:after="0" w:line="360" w:lineRule="auto"/>
      </w:pPr>
      <w:r w:rsidRPr="004049D7">
        <w:t xml:space="preserve">De las constancias que forman parte del Recurso de Revisión que se analiza, se advierte que previo al estudio del fondo de la </w:t>
      </w:r>
      <w:r w:rsidRPr="004049D7">
        <w:rPr>
          <w:i/>
          <w:iCs/>
        </w:rPr>
        <w:t>litis</w:t>
      </w:r>
      <w:r w:rsidRPr="004049D7">
        <w:t>, es necesario estudiar las causales de improcedencia y sobreseimiento que se adviertan, para determinar lo que en Derecho proceda.</w:t>
      </w:r>
    </w:p>
    <w:p w14:paraId="2250392D" w14:textId="77777777" w:rsidR="00F4742C" w:rsidRPr="004049D7" w:rsidRDefault="00F4742C">
      <w:pPr>
        <w:spacing w:after="0" w:line="360" w:lineRule="auto"/>
      </w:pPr>
    </w:p>
    <w:p w14:paraId="7AAE4744" w14:textId="77777777" w:rsidR="00F4742C" w:rsidRPr="004049D7" w:rsidRDefault="00E211E5">
      <w:pPr>
        <w:spacing w:after="0" w:line="360" w:lineRule="auto"/>
        <w:rPr>
          <w:b/>
          <w:bCs/>
        </w:rPr>
      </w:pPr>
      <w:r w:rsidRPr="004049D7">
        <w:rPr>
          <w:b/>
          <w:bCs/>
        </w:rPr>
        <w:t>Causales de improcedencia</w:t>
      </w:r>
    </w:p>
    <w:p w14:paraId="0AF0E654" w14:textId="77777777" w:rsidR="00F4742C" w:rsidRPr="004049D7" w:rsidRDefault="00F4742C">
      <w:pPr>
        <w:spacing w:after="0" w:line="360" w:lineRule="auto"/>
      </w:pPr>
    </w:p>
    <w:p w14:paraId="56C0EA46" w14:textId="77777777" w:rsidR="00F4742C" w:rsidRPr="004049D7" w:rsidRDefault="00E211E5">
      <w:pPr>
        <w:spacing w:after="0" w:line="360" w:lineRule="auto"/>
      </w:pPr>
      <w:r w:rsidRPr="004049D7">
        <w:t xml:space="preserve">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w:t>
      </w:r>
      <w:r w:rsidRPr="004049D7">
        <w:lastRenderedPageBreak/>
        <w:t>establecidos en el artículo 191 de la Ley de Transparencia y Acceso a la Información Pública del Estado de México y Municipios, por ser improcedente.</w:t>
      </w:r>
    </w:p>
    <w:p w14:paraId="41E85D64" w14:textId="77777777" w:rsidR="00F4742C" w:rsidRPr="004049D7" w:rsidRDefault="00F4742C">
      <w:pPr>
        <w:spacing w:after="0" w:line="360" w:lineRule="auto"/>
      </w:pPr>
    </w:p>
    <w:p w14:paraId="0A5396A1" w14:textId="77777777" w:rsidR="00F4742C" w:rsidRPr="004049D7" w:rsidRDefault="00E211E5">
      <w:pPr>
        <w:spacing w:after="0" w:line="360" w:lineRule="auto"/>
      </w:pPr>
      <w:r w:rsidRPr="004049D7">
        <w:t>En el presente caso, </w:t>
      </w:r>
      <w:r w:rsidRPr="004049D7">
        <w:rPr>
          <w:b/>
          <w:bCs/>
        </w:rPr>
        <w:t>no se actualiza ninguna de las causales de improcedencia</w:t>
      </w:r>
      <w:r w:rsidRPr="004049D7">
        <w:t> establecidas en el ordenamiento jurídico previamente señalado, toda vez que: este Instituto no tiene conocimiento de que se encuentre en trámite algún medio de defensa presentado por la persona Recurrente ante otra instancia; no existió prevención alguna; la veracidad de la respuesta no formó parte del agravio; ni se realizó una consulta o ampliación a los alcances del requerimiento informativo. Además, de que el Medios de Impugnación fue presentado en tiempo.</w:t>
      </w:r>
    </w:p>
    <w:p w14:paraId="43C65509" w14:textId="77777777" w:rsidR="00F4742C" w:rsidRPr="004049D7" w:rsidRDefault="00F4742C">
      <w:pPr>
        <w:spacing w:after="0" w:line="360" w:lineRule="auto"/>
      </w:pPr>
    </w:p>
    <w:p w14:paraId="2AB91D1A" w14:textId="77777777" w:rsidR="00F4742C" w:rsidRPr="004049D7" w:rsidRDefault="00E211E5">
      <w:pPr>
        <w:pStyle w:val="Ttulo2"/>
        <w:spacing w:before="0" w:after="0"/>
        <w:jc w:val="both"/>
      </w:pPr>
      <w:bookmarkStart w:id="18" w:name="_heading=h.939xeeuwrbs1" w:colFirst="0" w:colLast="0"/>
      <w:bookmarkStart w:id="19" w:name="_Toc223619998"/>
      <w:bookmarkEnd w:id="18"/>
      <w:r w:rsidRPr="004049D7">
        <w:t>TERCERO. Causales de sobreseimiento</w:t>
      </w:r>
      <w:bookmarkEnd w:id="19"/>
    </w:p>
    <w:p w14:paraId="1A9E3854" w14:textId="77777777" w:rsidR="00F4742C" w:rsidRPr="004049D7" w:rsidRDefault="00F4742C">
      <w:pPr>
        <w:spacing w:after="0" w:line="360" w:lineRule="auto"/>
        <w:rPr>
          <w:color w:val="0D0D0D"/>
        </w:rPr>
      </w:pPr>
    </w:p>
    <w:p w14:paraId="42E3A5BD" w14:textId="77777777" w:rsidR="00F4742C" w:rsidRPr="004049D7" w:rsidRDefault="00E211E5">
      <w:pPr>
        <w:spacing w:after="0" w:line="360" w:lineRule="auto"/>
        <w:rPr>
          <w:color w:val="0D0D0D"/>
        </w:rPr>
      </w:pPr>
      <w:r w:rsidRPr="004049D7">
        <w:rPr>
          <w:color w:val="0D0D0D"/>
        </w:rPr>
        <w:t>Por ser de previo y especial pronunciamiento, este Instituto analiza si se actualiza alguna causal de sobreseimiento.</w:t>
      </w:r>
    </w:p>
    <w:p w14:paraId="325A187B" w14:textId="77777777" w:rsidR="00F4742C" w:rsidRPr="004049D7" w:rsidRDefault="00F4742C">
      <w:pPr>
        <w:spacing w:after="0" w:line="360" w:lineRule="auto"/>
        <w:rPr>
          <w:color w:val="0D0D0D"/>
        </w:rPr>
      </w:pPr>
    </w:p>
    <w:p w14:paraId="4569F1D6" w14:textId="77777777" w:rsidR="00F4742C" w:rsidRPr="004049D7" w:rsidRDefault="00E211E5">
      <w:pPr>
        <w:spacing w:after="0" w:line="360" w:lineRule="auto"/>
        <w:rPr>
          <w:color w:val="0D0D0D"/>
        </w:rPr>
      </w:pPr>
      <w:r w:rsidRPr="004049D7">
        <w:rPr>
          <w:color w:val="0D0D0D"/>
        </w:rPr>
        <w:t xml:space="preserve">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actualizan los supuestos de sobreseimiento previstos en las fracciones I, II, IV, V del artículo en comento, lo anterior, en virtud de que no hay constancias en el expediente en que se actúa, de que el Recurrente se haya desistido del recurso, haya fallecido, sobreviene alguna causal de improcedencia, o bien, por cualquier motivo quede sin materia el Recurso de Revisión. </w:t>
      </w:r>
    </w:p>
    <w:p w14:paraId="0C6F7FB4" w14:textId="77777777" w:rsidR="00F4742C" w:rsidRPr="004049D7" w:rsidRDefault="00F4742C">
      <w:pPr>
        <w:spacing w:after="0" w:line="360" w:lineRule="auto"/>
        <w:rPr>
          <w:color w:val="0D0D0D"/>
        </w:rPr>
      </w:pPr>
    </w:p>
    <w:p w14:paraId="2C82D184" w14:textId="77777777" w:rsidR="00F4742C" w:rsidRPr="004049D7" w:rsidRDefault="00E211E5">
      <w:pPr>
        <w:spacing w:after="0" w:line="360" w:lineRule="auto"/>
        <w:rPr>
          <w:color w:val="0D0D0D"/>
        </w:rPr>
      </w:pPr>
      <w:r w:rsidRPr="004049D7">
        <w:rPr>
          <w:color w:val="0D0D0D"/>
        </w:rPr>
        <w:t>Ahora bien, por lo que hace a la fracción III, del artículo 192, de la Ley de la materia, que tiene lugar cuando el Sujeto Obligado haya modificado o revocado su respuesta y el Recurso de Revisión quede sin materia, este Organismo Garante advierte elementos suficientes para analizar dicho supuesto.</w:t>
      </w:r>
    </w:p>
    <w:p w14:paraId="31AC867A" w14:textId="77777777" w:rsidR="00F4742C" w:rsidRPr="004049D7" w:rsidRDefault="00F4742C">
      <w:pPr>
        <w:spacing w:after="0" w:line="360" w:lineRule="auto"/>
        <w:rPr>
          <w:color w:val="0D0D0D"/>
        </w:rPr>
      </w:pPr>
    </w:p>
    <w:p w14:paraId="42AFC1C6" w14:textId="77777777" w:rsidR="00F4742C" w:rsidRPr="004049D7" w:rsidRDefault="00E211E5">
      <w:pPr>
        <w:spacing w:after="0" w:line="360" w:lineRule="auto"/>
        <w:rPr>
          <w:color w:val="0D0D0D"/>
        </w:rPr>
      </w:pPr>
      <w:r w:rsidRPr="004049D7">
        <w:rPr>
          <w:color w:val="0D0D0D"/>
        </w:rPr>
        <w:lastRenderedPageBreak/>
        <w:t>En este sentido, en primer término, es pertinente analizar que la parte Recurrente solicitó lo siguiente:</w:t>
      </w:r>
    </w:p>
    <w:p w14:paraId="6BA99F65" w14:textId="77777777" w:rsidR="00F4742C" w:rsidRPr="004049D7" w:rsidRDefault="00F4742C">
      <w:pPr>
        <w:spacing w:after="0" w:line="360" w:lineRule="auto"/>
      </w:pPr>
    </w:p>
    <w:p w14:paraId="6554D70E" w14:textId="77777777" w:rsidR="00F4742C" w:rsidRPr="004049D7" w:rsidRDefault="00E211E5">
      <w:pPr>
        <w:spacing w:after="0" w:line="360" w:lineRule="auto"/>
        <w:rPr>
          <w:b/>
          <w:bCs/>
        </w:rPr>
      </w:pPr>
      <w:r w:rsidRPr="004049D7">
        <w:rPr>
          <w:b/>
          <w:bCs/>
        </w:rPr>
        <w:t>Del periodo 1° de enero al 12 de noviembre de 2025, de todas las personas servidoras públicas del Sujeto Obligado:</w:t>
      </w:r>
    </w:p>
    <w:p w14:paraId="02CB2D8C" w14:textId="77777777" w:rsidR="00F4742C" w:rsidRPr="004049D7" w:rsidRDefault="00F4742C">
      <w:pPr>
        <w:spacing w:after="0" w:line="360" w:lineRule="auto"/>
        <w:rPr>
          <w:b/>
          <w:bCs/>
        </w:rPr>
      </w:pPr>
    </w:p>
    <w:p w14:paraId="479F1832" w14:textId="77777777" w:rsidR="00F4742C" w:rsidRPr="004049D7" w:rsidRDefault="00E211E5">
      <w:pPr>
        <w:numPr>
          <w:ilvl w:val="0"/>
          <w:numId w:val="1"/>
        </w:numPr>
        <w:pBdr>
          <w:top w:val="nil"/>
          <w:left w:val="nil"/>
          <w:bottom w:val="nil"/>
          <w:right w:val="nil"/>
          <w:between w:val="nil"/>
        </w:pBdr>
        <w:tabs>
          <w:tab w:val="left" w:pos="4962"/>
        </w:tabs>
        <w:spacing w:after="0" w:line="360" w:lineRule="auto"/>
        <w:rPr>
          <w:b/>
          <w:bCs/>
          <w:color w:val="000000"/>
        </w:rPr>
      </w:pPr>
      <w:r w:rsidRPr="004049D7">
        <w:rPr>
          <w:b/>
          <w:bCs/>
          <w:color w:val="000000"/>
        </w:rPr>
        <w:t>Listado de las personas servidoras públicas que se encuentren en algún proceso judicial de cualquier rama jurídica en razón de género, ello en el desempeño de sus funciones como servidores públicos.</w:t>
      </w:r>
    </w:p>
    <w:p w14:paraId="3D7002D2" w14:textId="77777777" w:rsidR="00F4742C" w:rsidRPr="004049D7" w:rsidRDefault="00F4742C">
      <w:pPr>
        <w:spacing w:after="0" w:line="360" w:lineRule="auto"/>
        <w:ind w:right="-93"/>
        <w:rPr>
          <w:color w:val="000000"/>
        </w:rPr>
      </w:pPr>
    </w:p>
    <w:p w14:paraId="0D28F5CE" w14:textId="77777777" w:rsidR="00F4742C" w:rsidRPr="004049D7" w:rsidRDefault="00E211E5">
      <w:pPr>
        <w:spacing w:after="0" w:line="360" w:lineRule="auto"/>
        <w:ind w:right="-93"/>
        <w:rPr>
          <w:color w:val="000000"/>
        </w:rPr>
      </w:pPr>
      <w:r w:rsidRPr="004049D7">
        <w:rPr>
          <w:color w:val="000000"/>
        </w:rPr>
        <w:t>Al respecto; es preciso mencionar que en materia de género existen diversos procedimientos y procesos judiciales relacionados con violencia de género.</w:t>
      </w:r>
    </w:p>
    <w:p w14:paraId="776A8632" w14:textId="77777777" w:rsidR="00F4742C" w:rsidRPr="004049D7" w:rsidRDefault="00F4742C">
      <w:pPr>
        <w:spacing w:after="0" w:line="360" w:lineRule="auto"/>
        <w:ind w:right="-93"/>
        <w:rPr>
          <w:color w:val="000000"/>
        </w:rPr>
      </w:pPr>
    </w:p>
    <w:p w14:paraId="4CAB2C5E" w14:textId="77777777" w:rsidR="00F4742C" w:rsidRPr="004049D7" w:rsidRDefault="00E211E5">
      <w:pPr>
        <w:spacing w:after="0" w:line="360" w:lineRule="auto"/>
        <w:ind w:right="-93"/>
        <w:rPr>
          <w:color w:val="000000"/>
        </w:rPr>
      </w:pPr>
      <w:r w:rsidRPr="004049D7">
        <w:rPr>
          <w:color w:val="000000"/>
        </w:rPr>
        <w:t xml:space="preserve">Al respecto el Código Penal del Estado de </w:t>
      </w:r>
      <w:r w:rsidRPr="004049D7">
        <w:t>México</w:t>
      </w:r>
      <w:r w:rsidRPr="004049D7">
        <w:rPr>
          <w:color w:val="000000"/>
        </w:rPr>
        <w:t>, prevé delitos relacionados con materia de género, de los cuales se nombran de manera enunciativa, más no limitativa los siguientes:</w:t>
      </w:r>
    </w:p>
    <w:p w14:paraId="5DD1E3E5" w14:textId="77777777" w:rsidR="00F4742C" w:rsidRPr="004049D7" w:rsidRDefault="00F4742C">
      <w:pPr>
        <w:spacing w:after="0" w:line="360" w:lineRule="auto"/>
        <w:ind w:right="-93"/>
        <w:rPr>
          <w:color w:val="000000"/>
        </w:rPr>
      </w:pPr>
    </w:p>
    <w:p w14:paraId="5820A88C" w14:textId="77777777" w:rsidR="00F4742C" w:rsidRPr="004049D7" w:rsidRDefault="00E211E5">
      <w:pPr>
        <w:numPr>
          <w:ilvl w:val="0"/>
          <w:numId w:val="1"/>
        </w:numPr>
        <w:pBdr>
          <w:top w:val="nil"/>
          <w:left w:val="nil"/>
          <w:bottom w:val="nil"/>
          <w:right w:val="nil"/>
          <w:between w:val="nil"/>
        </w:pBdr>
        <w:spacing w:after="0" w:line="360" w:lineRule="auto"/>
        <w:ind w:right="-93"/>
        <w:rPr>
          <w:i/>
          <w:iCs/>
          <w:color w:val="000000"/>
          <w:sz w:val="20"/>
          <w:szCs w:val="20"/>
        </w:rPr>
      </w:pPr>
      <w:r w:rsidRPr="004049D7">
        <w:rPr>
          <w:b/>
          <w:bCs/>
          <w:i/>
          <w:iCs/>
          <w:color w:val="000000"/>
          <w:sz w:val="20"/>
          <w:szCs w:val="20"/>
        </w:rPr>
        <w:t>DISCRIMINACIÓN-</w:t>
      </w:r>
      <w:r w:rsidRPr="004049D7">
        <w:rPr>
          <w:i/>
          <w:iCs/>
          <w:color w:val="000000"/>
          <w:sz w:val="20"/>
          <w:szCs w:val="20"/>
        </w:rPr>
        <w:t xml:space="preserve"> </w:t>
      </w:r>
      <w:r w:rsidRPr="004049D7">
        <w:rPr>
          <w:b/>
          <w:bCs/>
          <w:i/>
          <w:iCs/>
          <w:color w:val="000000"/>
          <w:sz w:val="20"/>
          <w:szCs w:val="20"/>
        </w:rPr>
        <w:t>Artículo 211.</w:t>
      </w:r>
      <w:r w:rsidRPr="004049D7">
        <w:rPr>
          <w:i/>
          <w:iCs/>
          <w:color w:val="000000"/>
          <w:sz w:val="20"/>
          <w:szCs w:val="20"/>
        </w:rPr>
        <w:t xml:space="preserve"> Se impondrán de uno a tres años de prisión o de veinticinco a cien días de trabajo en favor de la comunidad y de cincuenta a doscientos días multa al que, por razón de origen étnico o nacional, género, edad, discapacidades, condición social, trabajo o profesión, condiciones de salud, religión, opiniones, preferencias sexuales, estado civil o alguna otra que atente contra la dignidad humana y tenga por efecto impedir, menoscabar o anular el reconocimiento o el ejercicio de los derechos fundamentales en condiciones de equidad e igualdad de oportunidades y de trato a las personas: I. Provoque o incite al odio o a la violencia; II. Niegue o retarde a una persona un trámite, servicio o una prestación a la que tenga derecho; III. Repudie, desprecie, veje o excluya a alguna persona o grupo de personas; o IV. Niegue o restrinja derechos laborales. Si las conductas descritas en este artículo las realiza un servidor público, se aumentará en una mitad la pena prevista en el primer párrafo del presente artículo y, además, se le destituirá e </w:t>
      </w:r>
      <w:r w:rsidRPr="004049D7">
        <w:rPr>
          <w:i/>
          <w:iCs/>
          <w:sz w:val="20"/>
          <w:szCs w:val="20"/>
        </w:rPr>
        <w:t>inhabilita</w:t>
      </w:r>
      <w:r w:rsidRPr="004049D7">
        <w:rPr>
          <w:i/>
          <w:iCs/>
          <w:color w:val="000000"/>
          <w:sz w:val="20"/>
          <w:szCs w:val="20"/>
        </w:rPr>
        <w:t xml:space="preserve"> para el desempeño de cualquier cargo, empleo o comisión públicos, por el mismo tiempo de la privación de la libertad impuesta.</w:t>
      </w:r>
    </w:p>
    <w:p w14:paraId="77EEF353" w14:textId="77777777" w:rsidR="00F4742C" w:rsidRPr="004049D7" w:rsidRDefault="00E211E5">
      <w:pPr>
        <w:numPr>
          <w:ilvl w:val="0"/>
          <w:numId w:val="1"/>
        </w:numPr>
        <w:pBdr>
          <w:top w:val="nil"/>
          <w:left w:val="nil"/>
          <w:bottom w:val="nil"/>
          <w:right w:val="nil"/>
          <w:between w:val="nil"/>
        </w:pBdr>
        <w:spacing w:after="0" w:line="360" w:lineRule="auto"/>
        <w:ind w:right="-93"/>
        <w:rPr>
          <w:b/>
          <w:bCs/>
          <w:i/>
          <w:iCs/>
          <w:color w:val="000000"/>
          <w:sz w:val="20"/>
          <w:szCs w:val="20"/>
        </w:rPr>
      </w:pPr>
      <w:r w:rsidRPr="004049D7">
        <w:rPr>
          <w:b/>
          <w:bCs/>
          <w:i/>
          <w:iCs/>
          <w:color w:val="000000"/>
          <w:sz w:val="20"/>
          <w:szCs w:val="20"/>
        </w:rPr>
        <w:lastRenderedPageBreak/>
        <w:t xml:space="preserve">LESIONES- Artículo 236.- </w:t>
      </w:r>
      <w:r w:rsidRPr="004049D7">
        <w:rPr>
          <w:i/>
          <w:iCs/>
          <w:color w:val="000000"/>
          <w:sz w:val="20"/>
          <w:szCs w:val="20"/>
        </w:rPr>
        <w:t xml:space="preserve">Lesión es toda alteración que cause daños en la salud producida por una causa externa. </w:t>
      </w:r>
      <w:r w:rsidRPr="004049D7">
        <w:rPr>
          <w:b/>
          <w:bCs/>
          <w:i/>
          <w:iCs/>
          <w:color w:val="000000"/>
          <w:sz w:val="20"/>
          <w:szCs w:val="20"/>
        </w:rPr>
        <w:t>Artículo 238.-</w:t>
      </w:r>
      <w:r w:rsidRPr="004049D7">
        <w:rPr>
          <w:i/>
          <w:iCs/>
          <w:color w:val="000000"/>
          <w:sz w:val="20"/>
          <w:szCs w:val="20"/>
        </w:rPr>
        <w:t xml:space="preserve"> Son circunstancias que agravan la penalidad del delito de lesiones y se sancionarán, además de las penas señaladas en el artículo anterior, con las siguientes: X. Cuando las lesiones se produzcan por discriminación, aversión o rechazo en contra de la víctima, condición social o económica, por su origen étnico, raza, religión, discapacidad, orientación sexual o identidad de género, se aplicarán de seis meses a dos años de prisión, y de cincuenta a ciento cincuenta días multa</w:t>
      </w:r>
    </w:p>
    <w:p w14:paraId="24F9A9A5" w14:textId="77777777" w:rsidR="00F4742C" w:rsidRPr="004049D7" w:rsidRDefault="00E211E5">
      <w:pPr>
        <w:numPr>
          <w:ilvl w:val="0"/>
          <w:numId w:val="1"/>
        </w:numPr>
        <w:pBdr>
          <w:top w:val="nil"/>
          <w:left w:val="nil"/>
          <w:bottom w:val="nil"/>
          <w:right w:val="nil"/>
          <w:between w:val="nil"/>
        </w:pBdr>
        <w:spacing w:after="0" w:line="360" w:lineRule="auto"/>
        <w:ind w:right="-93"/>
        <w:rPr>
          <w:b/>
          <w:bCs/>
          <w:i/>
          <w:iCs/>
          <w:color w:val="000000"/>
          <w:sz w:val="20"/>
          <w:szCs w:val="20"/>
        </w:rPr>
      </w:pPr>
      <w:r w:rsidRPr="004049D7">
        <w:rPr>
          <w:b/>
          <w:bCs/>
          <w:i/>
          <w:iCs/>
          <w:color w:val="000000"/>
          <w:sz w:val="20"/>
          <w:szCs w:val="20"/>
        </w:rPr>
        <w:t xml:space="preserve">HOMICIDIO- Artículo 241.- </w:t>
      </w:r>
      <w:r w:rsidRPr="004049D7">
        <w:rPr>
          <w:i/>
          <w:iCs/>
          <w:color w:val="000000"/>
          <w:sz w:val="20"/>
          <w:szCs w:val="20"/>
        </w:rPr>
        <w:t>Comete el delito de homicidio el que priva de la vida a otro. Se sancionará como homicidio a quien a sabiendas de que padece una enfermedad grave, incurable y mortal, contagie a otro o le cause la muerte</w:t>
      </w:r>
      <w:r w:rsidRPr="004049D7">
        <w:rPr>
          <w:b/>
          <w:bCs/>
          <w:i/>
          <w:iCs/>
          <w:color w:val="000000"/>
          <w:sz w:val="20"/>
          <w:szCs w:val="20"/>
        </w:rPr>
        <w:t xml:space="preserve">. Artículo 242.- </w:t>
      </w:r>
      <w:r w:rsidRPr="004049D7">
        <w:rPr>
          <w:i/>
          <w:iCs/>
          <w:color w:val="000000"/>
          <w:sz w:val="20"/>
          <w:szCs w:val="20"/>
        </w:rPr>
        <w:t>El delito de homicidio, se sancionará en los siguientes términos: V. Al responsable del delito de homicidio con ensañamiento, crueldad o de odio manifiesto motivado por discriminación, aversión o rechazo a la víctima por su condición social o económica, religión, origen étnico, raza, discapacidad, orientación sexual o identidad de género de la víctima, se le impondrán de cuarenta a sesenta años de prisión y de setecientos a cinco mil días multa</w:t>
      </w:r>
    </w:p>
    <w:p w14:paraId="18EDE766" w14:textId="77777777" w:rsidR="00F4742C" w:rsidRPr="004049D7" w:rsidRDefault="00E211E5">
      <w:pPr>
        <w:numPr>
          <w:ilvl w:val="0"/>
          <w:numId w:val="1"/>
        </w:numPr>
        <w:pBdr>
          <w:top w:val="nil"/>
          <w:left w:val="nil"/>
          <w:bottom w:val="nil"/>
          <w:right w:val="nil"/>
          <w:between w:val="nil"/>
        </w:pBdr>
        <w:spacing w:after="0" w:line="360" w:lineRule="auto"/>
        <w:ind w:right="-93"/>
        <w:rPr>
          <w:i/>
          <w:iCs/>
          <w:color w:val="000000"/>
          <w:sz w:val="20"/>
          <w:szCs w:val="20"/>
        </w:rPr>
      </w:pPr>
      <w:r w:rsidRPr="004049D7">
        <w:rPr>
          <w:b/>
          <w:bCs/>
          <w:i/>
          <w:iCs/>
          <w:color w:val="000000"/>
          <w:sz w:val="20"/>
          <w:szCs w:val="20"/>
        </w:rPr>
        <w:t xml:space="preserve">FEMINICIDIO-Artículo 243. </w:t>
      </w:r>
      <w:r w:rsidRPr="004049D7">
        <w:rPr>
          <w:i/>
          <w:iCs/>
          <w:color w:val="000000"/>
          <w:sz w:val="20"/>
          <w:szCs w:val="20"/>
        </w:rPr>
        <w:t>Son circunstancias que atenúan la penalidad en el delito de homicidio y se sancionarán de la siguiente forma:…</w:t>
      </w:r>
    </w:p>
    <w:p w14:paraId="79D30054" w14:textId="77777777" w:rsidR="00F4742C" w:rsidRPr="004049D7" w:rsidRDefault="00E211E5">
      <w:pPr>
        <w:numPr>
          <w:ilvl w:val="0"/>
          <w:numId w:val="1"/>
        </w:numPr>
        <w:pBdr>
          <w:top w:val="nil"/>
          <w:left w:val="nil"/>
          <w:bottom w:val="nil"/>
          <w:right w:val="nil"/>
          <w:between w:val="nil"/>
        </w:pBdr>
        <w:spacing w:after="0" w:line="360" w:lineRule="auto"/>
        <w:ind w:right="-93"/>
        <w:rPr>
          <w:b/>
          <w:bCs/>
          <w:i/>
          <w:iCs/>
          <w:color w:val="000000"/>
          <w:sz w:val="20"/>
          <w:szCs w:val="20"/>
        </w:rPr>
      </w:pPr>
      <w:r w:rsidRPr="004049D7">
        <w:rPr>
          <w:b/>
          <w:bCs/>
          <w:i/>
          <w:iCs/>
          <w:color w:val="000000"/>
          <w:sz w:val="20"/>
          <w:szCs w:val="20"/>
        </w:rPr>
        <w:t xml:space="preserve">ACECHO- Artículo 268 Quinquies.- </w:t>
      </w:r>
      <w:r w:rsidRPr="004049D7">
        <w:rPr>
          <w:i/>
          <w:iCs/>
          <w:color w:val="000000"/>
          <w:sz w:val="20"/>
          <w:szCs w:val="20"/>
        </w:rPr>
        <w:t xml:space="preserve">Se le impondrán de seis meses a dos años de prisión y de cien a trescientos días multa a quien, de manera directa o por interpósita persona, aceche o intimide a una persona con la finalidad de generarle un daño, amenaza o temor fundado por su seguridad o integridad personal o de su familia, llevando a cabo de manera reiterada una o varias de las conductas siguientes: I. La vigile, siga, persiga, rastree o busque cercanía física en contra de su voluntad; II. Establezca o busque establecer comunicación persistentemente, en dos o más ocasiones, con ella, a través de cualquier medio de comunicación o redes sociales;… Artículo 268 </w:t>
      </w:r>
      <w:proofErr w:type="spellStart"/>
      <w:r w:rsidRPr="004049D7">
        <w:rPr>
          <w:i/>
          <w:iCs/>
          <w:color w:val="000000"/>
          <w:sz w:val="20"/>
          <w:szCs w:val="20"/>
        </w:rPr>
        <w:t>Septies</w:t>
      </w:r>
      <w:proofErr w:type="spellEnd"/>
      <w:r w:rsidRPr="004049D7">
        <w:rPr>
          <w:i/>
          <w:iCs/>
          <w:color w:val="000000"/>
          <w:sz w:val="20"/>
          <w:szCs w:val="20"/>
        </w:rPr>
        <w:t>.- Las penas previstas en este Capítulo se incrementarán hasta el doble cuando concurran una o varias de las circunstancias siguientes: VII. Cuando los actos se cometan en razón de la identidad de género u orientación sexual de la víctima;</w:t>
      </w:r>
    </w:p>
    <w:p w14:paraId="2EC09346" w14:textId="77777777" w:rsidR="00F4742C" w:rsidRPr="004049D7" w:rsidRDefault="00E211E5">
      <w:pPr>
        <w:numPr>
          <w:ilvl w:val="0"/>
          <w:numId w:val="1"/>
        </w:numPr>
        <w:pBdr>
          <w:top w:val="nil"/>
          <w:left w:val="nil"/>
          <w:bottom w:val="nil"/>
          <w:right w:val="nil"/>
          <w:between w:val="nil"/>
        </w:pBdr>
        <w:spacing w:after="0" w:line="360" w:lineRule="auto"/>
        <w:ind w:right="-93"/>
        <w:rPr>
          <w:i/>
          <w:iCs/>
          <w:color w:val="000000"/>
          <w:sz w:val="20"/>
          <w:szCs w:val="20"/>
        </w:rPr>
      </w:pPr>
      <w:r w:rsidRPr="004049D7">
        <w:rPr>
          <w:b/>
          <w:bCs/>
          <w:i/>
          <w:iCs/>
          <w:color w:val="000000"/>
          <w:sz w:val="20"/>
          <w:szCs w:val="20"/>
        </w:rPr>
        <w:t xml:space="preserve">HOSTIGAMIENTO Y ACOSO SEXUAL- Artículo 269.- </w:t>
      </w:r>
      <w:r w:rsidRPr="004049D7">
        <w:rPr>
          <w:i/>
          <w:iCs/>
          <w:color w:val="000000"/>
          <w:sz w:val="20"/>
          <w:szCs w:val="20"/>
        </w:rPr>
        <w:t xml:space="preserve">Comete el delito de hostigamiento sexual, quien realice una conducta de naturaleza sexual no consentida a persona de cualquier sexo que le sea subordinada, que lesione su dignidad o que sea indeseable para quien la recibe, valiéndose de su posición derivada de sus relaciones laborales, docentes, domésticas o cualquiera otra que implique jerarquía; y se le impondrán de dos a seis años de prisión o de cien a ochocientas veces el valor diario de la Unidad de Medida y Actualización. Si el sujeto activo fuera persona servidora pública y utilizare los medios o circunstancias </w:t>
      </w:r>
      <w:r w:rsidRPr="004049D7">
        <w:rPr>
          <w:i/>
          <w:iCs/>
          <w:color w:val="000000"/>
          <w:sz w:val="20"/>
          <w:szCs w:val="20"/>
        </w:rPr>
        <w:lastRenderedPageBreak/>
        <w:t>que el cargo le proporciona, además de la pena señalada, será destituida del cargo y se le inhabilitará para desempeñar empleos, cargos o comisiones en el servicio público de uno a tres años…La persona servidora pública integrante de instituciones policiales, de procuración o administración de justicia que se niegue a recibir la denuncia de la víctima del delito previsto en este artículo, siempre que corresponda al ámbito de su competencia, o la persuada, disuada o intimide para no interponerla, se le impondrán de dos a seis años de prisión y de doscientas a quinientas veces el valor diario de la Unidad de Medida y Actualización, además de la destitución e inhabilitación por un plazo igual al de la pena de prisión impuesta, para ejercer empleo, cargo o comisión públicos.</w:t>
      </w:r>
    </w:p>
    <w:p w14:paraId="2CDEA88A" w14:textId="77777777" w:rsidR="00F4742C" w:rsidRPr="004049D7" w:rsidRDefault="00E211E5">
      <w:pPr>
        <w:numPr>
          <w:ilvl w:val="0"/>
          <w:numId w:val="1"/>
        </w:numPr>
        <w:pBdr>
          <w:top w:val="nil"/>
          <w:left w:val="nil"/>
          <w:bottom w:val="nil"/>
          <w:right w:val="nil"/>
          <w:between w:val="nil"/>
        </w:pBdr>
        <w:spacing w:after="0" w:line="360" w:lineRule="auto"/>
        <w:ind w:right="-93"/>
        <w:rPr>
          <w:i/>
          <w:iCs/>
          <w:color w:val="000000"/>
          <w:sz w:val="20"/>
          <w:szCs w:val="20"/>
        </w:rPr>
      </w:pPr>
      <w:r w:rsidRPr="004049D7">
        <w:rPr>
          <w:b/>
          <w:bCs/>
          <w:i/>
          <w:iCs/>
          <w:color w:val="000000"/>
          <w:sz w:val="20"/>
          <w:szCs w:val="20"/>
        </w:rPr>
        <w:t>ABUSO SEXUAL-</w:t>
      </w:r>
      <w:r w:rsidRPr="004049D7">
        <w:rPr>
          <w:i/>
          <w:iCs/>
          <w:color w:val="000000"/>
          <w:sz w:val="20"/>
          <w:szCs w:val="20"/>
        </w:rPr>
        <w:t xml:space="preserve"> </w:t>
      </w:r>
      <w:r w:rsidRPr="004049D7">
        <w:rPr>
          <w:b/>
          <w:bCs/>
          <w:i/>
          <w:iCs/>
          <w:color w:val="000000"/>
          <w:sz w:val="20"/>
          <w:szCs w:val="20"/>
        </w:rPr>
        <w:t>Artículo 270.-</w:t>
      </w:r>
      <w:r w:rsidRPr="004049D7">
        <w:rPr>
          <w:i/>
          <w:iCs/>
          <w:color w:val="000000"/>
          <w:sz w:val="20"/>
          <w:szCs w:val="20"/>
        </w:rPr>
        <w:t xml:space="preserve"> Comete el delito de abuso sexual quien realice, en el ámbito público o privado, cualquier acto sexual sin el consentimiento de la víctima y sin el propósito de llegar a la cópula, o a quien lo realice en su presencia, la obligue a observarlo o la haga ejecutarlo sobre sí, en otra persona o para el propio sujeto activo. También se considera abuso sexual cuando se obligue a la víctima a exhibir su cuerpo. A quien cometa este delito, se le impondrá pena de tres a siete años de prisión y de doscientas a quinientas veces el valor diario de la Unidad de Medida y Actualización… La persona servidora pública integrante de instituciones policiales, de procuración o administración de justicia que se niegue a recibir la denuncia de la víctima del delito previsto en este artículo, siempre que corresponda al ámbito de su competencia, o la persuada, disuada o intimide para no interponerla, se le impondrán de dos a seis años de prisión y de doscientas a quinientas veces el valor diario de la Unidad de Medida y Actualización, además de la destitución e inhabilitación por un plazo igual al de la pena de prisión impuesta, para ejercer empleo, cargo o comisión públicos</w:t>
      </w:r>
      <w:r w:rsidRPr="004049D7">
        <w:rPr>
          <w:b/>
          <w:bCs/>
          <w:i/>
          <w:iCs/>
          <w:color w:val="000000"/>
          <w:sz w:val="20"/>
          <w:szCs w:val="20"/>
        </w:rPr>
        <w:t>. Artículo 270 Bis.-</w:t>
      </w:r>
      <w:r w:rsidRPr="004049D7">
        <w:rPr>
          <w:i/>
          <w:iCs/>
          <w:color w:val="000000"/>
          <w:sz w:val="20"/>
          <w:szCs w:val="20"/>
        </w:rPr>
        <w:t xml:space="preserve"> Las penas previstas para el abuso sexual se aumentarán hasta en una tercera parte en su mínimo y máximo, cuando el delito se cometa en cualquiera de las siguientes circunstancias: XII. Cuando se cometa contra personas por su orientación sexual, identidad de género o expresión de género; y</w:t>
      </w:r>
    </w:p>
    <w:p w14:paraId="74F4943D" w14:textId="77777777" w:rsidR="00F4742C" w:rsidRPr="004049D7" w:rsidRDefault="00E211E5">
      <w:pPr>
        <w:numPr>
          <w:ilvl w:val="0"/>
          <w:numId w:val="1"/>
        </w:numPr>
        <w:pBdr>
          <w:top w:val="nil"/>
          <w:left w:val="nil"/>
          <w:bottom w:val="nil"/>
          <w:right w:val="nil"/>
          <w:between w:val="nil"/>
        </w:pBdr>
        <w:spacing w:after="0" w:line="360" w:lineRule="auto"/>
        <w:ind w:right="-93"/>
        <w:rPr>
          <w:i/>
          <w:iCs/>
          <w:color w:val="000000"/>
          <w:sz w:val="20"/>
          <w:szCs w:val="20"/>
        </w:rPr>
      </w:pPr>
      <w:r w:rsidRPr="004049D7">
        <w:rPr>
          <w:b/>
          <w:bCs/>
          <w:i/>
          <w:iCs/>
          <w:color w:val="000000"/>
          <w:sz w:val="20"/>
          <w:szCs w:val="20"/>
        </w:rPr>
        <w:t>VIOLACION-Artículo 273.-</w:t>
      </w:r>
      <w:r w:rsidRPr="004049D7">
        <w:rPr>
          <w:i/>
          <w:iCs/>
          <w:color w:val="000000"/>
          <w:sz w:val="20"/>
          <w:szCs w:val="20"/>
        </w:rPr>
        <w:t xml:space="preserve"> Al que por medio de la violencia física o moral tenga cópula con una persona sin la voluntad de ésta, se le impondrán de diez a veinte años de prisión, y de doscientos a dos mil días multa. Comete también el delito de violación y se sancionará como tal, el que introduzca por vía vaginal o anal cualquier parte del cuerpo, objeto o instrumento diferente al miembro viril, por medio de la violencia física o moral, sea cual fuere el sexo del ofendido. Se equipará a la violación la cópula o introducción por vía vaginal o anal cualquier parte del cuerpo, objeto o instrumento diferente al miembro viril, con persona privada de razón, de sentido o cuando por cualquier enfermedad o cualquier otra causa no pudiere resistir o cuando la </w:t>
      </w:r>
      <w:r w:rsidRPr="004049D7">
        <w:rPr>
          <w:i/>
          <w:iCs/>
          <w:color w:val="000000"/>
          <w:sz w:val="20"/>
          <w:szCs w:val="20"/>
        </w:rPr>
        <w:lastRenderedPageBreak/>
        <w:t xml:space="preserve">víctima fuera menor de quince años. En estos casos, se aplicará la pena establecida en el párrafo primero de este artículo. </w:t>
      </w:r>
      <w:r w:rsidRPr="004049D7">
        <w:rPr>
          <w:b/>
          <w:bCs/>
          <w:i/>
          <w:iCs/>
          <w:color w:val="000000"/>
          <w:sz w:val="20"/>
          <w:szCs w:val="20"/>
        </w:rPr>
        <w:t xml:space="preserve">Artículo 274.- </w:t>
      </w:r>
      <w:r w:rsidRPr="004049D7">
        <w:rPr>
          <w:i/>
          <w:iCs/>
          <w:color w:val="000000"/>
          <w:sz w:val="20"/>
          <w:szCs w:val="20"/>
        </w:rPr>
        <w:t>Son circunstancias que modifican el delito de violación: III. Cuando el delito de violación sea cometido por quien desempeña un empleo, cargo o comisión públicos o ejerza una profesión utilizando los vehículos oficiales, circunstancias o cualquier medio que éstos le proporcionen, además de las sanciones previstas en el artículo 273, se aumentará la pena hasta en una mitad, también será destituido del cargo o empleo o suspendido hasta por el término de diez años en el ejercicio de su profesión, independientemente de las sanciones a que se haga acreedor; VIII. Cuando el delito sea cometido por quienes tengan o hayan tenido relación con la víctima por motivos laborales, docentes, médicos, domésticos, religiosos o cualquier otro que implique confianza o subordinación, se aumentará la pena que corresponda hasta en un tercio.</w:t>
      </w:r>
    </w:p>
    <w:p w14:paraId="65E7EDC1" w14:textId="77777777" w:rsidR="00F4742C" w:rsidRPr="004049D7" w:rsidRDefault="00F4742C">
      <w:pPr>
        <w:spacing w:after="0" w:line="360" w:lineRule="auto"/>
        <w:ind w:right="-93"/>
        <w:rPr>
          <w:color w:val="000000"/>
        </w:rPr>
      </w:pPr>
    </w:p>
    <w:p w14:paraId="0D990039" w14:textId="77777777" w:rsidR="00F4742C" w:rsidRPr="004049D7" w:rsidRDefault="00E211E5">
      <w:pPr>
        <w:spacing w:after="0" w:line="360" w:lineRule="auto"/>
        <w:ind w:right="-93"/>
        <w:rPr>
          <w:color w:val="000000"/>
        </w:rPr>
      </w:pPr>
      <w:r w:rsidRPr="004049D7">
        <w:rPr>
          <w:color w:val="000000"/>
        </w:rPr>
        <w:t>Asimismo, el Código Penal del Estado de Mexico prevé los Delitos de violencia de género, en los que contempla los siguientes:</w:t>
      </w:r>
    </w:p>
    <w:p w14:paraId="41AA4EE4" w14:textId="77777777" w:rsidR="00F4742C" w:rsidRPr="004049D7" w:rsidRDefault="00F4742C">
      <w:pPr>
        <w:spacing w:after="0" w:line="360" w:lineRule="auto"/>
        <w:ind w:right="-93"/>
        <w:rPr>
          <w:color w:val="000000"/>
        </w:rPr>
      </w:pPr>
    </w:p>
    <w:p w14:paraId="3DA165E8" w14:textId="77777777" w:rsidR="00F4742C" w:rsidRPr="004049D7" w:rsidRDefault="00E211E5">
      <w:pPr>
        <w:numPr>
          <w:ilvl w:val="0"/>
          <w:numId w:val="1"/>
        </w:numPr>
        <w:pBdr>
          <w:top w:val="nil"/>
          <w:left w:val="nil"/>
          <w:bottom w:val="nil"/>
          <w:right w:val="nil"/>
          <w:between w:val="nil"/>
        </w:pBdr>
        <w:spacing w:after="0" w:line="360" w:lineRule="auto"/>
        <w:ind w:right="-93"/>
        <w:rPr>
          <w:i/>
          <w:iCs/>
          <w:color w:val="000000"/>
          <w:sz w:val="20"/>
          <w:szCs w:val="20"/>
        </w:rPr>
      </w:pPr>
      <w:r w:rsidRPr="004049D7">
        <w:rPr>
          <w:b/>
          <w:bCs/>
          <w:i/>
          <w:iCs/>
          <w:color w:val="000000"/>
          <w:sz w:val="20"/>
          <w:szCs w:val="20"/>
        </w:rPr>
        <w:t>VIOLENCIA INSTITUCIONAL-Artículo 275</w:t>
      </w:r>
      <w:r w:rsidRPr="004049D7">
        <w:rPr>
          <w:i/>
          <w:iCs/>
          <w:color w:val="000000"/>
          <w:sz w:val="20"/>
          <w:szCs w:val="20"/>
        </w:rPr>
        <w:t>. A quien en el ejercicio de la función pública dilate, obstaculice, niegue la debida atención o impida el goce y ejercicio de los derechos humanos de las mujeres, así como su acceso a programas, acciones, recursos públicos y al disfrute de políticas públicas, se le impondrán de seis meses a dos años de prisión y de cincuenta a trescientos días multa.</w:t>
      </w:r>
    </w:p>
    <w:p w14:paraId="73CF5064" w14:textId="77777777" w:rsidR="00F4742C" w:rsidRPr="004049D7" w:rsidRDefault="00E211E5">
      <w:pPr>
        <w:numPr>
          <w:ilvl w:val="0"/>
          <w:numId w:val="1"/>
        </w:numPr>
        <w:pBdr>
          <w:top w:val="nil"/>
          <w:left w:val="nil"/>
          <w:bottom w:val="nil"/>
          <w:right w:val="nil"/>
          <w:between w:val="nil"/>
        </w:pBdr>
        <w:spacing w:after="0" w:line="360" w:lineRule="auto"/>
        <w:ind w:right="-93"/>
        <w:rPr>
          <w:i/>
          <w:iCs/>
          <w:color w:val="000000"/>
          <w:sz w:val="20"/>
          <w:szCs w:val="20"/>
        </w:rPr>
      </w:pPr>
      <w:r w:rsidRPr="004049D7">
        <w:rPr>
          <w:b/>
          <w:bCs/>
          <w:i/>
          <w:iCs/>
          <w:color w:val="000000"/>
          <w:sz w:val="20"/>
          <w:szCs w:val="20"/>
        </w:rPr>
        <w:t>VIOLENCIA OBSTÉTRICA- Artículo 276</w:t>
      </w:r>
      <w:r w:rsidRPr="004049D7">
        <w:rPr>
          <w:i/>
          <w:iCs/>
          <w:color w:val="000000"/>
          <w:sz w:val="20"/>
          <w:szCs w:val="20"/>
        </w:rPr>
        <w:t>. La violencia obstétrica se configura por parte del personal médico, paramédico, de enfermería y administrativo de las instituciones de salud públicas o privadas, cuando se dañe o denigre a la mujer durante el embarazo, el parto, puerperio o en emergencias obstétricas, vulnerando sus derechos por medio de tratos crueles, inhumanos o degradantes.</w:t>
      </w:r>
    </w:p>
    <w:p w14:paraId="734C07BB" w14:textId="77777777" w:rsidR="00F4742C" w:rsidRPr="004049D7" w:rsidRDefault="00E211E5">
      <w:pPr>
        <w:numPr>
          <w:ilvl w:val="0"/>
          <w:numId w:val="1"/>
        </w:numPr>
        <w:pBdr>
          <w:top w:val="nil"/>
          <w:left w:val="nil"/>
          <w:bottom w:val="nil"/>
          <w:right w:val="nil"/>
          <w:between w:val="nil"/>
        </w:pBdr>
        <w:spacing w:after="0" w:line="360" w:lineRule="auto"/>
        <w:ind w:right="-93"/>
        <w:rPr>
          <w:i/>
          <w:iCs/>
          <w:color w:val="000000"/>
          <w:sz w:val="20"/>
          <w:szCs w:val="20"/>
        </w:rPr>
      </w:pPr>
      <w:r w:rsidRPr="004049D7">
        <w:rPr>
          <w:b/>
          <w:bCs/>
          <w:i/>
          <w:iCs/>
          <w:color w:val="000000"/>
          <w:sz w:val="20"/>
          <w:szCs w:val="20"/>
        </w:rPr>
        <w:t>VIOLENCIA LABORAL-Artículo 279</w:t>
      </w:r>
      <w:r w:rsidRPr="004049D7">
        <w:rPr>
          <w:i/>
          <w:iCs/>
          <w:color w:val="000000"/>
          <w:sz w:val="20"/>
          <w:szCs w:val="20"/>
        </w:rPr>
        <w:t>. A quien obstaculice o condicione el acceso de una mujer a un empleo, por el establecimiento de requisitos referidos a su sexo, edad, apariencia física, estado civil, condición de madre, se le impondrán de seis meses a dos años de prisión y de cincuenta a trescientos días multa.</w:t>
      </w:r>
    </w:p>
    <w:p w14:paraId="46D1976E" w14:textId="77777777" w:rsidR="00F4742C" w:rsidRPr="004049D7" w:rsidRDefault="00E211E5">
      <w:pPr>
        <w:numPr>
          <w:ilvl w:val="0"/>
          <w:numId w:val="1"/>
        </w:numPr>
        <w:pBdr>
          <w:top w:val="nil"/>
          <w:left w:val="nil"/>
          <w:bottom w:val="nil"/>
          <w:right w:val="nil"/>
          <w:between w:val="nil"/>
        </w:pBdr>
        <w:spacing w:after="0" w:line="360" w:lineRule="auto"/>
        <w:ind w:right="-93"/>
        <w:rPr>
          <w:i/>
          <w:iCs/>
          <w:color w:val="000000"/>
          <w:sz w:val="20"/>
          <w:szCs w:val="20"/>
        </w:rPr>
      </w:pPr>
      <w:r w:rsidRPr="004049D7">
        <w:rPr>
          <w:b/>
          <w:bCs/>
          <w:i/>
          <w:iCs/>
          <w:color w:val="000000"/>
          <w:sz w:val="20"/>
          <w:szCs w:val="20"/>
        </w:rPr>
        <w:t>VIOLENCIA POR PARENTESCO-Artículo 280.</w:t>
      </w:r>
      <w:r w:rsidRPr="004049D7">
        <w:rPr>
          <w:i/>
          <w:iCs/>
          <w:color w:val="000000"/>
          <w:sz w:val="20"/>
          <w:szCs w:val="20"/>
        </w:rPr>
        <w:t xml:space="preserve"> A quien en contra de una mujer por razón de parentesco realice las conductas siguientes: I. Ejerza una selección nutricional o diferencia alimentaria en perjuicio de su salud. II. Prohíba injustificadamente iniciar o continuar actividades escolares o laborales lícitas. III. Asigne trabajo doméstico que la subordine en favor de los integrantes del sexo masculino de la familia. IV. Imponga profesión u oficio. V. Obligue a establecer relación de noviazgo, concubinato o </w:t>
      </w:r>
      <w:r w:rsidRPr="004049D7">
        <w:rPr>
          <w:i/>
          <w:iCs/>
          <w:color w:val="000000"/>
          <w:sz w:val="20"/>
          <w:szCs w:val="20"/>
        </w:rPr>
        <w:lastRenderedPageBreak/>
        <w:t>matrimonio con persona ajena a su voluntad. VI. Limite, prohíba o condicione el acceso y uso de métodos de salud sexual y reproductiva. Lo anterior sin perjuicio del derecho a la educación, de los padres, de quienes ejerzan la patria potestad, tutela o guarda y custodia. VII. Controle el ingreso de sus percepciones económicas.</w:t>
      </w:r>
    </w:p>
    <w:p w14:paraId="71AB3298" w14:textId="77777777" w:rsidR="00F4742C" w:rsidRPr="004049D7" w:rsidRDefault="00E211E5">
      <w:pPr>
        <w:numPr>
          <w:ilvl w:val="0"/>
          <w:numId w:val="1"/>
        </w:numPr>
        <w:pBdr>
          <w:top w:val="nil"/>
          <w:left w:val="nil"/>
          <w:bottom w:val="nil"/>
          <w:right w:val="nil"/>
          <w:between w:val="nil"/>
        </w:pBdr>
        <w:spacing w:after="0" w:line="360" w:lineRule="auto"/>
        <w:ind w:right="-93"/>
        <w:rPr>
          <w:i/>
          <w:iCs/>
          <w:color w:val="000000"/>
          <w:sz w:val="20"/>
          <w:szCs w:val="20"/>
        </w:rPr>
      </w:pPr>
      <w:r w:rsidRPr="004049D7">
        <w:rPr>
          <w:b/>
          <w:bCs/>
          <w:i/>
          <w:iCs/>
          <w:color w:val="000000"/>
          <w:sz w:val="20"/>
          <w:szCs w:val="20"/>
        </w:rPr>
        <w:t>VIOLENCIA POLÍTICA- Artículo 280 Bis</w:t>
      </w:r>
      <w:r w:rsidRPr="004049D7">
        <w:rPr>
          <w:i/>
          <w:iCs/>
          <w:color w:val="000000"/>
          <w:sz w:val="20"/>
          <w:szCs w:val="20"/>
        </w:rPr>
        <w:t>. A quien por cualquier medio impida u obstaculice a una mujer el acceso a los cargos de elección popular, su debido desempeño o la induzca a la toma de decisiones en contra de su voluntad, se le impondrá de seis meses a dos años de prisión y de cincuenta a trescientos días multa.</w:t>
      </w:r>
    </w:p>
    <w:p w14:paraId="4FC0F70A" w14:textId="77777777" w:rsidR="00F4742C" w:rsidRPr="004049D7" w:rsidRDefault="00E211E5">
      <w:pPr>
        <w:numPr>
          <w:ilvl w:val="0"/>
          <w:numId w:val="1"/>
        </w:numPr>
        <w:pBdr>
          <w:top w:val="nil"/>
          <w:left w:val="nil"/>
          <w:bottom w:val="nil"/>
          <w:right w:val="nil"/>
          <w:between w:val="nil"/>
        </w:pBdr>
        <w:spacing w:after="0" w:line="360" w:lineRule="auto"/>
        <w:ind w:right="-93"/>
        <w:rPr>
          <w:i/>
          <w:iCs/>
          <w:color w:val="000000"/>
          <w:sz w:val="20"/>
          <w:szCs w:val="20"/>
        </w:rPr>
      </w:pPr>
      <w:r w:rsidRPr="004049D7">
        <w:rPr>
          <w:b/>
          <w:bCs/>
          <w:i/>
          <w:iCs/>
          <w:color w:val="000000"/>
          <w:sz w:val="20"/>
          <w:szCs w:val="20"/>
        </w:rPr>
        <w:t>FEMINICIDIO-</w:t>
      </w:r>
      <w:r w:rsidRPr="004049D7">
        <w:rPr>
          <w:i/>
          <w:iCs/>
          <w:color w:val="000000"/>
          <w:sz w:val="20"/>
          <w:szCs w:val="20"/>
        </w:rPr>
        <w:t xml:space="preserve"> </w:t>
      </w:r>
      <w:r w:rsidRPr="004049D7">
        <w:rPr>
          <w:b/>
          <w:bCs/>
          <w:i/>
          <w:iCs/>
          <w:color w:val="000000"/>
          <w:sz w:val="20"/>
          <w:szCs w:val="20"/>
        </w:rPr>
        <w:t>Artículo 281.</w:t>
      </w:r>
      <w:r w:rsidRPr="004049D7">
        <w:rPr>
          <w:i/>
          <w:iCs/>
          <w:color w:val="000000"/>
          <w:sz w:val="20"/>
          <w:szCs w:val="20"/>
        </w:rPr>
        <w:t xml:space="preserve"> Comete el delito de feminicidio quien prive de la vida a una mujer por razones de género.</w:t>
      </w:r>
    </w:p>
    <w:p w14:paraId="38D2245B" w14:textId="77777777" w:rsidR="00F4742C" w:rsidRPr="004049D7" w:rsidRDefault="00E211E5">
      <w:pPr>
        <w:numPr>
          <w:ilvl w:val="0"/>
          <w:numId w:val="1"/>
        </w:numPr>
        <w:pBdr>
          <w:top w:val="nil"/>
          <w:left w:val="nil"/>
          <w:bottom w:val="nil"/>
          <w:right w:val="nil"/>
          <w:between w:val="nil"/>
        </w:pBdr>
        <w:spacing w:after="0" w:line="360" w:lineRule="auto"/>
        <w:ind w:right="-93"/>
        <w:rPr>
          <w:i/>
          <w:iCs/>
          <w:color w:val="000000"/>
          <w:sz w:val="20"/>
          <w:szCs w:val="20"/>
        </w:rPr>
      </w:pPr>
      <w:r w:rsidRPr="004049D7">
        <w:rPr>
          <w:b/>
          <w:bCs/>
          <w:i/>
          <w:iCs/>
          <w:color w:val="000000"/>
          <w:sz w:val="20"/>
          <w:szCs w:val="20"/>
        </w:rPr>
        <w:t>TRANSFEMINICIDIO- Artículo 281 Bis.</w:t>
      </w:r>
      <w:r w:rsidRPr="004049D7">
        <w:rPr>
          <w:i/>
          <w:iCs/>
          <w:color w:val="000000"/>
          <w:sz w:val="20"/>
          <w:szCs w:val="20"/>
        </w:rPr>
        <w:t xml:space="preserve"> Comete el delito de </w:t>
      </w:r>
      <w:proofErr w:type="spellStart"/>
      <w:r w:rsidRPr="004049D7">
        <w:rPr>
          <w:i/>
          <w:iCs/>
          <w:color w:val="000000"/>
          <w:sz w:val="20"/>
          <w:szCs w:val="20"/>
        </w:rPr>
        <w:t>transfeminicidio</w:t>
      </w:r>
      <w:proofErr w:type="spellEnd"/>
      <w:r w:rsidRPr="004049D7">
        <w:rPr>
          <w:i/>
          <w:iCs/>
          <w:color w:val="000000"/>
          <w:sz w:val="20"/>
          <w:szCs w:val="20"/>
        </w:rPr>
        <w:t xml:space="preserve"> quien, por razones de identidad o expresión de género, prive de la vida a una mujer trans, o a una persona cuya identidad o expresión de género se identifique como mujer, en un contexto de discriminación.</w:t>
      </w:r>
    </w:p>
    <w:p w14:paraId="70C99C36" w14:textId="77777777" w:rsidR="00F4742C" w:rsidRPr="004049D7" w:rsidRDefault="00F4742C">
      <w:pPr>
        <w:spacing w:after="0" w:line="360" w:lineRule="auto"/>
        <w:ind w:right="-93"/>
        <w:rPr>
          <w:sz w:val="20"/>
          <w:szCs w:val="20"/>
        </w:rPr>
      </w:pPr>
    </w:p>
    <w:p w14:paraId="017AA5B4" w14:textId="77777777" w:rsidR="00F4742C" w:rsidRPr="004049D7" w:rsidRDefault="00E211E5">
      <w:pPr>
        <w:spacing w:after="0" w:line="360" w:lineRule="auto"/>
        <w:ind w:right="-93"/>
      </w:pPr>
      <w:r w:rsidRPr="004049D7">
        <w:t xml:space="preserve">En este sentido, de conformidad con lo dispuesto en el Bando Municipal 2025, vigente al momento de la solicitud en  su artículo 32, plantea que dentro de su estructura orgánica cuenta con una Consejería Jurídica la cual brinda asesoría legal al Ayuntamiento y a las dependencias municipales, y a la ciudadanía, revisando y elaborando documentos legales y representando al municipio en procesos jurídicos; por lo que, en caso de que el Sujeto Obligado conozca de algún juicio penal o de cualquier índole, dicha área resulta competente. </w:t>
      </w:r>
    </w:p>
    <w:p w14:paraId="59339506" w14:textId="77777777" w:rsidR="00F4742C" w:rsidRPr="004049D7" w:rsidRDefault="00F4742C">
      <w:pPr>
        <w:spacing w:after="0" w:line="360" w:lineRule="auto"/>
        <w:ind w:right="-93"/>
      </w:pPr>
    </w:p>
    <w:p w14:paraId="2AE8EE95" w14:textId="77777777" w:rsidR="00F4742C" w:rsidRPr="004049D7" w:rsidRDefault="00E211E5">
      <w:pPr>
        <w:spacing w:after="0" w:line="360" w:lineRule="auto"/>
        <w:ind w:right="-93"/>
      </w:pPr>
      <w:r w:rsidRPr="004049D7">
        <w:t xml:space="preserve">En este sentido la Ley de Acceso de las mujeres a una vida libre de violencia del Estado de Mexico prevé, en su </w:t>
      </w:r>
      <w:proofErr w:type="spellStart"/>
      <w:r w:rsidRPr="004049D7">
        <w:t>titulo</w:t>
      </w:r>
      <w:proofErr w:type="spellEnd"/>
      <w:r w:rsidRPr="004049D7">
        <w:t xml:space="preserve"> tercero diversas modalidades de violencia, entre ellas, la violencia laboral y docente, en el que según el artículo 9, se e ejerce por las personas que tienen un vínculo laboral, docente o análogo con la víctima, independientemente de la relación jerárquica, consistente en un acto o una omisión, abuso de poder, provocando daño a la autoestima, salud, integridad, libertad y seguridad de la víctima, e impide el libre desarrollo de la personalidad atentando contra sus derechos humanos. Puede consistir en un solo evento dañino o en una serie de eventos cuya suma produce el daño. También incluye el hostigamiento o el acoso sexual. Y de </w:t>
      </w:r>
      <w:r w:rsidRPr="004049D7">
        <w:lastRenderedPageBreak/>
        <w:t xml:space="preserve">conformidad con el </w:t>
      </w:r>
      <w:proofErr w:type="spellStart"/>
      <w:r w:rsidRPr="004049D7">
        <w:t>articulo</w:t>
      </w:r>
      <w:proofErr w:type="spellEnd"/>
      <w:r w:rsidRPr="004049D7">
        <w:t xml:space="preserve"> 14, se señala que los Municipios en el marco de sus respectivas competencias para efectos del hostigamiento sexual y del acoso sexual, crearan Comités para la Atención y Prevención del Hostigamiento y Acoso Sexual en las dependencias y organismos del ámbito de su competencia y crearan procedimientos administrativos claros y precisos en las escuelas y los centros laborales, para sancionar estos ilícitos e inhibir su comisión.</w:t>
      </w:r>
    </w:p>
    <w:p w14:paraId="4515A28B" w14:textId="77777777" w:rsidR="00F4742C" w:rsidRPr="004049D7" w:rsidRDefault="00F4742C">
      <w:pPr>
        <w:spacing w:after="0" w:line="360" w:lineRule="auto"/>
        <w:ind w:right="-93"/>
      </w:pPr>
    </w:p>
    <w:p w14:paraId="6A099538" w14:textId="77777777" w:rsidR="00F4742C" w:rsidRPr="004049D7" w:rsidRDefault="00E211E5">
      <w:pPr>
        <w:spacing w:after="0" w:line="360" w:lineRule="auto"/>
        <w:ind w:right="-93"/>
      </w:pPr>
      <w:r w:rsidRPr="004049D7">
        <w:t xml:space="preserve">Por su parte, la Ley de Responsabilidades Administrativas del Estado de Mexico y Municipios, prevé que dentro de las faltas administrativas graves se encuentra el cometer o tolerar conductas de hostigamiento y acoso sexual, conforme a lo descrito en los artículos 52 y 59. Al respecto, cabe precisar que el Órgano Interno de Control o contraloría interna podría conocer de los procedimientos administrativos por faltas graves que son remitidos al Tribunal de Justicia Administrativa y por tanto, conocer de las faltas impuestas o bien denuncias en contra de servidores públicos. </w:t>
      </w:r>
    </w:p>
    <w:p w14:paraId="0CAE86AC" w14:textId="77777777" w:rsidR="00F4742C" w:rsidRPr="004049D7" w:rsidRDefault="00F4742C">
      <w:pPr>
        <w:spacing w:after="0" w:line="360" w:lineRule="auto"/>
        <w:ind w:right="-93"/>
      </w:pPr>
    </w:p>
    <w:p w14:paraId="1E713B98" w14:textId="77777777" w:rsidR="00F4742C" w:rsidRPr="004049D7" w:rsidRDefault="00E211E5">
      <w:pPr>
        <w:spacing w:after="0" w:line="360" w:lineRule="auto"/>
        <w:ind w:right="-93"/>
      </w:pPr>
      <w:r w:rsidRPr="004049D7">
        <w:t>Por su parte, el Bando Municipal 2025, vigente al momento de la solicitud en su artículo 32, plantea que dentro de su estructura orgánica cuenta con un Instituto de la Mujer, el cual ofrece servicios especializados de atención jurídica, psicológica y social a mujeres en situación de vulnerabilidad, además de fomentar su empoderamiento y desarrollo integral a través de cursos y talleres.</w:t>
      </w:r>
    </w:p>
    <w:p w14:paraId="7907F827" w14:textId="77777777" w:rsidR="00F4742C" w:rsidRPr="004049D7" w:rsidRDefault="00F4742C">
      <w:pPr>
        <w:spacing w:after="0" w:line="360" w:lineRule="auto"/>
        <w:ind w:right="-93"/>
      </w:pPr>
    </w:p>
    <w:p w14:paraId="41C7EA60" w14:textId="77777777" w:rsidR="00F4742C" w:rsidRPr="004049D7" w:rsidRDefault="00E211E5">
      <w:pPr>
        <w:spacing w:after="0" w:line="360" w:lineRule="auto"/>
        <w:ind w:right="-93"/>
      </w:pPr>
      <w:r w:rsidRPr="004049D7">
        <w:t xml:space="preserve">Así pues, se advierte que la Consejería Jurídica, la Contraloría Interna y el Instituto de la Mujer, pueden conocer de la información relacionada con procedimientos de servidores públicos en materia de género. </w:t>
      </w:r>
    </w:p>
    <w:p w14:paraId="2D77489B" w14:textId="77777777" w:rsidR="00F4742C" w:rsidRPr="004049D7" w:rsidRDefault="00F4742C">
      <w:pPr>
        <w:spacing w:after="0" w:line="360" w:lineRule="auto"/>
        <w:ind w:right="-93"/>
      </w:pPr>
    </w:p>
    <w:p w14:paraId="54293315" w14:textId="77777777" w:rsidR="00F4742C" w:rsidRPr="004049D7" w:rsidRDefault="00E211E5">
      <w:pPr>
        <w:pBdr>
          <w:top w:val="nil"/>
          <w:left w:val="nil"/>
          <w:bottom w:val="nil"/>
          <w:right w:val="nil"/>
          <w:between w:val="nil"/>
        </w:pBdr>
        <w:tabs>
          <w:tab w:val="left" w:pos="4962"/>
        </w:tabs>
        <w:spacing w:after="0" w:line="360" w:lineRule="auto"/>
      </w:pPr>
      <w:r w:rsidRPr="004049D7">
        <w:rPr>
          <w:color w:val="000000"/>
        </w:rPr>
        <w:t xml:space="preserve">En este contexto, es preciso señalar que, </w:t>
      </w:r>
      <w:r w:rsidRPr="004049D7">
        <w:rPr>
          <w:b/>
          <w:bCs/>
          <w:color w:val="000000"/>
        </w:rPr>
        <w:t>en respuesta</w:t>
      </w:r>
      <w:r w:rsidRPr="004049D7">
        <w:rPr>
          <w:color w:val="000000"/>
        </w:rPr>
        <w:t xml:space="preserve">, el Sujeto Obligado, a través de la </w:t>
      </w:r>
      <w:r w:rsidRPr="004049D7">
        <w:t xml:space="preserve">Titular de la Unidad de Transparencia del Sujeto Obligado, en el que se declaró incompetente para conocer de la información; sin embargo, tal y como se señaló en líneas anteriores, el Sujeto Obligado sí es competente para conocer de lo requerido. </w:t>
      </w:r>
    </w:p>
    <w:p w14:paraId="4B997F20" w14:textId="77777777" w:rsidR="00F4742C" w:rsidRPr="004049D7" w:rsidRDefault="00F4742C">
      <w:pPr>
        <w:pBdr>
          <w:top w:val="nil"/>
          <w:left w:val="nil"/>
          <w:bottom w:val="nil"/>
          <w:right w:val="nil"/>
          <w:between w:val="nil"/>
        </w:pBdr>
        <w:tabs>
          <w:tab w:val="left" w:pos="4962"/>
        </w:tabs>
        <w:spacing w:after="0" w:line="360" w:lineRule="auto"/>
        <w:rPr>
          <w:b/>
          <w:bCs/>
          <w:color w:val="000000"/>
        </w:rPr>
      </w:pPr>
    </w:p>
    <w:p w14:paraId="5AAEC7F0" w14:textId="77777777" w:rsidR="00F4742C" w:rsidRPr="004049D7" w:rsidRDefault="00E211E5">
      <w:pPr>
        <w:pBdr>
          <w:top w:val="nil"/>
          <w:left w:val="nil"/>
          <w:bottom w:val="nil"/>
          <w:right w:val="nil"/>
          <w:between w:val="nil"/>
        </w:pBdr>
        <w:tabs>
          <w:tab w:val="left" w:pos="4962"/>
        </w:tabs>
        <w:spacing w:after="0" w:line="360" w:lineRule="auto"/>
        <w:rPr>
          <w:color w:val="000000"/>
        </w:rPr>
      </w:pPr>
      <w:r w:rsidRPr="004049D7">
        <w:rPr>
          <w:color w:val="000000"/>
        </w:rPr>
        <w:t>Sin embargo, durante la sustanciación del Recurso de Revisión, se realizó un requerimiento de información adicional al Sujeto Obligado a fin de que aportara mayores elementos de análisis, y resultado de ello, el Sujeto Obligado remitió informe justificado en el que desahogo el requerimiento de información en los siguientes términos:</w:t>
      </w:r>
    </w:p>
    <w:p w14:paraId="7E392FCE" w14:textId="77777777" w:rsidR="00F4742C" w:rsidRPr="004049D7" w:rsidRDefault="00F4742C">
      <w:pPr>
        <w:pBdr>
          <w:top w:val="nil"/>
          <w:left w:val="nil"/>
          <w:bottom w:val="nil"/>
          <w:right w:val="nil"/>
          <w:between w:val="nil"/>
        </w:pBdr>
        <w:tabs>
          <w:tab w:val="left" w:pos="4962"/>
        </w:tabs>
        <w:spacing w:after="0" w:line="360" w:lineRule="auto"/>
        <w:rPr>
          <w:color w:val="000000"/>
        </w:rPr>
      </w:pPr>
    </w:p>
    <w:p w14:paraId="72EBE812" w14:textId="77777777" w:rsidR="00F4742C" w:rsidRPr="004049D7" w:rsidRDefault="00E211E5">
      <w:pPr>
        <w:numPr>
          <w:ilvl w:val="0"/>
          <w:numId w:val="1"/>
        </w:numPr>
        <w:pBdr>
          <w:top w:val="nil"/>
          <w:left w:val="nil"/>
          <w:bottom w:val="nil"/>
          <w:right w:val="nil"/>
          <w:between w:val="nil"/>
        </w:pBdr>
        <w:spacing w:after="0" w:line="360" w:lineRule="auto"/>
        <w:rPr>
          <w:b/>
          <w:bCs/>
          <w:i/>
          <w:iCs/>
          <w:color w:val="000000"/>
        </w:rPr>
      </w:pPr>
      <w:r w:rsidRPr="004049D7">
        <w:rPr>
          <w:b/>
          <w:bCs/>
          <w:i/>
          <w:iCs/>
          <w:color w:val="000000"/>
        </w:rPr>
        <w:t xml:space="preserve">CONSEJERÍA JURÍDICA.pdf; </w:t>
      </w:r>
      <w:r w:rsidRPr="004049D7">
        <w:rPr>
          <w:color w:val="000000"/>
        </w:rPr>
        <w:t>del que se desprende un oficio suscrito por la Directora de la Coordinación Jurídica y Legal y titular de la Unidad Administrativa de la Consejería Jurídica en el que informó lo siguiente:</w:t>
      </w:r>
    </w:p>
    <w:p w14:paraId="5F32ECA7" w14:textId="77777777" w:rsidR="00F4742C" w:rsidRPr="004049D7" w:rsidRDefault="00F4742C">
      <w:pPr>
        <w:pBdr>
          <w:top w:val="nil"/>
          <w:left w:val="nil"/>
          <w:bottom w:val="nil"/>
          <w:right w:val="nil"/>
          <w:between w:val="nil"/>
        </w:pBdr>
        <w:spacing w:after="0" w:line="360" w:lineRule="auto"/>
        <w:ind w:left="720"/>
        <w:rPr>
          <w:b/>
          <w:bCs/>
          <w:i/>
          <w:iCs/>
          <w:color w:val="000000"/>
        </w:rPr>
      </w:pPr>
    </w:p>
    <w:p w14:paraId="3FADB515" w14:textId="77777777" w:rsidR="00F4742C" w:rsidRPr="004049D7" w:rsidRDefault="00E211E5">
      <w:pPr>
        <w:pBdr>
          <w:top w:val="nil"/>
          <w:left w:val="nil"/>
          <w:bottom w:val="nil"/>
          <w:right w:val="nil"/>
          <w:between w:val="nil"/>
        </w:pBdr>
        <w:spacing w:after="0" w:line="360" w:lineRule="auto"/>
        <w:ind w:left="720"/>
        <w:rPr>
          <w:b/>
          <w:bCs/>
          <w:i/>
          <w:iCs/>
          <w:color w:val="000000"/>
          <w:sz w:val="20"/>
          <w:szCs w:val="20"/>
        </w:rPr>
      </w:pPr>
      <w:r w:rsidRPr="004049D7">
        <w:rPr>
          <w:b/>
          <w:bCs/>
          <w:i/>
          <w:iCs/>
          <w:color w:val="000000"/>
          <w:sz w:val="20"/>
          <w:szCs w:val="20"/>
        </w:rPr>
        <w:t xml:space="preserve">“MANIFIESTA: </w:t>
      </w:r>
      <w:r w:rsidRPr="004049D7">
        <w:rPr>
          <w:i/>
          <w:iCs/>
          <w:color w:val="000000"/>
          <w:sz w:val="20"/>
          <w:szCs w:val="20"/>
        </w:rPr>
        <w:t>procedimiento en trámite o concluido en contra de servidores públicos con motivo o razón de género de cualquier naturaleza</w:t>
      </w:r>
      <w:r w:rsidRPr="004049D7">
        <w:rPr>
          <w:b/>
          <w:bCs/>
          <w:i/>
          <w:iCs/>
          <w:color w:val="000000"/>
          <w:sz w:val="20"/>
          <w:szCs w:val="20"/>
        </w:rPr>
        <w:t xml:space="preserve"> TOTAL O”</w:t>
      </w:r>
    </w:p>
    <w:p w14:paraId="0608CE7C" w14:textId="77777777" w:rsidR="00F4742C" w:rsidRPr="004049D7" w:rsidRDefault="00F4742C">
      <w:pPr>
        <w:pBdr>
          <w:top w:val="nil"/>
          <w:left w:val="nil"/>
          <w:bottom w:val="nil"/>
          <w:right w:val="nil"/>
          <w:between w:val="nil"/>
        </w:pBdr>
        <w:spacing w:after="0" w:line="360" w:lineRule="auto"/>
        <w:ind w:left="720"/>
        <w:rPr>
          <w:b/>
          <w:bCs/>
          <w:i/>
          <w:iCs/>
          <w:color w:val="000000"/>
        </w:rPr>
      </w:pPr>
    </w:p>
    <w:p w14:paraId="1AE61516" w14:textId="77777777" w:rsidR="00F4742C" w:rsidRPr="004049D7" w:rsidRDefault="00E211E5">
      <w:pPr>
        <w:numPr>
          <w:ilvl w:val="0"/>
          <w:numId w:val="1"/>
        </w:numPr>
        <w:pBdr>
          <w:top w:val="nil"/>
          <w:left w:val="nil"/>
          <w:bottom w:val="nil"/>
          <w:right w:val="nil"/>
          <w:between w:val="nil"/>
        </w:pBdr>
        <w:spacing w:after="0" w:line="360" w:lineRule="auto"/>
        <w:rPr>
          <w:b/>
          <w:bCs/>
          <w:i/>
          <w:iCs/>
          <w:color w:val="000000"/>
        </w:rPr>
      </w:pPr>
      <w:r w:rsidRPr="004049D7">
        <w:rPr>
          <w:b/>
          <w:bCs/>
          <w:i/>
          <w:iCs/>
          <w:color w:val="000000"/>
        </w:rPr>
        <w:t xml:space="preserve">INSTITUTO DE LA MUJER.pdf; </w:t>
      </w:r>
      <w:r w:rsidRPr="004049D7">
        <w:rPr>
          <w:color w:val="000000"/>
        </w:rPr>
        <w:t>del que se desprende un oficio suscrito por la Titular del Instituto de la Mujer del Sujeto Obligado en el que informó:</w:t>
      </w:r>
    </w:p>
    <w:p w14:paraId="07C39CA6" w14:textId="77777777" w:rsidR="00F4742C" w:rsidRPr="004049D7" w:rsidRDefault="00E211E5">
      <w:pPr>
        <w:spacing w:after="0" w:line="360" w:lineRule="auto"/>
        <w:ind w:left="567" w:right="709"/>
        <w:rPr>
          <w:i/>
          <w:iCs/>
          <w:color w:val="000000"/>
          <w:sz w:val="20"/>
          <w:szCs w:val="20"/>
        </w:rPr>
      </w:pPr>
      <w:r w:rsidRPr="004049D7">
        <w:rPr>
          <w:i/>
          <w:iCs/>
          <w:color w:val="000000"/>
          <w:sz w:val="20"/>
          <w:szCs w:val="20"/>
        </w:rPr>
        <w:t>“…</w:t>
      </w:r>
    </w:p>
    <w:p w14:paraId="765D53DC" w14:textId="77777777" w:rsidR="00F4742C" w:rsidRPr="004049D7" w:rsidRDefault="00E211E5">
      <w:pPr>
        <w:spacing w:after="0" w:line="360" w:lineRule="auto"/>
        <w:ind w:left="567" w:right="709"/>
        <w:rPr>
          <w:i/>
          <w:iCs/>
          <w:color w:val="000000"/>
          <w:sz w:val="20"/>
          <w:szCs w:val="20"/>
        </w:rPr>
      </w:pPr>
      <w:r w:rsidRPr="004049D7">
        <w:rPr>
          <w:i/>
          <w:iCs/>
          <w:color w:val="000000"/>
          <w:sz w:val="20"/>
          <w:szCs w:val="20"/>
        </w:rPr>
        <w:t xml:space="preserve">…le hago de su conocimiento que se realizó una búsqueda exhaustiva dentro de los archivos digitales y físicos en el área del Instituto de la Mujer y al respecto le informo que: </w:t>
      </w:r>
    </w:p>
    <w:p w14:paraId="75670AAA" w14:textId="77777777" w:rsidR="00F4742C" w:rsidRPr="004049D7" w:rsidRDefault="00E211E5">
      <w:pPr>
        <w:spacing w:after="0" w:line="360" w:lineRule="auto"/>
        <w:ind w:left="567" w:right="709"/>
        <w:rPr>
          <w:i/>
          <w:iCs/>
          <w:color w:val="000000"/>
          <w:sz w:val="20"/>
          <w:szCs w:val="20"/>
        </w:rPr>
      </w:pPr>
      <w:r w:rsidRPr="004049D7">
        <w:rPr>
          <w:i/>
          <w:iCs/>
          <w:color w:val="000000"/>
          <w:sz w:val="20"/>
          <w:szCs w:val="20"/>
        </w:rPr>
        <w:t>1. Procedimiento en trámite o concluido, en contra de personas servidores públicos, con motivo o razón de genero de cualquier naturaleza (responsabilidad administrativa, disciplinario, penal, entre otros):</w:t>
      </w:r>
      <w:r w:rsidRPr="004049D7">
        <w:rPr>
          <w:b/>
          <w:bCs/>
          <w:i/>
          <w:iCs/>
          <w:color w:val="000000"/>
          <w:sz w:val="20"/>
          <w:szCs w:val="20"/>
        </w:rPr>
        <w:t xml:space="preserve"> 0</w:t>
      </w:r>
      <w:r w:rsidRPr="004049D7">
        <w:rPr>
          <w:i/>
          <w:iCs/>
          <w:color w:val="000000"/>
          <w:sz w:val="20"/>
          <w:szCs w:val="20"/>
        </w:rPr>
        <w:t>”</w:t>
      </w:r>
    </w:p>
    <w:p w14:paraId="0D1123C2" w14:textId="77777777" w:rsidR="00F4742C" w:rsidRPr="004049D7" w:rsidRDefault="00F4742C">
      <w:pPr>
        <w:spacing w:after="0" w:line="360" w:lineRule="auto"/>
        <w:rPr>
          <w:b/>
          <w:bCs/>
          <w:i/>
          <w:iCs/>
          <w:color w:val="000000"/>
        </w:rPr>
      </w:pPr>
    </w:p>
    <w:p w14:paraId="659570A9" w14:textId="77777777" w:rsidR="00F4742C" w:rsidRPr="004049D7" w:rsidRDefault="00E211E5">
      <w:pPr>
        <w:numPr>
          <w:ilvl w:val="0"/>
          <w:numId w:val="1"/>
        </w:numPr>
        <w:pBdr>
          <w:top w:val="nil"/>
          <w:left w:val="nil"/>
          <w:bottom w:val="nil"/>
          <w:right w:val="nil"/>
          <w:between w:val="nil"/>
        </w:pBdr>
        <w:spacing w:after="0" w:line="360" w:lineRule="auto"/>
        <w:rPr>
          <w:b/>
          <w:bCs/>
          <w:i/>
          <w:iCs/>
          <w:color w:val="000000"/>
        </w:rPr>
      </w:pPr>
      <w:r w:rsidRPr="004049D7">
        <w:rPr>
          <w:b/>
          <w:bCs/>
          <w:i/>
          <w:iCs/>
          <w:color w:val="000000"/>
        </w:rPr>
        <w:t xml:space="preserve">CONTRALORÍA INTERNA.pdf; </w:t>
      </w:r>
      <w:r w:rsidRPr="004049D7">
        <w:rPr>
          <w:color w:val="000000"/>
        </w:rPr>
        <w:t xml:space="preserve"> del que se observa un oficio suscrito por el Titular del Órgano Interno de Control, en el que informó lo siguiente:</w:t>
      </w:r>
    </w:p>
    <w:p w14:paraId="31100386" w14:textId="77777777" w:rsidR="00F4742C" w:rsidRPr="004049D7" w:rsidRDefault="00E211E5">
      <w:pPr>
        <w:spacing w:after="0" w:line="360" w:lineRule="auto"/>
        <w:ind w:left="567" w:right="709"/>
        <w:rPr>
          <w:i/>
          <w:iCs/>
          <w:color w:val="000000"/>
          <w:sz w:val="20"/>
          <w:szCs w:val="20"/>
        </w:rPr>
      </w:pPr>
      <w:r w:rsidRPr="004049D7">
        <w:rPr>
          <w:i/>
          <w:iCs/>
          <w:color w:val="000000"/>
          <w:sz w:val="20"/>
          <w:szCs w:val="20"/>
        </w:rPr>
        <w:t>“…</w:t>
      </w:r>
    </w:p>
    <w:p w14:paraId="4E63F662" w14:textId="77777777" w:rsidR="00F4742C" w:rsidRPr="004049D7" w:rsidRDefault="00E211E5">
      <w:pPr>
        <w:spacing w:after="0" w:line="360" w:lineRule="auto"/>
        <w:ind w:left="567" w:right="709"/>
        <w:rPr>
          <w:i/>
          <w:iCs/>
          <w:color w:val="000000"/>
          <w:sz w:val="20"/>
          <w:szCs w:val="20"/>
        </w:rPr>
      </w:pPr>
      <w:r w:rsidRPr="004049D7">
        <w:rPr>
          <w:i/>
          <w:iCs/>
          <w:color w:val="000000"/>
          <w:sz w:val="20"/>
          <w:szCs w:val="20"/>
        </w:rPr>
        <w:t>En este Órgano Interno de Control no existe procedimiento entre el primero de enero al doce de noviembre de dos mil veinticinco en trámite o concluido con motivo o razón de género.</w:t>
      </w:r>
    </w:p>
    <w:p w14:paraId="6BEFEB1C" w14:textId="77777777" w:rsidR="00F4742C" w:rsidRPr="004049D7" w:rsidRDefault="00E211E5">
      <w:pPr>
        <w:spacing w:after="0" w:line="360" w:lineRule="auto"/>
        <w:ind w:left="567" w:right="709"/>
        <w:rPr>
          <w:i/>
          <w:iCs/>
          <w:color w:val="000000"/>
          <w:sz w:val="20"/>
          <w:szCs w:val="20"/>
        </w:rPr>
      </w:pPr>
      <w:r w:rsidRPr="004049D7">
        <w:rPr>
          <w:i/>
          <w:iCs/>
          <w:color w:val="000000"/>
          <w:sz w:val="20"/>
          <w:szCs w:val="20"/>
        </w:rPr>
        <w:t>…”</w:t>
      </w:r>
    </w:p>
    <w:p w14:paraId="6E1B8562" w14:textId="77777777" w:rsidR="00F4742C" w:rsidRPr="004049D7" w:rsidRDefault="00E211E5">
      <w:pPr>
        <w:spacing w:after="0" w:line="360" w:lineRule="auto"/>
      </w:pPr>
      <w:r w:rsidRPr="004049D7">
        <w:rPr>
          <w:color w:val="000000"/>
        </w:rPr>
        <w:lastRenderedPageBreak/>
        <w:t xml:space="preserve">Así, se procede analizar la información proporcionada por el Sujeto Obligado, para lo cual, cabe señalar que en informe justificado se pronunciaron la Consejería Jurídica, el Instituto de la Mujer y el Órgano Interno de Control ; por lo que, </w:t>
      </w:r>
      <w:r w:rsidRPr="004049D7">
        <w:t xml:space="preserve">es oportuno hacer referencia al </w:t>
      </w:r>
      <w:r w:rsidRPr="004049D7">
        <w:rPr>
          <w:b/>
          <w:bCs/>
        </w:rPr>
        <w:t>procedimiento de búsqueda que deben de seguir los Sujetos Obligados para localizar la información</w:t>
      </w:r>
      <w:r w:rsidRPr="004049D7">
        <w:t>,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con el objeto de que dichas áreas realicen una búsqueda exhaustiva y razonable de la información requerido.</w:t>
      </w:r>
    </w:p>
    <w:p w14:paraId="30D8F651" w14:textId="77777777" w:rsidR="00F4742C" w:rsidRPr="004049D7" w:rsidRDefault="00F4742C">
      <w:pPr>
        <w:spacing w:after="0" w:line="360" w:lineRule="auto"/>
      </w:pPr>
    </w:p>
    <w:p w14:paraId="0E6E42B1" w14:textId="77777777" w:rsidR="00F4742C" w:rsidRPr="004049D7" w:rsidRDefault="00E211E5">
      <w:pPr>
        <w:spacing w:after="0" w:line="360" w:lineRule="auto"/>
        <w:ind w:right="-93"/>
      </w:pPr>
      <w:r w:rsidRPr="004049D7">
        <w:t xml:space="preserve">Así y de lo plasmado en párrafos anteriores, </w:t>
      </w:r>
      <w:r w:rsidRPr="004049D7">
        <w:rPr>
          <w:color w:val="000000"/>
        </w:rPr>
        <w:t>se advierte que el Sujeto Obligado cumplió con el procedimiento de búsqueda referido, pues turnó la solicitud de información al área competente de conocer lo solicitado.</w:t>
      </w:r>
    </w:p>
    <w:p w14:paraId="37013BCB" w14:textId="77777777" w:rsidR="00F4742C" w:rsidRPr="004049D7" w:rsidRDefault="00F4742C">
      <w:pPr>
        <w:spacing w:after="0" w:line="360" w:lineRule="auto"/>
      </w:pPr>
    </w:p>
    <w:p w14:paraId="455FBD20" w14:textId="77777777" w:rsidR="00F4742C" w:rsidRPr="004049D7" w:rsidRDefault="00E211E5">
      <w:pPr>
        <w:spacing w:after="0" w:line="360" w:lineRule="auto"/>
      </w:pPr>
      <w:r w:rsidRPr="004049D7">
        <w:rPr>
          <w:color w:val="000000"/>
        </w:rPr>
        <w:t xml:space="preserve">Así pues, el </w:t>
      </w:r>
      <w:r w:rsidRPr="004049D7">
        <w:rPr>
          <w:b/>
          <w:bCs/>
          <w:color w:val="000000"/>
        </w:rPr>
        <w:t>Sujeto Obligado en informe justificado y mediante sus áreas competentes señaló que no cuenta con ningún servidor público que se encuentre en trámite de procedimiento o proceso judicial de ninguna índole durante la temporalidad requerida</w:t>
      </w:r>
      <w:r w:rsidRPr="004049D7">
        <w:rPr>
          <w:color w:val="000000"/>
        </w:rPr>
        <w:t xml:space="preserve">; </w:t>
      </w:r>
      <w:r w:rsidRPr="004049D7">
        <w:t xml:space="preserve">sobre el tema, el Criterio orientador, con clave de control SO/014/2017, emitido por el entonces Instituto Nacional de Transparencia, Acceso a la Información Pública y Protección de Datos Personales en el Estado de México y Municipios, vigente a la fecha de la solicitud, se desprende que la inexistencia de la información, es una cuestión de hecho que se le atribuye a la misma, cuando ésta no se encuentra en los archivos del sujeto obligado. </w:t>
      </w:r>
    </w:p>
    <w:p w14:paraId="04E7616D" w14:textId="77777777" w:rsidR="00F4742C" w:rsidRPr="004049D7" w:rsidRDefault="00F4742C">
      <w:pPr>
        <w:spacing w:after="0" w:line="360" w:lineRule="auto"/>
      </w:pPr>
    </w:p>
    <w:p w14:paraId="3B913C2F" w14:textId="77777777" w:rsidR="00F4742C" w:rsidRPr="004049D7" w:rsidRDefault="00E211E5">
      <w:pPr>
        <w:spacing w:after="0" w:line="360" w:lineRule="auto"/>
      </w:pPr>
      <w:r w:rsidRPr="004049D7">
        <w:t>En ese orden de ideas, según Trujillo, Humberto (2019), en el “Diccionario de Transparencia y Acceso a la Información Pública” (p. 171), la inexistencia de la información, es cuando la información requerida no se encuentra en los archivos públicos, reservados o clasificados, de los sujetos obligados.</w:t>
      </w:r>
    </w:p>
    <w:p w14:paraId="4DBEA9A5" w14:textId="77777777" w:rsidR="00F4742C" w:rsidRPr="004049D7" w:rsidRDefault="00F4742C">
      <w:pPr>
        <w:spacing w:after="0" w:line="360" w:lineRule="auto"/>
      </w:pPr>
    </w:p>
    <w:p w14:paraId="267EFF3A" w14:textId="77777777" w:rsidR="00F4742C" w:rsidRPr="004049D7" w:rsidRDefault="00E211E5">
      <w:pPr>
        <w:spacing w:after="0" w:line="360" w:lineRule="auto"/>
      </w:pPr>
      <w:r w:rsidRPr="004049D7">
        <w:lastRenderedPageBreak/>
        <w:t xml:space="preserve">Así, es posible concluir que la </w:t>
      </w:r>
      <w:r w:rsidRPr="004049D7">
        <w:rPr>
          <w:b/>
          <w:bCs/>
        </w:rPr>
        <w:t>inexistencia</w:t>
      </w:r>
      <w:r w:rsidRPr="004049D7">
        <w:t xml:space="preserve"> presupone la competencia del sujeto obligado para conocer de la información, pero por alguna circunstancia, la documentación solicitada no obra en sus archivos; para tal situación, no basta con que los sujetos obligados precisen dicha circunstancia, sino que también debe de señalar las razones por las cuales no cuentan con lo peticionado, es decir, las circunstancias que dan lugar a la inexistencia.</w:t>
      </w:r>
    </w:p>
    <w:p w14:paraId="71121734" w14:textId="77777777" w:rsidR="00F4742C" w:rsidRPr="004049D7" w:rsidRDefault="00F4742C">
      <w:pPr>
        <w:spacing w:after="0" w:line="360" w:lineRule="auto"/>
      </w:pPr>
    </w:p>
    <w:p w14:paraId="5E111C80" w14:textId="77777777" w:rsidR="00F4742C" w:rsidRPr="004049D7" w:rsidRDefault="00F4742C">
      <w:pPr>
        <w:spacing w:after="0" w:line="360" w:lineRule="auto"/>
      </w:pPr>
    </w:p>
    <w:p w14:paraId="517F4905" w14:textId="77777777" w:rsidR="00F4742C" w:rsidRPr="004049D7" w:rsidRDefault="00E211E5">
      <w:pPr>
        <w:spacing w:after="0" w:line="360" w:lineRule="auto"/>
      </w:pPr>
      <w:r w:rsidRPr="004049D7">
        <w:t>En ese sentido, se logra colegir que la información solicitada por el ahora Recurrente es inexistente, pues el Sujeto Obligado, realizó una búsqueda exhaustiva y razonable en sus archivos y señaló los motivos por los cuales no contaba con lo peticionado; al respecto, se trae a colación, el artículo 19, segundo párrafo, de la Ley de Transparencia y Acceso a la Información Pública del Estado de México y Municipios, que establece que en el caso de que ciertas facultades, competencias o funciones no se hayan ejercido, se debe motivar la respuesta en función de las causas que motiven tal circunstancia.</w:t>
      </w:r>
    </w:p>
    <w:p w14:paraId="1B211B96" w14:textId="77777777" w:rsidR="00F4742C" w:rsidRPr="004049D7" w:rsidRDefault="00F4742C">
      <w:pPr>
        <w:spacing w:after="0" w:line="360" w:lineRule="auto"/>
      </w:pPr>
    </w:p>
    <w:p w14:paraId="602C0A01" w14:textId="77777777" w:rsidR="00F4742C" w:rsidRPr="004049D7" w:rsidRDefault="00E211E5">
      <w:pPr>
        <w:spacing w:after="0" w:line="360" w:lineRule="auto"/>
      </w:pPr>
      <w:r w:rsidRPr="004049D7">
        <w:t>De la misma manera, el Criterio Orientador con clave de registro SO/007/2017, de la Segunda Época, emitido por el entonces Instituto Nacional de Transparencia, Acceso a la Información y Protección de Datos Personales, establece que no será necesario que el Comité de Transparencia declare formalmente la inexistencia, cuando del análisis a la normatividad aplicables no se desprenda obligación alguna de contar con la información solicitada, ni se advierta algún otro elemento de convicción que apunto a su existencia.</w:t>
      </w:r>
    </w:p>
    <w:p w14:paraId="1488B144" w14:textId="77777777" w:rsidR="00F4742C" w:rsidRPr="004049D7" w:rsidRDefault="00F4742C">
      <w:pPr>
        <w:spacing w:after="0" w:line="360" w:lineRule="auto"/>
      </w:pPr>
    </w:p>
    <w:p w14:paraId="5B053C91" w14:textId="77777777" w:rsidR="00F4742C" w:rsidRPr="004049D7" w:rsidRDefault="00E211E5">
      <w:pPr>
        <w:spacing w:after="0" w:line="360" w:lineRule="auto"/>
      </w:pPr>
      <w:r w:rsidRPr="004049D7">
        <w:t>Al respecto, dicho criterio aplica al caso en concreto, ya que, no se localizó algún indicio de que el Sujeto Obligado cuente con la información requerida; por lo cual, se considera que el Sujeto Obligado señaló las razones por las cuales no contaba con lo requerido y cumplió con el segundo párrafo, del artículo 19 de la Ley de Transparencia y Acceso a la Información Pública del Estado de México y Municipios.</w:t>
      </w:r>
    </w:p>
    <w:p w14:paraId="72F16FB9" w14:textId="77777777" w:rsidR="00F4742C" w:rsidRPr="004049D7" w:rsidRDefault="00F4742C">
      <w:pPr>
        <w:tabs>
          <w:tab w:val="left" w:pos="4962"/>
        </w:tabs>
        <w:spacing w:after="0" w:line="360" w:lineRule="auto"/>
        <w:rPr>
          <w:color w:val="000000"/>
        </w:rPr>
      </w:pPr>
    </w:p>
    <w:p w14:paraId="3357FF5F" w14:textId="77777777" w:rsidR="00F4742C" w:rsidRPr="004049D7" w:rsidRDefault="00E211E5">
      <w:pPr>
        <w:tabs>
          <w:tab w:val="left" w:pos="4962"/>
        </w:tabs>
        <w:spacing w:after="0" w:line="360" w:lineRule="auto"/>
        <w:rPr>
          <w:b/>
          <w:bCs/>
          <w:color w:val="000000"/>
        </w:rPr>
      </w:pPr>
      <w:r w:rsidRPr="004049D7">
        <w:rPr>
          <w:color w:val="000000"/>
        </w:rPr>
        <w:lastRenderedPageBreak/>
        <w:t xml:space="preserve">En consecuencia, de lo anterior, se aprecia, que si bien, en un primer momento, la respuesta no dio cuenta de todo lo solicitado, y en un acto posterior, el Sujeto Obligado mediante informe justificado, modificó su respuesta inicial y remitió la información, así el Sujeto Obligado al modificar la respuesta y entregar lo faltante en informe justificado, </w:t>
      </w:r>
      <w:r w:rsidRPr="004049D7">
        <w:rPr>
          <w:b/>
          <w:bCs/>
          <w:color w:val="000000"/>
        </w:rPr>
        <w:t xml:space="preserve">dejó sin materia el Medio de Impugnación, por tanto, es procedente SOBRESEER el Recurso de Revisión. </w:t>
      </w:r>
    </w:p>
    <w:p w14:paraId="51ECC065" w14:textId="77777777" w:rsidR="00F4742C" w:rsidRPr="004049D7" w:rsidRDefault="00F4742C">
      <w:pPr>
        <w:tabs>
          <w:tab w:val="left" w:pos="4962"/>
        </w:tabs>
        <w:spacing w:after="0" w:line="360" w:lineRule="auto"/>
        <w:rPr>
          <w:color w:val="000000"/>
        </w:rPr>
      </w:pPr>
    </w:p>
    <w:p w14:paraId="029DB737" w14:textId="77777777" w:rsidR="00F4742C" w:rsidRPr="004049D7" w:rsidRDefault="00E211E5">
      <w:pPr>
        <w:tabs>
          <w:tab w:val="left" w:pos="4962"/>
        </w:tabs>
        <w:spacing w:after="0" w:line="360" w:lineRule="auto"/>
        <w:rPr>
          <w:color w:val="000000"/>
        </w:rPr>
      </w:pPr>
      <w:r w:rsidRPr="004049D7">
        <w:rPr>
          <w:color w:val="000000"/>
        </w:rPr>
        <w:t>No se omite mencionar que se dejan a salvo los derechos de la parte Recurrente a fin de que, en caso de ser de su interés, solicite mediante una nueva solicitud de información, documentación de temporalidades diversas.</w:t>
      </w:r>
    </w:p>
    <w:p w14:paraId="778A6842" w14:textId="77777777" w:rsidR="00F4742C" w:rsidRPr="004049D7" w:rsidRDefault="00F4742C">
      <w:pPr>
        <w:tabs>
          <w:tab w:val="left" w:pos="4962"/>
        </w:tabs>
        <w:spacing w:after="0" w:line="360" w:lineRule="auto"/>
        <w:rPr>
          <w:color w:val="000000"/>
        </w:rPr>
      </w:pPr>
    </w:p>
    <w:p w14:paraId="13CE9D6C" w14:textId="77777777" w:rsidR="00F4742C" w:rsidRPr="004049D7" w:rsidRDefault="00E211E5">
      <w:pPr>
        <w:pStyle w:val="Ttulo2"/>
        <w:spacing w:before="0" w:after="0"/>
      </w:pPr>
      <w:bookmarkStart w:id="20" w:name="_heading=h.z1f6jx83tjo0" w:colFirst="0" w:colLast="0"/>
      <w:bookmarkStart w:id="21" w:name="_Toc223619999"/>
      <w:bookmarkEnd w:id="20"/>
      <w:r w:rsidRPr="004049D7">
        <w:t>CUARTO. Decisión</w:t>
      </w:r>
      <w:bookmarkEnd w:id="21"/>
    </w:p>
    <w:p w14:paraId="787A02EF" w14:textId="77777777" w:rsidR="00F4742C" w:rsidRPr="004049D7" w:rsidRDefault="00F4742C">
      <w:pPr>
        <w:spacing w:after="0" w:line="360" w:lineRule="auto"/>
      </w:pPr>
    </w:p>
    <w:p w14:paraId="7BCF8EB2" w14:textId="77777777" w:rsidR="00F4742C" w:rsidRPr="004049D7" w:rsidRDefault="00E211E5">
      <w:pPr>
        <w:spacing w:after="0" w:line="360" w:lineRule="auto"/>
      </w:pPr>
      <w:r w:rsidRPr="004049D7">
        <w:t xml:space="preserve">Con fundamento en lo dispuesto en el artículo 186, fracción I, de la Ley de Transparencia y Acceso a la Información Pública del Estado de México y Municipios, se considera procedente </w:t>
      </w:r>
      <w:r w:rsidRPr="004049D7">
        <w:rPr>
          <w:b/>
          <w:bCs/>
        </w:rPr>
        <w:t xml:space="preserve">SOBRESEER </w:t>
      </w:r>
      <w:r w:rsidRPr="004049D7">
        <w:t xml:space="preserve">el Recurso de Revisión </w:t>
      </w:r>
      <w:r w:rsidRPr="004049D7">
        <w:rPr>
          <w:b/>
          <w:bCs/>
        </w:rPr>
        <w:t>14361/INFOEM/IP/RR/2025</w:t>
      </w:r>
      <w:r w:rsidRPr="004049D7">
        <w:t>, en virtud de que se actualiza la hipótesis normativa prevista en la fracción III, del artículo 192, del citado ordenamiento legal.</w:t>
      </w:r>
    </w:p>
    <w:p w14:paraId="64A236E0" w14:textId="77777777" w:rsidR="00F4742C" w:rsidRPr="004049D7" w:rsidRDefault="00F4742C">
      <w:pPr>
        <w:spacing w:after="0" w:line="360" w:lineRule="auto"/>
      </w:pPr>
    </w:p>
    <w:p w14:paraId="3E202516" w14:textId="77777777" w:rsidR="00F4742C" w:rsidRPr="004049D7" w:rsidRDefault="00E211E5">
      <w:pPr>
        <w:spacing w:after="0" w:line="360" w:lineRule="auto"/>
        <w:rPr>
          <w:b/>
          <w:bCs/>
          <w:u w:val="single"/>
        </w:rPr>
      </w:pPr>
      <w:r w:rsidRPr="004049D7">
        <w:rPr>
          <w:b/>
          <w:bCs/>
          <w:u w:val="single"/>
        </w:rPr>
        <w:t>Términos de la Resolución para conocimiento de la</w:t>
      </w:r>
      <w:r w:rsidR="00AE5ACC">
        <w:rPr>
          <w:b/>
          <w:bCs/>
          <w:u w:val="single"/>
        </w:rPr>
        <w:t xml:space="preserve"> parte Recurrente</w:t>
      </w:r>
    </w:p>
    <w:p w14:paraId="723BA48A" w14:textId="77777777" w:rsidR="00F4742C" w:rsidRPr="004049D7" w:rsidRDefault="00F4742C">
      <w:pPr>
        <w:spacing w:after="0" w:line="360" w:lineRule="auto"/>
        <w:rPr>
          <w:u w:val="single"/>
        </w:rPr>
      </w:pPr>
    </w:p>
    <w:p w14:paraId="75244362" w14:textId="77777777" w:rsidR="00F4742C" w:rsidRPr="004049D7" w:rsidRDefault="00E211E5">
      <w:pPr>
        <w:spacing w:after="0" w:line="360" w:lineRule="auto"/>
        <w:rPr>
          <w:u w:val="single"/>
        </w:rPr>
      </w:pPr>
      <w:r w:rsidRPr="004049D7">
        <w:rPr>
          <w:u w:val="single"/>
        </w:rPr>
        <w:t xml:space="preserve">Se le hace del conocimiento a la parte Recurrente, que en el presente caso, en respuesta el Sujeto Obligado se declaró incompetente, sin embargo, en un acto posterior modificó su respuesta inicial y remitió la información al señalar que no tiene ningún servidor público con procedimientos de ninguna índole por género en trámite en la temporalidad requerida. </w:t>
      </w:r>
    </w:p>
    <w:p w14:paraId="0B39ED2F" w14:textId="77777777" w:rsidR="00F4742C" w:rsidRPr="004049D7" w:rsidRDefault="00F4742C">
      <w:pPr>
        <w:spacing w:after="0" w:line="360" w:lineRule="auto"/>
        <w:rPr>
          <w:u w:val="single"/>
        </w:rPr>
      </w:pPr>
    </w:p>
    <w:p w14:paraId="484CCAD0" w14:textId="77777777" w:rsidR="00F4742C" w:rsidRPr="004049D7" w:rsidRDefault="00E211E5">
      <w:pPr>
        <w:tabs>
          <w:tab w:val="left" w:pos="4962"/>
        </w:tabs>
        <w:spacing w:after="0" w:line="360" w:lineRule="auto"/>
        <w:rPr>
          <w:color w:val="000000"/>
          <w:u w:val="single"/>
        </w:rPr>
      </w:pPr>
      <w:r w:rsidRPr="004049D7">
        <w:rPr>
          <w:color w:val="000000"/>
          <w:u w:val="single"/>
        </w:rPr>
        <w:t>No se omite mencionar que se dejan a salvo los derechos de la parte Recurrente a fin de que, en caso de ser de su interés, solicite mediante una nueva solicitud de información, documentación de temporalidades diversas.</w:t>
      </w:r>
    </w:p>
    <w:p w14:paraId="450D63E1" w14:textId="77777777" w:rsidR="00F4742C" w:rsidRPr="004049D7" w:rsidRDefault="00F4742C">
      <w:pPr>
        <w:spacing w:after="0" w:line="360" w:lineRule="auto"/>
        <w:rPr>
          <w:u w:val="single"/>
        </w:rPr>
      </w:pPr>
    </w:p>
    <w:p w14:paraId="2DBD922B" w14:textId="77777777" w:rsidR="00F4742C" w:rsidRPr="004049D7" w:rsidRDefault="00E211E5">
      <w:pPr>
        <w:spacing w:after="0" w:line="360" w:lineRule="auto"/>
        <w:rPr>
          <w:u w:val="single"/>
        </w:rPr>
      </w:pPr>
      <w:r w:rsidRPr="004049D7">
        <w:rPr>
          <w:u w:val="single"/>
        </w:rPr>
        <w:lastRenderedPageBreak/>
        <w:t xml:space="preserve"> Finalmente, la labor de este Instituto, es apoyar a la población a acceder a la información pública y garantizar la protección de sus datos personales.</w:t>
      </w:r>
    </w:p>
    <w:p w14:paraId="5C9D56E2" w14:textId="77777777" w:rsidR="00F4742C" w:rsidRPr="004049D7" w:rsidRDefault="00F4742C">
      <w:pPr>
        <w:spacing w:after="0" w:line="360" w:lineRule="auto"/>
        <w:rPr>
          <w:color w:val="000000"/>
        </w:rPr>
      </w:pPr>
    </w:p>
    <w:p w14:paraId="1B1AFF16" w14:textId="77777777" w:rsidR="00F4742C" w:rsidRPr="004049D7" w:rsidRDefault="00E211E5">
      <w:pPr>
        <w:spacing w:after="0" w:line="360" w:lineRule="auto"/>
      </w:pPr>
      <w:r w:rsidRPr="004049D7">
        <w:t>Por lo expuesto y fundado, este Pleno:</w:t>
      </w:r>
    </w:p>
    <w:p w14:paraId="75B8A071" w14:textId="77777777" w:rsidR="00F4742C" w:rsidRPr="004049D7" w:rsidRDefault="00F4742C">
      <w:pPr>
        <w:spacing w:after="0" w:line="360" w:lineRule="auto"/>
      </w:pPr>
    </w:p>
    <w:p w14:paraId="46F00AC2" w14:textId="77777777" w:rsidR="00F4742C" w:rsidRPr="004049D7" w:rsidRDefault="00E211E5">
      <w:pPr>
        <w:pStyle w:val="Ttulo1"/>
        <w:spacing w:before="0" w:after="0"/>
        <w:rPr>
          <w:sz w:val="22"/>
          <w:szCs w:val="22"/>
        </w:rPr>
      </w:pPr>
      <w:bookmarkStart w:id="22" w:name="_heading=h.u56ijrds1lw7" w:colFirst="0" w:colLast="0"/>
      <w:bookmarkStart w:id="23" w:name="_Toc223620000"/>
      <w:bookmarkEnd w:id="22"/>
      <w:r w:rsidRPr="004049D7">
        <w:rPr>
          <w:sz w:val="22"/>
          <w:szCs w:val="22"/>
        </w:rPr>
        <w:t>R E S U E L V E</w:t>
      </w:r>
      <w:bookmarkEnd w:id="23"/>
    </w:p>
    <w:p w14:paraId="01D98A20" w14:textId="77777777" w:rsidR="00F4742C" w:rsidRPr="004049D7" w:rsidRDefault="00F4742C">
      <w:pPr>
        <w:spacing w:after="0" w:line="360" w:lineRule="auto"/>
        <w:rPr>
          <w:b/>
          <w:bCs/>
        </w:rPr>
      </w:pPr>
    </w:p>
    <w:p w14:paraId="11949258" w14:textId="77777777" w:rsidR="00F4742C" w:rsidRPr="004049D7" w:rsidRDefault="00E211E5">
      <w:pPr>
        <w:spacing w:after="0" w:line="360" w:lineRule="auto"/>
      </w:pPr>
      <w:r w:rsidRPr="004049D7">
        <w:rPr>
          <w:b/>
          <w:bCs/>
        </w:rPr>
        <w:t>PRIMERO</w:t>
      </w:r>
      <w:r w:rsidRPr="004049D7">
        <w:t xml:space="preserve">. Se </w:t>
      </w:r>
      <w:r w:rsidRPr="004049D7">
        <w:rPr>
          <w:b/>
          <w:bCs/>
        </w:rPr>
        <w:t xml:space="preserve">SOBRESEE </w:t>
      </w:r>
      <w:r w:rsidRPr="004049D7">
        <w:t xml:space="preserve">el Recurso de Revisión 14361/INFOEM/IP/RR/2025, en términos del artículo 192, fracción III, de la Ley de Transparencia y Acceso a la Información Pública del Estado de México y Municipios, porque el Sujeto Obligado, al modificar la respuesta inicial, mediante Informe Justificado, el Medio de Impugnación quedó sin materia, de conformidad con los Considerandos TERCERO y CUARTO de la presente Resolución.    </w:t>
      </w:r>
    </w:p>
    <w:p w14:paraId="0BBEED9A" w14:textId="77777777" w:rsidR="00F4742C" w:rsidRPr="004049D7" w:rsidRDefault="00F4742C">
      <w:pPr>
        <w:spacing w:after="0" w:line="360" w:lineRule="auto"/>
      </w:pPr>
    </w:p>
    <w:p w14:paraId="36ADD6D5" w14:textId="77777777" w:rsidR="00F4742C" w:rsidRPr="004049D7" w:rsidRDefault="00E211E5">
      <w:pPr>
        <w:spacing w:after="0" w:line="360" w:lineRule="auto"/>
      </w:pPr>
      <w:r w:rsidRPr="004049D7">
        <w:rPr>
          <w:b/>
          <w:bCs/>
        </w:rPr>
        <w:t>SEGUNDO</w:t>
      </w:r>
      <w:r w:rsidRPr="004049D7">
        <w:t xml:space="preserve">. </w:t>
      </w:r>
      <w:r w:rsidRPr="004049D7">
        <w:rPr>
          <w:b/>
          <w:bCs/>
        </w:rPr>
        <w:t>NOTIFÍQUESE POR SAIMEX</w:t>
      </w:r>
      <w:r w:rsidRPr="004049D7">
        <w:t xml:space="preserve"> la presente resolución al Titular de la Unidad de Transparencia del Sujeto Obligado.</w:t>
      </w:r>
    </w:p>
    <w:p w14:paraId="46177176" w14:textId="77777777" w:rsidR="00F4742C" w:rsidRPr="004049D7" w:rsidRDefault="00F4742C">
      <w:pPr>
        <w:spacing w:after="0" w:line="360" w:lineRule="auto"/>
      </w:pPr>
    </w:p>
    <w:p w14:paraId="0C688BAB" w14:textId="77777777" w:rsidR="00F4742C" w:rsidRPr="004049D7" w:rsidRDefault="00E211E5">
      <w:pPr>
        <w:spacing w:after="0" w:line="360" w:lineRule="auto"/>
      </w:pPr>
      <w:r w:rsidRPr="004049D7">
        <w:rPr>
          <w:b/>
          <w:bCs/>
        </w:rPr>
        <w:t>TERCERO</w:t>
      </w:r>
      <w:r w:rsidRPr="004049D7">
        <w:t xml:space="preserve">. </w:t>
      </w:r>
      <w:r w:rsidRPr="004049D7">
        <w:rPr>
          <w:b/>
          <w:bCs/>
        </w:rPr>
        <w:t>NOTIFÍQUESE POR SAIMEX</w:t>
      </w:r>
      <w:r w:rsidRPr="004049D7">
        <w:t xml:space="preserve"> 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21C2E3C2" w14:textId="77777777" w:rsidR="00F4742C" w:rsidRPr="004049D7" w:rsidRDefault="00F4742C">
      <w:pPr>
        <w:spacing w:after="0" w:line="360" w:lineRule="auto"/>
        <w:rPr>
          <w:b/>
          <w:bCs/>
        </w:rPr>
      </w:pPr>
    </w:p>
    <w:p w14:paraId="4CA84BA3" w14:textId="77777777" w:rsidR="00F4742C" w:rsidRDefault="00E211E5">
      <w:pPr>
        <w:spacing w:after="0" w:line="360" w:lineRule="auto"/>
      </w:pPr>
      <w:r w:rsidRPr="004049D7">
        <w:t xml:space="preserve">ASÍ LO RESUELVE, POR </w:t>
      </w:r>
      <w:r w:rsidRPr="004049D7">
        <w:rPr>
          <w:b/>
          <w:bCs/>
        </w:rPr>
        <w:t>UNANIMIDAD</w:t>
      </w:r>
      <w:r w:rsidRPr="004049D7">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w:t>
      </w:r>
      <w:r w:rsidRPr="004049D7">
        <w:lastRenderedPageBreak/>
        <w:t>CINCO DE MARZO DE DOS MIL VEINTISÉIS, ANTE EL SECRETARIO TÉCNICO DEL PLENO, ALEXIS TAPIA RAMÍREZ.</w:t>
      </w:r>
    </w:p>
    <w:p w14:paraId="6F6A94F6" w14:textId="77777777" w:rsidR="00F4742C" w:rsidRDefault="00F4742C">
      <w:pPr>
        <w:spacing w:after="0" w:line="360" w:lineRule="auto"/>
      </w:pPr>
    </w:p>
    <w:p w14:paraId="66E19F05" w14:textId="77777777" w:rsidR="00F4742C" w:rsidRDefault="00F4742C">
      <w:pPr>
        <w:spacing w:after="0" w:line="360" w:lineRule="auto"/>
      </w:pPr>
    </w:p>
    <w:p w14:paraId="789E742E" w14:textId="77777777" w:rsidR="00F4742C" w:rsidRDefault="00F4742C">
      <w:pPr>
        <w:pBdr>
          <w:top w:val="nil"/>
          <w:left w:val="nil"/>
          <w:bottom w:val="nil"/>
          <w:right w:val="nil"/>
          <w:between w:val="nil"/>
        </w:pBdr>
        <w:tabs>
          <w:tab w:val="left" w:pos="4962"/>
        </w:tabs>
        <w:spacing w:after="0" w:line="360" w:lineRule="auto"/>
        <w:rPr>
          <w:color w:val="000000"/>
        </w:rPr>
      </w:pPr>
    </w:p>
    <w:p w14:paraId="71DC0218" w14:textId="77777777" w:rsidR="00F4742C" w:rsidRDefault="00F4742C">
      <w:pPr>
        <w:pBdr>
          <w:top w:val="nil"/>
          <w:left w:val="nil"/>
          <w:bottom w:val="nil"/>
          <w:right w:val="nil"/>
          <w:between w:val="nil"/>
        </w:pBdr>
        <w:tabs>
          <w:tab w:val="left" w:pos="4962"/>
        </w:tabs>
        <w:spacing w:after="0" w:line="360" w:lineRule="auto"/>
        <w:rPr>
          <w:color w:val="000000"/>
        </w:rPr>
      </w:pPr>
    </w:p>
    <w:p w14:paraId="20493673" w14:textId="77777777" w:rsidR="00F4742C" w:rsidRDefault="00F4742C">
      <w:pPr>
        <w:pBdr>
          <w:top w:val="nil"/>
          <w:left w:val="nil"/>
          <w:bottom w:val="nil"/>
          <w:right w:val="nil"/>
          <w:between w:val="nil"/>
        </w:pBdr>
        <w:tabs>
          <w:tab w:val="left" w:pos="4962"/>
        </w:tabs>
        <w:spacing w:after="0" w:line="360" w:lineRule="auto"/>
        <w:rPr>
          <w:color w:val="000000"/>
        </w:rPr>
      </w:pPr>
    </w:p>
    <w:p w14:paraId="33BAAAA0" w14:textId="77777777" w:rsidR="00F4742C" w:rsidRDefault="00F4742C">
      <w:pPr>
        <w:pBdr>
          <w:top w:val="nil"/>
          <w:left w:val="nil"/>
          <w:bottom w:val="nil"/>
          <w:right w:val="nil"/>
          <w:between w:val="nil"/>
        </w:pBdr>
        <w:tabs>
          <w:tab w:val="left" w:pos="4962"/>
        </w:tabs>
        <w:spacing w:after="0" w:line="360" w:lineRule="auto"/>
        <w:rPr>
          <w:color w:val="000000"/>
        </w:rPr>
      </w:pPr>
    </w:p>
    <w:p w14:paraId="1B309598" w14:textId="77777777" w:rsidR="00F4742C" w:rsidRDefault="00F4742C">
      <w:pPr>
        <w:pBdr>
          <w:top w:val="nil"/>
          <w:left w:val="nil"/>
          <w:bottom w:val="nil"/>
          <w:right w:val="nil"/>
          <w:between w:val="nil"/>
        </w:pBdr>
        <w:tabs>
          <w:tab w:val="left" w:pos="4962"/>
        </w:tabs>
        <w:spacing w:after="0" w:line="360" w:lineRule="auto"/>
        <w:rPr>
          <w:color w:val="000000"/>
        </w:rPr>
      </w:pPr>
    </w:p>
    <w:p w14:paraId="31E7970D" w14:textId="77777777" w:rsidR="00F4742C" w:rsidRDefault="00F4742C">
      <w:pPr>
        <w:pBdr>
          <w:top w:val="nil"/>
          <w:left w:val="nil"/>
          <w:bottom w:val="nil"/>
          <w:right w:val="nil"/>
          <w:between w:val="nil"/>
        </w:pBdr>
        <w:tabs>
          <w:tab w:val="left" w:pos="4962"/>
        </w:tabs>
        <w:spacing w:after="0" w:line="360" w:lineRule="auto"/>
        <w:rPr>
          <w:color w:val="000000"/>
        </w:rPr>
      </w:pPr>
    </w:p>
    <w:p w14:paraId="1C9A955B" w14:textId="77777777" w:rsidR="00F4742C" w:rsidRDefault="00F4742C">
      <w:pPr>
        <w:pBdr>
          <w:top w:val="nil"/>
          <w:left w:val="nil"/>
          <w:bottom w:val="nil"/>
          <w:right w:val="nil"/>
          <w:between w:val="nil"/>
        </w:pBdr>
        <w:tabs>
          <w:tab w:val="left" w:pos="4962"/>
        </w:tabs>
        <w:spacing w:after="0" w:line="360" w:lineRule="auto"/>
        <w:rPr>
          <w:color w:val="000000"/>
        </w:rPr>
      </w:pPr>
    </w:p>
    <w:p w14:paraId="71609068" w14:textId="77777777" w:rsidR="00F4742C" w:rsidRDefault="00F4742C">
      <w:pPr>
        <w:pBdr>
          <w:top w:val="nil"/>
          <w:left w:val="nil"/>
          <w:bottom w:val="nil"/>
          <w:right w:val="nil"/>
          <w:between w:val="nil"/>
        </w:pBdr>
        <w:tabs>
          <w:tab w:val="left" w:pos="4962"/>
        </w:tabs>
        <w:spacing w:after="0" w:line="360" w:lineRule="auto"/>
        <w:rPr>
          <w:color w:val="000000"/>
        </w:rPr>
      </w:pPr>
    </w:p>
    <w:p w14:paraId="2090E982" w14:textId="77777777" w:rsidR="00F4742C" w:rsidRDefault="00F4742C">
      <w:pPr>
        <w:pBdr>
          <w:top w:val="nil"/>
          <w:left w:val="nil"/>
          <w:bottom w:val="nil"/>
          <w:right w:val="nil"/>
          <w:between w:val="nil"/>
        </w:pBdr>
        <w:tabs>
          <w:tab w:val="left" w:pos="4962"/>
        </w:tabs>
        <w:spacing w:after="0" w:line="360" w:lineRule="auto"/>
        <w:rPr>
          <w:color w:val="000000"/>
        </w:rPr>
      </w:pPr>
    </w:p>
    <w:p w14:paraId="725AE04A" w14:textId="77777777" w:rsidR="00F4742C" w:rsidRDefault="00F4742C">
      <w:pPr>
        <w:pBdr>
          <w:top w:val="nil"/>
          <w:left w:val="nil"/>
          <w:bottom w:val="nil"/>
          <w:right w:val="nil"/>
          <w:between w:val="nil"/>
        </w:pBdr>
        <w:tabs>
          <w:tab w:val="left" w:pos="4962"/>
        </w:tabs>
        <w:spacing w:after="0" w:line="360" w:lineRule="auto"/>
        <w:rPr>
          <w:color w:val="000000"/>
        </w:rPr>
      </w:pPr>
    </w:p>
    <w:p w14:paraId="235B5C56" w14:textId="77777777" w:rsidR="00F4742C" w:rsidRDefault="00F4742C">
      <w:pPr>
        <w:pBdr>
          <w:top w:val="nil"/>
          <w:left w:val="nil"/>
          <w:bottom w:val="nil"/>
          <w:right w:val="nil"/>
          <w:between w:val="nil"/>
        </w:pBdr>
        <w:tabs>
          <w:tab w:val="left" w:pos="4962"/>
        </w:tabs>
        <w:spacing w:after="0" w:line="360" w:lineRule="auto"/>
        <w:rPr>
          <w:color w:val="000000"/>
        </w:rPr>
      </w:pPr>
    </w:p>
    <w:p w14:paraId="02F226FD" w14:textId="77777777" w:rsidR="00F4742C" w:rsidRDefault="00F4742C">
      <w:pPr>
        <w:pBdr>
          <w:top w:val="nil"/>
          <w:left w:val="nil"/>
          <w:bottom w:val="nil"/>
          <w:right w:val="nil"/>
          <w:between w:val="nil"/>
        </w:pBdr>
        <w:tabs>
          <w:tab w:val="left" w:pos="4962"/>
        </w:tabs>
        <w:spacing w:after="0" w:line="360" w:lineRule="auto"/>
        <w:rPr>
          <w:color w:val="000000"/>
        </w:rPr>
      </w:pPr>
    </w:p>
    <w:p w14:paraId="1ECE5FED" w14:textId="77777777" w:rsidR="00F4742C" w:rsidRDefault="00F4742C">
      <w:pPr>
        <w:pBdr>
          <w:top w:val="nil"/>
          <w:left w:val="nil"/>
          <w:bottom w:val="nil"/>
          <w:right w:val="nil"/>
          <w:between w:val="nil"/>
        </w:pBdr>
        <w:tabs>
          <w:tab w:val="left" w:pos="4962"/>
        </w:tabs>
        <w:spacing w:after="0" w:line="360" w:lineRule="auto"/>
        <w:rPr>
          <w:color w:val="000000"/>
        </w:rPr>
      </w:pPr>
    </w:p>
    <w:p w14:paraId="6E42BA6C" w14:textId="77777777" w:rsidR="00F4742C" w:rsidRDefault="00F4742C">
      <w:pPr>
        <w:pBdr>
          <w:top w:val="nil"/>
          <w:left w:val="nil"/>
          <w:bottom w:val="nil"/>
          <w:right w:val="nil"/>
          <w:between w:val="nil"/>
        </w:pBdr>
        <w:tabs>
          <w:tab w:val="left" w:pos="4962"/>
        </w:tabs>
        <w:spacing w:after="0" w:line="360" w:lineRule="auto"/>
        <w:rPr>
          <w:color w:val="000000"/>
        </w:rPr>
      </w:pPr>
    </w:p>
    <w:p w14:paraId="10F6C257" w14:textId="77777777" w:rsidR="00F4742C" w:rsidRDefault="00F4742C">
      <w:pPr>
        <w:pBdr>
          <w:top w:val="nil"/>
          <w:left w:val="nil"/>
          <w:bottom w:val="nil"/>
          <w:right w:val="nil"/>
          <w:between w:val="nil"/>
        </w:pBdr>
        <w:tabs>
          <w:tab w:val="left" w:pos="4962"/>
        </w:tabs>
        <w:spacing w:after="0" w:line="360" w:lineRule="auto"/>
        <w:rPr>
          <w:color w:val="000000"/>
        </w:rPr>
      </w:pPr>
    </w:p>
    <w:p w14:paraId="658A35E1" w14:textId="77777777" w:rsidR="00F4742C" w:rsidRDefault="00F4742C">
      <w:pPr>
        <w:pBdr>
          <w:top w:val="nil"/>
          <w:left w:val="nil"/>
          <w:bottom w:val="nil"/>
          <w:right w:val="nil"/>
          <w:between w:val="nil"/>
        </w:pBdr>
        <w:tabs>
          <w:tab w:val="left" w:pos="4962"/>
        </w:tabs>
        <w:spacing w:after="0" w:line="360" w:lineRule="auto"/>
        <w:rPr>
          <w:color w:val="000000"/>
        </w:rPr>
      </w:pPr>
    </w:p>
    <w:p w14:paraId="0241F460" w14:textId="77777777" w:rsidR="00F4742C" w:rsidRDefault="00F4742C">
      <w:pPr>
        <w:pBdr>
          <w:top w:val="nil"/>
          <w:left w:val="nil"/>
          <w:bottom w:val="nil"/>
          <w:right w:val="nil"/>
          <w:between w:val="nil"/>
        </w:pBdr>
        <w:tabs>
          <w:tab w:val="left" w:pos="4962"/>
        </w:tabs>
        <w:spacing w:after="0" w:line="360" w:lineRule="auto"/>
        <w:rPr>
          <w:color w:val="000000"/>
        </w:rPr>
      </w:pPr>
    </w:p>
    <w:p w14:paraId="3748AF1D" w14:textId="77777777" w:rsidR="00F4742C" w:rsidRDefault="00F4742C">
      <w:pPr>
        <w:pBdr>
          <w:top w:val="nil"/>
          <w:left w:val="nil"/>
          <w:bottom w:val="nil"/>
          <w:right w:val="nil"/>
          <w:between w:val="nil"/>
        </w:pBdr>
        <w:tabs>
          <w:tab w:val="left" w:pos="4962"/>
        </w:tabs>
        <w:spacing w:after="0" w:line="360" w:lineRule="auto"/>
        <w:rPr>
          <w:color w:val="000000"/>
        </w:rPr>
      </w:pPr>
    </w:p>
    <w:p w14:paraId="7A72B3C4" w14:textId="77777777" w:rsidR="00F4742C" w:rsidRDefault="00F4742C">
      <w:pPr>
        <w:pBdr>
          <w:top w:val="nil"/>
          <w:left w:val="nil"/>
          <w:bottom w:val="nil"/>
          <w:right w:val="nil"/>
          <w:between w:val="nil"/>
        </w:pBdr>
        <w:tabs>
          <w:tab w:val="left" w:pos="4962"/>
        </w:tabs>
        <w:spacing w:after="0" w:line="360" w:lineRule="auto"/>
        <w:rPr>
          <w:color w:val="000000"/>
        </w:rPr>
      </w:pPr>
    </w:p>
    <w:p w14:paraId="1D675AF2" w14:textId="77777777" w:rsidR="00F4742C" w:rsidRDefault="00F4742C">
      <w:pPr>
        <w:pBdr>
          <w:top w:val="nil"/>
          <w:left w:val="nil"/>
          <w:bottom w:val="nil"/>
          <w:right w:val="nil"/>
          <w:between w:val="nil"/>
        </w:pBdr>
        <w:tabs>
          <w:tab w:val="left" w:pos="4962"/>
        </w:tabs>
        <w:spacing w:after="0" w:line="360" w:lineRule="auto"/>
        <w:rPr>
          <w:color w:val="000000"/>
        </w:rPr>
      </w:pPr>
    </w:p>
    <w:p w14:paraId="2118A964" w14:textId="77777777" w:rsidR="00F4742C" w:rsidRDefault="00F4742C">
      <w:pPr>
        <w:pBdr>
          <w:top w:val="nil"/>
          <w:left w:val="nil"/>
          <w:bottom w:val="nil"/>
          <w:right w:val="nil"/>
          <w:between w:val="nil"/>
        </w:pBdr>
        <w:tabs>
          <w:tab w:val="left" w:pos="4962"/>
        </w:tabs>
        <w:spacing w:after="0" w:line="360" w:lineRule="auto"/>
        <w:rPr>
          <w:color w:val="000000"/>
        </w:rPr>
      </w:pPr>
    </w:p>
    <w:p w14:paraId="4A273300" w14:textId="77777777" w:rsidR="00F4742C" w:rsidRDefault="00F4742C">
      <w:pPr>
        <w:pBdr>
          <w:top w:val="nil"/>
          <w:left w:val="nil"/>
          <w:bottom w:val="nil"/>
          <w:right w:val="nil"/>
          <w:between w:val="nil"/>
        </w:pBdr>
        <w:tabs>
          <w:tab w:val="left" w:pos="4962"/>
        </w:tabs>
        <w:spacing w:after="0" w:line="360" w:lineRule="auto"/>
        <w:rPr>
          <w:color w:val="000000"/>
        </w:rPr>
      </w:pPr>
    </w:p>
    <w:p w14:paraId="5CDC6063" w14:textId="77777777" w:rsidR="00F4742C" w:rsidRDefault="00F4742C">
      <w:pPr>
        <w:pBdr>
          <w:top w:val="nil"/>
          <w:left w:val="nil"/>
          <w:bottom w:val="nil"/>
          <w:right w:val="nil"/>
          <w:between w:val="nil"/>
        </w:pBdr>
        <w:tabs>
          <w:tab w:val="left" w:pos="4962"/>
        </w:tabs>
        <w:spacing w:after="0" w:line="360" w:lineRule="auto"/>
        <w:rPr>
          <w:color w:val="000000"/>
        </w:rPr>
      </w:pPr>
    </w:p>
    <w:p w14:paraId="0D6AAA8F" w14:textId="77777777" w:rsidR="00F4742C" w:rsidRDefault="00F4742C">
      <w:pPr>
        <w:pBdr>
          <w:top w:val="nil"/>
          <w:left w:val="nil"/>
          <w:bottom w:val="nil"/>
          <w:right w:val="nil"/>
          <w:between w:val="nil"/>
        </w:pBdr>
        <w:tabs>
          <w:tab w:val="left" w:pos="4962"/>
        </w:tabs>
        <w:spacing w:after="0" w:line="360" w:lineRule="auto"/>
        <w:rPr>
          <w:color w:val="000000"/>
        </w:rPr>
      </w:pPr>
    </w:p>
    <w:p w14:paraId="501DD556" w14:textId="77777777" w:rsidR="00F4742C" w:rsidRDefault="00F4742C">
      <w:pPr>
        <w:pBdr>
          <w:top w:val="nil"/>
          <w:left w:val="nil"/>
          <w:bottom w:val="nil"/>
          <w:right w:val="nil"/>
          <w:between w:val="nil"/>
        </w:pBdr>
        <w:tabs>
          <w:tab w:val="left" w:pos="4962"/>
        </w:tabs>
        <w:spacing w:after="0" w:line="360" w:lineRule="auto"/>
        <w:rPr>
          <w:color w:val="000000"/>
        </w:rPr>
      </w:pPr>
    </w:p>
    <w:p w14:paraId="238E3696" w14:textId="77777777" w:rsidR="00F4742C" w:rsidRDefault="00F4742C">
      <w:pPr>
        <w:pBdr>
          <w:top w:val="nil"/>
          <w:left w:val="nil"/>
          <w:bottom w:val="nil"/>
          <w:right w:val="nil"/>
          <w:between w:val="nil"/>
        </w:pBdr>
        <w:tabs>
          <w:tab w:val="left" w:pos="4962"/>
        </w:tabs>
        <w:spacing w:after="0" w:line="360" w:lineRule="auto"/>
        <w:rPr>
          <w:color w:val="000000"/>
        </w:rPr>
      </w:pPr>
    </w:p>
    <w:sectPr w:rsidR="00F4742C">
      <w:headerReference w:type="even" r:id="rId9"/>
      <w:headerReference w:type="default" r:id="rId10"/>
      <w:footerReference w:type="even" r:id="rId11"/>
      <w:footerReference w:type="default" r:id="rId12"/>
      <w:headerReference w:type="first" r:id="rId13"/>
      <w:footerReference w:type="first" r:id="rId14"/>
      <w:pgSz w:w="12240" w:h="15840"/>
      <w:pgMar w:top="1418" w:right="1325" w:bottom="1134" w:left="1701" w:header="0"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B283F" w14:textId="77777777" w:rsidR="00E77818" w:rsidRDefault="00E77818">
      <w:pPr>
        <w:spacing w:after="0" w:line="240" w:lineRule="auto"/>
      </w:pPr>
      <w:r>
        <w:separator/>
      </w:r>
    </w:p>
  </w:endnote>
  <w:endnote w:type="continuationSeparator" w:id="0">
    <w:p w14:paraId="268925AA" w14:textId="77777777" w:rsidR="00E77818" w:rsidRDefault="00E77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6F2A14F5-6245-4E0A-85AA-FA32C20D57B3}"/>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CBC776F6-CA0D-4F68-B4E8-1BBB758AB20D}"/>
    <w:embedBold r:id="rId3" w:fontKey="{9533C1CD-5116-4E9E-9EE4-27CDEE4E686F}"/>
    <w:embedItalic r:id="rId4" w:fontKey="{1B2F8629-A534-49AD-9684-D70F475387C1}"/>
    <w:embedBoldItalic r:id="rId5" w:fontKey="{BD80C7ED-6626-4417-B0DF-D712765EBBD6}"/>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6" w:fontKey="{C631AE07-BEF7-439F-89FA-858891816343}"/>
  </w:font>
  <w:font w:name="Georgia">
    <w:panose1 w:val="02040502050405020303"/>
    <w:charset w:val="00"/>
    <w:family w:val="roman"/>
    <w:pitch w:val="variable"/>
    <w:sig w:usb0="00000287" w:usb1="00000000" w:usb2="00000000" w:usb3="00000000" w:csb0="0000009F" w:csb1="00000000"/>
    <w:embedItalic r:id="rId7" w:fontKey="{D23B0AC1-374B-42B2-8DE8-8B575121A96B}"/>
  </w:font>
  <w:font w:name="Calibri">
    <w:panose1 w:val="020F0502020204030204"/>
    <w:charset w:val="00"/>
    <w:family w:val="swiss"/>
    <w:pitch w:val="variable"/>
    <w:sig w:usb0="E4002EFF" w:usb1="C000247B" w:usb2="00000009" w:usb3="00000000" w:csb0="000001FF" w:csb1="00000000"/>
    <w:embedRegular r:id="rId8" w:fontKey="{4C601306-5D88-41C2-8440-DAA67C3381D1}"/>
  </w:font>
  <w:font w:name="Garamond">
    <w:panose1 w:val="02020404030301010803"/>
    <w:charset w:val="00"/>
    <w:family w:val="roman"/>
    <w:pitch w:val="variable"/>
    <w:sig w:usb0="00000287" w:usb1="00000000" w:usb2="00000000" w:usb3="00000000" w:csb0="0000009F" w:csb1="00000000"/>
    <w:embedRegular r:id="rId9" w:fontKey="{75FBF16F-E73D-4C17-9768-3C6F562F0DE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F013D" w14:textId="77777777" w:rsidR="00F4742C" w:rsidRDefault="00E211E5">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4D3EEA">
      <w:rPr>
        <w:b/>
        <w:bCs/>
        <w:noProof/>
        <w:color w:val="000000"/>
        <w:sz w:val="24"/>
        <w:szCs w:val="24"/>
      </w:rPr>
      <w:t>22</w:t>
    </w:r>
    <w:r>
      <w:rPr>
        <w:b/>
        <w:bCs/>
        <w:color w:val="000000"/>
        <w:sz w:val="24"/>
        <w:szCs w:val="24"/>
      </w:rPr>
      <w:fldChar w:fldCharType="end"/>
    </w:r>
  </w:p>
  <w:p w14:paraId="04EF49D8" w14:textId="77777777" w:rsidR="00F4742C" w:rsidRDefault="00F4742C">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546EA" w14:textId="77777777" w:rsidR="00F4742C" w:rsidRDefault="00E211E5">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4D3EEA">
      <w:rPr>
        <w:b/>
        <w:bCs/>
        <w:noProof/>
        <w:color w:val="000000"/>
        <w:sz w:val="24"/>
        <w:szCs w:val="24"/>
      </w:rPr>
      <w:t>20</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4D3EEA">
      <w:rPr>
        <w:b/>
        <w:bCs/>
        <w:noProof/>
        <w:color w:val="000000"/>
        <w:sz w:val="24"/>
        <w:szCs w:val="24"/>
      </w:rPr>
      <w:t>22</w:t>
    </w:r>
    <w:r>
      <w:rPr>
        <w:b/>
        <w:bCs/>
        <w:color w:val="000000"/>
        <w:sz w:val="24"/>
        <w:szCs w:val="24"/>
      </w:rPr>
      <w:fldChar w:fldCharType="end"/>
    </w:r>
  </w:p>
  <w:p w14:paraId="7BAE442A" w14:textId="77777777" w:rsidR="00F4742C" w:rsidRDefault="00F4742C">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761B0" w14:textId="77777777" w:rsidR="00F4742C" w:rsidRDefault="00E211E5">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4D3EEA">
      <w:rPr>
        <w:b/>
        <w:bCs/>
        <w:noProof/>
        <w:color w:val="000000"/>
        <w:sz w:val="24"/>
        <w:szCs w:val="24"/>
      </w:rPr>
      <w:t>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4D3EEA">
      <w:rPr>
        <w:b/>
        <w:bCs/>
        <w:noProof/>
        <w:color w:val="000000"/>
        <w:sz w:val="24"/>
        <w:szCs w:val="24"/>
      </w:rPr>
      <w:t>22</w:t>
    </w:r>
    <w:r>
      <w:rPr>
        <w:b/>
        <w:bCs/>
        <w:color w:val="000000"/>
        <w:sz w:val="24"/>
        <w:szCs w:val="24"/>
      </w:rPr>
      <w:fldChar w:fldCharType="end"/>
    </w:r>
  </w:p>
  <w:p w14:paraId="4CEB519D" w14:textId="77777777" w:rsidR="00F4742C" w:rsidRDefault="00F4742C">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61006" w14:textId="77777777" w:rsidR="00E77818" w:rsidRDefault="00E77818">
      <w:pPr>
        <w:spacing w:after="0" w:line="240" w:lineRule="auto"/>
      </w:pPr>
      <w:r>
        <w:separator/>
      </w:r>
    </w:p>
  </w:footnote>
  <w:footnote w:type="continuationSeparator" w:id="0">
    <w:p w14:paraId="04B6DD8B" w14:textId="77777777" w:rsidR="00E77818" w:rsidRDefault="00E778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A4175" w14:textId="77777777" w:rsidR="00F4742C" w:rsidRDefault="00F4742C">
    <w:pPr>
      <w:widowControl w:val="0"/>
      <w:pBdr>
        <w:top w:val="nil"/>
        <w:left w:val="nil"/>
        <w:bottom w:val="nil"/>
        <w:right w:val="nil"/>
        <w:between w:val="nil"/>
      </w:pBdr>
      <w:spacing w:after="0" w:line="276" w:lineRule="auto"/>
      <w:jc w:val="left"/>
      <w:rPr>
        <w:color w:val="000000"/>
      </w:rPr>
    </w:pPr>
  </w:p>
  <w:tbl>
    <w:tblPr>
      <w:tblStyle w:val="a5"/>
      <w:tblW w:w="5991" w:type="dxa"/>
      <w:tblInd w:w="3544" w:type="dxa"/>
      <w:tblBorders>
        <w:top w:val="nil"/>
        <w:left w:val="nil"/>
        <w:bottom w:val="nil"/>
        <w:right w:val="nil"/>
        <w:insideH w:val="nil"/>
        <w:insideV w:val="nil"/>
      </w:tblBorders>
      <w:tblLayout w:type="fixed"/>
      <w:tblLook w:val="0400" w:firstRow="0" w:lastRow="0" w:firstColumn="0" w:lastColumn="0" w:noHBand="0" w:noVBand="1"/>
    </w:tblPr>
    <w:tblGrid>
      <w:gridCol w:w="2404"/>
      <w:gridCol w:w="3587"/>
    </w:tblGrid>
    <w:tr w:rsidR="00F4742C" w14:paraId="39099139" w14:textId="77777777">
      <w:trPr>
        <w:trHeight w:val="141"/>
      </w:trPr>
      <w:tc>
        <w:tcPr>
          <w:tcW w:w="2404" w:type="dxa"/>
        </w:tcPr>
        <w:p w14:paraId="34FE0A22" w14:textId="77777777" w:rsidR="00F4742C" w:rsidRDefault="00E211E5">
          <w:pPr>
            <w:tabs>
              <w:tab w:val="right" w:pos="8838"/>
            </w:tabs>
            <w:ind w:right="-105"/>
            <w:rPr>
              <w:b/>
              <w:bCs/>
            </w:rPr>
          </w:pPr>
          <w:r>
            <w:rPr>
              <w:b/>
              <w:bCs/>
            </w:rPr>
            <w:t>Recurso de Revisión:</w:t>
          </w:r>
        </w:p>
      </w:tc>
      <w:tc>
        <w:tcPr>
          <w:tcW w:w="3587" w:type="dxa"/>
        </w:tcPr>
        <w:p w14:paraId="10D79205" w14:textId="77777777" w:rsidR="00F4742C" w:rsidRDefault="00E211E5">
          <w:pPr>
            <w:tabs>
              <w:tab w:val="right" w:pos="8838"/>
            </w:tabs>
            <w:ind w:left="-28" w:right="683"/>
          </w:pPr>
          <w:r>
            <w:t>04196/INFOEM/IP/RR/2020</w:t>
          </w:r>
        </w:p>
      </w:tc>
    </w:tr>
    <w:tr w:rsidR="00F4742C" w14:paraId="135B9C01" w14:textId="77777777">
      <w:trPr>
        <w:trHeight w:val="276"/>
      </w:trPr>
      <w:tc>
        <w:tcPr>
          <w:tcW w:w="2404" w:type="dxa"/>
        </w:tcPr>
        <w:p w14:paraId="3F151585" w14:textId="77777777" w:rsidR="00F4742C" w:rsidRDefault="00E211E5">
          <w:pPr>
            <w:tabs>
              <w:tab w:val="right" w:pos="8838"/>
            </w:tabs>
            <w:ind w:right="-105"/>
            <w:rPr>
              <w:b/>
              <w:bCs/>
            </w:rPr>
          </w:pPr>
          <w:r>
            <w:rPr>
              <w:b/>
              <w:bCs/>
            </w:rPr>
            <w:t>Sujeto Obligado:</w:t>
          </w:r>
        </w:p>
      </w:tc>
      <w:tc>
        <w:tcPr>
          <w:tcW w:w="3587" w:type="dxa"/>
        </w:tcPr>
        <w:p w14:paraId="26E752AE" w14:textId="77777777" w:rsidR="00F4742C" w:rsidRDefault="00E211E5">
          <w:pPr>
            <w:tabs>
              <w:tab w:val="right" w:pos="8838"/>
            </w:tabs>
            <w:ind w:right="116"/>
          </w:pPr>
          <w:r>
            <w:t>Ayuntamiento de Chapultepec</w:t>
          </w:r>
        </w:p>
      </w:tc>
    </w:tr>
    <w:tr w:rsidR="00F4742C" w14:paraId="3313DDA8" w14:textId="77777777">
      <w:trPr>
        <w:trHeight w:val="276"/>
      </w:trPr>
      <w:tc>
        <w:tcPr>
          <w:tcW w:w="2404" w:type="dxa"/>
        </w:tcPr>
        <w:p w14:paraId="3C7C8E15" w14:textId="77777777" w:rsidR="00F4742C" w:rsidRDefault="00E211E5">
          <w:pPr>
            <w:tabs>
              <w:tab w:val="right" w:pos="8838"/>
            </w:tabs>
            <w:ind w:right="-105"/>
            <w:rPr>
              <w:b/>
              <w:bCs/>
            </w:rPr>
          </w:pPr>
          <w:r>
            <w:rPr>
              <w:b/>
              <w:bCs/>
            </w:rPr>
            <w:t>Comisionado Ponente:</w:t>
          </w:r>
        </w:p>
      </w:tc>
      <w:tc>
        <w:tcPr>
          <w:tcW w:w="3587" w:type="dxa"/>
        </w:tcPr>
        <w:p w14:paraId="11638C8E" w14:textId="77777777" w:rsidR="00F4742C" w:rsidRDefault="00E211E5">
          <w:pPr>
            <w:tabs>
              <w:tab w:val="right" w:pos="8838"/>
            </w:tabs>
            <w:ind w:right="-32"/>
          </w:pPr>
          <w:r>
            <w:t>Luis Gustavo Parra Noriega</w:t>
          </w:r>
        </w:p>
      </w:tc>
    </w:tr>
  </w:tbl>
  <w:p w14:paraId="1C2B471B" w14:textId="77777777" w:rsidR="00F4742C" w:rsidRDefault="00E77818">
    <w:pPr>
      <w:pBdr>
        <w:top w:val="nil"/>
        <w:left w:val="nil"/>
        <w:bottom w:val="nil"/>
        <w:right w:val="nil"/>
        <w:between w:val="nil"/>
      </w:pBdr>
      <w:tabs>
        <w:tab w:val="center" w:pos="4419"/>
        <w:tab w:val="right" w:pos="8838"/>
      </w:tabs>
      <w:spacing w:after="0" w:line="240" w:lineRule="auto"/>
      <w:rPr>
        <w:color w:val="000000"/>
      </w:rPr>
    </w:pPr>
    <w:r>
      <w:rPr>
        <w:color w:val="000000"/>
      </w:rPr>
      <w:pict w14:anchorId="21BBA0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MARCA DE AGUA - HOJA RESOLUCIÓN" style="position:absolute;left:0;text-align:left;margin-left:0;margin-top:0;width:663.5pt;height:12in;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080C1" w14:textId="77777777" w:rsidR="00F4742C" w:rsidRDefault="00F4742C">
    <w:pPr>
      <w:rPr>
        <w:sz w:val="16"/>
        <w:szCs w:val="16"/>
      </w:rPr>
    </w:pPr>
  </w:p>
  <w:tbl>
    <w:tblPr>
      <w:tblStyle w:val="a6"/>
      <w:tblW w:w="7088" w:type="dxa"/>
      <w:tblInd w:w="2410" w:type="dxa"/>
      <w:tblBorders>
        <w:top w:val="nil"/>
        <w:left w:val="nil"/>
        <w:bottom w:val="nil"/>
        <w:right w:val="nil"/>
        <w:insideH w:val="nil"/>
        <w:insideV w:val="nil"/>
      </w:tblBorders>
      <w:tblLayout w:type="fixed"/>
      <w:tblLook w:val="0400" w:firstRow="0" w:lastRow="0" w:firstColumn="0" w:lastColumn="0" w:noHBand="0" w:noVBand="1"/>
    </w:tblPr>
    <w:tblGrid>
      <w:gridCol w:w="2497"/>
      <w:gridCol w:w="4591"/>
    </w:tblGrid>
    <w:tr w:rsidR="00F4742C" w14:paraId="64EDBB11" w14:textId="77777777">
      <w:trPr>
        <w:trHeight w:val="135"/>
      </w:trPr>
      <w:tc>
        <w:tcPr>
          <w:tcW w:w="2497" w:type="dxa"/>
        </w:tcPr>
        <w:p w14:paraId="00585B3C" w14:textId="77777777" w:rsidR="00F4742C" w:rsidRDefault="00F4742C">
          <w:pPr>
            <w:tabs>
              <w:tab w:val="right" w:pos="8838"/>
            </w:tabs>
            <w:ind w:left="-395" w:right="-105" w:firstLine="395"/>
            <w:rPr>
              <w:b/>
              <w:bCs/>
            </w:rPr>
          </w:pPr>
        </w:p>
        <w:p w14:paraId="58B0CEA8" w14:textId="77777777" w:rsidR="00F4742C" w:rsidRDefault="00E211E5">
          <w:pPr>
            <w:tabs>
              <w:tab w:val="right" w:pos="8838"/>
            </w:tabs>
            <w:ind w:left="-395" w:right="-105" w:firstLine="395"/>
            <w:rPr>
              <w:b/>
              <w:bCs/>
            </w:rPr>
          </w:pPr>
          <w:r>
            <w:rPr>
              <w:b/>
              <w:bCs/>
            </w:rPr>
            <w:t>Recurso de Revisión:</w:t>
          </w:r>
        </w:p>
      </w:tc>
      <w:tc>
        <w:tcPr>
          <w:tcW w:w="4591" w:type="dxa"/>
        </w:tcPr>
        <w:p w14:paraId="11F4F647" w14:textId="77777777" w:rsidR="00F4742C" w:rsidRDefault="00F4742C">
          <w:pPr>
            <w:tabs>
              <w:tab w:val="right" w:pos="8838"/>
            </w:tabs>
            <w:ind w:right="176"/>
          </w:pPr>
        </w:p>
        <w:p w14:paraId="7D98AB3A" w14:textId="77777777" w:rsidR="00F4742C" w:rsidRDefault="00E211E5">
          <w:pPr>
            <w:tabs>
              <w:tab w:val="right" w:pos="8838"/>
            </w:tabs>
            <w:ind w:right="176"/>
          </w:pPr>
          <w:r>
            <w:t>14361/INFOEM/IP/RR/2025</w:t>
          </w:r>
        </w:p>
      </w:tc>
    </w:tr>
    <w:tr w:rsidR="00F4742C" w14:paraId="65DE5395" w14:textId="77777777">
      <w:trPr>
        <w:trHeight w:val="264"/>
      </w:trPr>
      <w:tc>
        <w:tcPr>
          <w:tcW w:w="2497" w:type="dxa"/>
        </w:tcPr>
        <w:p w14:paraId="0F2E63B4" w14:textId="77777777" w:rsidR="00F4742C" w:rsidRDefault="00E211E5">
          <w:pPr>
            <w:tabs>
              <w:tab w:val="right" w:pos="8838"/>
            </w:tabs>
            <w:ind w:right="-105"/>
            <w:rPr>
              <w:b/>
              <w:bCs/>
            </w:rPr>
          </w:pPr>
          <w:r>
            <w:rPr>
              <w:b/>
              <w:bCs/>
            </w:rPr>
            <w:t>Sujeto Obligado:</w:t>
          </w:r>
        </w:p>
      </w:tc>
      <w:tc>
        <w:tcPr>
          <w:tcW w:w="4591" w:type="dxa"/>
        </w:tcPr>
        <w:p w14:paraId="01B3B2C8" w14:textId="77777777" w:rsidR="00F4742C" w:rsidRDefault="00E211E5">
          <w:pPr>
            <w:tabs>
              <w:tab w:val="left" w:pos="3158"/>
              <w:tab w:val="left" w:pos="4292"/>
              <w:tab w:val="right" w:pos="8838"/>
            </w:tabs>
            <w:ind w:right="176"/>
          </w:pPr>
          <w:r>
            <w:t>Ayuntamiento de Papalotla</w:t>
          </w:r>
        </w:p>
      </w:tc>
    </w:tr>
    <w:tr w:rsidR="00F4742C" w14:paraId="21D4B058" w14:textId="77777777">
      <w:trPr>
        <w:trHeight w:val="264"/>
      </w:trPr>
      <w:tc>
        <w:tcPr>
          <w:tcW w:w="2497" w:type="dxa"/>
        </w:tcPr>
        <w:p w14:paraId="1D396C6D" w14:textId="77777777" w:rsidR="00F4742C" w:rsidRDefault="00E211E5">
          <w:pPr>
            <w:tabs>
              <w:tab w:val="right" w:pos="8838"/>
            </w:tabs>
            <w:ind w:right="-105"/>
            <w:rPr>
              <w:b/>
              <w:bCs/>
            </w:rPr>
          </w:pPr>
          <w:r>
            <w:rPr>
              <w:b/>
              <w:bCs/>
            </w:rPr>
            <w:t>Comisionado Ponente:</w:t>
          </w:r>
        </w:p>
      </w:tc>
      <w:tc>
        <w:tcPr>
          <w:tcW w:w="4591" w:type="dxa"/>
        </w:tcPr>
        <w:p w14:paraId="3F014E4A" w14:textId="77777777" w:rsidR="00F4742C" w:rsidRDefault="00E211E5">
          <w:pPr>
            <w:tabs>
              <w:tab w:val="right" w:pos="8838"/>
            </w:tabs>
            <w:ind w:right="176"/>
          </w:pPr>
          <w:r>
            <w:t>Luis Gustavo Parra Noriega</w:t>
          </w:r>
        </w:p>
        <w:p w14:paraId="30254BAB" w14:textId="77777777" w:rsidR="00F4742C" w:rsidRDefault="00F4742C">
          <w:pPr>
            <w:tabs>
              <w:tab w:val="right" w:pos="8838"/>
            </w:tabs>
            <w:ind w:right="176"/>
          </w:pPr>
        </w:p>
      </w:tc>
    </w:tr>
  </w:tbl>
  <w:p w14:paraId="777DF5E9" w14:textId="77777777" w:rsidR="00F4742C" w:rsidRDefault="00E77818">
    <w:pPr>
      <w:pBdr>
        <w:top w:val="nil"/>
        <w:left w:val="nil"/>
        <w:bottom w:val="nil"/>
        <w:right w:val="nil"/>
        <w:between w:val="nil"/>
      </w:pBdr>
      <w:tabs>
        <w:tab w:val="center" w:pos="4419"/>
        <w:tab w:val="right" w:pos="8838"/>
      </w:tabs>
      <w:spacing w:after="0" w:line="240" w:lineRule="auto"/>
      <w:rPr>
        <w:color w:val="000000"/>
      </w:rPr>
    </w:pPr>
    <w:r>
      <w:rPr>
        <w:color w:val="000000"/>
      </w:rPr>
      <w:pict w14:anchorId="361BF1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alt="MARCA DE AGUA - HOJA RESOLUCIÓN" style="position:absolute;left:0;text-align:left;margin-left:0;margin-top:0;width:663.5pt;height:12in;z-index:-251659776;mso-position-horizontal:center;mso-position-horizontal-relative:margin;mso-position-vertical:center;mso-position-vertical-relative:margin">
          <v:imagedata r:id="rId1" o:title="imag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D5A94" w14:textId="77777777" w:rsidR="00F4742C" w:rsidRDefault="00E77818">
    <w:pPr>
      <w:widowControl w:val="0"/>
      <w:pBdr>
        <w:top w:val="nil"/>
        <w:left w:val="nil"/>
        <w:bottom w:val="nil"/>
        <w:right w:val="nil"/>
        <w:between w:val="nil"/>
      </w:pBdr>
      <w:spacing w:after="0" w:line="276" w:lineRule="auto"/>
      <w:jc w:val="left"/>
      <w:rPr>
        <w:color w:val="000000"/>
      </w:rPr>
    </w:pPr>
    <w:r>
      <w:rPr>
        <w:color w:val="000000"/>
      </w:rPr>
      <w:pict w14:anchorId="68F9D7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MARCA DE AGUA - HOJA RESOLUCIÓN" style="position:absolute;margin-left:-97.1pt;margin-top:-123.85pt;width:663.5pt;height:12in;z-index:-251658752;mso-position-horizontal:absolute;mso-position-horizontal-relative:margin;mso-position-vertical:absolute;mso-position-vertical-relative:margin">
          <v:imagedata r:id="rId1" o:title="image1"/>
          <w10:wrap anchorx="margin" anchory="margin"/>
        </v:shape>
      </w:pict>
    </w:r>
  </w:p>
  <w:tbl>
    <w:tblPr>
      <w:tblStyle w:val="a7"/>
      <w:tblW w:w="9214" w:type="dxa"/>
      <w:tblInd w:w="0" w:type="dxa"/>
      <w:tblLayout w:type="fixed"/>
      <w:tblLook w:val="0400" w:firstRow="0" w:lastRow="0" w:firstColumn="0" w:lastColumn="0" w:noHBand="0" w:noVBand="1"/>
    </w:tblPr>
    <w:tblGrid>
      <w:gridCol w:w="2127"/>
      <w:gridCol w:w="7087"/>
    </w:tblGrid>
    <w:tr w:rsidR="00F4742C" w14:paraId="219FC73B" w14:textId="77777777">
      <w:trPr>
        <w:trHeight w:val="1546"/>
      </w:trPr>
      <w:tc>
        <w:tcPr>
          <w:tcW w:w="2127" w:type="dxa"/>
        </w:tcPr>
        <w:p w14:paraId="4E98C79E" w14:textId="77777777" w:rsidR="00F4742C" w:rsidRDefault="00F4742C">
          <w:pPr>
            <w:tabs>
              <w:tab w:val="right" w:pos="4273"/>
            </w:tabs>
            <w:rPr>
              <w:rFonts w:ascii="Garamond" w:eastAsia="Garamond" w:hAnsi="Garamond" w:cs="Garamond"/>
              <w:sz w:val="16"/>
              <w:szCs w:val="16"/>
            </w:rPr>
          </w:pPr>
        </w:p>
      </w:tc>
      <w:tc>
        <w:tcPr>
          <w:tcW w:w="7087" w:type="dxa"/>
        </w:tcPr>
        <w:p w14:paraId="562EC8CC" w14:textId="77777777" w:rsidR="00F4742C" w:rsidRDefault="00F4742C">
          <w:pPr>
            <w:rPr>
              <w:sz w:val="10"/>
              <w:szCs w:val="10"/>
            </w:rPr>
          </w:pPr>
        </w:p>
        <w:tbl>
          <w:tblPr>
            <w:tblStyle w:val="a8"/>
            <w:tblW w:w="6384" w:type="dxa"/>
            <w:tblInd w:w="595" w:type="dxa"/>
            <w:tblLayout w:type="fixed"/>
            <w:tblLook w:val="0400" w:firstRow="0" w:lastRow="0" w:firstColumn="0" w:lastColumn="0" w:noHBand="0" w:noVBand="1"/>
          </w:tblPr>
          <w:tblGrid>
            <w:gridCol w:w="2376"/>
            <w:gridCol w:w="4008"/>
          </w:tblGrid>
          <w:tr w:rsidR="00F4742C" w14:paraId="2E1A7D02" w14:textId="77777777">
            <w:trPr>
              <w:trHeight w:val="427"/>
            </w:trPr>
            <w:tc>
              <w:tcPr>
                <w:tcW w:w="2376" w:type="dxa"/>
                <w:vAlign w:val="bottom"/>
              </w:tcPr>
              <w:p w14:paraId="5BDA1020" w14:textId="77777777" w:rsidR="00F4742C" w:rsidRDefault="00E211E5">
                <w:pPr>
                  <w:tabs>
                    <w:tab w:val="right" w:pos="8838"/>
                  </w:tabs>
                  <w:ind w:right="-105"/>
                  <w:rPr>
                    <w:b/>
                    <w:bCs/>
                  </w:rPr>
                </w:pPr>
                <w:r>
                  <w:rPr>
                    <w:b/>
                    <w:bCs/>
                  </w:rPr>
                  <w:t>Recurso de Revisión:</w:t>
                </w:r>
              </w:p>
            </w:tc>
            <w:tc>
              <w:tcPr>
                <w:tcW w:w="4008" w:type="dxa"/>
              </w:tcPr>
              <w:p w14:paraId="57A9898B" w14:textId="77777777" w:rsidR="00F4742C" w:rsidRDefault="00F4742C">
                <w:pPr>
                  <w:tabs>
                    <w:tab w:val="right" w:pos="8838"/>
                  </w:tabs>
                  <w:ind w:left="-28" w:right="-107"/>
                  <w:rPr>
                    <w:b/>
                    <w:bCs/>
                  </w:rPr>
                </w:pPr>
              </w:p>
              <w:p w14:paraId="1E0E853F" w14:textId="77777777" w:rsidR="00F4742C" w:rsidRDefault="00E211E5">
                <w:pPr>
                  <w:tabs>
                    <w:tab w:val="right" w:pos="8838"/>
                  </w:tabs>
                  <w:ind w:left="-28" w:right="-107"/>
                </w:pPr>
                <w:r>
                  <w:t>14361/INFOEM/IP/RR/2025</w:t>
                </w:r>
              </w:p>
            </w:tc>
          </w:tr>
          <w:tr w:rsidR="00F4742C" w14:paraId="50712319" w14:textId="77777777">
            <w:trPr>
              <w:trHeight w:val="141"/>
            </w:trPr>
            <w:tc>
              <w:tcPr>
                <w:tcW w:w="2376" w:type="dxa"/>
              </w:tcPr>
              <w:p w14:paraId="493A7544" w14:textId="77777777" w:rsidR="00F4742C" w:rsidRDefault="00E211E5">
                <w:pPr>
                  <w:tabs>
                    <w:tab w:val="right" w:pos="8838"/>
                  </w:tabs>
                  <w:ind w:right="-105"/>
                  <w:rPr>
                    <w:b/>
                    <w:bCs/>
                  </w:rPr>
                </w:pPr>
                <w:r>
                  <w:rPr>
                    <w:b/>
                    <w:bCs/>
                  </w:rPr>
                  <w:t>Recurrente:</w:t>
                </w:r>
              </w:p>
            </w:tc>
            <w:tc>
              <w:tcPr>
                <w:tcW w:w="4008" w:type="dxa"/>
              </w:tcPr>
              <w:p w14:paraId="62B18CBD" w14:textId="23DC27B5" w:rsidR="00F4742C" w:rsidRDefault="00430251">
                <w:pPr>
                  <w:tabs>
                    <w:tab w:val="right" w:pos="8838"/>
                  </w:tabs>
                  <w:ind w:right="-107"/>
                </w:pPr>
                <w:r w:rsidRPr="00F63F47">
                  <w:rPr>
                    <w:highlight w:val="black"/>
                  </w:rPr>
                  <w:t>X</w:t>
                </w:r>
                <w:r w:rsidRPr="00F63F47">
                  <w:rPr>
                    <w:b/>
                    <w:bCs/>
                    <w:highlight w:val="black"/>
                  </w:rPr>
                  <w:t>XXXXXXXXXXXXXXXXXX</w:t>
                </w:r>
              </w:p>
            </w:tc>
          </w:tr>
          <w:tr w:rsidR="00F4742C" w14:paraId="4B599E15" w14:textId="77777777">
            <w:trPr>
              <w:trHeight w:val="276"/>
            </w:trPr>
            <w:tc>
              <w:tcPr>
                <w:tcW w:w="2376" w:type="dxa"/>
              </w:tcPr>
              <w:p w14:paraId="1F5C5A43" w14:textId="77777777" w:rsidR="00F4742C" w:rsidRDefault="00E211E5">
                <w:pPr>
                  <w:tabs>
                    <w:tab w:val="right" w:pos="8838"/>
                  </w:tabs>
                  <w:ind w:right="-105"/>
                  <w:rPr>
                    <w:b/>
                    <w:bCs/>
                  </w:rPr>
                </w:pPr>
                <w:r>
                  <w:rPr>
                    <w:b/>
                    <w:bCs/>
                  </w:rPr>
                  <w:t>Sujeto Obligado:</w:t>
                </w:r>
              </w:p>
            </w:tc>
            <w:tc>
              <w:tcPr>
                <w:tcW w:w="4008" w:type="dxa"/>
              </w:tcPr>
              <w:p w14:paraId="34FF908F" w14:textId="77777777" w:rsidR="00F4742C" w:rsidRDefault="00E211E5">
                <w:pPr>
                  <w:tabs>
                    <w:tab w:val="right" w:pos="8838"/>
                  </w:tabs>
                  <w:ind w:right="33"/>
                </w:pPr>
                <w:r>
                  <w:t>Ayuntamiento de Papalotla</w:t>
                </w:r>
              </w:p>
            </w:tc>
          </w:tr>
          <w:tr w:rsidR="00F4742C" w14:paraId="760B5393" w14:textId="77777777">
            <w:trPr>
              <w:trHeight w:val="276"/>
            </w:trPr>
            <w:tc>
              <w:tcPr>
                <w:tcW w:w="2376" w:type="dxa"/>
              </w:tcPr>
              <w:p w14:paraId="48126731" w14:textId="77777777" w:rsidR="00F4742C" w:rsidRDefault="00E211E5">
                <w:pPr>
                  <w:tabs>
                    <w:tab w:val="right" w:pos="8838"/>
                  </w:tabs>
                  <w:ind w:right="-105"/>
                  <w:rPr>
                    <w:b/>
                    <w:bCs/>
                  </w:rPr>
                </w:pPr>
                <w:r>
                  <w:rPr>
                    <w:b/>
                    <w:bCs/>
                  </w:rPr>
                  <w:t>Comisionado Ponente:</w:t>
                </w:r>
              </w:p>
            </w:tc>
            <w:tc>
              <w:tcPr>
                <w:tcW w:w="4008" w:type="dxa"/>
              </w:tcPr>
              <w:p w14:paraId="050D9B4C" w14:textId="77777777" w:rsidR="00F4742C" w:rsidRDefault="00E211E5">
                <w:pPr>
                  <w:tabs>
                    <w:tab w:val="right" w:pos="8838"/>
                  </w:tabs>
                  <w:ind w:right="-107"/>
                </w:pPr>
                <w:r>
                  <w:t>Luis Gustavo Parra Noriega</w:t>
                </w:r>
              </w:p>
            </w:tc>
          </w:tr>
        </w:tbl>
        <w:p w14:paraId="2B922B9C" w14:textId="77777777" w:rsidR="00F4742C" w:rsidRDefault="00F4742C">
          <w:pPr>
            <w:tabs>
              <w:tab w:val="right" w:pos="8838"/>
            </w:tabs>
            <w:ind w:left="-28"/>
            <w:rPr>
              <w:rFonts w:ascii="Arial" w:eastAsia="Arial" w:hAnsi="Arial" w:cs="Arial"/>
              <w:b/>
              <w:bCs/>
            </w:rPr>
          </w:pPr>
        </w:p>
      </w:tc>
    </w:tr>
  </w:tbl>
  <w:p w14:paraId="09AAE7D2" w14:textId="77777777" w:rsidR="00F4742C" w:rsidRDefault="00F4742C">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44E19"/>
    <w:multiLevelType w:val="multilevel"/>
    <w:tmpl w:val="B4DE16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83601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42C"/>
    <w:rsid w:val="00233D17"/>
    <w:rsid w:val="003D7225"/>
    <w:rsid w:val="004049D7"/>
    <w:rsid w:val="00430251"/>
    <w:rsid w:val="004D3EEA"/>
    <w:rsid w:val="00AE5ACC"/>
    <w:rsid w:val="00B73A6D"/>
    <w:rsid w:val="00E211E5"/>
    <w:rsid w:val="00E77818"/>
    <w:rsid w:val="00ED5AD5"/>
    <w:rsid w:val="00F4742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A223E"/>
  <w15:docId w15:val="{E388D376-35AA-4465-AE44-7FC4991A9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s-MX" w:eastAsia="es-MX"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line="360" w:lineRule="auto"/>
      <w:jc w:val="center"/>
      <w:outlineLvl w:val="0"/>
    </w:pPr>
    <w:rPr>
      <w:b/>
      <w:bCs/>
      <w:sz w:val="24"/>
      <w:szCs w:val="24"/>
    </w:rPr>
  </w:style>
  <w:style w:type="paragraph" w:styleId="Ttulo2">
    <w:name w:val="heading 2"/>
    <w:basedOn w:val="Normal"/>
    <w:next w:val="Normal"/>
    <w:pPr>
      <w:keepNext/>
      <w:keepLines/>
      <w:spacing w:before="360" w:after="80" w:line="360" w:lineRule="auto"/>
      <w:jc w:val="left"/>
      <w:outlineLvl w:val="1"/>
    </w:pPr>
    <w:rPr>
      <w:b/>
      <w:bCs/>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10">
    <w:name w:val="TableNormal1"/>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14">
    <w:name w:val="Table Normal14"/>
    <w:tblPr>
      <w:tblCellMar>
        <w:top w:w="0" w:type="dxa"/>
        <w:left w:w="0" w:type="dxa"/>
        <w:bottom w:w="0" w:type="dxa"/>
        <w:right w:w="0" w:type="dxa"/>
      </w:tblCellMar>
    </w:tblPr>
  </w:style>
  <w:style w:type="table" w:customStyle="1" w:styleId="TableNormal13">
    <w:name w:val="Table Normal13"/>
    <w:tblPr>
      <w:tblCellMar>
        <w:top w:w="0" w:type="dxa"/>
        <w:left w:w="0" w:type="dxa"/>
        <w:bottom w:w="0" w:type="dxa"/>
        <w:right w:w="0" w:type="dxa"/>
      </w:tblCellMar>
    </w:tblPr>
  </w:style>
  <w:style w:type="table" w:customStyle="1" w:styleId="TableNormal12">
    <w:name w:val="Table Normal12"/>
    <w:tblPr>
      <w:tblCellMar>
        <w:top w:w="0" w:type="dxa"/>
        <w:left w:w="0" w:type="dxa"/>
        <w:bottom w:w="0" w:type="dxa"/>
        <w:right w:w="0" w:type="dxa"/>
      </w:tblCellMar>
    </w:tblPr>
  </w:style>
  <w:style w:type="table" w:customStyle="1" w:styleId="TableNormal11">
    <w:name w:val="Table Normal11"/>
    <w:tblPr>
      <w:tblCellMar>
        <w:top w:w="0" w:type="dxa"/>
        <w:left w:w="0" w:type="dxa"/>
        <w:bottom w:w="0" w:type="dxa"/>
        <w:right w:w="0" w:type="dxa"/>
      </w:tblCellMar>
    </w:tblPr>
  </w:style>
  <w:style w:type="table" w:customStyle="1" w:styleId="TableNormal100">
    <w:name w:val="Table Normal10"/>
    <w:tblPr>
      <w:tblCellMar>
        <w:top w:w="0" w:type="dxa"/>
        <w:left w:w="0" w:type="dxa"/>
        <w:bottom w:w="0" w:type="dxa"/>
        <w:right w:w="0" w:type="dxa"/>
      </w:tblCellMar>
    </w:tblPr>
  </w:style>
  <w:style w:type="table" w:customStyle="1" w:styleId="TableNormal9">
    <w:name w:val="Table Normal9"/>
    <w:tblPr>
      <w:tblCellMar>
        <w:top w:w="0" w:type="dxa"/>
        <w:left w:w="0" w:type="dxa"/>
        <w:bottom w:w="0" w:type="dxa"/>
        <w:right w:w="0" w:type="dxa"/>
      </w:tblCellMar>
    </w:tblPr>
  </w:style>
  <w:style w:type="table" w:customStyle="1" w:styleId="TableNormal8">
    <w:name w:val="Table Normal8"/>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5">
    <w:name w:val="Table Normal1"/>
    <w:tblPr>
      <w:tblCellMar>
        <w:top w:w="0" w:type="dxa"/>
        <w:left w:w="0" w:type="dxa"/>
        <w:bottom w:w="0" w:type="dxa"/>
        <w:right w:w="0" w:type="dxa"/>
      </w:tblCellMar>
    </w:tblPr>
  </w:style>
  <w:style w:type="paragraph" w:styleId="Encabezado">
    <w:name w:val="header"/>
    <w:basedOn w:val="Normal"/>
    <w:link w:val="EncabezadoCar"/>
    <w:uiPriority w:val="99"/>
    <w:unhideWhenUsed/>
    <w:rsid w:val="00C853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53D1"/>
    <w:rPr>
      <w:rFonts w:ascii="Palatino Linotype" w:hAnsi="Palatino Linotype"/>
      <w:color w:val="000000" w:themeColor="text1"/>
    </w:rPr>
  </w:style>
  <w:style w:type="paragraph" w:styleId="Piedepgina">
    <w:name w:val="footer"/>
    <w:basedOn w:val="Normal"/>
    <w:link w:val="PiedepginaCar"/>
    <w:uiPriority w:val="99"/>
    <w:unhideWhenUsed/>
    <w:rsid w:val="00C853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53D1"/>
    <w:rPr>
      <w:rFonts w:ascii="Palatino Linotype" w:hAnsi="Palatino Linotype"/>
      <w:color w:val="000000" w:themeColor="text1"/>
    </w:rPr>
  </w:style>
  <w:style w:type="table" w:styleId="Tablaconcuadrcula">
    <w:name w:val="Table Grid"/>
    <w:basedOn w:val="Tablanormal"/>
    <w:uiPriority w:val="39"/>
    <w:qFormat/>
    <w:rsid w:val="00C853D1"/>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aliases w:val="Hipervínculo1,Hipervínculo11,Hipervínculo12,Hipervínculo13,Hipervínculo14,Hipervínculo15"/>
    <w:basedOn w:val="Fuentedeprrafopredeter"/>
    <w:uiPriority w:val="99"/>
    <w:unhideWhenUsed/>
    <w:qFormat/>
    <w:rsid w:val="00C853D1"/>
    <w:rPr>
      <w:color w:val="0563C1" w:themeColor="hyperlink"/>
      <w:u w:val="singl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D5686A"/>
    <w:rPr>
      <w:rFonts w:ascii="Palatino Linotype" w:eastAsia="Times New Roman" w:hAnsi="Palatino Linotype"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5686A"/>
    <w:pPr>
      <w:spacing w:after="0" w:line="240" w:lineRule="auto"/>
      <w:ind w:left="720"/>
      <w:contextualSpacing/>
    </w:pPr>
    <w:rPr>
      <w:rFonts w:eastAsia="Times New Roman" w:cs="Times New Roman"/>
      <w:szCs w:val="24"/>
      <w:lang w:eastAsia="es-ES"/>
    </w:rPr>
  </w:style>
  <w:style w:type="character" w:customStyle="1" w:styleId="Mencinsinresolver1">
    <w:name w:val="Mención sin resolver1"/>
    <w:basedOn w:val="Fuentedeprrafopredeter"/>
    <w:uiPriority w:val="99"/>
    <w:semiHidden/>
    <w:unhideWhenUsed/>
    <w:rsid w:val="0079077D"/>
    <w:rPr>
      <w:color w:val="605E5C"/>
      <w:shd w:val="clear" w:color="auto" w:fill="E1DFDD"/>
    </w:rPr>
  </w:style>
  <w:style w:type="character" w:styleId="Hipervnculovisitado">
    <w:name w:val="FollowedHyperlink"/>
    <w:basedOn w:val="Fuentedeprrafopredeter"/>
    <w:uiPriority w:val="99"/>
    <w:semiHidden/>
    <w:unhideWhenUsed/>
    <w:rsid w:val="00B85DBE"/>
    <w:rPr>
      <w:color w:val="954F72" w:themeColor="followedHyperlink"/>
      <w:u w:val="single"/>
    </w:rPr>
  </w:style>
  <w:style w:type="character" w:customStyle="1" w:styleId="dp6">
    <w:name w:val="dp6"/>
    <w:basedOn w:val="Fuentedeprrafopredeter"/>
    <w:rsid w:val="00491C3E"/>
  </w:style>
  <w:style w:type="paragraph" w:styleId="Textosinformato">
    <w:name w:val="Plain Text"/>
    <w:basedOn w:val="Normal"/>
    <w:link w:val="TextosinformatoCar"/>
    <w:rsid w:val="00273E3B"/>
    <w:pPr>
      <w:spacing w:after="0" w:line="240" w:lineRule="auto"/>
      <w:jc w:val="left"/>
    </w:pPr>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273E3B"/>
    <w:rPr>
      <w:rFonts w:ascii="Courier New" w:eastAsia="Times New Roman" w:hAnsi="Courier New" w:cs="Times New Roman"/>
      <w:sz w:val="20"/>
      <w:szCs w:val="20"/>
      <w:lang w:val="x-none" w:eastAsia="es-ES"/>
    </w:rPr>
  </w:style>
  <w:style w:type="paragraph" w:customStyle="1" w:styleId="Texto">
    <w:name w:val="Texto"/>
    <w:basedOn w:val="Normal"/>
    <w:link w:val="TextoCar"/>
    <w:rsid w:val="00273E3B"/>
    <w:pPr>
      <w:spacing w:after="101" w:line="216" w:lineRule="exact"/>
      <w:ind w:firstLine="288"/>
    </w:pPr>
    <w:rPr>
      <w:rFonts w:ascii="Arial" w:eastAsia="Times New Roman" w:hAnsi="Arial" w:cs="Times New Roman"/>
      <w:sz w:val="18"/>
      <w:szCs w:val="18"/>
      <w:lang w:val="es-ES" w:eastAsia="es-ES"/>
    </w:rPr>
  </w:style>
  <w:style w:type="character" w:customStyle="1" w:styleId="TextoCar">
    <w:name w:val="Texto Car"/>
    <w:link w:val="Texto"/>
    <w:locked/>
    <w:rsid w:val="00273E3B"/>
    <w:rPr>
      <w:rFonts w:ascii="Arial" w:eastAsia="Times New Roman" w:hAnsi="Arial" w:cs="Times New Roman"/>
      <w:sz w:val="18"/>
      <w:szCs w:val="18"/>
      <w:lang w:val="es-ES" w:eastAsia="es-ES"/>
    </w:rPr>
  </w:style>
  <w:style w:type="character" w:customStyle="1" w:styleId="markedcontent">
    <w:name w:val="markedcontent"/>
    <w:basedOn w:val="Fuentedeprrafopredeter"/>
    <w:rsid w:val="003C470A"/>
  </w:style>
  <w:style w:type="paragraph" w:styleId="NormalWeb">
    <w:name w:val="Normal (Web)"/>
    <w:basedOn w:val="Normal"/>
    <w:uiPriority w:val="99"/>
    <w:unhideWhenUsed/>
    <w:rsid w:val="00682222"/>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682222"/>
  </w:style>
  <w:style w:type="character" w:customStyle="1" w:styleId="normaltextrun">
    <w:name w:val="normaltextrun"/>
    <w:basedOn w:val="Fuentedeprrafopredeter"/>
    <w:rsid w:val="00B80DA1"/>
  </w:style>
  <w:style w:type="paragraph" w:customStyle="1" w:styleId="paragraph">
    <w:name w:val="paragraph"/>
    <w:basedOn w:val="Normal"/>
    <w:rsid w:val="00B80DA1"/>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eop">
    <w:name w:val="eop"/>
    <w:basedOn w:val="Fuentedeprrafopredeter"/>
    <w:rsid w:val="00B80DA1"/>
  </w:style>
  <w:style w:type="character" w:customStyle="1" w:styleId="Mencinsinresolver2">
    <w:name w:val="Mención sin resolver2"/>
    <w:basedOn w:val="Fuentedeprrafopredeter"/>
    <w:uiPriority w:val="99"/>
    <w:semiHidden/>
    <w:unhideWhenUsed/>
    <w:rsid w:val="00AC67FF"/>
    <w:rPr>
      <w:color w:val="605E5C"/>
      <w:shd w:val="clear" w:color="auto" w:fill="E1DFDD"/>
    </w:rPr>
  </w:style>
  <w:style w:type="table" w:customStyle="1" w:styleId="88">
    <w:name w:val="88"/>
    <w:basedOn w:val="TableNormal15"/>
    <w:pPr>
      <w:spacing w:after="0" w:line="240" w:lineRule="auto"/>
    </w:pPr>
    <w:tblPr>
      <w:tblStyleRowBandSize w:val="1"/>
      <w:tblStyleColBandSize w:val="1"/>
      <w:tblCellMar>
        <w:left w:w="108" w:type="dxa"/>
        <w:right w:w="108" w:type="dxa"/>
      </w:tblCellMar>
    </w:tblPr>
  </w:style>
  <w:style w:type="table" w:customStyle="1" w:styleId="87">
    <w:name w:val="87"/>
    <w:basedOn w:val="TableNormal15"/>
    <w:pPr>
      <w:spacing w:after="0" w:line="240" w:lineRule="auto"/>
    </w:pPr>
    <w:tblPr>
      <w:tblStyleRowBandSize w:val="1"/>
      <w:tblStyleColBandSize w:val="1"/>
      <w:tblCellMar>
        <w:left w:w="108" w:type="dxa"/>
        <w:right w:w="108" w:type="dxa"/>
      </w:tblCellMar>
    </w:tblPr>
  </w:style>
  <w:style w:type="table" w:customStyle="1" w:styleId="86">
    <w:name w:val="86"/>
    <w:basedOn w:val="TableNormal15"/>
    <w:tblPr>
      <w:tblStyleRowBandSize w:val="1"/>
      <w:tblStyleColBandSize w:val="1"/>
      <w:tblCellMar>
        <w:left w:w="115" w:type="dxa"/>
        <w:right w:w="115" w:type="dxa"/>
      </w:tblCellMar>
    </w:tblPr>
  </w:style>
  <w:style w:type="table" w:customStyle="1" w:styleId="85">
    <w:name w:val="85"/>
    <w:basedOn w:val="TableNormal15"/>
    <w:pPr>
      <w:spacing w:after="0" w:line="240" w:lineRule="auto"/>
    </w:pPr>
    <w:tblPr>
      <w:tblStyleRowBandSize w:val="1"/>
      <w:tblStyleColBandSize w:val="1"/>
      <w:tblCellMar>
        <w:left w:w="108" w:type="dxa"/>
        <w:right w:w="108" w:type="dxa"/>
      </w:tblCellMar>
    </w:tblPr>
  </w:style>
  <w:style w:type="paragraph" w:styleId="TtuloTDC">
    <w:name w:val="TOC Heading"/>
    <w:next w:val="Normal"/>
    <w:uiPriority w:val="39"/>
    <w:unhideWhenUsed/>
    <w:qFormat/>
    <w:rsid w:val="00A50615"/>
    <w:pPr>
      <w:spacing w:before="240" w:after="0"/>
      <w:jc w:val="left"/>
    </w:pPr>
    <w:rPr>
      <w:rFonts w:asciiTheme="majorHAnsi" w:eastAsiaTheme="majorEastAsia" w:hAnsiTheme="majorHAnsi" w:cstheme="majorBidi"/>
      <w:color w:val="2F5496" w:themeColor="accent1" w:themeShade="BF"/>
      <w:sz w:val="32"/>
      <w:szCs w:val="32"/>
    </w:rPr>
  </w:style>
  <w:style w:type="paragraph" w:styleId="TDC1">
    <w:name w:val="toc 1"/>
    <w:basedOn w:val="Normal"/>
    <w:next w:val="Normal"/>
    <w:autoRedefine/>
    <w:uiPriority w:val="39"/>
    <w:unhideWhenUsed/>
    <w:rsid w:val="00A50615"/>
    <w:pPr>
      <w:spacing w:after="100"/>
    </w:pPr>
  </w:style>
  <w:style w:type="paragraph" w:styleId="TDC2">
    <w:name w:val="toc 2"/>
    <w:basedOn w:val="Normal"/>
    <w:next w:val="Normal"/>
    <w:autoRedefine/>
    <w:uiPriority w:val="39"/>
    <w:unhideWhenUsed/>
    <w:rsid w:val="00A50615"/>
    <w:pPr>
      <w:spacing w:after="100"/>
      <w:ind w:left="220"/>
    </w:pPr>
  </w:style>
  <w:style w:type="character" w:customStyle="1" w:styleId="Mencinsinresolver3">
    <w:name w:val="Mención sin resolver3"/>
    <w:basedOn w:val="Fuentedeprrafopredeter"/>
    <w:uiPriority w:val="99"/>
    <w:semiHidden/>
    <w:unhideWhenUsed/>
    <w:rsid w:val="00BE1DC0"/>
    <w:rPr>
      <w:color w:val="605E5C"/>
      <w:shd w:val="clear" w:color="auto" w:fill="E1DFDD"/>
    </w:rPr>
  </w:style>
  <w:style w:type="table" w:customStyle="1" w:styleId="84">
    <w:name w:val="84"/>
    <w:basedOn w:val="TableNormal15"/>
    <w:pPr>
      <w:spacing w:after="0" w:line="240" w:lineRule="auto"/>
    </w:pPr>
    <w:tblPr>
      <w:tblStyleRowBandSize w:val="1"/>
      <w:tblStyleColBandSize w:val="1"/>
      <w:tblCellMar>
        <w:left w:w="108" w:type="dxa"/>
        <w:right w:w="108" w:type="dxa"/>
      </w:tblCellMar>
    </w:tblPr>
  </w:style>
  <w:style w:type="table" w:customStyle="1" w:styleId="83">
    <w:name w:val="83"/>
    <w:basedOn w:val="TableNormal15"/>
    <w:pPr>
      <w:spacing w:after="0" w:line="240" w:lineRule="auto"/>
    </w:pPr>
    <w:tblPr>
      <w:tblStyleRowBandSize w:val="1"/>
      <w:tblStyleColBandSize w:val="1"/>
      <w:tblCellMar>
        <w:left w:w="108" w:type="dxa"/>
        <w:right w:w="108" w:type="dxa"/>
      </w:tblCellMar>
    </w:tblPr>
  </w:style>
  <w:style w:type="table" w:customStyle="1" w:styleId="82">
    <w:name w:val="82"/>
    <w:basedOn w:val="TableNormal15"/>
    <w:pPr>
      <w:spacing w:after="0" w:line="240" w:lineRule="auto"/>
    </w:pPr>
    <w:tblPr>
      <w:tblStyleRowBandSize w:val="1"/>
      <w:tblStyleColBandSize w:val="1"/>
      <w:tblCellMar>
        <w:left w:w="108" w:type="dxa"/>
        <w:right w:w="108" w:type="dxa"/>
      </w:tblCellMar>
    </w:tblPr>
  </w:style>
  <w:style w:type="table" w:customStyle="1" w:styleId="81">
    <w:name w:val="81"/>
    <w:basedOn w:val="TableNormal15"/>
    <w:pPr>
      <w:spacing w:after="0" w:line="240" w:lineRule="auto"/>
    </w:pPr>
    <w:tblPr>
      <w:tblStyleRowBandSize w:val="1"/>
      <w:tblStyleColBandSize w:val="1"/>
      <w:tblCellMar>
        <w:left w:w="108" w:type="dxa"/>
        <w:right w:w="108" w:type="dxa"/>
      </w:tblCellMar>
    </w:tblPr>
  </w:style>
  <w:style w:type="table" w:customStyle="1" w:styleId="80">
    <w:name w:val="80"/>
    <w:basedOn w:val="TableNormal20"/>
    <w:pPr>
      <w:spacing w:after="0" w:line="240" w:lineRule="auto"/>
    </w:pPr>
    <w:tblPr>
      <w:tblStyleRowBandSize w:val="1"/>
      <w:tblStyleColBandSize w:val="1"/>
      <w:tblCellMar>
        <w:left w:w="108" w:type="dxa"/>
        <w:right w:w="108" w:type="dxa"/>
      </w:tblCellMar>
    </w:tblPr>
  </w:style>
  <w:style w:type="table" w:customStyle="1" w:styleId="79">
    <w:name w:val="79"/>
    <w:basedOn w:val="TableNormal20"/>
    <w:pPr>
      <w:spacing w:after="0" w:line="240" w:lineRule="auto"/>
    </w:pPr>
    <w:tblPr>
      <w:tblStyleRowBandSize w:val="1"/>
      <w:tblStyleColBandSize w:val="1"/>
      <w:tblCellMar>
        <w:left w:w="108" w:type="dxa"/>
        <w:right w:w="108" w:type="dxa"/>
      </w:tblCellMar>
    </w:tblPr>
  </w:style>
  <w:style w:type="table" w:customStyle="1" w:styleId="78">
    <w:name w:val="78"/>
    <w:basedOn w:val="TableNormal20"/>
    <w:pPr>
      <w:spacing w:after="0" w:line="240" w:lineRule="auto"/>
    </w:pPr>
    <w:tblPr>
      <w:tblStyleRowBandSize w:val="1"/>
      <w:tblStyleColBandSize w:val="1"/>
      <w:tblCellMar>
        <w:left w:w="108" w:type="dxa"/>
        <w:right w:w="108" w:type="dxa"/>
      </w:tblCellMar>
    </w:tblPr>
  </w:style>
  <w:style w:type="table" w:customStyle="1" w:styleId="77">
    <w:name w:val="77"/>
    <w:basedOn w:val="TableNormal20"/>
    <w:pPr>
      <w:spacing w:after="0" w:line="240" w:lineRule="auto"/>
    </w:pPr>
    <w:tblPr>
      <w:tblStyleRowBandSize w:val="1"/>
      <w:tblStyleColBandSize w:val="1"/>
      <w:tblCellMar>
        <w:left w:w="108" w:type="dxa"/>
        <w:right w:w="108" w:type="dxa"/>
      </w:tblCellMar>
    </w:tblPr>
  </w:style>
  <w:style w:type="table" w:customStyle="1" w:styleId="76">
    <w:name w:val="76"/>
    <w:basedOn w:val="TableNormal3"/>
    <w:pPr>
      <w:spacing w:after="0" w:line="240" w:lineRule="auto"/>
    </w:pPr>
    <w:tblPr>
      <w:tblStyleRowBandSize w:val="1"/>
      <w:tblStyleColBandSize w:val="1"/>
      <w:tblCellMar>
        <w:left w:w="108" w:type="dxa"/>
        <w:right w:w="108" w:type="dxa"/>
      </w:tblCellMar>
    </w:tblPr>
  </w:style>
  <w:style w:type="table" w:customStyle="1" w:styleId="75">
    <w:name w:val="75"/>
    <w:basedOn w:val="TableNormal3"/>
    <w:pPr>
      <w:spacing w:after="0" w:line="240" w:lineRule="auto"/>
    </w:pPr>
    <w:tblPr>
      <w:tblStyleRowBandSize w:val="1"/>
      <w:tblStyleColBandSize w:val="1"/>
      <w:tblCellMar>
        <w:left w:w="108" w:type="dxa"/>
        <w:right w:w="108" w:type="dxa"/>
      </w:tblCellMar>
    </w:tblPr>
  </w:style>
  <w:style w:type="table" w:customStyle="1" w:styleId="74">
    <w:name w:val="74"/>
    <w:basedOn w:val="TableNormal3"/>
    <w:pPr>
      <w:spacing w:after="0" w:line="240" w:lineRule="auto"/>
    </w:pPr>
    <w:tblPr>
      <w:tblStyleRowBandSize w:val="1"/>
      <w:tblStyleColBandSize w:val="1"/>
      <w:tblCellMar>
        <w:left w:w="108" w:type="dxa"/>
        <w:right w:w="108" w:type="dxa"/>
      </w:tblCellMar>
    </w:tblPr>
  </w:style>
  <w:style w:type="table" w:customStyle="1" w:styleId="73">
    <w:name w:val="73"/>
    <w:basedOn w:val="TableNormal3"/>
    <w:pPr>
      <w:spacing w:after="0" w:line="240" w:lineRule="auto"/>
    </w:pPr>
    <w:tblPr>
      <w:tblStyleRowBandSize w:val="1"/>
      <w:tblStyleColBandSize w:val="1"/>
      <w:tblCellMar>
        <w:left w:w="108" w:type="dxa"/>
        <w:right w:w="108" w:type="dxa"/>
      </w:tblCellMar>
    </w:tblPr>
  </w:style>
  <w:style w:type="table" w:customStyle="1" w:styleId="72">
    <w:name w:val="72"/>
    <w:basedOn w:val="TableNormal4"/>
    <w:pPr>
      <w:spacing w:after="0" w:line="240" w:lineRule="auto"/>
    </w:pPr>
    <w:tblPr>
      <w:tblStyleRowBandSize w:val="1"/>
      <w:tblStyleColBandSize w:val="1"/>
      <w:tblCellMar>
        <w:left w:w="108" w:type="dxa"/>
        <w:right w:w="108" w:type="dxa"/>
      </w:tblCellMar>
    </w:tblPr>
  </w:style>
  <w:style w:type="table" w:customStyle="1" w:styleId="71">
    <w:name w:val="71"/>
    <w:basedOn w:val="TableNormal4"/>
    <w:pPr>
      <w:spacing w:after="0" w:line="240" w:lineRule="auto"/>
    </w:pPr>
    <w:tblPr>
      <w:tblStyleRowBandSize w:val="1"/>
      <w:tblStyleColBandSize w:val="1"/>
      <w:tblCellMar>
        <w:left w:w="108" w:type="dxa"/>
        <w:right w:w="108" w:type="dxa"/>
      </w:tblCellMar>
    </w:tblPr>
  </w:style>
  <w:style w:type="table" w:customStyle="1" w:styleId="70">
    <w:name w:val="70"/>
    <w:basedOn w:val="TableNormal4"/>
    <w:pPr>
      <w:spacing w:after="0" w:line="240" w:lineRule="auto"/>
    </w:pPr>
    <w:tblPr>
      <w:tblStyleRowBandSize w:val="1"/>
      <w:tblStyleColBandSize w:val="1"/>
      <w:tblCellMar>
        <w:left w:w="108" w:type="dxa"/>
        <w:right w:w="108" w:type="dxa"/>
      </w:tblCellMar>
    </w:tblPr>
  </w:style>
  <w:style w:type="table" w:customStyle="1" w:styleId="69">
    <w:name w:val="69"/>
    <w:basedOn w:val="TableNormal4"/>
    <w:pPr>
      <w:spacing w:after="0" w:line="240" w:lineRule="auto"/>
    </w:pPr>
    <w:tblPr>
      <w:tblStyleRowBandSize w:val="1"/>
      <w:tblStyleColBandSize w:val="1"/>
      <w:tblCellMar>
        <w:left w:w="108" w:type="dxa"/>
        <w:right w:w="108" w:type="dxa"/>
      </w:tblCellMar>
    </w:tblPr>
  </w:style>
  <w:style w:type="table" w:customStyle="1" w:styleId="68">
    <w:name w:val="68"/>
    <w:basedOn w:val="TableNormal5"/>
    <w:pPr>
      <w:spacing w:after="0" w:line="240" w:lineRule="auto"/>
    </w:pPr>
    <w:tblPr>
      <w:tblStyleRowBandSize w:val="1"/>
      <w:tblStyleColBandSize w:val="1"/>
      <w:tblCellMar>
        <w:left w:w="108" w:type="dxa"/>
        <w:right w:w="108" w:type="dxa"/>
      </w:tblCellMar>
    </w:tblPr>
  </w:style>
  <w:style w:type="table" w:customStyle="1" w:styleId="67">
    <w:name w:val="67"/>
    <w:basedOn w:val="TableNormal5"/>
    <w:pPr>
      <w:spacing w:after="0" w:line="240" w:lineRule="auto"/>
    </w:pPr>
    <w:tblPr>
      <w:tblStyleRowBandSize w:val="1"/>
      <w:tblStyleColBandSize w:val="1"/>
      <w:tblCellMar>
        <w:left w:w="108" w:type="dxa"/>
        <w:right w:w="108" w:type="dxa"/>
      </w:tblCellMar>
    </w:tblPr>
  </w:style>
  <w:style w:type="table" w:customStyle="1" w:styleId="66">
    <w:name w:val="66"/>
    <w:basedOn w:val="TableNormal5"/>
    <w:pPr>
      <w:spacing w:after="0" w:line="240" w:lineRule="auto"/>
    </w:pPr>
    <w:tblPr>
      <w:tblStyleRowBandSize w:val="1"/>
      <w:tblStyleColBandSize w:val="1"/>
      <w:tblCellMar>
        <w:left w:w="108" w:type="dxa"/>
        <w:right w:w="108" w:type="dxa"/>
      </w:tblCellMar>
    </w:tblPr>
  </w:style>
  <w:style w:type="table" w:customStyle="1" w:styleId="65">
    <w:name w:val="65"/>
    <w:basedOn w:val="TableNormal5"/>
    <w:pPr>
      <w:spacing w:after="0" w:line="240" w:lineRule="auto"/>
    </w:pPr>
    <w:tblPr>
      <w:tblStyleRowBandSize w:val="1"/>
      <w:tblStyleColBandSize w:val="1"/>
      <w:tblCellMar>
        <w:left w:w="108" w:type="dxa"/>
        <w:right w:w="108" w:type="dxa"/>
      </w:tblCellMar>
    </w:tblPr>
  </w:style>
  <w:style w:type="table" w:customStyle="1" w:styleId="64">
    <w:name w:val="64"/>
    <w:basedOn w:val="TableNormal6"/>
    <w:pPr>
      <w:spacing w:after="0" w:line="240" w:lineRule="auto"/>
    </w:pPr>
    <w:tblPr>
      <w:tblStyleRowBandSize w:val="1"/>
      <w:tblStyleColBandSize w:val="1"/>
      <w:tblCellMar>
        <w:left w:w="108" w:type="dxa"/>
        <w:right w:w="108" w:type="dxa"/>
      </w:tblCellMar>
    </w:tblPr>
  </w:style>
  <w:style w:type="table" w:customStyle="1" w:styleId="63">
    <w:name w:val="63"/>
    <w:basedOn w:val="TableNormal6"/>
    <w:pPr>
      <w:spacing w:after="0" w:line="240" w:lineRule="auto"/>
    </w:pPr>
    <w:tblPr>
      <w:tblStyleRowBandSize w:val="1"/>
      <w:tblStyleColBandSize w:val="1"/>
      <w:tblCellMar>
        <w:left w:w="108" w:type="dxa"/>
        <w:right w:w="108" w:type="dxa"/>
      </w:tblCellMar>
    </w:tblPr>
  </w:style>
  <w:style w:type="table" w:customStyle="1" w:styleId="62">
    <w:name w:val="62"/>
    <w:basedOn w:val="TableNormal6"/>
    <w:pPr>
      <w:spacing w:after="0" w:line="240" w:lineRule="auto"/>
    </w:pPr>
    <w:tblPr>
      <w:tblStyleRowBandSize w:val="1"/>
      <w:tblStyleColBandSize w:val="1"/>
      <w:tblCellMar>
        <w:left w:w="108" w:type="dxa"/>
        <w:right w:w="108" w:type="dxa"/>
      </w:tblCellMar>
    </w:tblPr>
  </w:style>
  <w:style w:type="table" w:customStyle="1" w:styleId="61">
    <w:name w:val="61"/>
    <w:basedOn w:val="TableNormal6"/>
    <w:pPr>
      <w:spacing w:after="0" w:line="240" w:lineRule="auto"/>
    </w:pPr>
    <w:tblPr>
      <w:tblStyleRowBandSize w:val="1"/>
      <w:tblStyleColBandSize w:val="1"/>
      <w:tblCellMar>
        <w:left w:w="108" w:type="dxa"/>
        <w:right w:w="108" w:type="dxa"/>
      </w:tblCellMar>
    </w:tblPr>
  </w:style>
  <w:style w:type="table" w:customStyle="1" w:styleId="60">
    <w:name w:val="60"/>
    <w:basedOn w:val="TableNormal7"/>
    <w:pPr>
      <w:spacing w:after="0" w:line="240" w:lineRule="auto"/>
    </w:pPr>
    <w:tblPr>
      <w:tblStyleRowBandSize w:val="1"/>
      <w:tblStyleColBandSize w:val="1"/>
      <w:tblCellMar>
        <w:left w:w="108" w:type="dxa"/>
        <w:right w:w="108" w:type="dxa"/>
      </w:tblCellMar>
    </w:tblPr>
  </w:style>
  <w:style w:type="table" w:customStyle="1" w:styleId="59">
    <w:name w:val="59"/>
    <w:basedOn w:val="TableNormal7"/>
    <w:pPr>
      <w:spacing w:after="0" w:line="240" w:lineRule="auto"/>
    </w:pPr>
    <w:tblPr>
      <w:tblStyleRowBandSize w:val="1"/>
      <w:tblStyleColBandSize w:val="1"/>
      <w:tblCellMar>
        <w:left w:w="108" w:type="dxa"/>
        <w:right w:w="108" w:type="dxa"/>
      </w:tblCellMar>
    </w:tblPr>
  </w:style>
  <w:style w:type="table" w:customStyle="1" w:styleId="58">
    <w:name w:val="58"/>
    <w:basedOn w:val="TableNormal7"/>
    <w:pPr>
      <w:spacing w:after="0" w:line="240" w:lineRule="auto"/>
    </w:pPr>
    <w:tblPr>
      <w:tblStyleRowBandSize w:val="1"/>
      <w:tblStyleColBandSize w:val="1"/>
      <w:tblCellMar>
        <w:left w:w="108" w:type="dxa"/>
        <w:right w:w="108" w:type="dxa"/>
      </w:tblCellMar>
    </w:tblPr>
  </w:style>
  <w:style w:type="table" w:customStyle="1" w:styleId="57">
    <w:name w:val="57"/>
    <w:basedOn w:val="TableNormal7"/>
    <w:pPr>
      <w:spacing w:after="0" w:line="240" w:lineRule="auto"/>
    </w:pPr>
    <w:tblPr>
      <w:tblStyleRowBandSize w:val="1"/>
      <w:tblStyleColBandSize w:val="1"/>
      <w:tblCellMar>
        <w:left w:w="108" w:type="dxa"/>
        <w:right w:w="108" w:type="dxa"/>
      </w:tblCellMar>
    </w:tblPr>
  </w:style>
  <w:style w:type="table" w:customStyle="1" w:styleId="56">
    <w:name w:val="56"/>
    <w:basedOn w:val="TableNormal8"/>
    <w:pPr>
      <w:spacing w:after="0" w:line="240" w:lineRule="auto"/>
    </w:pPr>
    <w:tblPr>
      <w:tblStyleRowBandSize w:val="1"/>
      <w:tblStyleColBandSize w:val="1"/>
      <w:tblCellMar>
        <w:left w:w="108" w:type="dxa"/>
        <w:right w:w="108" w:type="dxa"/>
      </w:tblCellMar>
    </w:tblPr>
  </w:style>
  <w:style w:type="table" w:customStyle="1" w:styleId="55">
    <w:name w:val="55"/>
    <w:basedOn w:val="TableNormal8"/>
    <w:pPr>
      <w:spacing w:after="0" w:line="240" w:lineRule="auto"/>
    </w:pPr>
    <w:tblPr>
      <w:tblStyleRowBandSize w:val="1"/>
      <w:tblStyleColBandSize w:val="1"/>
      <w:tblCellMar>
        <w:left w:w="108" w:type="dxa"/>
        <w:right w:w="108" w:type="dxa"/>
      </w:tblCellMar>
    </w:tblPr>
  </w:style>
  <w:style w:type="table" w:customStyle="1" w:styleId="54">
    <w:name w:val="54"/>
    <w:basedOn w:val="TableNormal8"/>
    <w:pPr>
      <w:spacing w:after="0" w:line="240" w:lineRule="auto"/>
    </w:pPr>
    <w:tblPr>
      <w:tblStyleRowBandSize w:val="1"/>
      <w:tblStyleColBandSize w:val="1"/>
      <w:tblCellMar>
        <w:left w:w="108" w:type="dxa"/>
        <w:right w:w="108" w:type="dxa"/>
      </w:tblCellMar>
    </w:tblPr>
  </w:style>
  <w:style w:type="table" w:customStyle="1" w:styleId="53">
    <w:name w:val="53"/>
    <w:basedOn w:val="TableNormal8"/>
    <w:pPr>
      <w:spacing w:after="0" w:line="240" w:lineRule="auto"/>
    </w:pPr>
    <w:tblPr>
      <w:tblStyleRowBandSize w:val="1"/>
      <w:tblStyleColBandSize w:val="1"/>
      <w:tblCellMar>
        <w:left w:w="108" w:type="dxa"/>
        <w:right w:w="108" w:type="dxa"/>
      </w:tblCellMar>
    </w:tblPr>
  </w:style>
  <w:style w:type="table" w:customStyle="1" w:styleId="52">
    <w:name w:val="52"/>
    <w:basedOn w:val="TableNormal9"/>
    <w:pPr>
      <w:spacing w:after="0" w:line="240" w:lineRule="auto"/>
    </w:pPr>
    <w:tblPr>
      <w:tblStyleRowBandSize w:val="1"/>
      <w:tblStyleColBandSize w:val="1"/>
      <w:tblCellMar>
        <w:left w:w="108" w:type="dxa"/>
        <w:right w:w="108" w:type="dxa"/>
      </w:tblCellMar>
    </w:tblPr>
  </w:style>
  <w:style w:type="table" w:customStyle="1" w:styleId="51">
    <w:name w:val="51"/>
    <w:basedOn w:val="TableNormal9"/>
    <w:pPr>
      <w:spacing w:after="0" w:line="240" w:lineRule="auto"/>
    </w:pPr>
    <w:tblPr>
      <w:tblStyleRowBandSize w:val="1"/>
      <w:tblStyleColBandSize w:val="1"/>
      <w:tblCellMar>
        <w:left w:w="108" w:type="dxa"/>
        <w:right w:w="108" w:type="dxa"/>
      </w:tblCellMar>
    </w:tblPr>
  </w:style>
  <w:style w:type="table" w:customStyle="1" w:styleId="50">
    <w:name w:val="50"/>
    <w:basedOn w:val="TableNormal9"/>
    <w:pPr>
      <w:spacing w:after="0" w:line="240" w:lineRule="auto"/>
    </w:pPr>
    <w:tblPr>
      <w:tblStyleRowBandSize w:val="1"/>
      <w:tblStyleColBandSize w:val="1"/>
      <w:tblCellMar>
        <w:left w:w="108" w:type="dxa"/>
        <w:right w:w="108" w:type="dxa"/>
      </w:tblCellMar>
    </w:tblPr>
  </w:style>
  <w:style w:type="table" w:customStyle="1" w:styleId="49">
    <w:name w:val="49"/>
    <w:basedOn w:val="TableNormal9"/>
    <w:pPr>
      <w:spacing w:after="0" w:line="240" w:lineRule="auto"/>
    </w:pPr>
    <w:tblPr>
      <w:tblStyleRowBandSize w:val="1"/>
      <w:tblStyleColBandSize w:val="1"/>
      <w:tblCellMar>
        <w:left w:w="108" w:type="dxa"/>
        <w:right w:w="108" w:type="dxa"/>
      </w:tblCellMar>
    </w:tblPr>
  </w:style>
  <w:style w:type="table" w:customStyle="1" w:styleId="48">
    <w:name w:val="48"/>
    <w:basedOn w:val="TableNormal100"/>
    <w:pPr>
      <w:spacing w:after="0" w:line="240" w:lineRule="auto"/>
    </w:pPr>
    <w:tblPr>
      <w:tblStyleRowBandSize w:val="1"/>
      <w:tblStyleColBandSize w:val="1"/>
      <w:tblCellMar>
        <w:left w:w="108" w:type="dxa"/>
        <w:right w:w="108" w:type="dxa"/>
      </w:tblCellMar>
    </w:tblPr>
  </w:style>
  <w:style w:type="table" w:customStyle="1" w:styleId="47">
    <w:name w:val="47"/>
    <w:basedOn w:val="TableNormal100"/>
    <w:pPr>
      <w:spacing w:after="0" w:line="240" w:lineRule="auto"/>
    </w:pPr>
    <w:tblPr>
      <w:tblStyleRowBandSize w:val="1"/>
      <w:tblStyleColBandSize w:val="1"/>
      <w:tblCellMar>
        <w:left w:w="108" w:type="dxa"/>
        <w:right w:w="108" w:type="dxa"/>
      </w:tblCellMar>
    </w:tblPr>
  </w:style>
  <w:style w:type="table" w:customStyle="1" w:styleId="46">
    <w:name w:val="46"/>
    <w:basedOn w:val="TableNormal100"/>
    <w:pPr>
      <w:spacing w:after="0" w:line="240" w:lineRule="auto"/>
    </w:pPr>
    <w:tblPr>
      <w:tblStyleRowBandSize w:val="1"/>
      <w:tblStyleColBandSize w:val="1"/>
      <w:tblCellMar>
        <w:left w:w="108" w:type="dxa"/>
        <w:right w:w="108" w:type="dxa"/>
      </w:tblCellMar>
    </w:tblPr>
  </w:style>
  <w:style w:type="table" w:customStyle="1" w:styleId="45">
    <w:name w:val="45"/>
    <w:basedOn w:val="TableNormal100"/>
    <w:pPr>
      <w:spacing w:after="0" w:line="240" w:lineRule="auto"/>
    </w:pPr>
    <w:tblPr>
      <w:tblStyleRowBandSize w:val="1"/>
      <w:tblStyleColBandSize w:val="1"/>
      <w:tblCellMar>
        <w:left w:w="108" w:type="dxa"/>
        <w:right w:w="108" w:type="dxa"/>
      </w:tblCellMar>
    </w:tblPr>
  </w:style>
  <w:style w:type="table" w:customStyle="1" w:styleId="44">
    <w:name w:val="44"/>
    <w:basedOn w:val="TableNormal100"/>
    <w:pPr>
      <w:spacing w:after="0" w:line="240" w:lineRule="auto"/>
    </w:pPr>
    <w:tblPr>
      <w:tblStyleRowBandSize w:val="1"/>
      <w:tblStyleColBandSize w:val="1"/>
      <w:tblCellMar>
        <w:left w:w="108" w:type="dxa"/>
        <w:right w:w="108" w:type="dxa"/>
      </w:tblCellMar>
    </w:tblPr>
  </w:style>
  <w:style w:type="table" w:customStyle="1" w:styleId="43">
    <w:name w:val="43"/>
    <w:basedOn w:val="TableNormal100"/>
    <w:pPr>
      <w:spacing w:after="0" w:line="240" w:lineRule="auto"/>
    </w:pPr>
    <w:tblPr>
      <w:tblStyleRowBandSize w:val="1"/>
      <w:tblStyleColBandSize w:val="1"/>
      <w:tblCellMar>
        <w:left w:w="108" w:type="dxa"/>
        <w:right w:w="108" w:type="dxa"/>
      </w:tblCellMar>
    </w:tblPr>
  </w:style>
  <w:style w:type="table" w:customStyle="1" w:styleId="42">
    <w:name w:val="42"/>
    <w:basedOn w:val="TableNormal100"/>
    <w:pPr>
      <w:spacing w:after="0" w:line="240" w:lineRule="auto"/>
    </w:pPr>
    <w:tblPr>
      <w:tblStyleRowBandSize w:val="1"/>
      <w:tblStyleColBandSize w:val="1"/>
      <w:tblCellMar>
        <w:left w:w="108" w:type="dxa"/>
        <w:right w:w="108" w:type="dxa"/>
      </w:tblCellMar>
    </w:tblPr>
  </w:style>
  <w:style w:type="table" w:customStyle="1" w:styleId="41">
    <w:name w:val="41"/>
    <w:basedOn w:val="TableNormal100"/>
    <w:pPr>
      <w:spacing w:after="0" w:line="240" w:lineRule="auto"/>
    </w:pPr>
    <w:tblPr>
      <w:tblStyleRowBandSize w:val="1"/>
      <w:tblStyleColBandSize w:val="1"/>
      <w:tblCellMar>
        <w:left w:w="108" w:type="dxa"/>
        <w:right w:w="108" w:type="dxa"/>
      </w:tblCellMar>
    </w:tblPr>
  </w:style>
  <w:style w:type="table" w:customStyle="1" w:styleId="40">
    <w:name w:val="40"/>
    <w:basedOn w:val="TableNormal100"/>
    <w:pPr>
      <w:spacing w:after="0" w:line="240" w:lineRule="auto"/>
    </w:pPr>
    <w:tblPr>
      <w:tblStyleRowBandSize w:val="1"/>
      <w:tblStyleColBandSize w:val="1"/>
      <w:tblCellMar>
        <w:left w:w="108" w:type="dxa"/>
        <w:right w:w="108" w:type="dxa"/>
      </w:tblCellMar>
    </w:tblPr>
  </w:style>
  <w:style w:type="table" w:customStyle="1" w:styleId="39">
    <w:name w:val="39"/>
    <w:basedOn w:val="TableNormal100"/>
    <w:pPr>
      <w:spacing w:after="0" w:line="240" w:lineRule="auto"/>
    </w:pPr>
    <w:tblPr>
      <w:tblStyleRowBandSize w:val="1"/>
      <w:tblStyleColBandSize w:val="1"/>
      <w:tblCellMar>
        <w:left w:w="108" w:type="dxa"/>
        <w:right w:w="108" w:type="dxa"/>
      </w:tblCellMar>
    </w:tblPr>
  </w:style>
  <w:style w:type="table" w:customStyle="1" w:styleId="38">
    <w:name w:val="38"/>
    <w:basedOn w:val="TableNormal100"/>
    <w:pPr>
      <w:spacing w:after="0" w:line="240" w:lineRule="auto"/>
    </w:pPr>
    <w:tblPr>
      <w:tblStyleRowBandSize w:val="1"/>
      <w:tblStyleColBandSize w:val="1"/>
      <w:tblCellMar>
        <w:left w:w="108" w:type="dxa"/>
        <w:right w:w="108" w:type="dxa"/>
      </w:tblCellMar>
    </w:tblPr>
  </w:style>
  <w:style w:type="table" w:customStyle="1" w:styleId="37">
    <w:name w:val="37"/>
    <w:basedOn w:val="TableNormal100"/>
    <w:pPr>
      <w:spacing w:after="0" w:line="240" w:lineRule="auto"/>
    </w:pPr>
    <w:tblPr>
      <w:tblStyleRowBandSize w:val="1"/>
      <w:tblStyleColBandSize w:val="1"/>
      <w:tblCellMar>
        <w:left w:w="108" w:type="dxa"/>
        <w:right w:w="108" w:type="dxa"/>
      </w:tblCellMar>
    </w:tblPr>
  </w:style>
  <w:style w:type="table" w:customStyle="1" w:styleId="36">
    <w:name w:val="36"/>
    <w:basedOn w:val="TableNormal100"/>
    <w:pPr>
      <w:spacing w:after="0" w:line="240" w:lineRule="auto"/>
    </w:pPr>
    <w:tblPr>
      <w:tblStyleRowBandSize w:val="1"/>
      <w:tblStyleColBandSize w:val="1"/>
      <w:tblCellMar>
        <w:left w:w="108" w:type="dxa"/>
        <w:right w:w="108" w:type="dxa"/>
      </w:tblCellMar>
    </w:tblPr>
  </w:style>
  <w:style w:type="table" w:customStyle="1" w:styleId="35">
    <w:name w:val="35"/>
    <w:basedOn w:val="TableNormal100"/>
    <w:pPr>
      <w:spacing w:after="0" w:line="240" w:lineRule="auto"/>
    </w:pPr>
    <w:tblPr>
      <w:tblStyleRowBandSize w:val="1"/>
      <w:tblStyleColBandSize w:val="1"/>
      <w:tblCellMar>
        <w:left w:w="108" w:type="dxa"/>
        <w:right w:w="108" w:type="dxa"/>
      </w:tblCellMar>
    </w:tblPr>
  </w:style>
  <w:style w:type="table" w:customStyle="1" w:styleId="34">
    <w:name w:val="34"/>
    <w:basedOn w:val="TableNormal100"/>
    <w:pPr>
      <w:spacing w:after="0" w:line="240" w:lineRule="auto"/>
    </w:pPr>
    <w:tblPr>
      <w:tblStyleRowBandSize w:val="1"/>
      <w:tblStyleColBandSize w:val="1"/>
      <w:tblCellMar>
        <w:left w:w="108" w:type="dxa"/>
        <w:right w:w="108" w:type="dxa"/>
      </w:tblCellMar>
    </w:tblPr>
  </w:style>
  <w:style w:type="table" w:customStyle="1" w:styleId="33">
    <w:name w:val="33"/>
    <w:basedOn w:val="TableNormal100"/>
    <w:pPr>
      <w:spacing w:after="0" w:line="240" w:lineRule="auto"/>
    </w:pPr>
    <w:tblPr>
      <w:tblStyleRowBandSize w:val="1"/>
      <w:tblStyleColBandSize w:val="1"/>
      <w:tblCellMar>
        <w:left w:w="108" w:type="dxa"/>
        <w:right w:w="108" w:type="dxa"/>
      </w:tblCellMar>
    </w:tblPr>
  </w:style>
  <w:style w:type="table" w:customStyle="1" w:styleId="32">
    <w:name w:val="32"/>
    <w:basedOn w:val="TableNormal100"/>
    <w:pPr>
      <w:spacing w:after="0" w:line="240" w:lineRule="auto"/>
    </w:pPr>
    <w:tblPr>
      <w:tblStyleRowBandSize w:val="1"/>
      <w:tblStyleColBandSize w:val="1"/>
      <w:tblCellMar>
        <w:left w:w="108" w:type="dxa"/>
        <w:right w:w="108" w:type="dxa"/>
      </w:tblCellMar>
    </w:tblPr>
  </w:style>
  <w:style w:type="table" w:customStyle="1" w:styleId="31">
    <w:name w:val="31"/>
    <w:basedOn w:val="TableNormal100"/>
    <w:pPr>
      <w:spacing w:after="0" w:line="240" w:lineRule="auto"/>
    </w:pPr>
    <w:tblPr>
      <w:tblStyleRowBandSize w:val="1"/>
      <w:tblStyleColBandSize w:val="1"/>
      <w:tblCellMar>
        <w:left w:w="108" w:type="dxa"/>
        <w:right w:w="108" w:type="dxa"/>
      </w:tblCellMar>
    </w:tblPr>
  </w:style>
  <w:style w:type="table" w:customStyle="1" w:styleId="30">
    <w:name w:val="30"/>
    <w:basedOn w:val="TableNormal100"/>
    <w:pPr>
      <w:spacing w:after="0" w:line="240" w:lineRule="auto"/>
    </w:pPr>
    <w:tblPr>
      <w:tblStyleRowBandSize w:val="1"/>
      <w:tblStyleColBandSize w:val="1"/>
      <w:tblCellMar>
        <w:left w:w="108" w:type="dxa"/>
        <w:right w:w="108" w:type="dxa"/>
      </w:tblCellMar>
    </w:tblPr>
  </w:style>
  <w:style w:type="table" w:customStyle="1" w:styleId="29">
    <w:name w:val="29"/>
    <w:basedOn w:val="TableNormal100"/>
    <w:pPr>
      <w:spacing w:after="0" w:line="240" w:lineRule="auto"/>
    </w:pPr>
    <w:tblPr>
      <w:tblStyleRowBandSize w:val="1"/>
      <w:tblStyleColBandSize w:val="1"/>
      <w:tblCellMar>
        <w:left w:w="108" w:type="dxa"/>
        <w:right w:w="108" w:type="dxa"/>
      </w:tblCellMar>
    </w:tblPr>
  </w:style>
  <w:style w:type="table" w:customStyle="1" w:styleId="28">
    <w:name w:val="28"/>
    <w:basedOn w:val="TableNormal100"/>
    <w:pPr>
      <w:spacing w:after="0" w:line="240" w:lineRule="auto"/>
    </w:pPr>
    <w:tblPr>
      <w:tblStyleRowBandSize w:val="1"/>
      <w:tblStyleColBandSize w:val="1"/>
      <w:tblCellMar>
        <w:left w:w="108" w:type="dxa"/>
        <w:right w:w="108" w:type="dxa"/>
      </w:tblCellMar>
    </w:tblPr>
  </w:style>
  <w:style w:type="table" w:customStyle="1" w:styleId="27">
    <w:name w:val="27"/>
    <w:basedOn w:val="TableNormal100"/>
    <w:pPr>
      <w:spacing w:after="0" w:line="240" w:lineRule="auto"/>
    </w:pPr>
    <w:tblPr>
      <w:tblStyleRowBandSize w:val="1"/>
      <w:tblStyleColBandSize w:val="1"/>
      <w:tblCellMar>
        <w:left w:w="108" w:type="dxa"/>
        <w:right w:w="108" w:type="dxa"/>
      </w:tblCellMar>
    </w:tblPr>
  </w:style>
  <w:style w:type="table" w:customStyle="1" w:styleId="26">
    <w:name w:val="26"/>
    <w:basedOn w:val="TableNormal11"/>
    <w:pPr>
      <w:spacing w:after="0" w:line="240" w:lineRule="auto"/>
    </w:pPr>
    <w:tblPr>
      <w:tblStyleRowBandSize w:val="1"/>
      <w:tblStyleColBandSize w:val="1"/>
      <w:tblCellMar>
        <w:left w:w="108" w:type="dxa"/>
        <w:right w:w="108" w:type="dxa"/>
      </w:tblCellMar>
    </w:tblPr>
  </w:style>
  <w:style w:type="table" w:customStyle="1" w:styleId="25">
    <w:name w:val="25"/>
    <w:basedOn w:val="TableNormal11"/>
    <w:pPr>
      <w:spacing w:after="0" w:line="240" w:lineRule="auto"/>
    </w:pPr>
    <w:tblPr>
      <w:tblStyleRowBandSize w:val="1"/>
      <w:tblStyleColBandSize w:val="1"/>
      <w:tblCellMar>
        <w:left w:w="108" w:type="dxa"/>
        <w:right w:w="108" w:type="dxa"/>
      </w:tblCellMar>
    </w:tblPr>
  </w:style>
  <w:style w:type="table" w:customStyle="1" w:styleId="24">
    <w:name w:val="24"/>
    <w:basedOn w:val="TableNormal11"/>
    <w:pPr>
      <w:spacing w:after="0" w:line="240" w:lineRule="auto"/>
    </w:pPr>
    <w:tblPr>
      <w:tblStyleRowBandSize w:val="1"/>
      <w:tblStyleColBandSize w:val="1"/>
      <w:tblCellMar>
        <w:left w:w="108" w:type="dxa"/>
        <w:right w:w="108" w:type="dxa"/>
      </w:tblCellMar>
    </w:tblPr>
  </w:style>
  <w:style w:type="table" w:customStyle="1" w:styleId="23">
    <w:name w:val="23"/>
    <w:basedOn w:val="TableNormal11"/>
    <w:pPr>
      <w:spacing w:after="0" w:line="240" w:lineRule="auto"/>
    </w:pPr>
    <w:tblPr>
      <w:tblStyleRowBandSize w:val="1"/>
      <w:tblStyleColBandSize w:val="1"/>
      <w:tblCellMar>
        <w:left w:w="108" w:type="dxa"/>
        <w:right w:w="108" w:type="dxa"/>
      </w:tblCellMar>
    </w:tblPr>
  </w:style>
  <w:style w:type="table" w:customStyle="1" w:styleId="22">
    <w:name w:val="22"/>
    <w:basedOn w:val="TableNormal11"/>
    <w:pPr>
      <w:spacing w:after="0" w:line="240" w:lineRule="auto"/>
    </w:pPr>
    <w:tblPr>
      <w:tblStyleRowBandSize w:val="1"/>
      <w:tblStyleColBandSize w:val="1"/>
      <w:tblCellMar>
        <w:left w:w="108" w:type="dxa"/>
        <w:right w:w="108" w:type="dxa"/>
      </w:tblCellMar>
    </w:tblPr>
  </w:style>
  <w:style w:type="character" w:customStyle="1" w:styleId="Mencinsinresolver4">
    <w:name w:val="Mención sin resolver4"/>
    <w:basedOn w:val="Fuentedeprrafopredeter"/>
    <w:uiPriority w:val="99"/>
    <w:semiHidden/>
    <w:unhideWhenUsed/>
    <w:rsid w:val="001C2C58"/>
    <w:rPr>
      <w:color w:val="605E5C"/>
      <w:shd w:val="clear" w:color="auto" w:fill="E1DFDD"/>
    </w:rPr>
  </w:style>
  <w:style w:type="table" w:customStyle="1" w:styleId="21">
    <w:name w:val="21"/>
    <w:basedOn w:val="TableNormal12"/>
    <w:pPr>
      <w:spacing w:after="0" w:line="240" w:lineRule="auto"/>
    </w:pPr>
    <w:tblPr>
      <w:tblStyleRowBandSize w:val="1"/>
      <w:tblStyleColBandSize w:val="1"/>
      <w:tblCellMar>
        <w:left w:w="108" w:type="dxa"/>
        <w:right w:w="108" w:type="dxa"/>
      </w:tblCellMar>
    </w:tblPr>
  </w:style>
  <w:style w:type="table" w:customStyle="1" w:styleId="20">
    <w:name w:val="20"/>
    <w:basedOn w:val="TableNormal12"/>
    <w:pPr>
      <w:spacing w:after="0" w:line="240" w:lineRule="auto"/>
    </w:pPr>
    <w:tblPr>
      <w:tblStyleRowBandSize w:val="1"/>
      <w:tblStyleColBandSize w:val="1"/>
      <w:tblCellMar>
        <w:left w:w="108" w:type="dxa"/>
        <w:right w:w="108" w:type="dxa"/>
      </w:tblCellMar>
    </w:tblPr>
  </w:style>
  <w:style w:type="table" w:customStyle="1" w:styleId="19">
    <w:name w:val="19"/>
    <w:basedOn w:val="TableNormal12"/>
    <w:pPr>
      <w:spacing w:after="0" w:line="240" w:lineRule="auto"/>
    </w:pPr>
    <w:tblPr>
      <w:tblStyleRowBandSize w:val="1"/>
      <w:tblStyleColBandSize w:val="1"/>
      <w:tblCellMar>
        <w:left w:w="108" w:type="dxa"/>
        <w:right w:w="108" w:type="dxa"/>
      </w:tblCellMar>
    </w:tblPr>
  </w:style>
  <w:style w:type="table" w:customStyle="1" w:styleId="18">
    <w:name w:val="18"/>
    <w:basedOn w:val="TableNormal12"/>
    <w:pPr>
      <w:spacing w:after="0" w:line="240" w:lineRule="auto"/>
    </w:pPr>
    <w:tblPr>
      <w:tblStyleRowBandSize w:val="1"/>
      <w:tblStyleColBandSize w:val="1"/>
      <w:tblCellMar>
        <w:left w:w="108" w:type="dxa"/>
        <w:right w:w="108" w:type="dxa"/>
      </w:tblCellMar>
    </w:tblPr>
  </w:style>
  <w:style w:type="character" w:customStyle="1" w:styleId="Mencinsinresolver5">
    <w:name w:val="Mención sin resolver5"/>
    <w:basedOn w:val="Fuentedeprrafopredeter"/>
    <w:uiPriority w:val="99"/>
    <w:semiHidden/>
    <w:unhideWhenUsed/>
    <w:rsid w:val="0058145F"/>
    <w:rPr>
      <w:color w:val="605E5C"/>
      <w:shd w:val="clear" w:color="auto" w:fill="E1DFDD"/>
    </w:rPr>
  </w:style>
  <w:style w:type="table" w:customStyle="1" w:styleId="17">
    <w:name w:val="17"/>
    <w:basedOn w:val="TableNormal13"/>
    <w:pPr>
      <w:spacing w:after="0" w:line="240" w:lineRule="auto"/>
    </w:pPr>
    <w:tblPr>
      <w:tblStyleRowBandSize w:val="1"/>
      <w:tblStyleColBandSize w:val="1"/>
      <w:tblCellMar>
        <w:left w:w="108" w:type="dxa"/>
        <w:right w:w="108" w:type="dxa"/>
      </w:tblCellMar>
    </w:tblPr>
  </w:style>
  <w:style w:type="table" w:customStyle="1" w:styleId="16">
    <w:name w:val="16"/>
    <w:basedOn w:val="TableNormal13"/>
    <w:pPr>
      <w:spacing w:after="0" w:line="240" w:lineRule="auto"/>
    </w:pPr>
    <w:tblPr>
      <w:tblStyleRowBandSize w:val="1"/>
      <w:tblStyleColBandSize w:val="1"/>
      <w:tblCellMar>
        <w:left w:w="108" w:type="dxa"/>
        <w:right w:w="108" w:type="dxa"/>
      </w:tblCellMar>
    </w:tblPr>
  </w:style>
  <w:style w:type="table" w:customStyle="1" w:styleId="15">
    <w:name w:val="15"/>
    <w:basedOn w:val="TableNormal13"/>
    <w:pPr>
      <w:spacing w:after="0" w:line="240" w:lineRule="auto"/>
    </w:pPr>
    <w:tblPr>
      <w:tblStyleRowBandSize w:val="1"/>
      <w:tblStyleColBandSize w:val="1"/>
      <w:tblCellMar>
        <w:left w:w="108" w:type="dxa"/>
        <w:right w:w="108" w:type="dxa"/>
      </w:tblCellMar>
    </w:tblPr>
  </w:style>
  <w:style w:type="table" w:customStyle="1" w:styleId="14">
    <w:name w:val="14"/>
    <w:basedOn w:val="TableNormal13"/>
    <w:pPr>
      <w:spacing w:after="0" w:line="240" w:lineRule="auto"/>
    </w:pPr>
    <w:tblPr>
      <w:tblStyleRowBandSize w:val="1"/>
      <w:tblStyleColBandSize w:val="1"/>
      <w:tblCellMar>
        <w:left w:w="108" w:type="dxa"/>
        <w:right w:w="108" w:type="dxa"/>
      </w:tblCellMar>
    </w:tblPr>
  </w:style>
  <w:style w:type="table" w:customStyle="1" w:styleId="13">
    <w:name w:val="13"/>
    <w:basedOn w:val="TableNormal13"/>
    <w:pPr>
      <w:spacing w:after="0" w:line="240" w:lineRule="auto"/>
    </w:pPr>
    <w:tblPr>
      <w:tblStyleRowBandSize w:val="1"/>
      <w:tblStyleColBandSize w:val="1"/>
      <w:tblCellMar>
        <w:left w:w="108" w:type="dxa"/>
        <w:right w:w="108" w:type="dxa"/>
      </w:tblCellMar>
    </w:tblPr>
  </w:style>
  <w:style w:type="character" w:customStyle="1" w:styleId="Mencinsinresolver6">
    <w:name w:val="Mención sin resolver6"/>
    <w:basedOn w:val="Fuentedeprrafopredeter"/>
    <w:uiPriority w:val="99"/>
    <w:semiHidden/>
    <w:unhideWhenUsed/>
    <w:rsid w:val="00745900"/>
    <w:rPr>
      <w:color w:val="605E5C"/>
      <w:shd w:val="clear" w:color="auto" w:fill="E1DFDD"/>
    </w:rPr>
  </w:style>
  <w:style w:type="table" w:customStyle="1" w:styleId="12">
    <w:name w:val="12"/>
    <w:basedOn w:val="TableNormal14"/>
    <w:pPr>
      <w:spacing w:after="0" w:line="240" w:lineRule="auto"/>
    </w:pPr>
    <w:tblPr>
      <w:tblStyleRowBandSize w:val="1"/>
      <w:tblStyleColBandSize w:val="1"/>
      <w:tblCellMar>
        <w:left w:w="108" w:type="dxa"/>
        <w:right w:w="108" w:type="dxa"/>
      </w:tblCellMar>
    </w:tblPr>
  </w:style>
  <w:style w:type="table" w:customStyle="1" w:styleId="11">
    <w:name w:val="11"/>
    <w:basedOn w:val="TableNormal14"/>
    <w:pPr>
      <w:spacing w:after="0" w:line="240" w:lineRule="auto"/>
    </w:pPr>
    <w:tblPr>
      <w:tblStyleRowBandSize w:val="1"/>
      <w:tblStyleColBandSize w:val="1"/>
      <w:tblCellMar>
        <w:left w:w="108" w:type="dxa"/>
        <w:right w:w="108" w:type="dxa"/>
      </w:tblCellMar>
    </w:tblPr>
  </w:style>
  <w:style w:type="table" w:customStyle="1" w:styleId="10">
    <w:name w:val="10"/>
    <w:basedOn w:val="TableNormal14"/>
    <w:pPr>
      <w:spacing w:after="0" w:line="240" w:lineRule="auto"/>
    </w:pPr>
    <w:tblPr>
      <w:tblStyleRowBandSize w:val="1"/>
      <w:tblStyleColBandSize w:val="1"/>
      <w:tblCellMar>
        <w:left w:w="108" w:type="dxa"/>
        <w:right w:w="108" w:type="dxa"/>
      </w:tblCellMar>
    </w:tblPr>
  </w:style>
  <w:style w:type="table" w:customStyle="1" w:styleId="9">
    <w:name w:val="9"/>
    <w:basedOn w:val="TableNormal14"/>
    <w:pPr>
      <w:spacing w:after="0" w:line="240" w:lineRule="auto"/>
    </w:pPr>
    <w:tblPr>
      <w:tblStyleRowBandSize w:val="1"/>
      <w:tblStyleColBandSize w:val="1"/>
      <w:tblCellMar>
        <w:left w:w="108" w:type="dxa"/>
        <w:right w:w="108" w:type="dxa"/>
      </w:tblCellMar>
    </w:tblPr>
  </w:style>
  <w:style w:type="character" w:customStyle="1" w:styleId="Mencinsinresolver7">
    <w:name w:val="Mención sin resolver7"/>
    <w:basedOn w:val="Fuentedeprrafopredeter"/>
    <w:uiPriority w:val="99"/>
    <w:semiHidden/>
    <w:unhideWhenUsed/>
    <w:rsid w:val="000B755C"/>
    <w:rPr>
      <w:color w:val="605E5C"/>
      <w:shd w:val="clear" w:color="auto" w:fill="E1DFDD"/>
    </w:rPr>
  </w:style>
  <w:style w:type="table" w:customStyle="1" w:styleId="8">
    <w:name w:val="8"/>
    <w:basedOn w:val="TableNormal2"/>
    <w:pPr>
      <w:spacing w:after="0" w:line="240" w:lineRule="auto"/>
    </w:pPr>
    <w:tblPr>
      <w:tblStyleRowBandSize w:val="1"/>
      <w:tblStyleColBandSize w:val="1"/>
      <w:tblCellMar>
        <w:left w:w="108" w:type="dxa"/>
        <w:right w:w="108" w:type="dxa"/>
      </w:tblCellMar>
    </w:tblPr>
  </w:style>
  <w:style w:type="table" w:customStyle="1" w:styleId="7">
    <w:name w:val="7"/>
    <w:basedOn w:val="TableNormal2"/>
    <w:pPr>
      <w:spacing w:after="0" w:line="240" w:lineRule="auto"/>
    </w:pPr>
    <w:tblPr>
      <w:tblStyleRowBandSize w:val="1"/>
      <w:tblStyleColBandSize w:val="1"/>
      <w:tblCellMar>
        <w:left w:w="108" w:type="dxa"/>
        <w:right w:w="108" w:type="dxa"/>
      </w:tblCellMar>
    </w:tblPr>
  </w:style>
  <w:style w:type="table" w:customStyle="1" w:styleId="6">
    <w:name w:val="6"/>
    <w:basedOn w:val="TableNormal2"/>
    <w:pPr>
      <w:spacing w:after="0" w:line="240" w:lineRule="auto"/>
    </w:pPr>
    <w:tblPr>
      <w:tblStyleRowBandSize w:val="1"/>
      <w:tblStyleColBandSize w:val="1"/>
      <w:tblCellMar>
        <w:left w:w="108" w:type="dxa"/>
        <w:right w:w="108" w:type="dxa"/>
      </w:tblCellMar>
    </w:tblPr>
  </w:style>
  <w:style w:type="table" w:customStyle="1" w:styleId="5">
    <w:name w:val="5"/>
    <w:basedOn w:val="TableNormal2"/>
    <w:pPr>
      <w:spacing w:after="0" w:line="240" w:lineRule="auto"/>
    </w:pPr>
    <w:tblPr>
      <w:tblStyleRowBandSize w:val="1"/>
      <w:tblStyleColBandSize w:val="1"/>
      <w:tblCellMar>
        <w:left w:w="108" w:type="dxa"/>
        <w:right w:w="108" w:type="dxa"/>
      </w:tblCellMar>
    </w:tblPr>
  </w:style>
  <w:style w:type="character" w:customStyle="1" w:styleId="Mencinsinresolver8">
    <w:name w:val="Mención sin resolver8"/>
    <w:basedOn w:val="Fuentedeprrafopredeter"/>
    <w:uiPriority w:val="99"/>
    <w:semiHidden/>
    <w:unhideWhenUsed/>
    <w:rsid w:val="006D19DF"/>
    <w:rPr>
      <w:color w:val="605E5C"/>
      <w:shd w:val="clear" w:color="auto" w:fill="E1DFDD"/>
    </w:rPr>
  </w:style>
  <w:style w:type="character" w:customStyle="1" w:styleId="Mencinsinresolver9">
    <w:name w:val="Mención sin resolver9"/>
    <w:basedOn w:val="Fuentedeprrafopredeter"/>
    <w:uiPriority w:val="99"/>
    <w:semiHidden/>
    <w:unhideWhenUsed/>
    <w:rsid w:val="00E75A56"/>
    <w:rPr>
      <w:color w:val="605E5C"/>
      <w:shd w:val="clear" w:color="auto" w:fill="E1DFDD"/>
    </w:rPr>
  </w:style>
  <w:style w:type="table" w:customStyle="1" w:styleId="4">
    <w:name w:val="4"/>
    <w:basedOn w:val="TableNormal10"/>
    <w:pPr>
      <w:spacing w:after="0" w:line="240" w:lineRule="auto"/>
    </w:pPr>
    <w:tblPr>
      <w:tblStyleRowBandSize w:val="1"/>
      <w:tblStyleColBandSize w:val="1"/>
      <w:tblCellMar>
        <w:left w:w="108" w:type="dxa"/>
        <w:right w:w="108" w:type="dxa"/>
      </w:tblCellMar>
    </w:tblPr>
  </w:style>
  <w:style w:type="table" w:customStyle="1" w:styleId="3">
    <w:name w:val="3"/>
    <w:basedOn w:val="TableNormal10"/>
    <w:pPr>
      <w:spacing w:after="0" w:line="240" w:lineRule="auto"/>
    </w:pPr>
    <w:tblPr>
      <w:tblStyleRowBandSize w:val="1"/>
      <w:tblStyleColBandSize w:val="1"/>
      <w:tblCellMar>
        <w:left w:w="108" w:type="dxa"/>
        <w:right w:w="108" w:type="dxa"/>
      </w:tblCellMar>
    </w:tblPr>
  </w:style>
  <w:style w:type="table" w:customStyle="1" w:styleId="2">
    <w:name w:val="2"/>
    <w:basedOn w:val="TableNormal10"/>
    <w:pPr>
      <w:spacing w:after="0" w:line="240" w:lineRule="auto"/>
    </w:pPr>
    <w:tblPr>
      <w:tblStyleRowBandSize w:val="1"/>
      <w:tblStyleColBandSize w:val="1"/>
      <w:tblCellMar>
        <w:left w:w="108" w:type="dxa"/>
        <w:right w:w="108" w:type="dxa"/>
      </w:tblCellMar>
    </w:tblPr>
  </w:style>
  <w:style w:type="table" w:customStyle="1" w:styleId="1">
    <w:name w:val="1"/>
    <w:basedOn w:val="TableNormal10"/>
    <w:pPr>
      <w:spacing w:after="0" w:line="240" w:lineRule="auto"/>
    </w:pPr>
    <w:tblPr>
      <w:tblStyleRowBandSize w:val="1"/>
      <w:tblStyleColBandSize w:val="1"/>
      <w:tblCellMar>
        <w:left w:w="108" w:type="dxa"/>
        <w:right w:w="108" w:type="dxa"/>
      </w:tblCellMar>
    </w:tblPr>
  </w:style>
  <w:style w:type="table" w:customStyle="1" w:styleId="a">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1"/>
    <w:pPr>
      <w:spacing w:after="0" w:line="240" w:lineRule="auto"/>
    </w:pPr>
    <w:tblPr>
      <w:tblStyleRowBandSize w:val="1"/>
      <w:tblStyleColBandSize w:val="1"/>
      <w:tblCellMar>
        <w:top w:w="0" w:type="dxa"/>
        <w:left w:w="108" w:type="dxa"/>
        <w:bottom w:w="0" w:type="dxa"/>
        <w:right w:w="108" w:type="dxa"/>
      </w:tblCellMar>
    </w:tblPr>
  </w:style>
  <w:style w:type="character" w:customStyle="1" w:styleId="Mencinsinresolver10">
    <w:name w:val="Mención sin resolver10"/>
    <w:basedOn w:val="Fuentedeprrafopredeter"/>
    <w:uiPriority w:val="99"/>
    <w:semiHidden/>
    <w:unhideWhenUsed/>
    <w:rsid w:val="002708BE"/>
    <w:rPr>
      <w:color w:val="605E5C"/>
      <w:shd w:val="clear" w:color="auto" w:fill="E1DFDD"/>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mXprvLyQkBD1FPVWpQUyWuL8DQ==">CgMxLjAyDmgueWoya3dwcmVsa2U1MghoLmdqZGd4czIOaC51ZnNmNmZscjgyNWQyDmgudHd2Y3o1bDVsNXc5Mg5oLml4OTk3YndldnppazIJaC4yZXQ5MnAwMg5oLmM4eGlhOXV1anA2eDIOaC5oaGxic3VrcjhuZGgyDmguZnY3eHUwN2w5amZ6Mg5oLmc0eXZveWFwdXh2cTIOaC45Mzl4ZWV1d3JiczEyDmguejFmNmp4ODN0am8wMg5oLnU1NmlqcmRzMWx3NzgAciExTVFPRHNOZGtQNzlaT19zb2ptWFc2TzVvX0F6VTBQMU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97076EC-E062-47EC-9649-6D3238C33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6016</Words>
  <Characters>33089</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Zoe Izquierdo</dc:creator>
  <cp:lastModifiedBy>USUARIO</cp:lastModifiedBy>
  <cp:revision>4</cp:revision>
  <cp:lastPrinted>2026-03-06T19:53:00Z</cp:lastPrinted>
  <dcterms:created xsi:type="dcterms:W3CDTF">2026-03-06T19:53:00Z</dcterms:created>
  <dcterms:modified xsi:type="dcterms:W3CDTF">2026-04-09T21:54:00Z</dcterms:modified>
</cp:coreProperties>
</file>