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8EB" w:rsidRDefault="008155AC">
      <w:pPr>
        <w:tabs>
          <w:tab w:val="left" w:pos="0"/>
        </w:tabs>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E84975">
        <w:rPr>
          <w:rFonts w:ascii="Palatino Linotype" w:eastAsia="Palatino Linotype" w:hAnsi="Palatino Linotype" w:cs="Palatino Linotype"/>
          <w:b/>
          <w:bCs/>
        </w:rPr>
        <w:t xml:space="preserve">uno </w:t>
      </w:r>
      <w:r w:rsidR="00CD7009">
        <w:rPr>
          <w:rFonts w:ascii="Palatino Linotype" w:eastAsia="Palatino Linotype" w:hAnsi="Palatino Linotype" w:cs="Palatino Linotype"/>
          <w:b/>
          <w:bCs/>
        </w:rPr>
        <w:t xml:space="preserve">(01) </w:t>
      </w:r>
      <w:r>
        <w:rPr>
          <w:rFonts w:ascii="Palatino Linotype" w:eastAsia="Palatino Linotype" w:hAnsi="Palatino Linotype" w:cs="Palatino Linotype"/>
          <w:b/>
          <w:bCs/>
        </w:rPr>
        <w:t>de julio de dos mil veintiséis.</w:t>
      </w:r>
      <w:r>
        <w:rPr>
          <w:rFonts w:ascii="Palatino Linotype" w:eastAsia="Palatino Linotype" w:hAnsi="Palatino Linotype" w:cs="Palatino Linotype"/>
        </w:rPr>
        <w:t xml:space="preserve"> </w:t>
      </w:r>
    </w:p>
    <w:p w:rsidR="00FB18EB" w:rsidRDefault="00FB18EB">
      <w:pPr>
        <w:tabs>
          <w:tab w:val="left" w:pos="0"/>
        </w:tabs>
        <w:spacing w:line="360" w:lineRule="auto"/>
        <w:ind w:right="-876"/>
        <w:jc w:val="both"/>
        <w:rPr>
          <w:rFonts w:ascii="Palatino Linotype" w:eastAsia="Palatino Linotype" w:hAnsi="Palatino Linotype" w:cs="Palatino Linotype"/>
        </w:rPr>
      </w:pPr>
    </w:p>
    <w:p w:rsidR="00FB18EB" w:rsidRDefault="008155AC">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color w:val="000000"/>
        </w:rPr>
        <w:t xml:space="preserve">03828/INFOEM/IP/RR/2026, </w:t>
      </w:r>
      <w:r>
        <w:rPr>
          <w:rFonts w:ascii="Palatino Linotype" w:eastAsia="Palatino Linotype" w:hAnsi="Palatino Linotype" w:cs="Palatino Linotype"/>
          <w:color w:val="000000"/>
        </w:rPr>
        <w:t xml:space="preserve">promovido por </w:t>
      </w:r>
      <w:r w:rsidR="00A666F0">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 xml:space="preserve">Organismo Descentralizado de Agua Potable, </w:t>
      </w:r>
      <w:r w:rsidR="00E84975">
        <w:rPr>
          <w:rFonts w:ascii="Palatino Linotype" w:eastAsia="Palatino Linotype" w:hAnsi="Palatino Linotype" w:cs="Palatino Linotype"/>
          <w:b/>
          <w:bCs/>
          <w:color w:val="000000"/>
        </w:rPr>
        <w:t>Alcantarillado y Saneamiento de</w:t>
      </w:r>
      <w:r>
        <w:rPr>
          <w:rFonts w:ascii="Palatino Linotype" w:eastAsia="Palatino Linotype" w:hAnsi="Palatino Linotype" w:cs="Palatino Linotype"/>
          <w:b/>
          <w:bCs/>
          <w:color w:val="000000"/>
        </w:rPr>
        <w:t xml:space="preserve"> Valle de Chalco Solidaridad</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FB18EB" w:rsidRDefault="00FB18EB">
      <w:pPr>
        <w:spacing w:line="360" w:lineRule="auto"/>
        <w:ind w:right="-876"/>
        <w:jc w:val="both"/>
        <w:rPr>
          <w:rFonts w:ascii="Palatino Linotype" w:eastAsia="Palatino Linotype" w:hAnsi="Palatino Linotype" w:cs="Palatino Linotype"/>
        </w:rPr>
      </w:pPr>
    </w:p>
    <w:p w:rsidR="00FB18EB" w:rsidRDefault="008155AC">
      <w:pPr>
        <w:keepNext/>
        <w:keepLines/>
        <w:tabs>
          <w:tab w:val="left" w:pos="0"/>
        </w:tabs>
        <w:spacing w:line="360" w:lineRule="auto"/>
        <w:ind w:right="-876"/>
        <w:jc w:val="center"/>
        <w:rPr>
          <w:rFonts w:ascii="Palatino Linotype" w:eastAsia="Palatino Linotype" w:hAnsi="Palatino Linotype" w:cs="Palatino Linotype"/>
          <w:b/>
          <w:bCs/>
        </w:rPr>
      </w:pPr>
      <w:bookmarkStart w:id="0" w:name="_heading=h.1rxfmt2qer3l" w:colFirst="0" w:colLast="0"/>
      <w:bookmarkEnd w:id="0"/>
      <w:r>
        <w:rPr>
          <w:rFonts w:ascii="Palatino Linotype" w:eastAsia="Palatino Linotype" w:hAnsi="Palatino Linotype" w:cs="Palatino Linotype"/>
          <w:b/>
          <w:bCs/>
        </w:rPr>
        <w:t>A N T E C E D E N T E S</w:t>
      </w:r>
    </w:p>
    <w:p w:rsidR="00FB18EB" w:rsidRDefault="00FB18EB">
      <w:pPr>
        <w:keepNext/>
        <w:keepLines/>
        <w:tabs>
          <w:tab w:val="left" w:pos="0"/>
        </w:tabs>
        <w:spacing w:line="360" w:lineRule="auto"/>
        <w:ind w:right="-876"/>
        <w:jc w:val="center"/>
        <w:rPr>
          <w:rFonts w:ascii="Palatino Linotype" w:eastAsia="Palatino Linotype" w:hAnsi="Palatino Linotype" w:cs="Palatino Linotype"/>
          <w:b/>
          <w:bCs/>
        </w:rPr>
      </w:pPr>
    </w:p>
    <w:p w:rsidR="00FB18EB" w:rsidRDefault="008155AC">
      <w:pPr>
        <w:numPr>
          <w:ilvl w:val="0"/>
          <w:numId w:val="3"/>
        </w:numPr>
        <w:tabs>
          <w:tab w:val="left" w:pos="0"/>
        </w:tabs>
        <w:spacing w:line="360" w:lineRule="auto"/>
        <w:ind w:left="0" w:right="-876"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veintitrés de febrero de dos mil veintiséis</w:t>
      </w:r>
      <w:r>
        <w:rPr>
          <w:rFonts w:ascii="Palatino Linotype" w:eastAsia="Palatino Linotype" w:hAnsi="Palatino Linotype" w:cs="Palatino Linotype"/>
        </w:rPr>
        <w:t>, el</w:t>
      </w:r>
      <w:r>
        <w:rPr>
          <w:rFonts w:ascii="Palatino Linotype" w:eastAsia="Palatino Linotype" w:hAnsi="Palatino Linotype" w:cs="Palatino Linotype"/>
          <w:b/>
          <w:bCs/>
        </w:rPr>
        <w:t xml:space="preserve"> </w:t>
      </w:r>
      <w:r>
        <w:rPr>
          <w:rFonts w:ascii="Palatino Linotype" w:eastAsia="Palatino Linotype" w:hAnsi="Palatino Linotype" w:cs="Palatino Linotype"/>
        </w:rPr>
        <w:t>solicitante</w:t>
      </w:r>
      <w:r>
        <w:rPr>
          <w:rFonts w:ascii="Palatino Linotype" w:eastAsia="Palatino Linotype" w:hAnsi="Palatino Linotype" w:cs="Palatino Linotype"/>
          <w:b/>
          <w:bCs/>
        </w:rPr>
        <w:t xml:space="preserv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Sistema de Acceso a la Información Mexiquense (SAIMEX), la solicitud de información pública registrada con el número </w:t>
      </w:r>
      <w:r>
        <w:rPr>
          <w:rFonts w:ascii="Palatino Linotype" w:eastAsia="Palatino Linotype" w:hAnsi="Palatino Linotype" w:cs="Palatino Linotype"/>
          <w:b/>
          <w:bCs/>
        </w:rPr>
        <w:t>00016/OASVACHOSO/IP/2026</w:t>
      </w:r>
      <w:r>
        <w:rPr>
          <w:rFonts w:ascii="Palatino Linotype" w:eastAsia="Palatino Linotype" w:hAnsi="Palatino Linotype" w:cs="Palatino Linotype"/>
        </w:rPr>
        <w:t>, en la que se solicitó:</w:t>
      </w:r>
    </w:p>
    <w:p w:rsidR="00FB18EB" w:rsidRDefault="00FB18EB">
      <w:pPr>
        <w:pBdr>
          <w:top w:val="nil"/>
          <w:left w:val="nil"/>
          <w:bottom w:val="nil"/>
          <w:right w:val="nil"/>
          <w:between w:val="nil"/>
        </w:pBdr>
        <w:tabs>
          <w:tab w:val="left" w:pos="1005"/>
        </w:tabs>
        <w:ind w:left="567" w:right="-876"/>
        <w:jc w:val="both"/>
        <w:rPr>
          <w:rFonts w:ascii="Palatino Linotype" w:eastAsia="Palatino Linotype" w:hAnsi="Palatino Linotype" w:cs="Palatino Linotype"/>
          <w:b/>
          <w:bCs/>
          <w:i/>
          <w:iCs/>
          <w:color w:val="000000"/>
        </w:rPr>
      </w:pP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ORGANIGRAMA ACTUAL DEL ODAPAS EN GENERAL Y EN ESPECIFICO ORGANIGRAMA DE LA DIRECCION DE FINANZAS CON COMBRES Y CARGOS DE CADA UNO DE LOS INTEGRANTES, ASI COMO SU CURRICULUM LABORAL, ADMINISTRATIVO Y EN SU CASO POLITICO, POR ULTIMO CEDULA PROFESIONAL DE CADA UNO DEELLOS QUE AVALE SU ESCOLARIDAD, NOMBRAMIENTOS”. (Sic.)</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lastRenderedPageBreak/>
        <w:t>Se hace constar que se señaló como modalidad de entrega de la información a través de SAIMEX.</w:t>
      </w:r>
    </w:p>
    <w:p w:rsidR="00FB18EB" w:rsidRDefault="00FB18EB">
      <w:pPr>
        <w:ind w:right="-876"/>
        <w:rPr>
          <w:rFonts w:ascii="Palatino Linotype" w:eastAsia="Palatino Linotype" w:hAnsi="Palatino Linotype" w:cs="Palatino Linotype"/>
        </w:rPr>
      </w:pPr>
    </w:p>
    <w:p w:rsidR="00FB18EB" w:rsidRDefault="008155AC">
      <w:pPr>
        <w:numPr>
          <w:ilvl w:val="0"/>
          <w:numId w:val="3"/>
        </w:numPr>
        <w:tabs>
          <w:tab w:val="left" w:pos="0"/>
        </w:tabs>
        <w:spacing w:line="360" w:lineRule="auto"/>
        <w:ind w:left="0" w:right="-876"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trece de marzo de dos mil veintiséis</w:t>
      </w:r>
      <w:r>
        <w:rPr>
          <w:rFonts w:ascii="Palatino Linotype" w:eastAsia="Palatino Linotype" w:hAnsi="Palatino Linotype" w:cs="Palatino Linotype"/>
        </w:rPr>
        <w:t>, el Sujeto Obligado dio respuesta a la solicitud de información en el siguiente sentido:</w:t>
      </w:r>
    </w:p>
    <w:p w:rsidR="00FB18EB" w:rsidRDefault="008155AC">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FB18EB" w:rsidRDefault="00FB18EB">
      <w:pPr>
        <w:ind w:left="567" w:right="-876"/>
        <w:jc w:val="both"/>
        <w:rPr>
          <w:rFonts w:ascii="Palatino Linotype" w:eastAsia="Palatino Linotype" w:hAnsi="Palatino Linotype" w:cs="Palatino Linotype"/>
          <w:i/>
          <w:iCs/>
        </w:rPr>
      </w:pPr>
    </w:p>
    <w:p w:rsidR="00FB18EB" w:rsidRDefault="008155AC">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Referente a la solicitud 00016/OAVACHASO/IP/2026 mediante la plataforma SAIMEX, remito a Usted la información que solicita, lo anterior debido a que esta Unidad de Transparencia es el enlace entre los Solicitantes y el Sujeto Obligado de este Organismo Descentralizado (O.D.A.P.A.S).” (Sic)</w:t>
      </w:r>
    </w:p>
    <w:p w:rsidR="00FB18EB" w:rsidRDefault="00FB18EB">
      <w:pPr>
        <w:ind w:left="567" w:right="-876"/>
        <w:jc w:val="both"/>
        <w:rPr>
          <w:rFonts w:ascii="Palatino Linotype" w:eastAsia="Palatino Linotype" w:hAnsi="Palatino Linotype" w:cs="Palatino Linotype"/>
          <w:i/>
          <w:iCs/>
        </w:rPr>
      </w:pPr>
    </w:p>
    <w:p w:rsidR="00FB18EB" w:rsidRDefault="008155AC">
      <w:pPr>
        <w:tabs>
          <w:tab w:val="left" w:pos="0"/>
        </w:tabs>
        <w:spacing w:line="360" w:lineRule="auto"/>
        <w:ind w:right="-876"/>
        <w:jc w:val="both"/>
        <w:rPr>
          <w:rFonts w:ascii="Palatino Linotype" w:eastAsia="Palatino Linotype" w:hAnsi="Palatino Linotype" w:cs="Palatino Linotype"/>
        </w:rPr>
      </w:pPr>
      <w:bookmarkStart w:id="1" w:name="_heading=h.fd9nrwokjrg5" w:colFirst="0" w:colLast="0"/>
      <w:bookmarkEnd w:id="1"/>
      <w:r>
        <w:rPr>
          <w:rFonts w:ascii="Palatino Linotype" w:eastAsia="Palatino Linotype" w:hAnsi="Palatino Linotype" w:cs="Palatino Linotype"/>
        </w:rPr>
        <w:t>Se adjuntan los archivos electrónicos siguientes:</w:t>
      </w:r>
    </w:p>
    <w:p w:rsidR="00FB18EB" w:rsidRDefault="008155AC">
      <w:pPr>
        <w:numPr>
          <w:ilvl w:val="0"/>
          <w:numId w:val="6"/>
        </w:num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ORGANIGRAMA DIRECCIÓN FINANZAS.pdf: </w:t>
      </w:r>
      <w:r>
        <w:rPr>
          <w:rFonts w:ascii="Palatino Linotype" w:eastAsia="Palatino Linotype" w:hAnsi="Palatino Linotype" w:cs="Palatino Linotype"/>
          <w:color w:val="000000"/>
        </w:rPr>
        <w:t>Organigrama de la Dirección de Finanzas, del que se advierte la Dirección; así como de las tres áreas que la conforman</w:t>
      </w:r>
    </w:p>
    <w:p w:rsidR="00FB18EB" w:rsidRDefault="008155AC">
      <w:pPr>
        <w:numPr>
          <w:ilvl w:val="0"/>
          <w:numId w:val="6"/>
        </w:num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FICHA CURRICULAR PARA LLENAR 2026 AR.pdf: </w:t>
      </w:r>
      <w:r>
        <w:rPr>
          <w:rFonts w:ascii="Palatino Linotype" w:eastAsia="Palatino Linotype" w:hAnsi="Palatino Linotype" w:cs="Palatino Linotype"/>
          <w:color w:val="000000"/>
        </w:rPr>
        <w:t>Ficha Curricular de servidor público</w:t>
      </w:r>
      <w:r>
        <w:rPr>
          <w:rFonts w:ascii="Palatino Linotype" w:eastAsia="Palatino Linotype" w:hAnsi="Palatino Linotype" w:cs="Palatino Linotype"/>
          <w:b/>
          <w:bCs/>
          <w:color w:val="000000"/>
        </w:rPr>
        <w:t xml:space="preserve"> </w:t>
      </w:r>
    </w:p>
    <w:p w:rsidR="00FB18EB" w:rsidRDefault="008155AC">
      <w:pPr>
        <w:numPr>
          <w:ilvl w:val="0"/>
          <w:numId w:val="6"/>
        </w:num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FICHA CURRICULAR PARA LLENAR 2026.pdf: </w:t>
      </w:r>
      <w:r>
        <w:rPr>
          <w:rFonts w:ascii="Palatino Linotype" w:eastAsia="Palatino Linotype" w:hAnsi="Palatino Linotype" w:cs="Palatino Linotype"/>
          <w:color w:val="000000"/>
        </w:rPr>
        <w:t>Ficha Curricular de servidor público</w:t>
      </w:r>
    </w:p>
    <w:p w:rsidR="00FB18EB" w:rsidRDefault="008155AC">
      <w:pPr>
        <w:numPr>
          <w:ilvl w:val="0"/>
          <w:numId w:val="6"/>
        </w:num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FICHA CURRICULAR PARA LLENAR 2026 DA.pdf: </w:t>
      </w:r>
      <w:r>
        <w:rPr>
          <w:rFonts w:ascii="Palatino Linotype" w:eastAsia="Palatino Linotype" w:hAnsi="Palatino Linotype" w:cs="Palatino Linotype"/>
          <w:color w:val="000000"/>
        </w:rPr>
        <w:t>Ficha Curricular de servidor público</w:t>
      </w:r>
    </w:p>
    <w:p w:rsidR="00FB18EB" w:rsidRDefault="008155AC">
      <w:pPr>
        <w:numPr>
          <w:ilvl w:val="0"/>
          <w:numId w:val="6"/>
        </w:num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FICHA CURRICULAR PARA LLENAR 2026 JG.pdf: </w:t>
      </w:r>
      <w:r>
        <w:rPr>
          <w:rFonts w:ascii="Palatino Linotype" w:eastAsia="Palatino Linotype" w:hAnsi="Palatino Linotype" w:cs="Palatino Linotype"/>
          <w:color w:val="000000"/>
        </w:rPr>
        <w:t>Ficha Curricular de servidor público</w:t>
      </w:r>
    </w:p>
    <w:p w:rsidR="00FB18EB" w:rsidRDefault="008155AC">
      <w:pPr>
        <w:numPr>
          <w:ilvl w:val="0"/>
          <w:numId w:val="6"/>
        </w:num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ORGANIGRAMA GENERAL 2026.pdf: </w:t>
      </w:r>
      <w:r>
        <w:rPr>
          <w:rFonts w:ascii="Palatino Linotype" w:eastAsia="Palatino Linotype" w:hAnsi="Palatino Linotype" w:cs="Palatino Linotype"/>
          <w:color w:val="000000"/>
        </w:rPr>
        <w:t>Organigrama General del Organismo Descentralizado de Agua Potable, Alcantarillado y Saneamiento de Valle de Chalco Solidaridad, del que se advierte la Unidad Administrativa; así como el nombre del Titular del área</w:t>
      </w:r>
    </w:p>
    <w:p w:rsidR="00FB18EB" w:rsidRDefault="00FB18EB">
      <w:pPr>
        <w:tabs>
          <w:tab w:val="left" w:pos="0"/>
        </w:tabs>
        <w:spacing w:line="360" w:lineRule="auto"/>
        <w:ind w:right="-876"/>
        <w:jc w:val="both"/>
        <w:rPr>
          <w:rFonts w:ascii="Palatino Linotype" w:eastAsia="Palatino Linotype" w:hAnsi="Palatino Linotype" w:cs="Palatino Linotype"/>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nueve de abril de dos mil veintiséis</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00000"/>
        </w:rPr>
        <w:t xml:space="preserve">00016/OASVACHASO/IP/2026,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FB18EB" w:rsidRDefault="00FB18EB">
      <w:pPr>
        <w:pBdr>
          <w:top w:val="nil"/>
          <w:left w:val="nil"/>
          <w:bottom w:val="nil"/>
          <w:right w:val="nil"/>
          <w:between w:val="nil"/>
        </w:pBdr>
        <w:spacing w:line="360" w:lineRule="auto"/>
        <w:ind w:left="360" w:right="-876"/>
        <w:jc w:val="both"/>
        <w:rPr>
          <w:rFonts w:ascii="Palatino Linotype" w:eastAsia="Palatino Linotype" w:hAnsi="Palatino Linotype" w:cs="Palatino Linotype"/>
          <w:color w:val="000000"/>
        </w:rPr>
      </w:pPr>
    </w:p>
    <w:p w:rsidR="00FB18EB" w:rsidRDefault="008155AC">
      <w:pPr>
        <w:numPr>
          <w:ilvl w:val="0"/>
          <w:numId w:val="1"/>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p>
    <w:p w:rsidR="00FB18EB" w:rsidRDefault="008155AC">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“Organismo Descentralizado de Agua Potable Alcantarillado y Saneamiento de Valle de Chalco Solidaridad” (Sic.)</w:t>
      </w:r>
    </w:p>
    <w:p w:rsidR="00FB18EB" w:rsidRDefault="00FB18EB">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rPr>
      </w:pPr>
    </w:p>
    <w:p w:rsidR="00FB18EB" w:rsidRDefault="008155AC">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p>
    <w:p w:rsidR="00FB18EB" w:rsidRDefault="008155AC">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emiten cedulas profesionales de la escolaridad que ellos mencionan en sus fichas curriculares, además se le solicito curricular laboral, administrativo y en su caso político, falta información y suben un organigrama de cuatro personas solamente con cargos no le ponen nombre de los que ocupan actualmente y mucho menos del demás personal que tiene la dirección de finanzas, ni sus actividades” (Sic.)</w:t>
      </w:r>
    </w:p>
    <w:p w:rsidR="00FB18EB" w:rsidRDefault="00FB18EB">
      <w:pPr>
        <w:pBdr>
          <w:top w:val="nil"/>
          <w:left w:val="nil"/>
          <w:bottom w:val="nil"/>
          <w:right w:val="nil"/>
          <w:between w:val="nil"/>
        </w:pBdr>
        <w:tabs>
          <w:tab w:val="left" w:pos="851"/>
        </w:tabs>
        <w:spacing w:line="360" w:lineRule="auto"/>
        <w:ind w:left="720" w:right="-876"/>
        <w:jc w:val="both"/>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w:t>
      </w:r>
      <w:r>
        <w:rPr>
          <w:rFonts w:ascii="Palatino Linotype" w:eastAsia="Palatino Linotype" w:hAnsi="Palatino Linotype" w:cs="Palatino Linotype"/>
        </w:rPr>
        <w:lastRenderedPageBreak/>
        <w:t xml:space="preserve">Transparencia y Acceso a la Información Pública del Estado de México y Municipios se turna a la </w:t>
      </w:r>
      <w:r>
        <w:rPr>
          <w:rFonts w:ascii="Palatino Linotype" w:eastAsia="Palatino Linotype" w:hAnsi="Palatino Linotype" w:cs="Palatino Linotype"/>
          <w:b/>
          <w:bCs/>
        </w:rPr>
        <w:t>Comisionada María del Rosario Mejía Ayala,</w:t>
      </w:r>
      <w:r>
        <w:rPr>
          <w:rFonts w:ascii="Palatino Linotype" w:eastAsia="Palatino Linotype" w:hAnsi="Palatino Linotype" w:cs="Palatino Linotype"/>
        </w:rPr>
        <w:t xml:space="preserve"> para su análisis.</w:t>
      </w:r>
    </w:p>
    <w:p w:rsidR="00FB18EB" w:rsidRDefault="00FB18EB">
      <w:pPr>
        <w:spacing w:line="360" w:lineRule="auto"/>
        <w:ind w:right="-876"/>
        <w:jc w:val="both"/>
        <w:rPr>
          <w:rFonts w:ascii="Palatino Linotype" w:eastAsia="Palatino Linotype" w:hAnsi="Palatino Linotype" w:cs="Palatino Linotype"/>
          <w:i/>
          <w:iCs/>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 xml:space="preserve">La Comisionada Ponente con fundamento en lo dispuesto por el artículo 185 </w:t>
      </w:r>
      <w:r>
        <w:rPr>
          <w:rFonts w:ascii="Palatino Linotype" w:eastAsia="Palatino Linotype" w:hAnsi="Palatino Linotype" w:cs="Palatino Linotype"/>
        </w:rPr>
        <w:t>fracción</w:t>
      </w:r>
      <w:r>
        <w:rPr>
          <w:rFonts w:ascii="Palatino Linotype" w:eastAsia="Palatino Linotype" w:hAnsi="Palatino Linotype" w:cs="Palatino Linotype"/>
          <w:color w:val="000000"/>
        </w:rPr>
        <w:t xml:space="preserve">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catorce de abril de dos mil veintiséis</w:t>
      </w:r>
      <w:r>
        <w:rPr>
          <w:rFonts w:ascii="Palatino Linotype" w:eastAsia="Palatino Linotype" w:hAnsi="Palatino Linotype" w:cs="Palatino Linotype"/>
          <w:color w:val="000000"/>
        </w:rPr>
        <w:t xml:space="preserve">, 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 xml:space="preserve">De lo anterior el </w:t>
      </w:r>
      <w:r>
        <w:rPr>
          <w:rFonts w:ascii="Palatino Linotype" w:eastAsia="Palatino Linotype" w:hAnsi="Palatino Linotype" w:cs="Palatino Linotype"/>
          <w:b/>
          <w:bCs/>
          <w:color w:val="000000"/>
        </w:rPr>
        <w:t>SUJETO OBLIGADO y</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 xml:space="preserve">dejaron de realizar manifestaciones que a su derecho conviniera y asistiera, respectivamente en el recurso de revisión. </w:t>
      </w:r>
    </w:p>
    <w:p w:rsidR="00FB18EB" w:rsidRDefault="00FB18EB">
      <w:pPr>
        <w:spacing w:line="360" w:lineRule="auto"/>
        <w:ind w:right="-876"/>
        <w:jc w:val="both"/>
        <w:rPr>
          <w:rFonts w:ascii="Palatino Linotype" w:eastAsia="Palatino Linotype" w:hAnsi="Palatino Linotype" w:cs="Palatino Linotype"/>
          <w:i/>
          <w:iCs/>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uno de junio de dos mil veintiséis</w:t>
      </w:r>
      <w:r>
        <w:rPr>
          <w:rFonts w:ascii="Palatino Linotype" w:eastAsia="Palatino Linotype" w:hAnsi="Palatino Linotype" w:cs="Palatino Linotype"/>
        </w:rPr>
        <w:t xml:space="preserve">, se notificó el acuerdo mediante el cual se aprobó la ampliación de plazo para emitir resolución. </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 xml:space="preserve">Finalmente, la Comisionada Ponente mediante acuerdo del </w:t>
      </w:r>
      <w:r>
        <w:rPr>
          <w:rFonts w:ascii="Palatino Linotype" w:eastAsia="Palatino Linotype" w:hAnsi="Palatino Linotype" w:cs="Palatino Linotype"/>
          <w:b/>
          <w:bCs/>
        </w:rPr>
        <w:t>veinticuatro de junio de dos mil veintiséis</w:t>
      </w:r>
      <w:r>
        <w:rPr>
          <w:rFonts w:ascii="Palatino Linotype" w:eastAsia="Palatino Linotype" w:hAnsi="Palatino Linotype" w:cs="Palatino Linotype"/>
        </w:rPr>
        <w:t>, decretó el cierre de instrucción del expediente, por lo que no habiendo más que hacer constar, y —---------------------------------------------------------------------------------------</w:t>
      </w:r>
      <w:r w:rsidR="00A666F0">
        <w:rPr>
          <w:rFonts w:ascii="Palatino Linotype" w:eastAsia="Palatino Linotype" w:hAnsi="Palatino Linotype" w:cs="Palatino Linotype"/>
        </w:rPr>
        <w:t>-------</w:t>
      </w:r>
    </w:p>
    <w:p w:rsidR="00FB18EB" w:rsidRDefault="00FB18EB">
      <w:pPr>
        <w:spacing w:line="360" w:lineRule="auto"/>
        <w:ind w:right="-876"/>
        <w:jc w:val="both"/>
        <w:rPr>
          <w:rFonts w:ascii="Palatino Linotype" w:eastAsia="Palatino Linotype" w:hAnsi="Palatino Linotype" w:cs="Palatino Linotype"/>
          <w:b/>
          <w:bCs/>
        </w:rPr>
      </w:pPr>
    </w:p>
    <w:p w:rsidR="00FB18EB" w:rsidRDefault="008155AC">
      <w:pPr>
        <w:keepNext/>
        <w:keepLines/>
        <w:spacing w:line="360" w:lineRule="auto"/>
        <w:ind w:right="-876"/>
        <w:jc w:val="center"/>
        <w:rPr>
          <w:rFonts w:ascii="Palatino Linotype" w:eastAsia="Palatino Linotype" w:hAnsi="Palatino Linotype" w:cs="Palatino Linotype"/>
          <w:b/>
          <w:bCs/>
        </w:rPr>
      </w:pPr>
      <w:bookmarkStart w:id="2" w:name="_heading=h.p1rfouj8uunj" w:colFirst="0" w:colLast="0"/>
      <w:bookmarkEnd w:id="2"/>
      <w:r>
        <w:rPr>
          <w:rFonts w:ascii="Palatino Linotype" w:eastAsia="Palatino Linotype" w:hAnsi="Palatino Linotype" w:cs="Palatino Linotype"/>
          <w:b/>
          <w:bCs/>
        </w:rPr>
        <w:lastRenderedPageBreak/>
        <w:t>C O N S I D E R A N D O</w:t>
      </w:r>
    </w:p>
    <w:p w:rsidR="00FB18EB" w:rsidRDefault="00FB18EB">
      <w:pPr>
        <w:keepNext/>
        <w:keepLines/>
        <w:spacing w:line="360" w:lineRule="auto"/>
        <w:ind w:right="-876"/>
        <w:jc w:val="center"/>
        <w:rPr>
          <w:rFonts w:ascii="Palatino Linotype" w:eastAsia="Palatino Linotype" w:hAnsi="Palatino Linotype" w:cs="Palatino Linotype"/>
          <w:b/>
          <w:bCs/>
        </w:rPr>
      </w:pPr>
    </w:p>
    <w:p w:rsidR="00FB18EB" w:rsidRDefault="008155AC">
      <w:pPr>
        <w:keepNext/>
        <w:keepLines/>
        <w:spacing w:line="360" w:lineRule="auto"/>
        <w:ind w:right="-876"/>
        <w:rPr>
          <w:rFonts w:ascii="Palatino Linotype" w:eastAsia="Palatino Linotype" w:hAnsi="Palatino Linotype" w:cs="Palatino Linotype"/>
          <w:b/>
          <w:bCs/>
        </w:rPr>
      </w:pPr>
      <w:bookmarkStart w:id="3" w:name="_heading=h.t8dul7luwb52" w:colFirst="0" w:colLast="0"/>
      <w:bookmarkEnd w:id="3"/>
      <w:r>
        <w:rPr>
          <w:rFonts w:ascii="Palatino Linotype" w:eastAsia="Palatino Linotype" w:hAnsi="Palatino Linotype" w:cs="Palatino Linotype"/>
          <w:b/>
          <w:bCs/>
        </w:rPr>
        <w:t>PRIMERO. De la competencia.</w:t>
      </w:r>
    </w:p>
    <w:p w:rsidR="00FB18EB" w:rsidRDefault="008155AC">
      <w:pPr>
        <w:numPr>
          <w:ilvl w:val="0"/>
          <w:numId w:val="3"/>
        </w:numPr>
        <w:pBdr>
          <w:top w:val="nil"/>
          <w:left w:val="nil"/>
          <w:bottom w:val="nil"/>
          <w:right w:val="nil"/>
          <w:between w:val="nil"/>
        </w:pBdr>
        <w:spacing w:before="240" w:after="240" w:line="360" w:lineRule="auto"/>
        <w:ind w:left="0" w:right="-876" w:firstLine="0"/>
        <w:jc w:val="both"/>
      </w:pPr>
      <w:r>
        <w:rPr>
          <w:rFonts w:ascii="Palatino Linotype" w:eastAsia="Palatino Linotype" w:hAnsi="Palatino Linotype" w:cs="Palatino Linotype"/>
          <w:color w:val="000000"/>
        </w:rPr>
        <w:t>Este</w:t>
      </w:r>
      <w:bookmarkStart w:id="4" w:name="_GoBack"/>
      <w:bookmarkEnd w:id="4"/>
      <w:r>
        <w:rPr>
          <w:rFonts w:ascii="Palatino Linotype" w:eastAsia="Palatino Linotype" w:hAnsi="Palatino Linotype" w:cs="Palatino Linotype"/>
          <w:color w:val="000000"/>
        </w:rPr>
        <w:t xml:space="preserv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rPr>
        <w:t>Constitución Política de los Estados Unidos Mexicanos</w:t>
      </w:r>
      <w:r>
        <w:rPr>
          <w:rFonts w:ascii="Palatino Linotype" w:eastAsia="Palatino Linotype" w:hAnsi="Palatino Linotype" w:cs="Palatino Linotype"/>
          <w:color w:val="000000"/>
        </w:rPr>
        <w:t>; 5, párrafos trigésimo segundo, trigésimo tercero y trigésimo cuarto fracciones IV y V de la </w:t>
      </w:r>
      <w:r>
        <w:rPr>
          <w:rFonts w:ascii="Palatino Linotype" w:eastAsia="Palatino Linotype" w:hAnsi="Palatino Linotype" w:cs="Palatino Linotype"/>
          <w:b/>
          <w:bCs/>
          <w:color w:val="000000"/>
        </w:rPr>
        <w:t>Constitución Política del Estado Libre y Soberano de México</w:t>
      </w:r>
      <w:r>
        <w:rPr>
          <w:rFonts w:ascii="Palatino Linotype" w:eastAsia="Palatino Linotype" w:hAnsi="Palatino Linotype" w:cs="Palatino Linotype"/>
          <w:color w:val="000000"/>
        </w:rPr>
        <w:t>; artículos 1, 2 fracción II, 13, 29, 36 fracciones I y II, 176, 178, 179, 181 párrafo tercero y 185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y 7, 9 fracciones I y XXIII, y 11 del </w:t>
      </w:r>
      <w:r>
        <w:rPr>
          <w:rFonts w:ascii="Palatino Linotype" w:eastAsia="Palatino Linotype" w:hAnsi="Palatino Linotype" w:cs="Palatino Linotype"/>
          <w:b/>
          <w:bCs/>
          <w:color w:val="000000"/>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rPr>
        <w:t>.</w:t>
      </w:r>
    </w:p>
    <w:p w:rsidR="00FB18EB" w:rsidRDefault="008155AC">
      <w:pPr>
        <w:keepNext/>
        <w:keepLines/>
        <w:spacing w:line="360" w:lineRule="auto"/>
        <w:ind w:right="-876"/>
        <w:rPr>
          <w:rFonts w:ascii="Palatino Linotype" w:eastAsia="Palatino Linotype" w:hAnsi="Palatino Linotype" w:cs="Palatino Linotype"/>
          <w:b/>
          <w:bCs/>
        </w:rPr>
      </w:pPr>
      <w:bookmarkStart w:id="5" w:name="_heading=h.4zt4dqi7i2xt" w:colFirst="0" w:colLast="0"/>
      <w:bookmarkEnd w:id="5"/>
      <w:r>
        <w:rPr>
          <w:rFonts w:ascii="Palatino Linotype" w:eastAsia="Palatino Linotype" w:hAnsi="Palatino Linotype" w:cs="Palatino Linotype"/>
          <w:b/>
          <w:bCs/>
        </w:rPr>
        <w:t>SEGUNDO. De la oportunidad y procedencia.</w:t>
      </w: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día </w:t>
      </w:r>
      <w:r>
        <w:rPr>
          <w:rFonts w:ascii="Palatino Linotype" w:eastAsia="Palatino Linotype" w:hAnsi="Palatino Linotype" w:cs="Palatino Linotype"/>
          <w:b/>
          <w:bCs/>
        </w:rPr>
        <w:t>trece de marzo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diecisiete de marzo al trece de abril de dos mil veintiséis</w:t>
      </w:r>
      <w:r>
        <w:rPr>
          <w:rFonts w:ascii="Palatino Linotype" w:eastAsia="Palatino Linotype" w:hAnsi="Palatino Linotype" w:cs="Palatino Linotype"/>
        </w:rPr>
        <w:t xml:space="preserve">, esto considerando el </w:t>
      </w:r>
      <w:r>
        <w:rPr>
          <w:rFonts w:ascii="Palatino Linotype" w:eastAsia="Palatino Linotype" w:hAnsi="Palatino Linotype" w:cs="Palatino Linotype"/>
          <w:b/>
          <w:bCs/>
        </w:rPr>
        <w:t>periodo vacacional y días inhábiles,</w:t>
      </w:r>
      <w:r>
        <w:rPr>
          <w:rFonts w:ascii="Palatino Linotype" w:eastAsia="Palatino Linotype" w:hAnsi="Palatino Linotype" w:cs="Palatino Linotype"/>
        </w:rPr>
        <w:t xml:space="preserve"> de acuerdo al calendario oficial del Instituto de Transparencia del Estado de México y Municipios; en consecuencia, si el particular presentó su inconformidad el día </w:t>
      </w:r>
      <w:r>
        <w:rPr>
          <w:rFonts w:ascii="Palatino Linotype" w:eastAsia="Palatino Linotype" w:hAnsi="Palatino Linotype" w:cs="Palatino Linotype"/>
          <w:b/>
          <w:bCs/>
        </w:rPr>
        <w:t xml:space="preserve">nueve de abril de dos mil veintiséis, </w:t>
      </w:r>
      <w:r>
        <w:rPr>
          <w:rFonts w:ascii="Palatino Linotype" w:eastAsia="Palatino Linotype" w:hAnsi="Palatino Linotype" w:cs="Palatino Linotype"/>
        </w:rPr>
        <w:t xml:space="preserve">por ende se encuentra dentro de </w:t>
      </w:r>
      <w:r>
        <w:rPr>
          <w:rFonts w:ascii="Palatino Linotype" w:eastAsia="Palatino Linotype" w:hAnsi="Palatino Linotype" w:cs="Palatino Linotype"/>
        </w:rPr>
        <w:lastRenderedPageBreak/>
        <w:t xml:space="preserve">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FB18EB" w:rsidRDefault="00FB18EB">
      <w:pPr>
        <w:spacing w:line="360" w:lineRule="auto"/>
        <w:ind w:right="-876"/>
        <w:jc w:val="both"/>
        <w:rPr>
          <w:rFonts w:ascii="Palatino Linotype" w:eastAsia="Palatino Linotype" w:hAnsi="Palatino Linotype" w:cs="Palatino Linotype"/>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FB18EB" w:rsidRDefault="008155AC">
      <w:pPr>
        <w:pBdr>
          <w:top w:val="nil"/>
          <w:left w:val="nil"/>
          <w:bottom w:val="nil"/>
          <w:right w:val="nil"/>
          <w:between w:val="nil"/>
        </w:pBdr>
        <w:tabs>
          <w:tab w:val="left" w:pos="7655"/>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6.-</w:t>
      </w:r>
      <w:r>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FB18EB" w:rsidRDefault="00FB18EB">
      <w:pPr>
        <w:pBdr>
          <w:top w:val="nil"/>
          <w:left w:val="nil"/>
          <w:bottom w:val="nil"/>
          <w:right w:val="nil"/>
          <w:between w:val="nil"/>
        </w:pBdr>
        <w:ind w:left="567" w:right="-876"/>
        <w:jc w:val="both"/>
        <w:rPr>
          <w:rFonts w:ascii="Palatino Linotype" w:eastAsia="Palatino Linotype" w:hAnsi="Palatino Linotype" w:cs="Palatino Linotype"/>
          <w:i/>
          <w:iCs/>
          <w:color w:val="000000"/>
        </w:rPr>
      </w:pP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efectos de lo dispuesto en el presente artículo se observará lo siguiente:</w:t>
      </w:r>
    </w:p>
    <w:p w:rsidR="00FB18EB" w:rsidRDefault="00FB18EB">
      <w:pPr>
        <w:pBdr>
          <w:top w:val="nil"/>
          <w:left w:val="nil"/>
          <w:bottom w:val="nil"/>
          <w:right w:val="nil"/>
          <w:between w:val="nil"/>
        </w:pBdr>
        <w:ind w:left="567" w:right="-876"/>
        <w:jc w:val="both"/>
        <w:rPr>
          <w:rFonts w:ascii="Palatino Linotype" w:eastAsia="Palatino Linotype" w:hAnsi="Palatino Linotype" w:cs="Palatino Linotype"/>
          <w:i/>
          <w:iCs/>
          <w:color w:val="000000"/>
        </w:rPr>
      </w:pP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FB18EB" w:rsidRDefault="00FB18EB">
      <w:pPr>
        <w:pBdr>
          <w:top w:val="nil"/>
          <w:left w:val="nil"/>
          <w:bottom w:val="nil"/>
          <w:right w:val="nil"/>
          <w:between w:val="nil"/>
        </w:pBdr>
        <w:ind w:left="567" w:right="-876"/>
        <w:jc w:val="both"/>
        <w:rPr>
          <w:rFonts w:ascii="Palatino Linotype" w:eastAsia="Palatino Linotype" w:hAnsi="Palatino Linotype" w:cs="Palatino Linotype"/>
          <w:i/>
          <w:iCs/>
          <w:color w:val="000000"/>
        </w:rPr>
      </w:pP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color w:val="000000"/>
        </w:rPr>
        <w:t>(Sic)</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lastRenderedPageBreak/>
        <w:t>Así como el artículo 5 fracción III, párrafo vigésimo noveno, trigésimo y trigésimo primero, de la Constitución Política del Estado Libre y Soberano de México, que determina lo siguiente:</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color w:val="000000"/>
        </w:rPr>
        <w:t>(Sic)</w:t>
      </w:r>
    </w:p>
    <w:p w:rsidR="00FB18EB" w:rsidRDefault="00FB18EB">
      <w:pPr>
        <w:tabs>
          <w:tab w:val="left" w:pos="7655"/>
        </w:tabs>
        <w:ind w:left="567" w:right="-876"/>
        <w:jc w:val="both"/>
        <w:rPr>
          <w:rFonts w:ascii="Palatino Linotype" w:eastAsia="Palatino Linotype" w:hAnsi="Palatino Linotype" w:cs="Palatino Linotype"/>
          <w:i/>
          <w:iCs/>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r>
        <w:rPr>
          <w:rFonts w:ascii="Palatino Linotype" w:eastAsia="Palatino Linotype" w:hAnsi="Palatino Linotype" w:cs="Palatino Linotype"/>
          <w:b/>
          <w:bCs/>
          <w:i/>
          <w:iCs/>
          <w:color w:val="000000"/>
        </w:rPr>
        <w:t>Artículo 1</w:t>
      </w:r>
      <w:r>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FB18EB" w:rsidRDefault="00FB18EB">
      <w:pPr>
        <w:spacing w:line="360" w:lineRule="auto"/>
        <w:ind w:right="-876"/>
        <w:jc w:val="both"/>
        <w:rPr>
          <w:rFonts w:ascii="Palatino Linotype" w:eastAsia="Palatino Linotype" w:hAnsi="Palatino Linotype" w:cs="Palatino Linotype"/>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FB18EB" w:rsidRDefault="00FB18EB">
      <w:pPr>
        <w:spacing w:line="360" w:lineRule="auto"/>
        <w:ind w:right="-876"/>
        <w:jc w:val="both"/>
        <w:rPr>
          <w:rFonts w:ascii="Palatino Linotype" w:eastAsia="Palatino Linotype" w:hAnsi="Palatino Linotype" w:cs="Palatino Linotype"/>
          <w:b/>
          <w:bCs/>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w:t>
      </w:r>
      <w:r>
        <w:rPr>
          <w:rFonts w:ascii="Palatino Linotype" w:eastAsia="Palatino Linotype" w:hAnsi="Palatino Linotype" w:cs="Palatino Linotype"/>
        </w:rPr>
        <w:lastRenderedPageBreak/>
        <w:t>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FB18EB" w:rsidRDefault="00FB18EB">
      <w:pPr>
        <w:spacing w:line="360" w:lineRule="auto"/>
        <w:ind w:right="-876"/>
        <w:jc w:val="both"/>
        <w:rPr>
          <w:rFonts w:ascii="Palatino Linotype" w:eastAsia="Palatino Linotype" w:hAnsi="Palatino Linotype" w:cs="Palatino Linotype"/>
          <w:b/>
          <w:bCs/>
        </w:rPr>
      </w:pPr>
    </w:p>
    <w:p w:rsidR="00FB18EB" w:rsidRDefault="008155AC">
      <w:pPr>
        <w:numPr>
          <w:ilvl w:val="0"/>
          <w:numId w:val="3"/>
        </w:numPr>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B18EB" w:rsidRDefault="00FB18EB">
      <w:pPr>
        <w:pBdr>
          <w:top w:val="nil"/>
          <w:left w:val="nil"/>
          <w:bottom w:val="nil"/>
          <w:right w:val="nil"/>
          <w:between w:val="nil"/>
        </w:pBdr>
        <w:ind w:left="720" w:right="-876"/>
        <w:rPr>
          <w:rFonts w:ascii="Palatino Linotype" w:eastAsia="Palatino Linotype" w:hAnsi="Palatino Linotype" w:cs="Palatino Linotype"/>
          <w:b/>
          <w:bCs/>
          <w:color w:val="000000"/>
        </w:rPr>
      </w:pPr>
    </w:p>
    <w:p w:rsidR="00FB18EB" w:rsidRDefault="008155AC">
      <w:pPr>
        <w:keepNext/>
        <w:keepLines/>
        <w:spacing w:line="360" w:lineRule="auto"/>
        <w:ind w:right="-876"/>
        <w:rPr>
          <w:rFonts w:ascii="Palatino Linotype" w:eastAsia="Palatino Linotype" w:hAnsi="Palatino Linotype" w:cs="Palatino Linotype"/>
          <w:b/>
          <w:bCs/>
        </w:rPr>
      </w:pPr>
      <w:bookmarkStart w:id="6" w:name="_heading=h.q2cufdaeoeex" w:colFirst="0" w:colLast="0"/>
      <w:bookmarkEnd w:id="6"/>
      <w:r>
        <w:rPr>
          <w:rFonts w:ascii="Palatino Linotype" w:eastAsia="Palatino Linotype" w:hAnsi="Palatino Linotype" w:cs="Palatino Linotype"/>
          <w:b/>
          <w:bCs/>
        </w:rPr>
        <w:t>TERCERO. Planteamiento de la Litis.</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El particular solicitó lo siguiente:</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Organigrama General</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Organigrama de la Dirección de Finanzas</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Currículum Laboral, Administrativo y en su caso Político</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Cédula Profesional</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w:t>
      </w:r>
    </w:p>
    <w:p w:rsidR="00FB18EB" w:rsidRDefault="00FB18EB">
      <w:pP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remitió el Organigrama de la Dirección de Finanzas; así como el Organigrama General del que se advierten los nombres de los Titulares de la diversas unidades Administrativas, lo cual revela el cargo que ostenta cada uno; así como </w:t>
      </w:r>
      <w:r>
        <w:rPr>
          <w:rFonts w:ascii="Palatino Linotype" w:eastAsia="Palatino Linotype" w:hAnsi="Palatino Linotype" w:cs="Palatino Linotype"/>
          <w:color w:val="000000"/>
        </w:rPr>
        <w:lastRenderedPageBreak/>
        <w:t>cuatro fichas curriculares correspondientes a los titulares de la áreas que integran la Dirección de Administración.</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i/>
          <w:iCs/>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por la </w:t>
      </w:r>
      <w:r>
        <w:rPr>
          <w:rFonts w:ascii="Palatino Linotype" w:eastAsia="Palatino Linotype" w:hAnsi="Palatino Linotype" w:cs="Palatino Linotype"/>
          <w:b/>
          <w:bCs/>
          <w:color w:val="000000"/>
        </w:rPr>
        <w:t>entrega de información incompleta</w:t>
      </w:r>
      <w:r>
        <w:rPr>
          <w:rFonts w:ascii="Palatino Linotype" w:eastAsia="Palatino Linotype" w:hAnsi="Palatino Linotype" w:cs="Palatino Linotype"/>
          <w:color w:val="000000"/>
        </w:rPr>
        <w:t xml:space="preserve">, en los siguientes términos: </w:t>
      </w:r>
      <w:r>
        <w:rPr>
          <w:rFonts w:ascii="Palatino Linotype" w:eastAsia="Palatino Linotype" w:hAnsi="Palatino Linotype" w:cs="Palatino Linotype"/>
          <w:i/>
          <w:iCs/>
          <w:color w:val="000000"/>
        </w:rPr>
        <w:t>“No emiten cedulas profesionales de la escolaridad que ellos mencionan en sus fichas curriculares, además se le solicito curricular laboral, administrativo y en su caso político, falta información y suben un organigrama de cuatro personas solamente con cargos no le ponen nombre de los que ocupan actualmente y mucho menos del demás personal que tiene la dirección de finanzas, ni sus actividades.” (Sic)</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FF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w:t>
      </w:r>
      <w:r>
        <w:rPr>
          <w:rFonts w:ascii="Palatino Linotype" w:eastAsia="Palatino Linotype" w:hAnsi="Palatino Linotype" w:cs="Palatino Linotype"/>
          <w:b/>
          <w:bCs/>
          <w:color w:val="000000"/>
        </w:rPr>
        <w:t xml:space="preserve">la entrega de información incompleta </w:t>
      </w:r>
      <w:r>
        <w:rPr>
          <w:rFonts w:ascii="Palatino Linotype" w:eastAsia="Palatino Linotype" w:hAnsi="Palatino Linotype" w:cs="Palatino Linotype"/>
          <w:color w:val="000000"/>
        </w:rPr>
        <w:t xml:space="preserve">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pStyle w:val="Ttulo1"/>
        <w:spacing w:before="0" w:line="360" w:lineRule="auto"/>
        <w:ind w:right="-876"/>
        <w:rPr>
          <w:rFonts w:ascii="Palatino Linotype" w:eastAsia="Palatino Linotype" w:hAnsi="Palatino Linotype" w:cs="Palatino Linotype"/>
          <w:b/>
          <w:bCs/>
          <w:color w:val="000000"/>
          <w:sz w:val="24"/>
          <w:szCs w:val="24"/>
        </w:rPr>
      </w:pPr>
      <w:bookmarkStart w:id="7" w:name="_heading=h.at4z8qx6c4mp" w:colFirst="0" w:colLast="0"/>
      <w:bookmarkEnd w:id="7"/>
      <w:r>
        <w:rPr>
          <w:rFonts w:ascii="Palatino Linotype" w:eastAsia="Palatino Linotype" w:hAnsi="Palatino Linotype" w:cs="Palatino Linotype"/>
          <w:b/>
          <w:bCs/>
          <w:color w:val="000000"/>
          <w:sz w:val="24"/>
          <w:szCs w:val="24"/>
        </w:rPr>
        <w:t>CUARTO. Del estudio y resolución del recurso de revisión.</w:t>
      </w:r>
    </w:p>
    <w:p w:rsidR="00FB18EB" w:rsidRDefault="008155AC">
      <w:pPr>
        <w:keepNext/>
        <w:keepLines/>
        <w:numPr>
          <w:ilvl w:val="0"/>
          <w:numId w:val="18"/>
        </w:numPr>
        <w:spacing w:after="240" w:line="360" w:lineRule="auto"/>
        <w:ind w:left="786" w:right="-876"/>
        <w:rPr>
          <w:rFonts w:ascii="Palatino Linotype" w:eastAsia="Palatino Linotype" w:hAnsi="Palatino Linotype" w:cs="Palatino Linotype"/>
          <w:b/>
          <w:bCs/>
        </w:rPr>
      </w:pPr>
      <w:r>
        <w:rPr>
          <w:rFonts w:ascii="Palatino Linotype" w:eastAsia="Palatino Linotype" w:hAnsi="Palatino Linotype" w:cs="Palatino Linotype"/>
          <w:b/>
          <w:bCs/>
        </w:rPr>
        <w:t>Del derecho de acceso a la información.</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w:t>
      </w:r>
      <w:r>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Particular del Estado de México. </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FB18EB" w:rsidRDefault="008155AC">
      <w:pPr>
        <w:tabs>
          <w:tab w:val="left" w:pos="7655"/>
        </w:tabs>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FB18EB" w:rsidRDefault="008155AC">
      <w:pPr>
        <w:tabs>
          <w:tab w:val="left" w:pos="7655"/>
        </w:tabs>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18EB" w:rsidRDefault="008155AC">
      <w:pPr>
        <w:tabs>
          <w:tab w:val="left" w:pos="7655"/>
        </w:tabs>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FB18EB" w:rsidRDefault="008155AC">
      <w:pPr>
        <w:tabs>
          <w:tab w:val="left" w:pos="7655"/>
        </w:tabs>
        <w:ind w:left="567" w:right="-876"/>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FB18EB" w:rsidRDefault="00FB18EB">
      <w:pPr>
        <w:spacing w:line="360" w:lineRule="auto"/>
        <w:ind w:right="-876"/>
        <w:jc w:val="both"/>
        <w:rPr>
          <w:rFonts w:ascii="Palatino Linotype" w:eastAsia="Palatino Linotype" w:hAnsi="Palatino Linotype" w:cs="Palatino Linotype"/>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FB18EB" w:rsidRDefault="008155AC">
      <w:pPr>
        <w:spacing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FB18EB" w:rsidRDefault="008155AC">
      <w:pPr>
        <w:spacing w:before="240"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FB18EB" w:rsidRDefault="008155AC">
      <w:pPr>
        <w:spacing w:before="240"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FB18EB" w:rsidRDefault="00FB18EB">
      <w:pPr>
        <w:tabs>
          <w:tab w:val="left" w:pos="567"/>
        </w:tabs>
        <w:spacing w:before="240"/>
        <w:ind w:left="567" w:right="-876"/>
        <w:jc w:val="both"/>
        <w:rPr>
          <w:rFonts w:ascii="Palatino Linotype" w:eastAsia="Palatino Linotype" w:hAnsi="Palatino Linotype" w:cs="Palatino Linotype"/>
          <w:b/>
          <w:bCs/>
          <w:i/>
          <w:iCs/>
        </w:rPr>
      </w:pPr>
    </w:p>
    <w:p w:rsidR="00FB18EB" w:rsidRDefault="008155AC">
      <w:pPr>
        <w:spacing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Los sujetos obligados deberán </w:t>
      </w:r>
      <w:r>
        <w:rPr>
          <w:rFonts w:ascii="Palatino Linotype" w:eastAsia="Palatino Linotype" w:hAnsi="Palatino Linotype" w:cs="Palatino Linotype"/>
          <w:b/>
          <w:bCs/>
          <w:i/>
          <w:iCs/>
        </w:rPr>
        <w:lastRenderedPageBreak/>
        <w:t>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FB18EB" w:rsidRDefault="008155AC">
      <w:pPr>
        <w:numPr>
          <w:ilvl w:val="0"/>
          <w:numId w:val="3"/>
        </w:numPr>
        <w:spacing w:before="240" w:line="360" w:lineRule="auto"/>
        <w:ind w:left="0" w:right="-876"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FB18EB" w:rsidRDefault="00FB18EB">
      <w:pPr>
        <w:spacing w:before="240" w:line="360" w:lineRule="auto"/>
        <w:ind w:right="-876"/>
        <w:jc w:val="both"/>
        <w:rPr>
          <w:rFonts w:ascii="Palatino Linotype" w:eastAsia="Palatino Linotype" w:hAnsi="Palatino Linotype" w:cs="Palatino Linotype"/>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keepNext/>
        <w:keepLines/>
        <w:spacing w:after="240" w:line="360" w:lineRule="auto"/>
        <w:ind w:right="-876"/>
        <w:rPr>
          <w:rFonts w:ascii="Palatino Linotype" w:eastAsia="Palatino Linotype" w:hAnsi="Palatino Linotype" w:cs="Palatino Linotype"/>
          <w:b/>
          <w:bCs/>
        </w:rPr>
      </w:pPr>
      <w:r>
        <w:rPr>
          <w:rFonts w:ascii="Palatino Linotype" w:eastAsia="Palatino Linotype" w:hAnsi="Palatino Linotype" w:cs="Palatino Linotype"/>
          <w:b/>
          <w:bCs/>
        </w:rPr>
        <w:t>II. De la información solicitada y la respuesta del SUJETO OBLIGADO</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w:t>
      </w:r>
      <w:r>
        <w:rPr>
          <w:rFonts w:ascii="Palatino Linotype" w:eastAsia="Palatino Linotype" w:hAnsi="Palatino Linotype" w:cs="Palatino Linotype"/>
          <w:color w:val="000000"/>
        </w:rPr>
        <w:lastRenderedPageBreak/>
        <w:t>establecido en el artículo 8 de la Ley de Transparencia y Acceso a la Información Pública del Estado de México y Municipios.</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Para efectos de estudio es conveniente reiterar que el solicitante requirió lo siguiente:</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Organigrama General</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Organigrama de la Dirección de Finanzas</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Currículum Laboral, Administrativo y en su caso Político</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Cédula Profesional</w:t>
      </w:r>
    </w:p>
    <w:p w:rsidR="00FB18EB" w:rsidRDefault="008155AC">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 xml:space="preserve">De los motivos de descontento referidos por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se observa que se inconforma porque </w:t>
      </w:r>
      <w:r>
        <w:rPr>
          <w:rFonts w:ascii="Palatino Linotype" w:eastAsia="Palatino Linotype" w:hAnsi="Palatino Linotype" w:cs="Palatino Linotype"/>
          <w:b/>
          <w:bCs/>
          <w:color w:val="000000"/>
        </w:rPr>
        <w:t xml:space="preserve">la entrega de información incompleta, </w:t>
      </w:r>
      <w:r>
        <w:rPr>
          <w:rFonts w:ascii="Palatino Linotype" w:eastAsia="Palatino Linotype" w:hAnsi="Palatino Linotype" w:cs="Palatino Linotype"/>
          <w:color w:val="000000"/>
        </w:rPr>
        <w:t xml:space="preserve">en los siguientes términos: </w:t>
      </w:r>
      <w:r>
        <w:rPr>
          <w:rFonts w:ascii="Palatino Linotype" w:eastAsia="Palatino Linotype" w:hAnsi="Palatino Linotype" w:cs="Palatino Linotype"/>
          <w:i/>
          <w:iCs/>
          <w:color w:val="000000"/>
        </w:rPr>
        <w:t>“No emiten cedulas profesionales de la escolaridad que ellos mencionan en sus fichas curriculares, además se le solicito curricular laboral, administrativo y en su caso político, falta información y suben un organigrama de cuatro personas solamente con cargos no le ponen nombre de los que ocupan actualmente y mucho menos del demás personal que tiene la dirección de finanzas, ni sus actividades”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(Sic.)</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En ese sentido se inserta el siguiente cuadro de análisis:</w:t>
      </w:r>
    </w:p>
    <w:tbl>
      <w:tblPr>
        <w:tblStyle w:val="a"/>
        <w:tblW w:w="97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5"/>
        <w:gridCol w:w="3167"/>
        <w:gridCol w:w="18"/>
        <w:gridCol w:w="2693"/>
        <w:gridCol w:w="47"/>
        <w:gridCol w:w="1783"/>
      </w:tblGrid>
      <w:tr w:rsidR="00FB18EB">
        <w:tc>
          <w:tcPr>
            <w:tcW w:w="2055" w:type="dxa"/>
            <w:shd w:val="clear" w:color="auto" w:fill="D9D9D9"/>
          </w:tcPr>
          <w:p w:rsidR="00FB18EB" w:rsidRDefault="008155AC">
            <w:pPr>
              <w:pBdr>
                <w:top w:val="nil"/>
                <w:left w:val="nil"/>
                <w:bottom w:val="nil"/>
                <w:right w:val="nil"/>
                <w:between w:val="nil"/>
              </w:pBdr>
              <w:ind w:right="-95"/>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Información Solicitada </w:t>
            </w:r>
          </w:p>
        </w:tc>
        <w:tc>
          <w:tcPr>
            <w:tcW w:w="3167" w:type="dxa"/>
            <w:shd w:val="clear" w:color="auto" w:fill="D9D9D9"/>
          </w:tcPr>
          <w:p w:rsidR="00FB18EB" w:rsidRDefault="008155AC">
            <w:pPr>
              <w:pBdr>
                <w:top w:val="nil"/>
                <w:left w:val="nil"/>
                <w:bottom w:val="nil"/>
                <w:right w:val="nil"/>
                <w:between w:val="nil"/>
              </w:pBdr>
              <w:ind w:right="-95"/>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Respuesta </w:t>
            </w:r>
          </w:p>
        </w:tc>
        <w:tc>
          <w:tcPr>
            <w:tcW w:w="2758" w:type="dxa"/>
            <w:gridSpan w:val="3"/>
            <w:shd w:val="clear" w:color="auto" w:fill="D9D9D9"/>
          </w:tcPr>
          <w:p w:rsidR="00FB18EB" w:rsidRDefault="008155AC">
            <w:pPr>
              <w:pBdr>
                <w:top w:val="nil"/>
                <w:left w:val="nil"/>
                <w:bottom w:val="nil"/>
                <w:right w:val="nil"/>
                <w:between w:val="nil"/>
              </w:pBdr>
              <w:ind w:right="-95"/>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Informe Justificado </w:t>
            </w:r>
          </w:p>
        </w:tc>
        <w:tc>
          <w:tcPr>
            <w:tcW w:w="1783" w:type="dxa"/>
            <w:shd w:val="clear" w:color="auto" w:fill="D9D9D9"/>
          </w:tcPr>
          <w:p w:rsidR="00FB18EB" w:rsidRDefault="008155AC">
            <w:pPr>
              <w:pBdr>
                <w:top w:val="nil"/>
                <w:left w:val="nil"/>
                <w:bottom w:val="nil"/>
                <w:right w:val="nil"/>
                <w:between w:val="nil"/>
              </w:pBdr>
              <w:ind w:right="-95"/>
              <w:jc w:val="center"/>
              <w:rPr>
                <w:rFonts w:ascii="Palatino Linotype" w:eastAsia="Palatino Linotype" w:hAnsi="Palatino Linotype" w:cs="Palatino Linotype"/>
                <w:b/>
                <w:bCs/>
              </w:rPr>
            </w:pPr>
            <w:r>
              <w:rPr>
                <w:rFonts w:ascii="Palatino Linotype" w:eastAsia="Palatino Linotype" w:hAnsi="Palatino Linotype" w:cs="Palatino Linotype"/>
                <w:b/>
                <w:bCs/>
              </w:rPr>
              <w:t>Comentario</w:t>
            </w:r>
          </w:p>
        </w:tc>
      </w:tr>
      <w:tr w:rsidR="00FB18EB">
        <w:tc>
          <w:tcPr>
            <w:tcW w:w="2055" w:type="dxa"/>
            <w:shd w:val="clear" w:color="auto" w:fill="auto"/>
          </w:tcPr>
          <w:p w:rsidR="00FB18EB" w:rsidRDefault="008155AC">
            <w:pPr>
              <w:numPr>
                <w:ilvl w:val="0"/>
                <w:numId w:val="8"/>
              </w:numPr>
              <w:pBdr>
                <w:top w:val="nil"/>
                <w:left w:val="nil"/>
                <w:bottom w:val="nil"/>
                <w:right w:val="nil"/>
                <w:between w:val="nil"/>
              </w:pBdr>
              <w:ind w:left="29" w:right="-169" w:hanging="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Organigrama General</w:t>
            </w:r>
          </w:p>
          <w:p w:rsidR="00FB18EB" w:rsidRDefault="00FB18EB">
            <w:pPr>
              <w:pBdr>
                <w:top w:val="nil"/>
                <w:left w:val="nil"/>
                <w:bottom w:val="nil"/>
                <w:right w:val="nil"/>
                <w:between w:val="nil"/>
              </w:pBdr>
              <w:ind w:left="29" w:right="-169" w:hanging="29"/>
              <w:jc w:val="both"/>
              <w:rPr>
                <w:rFonts w:ascii="Palatino Linotype" w:eastAsia="Palatino Linotype" w:hAnsi="Palatino Linotype" w:cs="Palatino Linotype"/>
                <w:b/>
                <w:bCs/>
              </w:rPr>
            </w:pPr>
          </w:p>
        </w:tc>
        <w:tc>
          <w:tcPr>
            <w:tcW w:w="3167" w:type="dxa"/>
            <w:shd w:val="clear" w:color="auto" w:fill="auto"/>
          </w:tcPr>
          <w:p w:rsidR="00FB18EB" w:rsidRDefault="008155AC">
            <w:pPr>
              <w:pBdr>
                <w:top w:val="nil"/>
                <w:left w:val="nil"/>
                <w:bottom w:val="nil"/>
                <w:right w:val="nil"/>
                <w:between w:val="nil"/>
              </w:pBdr>
              <w:ind w:right="-26"/>
              <w:jc w:val="both"/>
              <w:rPr>
                <w:rFonts w:ascii="Palatino Linotype" w:eastAsia="Palatino Linotype" w:hAnsi="Palatino Linotype" w:cs="Palatino Linotype"/>
              </w:rPr>
            </w:pPr>
            <w:r>
              <w:rPr>
                <w:rFonts w:ascii="Palatino Linotype" w:eastAsia="Palatino Linotype" w:hAnsi="Palatino Linotype" w:cs="Palatino Linotype"/>
              </w:rPr>
              <w:t xml:space="preserve">El servidor Público habilitado remitió el Organigrama General de ODAPAS, del que se </w:t>
            </w:r>
            <w:r>
              <w:rPr>
                <w:rFonts w:ascii="Palatino Linotype" w:eastAsia="Palatino Linotype" w:hAnsi="Palatino Linotype" w:cs="Palatino Linotype"/>
              </w:rPr>
              <w:lastRenderedPageBreak/>
              <w:t>advierte el nombre del servidor público; así como el nombre de la Unidad Administrativa</w:t>
            </w:r>
          </w:p>
        </w:tc>
        <w:tc>
          <w:tcPr>
            <w:tcW w:w="2758" w:type="dxa"/>
            <w:gridSpan w:val="3"/>
            <w:shd w:val="clear" w:color="auto" w:fill="auto"/>
          </w:tcPr>
          <w:p w:rsidR="00FB18EB" w:rsidRDefault="008155AC">
            <w:pPr>
              <w:pBdr>
                <w:top w:val="nil"/>
                <w:left w:val="nil"/>
                <w:bottom w:val="nil"/>
                <w:right w:val="nil"/>
                <w:between w:val="nil"/>
              </w:pBdr>
              <w:ind w:right="-31"/>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No remite informe justificado</w:t>
            </w:r>
          </w:p>
        </w:tc>
        <w:tc>
          <w:tcPr>
            <w:tcW w:w="1783" w:type="dxa"/>
            <w:shd w:val="clear" w:color="auto" w:fill="auto"/>
          </w:tcPr>
          <w:p w:rsidR="00FB18EB" w:rsidRDefault="008155AC">
            <w:pPr>
              <w:pBdr>
                <w:top w:val="nil"/>
                <w:left w:val="nil"/>
                <w:bottom w:val="nil"/>
                <w:right w:val="nil"/>
                <w:between w:val="nil"/>
              </w:pBdr>
              <w:ind w:right="-876"/>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FB18EB">
        <w:tc>
          <w:tcPr>
            <w:tcW w:w="2055" w:type="dxa"/>
            <w:shd w:val="clear" w:color="auto" w:fill="auto"/>
          </w:tcPr>
          <w:p w:rsidR="00FB18EB" w:rsidRDefault="008155AC">
            <w:pPr>
              <w:numPr>
                <w:ilvl w:val="0"/>
                <w:numId w:val="8"/>
              </w:numPr>
              <w:pBdr>
                <w:top w:val="nil"/>
                <w:left w:val="nil"/>
                <w:bottom w:val="nil"/>
                <w:right w:val="nil"/>
                <w:between w:val="nil"/>
              </w:pBdr>
              <w:ind w:left="29" w:right="-169" w:hanging="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Organigrama de la Dirección de Finanzas</w:t>
            </w:r>
          </w:p>
          <w:p w:rsidR="00FB18EB" w:rsidRDefault="00FB18EB">
            <w:pPr>
              <w:pBdr>
                <w:top w:val="nil"/>
                <w:left w:val="nil"/>
                <w:bottom w:val="nil"/>
                <w:right w:val="nil"/>
                <w:between w:val="nil"/>
              </w:pBdr>
              <w:ind w:left="29" w:right="-169" w:hanging="29"/>
              <w:jc w:val="both"/>
              <w:rPr>
                <w:rFonts w:ascii="Palatino Linotype" w:eastAsia="Palatino Linotype" w:hAnsi="Palatino Linotype" w:cs="Palatino Linotype"/>
                <w:b/>
                <w:bCs/>
              </w:rPr>
            </w:pPr>
          </w:p>
        </w:tc>
        <w:tc>
          <w:tcPr>
            <w:tcW w:w="3167" w:type="dxa"/>
            <w:shd w:val="clear" w:color="auto" w:fill="auto"/>
          </w:tcPr>
          <w:p w:rsidR="00FB18EB" w:rsidRDefault="008155AC">
            <w:pPr>
              <w:pBdr>
                <w:top w:val="nil"/>
                <w:left w:val="nil"/>
                <w:bottom w:val="nil"/>
                <w:right w:val="nil"/>
                <w:between w:val="nil"/>
              </w:pBdr>
              <w:ind w:right="-26"/>
              <w:jc w:val="both"/>
              <w:rPr>
                <w:rFonts w:ascii="Palatino Linotype" w:eastAsia="Palatino Linotype" w:hAnsi="Palatino Linotype" w:cs="Palatino Linotype"/>
              </w:rPr>
            </w:pPr>
            <w:r>
              <w:rPr>
                <w:rFonts w:ascii="Palatino Linotype" w:eastAsia="Palatino Linotype" w:hAnsi="Palatino Linotype" w:cs="Palatino Linotype"/>
              </w:rPr>
              <w:t>El servidor público habilitado remitió organigrama de la Dirección de Finanzas, empero no contiene el nombre del servidor público; no obstante del Organigrama General se advierten los nombres de los titulares de las Subdirecciones y Dirección de Finanzas</w:t>
            </w:r>
          </w:p>
          <w:p w:rsidR="00FB18EB" w:rsidRDefault="008155AC">
            <w:pPr>
              <w:pBdr>
                <w:top w:val="nil"/>
                <w:left w:val="nil"/>
                <w:bottom w:val="nil"/>
                <w:right w:val="nil"/>
                <w:between w:val="nil"/>
              </w:pBdr>
              <w:ind w:right="-26"/>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1496522" cy="172554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6406" b="4478"/>
                          <a:stretch>
                            <a:fillRect/>
                          </a:stretch>
                        </pic:blipFill>
                        <pic:spPr>
                          <a:xfrm>
                            <a:off x="0" y="0"/>
                            <a:ext cx="1496522" cy="1725545"/>
                          </a:xfrm>
                          <a:prstGeom prst="rect">
                            <a:avLst/>
                          </a:prstGeom>
                          <a:ln/>
                        </pic:spPr>
                      </pic:pic>
                    </a:graphicData>
                  </a:graphic>
                </wp:inline>
              </w:drawing>
            </w:r>
          </w:p>
        </w:tc>
        <w:tc>
          <w:tcPr>
            <w:tcW w:w="2758" w:type="dxa"/>
            <w:gridSpan w:val="3"/>
            <w:shd w:val="clear" w:color="auto" w:fill="auto"/>
          </w:tcPr>
          <w:p w:rsidR="00FB18EB" w:rsidRDefault="008155AC">
            <w:pPr>
              <w:pBdr>
                <w:top w:val="nil"/>
                <w:left w:val="nil"/>
                <w:bottom w:val="nil"/>
                <w:right w:val="nil"/>
                <w:between w:val="nil"/>
              </w:pBdr>
              <w:ind w:right="-31"/>
              <w:jc w:val="both"/>
              <w:rPr>
                <w:rFonts w:ascii="Palatino Linotype" w:eastAsia="Palatino Linotype" w:hAnsi="Palatino Linotype" w:cs="Palatino Linotype"/>
                <w:b/>
                <w:bCs/>
              </w:rPr>
            </w:pPr>
            <w:r>
              <w:rPr>
                <w:rFonts w:ascii="Palatino Linotype" w:eastAsia="Palatino Linotype" w:hAnsi="Palatino Linotype" w:cs="Palatino Linotype"/>
                <w:b/>
                <w:bCs/>
              </w:rPr>
              <w:t>No remite informe justificado</w:t>
            </w:r>
          </w:p>
        </w:tc>
        <w:tc>
          <w:tcPr>
            <w:tcW w:w="1783" w:type="dxa"/>
            <w:shd w:val="clear" w:color="auto" w:fill="auto"/>
          </w:tcPr>
          <w:p w:rsidR="00FB18EB" w:rsidRDefault="008155AC">
            <w:pPr>
              <w:pBdr>
                <w:top w:val="nil"/>
                <w:left w:val="nil"/>
                <w:bottom w:val="nil"/>
                <w:right w:val="nil"/>
                <w:between w:val="nil"/>
              </w:pBdr>
              <w:ind w:right="-876"/>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FB18EB">
        <w:tc>
          <w:tcPr>
            <w:tcW w:w="2055" w:type="dxa"/>
            <w:shd w:val="clear" w:color="auto" w:fill="auto"/>
          </w:tcPr>
          <w:p w:rsidR="00FB18EB" w:rsidRDefault="008155AC">
            <w:pPr>
              <w:numPr>
                <w:ilvl w:val="0"/>
                <w:numId w:val="8"/>
              </w:numPr>
              <w:pBdr>
                <w:top w:val="nil"/>
                <w:left w:val="nil"/>
                <w:bottom w:val="nil"/>
                <w:right w:val="nil"/>
                <w:between w:val="nil"/>
              </w:pBdr>
              <w:ind w:left="29" w:right="-169" w:hanging="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Currículum Laboral, Administrativo y en su caso Político</w:t>
            </w:r>
          </w:p>
          <w:p w:rsidR="00FB18EB" w:rsidRDefault="00FB18EB">
            <w:pPr>
              <w:pBdr>
                <w:top w:val="nil"/>
                <w:left w:val="nil"/>
                <w:bottom w:val="nil"/>
                <w:right w:val="nil"/>
                <w:between w:val="nil"/>
              </w:pBdr>
              <w:ind w:left="29" w:right="-169" w:hanging="29"/>
              <w:jc w:val="both"/>
              <w:rPr>
                <w:rFonts w:ascii="Palatino Linotype" w:eastAsia="Palatino Linotype" w:hAnsi="Palatino Linotype" w:cs="Palatino Linotype"/>
                <w:b/>
                <w:bCs/>
              </w:rPr>
            </w:pPr>
          </w:p>
        </w:tc>
        <w:tc>
          <w:tcPr>
            <w:tcW w:w="3167" w:type="dxa"/>
            <w:shd w:val="clear" w:color="auto" w:fill="auto"/>
          </w:tcPr>
          <w:p w:rsidR="00FB18EB" w:rsidRDefault="008155AC">
            <w:pPr>
              <w:pBdr>
                <w:top w:val="nil"/>
                <w:left w:val="nil"/>
                <w:bottom w:val="nil"/>
                <w:right w:val="nil"/>
                <w:between w:val="nil"/>
              </w:pBdr>
              <w:ind w:right="-26"/>
              <w:jc w:val="both"/>
              <w:rPr>
                <w:rFonts w:ascii="Palatino Linotype" w:eastAsia="Palatino Linotype" w:hAnsi="Palatino Linotype" w:cs="Palatino Linotype"/>
              </w:rPr>
            </w:pPr>
            <w:r>
              <w:rPr>
                <w:rFonts w:ascii="Palatino Linotype" w:eastAsia="Palatino Linotype" w:hAnsi="Palatino Linotype" w:cs="Palatino Linotype"/>
              </w:rPr>
              <w:t xml:space="preserve">El servidor habilitado, remitió la ficha curricular de cuatro servidores públicos adscritos a la Dirección de Finanzas, que de acuerdo al Organigrama remitido corresponde a los titulares de las Unidades Administrativas de la Dirección de Finanzas </w:t>
            </w:r>
          </w:p>
        </w:tc>
        <w:tc>
          <w:tcPr>
            <w:tcW w:w="2758" w:type="dxa"/>
            <w:gridSpan w:val="3"/>
            <w:shd w:val="clear" w:color="auto" w:fill="auto"/>
          </w:tcPr>
          <w:p w:rsidR="00FB18EB" w:rsidRDefault="008155AC">
            <w:pPr>
              <w:pBdr>
                <w:top w:val="nil"/>
                <w:left w:val="nil"/>
                <w:bottom w:val="nil"/>
                <w:right w:val="nil"/>
                <w:between w:val="nil"/>
              </w:pBdr>
              <w:ind w:right="-31"/>
              <w:jc w:val="both"/>
              <w:rPr>
                <w:rFonts w:ascii="Palatino Linotype" w:eastAsia="Palatino Linotype" w:hAnsi="Palatino Linotype" w:cs="Palatino Linotype"/>
                <w:b/>
                <w:bCs/>
              </w:rPr>
            </w:pPr>
            <w:r>
              <w:rPr>
                <w:rFonts w:ascii="Palatino Linotype" w:eastAsia="Palatino Linotype" w:hAnsi="Palatino Linotype" w:cs="Palatino Linotype"/>
                <w:b/>
                <w:bCs/>
              </w:rPr>
              <w:t>No remite informe justificado</w:t>
            </w:r>
          </w:p>
        </w:tc>
        <w:tc>
          <w:tcPr>
            <w:tcW w:w="1783" w:type="dxa"/>
            <w:shd w:val="clear" w:color="auto" w:fill="auto"/>
          </w:tcPr>
          <w:p w:rsidR="00FB18EB" w:rsidRDefault="008155AC">
            <w:pPr>
              <w:pBdr>
                <w:top w:val="nil"/>
                <w:left w:val="nil"/>
                <w:bottom w:val="nil"/>
                <w:right w:val="nil"/>
                <w:between w:val="nil"/>
              </w:pBdr>
              <w:ind w:right="-14"/>
              <w:jc w:val="both"/>
              <w:rPr>
                <w:rFonts w:ascii="Palatino Linotype" w:eastAsia="Palatino Linotype" w:hAnsi="Palatino Linotype" w:cs="Palatino Linotype"/>
              </w:rPr>
            </w:pPr>
            <w:r>
              <w:rPr>
                <w:rFonts w:ascii="Palatino Linotype" w:eastAsia="Palatino Linotype" w:hAnsi="Palatino Linotype" w:cs="Palatino Linotype"/>
                <w:b/>
                <w:bCs/>
              </w:rPr>
              <w:t xml:space="preserve">Colma Parcialmente, </w:t>
            </w:r>
            <w:r>
              <w:rPr>
                <w:rFonts w:ascii="Palatino Linotype" w:eastAsia="Palatino Linotype" w:hAnsi="Palatino Linotype" w:cs="Palatino Linotype"/>
              </w:rPr>
              <w:t xml:space="preserve">toda vez que sólo remite ficha curricular de los titulares de las Unidades Administrativas que </w:t>
            </w:r>
            <w:r>
              <w:rPr>
                <w:rFonts w:ascii="Palatino Linotype" w:eastAsia="Palatino Linotype" w:hAnsi="Palatino Linotype" w:cs="Palatino Linotype"/>
              </w:rPr>
              <w:lastRenderedPageBreak/>
              <w:t>conforman la Dirección de Finanzas y no así de todo el personal, como fue solicitado por el particular</w:t>
            </w:r>
          </w:p>
        </w:tc>
      </w:tr>
      <w:tr w:rsidR="00FB18EB">
        <w:tc>
          <w:tcPr>
            <w:tcW w:w="2055" w:type="dxa"/>
            <w:shd w:val="clear" w:color="auto" w:fill="auto"/>
          </w:tcPr>
          <w:p w:rsidR="00FB18EB" w:rsidRDefault="008155AC">
            <w:pPr>
              <w:numPr>
                <w:ilvl w:val="0"/>
                <w:numId w:val="8"/>
              </w:numPr>
              <w:pBdr>
                <w:top w:val="nil"/>
                <w:left w:val="nil"/>
                <w:bottom w:val="nil"/>
                <w:right w:val="nil"/>
                <w:between w:val="nil"/>
              </w:pBdr>
              <w:ind w:left="29" w:right="-169" w:hanging="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Cédula Profesional</w:t>
            </w:r>
          </w:p>
          <w:p w:rsidR="00FB18EB" w:rsidRDefault="00FB18EB">
            <w:pPr>
              <w:pBdr>
                <w:top w:val="nil"/>
                <w:left w:val="nil"/>
                <w:bottom w:val="nil"/>
                <w:right w:val="nil"/>
                <w:between w:val="nil"/>
              </w:pBdr>
              <w:ind w:left="29" w:right="-169" w:hanging="29"/>
              <w:jc w:val="both"/>
              <w:rPr>
                <w:rFonts w:ascii="Palatino Linotype" w:eastAsia="Palatino Linotype" w:hAnsi="Palatino Linotype" w:cs="Palatino Linotype"/>
                <w:b/>
                <w:bCs/>
              </w:rPr>
            </w:pPr>
          </w:p>
        </w:tc>
        <w:tc>
          <w:tcPr>
            <w:tcW w:w="7708" w:type="dxa"/>
            <w:gridSpan w:val="5"/>
            <w:shd w:val="clear" w:color="auto" w:fill="auto"/>
          </w:tcPr>
          <w:p w:rsidR="00FB18EB" w:rsidRDefault="008155AC">
            <w:pPr>
              <w:pBdr>
                <w:top w:val="nil"/>
                <w:left w:val="nil"/>
                <w:bottom w:val="nil"/>
                <w:right w:val="nil"/>
                <w:between w:val="nil"/>
              </w:pBdr>
              <w:ind w:right="-876"/>
              <w:jc w:val="center"/>
              <w:rPr>
                <w:rFonts w:ascii="Palatino Linotype" w:eastAsia="Palatino Linotype" w:hAnsi="Palatino Linotype" w:cs="Palatino Linotype"/>
              </w:rPr>
            </w:pPr>
            <w:r>
              <w:rPr>
                <w:rFonts w:ascii="Palatino Linotype" w:eastAsia="Palatino Linotype" w:hAnsi="Palatino Linotype" w:cs="Palatino Linotype"/>
              </w:rPr>
              <w:t>El SUJETO OBLIGADO, no se pronunció</w:t>
            </w:r>
          </w:p>
        </w:tc>
      </w:tr>
      <w:tr w:rsidR="008155AC" w:rsidTr="008155AC">
        <w:trPr>
          <w:trHeight w:val="70"/>
        </w:trPr>
        <w:tc>
          <w:tcPr>
            <w:tcW w:w="2055" w:type="dxa"/>
            <w:shd w:val="clear" w:color="auto" w:fill="auto"/>
          </w:tcPr>
          <w:p w:rsidR="008155AC" w:rsidRDefault="008155AC">
            <w:pPr>
              <w:numPr>
                <w:ilvl w:val="0"/>
                <w:numId w:val="8"/>
              </w:numPr>
              <w:pBdr>
                <w:top w:val="nil"/>
                <w:left w:val="nil"/>
                <w:bottom w:val="nil"/>
                <w:right w:val="nil"/>
                <w:between w:val="nil"/>
              </w:pBdr>
              <w:ind w:left="29" w:right="-169" w:hanging="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w:t>
            </w:r>
          </w:p>
          <w:p w:rsidR="008155AC" w:rsidRDefault="008155AC">
            <w:pPr>
              <w:pBdr>
                <w:top w:val="nil"/>
                <w:left w:val="nil"/>
                <w:bottom w:val="nil"/>
                <w:right w:val="nil"/>
                <w:between w:val="nil"/>
              </w:pBdr>
              <w:spacing w:line="360" w:lineRule="auto"/>
              <w:ind w:left="29" w:right="-169" w:hanging="29"/>
              <w:jc w:val="both"/>
              <w:rPr>
                <w:rFonts w:ascii="Palatino Linotype" w:eastAsia="Palatino Linotype" w:hAnsi="Palatino Linotype" w:cs="Palatino Linotype"/>
                <w:b/>
                <w:bCs/>
                <w:color w:val="000000"/>
              </w:rPr>
            </w:pPr>
          </w:p>
        </w:tc>
        <w:tc>
          <w:tcPr>
            <w:tcW w:w="3185" w:type="dxa"/>
            <w:gridSpan w:val="2"/>
            <w:shd w:val="clear" w:color="auto" w:fill="auto"/>
          </w:tcPr>
          <w:p w:rsidR="008155AC" w:rsidRDefault="008155AC" w:rsidP="008155AC">
            <w:pPr>
              <w:pBdr>
                <w:top w:val="nil"/>
                <w:left w:val="nil"/>
                <w:bottom w:val="nil"/>
                <w:right w:val="nil"/>
                <w:between w:val="nil"/>
              </w:pBdr>
              <w:ind w:right="-876"/>
              <w:jc w:val="both"/>
              <w:rPr>
                <w:rFonts w:ascii="Palatino Linotype" w:eastAsia="Palatino Linotype" w:hAnsi="Palatino Linotype" w:cs="Palatino Linotype"/>
                <w:b/>
                <w:bCs/>
              </w:rPr>
            </w:pPr>
            <w:r>
              <w:rPr>
                <w:rFonts w:ascii="Palatino Linotype" w:eastAsia="Palatino Linotype" w:hAnsi="Palatino Linotype" w:cs="Palatino Linotype"/>
                <w:b/>
                <w:bCs/>
              </w:rPr>
              <w:t>No se pronuncia el Sujeto Obligado</w:t>
            </w:r>
          </w:p>
        </w:tc>
        <w:tc>
          <w:tcPr>
            <w:tcW w:w="2693" w:type="dxa"/>
            <w:shd w:val="clear" w:color="auto" w:fill="auto"/>
          </w:tcPr>
          <w:p w:rsidR="008155AC" w:rsidRDefault="008155AC" w:rsidP="008155AC">
            <w:pPr>
              <w:pBdr>
                <w:top w:val="nil"/>
                <w:left w:val="nil"/>
                <w:bottom w:val="nil"/>
                <w:right w:val="nil"/>
                <w:between w:val="nil"/>
              </w:pBdr>
              <w:ind w:right="26"/>
              <w:jc w:val="both"/>
              <w:rPr>
                <w:rFonts w:ascii="Palatino Linotype" w:eastAsia="Palatino Linotype" w:hAnsi="Palatino Linotype" w:cs="Palatino Linotype"/>
                <w:b/>
                <w:bCs/>
              </w:rPr>
            </w:pPr>
            <w:r>
              <w:rPr>
                <w:rFonts w:ascii="Palatino Linotype" w:eastAsia="Palatino Linotype" w:hAnsi="Palatino Linotype" w:cs="Palatino Linotype"/>
                <w:b/>
                <w:bCs/>
              </w:rPr>
              <w:t>No remite informe justificado</w:t>
            </w:r>
          </w:p>
        </w:tc>
        <w:tc>
          <w:tcPr>
            <w:tcW w:w="1830" w:type="dxa"/>
            <w:gridSpan w:val="2"/>
            <w:shd w:val="clear" w:color="auto" w:fill="auto"/>
          </w:tcPr>
          <w:p w:rsidR="008155AC" w:rsidRPr="008155AC" w:rsidRDefault="008155AC" w:rsidP="008155AC">
            <w:pPr>
              <w:pBdr>
                <w:top w:val="nil"/>
                <w:left w:val="nil"/>
                <w:bottom w:val="nil"/>
                <w:right w:val="nil"/>
                <w:between w:val="nil"/>
              </w:pBdr>
              <w:jc w:val="both"/>
              <w:rPr>
                <w:rFonts w:ascii="Palatino Linotype" w:eastAsia="Palatino Linotype" w:hAnsi="Palatino Linotype" w:cs="Palatino Linotype"/>
                <w:bCs/>
              </w:rPr>
            </w:pPr>
            <w:r>
              <w:rPr>
                <w:rFonts w:ascii="Palatino Linotype" w:eastAsia="Palatino Linotype" w:hAnsi="Palatino Linotype" w:cs="Palatino Linotype"/>
                <w:bCs/>
              </w:rPr>
              <w:t>Actos Consentidos, toda vez que no fueron motivos de inconformidad</w:t>
            </w:r>
          </w:p>
        </w:tc>
      </w:tr>
    </w:tbl>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8155AC" w:rsidRPr="00ED6AC3" w:rsidRDefault="008155AC" w:rsidP="008155AC">
      <w:pPr>
        <w:numPr>
          <w:ilvl w:val="0"/>
          <w:numId w:val="3"/>
        </w:numPr>
        <w:pBdr>
          <w:top w:val="nil"/>
          <w:left w:val="nil"/>
          <w:bottom w:val="nil"/>
          <w:right w:val="nil"/>
          <w:between w:val="nil"/>
        </w:pBdr>
        <w:spacing w:line="360" w:lineRule="auto"/>
        <w:ind w:left="0" w:right="-876" w:firstLine="0"/>
        <w:jc w:val="both"/>
        <w:rPr>
          <w:rStyle w:val="normaltextrun"/>
        </w:rPr>
      </w:pPr>
      <w:r w:rsidRPr="00ED6AC3">
        <w:rPr>
          <w:rFonts w:ascii="Palatino Linotype" w:eastAsia="Palatino Linotype" w:hAnsi="Palatino Linotype" w:cs="Palatino Linotype"/>
          <w:color w:val="000000"/>
        </w:rPr>
        <w:t xml:space="preserve">De lo expuesto en el cuadro descriptivo, se advierte que se atendieron los puntos marcados con los números 1 y 2, toda vez que el </w:t>
      </w:r>
      <w:r w:rsidRPr="00ED6AC3">
        <w:rPr>
          <w:rFonts w:ascii="Palatino Linotype" w:eastAsia="Palatino Linotype" w:hAnsi="Palatino Linotype" w:cs="Palatino Linotype"/>
          <w:b/>
          <w:bCs/>
          <w:color w:val="000000"/>
        </w:rPr>
        <w:t>SUJETO OBLIGADO</w:t>
      </w:r>
      <w:r w:rsidRPr="00ED6AC3">
        <w:rPr>
          <w:rFonts w:ascii="Palatino Linotype" w:eastAsia="Palatino Linotype" w:hAnsi="Palatino Linotype" w:cs="Palatino Linotype"/>
          <w:color w:val="000000"/>
        </w:rPr>
        <w:t xml:space="preserve">, remitió el Organigrama de la Dirección de Finanzas; así como del Organismo en general, del que se advierte la Unidad Administrativa; así como el nombre del servidor público que ocupa el cargo, por tanto, se precisa que el presente estudio </w:t>
      </w:r>
      <w:r w:rsidRPr="00ED6AC3">
        <w:rPr>
          <w:rFonts w:ascii="Palatino Linotype" w:eastAsia="Palatino Linotype" w:hAnsi="Palatino Linotype" w:cs="Palatino Linotype"/>
        </w:rPr>
        <w:t>versará</w:t>
      </w:r>
      <w:r w:rsidRPr="00ED6AC3">
        <w:rPr>
          <w:rFonts w:ascii="Palatino Linotype" w:eastAsia="Palatino Linotype" w:hAnsi="Palatino Linotype" w:cs="Palatino Linotype"/>
          <w:color w:val="000000"/>
        </w:rPr>
        <w:t xml:space="preserve"> únicamente respecto a los numerales 3, 4 y 5 del cuadro descriptivo, toda vez que el particular no se inconformo con lo relacionado al nombramiento, e</w:t>
      </w:r>
      <w:r w:rsidRPr="00ED6AC3">
        <w:rPr>
          <w:rStyle w:val="normaltextrun"/>
          <w:rFonts w:ascii="Palatino Linotype" w:eastAsiaTheme="majorEastAsia" w:hAnsi="Palatino Linotype"/>
          <w:color w:val="000000"/>
          <w:shd w:val="clear" w:color="auto" w:fill="FFFFFF"/>
        </w:rPr>
        <w:t xml:space="preserve">n este sentido, resulta necesario señalar que, el </w:t>
      </w:r>
      <w:r w:rsidRPr="00ED6AC3">
        <w:rPr>
          <w:rStyle w:val="normaltextrun"/>
          <w:rFonts w:ascii="Palatino Linotype" w:eastAsiaTheme="majorEastAsia" w:hAnsi="Palatino Linotype"/>
          <w:b/>
          <w:bCs/>
          <w:color w:val="000000"/>
          <w:shd w:val="clear" w:color="auto" w:fill="FFFFFF"/>
        </w:rPr>
        <w:t xml:space="preserve">RECURRENTE </w:t>
      </w:r>
      <w:r w:rsidRPr="00ED6AC3">
        <w:rPr>
          <w:rStyle w:val="normaltextrun"/>
          <w:rFonts w:ascii="Palatino Linotype" w:eastAsiaTheme="majorEastAsia" w:hAnsi="Palatino Linotype"/>
          <w:color w:val="000000"/>
          <w:shd w:val="clear" w:color="auto" w:fill="FFFFFF"/>
        </w:rPr>
        <w:t xml:space="preserve">no se inconformó por la totalidad de la respuesta. </w:t>
      </w:r>
    </w:p>
    <w:p w:rsidR="008155AC" w:rsidRPr="00ED6AC3" w:rsidRDefault="008155AC" w:rsidP="008155AC">
      <w:pPr>
        <w:pBdr>
          <w:top w:val="nil"/>
          <w:left w:val="nil"/>
          <w:bottom w:val="nil"/>
          <w:right w:val="nil"/>
          <w:between w:val="nil"/>
        </w:pBdr>
        <w:spacing w:line="360" w:lineRule="auto"/>
        <w:ind w:right="-876"/>
        <w:jc w:val="both"/>
        <w:rPr>
          <w:rStyle w:val="normaltextrun"/>
        </w:rPr>
      </w:pPr>
    </w:p>
    <w:p w:rsidR="008155AC" w:rsidRPr="00ED6AC3" w:rsidRDefault="008155AC" w:rsidP="008155AC">
      <w:pPr>
        <w:numPr>
          <w:ilvl w:val="0"/>
          <w:numId w:val="3"/>
        </w:numPr>
        <w:pBdr>
          <w:top w:val="nil"/>
          <w:left w:val="nil"/>
          <w:bottom w:val="nil"/>
          <w:right w:val="nil"/>
          <w:between w:val="nil"/>
        </w:pBdr>
        <w:spacing w:line="360" w:lineRule="auto"/>
        <w:ind w:left="0" w:right="-876" w:firstLine="0"/>
        <w:jc w:val="both"/>
        <w:rPr>
          <w:rStyle w:val="normaltextrun"/>
        </w:rPr>
      </w:pPr>
      <w:r w:rsidRPr="00ED6AC3">
        <w:rPr>
          <w:rStyle w:val="normaltextrun"/>
          <w:rFonts w:ascii="Palatino Linotype" w:eastAsiaTheme="majorEastAsia" w:hAnsi="Palatino Linotype"/>
          <w:color w:val="000000"/>
          <w:shd w:val="clear" w:color="auto" w:fill="FFFFFF"/>
        </w:rPr>
        <w:t xml:space="preserve">Bajo ese tenor, se tiene que la parte de la respuesta que no fue impugnada debe declararse como consentida, toda vez que, al no haber realizado manifestaciones de </w:t>
      </w:r>
      <w:r w:rsidRPr="00ED6AC3">
        <w:rPr>
          <w:rStyle w:val="normaltextrun"/>
          <w:rFonts w:ascii="Palatino Linotype" w:eastAsiaTheme="majorEastAsia" w:hAnsi="Palatino Linotype"/>
          <w:color w:val="000000"/>
          <w:shd w:val="clear" w:color="auto" w:fill="FFFFFF"/>
        </w:rPr>
        <w:lastRenderedPageBreak/>
        <w:t xml:space="preserve">inconformidad al respecto, se infiere que la información proporcionada por el </w:t>
      </w:r>
      <w:r w:rsidRPr="00ED6AC3">
        <w:rPr>
          <w:rStyle w:val="normaltextrun"/>
          <w:rFonts w:ascii="Palatino Linotype" w:eastAsiaTheme="majorEastAsia" w:hAnsi="Palatino Linotype"/>
          <w:b/>
          <w:bCs/>
          <w:color w:val="000000"/>
          <w:shd w:val="clear" w:color="auto" w:fill="FFFFFF"/>
        </w:rPr>
        <w:t>SUJETO OBLIGADO</w:t>
      </w:r>
      <w:r w:rsidRPr="00ED6AC3">
        <w:rPr>
          <w:rStyle w:val="normaltextrun"/>
          <w:rFonts w:ascii="Palatino Linotype" w:eastAsiaTheme="majorEastAsia" w:hAnsi="Palatino Linotype"/>
          <w:color w:val="000000"/>
          <w:shd w:val="clear" w:color="auto" w:fill="FFFFFF"/>
        </w:rPr>
        <w:t xml:space="preserve"> satisface este punto de la solicitud presentada.</w:t>
      </w:r>
    </w:p>
    <w:p w:rsidR="008155AC" w:rsidRPr="00ED6AC3" w:rsidRDefault="008155AC" w:rsidP="008155AC">
      <w:pPr>
        <w:pStyle w:val="Prrafodelista"/>
        <w:rPr>
          <w:rStyle w:val="normaltextrun"/>
          <w:rFonts w:ascii="Palatino Linotype" w:eastAsiaTheme="majorEastAsia" w:hAnsi="Palatino Linotype"/>
          <w:color w:val="000000"/>
          <w:shd w:val="clear" w:color="auto" w:fill="FFFFFF"/>
        </w:rPr>
      </w:pPr>
    </w:p>
    <w:p w:rsidR="008155AC" w:rsidRPr="00ED6AC3" w:rsidRDefault="008155AC" w:rsidP="008155AC">
      <w:pPr>
        <w:numPr>
          <w:ilvl w:val="0"/>
          <w:numId w:val="3"/>
        </w:numPr>
        <w:pBdr>
          <w:top w:val="nil"/>
          <w:left w:val="nil"/>
          <w:bottom w:val="nil"/>
          <w:right w:val="nil"/>
          <w:between w:val="nil"/>
        </w:pBdr>
        <w:spacing w:line="360" w:lineRule="auto"/>
        <w:ind w:left="0" w:right="-876" w:firstLine="0"/>
        <w:jc w:val="both"/>
        <w:rPr>
          <w:rStyle w:val="eop"/>
        </w:rPr>
      </w:pPr>
      <w:r w:rsidRPr="00ED6AC3">
        <w:rPr>
          <w:rStyle w:val="normaltextrun"/>
          <w:rFonts w:ascii="Palatino Linotype" w:eastAsiaTheme="majorEastAsia" w:hAnsi="Palatino Linotype"/>
          <w:color w:val="000000"/>
          <w:shd w:val="clear" w:color="auto" w:fill="FFFFFF"/>
          <w:lang w:val="es-ES"/>
        </w:rPr>
        <w:t xml:space="preserve">Lo </w:t>
      </w:r>
      <w:r w:rsidRPr="00ED6AC3">
        <w:rPr>
          <w:rStyle w:val="normaltextrun"/>
          <w:rFonts w:ascii="Palatino Linotype" w:eastAsiaTheme="majorEastAsia" w:hAnsi="Palatino Linotype"/>
          <w:color w:val="000000"/>
          <w:shd w:val="clear" w:color="auto" w:fill="FFFFFF"/>
        </w:rPr>
        <w:t xml:space="preserve">anterior es así, debido a que cuando un Recurrente impugna la respuesta del </w:t>
      </w:r>
      <w:r w:rsidRPr="00ED6AC3">
        <w:rPr>
          <w:rStyle w:val="normaltextrun"/>
          <w:rFonts w:ascii="Palatino Linotype" w:eastAsiaTheme="majorEastAsia" w:hAnsi="Palatino Linotype"/>
          <w:b/>
          <w:bCs/>
          <w:color w:val="000000"/>
          <w:shd w:val="clear" w:color="auto" w:fill="FFFFFF"/>
        </w:rPr>
        <w:t>SUJETO OBLIGADO</w:t>
      </w:r>
      <w:r w:rsidRPr="00ED6AC3">
        <w:rPr>
          <w:rStyle w:val="normaltextrun"/>
          <w:rFonts w:ascii="Palatino Linotype" w:eastAsiaTheme="majorEastAsia" w:hAnsi="Palatino Linotype"/>
          <w:color w:val="000000"/>
          <w:shd w:val="clear" w:color="auto" w:fill="FFFFFF"/>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r w:rsidRPr="00ED6AC3">
        <w:rPr>
          <w:rStyle w:val="eop"/>
          <w:rFonts w:ascii="Palatino Linotype" w:hAnsi="Palatino Linotype"/>
          <w:color w:val="000000"/>
          <w:sz w:val="22"/>
          <w:szCs w:val="22"/>
          <w:shd w:val="clear" w:color="auto" w:fill="FFFFFF"/>
        </w:rPr>
        <w:t> </w:t>
      </w:r>
    </w:p>
    <w:p w:rsidR="008155AC" w:rsidRPr="00ED6AC3" w:rsidRDefault="008155AC" w:rsidP="008155AC">
      <w:pPr>
        <w:pStyle w:val="Prrafodelista"/>
        <w:ind w:left="567" w:right="-312"/>
        <w:jc w:val="both"/>
        <w:rPr>
          <w:rStyle w:val="eop"/>
          <w:rFonts w:ascii="Palatino Linotype" w:hAnsi="Palatino Linotype"/>
          <w:color w:val="000000"/>
          <w:shd w:val="clear" w:color="auto" w:fill="FFFFFF"/>
        </w:rPr>
      </w:pPr>
      <w:r w:rsidRPr="00ED6AC3">
        <w:rPr>
          <w:rStyle w:val="normaltextrun"/>
          <w:rFonts w:ascii="Palatino Linotype" w:eastAsiaTheme="majorEastAsia" w:hAnsi="Palatino Linotype"/>
          <w:b/>
          <w:bCs/>
          <w:i/>
          <w:iCs/>
          <w:color w:val="000000"/>
          <w:shd w:val="clear" w:color="auto" w:fill="FFFFFF"/>
        </w:rPr>
        <w:t xml:space="preserve">“REVISIÓN EN AMPARO. LOS RESOLUTIVOS NO COMBATIDOS DEBEN DECLARARSE FIRMES. </w:t>
      </w:r>
      <w:r w:rsidRPr="00ED6AC3">
        <w:rPr>
          <w:rStyle w:val="normaltextrun"/>
          <w:rFonts w:ascii="Palatino Linotype" w:eastAsiaTheme="majorEastAsia" w:hAnsi="Palatino Linotype"/>
          <w:i/>
          <w:iCs/>
          <w:color w:val="000000"/>
          <w:shd w:val="clear" w:color="auto" w:fill="FFFFFF"/>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r w:rsidRPr="00ED6AC3">
        <w:rPr>
          <w:rStyle w:val="eop"/>
          <w:rFonts w:ascii="Palatino Linotype" w:hAnsi="Palatino Linotype"/>
          <w:color w:val="000000"/>
          <w:shd w:val="clear" w:color="auto" w:fill="FFFFFF"/>
        </w:rPr>
        <w:t> </w:t>
      </w:r>
    </w:p>
    <w:p w:rsidR="008155AC" w:rsidRPr="00ED6AC3" w:rsidRDefault="008155AC" w:rsidP="008155AC">
      <w:pPr>
        <w:pStyle w:val="Prrafodelista"/>
        <w:rPr>
          <w:rFonts w:ascii="Palatino Linotype" w:eastAsia="Palatino Linotype" w:hAnsi="Palatino Linotype" w:cs="Palatino Linotype"/>
        </w:rPr>
      </w:pPr>
    </w:p>
    <w:p w:rsidR="008155AC" w:rsidRPr="00ED6AC3" w:rsidRDefault="008155AC" w:rsidP="008155AC">
      <w:pPr>
        <w:numPr>
          <w:ilvl w:val="0"/>
          <w:numId w:val="3"/>
        </w:numPr>
        <w:pBdr>
          <w:top w:val="nil"/>
          <w:left w:val="nil"/>
          <w:bottom w:val="nil"/>
          <w:right w:val="nil"/>
          <w:between w:val="nil"/>
        </w:pBdr>
        <w:tabs>
          <w:tab w:val="left" w:pos="0"/>
          <w:tab w:val="left" w:pos="567"/>
        </w:tabs>
        <w:spacing w:line="360" w:lineRule="auto"/>
        <w:ind w:left="0" w:right="-879" w:firstLine="0"/>
        <w:jc w:val="both"/>
        <w:rPr>
          <w:rStyle w:val="eop"/>
          <w:rFonts w:ascii="Palatino Linotype" w:eastAsia="Palatino Linotype" w:hAnsi="Palatino Linotype" w:cs="Palatino Linotype"/>
        </w:rPr>
      </w:pPr>
      <w:r w:rsidRPr="00ED6AC3">
        <w:rPr>
          <w:rFonts w:ascii="Palatino Linotype" w:eastAsia="Palatino Linotype" w:hAnsi="Palatino Linotype" w:cs="Palatino Linotype"/>
        </w:rPr>
        <w:t xml:space="preserve"> </w:t>
      </w:r>
      <w:r w:rsidRPr="00ED6AC3">
        <w:rPr>
          <w:rStyle w:val="normaltextrun"/>
          <w:rFonts w:ascii="Palatino Linotype" w:eastAsiaTheme="majorEastAsia" w:hAnsi="Palatino Linotype"/>
          <w:color w:val="000000"/>
          <w:shd w:val="clear" w:color="auto" w:fill="FFFFFF"/>
          <w:lang w:val="es-ES"/>
        </w:rPr>
        <w:t xml:space="preserve">Consecuentemente, </w:t>
      </w:r>
      <w:r w:rsidRPr="00ED6AC3">
        <w:rPr>
          <w:rStyle w:val="normaltextrun"/>
          <w:rFonts w:ascii="Palatino Linotype" w:eastAsiaTheme="majorEastAsia" w:hAnsi="Palatino Linotype"/>
          <w:color w:val="000000"/>
          <w:shd w:val="clear" w:color="auto" w:fill="FFFFFF"/>
        </w:rPr>
        <w:t xml:space="preserve">se reitera que la parte de la solicitud que no fue impugnada debe declararse consentida por el </w:t>
      </w:r>
      <w:r w:rsidRPr="00ED6AC3">
        <w:rPr>
          <w:rStyle w:val="normaltextrun"/>
          <w:rFonts w:ascii="Palatino Linotype" w:eastAsiaTheme="majorEastAsia" w:hAnsi="Palatino Linotype"/>
          <w:b/>
          <w:bCs/>
          <w:color w:val="000000"/>
          <w:shd w:val="clear" w:color="auto" w:fill="FFFFFF"/>
        </w:rPr>
        <w:t>RECURRENTE</w:t>
      </w:r>
      <w:r w:rsidRPr="00ED6AC3">
        <w:rPr>
          <w:rStyle w:val="normaltextrun"/>
          <w:rFonts w:ascii="Palatino Linotype" w:eastAsiaTheme="majorEastAsia" w:hAnsi="Palatino Linotype"/>
          <w:color w:val="000000"/>
          <w:shd w:val="clear" w:color="auto" w:fill="FFFFFF"/>
        </w:rPr>
        <w:t>, debido a que no se realizaron manifestaciones de inconformidad, por lo que no pueden producirse efectos jurídicos tendentes a revocar, confirmar o modificar el acto reclamado ya que se infiere un consentimiento del Recurrente</w:t>
      </w:r>
      <w:r w:rsidRPr="00ED6AC3">
        <w:rPr>
          <w:rStyle w:val="normaltextrun"/>
          <w:rFonts w:ascii="Palatino Linotype" w:eastAsiaTheme="majorEastAsia" w:hAnsi="Palatino Linotype"/>
          <w:b/>
          <w:bCs/>
          <w:color w:val="000000"/>
          <w:shd w:val="clear" w:color="auto" w:fill="FFFFFF"/>
        </w:rPr>
        <w:t xml:space="preserve"> </w:t>
      </w:r>
      <w:r w:rsidRPr="00ED6AC3">
        <w:rPr>
          <w:rStyle w:val="normaltextrun"/>
          <w:rFonts w:ascii="Palatino Linotype" w:eastAsiaTheme="majorEastAsia" w:hAnsi="Palatino Linotype"/>
          <w:color w:val="000000"/>
          <w:shd w:val="clear" w:color="auto" w:fill="FFFFFF"/>
        </w:rPr>
        <w:t>ante la falta de impugnación eficaz.</w:t>
      </w:r>
    </w:p>
    <w:p w:rsidR="008155AC" w:rsidRPr="00ED6AC3" w:rsidRDefault="008155AC" w:rsidP="008155AC">
      <w:pPr>
        <w:pBdr>
          <w:top w:val="nil"/>
          <w:left w:val="nil"/>
          <w:bottom w:val="nil"/>
          <w:right w:val="nil"/>
          <w:between w:val="nil"/>
        </w:pBdr>
        <w:tabs>
          <w:tab w:val="left" w:pos="0"/>
          <w:tab w:val="left" w:pos="567"/>
        </w:tabs>
        <w:spacing w:line="360" w:lineRule="auto"/>
        <w:ind w:right="-879"/>
        <w:jc w:val="both"/>
        <w:rPr>
          <w:rStyle w:val="eop"/>
          <w:rFonts w:ascii="Palatino Linotype" w:eastAsia="Palatino Linotype" w:hAnsi="Palatino Linotype" w:cs="Palatino Linotype"/>
        </w:rPr>
      </w:pPr>
    </w:p>
    <w:p w:rsidR="008155AC" w:rsidRPr="00ED6AC3" w:rsidRDefault="008155AC" w:rsidP="008155AC">
      <w:pPr>
        <w:numPr>
          <w:ilvl w:val="0"/>
          <w:numId w:val="3"/>
        </w:numPr>
        <w:pBdr>
          <w:top w:val="nil"/>
          <w:left w:val="nil"/>
          <w:bottom w:val="nil"/>
          <w:right w:val="nil"/>
          <w:between w:val="nil"/>
        </w:pBdr>
        <w:tabs>
          <w:tab w:val="left" w:pos="0"/>
          <w:tab w:val="left" w:pos="567"/>
        </w:tabs>
        <w:spacing w:line="360" w:lineRule="auto"/>
        <w:ind w:left="0" w:right="-879" w:firstLine="0"/>
        <w:jc w:val="both"/>
        <w:rPr>
          <w:rStyle w:val="eop"/>
          <w:rFonts w:ascii="Palatino Linotype" w:eastAsia="Palatino Linotype" w:hAnsi="Palatino Linotype" w:cs="Palatino Linotype"/>
        </w:rPr>
      </w:pPr>
      <w:r w:rsidRPr="00ED6AC3">
        <w:rPr>
          <w:rStyle w:val="normaltextrun"/>
          <w:rFonts w:ascii="Palatino Linotype" w:eastAsiaTheme="majorEastAsia" w:hAnsi="Palatino Linotype"/>
          <w:color w:val="000000"/>
          <w:sz w:val="22"/>
          <w:szCs w:val="22"/>
          <w:shd w:val="clear" w:color="auto" w:fill="FFFFFF"/>
          <w:lang w:val="es-ES"/>
        </w:rPr>
        <w:lastRenderedPageBreak/>
        <w:t xml:space="preserve">Sirve </w:t>
      </w:r>
      <w:r w:rsidRPr="00ED6AC3">
        <w:rPr>
          <w:rStyle w:val="normaltextrun"/>
          <w:rFonts w:ascii="Palatino Linotype" w:eastAsiaTheme="majorEastAsia" w:hAnsi="Palatino Linotype"/>
          <w:color w:val="000000"/>
          <w:sz w:val="22"/>
          <w:szCs w:val="22"/>
          <w:shd w:val="clear" w:color="auto" w:fill="FFFFFF"/>
        </w:rPr>
        <w:t>de sustento a lo anterior por analogía la tesis jurisprudencial número VI.3o.C. J/60, publicada en el Semanario Judicial de la Federación y su Gaceta bajo el número de registro 176,608 que a la letra dice:</w:t>
      </w:r>
    </w:p>
    <w:p w:rsidR="008155AC" w:rsidRPr="00CD7009" w:rsidRDefault="008155AC" w:rsidP="008155AC">
      <w:pPr>
        <w:pStyle w:val="Prrafodelista"/>
        <w:ind w:left="567" w:right="-312"/>
        <w:jc w:val="both"/>
        <w:rPr>
          <w:rFonts w:ascii="Palatino Linotype" w:eastAsia="Palatino Linotype" w:hAnsi="Palatino Linotype" w:cs="Palatino Linotype"/>
          <w:szCs w:val="22"/>
        </w:rPr>
      </w:pPr>
      <w:r w:rsidRPr="00CD7009">
        <w:rPr>
          <w:rStyle w:val="normaltextrun"/>
          <w:rFonts w:ascii="Palatino Linotype" w:eastAsiaTheme="majorEastAsia" w:hAnsi="Palatino Linotype"/>
          <w:b/>
          <w:bCs/>
          <w:i/>
          <w:iCs/>
          <w:smallCaps/>
          <w:color w:val="000000"/>
          <w:szCs w:val="22"/>
          <w:shd w:val="clear" w:color="auto" w:fill="FFFFFF"/>
        </w:rPr>
        <w:t xml:space="preserve">ACTOS CONSENTIDOS. SON LOS QUE NO SE IMPUGNAN MEDIANTE EL RECURSO IDÓNEO. </w:t>
      </w:r>
      <w:r w:rsidRPr="00CD7009">
        <w:rPr>
          <w:rStyle w:val="normaltextrun"/>
          <w:rFonts w:ascii="Palatino Linotype" w:eastAsiaTheme="majorEastAsia" w:hAnsi="Palatino Linotype"/>
          <w:i/>
          <w:iCs/>
          <w:color w:val="000000"/>
          <w:szCs w:val="22"/>
          <w:shd w:val="clear" w:color="auto" w:fill="FFFFFF"/>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r w:rsidRPr="00CD7009">
        <w:rPr>
          <w:rStyle w:val="eop"/>
          <w:rFonts w:ascii="Palatino Linotype" w:hAnsi="Palatino Linotype"/>
          <w:color w:val="000000"/>
          <w:szCs w:val="22"/>
          <w:shd w:val="clear" w:color="auto" w:fill="FFFFFF"/>
        </w:rPr>
        <w:t> </w:t>
      </w:r>
    </w:p>
    <w:p w:rsidR="008155AC" w:rsidRPr="00ED6AC3" w:rsidRDefault="008155AC" w:rsidP="008155A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sz w:val="22"/>
          <w:szCs w:val="22"/>
        </w:rPr>
      </w:pPr>
    </w:p>
    <w:p w:rsidR="008155AC" w:rsidRPr="00ED6AC3" w:rsidRDefault="008155AC" w:rsidP="008155AC">
      <w:pPr>
        <w:pStyle w:val="Prrafodelista"/>
        <w:numPr>
          <w:ilvl w:val="0"/>
          <w:numId w:val="3"/>
        </w:numPr>
        <w:pBdr>
          <w:top w:val="nil"/>
          <w:left w:val="nil"/>
          <w:bottom w:val="nil"/>
          <w:right w:val="nil"/>
          <w:between w:val="nil"/>
        </w:pBdr>
        <w:tabs>
          <w:tab w:val="left" w:pos="0"/>
          <w:tab w:val="left" w:pos="567"/>
        </w:tabs>
        <w:spacing w:line="360" w:lineRule="auto"/>
        <w:ind w:left="0" w:right="-879" w:firstLine="0"/>
        <w:jc w:val="both"/>
        <w:rPr>
          <w:rStyle w:val="eop"/>
          <w:rFonts w:ascii="Palatino Linotype" w:eastAsia="Palatino Linotype" w:hAnsi="Palatino Linotype" w:cs="Palatino Linotype"/>
        </w:rPr>
      </w:pPr>
      <w:r w:rsidRPr="00ED6AC3">
        <w:rPr>
          <w:rStyle w:val="normaltextrun"/>
          <w:rFonts w:ascii="Palatino Linotype" w:eastAsiaTheme="majorEastAsia" w:hAnsi="Palatino Linotype"/>
          <w:color w:val="000000"/>
          <w:shd w:val="clear" w:color="auto" w:fill="FFFFFF"/>
        </w:rPr>
        <w:t>Para mayor abundamiento, también resulta aplicable el criterio 01/20 emitido por el Instituto Nacional de Transparencia, Acceso a la Información Pública y Protección de Datos Personales, que a la letra estipula lo siguiente:</w:t>
      </w:r>
      <w:r w:rsidRPr="00ED6AC3">
        <w:rPr>
          <w:rStyle w:val="eop"/>
          <w:rFonts w:ascii="Palatino Linotype" w:hAnsi="Palatino Linotype"/>
          <w:color w:val="000000"/>
          <w:shd w:val="clear" w:color="auto" w:fill="FFFFFF"/>
        </w:rPr>
        <w:t> </w:t>
      </w:r>
    </w:p>
    <w:p w:rsidR="008155AC" w:rsidRPr="00CD7009" w:rsidRDefault="008155AC" w:rsidP="008155AC">
      <w:pPr>
        <w:pBdr>
          <w:top w:val="nil"/>
          <w:left w:val="nil"/>
          <w:bottom w:val="nil"/>
          <w:right w:val="nil"/>
          <w:between w:val="nil"/>
        </w:pBdr>
        <w:tabs>
          <w:tab w:val="left" w:pos="142"/>
          <w:tab w:val="left" w:pos="426"/>
          <w:tab w:val="left" w:pos="567"/>
        </w:tabs>
        <w:ind w:left="567" w:right="-312"/>
        <w:jc w:val="both"/>
        <w:rPr>
          <w:rFonts w:ascii="Palatino Linotype" w:eastAsia="Palatino Linotype" w:hAnsi="Palatino Linotype" w:cs="Palatino Linotype"/>
          <w:szCs w:val="22"/>
        </w:rPr>
      </w:pPr>
      <w:r w:rsidRPr="00CD7009">
        <w:rPr>
          <w:rStyle w:val="normaltextrun"/>
          <w:rFonts w:ascii="Palatino Linotype" w:eastAsiaTheme="majorEastAsia" w:hAnsi="Palatino Linotype"/>
          <w:b/>
          <w:bCs/>
          <w:i/>
          <w:iCs/>
          <w:color w:val="000000"/>
          <w:szCs w:val="22"/>
          <w:shd w:val="clear" w:color="auto" w:fill="FFFFFF"/>
        </w:rPr>
        <w:t>Actos consentidos tácitamente. Improcedencia de su análisis.</w:t>
      </w:r>
      <w:r w:rsidRPr="00CD7009">
        <w:rPr>
          <w:rStyle w:val="normaltextrun"/>
          <w:rFonts w:ascii="Palatino Linotype" w:eastAsiaTheme="majorEastAsia" w:hAnsi="Palatino Linotype"/>
          <w:i/>
          <w:iCs/>
          <w:color w:val="000000"/>
          <w:szCs w:val="22"/>
          <w:shd w:val="clear" w:color="auto" w:fill="FFFFFF"/>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CD7009">
        <w:rPr>
          <w:rStyle w:val="eop"/>
          <w:rFonts w:ascii="Palatino Linotype" w:hAnsi="Palatino Linotype"/>
          <w:color w:val="000000"/>
          <w:szCs w:val="22"/>
          <w:shd w:val="clear" w:color="auto" w:fill="FFFFFF"/>
        </w:rPr>
        <w:t> </w:t>
      </w:r>
    </w:p>
    <w:p w:rsidR="008155AC" w:rsidRPr="00ED6AC3" w:rsidRDefault="008155AC" w:rsidP="008155A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sz w:val="22"/>
          <w:szCs w:val="22"/>
        </w:rPr>
      </w:pPr>
    </w:p>
    <w:p w:rsidR="008155AC" w:rsidRPr="00ED6AC3" w:rsidRDefault="008155AC" w:rsidP="008155AC">
      <w:pPr>
        <w:pStyle w:val="Prrafodelista"/>
        <w:numPr>
          <w:ilvl w:val="0"/>
          <w:numId w:val="3"/>
        </w:numPr>
        <w:spacing w:line="360" w:lineRule="auto"/>
        <w:ind w:left="0" w:right="-879" w:firstLine="0"/>
        <w:contextualSpacing/>
        <w:jc w:val="both"/>
        <w:rPr>
          <w:rStyle w:val="normaltextrun"/>
          <w:rFonts w:ascii="Palatino Linotype" w:hAnsi="Palatino Linotype" w:cs="Arial"/>
        </w:rPr>
      </w:pPr>
      <w:r w:rsidRPr="00ED6AC3">
        <w:rPr>
          <w:rStyle w:val="normaltextrun"/>
          <w:rFonts w:ascii="Palatino Linotype" w:eastAsiaTheme="majorEastAsia" w:hAnsi="Palatino Linotype"/>
          <w:color w:val="000000"/>
          <w:shd w:val="clear" w:color="auto" w:fill="FFFFFF"/>
        </w:rPr>
        <w:t xml:space="preserve">De lo referido, y a efecto de garantizar el efectivo ejercicio del derecho de acceso a la información pública que asiste al </w:t>
      </w:r>
      <w:r w:rsidRPr="00ED6AC3">
        <w:rPr>
          <w:rStyle w:val="normaltextrun"/>
          <w:rFonts w:ascii="Palatino Linotype" w:eastAsiaTheme="majorEastAsia" w:hAnsi="Palatino Linotype"/>
          <w:b/>
          <w:bCs/>
          <w:color w:val="000000"/>
          <w:shd w:val="clear" w:color="auto" w:fill="FFFFFF"/>
        </w:rPr>
        <w:t>RECURRENTE</w:t>
      </w:r>
      <w:r w:rsidRPr="00ED6AC3">
        <w:rPr>
          <w:rStyle w:val="normaltextrun"/>
          <w:rFonts w:ascii="Palatino Linotype" w:eastAsiaTheme="majorEastAsia" w:hAnsi="Palatino Linotype"/>
          <w:color w:val="000000"/>
          <w:shd w:val="clear" w:color="auto" w:fill="FFFFFF"/>
        </w:rPr>
        <w:t xml:space="preserve">, resulta conveniente precisar que el presente análisis versará únicamente sobre lo relativo a los </w:t>
      </w:r>
      <w:r w:rsidRPr="00ED6AC3">
        <w:rPr>
          <w:rStyle w:val="normaltextrun"/>
          <w:rFonts w:ascii="Palatino Linotype" w:eastAsiaTheme="majorEastAsia" w:hAnsi="Palatino Linotype"/>
          <w:b/>
          <w:color w:val="000000"/>
          <w:shd w:val="clear" w:color="auto" w:fill="FFFFFF"/>
        </w:rPr>
        <w:t>documentos que den cuenta de lo informado por el SUJETO OBLIGADO</w:t>
      </w:r>
      <w:r w:rsidRPr="00ED6AC3">
        <w:rPr>
          <w:rStyle w:val="normaltextrun"/>
          <w:rFonts w:ascii="Palatino Linotype" w:eastAsiaTheme="majorEastAsia" w:hAnsi="Palatino Linotype"/>
          <w:b/>
          <w:bCs/>
          <w:color w:val="000000"/>
          <w:shd w:val="clear" w:color="auto" w:fill="FFFFFF"/>
        </w:rPr>
        <w:t>.</w:t>
      </w:r>
    </w:p>
    <w:p w:rsidR="008155AC" w:rsidRDefault="008155AC">
      <w:pPr>
        <w:spacing w:line="360" w:lineRule="auto"/>
        <w:ind w:right="-876"/>
        <w:jc w:val="both"/>
        <w:rPr>
          <w:rFonts w:ascii="Palatino Linotype" w:eastAsia="Palatino Linotype" w:hAnsi="Palatino Linotype" w:cs="Palatino Linotype"/>
          <w:color w:val="000000"/>
        </w:rPr>
      </w:pPr>
    </w:p>
    <w:p w:rsidR="00FB18EB" w:rsidRDefault="008155AC">
      <w:pPr>
        <w:numPr>
          <w:ilvl w:val="0"/>
          <w:numId w:val="9"/>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Punto 3 del cuadro descriptivo</w:t>
      </w: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 xml:space="preserve">En continuidad, resulta necesario traer a estudio que el Portal de Información Pública de Oficio (IPOMEX), específicamente en el artículo 92 Estructura Organizacional, fracción VII, </w:t>
      </w:r>
      <w:r>
        <w:rPr>
          <w:rFonts w:ascii="Palatino Linotype" w:eastAsia="Palatino Linotype" w:hAnsi="Palatino Linotype" w:cs="Palatino Linotype"/>
          <w:color w:val="000000"/>
        </w:rPr>
        <w:lastRenderedPageBreak/>
        <w:t xml:space="preserve">El directorio de los Servidores </w:t>
      </w:r>
      <w:r>
        <w:rPr>
          <w:rFonts w:ascii="Palatino Linotype" w:eastAsia="Palatino Linotype" w:hAnsi="Palatino Linotype" w:cs="Palatino Linotype"/>
        </w:rPr>
        <w:t>Públicos</w:t>
      </w:r>
      <w:r>
        <w:rPr>
          <w:rFonts w:ascii="Palatino Linotype" w:eastAsia="Palatino Linotype" w:hAnsi="Palatino Linotype" w:cs="Palatino Linotype"/>
          <w:color w:val="000000"/>
        </w:rPr>
        <w:t>, advierte que la Dirección de Finanzas del Organismo Descentralizado de Agua Potable, Alcantarillado y Saneamiento de Valle de Chalco Solidaridad, para el cumplimiento de sus objetivos y atribuciones cuenta con 27 servidores públicos, tal como se advierte con la siguiente captura de pantalla:</w:t>
      </w:r>
    </w:p>
    <w:p w:rsidR="00FB18EB" w:rsidRDefault="008155AC">
      <w:pPr>
        <w:spacing w:line="360" w:lineRule="auto"/>
        <w:ind w:right="-876"/>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drawing>
          <wp:inline distT="0" distB="0" distL="0" distR="0">
            <wp:extent cx="5742940" cy="359537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42940" cy="3595370"/>
                    </a:xfrm>
                    <a:prstGeom prst="rect">
                      <a:avLst/>
                    </a:prstGeom>
                    <a:ln/>
                  </pic:spPr>
                </pic:pic>
              </a:graphicData>
            </a:graphic>
          </wp:inline>
        </w:drawing>
      </w:r>
    </w:p>
    <w:p w:rsidR="00FB18EB" w:rsidRDefault="00FB18EB">
      <w:pPr>
        <w:spacing w:line="360" w:lineRule="auto"/>
        <w:ind w:right="-876"/>
        <w:jc w:val="both"/>
        <w:rPr>
          <w:rFonts w:ascii="Palatino Linotype" w:eastAsia="Palatino Linotype" w:hAnsi="Palatino Linotype" w:cs="Palatino Linotype"/>
          <w:color w:val="000000"/>
        </w:rPr>
      </w:pPr>
    </w:p>
    <w:p w:rsidR="00FB18EB" w:rsidRDefault="00FB18EB">
      <w:pPr>
        <w:spacing w:line="360" w:lineRule="auto"/>
        <w:ind w:right="-876"/>
        <w:jc w:val="both"/>
        <w:rPr>
          <w:rFonts w:ascii="Palatino Linotype" w:eastAsia="Palatino Linotype" w:hAnsi="Palatino Linotype" w:cs="Palatino Linotype"/>
          <w:color w:val="000000"/>
        </w:rPr>
      </w:pPr>
    </w:p>
    <w:p w:rsidR="00FB18EB" w:rsidRPr="00CD7009"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 xml:space="preserve">Como ya se estableció en líneas anteriores, de acuerdo a la información que registra en el Portal de Información Pública de Oficio Mexiquense,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cuenta con 27 servidores públicos adscritos a esa Unidad Administrativa, no obstante, solo se limitó a remitir la Ficha Curricular de 5 servidores Públicos, por tanto se desprende que se omitió remitir la </w:t>
      </w:r>
      <w:r>
        <w:rPr>
          <w:rFonts w:ascii="Palatino Linotype" w:eastAsia="Palatino Linotype" w:hAnsi="Palatino Linotype" w:cs="Palatino Linotype"/>
          <w:color w:val="000000"/>
        </w:rPr>
        <w:lastRenderedPageBreak/>
        <w:t xml:space="preserve">ficha curricular de 22 servidores públicos, lo que advierte que no dio cumplimiento a la búsqueda exhaustiva, exigida por la ley de la materia. </w:t>
      </w:r>
    </w:p>
    <w:p w:rsidR="00CD7009" w:rsidRDefault="00CD7009" w:rsidP="00CD7009">
      <w:pPr>
        <w:spacing w:line="360" w:lineRule="auto"/>
        <w:ind w:right="-876"/>
        <w:jc w:val="both"/>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Pr>
          <w:rFonts w:ascii="Palatino Linotype" w:eastAsia="Palatino Linotype" w:hAnsi="Palatino Linotype" w:cs="Palatino Linotype"/>
          <w:color w:val="000000"/>
          <w:vertAlign w:val="superscript"/>
        </w:rPr>
        <w:footnoteReference w:id="5"/>
      </w:r>
      <w:r>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los términos de la Ley General y la Ley de Transparencia y Acceso a la Información Pública del Estado de México y Municipios</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FB18EB" w:rsidRDefault="008155AC">
      <w:pPr>
        <w:numPr>
          <w:ilvl w:val="1"/>
          <w:numId w:val="10"/>
        </w:numPr>
        <w:pBdr>
          <w:top w:val="nil"/>
          <w:left w:val="nil"/>
          <w:bottom w:val="nil"/>
          <w:right w:val="nil"/>
          <w:between w:val="nil"/>
        </w:pBdr>
        <w:ind w:left="709" w:right="-876"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Recibir, tramitar y dar respuesta a las solicitudes de acceso a la información;</w:t>
      </w:r>
    </w:p>
    <w:p w:rsidR="00FB18EB" w:rsidRDefault="008155AC">
      <w:pPr>
        <w:numPr>
          <w:ilvl w:val="1"/>
          <w:numId w:val="10"/>
        </w:numPr>
        <w:pBdr>
          <w:top w:val="nil"/>
          <w:left w:val="nil"/>
          <w:bottom w:val="nil"/>
          <w:right w:val="nil"/>
          <w:between w:val="nil"/>
        </w:pBdr>
        <w:ind w:left="709" w:right="-876"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FB18EB" w:rsidRDefault="008155AC">
      <w:pPr>
        <w:numPr>
          <w:ilvl w:val="1"/>
          <w:numId w:val="10"/>
        </w:numPr>
        <w:pBdr>
          <w:top w:val="nil"/>
          <w:left w:val="nil"/>
          <w:bottom w:val="nil"/>
          <w:right w:val="nil"/>
          <w:between w:val="nil"/>
        </w:pBdr>
        <w:ind w:left="709" w:right="-876"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Entregar, en su caso, a los particulares la información solicitada; y </w:t>
      </w:r>
    </w:p>
    <w:p w:rsidR="00FB18EB" w:rsidRDefault="008155AC">
      <w:pPr>
        <w:numPr>
          <w:ilvl w:val="1"/>
          <w:numId w:val="10"/>
        </w:numPr>
        <w:pBdr>
          <w:top w:val="nil"/>
          <w:left w:val="nil"/>
          <w:bottom w:val="nil"/>
          <w:right w:val="nil"/>
          <w:between w:val="nil"/>
        </w:pBdr>
        <w:spacing w:after="240"/>
        <w:ind w:left="709" w:right="-876"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Efectuar las notificaciones a los solicitantes.</w:t>
      </w:r>
    </w:p>
    <w:p w:rsidR="00FB18EB" w:rsidRDefault="00FB18EB">
      <w:pPr>
        <w:spacing w:before="240" w:after="240"/>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tabs>
          <w:tab w:val="left" w:pos="426"/>
          <w:tab w:val="left" w:pos="567"/>
        </w:tabs>
        <w:spacing w:line="360" w:lineRule="auto"/>
        <w:ind w:left="0" w:right="-876" w:firstLine="0"/>
        <w:jc w:val="both"/>
      </w:pPr>
      <w:r>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propuesta del responsable de la Unidad de Transparencia</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color w:val="000000"/>
        </w:rPr>
        <w:t xml:space="preserve"> y tendrán, entre sus atribuciones, las siguientes</w:t>
      </w:r>
      <w:r>
        <w:rPr>
          <w:rFonts w:ascii="Palatino Linotype" w:eastAsia="Palatino Linotype" w:hAnsi="Palatino Linotype" w:cs="Palatino Linotype"/>
          <w:color w:val="000000"/>
          <w:vertAlign w:val="superscript"/>
        </w:rPr>
        <w:footnoteReference w:id="8"/>
      </w:r>
      <w:r>
        <w:rPr>
          <w:rFonts w:ascii="Palatino Linotype" w:eastAsia="Palatino Linotype" w:hAnsi="Palatino Linotype" w:cs="Palatino Linotype"/>
          <w:color w:val="000000"/>
        </w:rPr>
        <w:t>:</w:t>
      </w:r>
    </w:p>
    <w:p w:rsidR="00FB18EB" w:rsidRDefault="008155AC">
      <w:pPr>
        <w:numPr>
          <w:ilvl w:val="1"/>
          <w:numId w:val="16"/>
        </w:numPr>
        <w:pBdr>
          <w:top w:val="nil"/>
          <w:left w:val="nil"/>
          <w:bottom w:val="nil"/>
          <w:right w:val="nil"/>
          <w:between w:val="nil"/>
        </w:pBdr>
        <w:spacing w:before="240"/>
        <w:ind w:left="709" w:right="-876"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Localizar la información que le solicite la Unidad de Transparencia; y</w:t>
      </w:r>
    </w:p>
    <w:p w:rsidR="00FB18EB" w:rsidRDefault="008155AC">
      <w:pPr>
        <w:numPr>
          <w:ilvl w:val="1"/>
          <w:numId w:val="16"/>
        </w:numPr>
        <w:pBdr>
          <w:top w:val="nil"/>
          <w:left w:val="nil"/>
          <w:bottom w:val="nil"/>
          <w:right w:val="nil"/>
          <w:between w:val="nil"/>
        </w:pBdr>
        <w:spacing w:after="240"/>
        <w:ind w:left="709" w:right="-876"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Proporcionar la información que obre en los archivos y que le sea solicitada por la Unidad de Transparencia.</w:t>
      </w:r>
    </w:p>
    <w:p w:rsidR="00FB18EB" w:rsidRDefault="00FB18EB">
      <w:pPr>
        <w:tabs>
          <w:tab w:val="left" w:pos="426"/>
          <w:tab w:val="left" w:pos="567"/>
        </w:tabs>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tabs>
          <w:tab w:val="left" w:pos="426"/>
          <w:tab w:val="left" w:pos="567"/>
        </w:tabs>
        <w:spacing w:line="360" w:lineRule="auto"/>
        <w:ind w:left="0" w:right="-876" w:firstLine="0"/>
        <w:jc w:val="both"/>
      </w:pPr>
      <w:r>
        <w:rPr>
          <w:rFonts w:ascii="Palatino Linotype" w:eastAsia="Palatino Linotype" w:hAnsi="Palatino Linotype" w:cs="Palatino Linotype"/>
          <w:color w:val="000000"/>
        </w:rPr>
        <w:t xml:space="preserve">De tal manera que cada una de las áreas administrativas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FB18EB" w:rsidRDefault="00FB18EB">
      <w:pPr>
        <w:ind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tabs>
          <w:tab w:val="left" w:pos="426"/>
          <w:tab w:val="left" w:pos="567"/>
        </w:tabs>
        <w:spacing w:line="360" w:lineRule="auto"/>
        <w:ind w:left="0" w:right="-876" w:firstLine="0"/>
        <w:jc w:val="both"/>
      </w:pPr>
      <w:r>
        <w:rPr>
          <w:rFonts w:ascii="Palatino Linotype" w:eastAsia="Palatino Linotype" w:hAnsi="Palatino Linotype" w:cs="Palatino Linotype"/>
          <w:color w:val="000000"/>
        </w:rPr>
        <w:lastRenderedPageBreak/>
        <w:t>Aunado a lo anterior, la Ley de Transparencia y Acceso a la Información Pública del Estado de México y Municipios, en su artículo 53, establece las funciones correspondientes a esta Unidad; mismas que se inserta a continuación:</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xml:space="preserve">. Las Unidades de Transparencia tendrán las siguientes funciones: </w:t>
      </w:r>
    </w:p>
    <w:p w:rsidR="00FB18EB" w:rsidRDefault="00FB18EB">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Recibir, tramitar y dar respuesta a las solicitudes de acceso a la información;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Entregar, en su caso, a los particulares la información solicitada;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Efectuar las notificaciones a los solicitantes;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Presentar ante el Comité, el proyecto de clasificación de información;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Promover e implementar políticas de transparencia proactiva procurando su accesibilidad;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Fomentar la transparencia y accesibilidad al interior del sujeto obligado; </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FB18EB" w:rsidRDefault="008155AC">
      <w:pPr>
        <w:pBdr>
          <w:top w:val="nil"/>
          <w:left w:val="nil"/>
          <w:bottom w:val="nil"/>
          <w:right w:val="nil"/>
          <w:between w:val="nil"/>
        </w:pBdr>
        <w:tabs>
          <w:tab w:val="left" w:pos="426"/>
        </w:tabs>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FB18EB" w:rsidRDefault="008155AC">
      <w:pPr>
        <w:pBdr>
          <w:top w:val="nil"/>
          <w:left w:val="nil"/>
          <w:bottom w:val="nil"/>
          <w:right w:val="nil"/>
          <w:between w:val="nil"/>
        </w:pBdr>
        <w:tabs>
          <w:tab w:val="left" w:pos="426"/>
        </w:tabs>
        <w:spacing w:after="240"/>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w:t>
      </w:r>
      <w:r>
        <w:rPr>
          <w:rFonts w:ascii="Palatino Linotype" w:eastAsia="Palatino Linotype" w:hAnsi="Palatino Linotype" w:cs="Palatino Linotype"/>
          <w:i/>
          <w:iCs/>
          <w:color w:val="000000"/>
        </w:rPr>
        <w:lastRenderedPageBreak/>
        <w:t xml:space="preserve">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FB18EB" w:rsidRDefault="00FB18EB">
      <w:pPr>
        <w:tabs>
          <w:tab w:val="left" w:pos="426"/>
        </w:tabs>
        <w:spacing w:before="240" w:after="240"/>
        <w:ind w:right="-876"/>
        <w:jc w:val="both"/>
        <w:rPr>
          <w:rFonts w:ascii="Palatino Linotype" w:eastAsia="Palatino Linotype" w:hAnsi="Palatino Linotype" w:cs="Palatino Linotype"/>
          <w:i/>
          <w:iCs/>
        </w:rPr>
      </w:pPr>
    </w:p>
    <w:p w:rsidR="00FB18EB" w:rsidRDefault="008155AC">
      <w:pPr>
        <w:numPr>
          <w:ilvl w:val="0"/>
          <w:numId w:val="3"/>
        </w:numPr>
        <w:pBdr>
          <w:top w:val="nil"/>
          <w:left w:val="nil"/>
          <w:bottom w:val="nil"/>
          <w:right w:val="nil"/>
          <w:between w:val="nil"/>
        </w:pBdr>
        <w:tabs>
          <w:tab w:val="left" w:pos="426"/>
          <w:tab w:val="left" w:pos="567"/>
        </w:tabs>
        <w:spacing w:line="360" w:lineRule="auto"/>
        <w:ind w:left="0" w:right="-876" w:firstLine="0"/>
        <w:jc w:val="both"/>
      </w:pPr>
      <w:bookmarkStart w:id="8" w:name="_heading=h.iqcos1dk4hfk" w:colFirst="0" w:colLast="0"/>
      <w:bookmarkEnd w:id="8"/>
      <w:r>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 por tanto de las constancias que obran en el expediente en que se actúa, no se advierte que haya dado cumplimiento a la búsqueda exhaustiva exigida por la ley de la materia, toda vez que no se pronunció respecto a la totalidad de la información solicita, ni mucho menos remitió el currículum de todo el personal adscrito a la Dirección de Finanzas, tal como lo solicitó el particular.</w:t>
      </w:r>
    </w:p>
    <w:p w:rsidR="00FB18EB" w:rsidRDefault="00FB18EB">
      <w:pPr>
        <w:pBdr>
          <w:top w:val="nil"/>
          <w:left w:val="nil"/>
          <w:bottom w:val="nil"/>
          <w:right w:val="nil"/>
          <w:between w:val="nil"/>
        </w:pBdr>
        <w:tabs>
          <w:tab w:val="left" w:pos="426"/>
          <w:tab w:val="left" w:pos="567"/>
        </w:tabs>
        <w:spacing w:line="360" w:lineRule="auto"/>
        <w:ind w:right="-876"/>
        <w:jc w:val="both"/>
        <w:rPr>
          <w:rFonts w:ascii="Palatino Linotype" w:eastAsia="Palatino Linotype" w:hAnsi="Palatino Linotype" w:cs="Palatino Linotype"/>
        </w:rPr>
      </w:pPr>
    </w:p>
    <w:p w:rsidR="00FB18EB" w:rsidRDefault="008155AC">
      <w:pPr>
        <w:numPr>
          <w:ilvl w:val="0"/>
          <w:numId w:val="5"/>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Currículum </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Por lo que corresponde a lo relativo </w:t>
      </w:r>
      <w:r>
        <w:rPr>
          <w:rFonts w:ascii="Palatino Linotype" w:eastAsia="Palatino Linotype" w:hAnsi="Palatino Linotype" w:cs="Palatino Linotype"/>
        </w:rPr>
        <w:t>al Currículum</w:t>
      </w:r>
      <w:r>
        <w:rPr>
          <w:rFonts w:ascii="Palatino Linotype" w:eastAsia="Palatino Linotype" w:hAnsi="Palatino Linotype" w:cs="Palatino Linotype"/>
          <w:color w:val="000000"/>
        </w:rPr>
        <w:t xml:space="preserve">, es importante mencionar que la ficha curricular o currículum vitae contienen entre otra información, </w:t>
      </w:r>
      <w:r>
        <w:rPr>
          <w:rFonts w:ascii="Palatino Linotype" w:eastAsia="Palatino Linotype" w:hAnsi="Palatino Linotype" w:cs="Palatino Linotype"/>
          <w:b/>
          <w:bCs/>
          <w:color w:val="000000"/>
        </w:rPr>
        <w:t>la preparación académica, laboral y méritos con los que cuentan los servidores públicos</w:t>
      </w:r>
      <w:r>
        <w:rPr>
          <w:rFonts w:ascii="Palatino Linotype" w:eastAsia="Palatino Linotype" w:hAnsi="Palatino Linotype" w:cs="Palatino Linotype"/>
          <w:color w:val="000000"/>
        </w:rPr>
        <w:t xml:space="preserve"> para ocupar un cargo público. Se cita lo que dispone la Real Academia de la Lengua Española define como currículum vitae: </w:t>
      </w:r>
    </w:p>
    <w:p w:rsidR="00FB18EB" w:rsidRDefault="008155AC">
      <w:pPr>
        <w:tabs>
          <w:tab w:val="left" w:pos="426"/>
        </w:tabs>
        <w:spacing w:line="360" w:lineRule="auto"/>
        <w:ind w:left="567" w:right="-876"/>
        <w:jc w:val="both"/>
        <w:rPr>
          <w:rFonts w:ascii="Palatino Linotype" w:eastAsia="Palatino Linotype" w:hAnsi="Palatino Linotype" w:cs="Palatino Linotype"/>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currículum vítae</w:t>
      </w:r>
      <w:r>
        <w:rPr>
          <w:rFonts w:ascii="Palatino Linotype" w:eastAsia="Palatino Linotype" w:hAnsi="Palatino Linotype" w:cs="Palatino Linotype"/>
          <w:i/>
          <w:iCs/>
        </w:rPr>
        <w:t>. </w:t>
      </w:r>
      <w:r>
        <w:rPr>
          <w:rFonts w:ascii="Palatino Linotype" w:eastAsia="Palatino Linotype" w:hAnsi="Palatino Linotype" w:cs="Palatino Linotype"/>
          <w:b/>
          <w:bCs/>
          <w:i/>
          <w:iCs/>
        </w:rPr>
        <w:t>1.</w:t>
      </w:r>
      <w:r>
        <w:rPr>
          <w:rFonts w:ascii="Palatino Linotype" w:eastAsia="Palatino Linotype" w:hAnsi="Palatino Linotype" w:cs="Palatino Linotype"/>
          <w:i/>
          <w:iCs/>
        </w:rPr>
        <w:t xml:space="preserve"> Loc. lat. que significa literalmente ‘carrera de la vida’. Se usa como locución nominal masculina para designar la relación de los datos personales, </w:t>
      </w:r>
      <w:r>
        <w:rPr>
          <w:rFonts w:ascii="Palatino Linotype" w:eastAsia="Palatino Linotype" w:hAnsi="Palatino Linotype" w:cs="Palatino Linotype"/>
          <w:b/>
          <w:bCs/>
          <w:i/>
          <w:iCs/>
        </w:rPr>
        <w:t>formación académica</w:t>
      </w:r>
      <w:r>
        <w:rPr>
          <w:rFonts w:ascii="Palatino Linotype" w:eastAsia="Palatino Linotype" w:hAnsi="Palatino Linotype" w:cs="Palatino Linotype"/>
          <w:i/>
          <w:iCs/>
        </w:rPr>
        <w:t>, actividad laboral y méritos de una persona.</w:t>
      </w:r>
      <w:r>
        <w:rPr>
          <w:rFonts w:ascii="Palatino Linotype" w:eastAsia="Palatino Linotype" w:hAnsi="Palatino Linotype" w:cs="Palatino Linotype"/>
        </w:rPr>
        <w:t>”</w:t>
      </w:r>
    </w:p>
    <w:p w:rsidR="00FB18EB" w:rsidRDefault="00FB18EB">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tabs>
          <w:tab w:val="left" w:pos="567"/>
        </w:tabs>
        <w:spacing w:line="360" w:lineRule="auto"/>
        <w:ind w:left="0" w:right="-876" w:firstLine="0"/>
        <w:jc w:val="both"/>
      </w:pPr>
      <w:r>
        <w:rPr>
          <w:rFonts w:ascii="Palatino Linotype" w:eastAsia="Palatino Linotype" w:hAnsi="Palatino Linotype" w:cs="Palatino Linotype"/>
          <w:color w:val="000000"/>
        </w:rPr>
        <w:lastRenderedPageBreak/>
        <w:t>De la interpretación a esta definición se desprende que tanto la ficha curricular como el currículum vitae están relacionados con la hoja de vida, carrera de vida o currícula de una persona, donde se podría apreciar la preparación académica y laboral que tiene, además de los méritos como bien lo podrían ser cursos o certificaciones.</w:t>
      </w:r>
    </w:p>
    <w:p w:rsidR="00FB18EB" w:rsidRDefault="00FB18EB">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tabs>
          <w:tab w:val="left" w:pos="567"/>
        </w:tabs>
        <w:spacing w:line="360" w:lineRule="auto"/>
        <w:ind w:left="0" w:right="-876" w:firstLine="0"/>
        <w:jc w:val="both"/>
      </w:pPr>
      <w:r>
        <w:rPr>
          <w:rFonts w:ascii="Palatino Linotype" w:eastAsia="Palatino Linotype" w:hAnsi="Palatino Linotype" w:cs="Palatino Linotype"/>
          <w:color w:val="000000"/>
        </w:rPr>
        <w:t xml:space="preserve">Por ende, la ficha curricular o currículum vítae puede existir información más detallada y relacionada con la </w:t>
      </w:r>
      <w:r>
        <w:rPr>
          <w:rFonts w:ascii="Palatino Linotype" w:eastAsia="Palatino Linotype" w:hAnsi="Palatino Linotype" w:cs="Palatino Linotype"/>
          <w:b/>
          <w:bCs/>
          <w:color w:val="000000"/>
        </w:rPr>
        <w:t xml:space="preserve">trayectoria académica o profesional, </w:t>
      </w:r>
      <w:r>
        <w:rPr>
          <w:rFonts w:ascii="Palatino Linotype" w:eastAsia="Palatino Linotype" w:hAnsi="Palatino Linotype" w:cs="Palatino Linotype"/>
          <w:color w:val="000000"/>
        </w:rPr>
        <w:t xml:space="preserve">debiendo conservar los documentos soporte como puede ser </w:t>
      </w:r>
      <w:r>
        <w:rPr>
          <w:rFonts w:ascii="Palatino Linotype" w:eastAsia="Palatino Linotype" w:hAnsi="Palatino Linotype" w:cs="Palatino Linotype"/>
          <w:b/>
          <w:bCs/>
          <w:color w:val="000000"/>
        </w:rPr>
        <w:t>el título profesional o cédula profesional</w:t>
      </w:r>
      <w:r>
        <w:rPr>
          <w:rFonts w:ascii="Palatino Linotype" w:eastAsia="Palatino Linotype" w:hAnsi="Palatino Linotype" w:cs="Palatino Linotype"/>
          <w:color w:val="000000"/>
        </w:rPr>
        <w:t xml:space="preserve"> o el documento que avale el grado académico de los servidores públicos, los cuales son susceptibles de proporcionarse en versión pública.</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tabs>
          <w:tab w:val="left" w:pos="567"/>
        </w:tabs>
        <w:spacing w:line="360" w:lineRule="auto"/>
        <w:ind w:left="0" w:right="-876" w:firstLine="0"/>
        <w:jc w:val="both"/>
      </w:pPr>
      <w:r>
        <w:rPr>
          <w:rFonts w:ascii="Palatino Linotype" w:eastAsia="Palatino Linotype" w:hAnsi="Palatino Linotype" w:cs="Palatino Linotype"/>
          <w:color w:val="000000"/>
        </w:rPr>
        <w:t>Es así que, la información contenida en el currículum vitae permite conocer el perfil profesional del servidor público. Además, el currículum vitae o ficha curricular forman parte de las obligaciones d transparencia común que todos los Sujetos Obligados deben publicar periódicamente en sus portales IPOMEX, según lo dispuesto en el artículo 92, fracción XXI, de la Ley de Transparencia y Acceso a la Información del Estado de México y Municipios, disponen lo siguiente:</w:t>
      </w:r>
    </w:p>
    <w:p w:rsidR="00FB18EB" w:rsidRDefault="008155AC">
      <w:pPr>
        <w:ind w:left="567" w:right="-87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de Transparencia y Acceso a la Información Pública del Estado de México y Municipios</w:t>
      </w:r>
    </w:p>
    <w:p w:rsidR="00FB18EB" w:rsidRDefault="008155AC">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FB18EB" w:rsidRDefault="008155AC">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18EB" w:rsidRDefault="008155AC">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XXI.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La información curricular</w:t>
      </w:r>
      <w:r>
        <w:rPr>
          <w:rFonts w:ascii="Palatino Linotype" w:eastAsia="Palatino Linotype" w:hAnsi="Palatino Linotype" w:cs="Palatino Linotype"/>
          <w:i/>
          <w:iCs/>
        </w:rPr>
        <w:t>, desde el nivel de jefe de departamento o equivalente, hasta el titular del sujeto obligado, así como, en su caso, las sanciones administrativas de que haya sido objeto;</w:t>
      </w:r>
    </w:p>
    <w:p w:rsidR="00FB18EB" w:rsidRDefault="008155AC">
      <w:pPr>
        <w:spacing w:line="360" w:lineRule="auto"/>
        <w:ind w:left="851" w:right="-876"/>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FB18EB" w:rsidRDefault="00FB18EB">
      <w:pPr>
        <w:tabs>
          <w:tab w:val="left" w:pos="426"/>
        </w:tabs>
        <w:spacing w:line="360" w:lineRule="auto"/>
        <w:ind w:right="-876"/>
        <w:jc w:val="both"/>
        <w:rPr>
          <w:rFonts w:ascii="Palatino Linotype" w:eastAsia="Palatino Linotype" w:hAnsi="Palatino Linotype" w:cs="Palatino Linotype"/>
        </w:rPr>
      </w:pPr>
    </w:p>
    <w:p w:rsidR="00FB18EB" w:rsidRDefault="008155AC">
      <w:pPr>
        <w:numPr>
          <w:ilvl w:val="0"/>
          <w:numId w:val="3"/>
        </w:numPr>
        <w:tabs>
          <w:tab w:val="left" w:pos="426"/>
        </w:tabs>
        <w:spacing w:after="240" w:line="360" w:lineRule="auto"/>
        <w:ind w:left="0" w:right="-876" w:firstLine="0"/>
        <w:jc w:val="both"/>
      </w:pPr>
      <w:r>
        <w:rPr>
          <w:rFonts w:ascii="Palatino Linotype" w:eastAsia="Palatino Linotype" w:hAnsi="Palatino Linotype" w:cs="Palatino Linotype"/>
        </w:rPr>
        <w:t xml:space="preserve">De lo anterior se colige que, el Sujeto Obligado cuenta con fuente obligacional para generar, administrar y poseer la información requerida por el Particular, además, los </w:t>
      </w:r>
      <w:r>
        <w:rPr>
          <w:rFonts w:ascii="Palatino Linotype" w:eastAsia="Palatino Linotype" w:hAnsi="Palatino Linotype" w:cs="Palatino Linotype"/>
          <w:i/>
          <w:iC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rsidR="00FB18EB" w:rsidRDefault="008155AC">
      <w:pPr>
        <w:pBdr>
          <w:top w:val="nil"/>
          <w:left w:val="nil"/>
          <w:bottom w:val="nil"/>
          <w:right w:val="nil"/>
          <w:between w:val="nil"/>
        </w:pBdr>
        <w:spacing w:before="240"/>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XVII. La información curricular desde el nivel de jefe de departamento o equivalente    hasta el titular del sujeto obligado, así como, en su caso, las sanciones administrativas de que haya sido objeto  </w:t>
      </w:r>
    </w:p>
    <w:p w:rsidR="00FB18EB" w:rsidRDefault="00FB18EB">
      <w:pPr>
        <w:pBdr>
          <w:top w:val="nil"/>
          <w:left w:val="nil"/>
          <w:bottom w:val="nil"/>
          <w:right w:val="nil"/>
          <w:between w:val="nil"/>
        </w:pBdr>
        <w:ind w:left="567" w:right="-876"/>
        <w:jc w:val="both"/>
        <w:rPr>
          <w:rFonts w:ascii="Palatino Linotype" w:eastAsia="Palatino Linotype" w:hAnsi="Palatino Linotype" w:cs="Palatino Linotype"/>
          <w:i/>
          <w:iCs/>
          <w:color w:val="000000"/>
        </w:rPr>
      </w:pP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información que los sujetos obligados deberán publicar en cumplimiento a la presente fracción es la curricular no confidencial relacionada con todos los(as) servidores(as) públicos(as) y/o personas que desempeñen actualmente un empleo, cargo o comisión y/o ejerzan actos de autoridad en el sujeto obligado –desde nivel de jefe de departamento o equivalente y hasta el titular del sujeto obligado–, que permita conocer su trayectoria en el ámbito laboral y escolar. Por cada servidor(a) público(a) se deberá especificar si ha sido acreedor a sanciones administrativas definitivas y que hayan sido aplicadas por autoridad u organismo competente.</w:t>
      </w:r>
    </w:p>
    <w:p w:rsidR="00FB18EB" w:rsidRDefault="00FB18EB">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rPr>
      </w:pP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Criterios sustantivos de contenido </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1 Ejercicio </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2 Periodo que se informa (fecha de inicio y fecha de término con el formato día/mes/año) </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3 Denominación del puesto (de acuerdo con el catálogo que en su caso regule la actividad del sujeto obligado) </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4 Denominación del cargo (de conformidad con nombramiento otorgado) </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Criterio 5 Nombre del servidor(a) público(a), integrante y/o, miembro del sujeto obligado, y/o persona que desempeñe un empleo, cargo o comisión y/o ejerza actos de autoridad (nombre[s], primer apellido, segundo apellido) </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6 Área de adscripción (de acuerdo con el catálogo que en su caso regule la actividad del sujeto obligado) Respecto a la información curricular del (la) servidor(a) público(a) y/o persona que desempeñe un empleo, cargo o comisión en el sujeto obligado se deberá publicar: </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7 Escolaridad, nivel máximo de estudios concluido y comprobable (catálogo): Ninguno/Primaria/Secundaria/Bachillerato/Carrera técnica/Licenciatura/Maestría/Doctorado/Posdoctorado/Especialización </w:t>
      </w:r>
    </w:p>
    <w:p w:rsidR="00FB18EB" w:rsidRDefault="008155AC">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Criterio 8 Carrera genérica, en su caso</w:t>
      </w:r>
    </w:p>
    <w:p w:rsidR="00FB18EB" w:rsidRDefault="008155AC">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tabs>
          <w:tab w:val="left" w:pos="426"/>
          <w:tab w:val="left" w:pos="567"/>
        </w:tabs>
        <w:spacing w:line="360" w:lineRule="auto"/>
        <w:ind w:left="0" w:right="-876" w:firstLine="0"/>
        <w:jc w:val="both"/>
      </w:pPr>
      <w:r>
        <w:rPr>
          <w:rFonts w:ascii="Palatino Linotype" w:eastAsia="Palatino Linotype" w:hAnsi="Palatino Linotype" w:cs="Palatino Linotype"/>
        </w:rPr>
        <w:t xml:space="preserve">Al respecto, conviene señalar que si bien es cierto, existe fuente obligacional para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posea el Currículum laboral de su personal adscrito, también lo es que no existe fundamento legal poseer expedientes administrativos y políticos, como lo requiere el particular, por tanto no procede ordenar dicha información. </w:t>
      </w:r>
    </w:p>
    <w:p w:rsidR="00FB18EB" w:rsidRDefault="00FB18EB">
      <w:pPr>
        <w:pBdr>
          <w:top w:val="nil"/>
          <w:left w:val="nil"/>
          <w:bottom w:val="nil"/>
          <w:right w:val="nil"/>
          <w:between w:val="nil"/>
        </w:pBdr>
        <w:tabs>
          <w:tab w:val="left" w:pos="426"/>
          <w:tab w:val="left" w:pos="567"/>
        </w:tabs>
        <w:spacing w:line="360" w:lineRule="auto"/>
        <w:ind w:right="-876"/>
        <w:jc w:val="both"/>
        <w:rPr>
          <w:rFonts w:ascii="Palatino Linotype" w:eastAsia="Palatino Linotype" w:hAnsi="Palatino Linotype" w:cs="Palatino Linotype"/>
        </w:rPr>
      </w:pPr>
    </w:p>
    <w:p w:rsidR="00FB18EB" w:rsidRDefault="008155AC">
      <w:pPr>
        <w:numPr>
          <w:ilvl w:val="0"/>
          <w:numId w:val="5"/>
        </w:numPr>
        <w:pBdr>
          <w:top w:val="nil"/>
          <w:left w:val="nil"/>
          <w:bottom w:val="nil"/>
          <w:right w:val="nil"/>
          <w:between w:val="nil"/>
        </w:pBdr>
        <w:tabs>
          <w:tab w:val="left" w:pos="426"/>
          <w:tab w:val="left" w:pos="567"/>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Punto cuatro del cuadro descriptivo</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En continuidad es de señalar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omitió pronunciarse respecto a la cédula profesional del personal adscrito a la Dirección de Finanzas, situación que dio origen al presente recurso de revisión, al respecto se tiene que la cédula profesional,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 </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rPr>
        <w:lastRenderedPageBreak/>
        <w:t xml:space="preserve">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 </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En consecuencia, es viable analizar los datos que de manera enunciativa, más no limitativa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dejó a la vista del particular y que constituyen datos personales confidenciales que actualizan el supuesto normativo del artículo 143, fracción I de la Ley de Transparencia y Acceso a la Información Pública del Estado de México y Municipios.</w:t>
      </w:r>
    </w:p>
    <w:p w:rsidR="00FB18EB" w:rsidRDefault="00FB18EB">
      <w:pPr>
        <w:pBdr>
          <w:top w:val="nil"/>
          <w:left w:val="nil"/>
          <w:bottom w:val="nil"/>
          <w:right w:val="nil"/>
          <w:between w:val="nil"/>
        </w:pBdr>
        <w:tabs>
          <w:tab w:val="left" w:pos="426"/>
          <w:tab w:val="left" w:pos="567"/>
        </w:tabs>
        <w:spacing w:line="360" w:lineRule="auto"/>
        <w:ind w:right="-876"/>
        <w:jc w:val="both"/>
        <w:rPr>
          <w:rFonts w:ascii="Palatino Linotype" w:eastAsia="Palatino Linotype" w:hAnsi="Palatino Linotype" w:cs="Palatino Linotype"/>
        </w:rPr>
      </w:pPr>
    </w:p>
    <w:p w:rsidR="00FB18EB" w:rsidRDefault="008155AC">
      <w:pPr>
        <w:numPr>
          <w:ilvl w:val="0"/>
          <w:numId w:val="12"/>
        </w:numPr>
        <w:pBdr>
          <w:top w:val="nil"/>
          <w:left w:val="nil"/>
          <w:bottom w:val="nil"/>
          <w:right w:val="nil"/>
          <w:between w:val="nil"/>
        </w:pBdr>
        <w:spacing w:line="360" w:lineRule="auto"/>
        <w:ind w:right="-876"/>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 la Plus Petitio.</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Ahora bien, resulta necesario reiterar las razones o motivos de inconformidad vertidos en el recurso de revisión </w:t>
      </w:r>
      <w:r>
        <w:rPr>
          <w:rFonts w:ascii="Palatino Linotype" w:eastAsia="Palatino Linotype" w:hAnsi="Palatino Linotype" w:cs="Palatino Linotype"/>
          <w:b/>
          <w:bCs/>
          <w:color w:val="000000"/>
        </w:rPr>
        <w:t>03828/INFOEM/IP/RR/2026</w:t>
      </w:r>
      <w:r>
        <w:rPr>
          <w:rFonts w:ascii="Palatino Linotype" w:eastAsia="Palatino Linotype" w:hAnsi="Palatino Linotype" w:cs="Palatino Linotype"/>
          <w:color w:val="000000"/>
        </w:rPr>
        <w:t xml:space="preserve">, en los siguientes términos: </w:t>
      </w: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No emiten</w:t>
      </w:r>
      <w:r>
        <w:rPr>
          <w:rFonts w:ascii="Palatino Linotype" w:eastAsia="Palatino Linotype" w:hAnsi="Palatino Linotype" w:cs="Palatino Linotype"/>
          <w:i/>
          <w:iCs/>
          <w:color w:val="000000"/>
        </w:rPr>
        <w:t xml:space="preserve"> cedulas profesionales de la escolaridad que ellos mencionan en sus fichas curriculares, además se le solicito curricular laboral, administrativo y en su caso político, falta información y suben un organigrama de cuatro personas solamente con cargos no le ponen nombre de los que ocupan actualmente y mucho menos del demás personal que tiene la dirección de finanzas</w:t>
      </w:r>
      <w:r>
        <w:rPr>
          <w:rFonts w:ascii="Palatino Linotype" w:eastAsia="Palatino Linotype" w:hAnsi="Palatino Linotype" w:cs="Palatino Linotype"/>
          <w:b/>
          <w:bCs/>
          <w:i/>
          <w:iCs/>
          <w:color w:val="000000"/>
        </w:rPr>
        <w:t>, ni sus actividades.”</w:t>
      </w:r>
      <w:r>
        <w:rPr>
          <w:rFonts w:ascii="Palatino Linotype" w:eastAsia="Palatino Linotype" w:hAnsi="Palatino Linotype" w:cs="Palatino Linotype"/>
          <w:i/>
          <w:iCs/>
          <w:color w:val="000000"/>
        </w:rPr>
        <w:t xml:space="preserve"> (Sic)</w:t>
      </w:r>
    </w:p>
    <w:p w:rsidR="00FB18EB" w:rsidRDefault="00FB18EB">
      <w:pPr>
        <w:spacing w:line="360" w:lineRule="auto"/>
        <w:ind w:right="-876"/>
        <w:jc w:val="both"/>
        <w:rPr>
          <w:rFonts w:ascii="Palatino Linotype" w:eastAsia="Palatino Linotype" w:hAnsi="Palatino Linotype" w:cs="Palatino Linotype"/>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 xml:space="preserve">Conforme a lo anterior, </w:t>
      </w:r>
      <w:r>
        <w:rPr>
          <w:rFonts w:ascii="Palatino Linotype" w:eastAsia="Palatino Linotype" w:hAnsi="Palatino Linotype" w:cs="Palatino Linotype"/>
        </w:rPr>
        <w:t xml:space="preserve">el sistema de medios de impugnación se centra en el análisis de los agravios o motivos de inconformidad, los que deben tener relación directa con el acto de autoridad que lo motiva. </w:t>
      </w:r>
    </w:p>
    <w:p w:rsidR="00FB18EB" w:rsidRDefault="00FB18EB">
      <w:pPr>
        <w:spacing w:line="360" w:lineRule="auto"/>
        <w:ind w:right="-876"/>
        <w:jc w:val="both"/>
        <w:rPr>
          <w:rFonts w:ascii="Palatino Linotype" w:eastAsia="Palatino Linotype" w:hAnsi="Palatino Linotype" w:cs="Palatino Linotype"/>
        </w:rPr>
      </w:pPr>
    </w:p>
    <w:p w:rsidR="00FB18EB" w:rsidRDefault="008155AC">
      <w:pPr>
        <w:numPr>
          <w:ilvl w:val="0"/>
          <w:numId w:val="3"/>
        </w:numPr>
        <w:spacing w:line="360" w:lineRule="auto"/>
        <w:ind w:left="0" w:right="-876" w:firstLine="0"/>
        <w:jc w:val="both"/>
      </w:pPr>
      <w:bookmarkStart w:id="9" w:name="_heading=h.7hl2gbo4ivyu" w:colFirst="0" w:colLast="0"/>
      <w:bookmarkEnd w:id="9"/>
      <w:r>
        <w:rPr>
          <w:rFonts w:ascii="Palatino Linotype" w:eastAsia="Palatino Linotype" w:hAnsi="Palatino Linotype" w:cs="Palatino Linotype"/>
        </w:rPr>
        <w:lastRenderedPageBreak/>
        <w:t xml:space="preserve">En materia de transparencia, los motivos de la inconformidad deben versar sobre la respuesta de información proporcionada por los sujetos obligados o la negativa de entrega de la misma, derivada de la solicitud de información pública. De este modo, en los motivos de inconformidad los recurrentes no pueden incluir situaciones novedosas o solicitudes de información nuevas de las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tuvo la oportunidad de conocer y por consiguiente producir un posicionamiento.</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 xml:space="preserve">Es </w:t>
      </w:r>
      <w:r>
        <w:rPr>
          <w:rFonts w:ascii="Palatino Linotype" w:eastAsia="Palatino Linotype" w:hAnsi="Palatino Linotype" w:cs="Palatino Linotype"/>
        </w:rPr>
        <w:t>por ello, que la Ley de la materia contempla que en los casos en que a través del recurso de revisión se pretenda ampliar los requerimientos de información, la inconformidad relativa a estas situaciones novedosas no debe ser tomada en cuenta como parte de la Litis y debe ser desechada, tal y como lo establece el artículo 191 fracción VII.</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 xml:space="preserve">lo anterior, de </w:t>
      </w:r>
      <w:r>
        <w:rPr>
          <w:rFonts w:ascii="Palatino Linotype" w:eastAsia="Palatino Linotype" w:hAnsi="Palatino Linotype" w:cs="Palatino Linotype"/>
          <w:b/>
          <w:bCs/>
        </w:rPr>
        <w:t>manera parcial</w:t>
      </w:r>
      <w:r>
        <w:rPr>
          <w:rFonts w:ascii="Palatino Linotype" w:eastAsia="Palatino Linotype" w:hAnsi="Palatino Linotype" w:cs="Palatino Linotype"/>
        </w:rPr>
        <w:t xml:space="preserve"> resulta improcedente el referido motivo de inconformidad, ya que </w:t>
      </w:r>
      <w:r>
        <w:rPr>
          <w:rFonts w:ascii="Palatino Linotype" w:eastAsia="Palatino Linotype" w:hAnsi="Palatino Linotype" w:cs="Palatino Linotype"/>
          <w:color w:val="000000"/>
        </w:rPr>
        <w:t xml:space="preserve">se aprecia que la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excede dentro de su inconformidad respecto a lo requerido originalmente en la solicitud de información, siendo el caso que pretende ampliar lo solicitado de origen, lo que hace que se surta lo que en la teoría jurídica se le denomina </w:t>
      </w:r>
      <w:r>
        <w:rPr>
          <w:rFonts w:ascii="Palatino Linotype" w:eastAsia="Palatino Linotype" w:hAnsi="Palatino Linotype" w:cs="Palatino Linotype"/>
          <w:b/>
          <w:bCs/>
          <w:i/>
          <w:iCs/>
          <w:color w:val="000000"/>
        </w:rPr>
        <w:t>plus petitio.</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Sirve de apoyo el criterio 01/17 emitido por el Instituto Nacional de Transparencia, Acceso a la Información y Protección de Datos Personales que establece lo siguiente:</w:t>
      </w:r>
    </w:p>
    <w:p w:rsidR="00FB18EB" w:rsidRDefault="008155AC">
      <w:pP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Es improcedente ampliar las solicitudes de acceso a información, a través de la interposición del recurso de revisión.</w:t>
      </w:r>
      <w:r>
        <w:rPr>
          <w:rFonts w:ascii="Palatino Linotype" w:eastAsia="Palatino Linotype" w:hAnsi="Palatino Linotype" w:cs="Palatino Linotype"/>
          <w:i/>
          <w:iCs/>
          <w:color w:val="000000"/>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w:t>
      </w:r>
      <w:r>
        <w:rPr>
          <w:rFonts w:ascii="Palatino Linotype" w:eastAsia="Palatino Linotype" w:hAnsi="Palatino Linotype" w:cs="Palatino Linotype"/>
          <w:i/>
          <w:iCs/>
          <w:color w:val="000000"/>
        </w:rPr>
        <w:lastRenderedPageBreak/>
        <w:t>Nacional de Transparencia, Acceso a la Información y Protección de Datos Personales; actualizándose la hipótesis de improcedencia respectiva.</w:t>
      </w:r>
    </w:p>
    <w:p w:rsidR="00FB18EB" w:rsidRDefault="00FB18EB">
      <w:pPr>
        <w:ind w:left="567" w:right="-876"/>
        <w:jc w:val="both"/>
        <w:rPr>
          <w:rFonts w:ascii="Palatino Linotype" w:eastAsia="Palatino Linotype" w:hAnsi="Palatino Linotype" w:cs="Palatino Linotype"/>
          <w:color w:val="000000"/>
        </w:rPr>
      </w:pPr>
    </w:p>
    <w:p w:rsidR="00FB18EB" w:rsidRDefault="008155AC">
      <w:pP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Resoluciones:</w:t>
      </w:r>
    </w:p>
    <w:p w:rsidR="00FB18EB" w:rsidRDefault="008155AC">
      <w:pP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RRA 0196/16. Secretaría de Agricultura, Ganadería, Desarrollo Rural, Pesca y Alimentación. 13 de julio de 2016. Por unanimidad. Comisionado Ponente Joel Salas Suárez.</w:t>
      </w:r>
    </w:p>
    <w:p w:rsidR="00FB18EB" w:rsidRDefault="008155AC">
      <w:pP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RRA 0130/16. Comisión Nacional del Agua. 09 de agosto de 2016. Por unanimidad. Comisionado Ponente María Patricia Kurczyn Villalobos.</w:t>
      </w:r>
    </w:p>
    <w:p w:rsidR="00FB18EB" w:rsidRDefault="008155AC">
      <w:pP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RRA 0342/16. Colegio de Bachilleres. 24 de agosto de 2016. Por unanimidad. Comisionada Ponente Ximena Puente de la Mora</w:t>
      </w:r>
    </w:p>
    <w:p w:rsidR="00FB18EB" w:rsidRDefault="00FB18EB">
      <w:pPr>
        <w:spacing w:line="360" w:lineRule="auto"/>
        <w:ind w:right="-876"/>
        <w:jc w:val="both"/>
        <w:rPr>
          <w:rFonts w:ascii="Palatino Linotype" w:eastAsia="Palatino Linotype" w:hAnsi="Palatino Linotype" w:cs="Palatino Linotype"/>
        </w:rPr>
      </w:pPr>
    </w:p>
    <w:p w:rsidR="00FB18EB" w:rsidRDefault="008155AC">
      <w:pPr>
        <w:numPr>
          <w:ilvl w:val="0"/>
          <w:numId w:val="3"/>
        </w:numPr>
        <w:spacing w:line="360" w:lineRule="auto"/>
        <w:ind w:left="0" w:right="-876" w:firstLine="0"/>
        <w:jc w:val="both"/>
      </w:pPr>
      <w:r>
        <w:rPr>
          <w:rFonts w:ascii="Palatino Linotype" w:eastAsia="Palatino Linotype" w:hAnsi="Palatino Linotype" w:cs="Palatino Linotype"/>
          <w:color w:val="000000"/>
        </w:rPr>
        <w:t>Asimismo, sirve de apoyo a lo anterior por analogía, la Jurisprudencia No. 29 visible a foja 19 del Apéndice al Semanario Judicial de la Federación 1917-1995, To</w:t>
      </w:r>
      <w:r>
        <w:rPr>
          <w:rFonts w:ascii="Palatino Linotype" w:eastAsia="Palatino Linotype" w:hAnsi="Palatino Linotype" w:cs="Palatino Linotype"/>
        </w:rPr>
        <w:t>m</w:t>
      </w:r>
      <w:r>
        <w:rPr>
          <w:rFonts w:ascii="Palatino Linotype" w:eastAsia="Palatino Linotype" w:hAnsi="Palatino Linotype" w:cs="Palatino Linotype"/>
          <w:color w:val="000000"/>
        </w:rPr>
        <w:t>o VI, Materia Común, Primera Parte, Tesis de la Suprema Corte de Justicia, que contiene:</w:t>
      </w:r>
    </w:p>
    <w:p w:rsidR="00FB18EB" w:rsidRDefault="008155AC">
      <w:pPr>
        <w:ind w:left="567"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color w:val="000000"/>
        </w:rPr>
        <w:t xml:space="preserve">AGRAVIOS EN LA REVISION. DEBEN ESTAR EN RELACION DIRECTA CON LOS FUNDAMENTOS Y CONSIDERACIONES DE LA SENTENCIA.- </w:t>
      </w:r>
      <w:r>
        <w:rPr>
          <w:rFonts w:ascii="Palatino Linotype" w:eastAsia="Palatino Linotype" w:hAnsi="Palatino Linotype" w:cs="Palatino Linotype"/>
          <w:i/>
          <w:iCs/>
          <w:color w:val="000000"/>
        </w:rPr>
        <w:t>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rsidR="00FB18EB" w:rsidRDefault="00FB18EB">
      <w:pPr>
        <w:pBdr>
          <w:top w:val="nil"/>
          <w:left w:val="nil"/>
          <w:bottom w:val="nil"/>
          <w:right w:val="nil"/>
          <w:between w:val="nil"/>
        </w:pBdr>
        <w:tabs>
          <w:tab w:val="left" w:pos="426"/>
          <w:tab w:val="left" w:pos="567"/>
        </w:tabs>
        <w:spacing w:line="360" w:lineRule="auto"/>
        <w:ind w:right="-876"/>
        <w:jc w:val="both"/>
        <w:rPr>
          <w:rFonts w:ascii="Palatino Linotype" w:eastAsia="Palatino Linotype" w:hAnsi="Palatino Linotype" w:cs="Palatino Linotype"/>
        </w:rPr>
      </w:pPr>
    </w:p>
    <w:p w:rsidR="00FB18EB" w:rsidRDefault="008155AC">
      <w:pPr>
        <w:numPr>
          <w:ilvl w:val="0"/>
          <w:numId w:val="3"/>
        </w:numPr>
        <w:pBdr>
          <w:top w:val="nil"/>
          <w:left w:val="nil"/>
          <w:bottom w:val="nil"/>
          <w:right w:val="nil"/>
          <w:between w:val="nil"/>
        </w:pBdr>
        <w:tabs>
          <w:tab w:val="left" w:pos="426"/>
          <w:tab w:val="left" w:pos="567"/>
        </w:tabs>
        <w:spacing w:line="360" w:lineRule="auto"/>
        <w:ind w:left="0" w:right="-876" w:firstLine="0"/>
        <w:jc w:val="both"/>
      </w:pPr>
      <w:r>
        <w:rPr>
          <w:rFonts w:ascii="Palatino Linotype" w:eastAsia="Palatino Linotype" w:hAnsi="Palatino Linotype" w:cs="Palatino Linotype"/>
        </w:rPr>
        <w:t xml:space="preserve">Así mismo,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w:t>
      </w:r>
      <w:r>
        <w:rPr>
          <w:rFonts w:ascii="Palatino Linotype" w:eastAsia="Palatino Linotype" w:hAnsi="Palatino Linotype" w:cs="Palatino Linotype"/>
        </w:rPr>
        <w:lastRenderedPageBreak/>
        <w:t>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FB18EB" w:rsidRDefault="008155AC">
      <w:pPr>
        <w:spacing w:before="240" w:after="240"/>
        <w:ind w:left="708" w:right="-876" w:hanging="14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solicitantes.”(Sic)</w:t>
      </w:r>
    </w:p>
    <w:p w:rsidR="00FB18EB" w:rsidRDefault="008155AC">
      <w:pPr>
        <w:numPr>
          <w:ilvl w:val="0"/>
          <w:numId w:val="3"/>
        </w:numPr>
        <w:pBdr>
          <w:top w:val="nil"/>
          <w:left w:val="nil"/>
          <w:bottom w:val="nil"/>
          <w:right w:val="nil"/>
          <w:between w:val="nil"/>
        </w:pBdr>
        <w:spacing w:before="240" w:after="240" w:line="360" w:lineRule="auto"/>
        <w:ind w:left="0" w:right="-876" w:firstLine="0"/>
        <w:jc w:val="both"/>
      </w:pPr>
      <w:r>
        <w:rPr>
          <w:rFonts w:ascii="Palatino Linotype" w:eastAsia="Palatino Linotype" w:hAnsi="Palatino Linotype" w:cs="Palatino Linotype"/>
          <w:color w:val="000000"/>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FB18EB" w:rsidRDefault="008155AC">
      <w:pPr>
        <w:numPr>
          <w:ilvl w:val="0"/>
          <w:numId w:val="3"/>
        </w:numPr>
        <w:pBdr>
          <w:top w:val="nil"/>
          <w:left w:val="nil"/>
          <w:bottom w:val="nil"/>
          <w:right w:val="nil"/>
          <w:between w:val="nil"/>
        </w:pBdr>
        <w:spacing w:before="240" w:after="240" w:line="360" w:lineRule="auto"/>
        <w:ind w:left="0" w:right="-876" w:firstLine="0"/>
        <w:jc w:val="both"/>
      </w:pPr>
      <w:r>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no tienen el deber de generar, poseer o administrar la información pública con el grado de detalle solicitado; esto es, que no tienen el deber de generar un documento </w:t>
      </w:r>
      <w:r>
        <w:rPr>
          <w:rFonts w:ascii="Palatino Linotype" w:eastAsia="Palatino Linotype" w:hAnsi="Palatino Linotype" w:cs="Palatino Linotype"/>
          <w:i/>
          <w:iCs/>
          <w:color w:val="000000"/>
        </w:rPr>
        <w:t>ad hoc</w:t>
      </w:r>
      <w:r>
        <w:rPr>
          <w:rFonts w:ascii="Palatino Linotype" w:eastAsia="Palatino Linotype" w:hAnsi="Palatino Linotype" w:cs="Palatino Linotype"/>
          <w:color w:val="000000"/>
        </w:rPr>
        <w:t>, para satisfacer el derecho de acceso a la información pública, como así lo establece</w:t>
      </w:r>
      <w:r>
        <w:rPr>
          <w:rFonts w:ascii="Palatino Linotype" w:eastAsia="Palatino Linotype" w:hAnsi="Palatino Linotype" w:cs="Palatino Linotype"/>
          <w:strike/>
          <w:color w:val="FF0000"/>
        </w:rPr>
        <w:t xml:space="preserve"> </w:t>
      </w:r>
      <w:r>
        <w:rPr>
          <w:rFonts w:ascii="Palatino Linotype" w:eastAsia="Palatino Linotype" w:hAnsi="Palatino Linotype" w:cs="Palatino Linotype"/>
          <w:color w:val="000000"/>
        </w:rPr>
        <w:t>el criterio 03/17 emitido por el Instituto Nacional de Transparencia, Acceso a la Información Pública y Protección de Datos Personales, los cuales señalan lo siguiente:</w:t>
      </w:r>
    </w:p>
    <w:p w:rsidR="00FB18EB" w:rsidRDefault="008155AC">
      <w:pPr>
        <w:spacing w:before="240"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03/17</w:t>
      </w:r>
    </w:p>
    <w:p w:rsidR="00FB18EB" w:rsidRDefault="008155AC">
      <w:pPr>
        <w:spacing w:before="240"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“NO EXISTE OBLIGACIÓN DE ELABORAR DOCUMENTOS AD HOC PARA ATENDER LAS SOLICITUDES DE ACCESO A LA INFORMACIÓN.</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FB18EB" w:rsidRDefault="008155AC">
      <w:pPr>
        <w:numPr>
          <w:ilvl w:val="0"/>
          <w:numId w:val="3"/>
        </w:numPr>
        <w:pBdr>
          <w:top w:val="nil"/>
          <w:left w:val="nil"/>
          <w:bottom w:val="nil"/>
          <w:right w:val="nil"/>
          <w:between w:val="nil"/>
        </w:pBdr>
        <w:spacing w:before="240" w:line="360" w:lineRule="auto"/>
        <w:ind w:left="0" w:right="-876" w:firstLine="0"/>
        <w:jc w:val="both"/>
      </w:pPr>
      <w:r>
        <w:rPr>
          <w:rFonts w:ascii="Palatino Linotype" w:eastAsia="Palatino Linotype" w:hAnsi="Palatino Linotype" w:cs="Palatino Linotype"/>
          <w:color w:val="000000"/>
        </w:rPr>
        <w:lastRenderedPageBreak/>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FB18EB" w:rsidRDefault="00FB18EB">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after="240" w:line="360" w:lineRule="auto"/>
        <w:ind w:left="0" w:right="-876" w:firstLine="0"/>
        <w:jc w:val="both"/>
      </w:pPr>
      <w:r>
        <w:rPr>
          <w:rFonts w:ascii="Palatino Linotype" w:eastAsia="Palatino Linotype" w:hAnsi="Palatino Linotype" w:cs="Palatino Linotype"/>
          <w:color w:val="000000"/>
        </w:rPr>
        <w:t xml:space="preserve">En conclusión, el derecho de acceso a la información pública, consiste en que la información solicitada conste en un documento en cualquiera de sus formas, a saber: expedientes, reportes, estudios, actas, resoluciones, </w:t>
      </w:r>
      <w:r>
        <w:rPr>
          <w:rFonts w:ascii="Palatino Linotype" w:eastAsia="Palatino Linotype" w:hAnsi="Palatino Linotype" w:cs="Palatino Linotype"/>
          <w:b/>
          <w:bCs/>
          <w:color w:val="000000"/>
          <w:u w:val="single"/>
        </w:rPr>
        <w:t>oficios</w:t>
      </w:r>
      <w:r>
        <w:rPr>
          <w:rFonts w:ascii="Palatino Linotype" w:eastAsia="Palatino Linotype" w:hAnsi="Palatino Linotype" w:cs="Palatino Linotype"/>
          <w:color w:val="000000"/>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Artículo 3. </w:t>
      </w:r>
      <w:r>
        <w:rPr>
          <w:rFonts w:ascii="Palatino Linotype" w:eastAsia="Palatino Linotype" w:hAnsi="Palatino Linotype" w:cs="Palatino Linotype"/>
          <w:i/>
          <w:iCs/>
        </w:rPr>
        <w:t>Para los efectos de la presente Ley se entenderá por:</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XI. Documento:</w:t>
      </w:r>
      <w:r>
        <w:rPr>
          <w:rFonts w:ascii="Palatino Linotype" w:eastAsia="Palatino Linotype" w:hAnsi="Palatino Linotype" w:cs="Palatino Linotype"/>
          <w:i/>
          <w:iCs/>
        </w:rPr>
        <w:t xml:space="preserve"> Los expedientes, reportes, estudios, </w:t>
      </w:r>
      <w:r>
        <w:rPr>
          <w:rFonts w:ascii="Palatino Linotype" w:eastAsia="Palatino Linotype" w:hAnsi="Palatino Linotype" w:cs="Palatino Linotype"/>
          <w:b/>
          <w:bCs/>
          <w:i/>
          <w:iCs/>
        </w:rPr>
        <w:t>actas,</w:t>
      </w:r>
      <w:r>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Pr>
          <w:rFonts w:ascii="Palatino Linotype" w:eastAsia="Palatino Linotype" w:hAnsi="Palatino Linotype" w:cs="Palatino Linotype"/>
          <w:b/>
          <w:bCs/>
          <w:i/>
          <w:iCs/>
        </w:rPr>
        <w:t>…</w:t>
      </w:r>
      <w:r>
        <w:rPr>
          <w:rFonts w:ascii="Palatino Linotype" w:eastAsia="Palatino Linotype" w:hAnsi="Palatino Linotype" w:cs="Palatino Linotype"/>
          <w:i/>
          <w:iCs/>
        </w:rPr>
        <w:t>” (Sic)</w:t>
      </w:r>
    </w:p>
    <w:p w:rsidR="00FB18EB" w:rsidRDefault="008155AC">
      <w:pPr>
        <w:numPr>
          <w:ilvl w:val="0"/>
          <w:numId w:val="3"/>
        </w:numPr>
        <w:pBdr>
          <w:top w:val="nil"/>
          <w:left w:val="nil"/>
          <w:bottom w:val="nil"/>
          <w:right w:val="nil"/>
          <w:between w:val="nil"/>
        </w:pBdr>
        <w:spacing w:before="240" w:after="240" w:line="360" w:lineRule="auto"/>
        <w:ind w:left="0" w:right="-876" w:firstLine="0"/>
        <w:jc w:val="both"/>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FB18EB" w:rsidRDefault="008155AC">
      <w:pPr>
        <w:spacing w:before="240"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FB18EB" w:rsidRDefault="008155AC">
      <w:pPr>
        <w:numPr>
          <w:ilvl w:val="0"/>
          <w:numId w:val="4"/>
        </w:numPr>
        <w:spacing w:before="240" w:after="240"/>
        <w:ind w:left="567" w:right="-876" w:firstLine="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FB18EB" w:rsidRDefault="008155AC">
      <w:pPr>
        <w:numPr>
          <w:ilvl w:val="0"/>
          <w:numId w:val="4"/>
        </w:numPr>
        <w:spacing w:before="240" w:after="240"/>
        <w:ind w:left="567" w:right="-876" w:firstLine="0"/>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FB18EB" w:rsidRDefault="008155AC">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3) Que se trate de información registrada en cualquier soporte documental, que en ejercicio de las atribuciones conferidas, se encuentre en posesión de los Sujetos Obligados.” (Sic)</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De ahí que </w:t>
      </w:r>
      <w:r>
        <w:rPr>
          <w:rFonts w:ascii="Palatino Linotype" w:eastAsia="Palatino Linotype" w:hAnsi="Palatino Linotype" w:cs="Palatino Linotype"/>
          <w:b/>
          <w:bCs/>
          <w:color w:val="000000"/>
        </w:rPr>
        <w:t>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Pr>
          <w:rFonts w:ascii="Palatino Linotype" w:eastAsia="Palatino Linotype" w:hAnsi="Palatino Linotype" w:cs="Palatino Linotype"/>
          <w:color w:val="000000"/>
          <w:vertAlign w:val="superscript"/>
        </w:rPr>
        <w:footnoteReference w:id="9"/>
      </w:r>
      <w:r>
        <w:rPr>
          <w:rFonts w:ascii="Palatino Linotype" w:eastAsia="Palatino Linotype" w:hAnsi="Palatino Linotype" w:cs="Palatino Linotype"/>
          <w:color w:val="000000"/>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Pr>
          <w:rFonts w:ascii="Palatino Linotype" w:eastAsia="Palatino Linotype" w:hAnsi="Palatino Linotype" w:cs="Palatino Linotype"/>
          <w:color w:val="000000"/>
          <w:vertAlign w:val="superscript"/>
        </w:rPr>
        <w:footnoteReference w:id="10"/>
      </w:r>
      <w:r>
        <w:rPr>
          <w:rFonts w:ascii="Palatino Linotype" w:eastAsia="Palatino Linotype" w:hAnsi="Palatino Linotype" w:cs="Palatino Linotype"/>
          <w:color w:val="000000"/>
        </w:rPr>
        <w:t>.</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Por lo anteriormente expuesto, este Órgano Garante considera parcialmente fundadas las razones o motivos de inconformidad que plantea el</w:t>
      </w:r>
      <w:r>
        <w:rPr>
          <w:rFonts w:ascii="Palatino Linotype" w:eastAsia="Palatino Linotype" w:hAnsi="Palatino Linotype" w:cs="Palatino Linotype"/>
          <w:b/>
          <w:bCs/>
          <w:color w:val="000000"/>
        </w:rPr>
        <w:t xml:space="preserve"> RECURRENTE</w:t>
      </w:r>
      <w:r>
        <w:rPr>
          <w:rFonts w:ascii="Palatino Linotype" w:eastAsia="Palatino Linotype" w:hAnsi="Palatino Linotype" w:cs="Palatino Linotype"/>
          <w:color w:val="000000"/>
        </w:rPr>
        <w:t xml:space="preserve">, determinando </w:t>
      </w:r>
      <w:r>
        <w:rPr>
          <w:rFonts w:ascii="Palatino Linotype" w:eastAsia="Palatino Linotype" w:hAnsi="Palatino Linotype" w:cs="Palatino Linotype"/>
          <w:b/>
          <w:bCs/>
          <w:color w:val="000000"/>
        </w:rPr>
        <w:t xml:space="preserve">MODIFICAR </w:t>
      </w:r>
      <w:r>
        <w:rPr>
          <w:rFonts w:ascii="Palatino Linotype" w:eastAsia="Palatino Linotype" w:hAnsi="Palatino Linotype" w:cs="Palatino Linotype"/>
          <w:color w:val="000000"/>
        </w:rPr>
        <w:t xml:space="preserve">la respuesta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FB18EB" w:rsidRDefault="008155AC">
      <w:pPr>
        <w:numPr>
          <w:ilvl w:val="0"/>
          <w:numId w:val="3"/>
        </w:numPr>
        <w:pBdr>
          <w:top w:val="nil"/>
          <w:left w:val="nil"/>
          <w:bottom w:val="nil"/>
          <w:right w:val="nil"/>
          <w:between w:val="nil"/>
        </w:pBdr>
        <w:tabs>
          <w:tab w:val="left" w:pos="0"/>
        </w:tabs>
        <w:spacing w:line="360" w:lineRule="auto"/>
        <w:ind w:left="0" w:right="-876" w:firstLine="0"/>
        <w:jc w:val="both"/>
      </w:pPr>
      <w:r>
        <w:rPr>
          <w:rFonts w:ascii="Palatino Linotype" w:eastAsia="Palatino Linotype" w:hAnsi="Palatino Linotype" w:cs="Palatino Linotype"/>
          <w:color w:val="000000"/>
        </w:rPr>
        <w:lastRenderedPageBreak/>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FB18EB" w:rsidRDefault="00FB18EB">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tabs>
          <w:tab w:val="left" w:pos="0"/>
        </w:tabs>
        <w:spacing w:line="360" w:lineRule="auto"/>
        <w:ind w:left="0" w:right="-876" w:firstLine="0"/>
        <w:jc w:val="both"/>
      </w:pPr>
      <w:r>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FB18EB" w:rsidRDefault="00FB18EB">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rPr>
      </w:pPr>
    </w:p>
    <w:tbl>
      <w:tblPr>
        <w:tblStyle w:val="a0"/>
        <w:tblW w:w="985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715"/>
        <w:gridCol w:w="7140"/>
      </w:tblGrid>
      <w:tr w:rsidR="00FB18EB">
        <w:tc>
          <w:tcPr>
            <w:tcW w:w="2715" w:type="dxa"/>
          </w:tcPr>
          <w:p w:rsidR="00FB18EB" w:rsidRDefault="008155AC">
            <w:pPr>
              <w:spacing w:line="360" w:lineRule="auto"/>
              <w:ind w:right="-76"/>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140" w:type="dxa"/>
          </w:tcPr>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FB18EB">
        <w:tc>
          <w:tcPr>
            <w:tcW w:w="2715" w:type="dxa"/>
          </w:tcPr>
          <w:p w:rsidR="00FB18EB" w:rsidRDefault="008155AC">
            <w:pPr>
              <w:spacing w:line="360" w:lineRule="auto"/>
              <w:ind w:right="-76"/>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140" w:type="dxa"/>
          </w:tcPr>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w:t>
            </w:r>
            <w:r>
              <w:rPr>
                <w:rFonts w:ascii="Palatino Linotype" w:eastAsia="Palatino Linotype" w:hAnsi="Palatino Linotype" w:cs="Palatino Linotype"/>
              </w:rPr>
              <w:lastRenderedPageBreak/>
              <w:t>público habilitado y el titular del área que administra la información.</w:t>
            </w:r>
          </w:p>
        </w:tc>
      </w:tr>
      <w:tr w:rsidR="00FB18EB">
        <w:tc>
          <w:tcPr>
            <w:tcW w:w="2715" w:type="dxa"/>
          </w:tcPr>
          <w:p w:rsidR="00FB18EB" w:rsidRDefault="008155AC">
            <w:pPr>
              <w:spacing w:line="360" w:lineRule="auto"/>
              <w:ind w:right="-76"/>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140" w:type="dxa"/>
          </w:tcPr>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B18EB">
        <w:tc>
          <w:tcPr>
            <w:tcW w:w="2715" w:type="dxa"/>
          </w:tcPr>
          <w:p w:rsidR="00FB18EB" w:rsidRDefault="00FB18EB">
            <w:pPr>
              <w:spacing w:line="360" w:lineRule="auto"/>
              <w:ind w:right="-76"/>
              <w:rPr>
                <w:rFonts w:ascii="Palatino Linotype" w:eastAsia="Palatino Linotype" w:hAnsi="Palatino Linotype" w:cs="Palatino Linotype"/>
              </w:rPr>
            </w:pP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7140" w:type="dxa"/>
          </w:tcPr>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 xml:space="preserve">Sujetos </w:t>
            </w:r>
            <w:r>
              <w:rPr>
                <w:rFonts w:ascii="Palatino Linotype" w:eastAsia="Palatino Linotype" w:hAnsi="Palatino Linotype" w:cs="Palatino Linotype"/>
                <w:b/>
                <w:bCs/>
              </w:rPr>
              <w:lastRenderedPageBreak/>
              <w:t>Obligados</w:t>
            </w:r>
            <w:r>
              <w:rPr>
                <w:rFonts w:ascii="Palatino Linotype" w:eastAsia="Palatino Linotype" w:hAnsi="Palatino Linotype" w:cs="Palatino Linotype"/>
              </w:rPr>
              <w:t xml:space="preserve">, por lo que deberán fundar y motivar debidamente la clasificación. </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xml:space="preserve">, se debe identificar con claridad qué datos contenidos en las documentales que son susceptibles de suprimirse, por ejemplo; Clave Única de </w:t>
            </w:r>
            <w:r>
              <w:rPr>
                <w:rFonts w:ascii="Palatino Linotype" w:eastAsia="Palatino Linotype" w:hAnsi="Palatino Linotype" w:cs="Palatino Linotype"/>
              </w:rPr>
              <w:lastRenderedPageBreak/>
              <w:t>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B18EB">
        <w:tc>
          <w:tcPr>
            <w:tcW w:w="2715" w:type="dxa"/>
          </w:tcPr>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rsidR="00FB18EB" w:rsidRDefault="00FB18EB">
            <w:pPr>
              <w:spacing w:line="360" w:lineRule="auto"/>
              <w:ind w:right="-76"/>
              <w:rPr>
                <w:rFonts w:ascii="Palatino Linotype" w:eastAsia="Palatino Linotype" w:hAnsi="Palatino Linotype" w:cs="Palatino Linotype"/>
              </w:rPr>
            </w:pPr>
          </w:p>
        </w:tc>
        <w:tc>
          <w:tcPr>
            <w:tcW w:w="7140" w:type="dxa"/>
          </w:tcPr>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FB18EB" w:rsidRDefault="008155AC">
            <w:pPr>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B18EB" w:rsidRDefault="008155AC">
            <w:pPr>
              <w:spacing w:line="360" w:lineRule="auto"/>
              <w:ind w:right="-76"/>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FB18EB" w:rsidRDefault="008155AC">
      <w:pPr>
        <w:numPr>
          <w:ilvl w:val="0"/>
          <w:numId w:val="17"/>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Firma de los servidores públicos </w:t>
      </w:r>
    </w:p>
    <w:p w:rsidR="00FB18EB" w:rsidRDefault="008155AC">
      <w:pPr>
        <w:numPr>
          <w:ilvl w:val="0"/>
          <w:numId w:val="3"/>
        </w:numPr>
        <w:pBdr>
          <w:top w:val="nil"/>
          <w:left w:val="nil"/>
          <w:bottom w:val="nil"/>
          <w:right w:val="nil"/>
          <w:between w:val="nil"/>
        </w:pBdr>
        <w:tabs>
          <w:tab w:val="left" w:pos="0"/>
        </w:tabs>
        <w:spacing w:line="360" w:lineRule="auto"/>
        <w:ind w:left="0" w:right="-876" w:firstLine="0"/>
        <w:jc w:val="both"/>
      </w:pPr>
      <w:r>
        <w:rPr>
          <w:rFonts w:ascii="Palatino Linotype" w:eastAsia="Palatino Linotype" w:hAnsi="Palatino Linotype" w:cs="Palatino Linotype"/>
          <w:color w:val="000000"/>
        </w:rPr>
        <w:t>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rsidR="00FB18EB" w:rsidRDefault="00FB18EB">
      <w:pPr>
        <w:tabs>
          <w:tab w:val="left" w:pos="567"/>
        </w:tabs>
        <w:spacing w:line="360" w:lineRule="auto"/>
        <w:ind w:right="-876"/>
        <w:jc w:val="both"/>
        <w:rPr>
          <w:rFonts w:ascii="Palatino Linotype" w:eastAsia="Palatino Linotype" w:hAnsi="Palatino Linotype" w:cs="Palatino Linotype"/>
        </w:rPr>
      </w:pPr>
    </w:p>
    <w:p w:rsidR="00FB18EB" w:rsidRDefault="008155AC">
      <w:pPr>
        <w:numPr>
          <w:ilvl w:val="0"/>
          <w:numId w:val="3"/>
        </w:numPr>
        <w:tabs>
          <w:tab w:val="left" w:pos="567"/>
        </w:tabs>
        <w:spacing w:line="360" w:lineRule="auto"/>
        <w:ind w:left="0" w:right="-876" w:firstLine="0"/>
        <w:jc w:val="both"/>
      </w:pPr>
      <w:r>
        <w:rPr>
          <w:rFonts w:ascii="Palatino Linotype" w:eastAsia="Palatino Linotype" w:hAnsi="Palatino Linotype" w:cs="Palatino Linotype"/>
        </w:rPr>
        <w:t>Lo anterior, es así, toda vez que la firma de servidores públicos, vinculada al ejercicio de la función pública es información de naturaleza pública, pues documenta y rinde cuentas sobre el debido ejercicio de sus atribuciones, lo cual acontece en el presente caso, pues garantiza que los trabajadores recibieron sus remuneraciones quincenales.</w:t>
      </w:r>
    </w:p>
    <w:p w:rsidR="00FB18EB" w:rsidRDefault="00FB18EB">
      <w:pPr>
        <w:ind w:right="-876"/>
        <w:rPr>
          <w:rFonts w:ascii="Palatino Linotype" w:eastAsia="Palatino Linotype" w:hAnsi="Palatino Linotype" w:cs="Palatino Linotype"/>
        </w:rPr>
      </w:pPr>
    </w:p>
    <w:p w:rsidR="00FB18EB" w:rsidRDefault="008155AC">
      <w:pPr>
        <w:numPr>
          <w:ilvl w:val="0"/>
          <w:numId w:val="3"/>
        </w:numPr>
        <w:tabs>
          <w:tab w:val="left" w:pos="567"/>
        </w:tabs>
        <w:spacing w:line="360" w:lineRule="auto"/>
        <w:ind w:left="0" w:right="-876" w:firstLine="0"/>
        <w:jc w:val="both"/>
      </w:pPr>
      <w:r>
        <w:rPr>
          <w:rFonts w:ascii="Palatino Linotype" w:eastAsia="Palatino Linotype" w:hAnsi="Palatino Linotype" w:cs="Palatino Linotype"/>
        </w:rPr>
        <w:t>La publicidad de dichos datos, se robustece, con el Criterio de Interpretación, de la Segunda Época, con clave de control SO/002/2019, emitido por el Instituto Nacional de Transparencia, Acceso a la Información y Protección de Datos Personales, que establece lo siguiente:</w:t>
      </w:r>
    </w:p>
    <w:p w:rsidR="00FB18EB" w:rsidRDefault="008155AC">
      <w:pPr>
        <w:shd w:val="clear" w:color="auto" w:fill="FFFFFF"/>
        <w:spacing w:line="360" w:lineRule="auto"/>
        <w:ind w:left="720" w:right="-876"/>
        <w:jc w:val="both"/>
        <w:rPr>
          <w:rFonts w:ascii="Palatino Linotype" w:eastAsia="Palatino Linotype" w:hAnsi="Palatino Linotype" w:cs="Palatino Linotype"/>
        </w:rPr>
      </w:pPr>
      <w:r>
        <w:rPr>
          <w:rFonts w:ascii="Palatino Linotype" w:eastAsia="Palatino Linotype" w:hAnsi="Palatino Linotype" w:cs="Palatino Linotype"/>
          <w:b/>
          <w:bCs/>
          <w:i/>
          <w:iCs/>
        </w:rPr>
        <w:t>“Firma y rúbrica de servidores públicos.</w:t>
      </w:r>
      <w:r>
        <w:rPr>
          <w:rFonts w:ascii="Palatino Linotype" w:eastAsia="Palatino Linotype" w:hAnsi="Palatino Linotype" w:cs="Palatino Linotype"/>
          <w:i/>
          <w:iCs/>
        </w:rPr>
        <w:t> Si bien la firma y la rúbrica son datos personales confidenciales, cuando un servidor público emite un acto como autoridad, en ejercicio de las funciones que tiene conferidas, la firma o rúbrica mediante la cual se valida dicho acto es pública.”</w:t>
      </w:r>
    </w:p>
    <w:p w:rsidR="00FB18EB" w:rsidRDefault="008155AC">
      <w:pPr>
        <w:tabs>
          <w:tab w:val="left" w:pos="4962"/>
        </w:tabs>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w:t>
      </w:r>
    </w:p>
    <w:p w:rsidR="00FB18EB" w:rsidRDefault="008155AC">
      <w:pPr>
        <w:numPr>
          <w:ilvl w:val="0"/>
          <w:numId w:val="3"/>
        </w:numPr>
        <w:tabs>
          <w:tab w:val="left" w:pos="0"/>
        </w:tabs>
        <w:spacing w:line="360" w:lineRule="auto"/>
        <w:ind w:left="0" w:right="-876" w:firstLine="0"/>
        <w:jc w:val="both"/>
      </w:pPr>
      <w:r>
        <w:rPr>
          <w:rFonts w:ascii="Palatino Linotype" w:eastAsia="Palatino Linotype" w:hAnsi="Palatino Linotype" w:cs="Palatino Linotype"/>
        </w:rPr>
        <w:t>Conforme a lo expuesto, en el presente caso, procede la clasificación, en términos del artículo 143, fracción I de la Ley de Transparencia y Acceso a la Información Pública del Estado de México y Municipios. </w:t>
      </w:r>
    </w:p>
    <w:p w:rsidR="00FB18EB" w:rsidRDefault="00FB18EB">
      <w:pPr>
        <w:tabs>
          <w:tab w:val="left" w:pos="0"/>
          <w:tab w:val="left" w:pos="284"/>
        </w:tabs>
        <w:spacing w:line="360" w:lineRule="auto"/>
        <w:ind w:right="-876" w:hanging="142"/>
        <w:jc w:val="both"/>
        <w:rPr>
          <w:rFonts w:ascii="Palatino Linotype" w:eastAsia="Palatino Linotype" w:hAnsi="Palatino Linotype" w:cs="Palatino Linotype"/>
        </w:rPr>
      </w:pPr>
    </w:p>
    <w:p w:rsidR="00FB18EB" w:rsidRDefault="008155AC">
      <w:pPr>
        <w:numPr>
          <w:ilvl w:val="0"/>
          <w:numId w:val="3"/>
        </w:numPr>
        <w:tabs>
          <w:tab w:val="left" w:pos="0"/>
          <w:tab w:val="left" w:pos="284"/>
        </w:tabs>
        <w:spacing w:line="360" w:lineRule="auto"/>
        <w:ind w:left="0" w:right="-876" w:firstLine="0"/>
        <w:jc w:val="both"/>
      </w:pPr>
      <w:r>
        <w:rPr>
          <w:rFonts w:ascii="Palatino Linotype" w:eastAsia="Palatino Linotype" w:hAnsi="Palatino Linotype" w:cs="Palatino Linotype"/>
        </w:rPr>
        <w:lastRenderedPageBreak/>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FB18EB" w:rsidRDefault="008155AC">
      <w:pPr>
        <w:numPr>
          <w:ilvl w:val="0"/>
          <w:numId w:val="17"/>
        </w:numPr>
        <w:pBdr>
          <w:top w:val="nil"/>
          <w:left w:val="nil"/>
          <w:bottom w:val="nil"/>
          <w:right w:val="nil"/>
          <w:between w:val="nil"/>
        </w:pBdr>
        <w:shd w:val="clear" w:color="auto" w:fill="FFFFFF"/>
        <w:spacing w:before="240" w:line="360" w:lineRule="auto"/>
        <w:ind w:right="-876"/>
        <w:jc w:val="both"/>
        <w:rPr>
          <w:rFonts w:ascii="Palatino Linotype" w:eastAsia="Palatino Linotype" w:hAnsi="Palatino Linotype" w:cs="Palatino Linotype"/>
          <w:b/>
          <w:bCs/>
          <w:color w:val="222222"/>
        </w:rPr>
      </w:pPr>
      <w:r>
        <w:rPr>
          <w:rFonts w:ascii="Palatino Linotype" w:eastAsia="Palatino Linotype" w:hAnsi="Palatino Linotype" w:cs="Palatino Linotype"/>
          <w:b/>
          <w:bCs/>
          <w:color w:val="222222"/>
        </w:rPr>
        <w:t>De la fotografía</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b/>
          <w:bCs/>
          <w:color w:val="000000"/>
        </w:rPr>
        <w:t>Fotografía de servidores públicos</w:t>
      </w:r>
      <w:r>
        <w:rPr>
          <w:rFonts w:ascii="Palatino Linotype" w:eastAsia="Palatino Linotype" w:hAnsi="Palatino Linotype" w:cs="Palatino Linotype"/>
          <w:color w:val="000000"/>
        </w:rPr>
        <w:t>: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FB18EB" w:rsidRDefault="00FB18EB">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acreditará e identificaría a una persona como servidor público, por lo que es posible advertir que existe cierto interés público, cuando la fotografía obra en documentos de servidores públicos vinculados con el cumplimiento de disposiciones legales.</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Por lo anterior, cuando las fotografías de los servidores públicos obran en documentos que dan cuenta del cumplimiento de funciones, requisitos legales o los acredita como servidores públicos, no puede ser clasificado como confidencial, pues en este caso, es superado </w:t>
      </w:r>
      <w:r>
        <w:rPr>
          <w:rFonts w:ascii="Palatino Linotype" w:eastAsia="Palatino Linotype" w:hAnsi="Palatino Linotype" w:cs="Palatino Linotype"/>
          <w:color w:val="000000"/>
        </w:rPr>
        <w:lastRenderedPageBreak/>
        <w:t>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rsidR="00FB18EB" w:rsidRDefault="00FB18EB">
      <w:pPr>
        <w:pBdr>
          <w:top w:val="nil"/>
          <w:left w:val="nil"/>
          <w:bottom w:val="nil"/>
          <w:right w:val="nil"/>
          <w:between w:val="nil"/>
        </w:pBdr>
        <w:ind w:left="720" w:right="-876"/>
        <w:rPr>
          <w:rFonts w:ascii="Palatino Linotype" w:eastAsia="Palatino Linotype" w:hAnsi="Palatino Linotype" w:cs="Palatino Linotype"/>
          <w:color w:val="000000"/>
        </w:rPr>
      </w:pP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Además, no escapa de la óptica de éste órgano garante que el documento que da cuenta de lo requerido es un título o cédula profesional, por lo que resulta conveniente traer a contexto el criterio 001/2013 y 015/2017 del Instituto Nacional de Transparencia, Acceso a la Información y Protección de Datos Personales, cuyo rubro y contenido son los siguientes:</w:t>
      </w:r>
    </w:p>
    <w:p w:rsidR="00FB18EB" w:rsidRDefault="008155AC">
      <w:pP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Fotografía de una persona física que conste en su título o cédula profesional no es susceptible de clasificarse con carácter de confidencial. </w:t>
      </w:r>
      <w:r>
        <w:rPr>
          <w:rFonts w:ascii="Palatino Linotype" w:eastAsia="Palatino Linotype" w:hAnsi="Palatino Linotype" w:cs="Palatino Linotype"/>
          <w:i/>
          <w:iCs/>
          <w:color w:val="000000"/>
        </w:rPr>
        <w:t xml:space="preserve">La fotografía contenida en un título o cédula profesional no es susceptible de clasificarse con el carácter de confidencial, en términos de lo dispuesto en el artículo 18, fracción II de la Ley Federal de Transparencia y Acceso a la información Pública Gubernamental, no obstante ser un dato personal, en virtud del interés público que existe de conocer que la persona que se ostenta con una calidad profesional determinada es la misma que aparece en los documentos oficiales de referencia. Lo anterior es así, ya que en el momento en que una persona se somete a un registro fotográfico </w:t>
      </w:r>
      <w:r>
        <w:rPr>
          <w:rFonts w:ascii="Palatino Linotype" w:eastAsia="Palatino Linotype" w:hAnsi="Palatino Linotype" w:cs="Palatino Linotype"/>
          <w:i/>
          <w:iCs/>
          <w:color w:val="000000"/>
        </w:rPr>
        <w:lastRenderedPageBreak/>
        <w:t>con el objetivo de recibir una identificación oficial que lo avala como profesionista, consiente que tanto la imagen de su rostro como su nombre y profesión, sean elementos de acreditación e identificación frente a terceros.</w:t>
      </w:r>
    </w:p>
    <w:p w:rsidR="00FB18EB" w:rsidRDefault="00FB18EB">
      <w:pPr>
        <w:spacing w:line="360" w:lineRule="auto"/>
        <w:ind w:left="851" w:right="-876"/>
        <w:jc w:val="both"/>
        <w:rPr>
          <w:rFonts w:ascii="Palatino Linotype" w:eastAsia="Palatino Linotype" w:hAnsi="Palatino Linotype" w:cs="Palatino Linotype"/>
          <w:i/>
          <w:iCs/>
          <w:color w:val="000000"/>
        </w:rPr>
      </w:pPr>
    </w:p>
    <w:p w:rsidR="00FB18EB" w:rsidRDefault="008155AC">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Fotografía en título o cédula profesional es de acceso público.</w:t>
      </w:r>
      <w:r>
        <w:rPr>
          <w:rFonts w:ascii="Palatino Linotype" w:eastAsia="Palatino Linotype" w:hAnsi="Palatino Linotype" w:cs="Palatino Linotype"/>
          <w:i/>
          <w:iCs/>
        </w:rPr>
        <w:t xml:space="preserve"> Si bien la fotografía de una persona física es un dato personal, cuando se encuentra en un título o cédula profesional no es susceptible de clasificarse como confidencial, en virtud del interés público que existe de conocer que la persona que se ostenta con una calidad profesional determinada es la misma que aparece en dichos documentos oficiales. De esta manera, la fotografía contenida en el título o cédula profesional es pública y susceptible de divulgación.</w:t>
      </w:r>
    </w:p>
    <w:p w:rsidR="00FB18EB" w:rsidRDefault="00FB18EB">
      <w:pPr>
        <w:ind w:right="-876"/>
        <w:jc w:val="both"/>
        <w:rPr>
          <w:rFonts w:ascii="Arial" w:eastAsia="Arial" w:hAnsi="Arial" w:cs="Arial"/>
          <w:b/>
          <w:bCs/>
          <w:color w:val="000000"/>
        </w:rPr>
      </w:pPr>
    </w:p>
    <w:p w:rsidR="00FB18EB" w:rsidRDefault="008155AC">
      <w:pPr>
        <w:numPr>
          <w:ilvl w:val="0"/>
          <w:numId w:val="3"/>
        </w:numPr>
        <w:pBdr>
          <w:top w:val="nil"/>
          <w:left w:val="nil"/>
          <w:bottom w:val="nil"/>
          <w:right w:val="nil"/>
          <w:between w:val="nil"/>
        </w:pBdr>
        <w:tabs>
          <w:tab w:val="left" w:pos="284"/>
        </w:tabs>
        <w:spacing w:line="360" w:lineRule="auto"/>
        <w:ind w:left="0" w:right="-876" w:firstLine="0"/>
        <w:jc w:val="both"/>
      </w:pPr>
      <w:r>
        <w:rPr>
          <w:rFonts w:ascii="Palatino Linotype" w:eastAsia="Palatino Linotype" w:hAnsi="Palatino Linotype" w:cs="Palatino Linotype"/>
          <w:color w:val="000000"/>
        </w:rPr>
        <w:t xml:space="preserve">Resultando así que, la fotografía de los servidores públicos, cuando </w:t>
      </w:r>
      <w:r>
        <w:rPr>
          <w:rFonts w:ascii="Palatino Linotype" w:eastAsia="Palatino Linotype" w:hAnsi="Palatino Linotype" w:cs="Palatino Linotype"/>
        </w:rPr>
        <w:t>obra</w:t>
      </w:r>
      <w:r>
        <w:rPr>
          <w:rFonts w:ascii="Palatino Linotype" w:eastAsia="Palatino Linotype" w:hAnsi="Palatino Linotype" w:cs="Palatino Linotype"/>
          <w:color w:val="000000"/>
        </w:rPr>
        <w:t xml:space="preserve"> en título o cédula profesional es de acceso público y no procede su clasificación como información confidencial, aún y cuando corresponde a un dato personal.</w:t>
      </w:r>
    </w:p>
    <w:p w:rsidR="00FB18EB" w:rsidRDefault="008155AC">
      <w:pPr>
        <w:pStyle w:val="Ttulo3"/>
        <w:numPr>
          <w:ilvl w:val="0"/>
          <w:numId w:val="13"/>
        </w:numPr>
        <w:ind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 Única de Registro de Población (CURP).</w:t>
      </w:r>
    </w:p>
    <w:p w:rsidR="00FB18EB" w:rsidRDefault="008155AC">
      <w:pPr>
        <w:numPr>
          <w:ilvl w:val="0"/>
          <w:numId w:val="3"/>
        </w:numPr>
        <w:pBdr>
          <w:top w:val="nil"/>
          <w:left w:val="nil"/>
          <w:bottom w:val="nil"/>
          <w:right w:val="nil"/>
          <w:between w:val="nil"/>
        </w:pBd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w:t>
      </w:r>
      <w:r>
        <w:rPr>
          <w:rFonts w:ascii="Palatino Linotype" w:eastAsia="Palatino Linotype" w:hAnsi="Palatino Linotype" w:cs="Palatino Linotype"/>
          <w:color w:val="000000"/>
        </w:rPr>
        <w:lastRenderedPageBreak/>
        <w:t xml:space="preserve">se integra por dieciocho (18) caracteres, los cuales son: </w:t>
      </w:r>
      <w:r>
        <w:rPr>
          <w:noProof/>
        </w:rPr>
        <w:drawing>
          <wp:inline distT="0" distB="0" distL="0" distR="0">
            <wp:extent cx="5305425" cy="46767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25747" t="8269" r="41253" b="18081"/>
                    <a:stretch>
                      <a:fillRect/>
                    </a:stretch>
                  </pic:blipFill>
                  <pic:spPr>
                    <a:xfrm>
                      <a:off x="0" y="0"/>
                      <a:ext cx="5305425" cy="4676775"/>
                    </a:xfrm>
                    <a:prstGeom prst="rect">
                      <a:avLst/>
                    </a:prstGeom>
                    <a:ln/>
                  </pic:spPr>
                </pic:pic>
              </a:graphicData>
            </a:graphic>
          </wp:inline>
        </w:drawing>
      </w:r>
    </w:p>
    <w:p w:rsidR="00FB18EB" w:rsidRPr="00CD7009"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CD7009" w:rsidRDefault="00CD7009" w:rsidP="00CD7009">
      <w:pPr>
        <w:shd w:val="clear" w:color="auto" w:fill="FFFFFF"/>
        <w:spacing w:before="240" w:after="240" w:line="360" w:lineRule="auto"/>
        <w:ind w:right="-876"/>
        <w:jc w:val="both"/>
      </w:pP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lastRenderedPageBreak/>
        <w:t xml:space="preserve">Entre las características de la CURP, se encuentra: </w:t>
      </w:r>
    </w:p>
    <w:p w:rsidR="00FB18EB" w:rsidRDefault="008155AC">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Composición. </w:t>
      </w:r>
      <w:r>
        <w:rPr>
          <w:rFonts w:ascii="Palatino Linotype" w:eastAsia="Palatino Linotype" w:hAnsi="Palatino Linotype" w:cs="Palatino Linotype"/>
          <w:color w:val="000000"/>
        </w:rPr>
        <w:t>Alfanumérica.</w:t>
      </w:r>
    </w:p>
    <w:p w:rsidR="00FB18EB" w:rsidRDefault="008155AC">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Longitud. </w:t>
      </w:r>
      <w:r>
        <w:rPr>
          <w:rFonts w:ascii="Palatino Linotype" w:eastAsia="Palatino Linotype" w:hAnsi="Palatino Linotype" w:cs="Palatino Linotype"/>
          <w:color w:val="000000"/>
        </w:rPr>
        <w:t xml:space="preserve"> 18 caracteres.</w:t>
      </w:r>
    </w:p>
    <w:p w:rsidR="00FB18EB" w:rsidRDefault="008155AC">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Naturaleza. </w:t>
      </w:r>
      <w:r>
        <w:rPr>
          <w:rFonts w:ascii="Palatino Linotype" w:eastAsia="Palatino Linotype" w:hAnsi="Palatino Linotype" w:cs="Palatino Linotype"/>
          <w:color w:val="000000"/>
        </w:rPr>
        <w:t>Biunívoca.</w:t>
      </w:r>
    </w:p>
    <w:p w:rsidR="00FB18EB" w:rsidRDefault="008155AC">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Universalidad. </w:t>
      </w:r>
      <w:r>
        <w:rPr>
          <w:rFonts w:ascii="Palatino Linotype" w:eastAsia="Palatino Linotype" w:hAnsi="Palatino Linotype" w:cs="Palatino Linotype"/>
          <w:color w:val="000000"/>
        </w:rPr>
        <w:t>Se asigna a todas las personas que conforman la población.</w:t>
      </w:r>
    </w:p>
    <w:p w:rsidR="00FB18EB" w:rsidRDefault="008155AC">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Es entonces que, de lo anterior, se desprende que la Clave Única de Registro de Población es un dato personal confidencial, ya que por sí </w:t>
      </w:r>
      <w:r>
        <w:rPr>
          <w:rFonts w:ascii="Palatino Linotype" w:eastAsia="Palatino Linotype" w:hAnsi="Palatino Linotype" w:cs="Palatino Linotype"/>
        </w:rPr>
        <w:t>revela</w:t>
      </w:r>
      <w:r>
        <w:rPr>
          <w:rFonts w:ascii="Palatino Linotype" w:eastAsia="Palatino Linotype" w:hAnsi="Palatino Linotype" w:cs="Palatino Linotype"/>
          <w:color w:val="000000"/>
        </w:rPr>
        <w:t xml:space="preserve"> información personal de su titular, y su exposición únicamente vulneraría la esfera privada del mismo, aunado a que no guarda relación con el desempeño profesional o laboral de un individuo ni con el ejercicio de recursos públicos.</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lastRenderedPageBreak/>
        <w:t xml:space="preserve">Ante ello, resulta aplicable el Criterio 18/17 emitido por el Instituto Nacional de Transparencia, Acceso a la Información y Protección de Datos Personales, que a la literalidad señala: </w:t>
      </w:r>
    </w:p>
    <w:p w:rsidR="00FB18EB" w:rsidRDefault="008155AC">
      <w:pPr>
        <w:pBdr>
          <w:top w:val="nil"/>
          <w:left w:val="nil"/>
          <w:bottom w:val="nil"/>
          <w:right w:val="nil"/>
          <w:between w:val="nil"/>
        </w:pBdr>
        <w:tabs>
          <w:tab w:val="left" w:pos="567"/>
        </w:tabs>
        <w:spacing w:line="360" w:lineRule="auto"/>
        <w:ind w:left="360" w:right="-876"/>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Clave Única de Registro de Población (CURP). </w:t>
      </w:r>
      <w:r>
        <w:rPr>
          <w:rFonts w:ascii="Palatino Linotype" w:eastAsia="Palatino Linotype" w:hAnsi="Palatino Linotype" w:cs="Palatino Linotype"/>
          <w:i/>
          <w:iCs/>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p w:rsidR="00FB18EB" w:rsidRDefault="00FB18EB">
      <w:p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p>
    <w:p w:rsidR="00FB18EB" w:rsidRDefault="008155AC">
      <w:pPr>
        <w:pStyle w:val="Ttulo3"/>
        <w:numPr>
          <w:ilvl w:val="0"/>
          <w:numId w:val="15"/>
        </w:numPr>
        <w:ind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Registro Federal de Contribuyentes (RFC)</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w:t>
      </w:r>
      <w:r>
        <w:rPr>
          <w:rFonts w:ascii="Palatino Linotype" w:eastAsia="Palatino Linotype" w:hAnsi="Palatino Linotype" w:cs="Palatino Linotype"/>
          <w:color w:val="000000"/>
        </w:rPr>
        <w:lastRenderedPageBreak/>
        <w:t>propósito de realizar mediante esa clave de identificación, operaciones o actividades de naturaleza fiscal.</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Conforme a lo expuesto, el Registro Federal de Contribuyentes, es un dato personal, ya que hace a las personas físicas </w:t>
      </w:r>
      <w:r>
        <w:rPr>
          <w:rFonts w:ascii="Palatino Linotype" w:eastAsia="Palatino Linotype" w:hAnsi="Palatino Linotype" w:cs="Palatino Linotype"/>
        </w:rPr>
        <w:t>identificadas</w:t>
      </w:r>
      <w:r>
        <w:rPr>
          <w:rFonts w:ascii="Palatino Linotype" w:eastAsia="Palatino Linotype" w:hAnsi="Palatino Linotype" w:cs="Palatino Linotype"/>
          <w:color w:val="000000"/>
        </w:rPr>
        <w:t xml:space="preserve">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FB18EB" w:rsidRDefault="008155AC">
      <w:pPr>
        <w:pBdr>
          <w:top w:val="nil"/>
          <w:left w:val="nil"/>
          <w:bottom w:val="nil"/>
          <w:right w:val="nil"/>
          <w:between w:val="nil"/>
        </w:pBdr>
        <w:spacing w:line="360" w:lineRule="auto"/>
        <w:ind w:left="851"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Registro Federal de Contribuyentes (RFC) de personas físicas. </w:t>
      </w:r>
    </w:p>
    <w:p w:rsidR="00FB18EB" w:rsidRDefault="008155AC">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RFC es una clave de carácter fiscal, única e irrepetible, que permite identificar al titular, su edad y fecha de nacimiento, por lo que es un dato personal de carácter confidencial.</w:t>
      </w:r>
    </w:p>
    <w:p w:rsidR="00FB18EB" w:rsidRDefault="008155AC">
      <w:pPr>
        <w:numPr>
          <w:ilvl w:val="0"/>
          <w:numId w:val="3"/>
        </w:numPr>
        <w:shd w:val="clear" w:color="auto" w:fill="FFFFFF"/>
        <w:spacing w:before="240" w:after="240" w:line="360" w:lineRule="auto"/>
        <w:ind w:left="0" w:right="-876" w:firstLine="0"/>
        <w:jc w:val="both"/>
      </w:pPr>
      <w:bookmarkStart w:id="10" w:name="_heading=h.35nkun2" w:colFirst="0" w:colLast="0"/>
      <w:bookmarkEnd w:id="10"/>
      <w:r>
        <w:rPr>
          <w:rFonts w:ascii="Palatino Linotype" w:eastAsia="Palatino Linotype" w:hAnsi="Palatino Linotype" w:cs="Palatino Linotype"/>
          <w:b/>
          <w:bCs/>
          <w:color w:val="000000"/>
        </w:rPr>
        <w:t>De tal suerte, el Registro Federal de Contribuyentes de las personas físicas no guarda relación con la transparencia de los recursos públicos</w:t>
      </w:r>
      <w:r>
        <w:rPr>
          <w:rFonts w:ascii="Palatino Linotype" w:eastAsia="Palatino Linotype" w:hAnsi="Palatino Linotype" w:cs="Palatino Linotype"/>
          <w:color w:val="000000"/>
        </w:rPr>
        <w:t>, así como tampoco con el desempeño laboral que pueda tener una persona.</w:t>
      </w:r>
    </w:p>
    <w:p w:rsidR="00FB18EB" w:rsidRDefault="008155AC">
      <w:pPr>
        <w:pStyle w:val="Ttulo3"/>
        <w:numPr>
          <w:ilvl w:val="0"/>
          <w:numId w:val="15"/>
        </w:numPr>
        <w:ind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CÓDIGO QR</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Pr>
          <w:rFonts w:ascii="Palatino Linotype" w:eastAsia="Palatino Linotype" w:hAnsi="Palatino Linotype" w:cs="Palatino Linotype"/>
          <w:i/>
          <w:iCs/>
          <w:color w:val="000000"/>
        </w:rPr>
        <w:t>QR Code (Quick Response Code)</w:t>
      </w:r>
      <w:r>
        <w:rPr>
          <w:rFonts w:ascii="Palatino Linotype" w:eastAsia="Palatino Linotype" w:hAnsi="Palatino Linotype" w:cs="Palatino Linotype"/>
          <w:color w:val="000000"/>
        </w:rPr>
        <w:t xml:space="preserve">, el cual contiene el Registro Federal de Contribuyentes del receptor, del emisor, </w:t>
      </w:r>
      <w:r>
        <w:rPr>
          <w:rFonts w:ascii="Palatino Linotype" w:eastAsia="Palatino Linotype" w:hAnsi="Palatino Linotype" w:cs="Palatino Linotype"/>
          <w:color w:val="000000"/>
        </w:rPr>
        <w:lastRenderedPageBreak/>
        <w:t xml:space="preserve">o de ambos; lo anterior, conforme al Anexo 20 de la Segunda Resolución de modificación a la Resolución Miscelánea Fiscal para el 2017, localizada en la página electrónica  </w:t>
      </w:r>
      <w:hyperlink r:id="rId11">
        <w:r>
          <w:rPr>
            <w:rFonts w:ascii="Palatino Linotype" w:eastAsia="Palatino Linotype" w:hAnsi="Palatino Linotype" w:cs="Palatino Linotype"/>
            <w:color w:val="0563C1"/>
            <w:u w:val="single"/>
          </w:rPr>
          <w:t>http://dof.gob.mx/nota_detalle.php?codigo=5492254&amp;fecha=28/07/2017</w:t>
        </w:r>
      </w:hyperlink>
      <w:r>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rsidR="00FB18EB" w:rsidRDefault="008155AC">
      <w:pPr>
        <w:numPr>
          <w:ilvl w:val="0"/>
          <w:numId w:val="1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Única de Registro de Población (CURP)</w:t>
      </w:r>
    </w:p>
    <w:p w:rsidR="00FB18EB" w:rsidRDefault="008155AC">
      <w:pPr>
        <w:numPr>
          <w:ilvl w:val="0"/>
          <w:numId w:val="1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ISSEMyM</w:t>
      </w:r>
    </w:p>
    <w:p w:rsidR="00FB18EB" w:rsidRDefault="008155AC">
      <w:pPr>
        <w:numPr>
          <w:ilvl w:val="0"/>
          <w:numId w:val="1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Número de empleado </w:t>
      </w:r>
      <w:r>
        <w:rPr>
          <w:rFonts w:ascii="Palatino Linotype" w:eastAsia="Palatino Linotype" w:hAnsi="Palatino Linotype" w:cs="Palatino Linotype"/>
          <w:b/>
          <w:bCs/>
          <w:color w:val="000000"/>
        </w:rPr>
        <w:t>(sólo en el caso de que contenga datos personales o se relacione con los mismos, de lo contrario es información pública)</w:t>
      </w:r>
    </w:p>
    <w:p w:rsidR="00FB18EB" w:rsidRDefault="008155AC">
      <w:pPr>
        <w:numPr>
          <w:ilvl w:val="0"/>
          <w:numId w:val="1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Registro Federal de Contribuyentes (RFC)</w:t>
      </w:r>
    </w:p>
    <w:p w:rsidR="00FB18EB" w:rsidRDefault="008155AC">
      <w:pPr>
        <w:numPr>
          <w:ilvl w:val="0"/>
          <w:numId w:val="1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Deducciones personales</w:t>
      </w:r>
    </w:p>
    <w:p w:rsidR="00FB18EB" w:rsidRDefault="008155AC">
      <w:pPr>
        <w:numPr>
          <w:ilvl w:val="0"/>
          <w:numId w:val="14"/>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Código QR</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lastRenderedPageBreak/>
        <w:t>Es decir, los datos personales enlistados constituyen datos personales confidenciales al actualizar el supuesto normativo del artículo 143, fracción I de la Ley de Transparencia y Acceso a la Información Pública del Estado de México y Municipios.</w:t>
      </w:r>
    </w:p>
    <w:p w:rsidR="00FB18EB" w:rsidRDefault="008155AC">
      <w:pPr>
        <w:numPr>
          <w:ilvl w:val="0"/>
          <w:numId w:val="3"/>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FB18EB" w:rsidRDefault="008155AC">
      <w:pPr>
        <w:numPr>
          <w:ilvl w:val="0"/>
          <w:numId w:val="3"/>
        </w:numPr>
        <w:shd w:val="clear" w:color="auto" w:fill="FFFFFF"/>
        <w:spacing w:before="240" w:after="240" w:line="360" w:lineRule="auto"/>
        <w:ind w:left="0" w:right="-876" w:firstLine="0"/>
        <w:jc w:val="both"/>
      </w:pPr>
      <w:bookmarkStart w:id="11" w:name="_heading=h.44sinio" w:colFirst="0" w:colLast="0"/>
      <w:bookmarkEnd w:id="11"/>
      <w:r>
        <w:rPr>
          <w:rFonts w:ascii="Palatino Linotype" w:eastAsia="Palatino Linotype" w:hAnsi="Palatino Linotype" w:cs="Palatino Linotype"/>
          <w:color w:val="000000"/>
        </w:rPr>
        <w:t>Ahora bien, siguiendo con el análisis de los datos que contienen los recibos remitidos, siguen los siguientes:</w:t>
      </w:r>
    </w:p>
    <w:p w:rsidR="00FB18EB" w:rsidRDefault="008155AC">
      <w:pPr>
        <w:numPr>
          <w:ilvl w:val="0"/>
          <w:numId w:val="3"/>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p>
    <w:p w:rsidR="00FB18EB" w:rsidRDefault="008155AC">
      <w:pPr>
        <w:keepNext/>
        <w:keepLines/>
        <w:spacing w:line="360" w:lineRule="auto"/>
        <w:ind w:right="-876"/>
        <w:jc w:val="center"/>
        <w:rPr>
          <w:rFonts w:ascii="Palatino Linotype" w:eastAsia="Palatino Linotype" w:hAnsi="Palatino Linotype" w:cs="Palatino Linotype"/>
          <w:b/>
          <w:bCs/>
          <w:color w:val="000000"/>
        </w:rPr>
      </w:pPr>
      <w:bookmarkStart w:id="12" w:name="_heading=h.rlcwbrtwu90c" w:colFirst="0" w:colLast="0"/>
      <w:bookmarkEnd w:id="12"/>
      <w:r>
        <w:rPr>
          <w:rFonts w:ascii="Palatino Linotype" w:eastAsia="Palatino Linotype" w:hAnsi="Palatino Linotype" w:cs="Palatino Linotype"/>
          <w:b/>
          <w:bCs/>
          <w:color w:val="000000"/>
        </w:rPr>
        <w:t>R E S O L U T I V O S</w:t>
      </w:r>
    </w:p>
    <w:p w:rsidR="00FB18EB" w:rsidRDefault="00FB18EB">
      <w:pPr>
        <w:keepNext/>
        <w:keepLines/>
        <w:spacing w:line="360" w:lineRule="auto"/>
        <w:ind w:right="-876"/>
        <w:jc w:val="center"/>
        <w:rPr>
          <w:rFonts w:ascii="Palatino Linotype" w:eastAsia="Palatino Linotype" w:hAnsi="Palatino Linotype" w:cs="Palatino Linotype"/>
          <w:b/>
          <w:bCs/>
          <w:color w:val="000000"/>
        </w:rPr>
      </w:pPr>
    </w:p>
    <w:p w:rsidR="00FB18EB" w:rsidRDefault="008155AC">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03828/INFOEM/IP/RR/2026,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FB18EB" w:rsidRDefault="00FB18EB">
      <w:pPr>
        <w:spacing w:line="360" w:lineRule="auto"/>
        <w:ind w:right="-876"/>
        <w:jc w:val="both"/>
        <w:rPr>
          <w:rFonts w:ascii="Palatino Linotype" w:eastAsia="Palatino Linotype" w:hAnsi="Palatino Linotype" w:cs="Palatino Linotype"/>
        </w:rPr>
      </w:pPr>
    </w:p>
    <w:p w:rsidR="00FB18EB" w:rsidRDefault="008155AC">
      <w:pPr>
        <w:spacing w:line="360" w:lineRule="auto"/>
        <w:ind w:right="-876"/>
        <w:jc w:val="both"/>
        <w:rPr>
          <w:rFonts w:ascii="Palatino Linotype" w:eastAsia="Palatino Linotype" w:hAnsi="Palatino Linotype" w:cs="Palatino Linotype"/>
        </w:rPr>
      </w:pPr>
      <w:bookmarkStart w:id="13" w:name="_heading=h.ugrhesnporkr" w:colFirst="0" w:colLast="0"/>
      <w:bookmarkEnd w:id="13"/>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MODIFICA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 xml:space="preserve">Organismo Descentralizado de Agua Potable, Alcantarillado y Saneamiento de Valle de Chalco Solidaridad </w:t>
      </w:r>
      <w:r>
        <w:rPr>
          <w:rFonts w:ascii="Palatino Linotype" w:eastAsia="Palatino Linotype" w:hAnsi="Palatino Linotype" w:cs="Palatino Linotype"/>
        </w:rPr>
        <w:t>y se</w:t>
      </w:r>
      <w:r>
        <w:rPr>
          <w:rFonts w:ascii="Palatino Linotype" w:eastAsia="Palatino Linotype" w:hAnsi="Palatino Linotype" w:cs="Palatino Linotype"/>
          <w:b/>
          <w:bCs/>
        </w:rPr>
        <w:t xml:space="preserve"> ORDENA </w:t>
      </w:r>
      <w:r w:rsidR="00E84975">
        <w:rPr>
          <w:rFonts w:ascii="Palatino Linotype" w:eastAsia="Palatino Linotype" w:hAnsi="Palatino Linotype" w:cs="Palatino Linotype"/>
        </w:rPr>
        <w:t>entregar vía Sistema de Acceso</w:t>
      </w:r>
      <w:r>
        <w:rPr>
          <w:rFonts w:ascii="Palatino Linotype" w:eastAsia="Palatino Linotype" w:hAnsi="Palatino Linotype" w:cs="Palatino Linotype"/>
        </w:rPr>
        <w:t xml:space="preserve"> a la Información Mexiquense (SAIMEX), previa búsqueda </w:t>
      </w:r>
      <w:r>
        <w:rPr>
          <w:rFonts w:ascii="Palatino Linotype" w:eastAsia="Palatino Linotype" w:hAnsi="Palatino Linotype" w:cs="Palatino Linotype"/>
        </w:rPr>
        <w:lastRenderedPageBreak/>
        <w:t xml:space="preserve">exhaustiva en versión pública, DE TODO EL PERSONAL ADSCRITO a la Dirección de </w:t>
      </w:r>
      <w:r w:rsidRPr="00ED6AC3">
        <w:rPr>
          <w:rFonts w:ascii="Palatino Linotype" w:eastAsia="Palatino Linotype" w:hAnsi="Palatino Linotype" w:cs="Palatino Linotype"/>
        </w:rPr>
        <w:t>Finanzas</w:t>
      </w:r>
      <w:r w:rsidR="00653764" w:rsidRPr="00ED6AC3">
        <w:rPr>
          <w:rFonts w:ascii="Palatino Linotype" w:eastAsia="Palatino Linotype" w:hAnsi="Palatino Linotype" w:cs="Palatino Linotype"/>
          <w:b/>
          <w:bCs/>
        </w:rPr>
        <w:t xml:space="preserve"> </w:t>
      </w:r>
      <w:r w:rsidR="00E84975" w:rsidRPr="00ED6AC3">
        <w:rPr>
          <w:rFonts w:ascii="Palatino Linotype" w:eastAsia="Palatino Linotype" w:hAnsi="Palatino Linotype" w:cs="Palatino Linotype"/>
          <w:b/>
          <w:bCs/>
        </w:rPr>
        <w:t>al 23</w:t>
      </w:r>
      <w:r w:rsidR="00653764" w:rsidRPr="00ED6AC3">
        <w:rPr>
          <w:rFonts w:ascii="Palatino Linotype" w:eastAsia="Palatino Linotype" w:hAnsi="Palatino Linotype" w:cs="Palatino Linotype"/>
          <w:b/>
          <w:bCs/>
        </w:rPr>
        <w:t xml:space="preserve"> de febrero de dos mil veintiséis, </w:t>
      </w:r>
      <w:r w:rsidRPr="00ED6AC3">
        <w:rPr>
          <w:rFonts w:ascii="Palatino Linotype" w:eastAsia="Palatino Linotype" w:hAnsi="Palatino Linotype" w:cs="Palatino Linotype"/>
        </w:rPr>
        <w:t>la</w:t>
      </w:r>
      <w:r>
        <w:rPr>
          <w:rFonts w:ascii="Palatino Linotype" w:eastAsia="Palatino Linotype" w:hAnsi="Palatino Linotype" w:cs="Palatino Linotype"/>
        </w:rPr>
        <w:t xml:space="preserve"> siguiente información:</w:t>
      </w:r>
    </w:p>
    <w:p w:rsidR="00FB18EB" w:rsidRDefault="00FB18EB">
      <w:pPr>
        <w:spacing w:line="360" w:lineRule="auto"/>
        <w:ind w:right="-876"/>
        <w:jc w:val="both"/>
        <w:rPr>
          <w:rFonts w:ascii="Palatino Linotype" w:eastAsia="Palatino Linotype" w:hAnsi="Palatino Linotype" w:cs="Palatino Linotype"/>
        </w:rPr>
      </w:pPr>
    </w:p>
    <w:p w:rsidR="00FB18EB" w:rsidRDefault="008155AC">
      <w:pPr>
        <w:numPr>
          <w:ilvl w:val="0"/>
          <w:numId w:val="19"/>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Currículum, ficha curricular y/o documento análogo de los Servidores Públicos faltantes</w:t>
      </w:r>
    </w:p>
    <w:p w:rsidR="00FB18EB" w:rsidRDefault="008155AC">
      <w:pPr>
        <w:numPr>
          <w:ilvl w:val="0"/>
          <w:numId w:val="19"/>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Cédula Profesional</w:t>
      </w:r>
    </w:p>
    <w:p w:rsidR="00FB18EB" w:rsidRDefault="00FB18EB">
      <w:pPr>
        <w:tabs>
          <w:tab w:val="left" w:pos="8080"/>
        </w:tabs>
        <w:spacing w:line="360" w:lineRule="auto"/>
        <w:ind w:right="-876"/>
        <w:jc w:val="both"/>
        <w:rPr>
          <w:rFonts w:ascii="Palatino Linotype" w:eastAsia="Palatino Linotype" w:hAnsi="Palatino Linotype" w:cs="Palatino Linotype"/>
          <w:b/>
          <w:bCs/>
        </w:rPr>
      </w:pPr>
    </w:p>
    <w:p w:rsidR="00FB18EB" w:rsidRDefault="008155AC">
      <w:pPr>
        <w:spacing w:line="360" w:lineRule="auto"/>
        <w:ind w:right="-876"/>
        <w:jc w:val="both"/>
        <w:rPr>
          <w:rFonts w:ascii="Palatino Linotype" w:eastAsia="Palatino Linotype" w:hAnsi="Palatino Linotype" w:cs="Palatino Linotype"/>
        </w:rPr>
      </w:pPr>
      <w:bookmarkStart w:id="14" w:name="_heading=h.gry15slapdra" w:colFirst="0" w:colLast="0"/>
      <w:bookmarkEnd w:id="14"/>
      <w:r>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FB18EB" w:rsidRDefault="00FB18EB">
      <w:pPr>
        <w:tabs>
          <w:tab w:val="left" w:pos="8080"/>
        </w:tabs>
        <w:spacing w:line="360" w:lineRule="auto"/>
        <w:ind w:right="-876"/>
        <w:jc w:val="both"/>
        <w:rPr>
          <w:rFonts w:ascii="Palatino Linotype" w:eastAsia="Palatino Linotype" w:hAnsi="Palatino Linotype" w:cs="Palatino Linotype"/>
          <w:b/>
          <w:bCs/>
        </w:rPr>
      </w:pPr>
    </w:p>
    <w:p w:rsidR="00FB18EB" w:rsidRDefault="008155AC">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Para el caso de que la información que se ordena </w:t>
      </w:r>
      <w:r w:rsidRPr="00E84975">
        <w:rPr>
          <w:rFonts w:ascii="Palatino Linotype" w:eastAsia="Palatino Linotype" w:hAnsi="Palatino Linotype" w:cs="Palatino Linotype"/>
        </w:rPr>
        <w:t>entregar respecto a la Cédula Profesional del personal administrativo adscrito a la Dirección de Finanzas mencionado en el inciso b), no obre en los archivos del Sujeto Obligado, bastará con que así se haga del conocimiento del Particular en términos del artículo 19, párrafo segundo, de la Ley de Transparencia</w:t>
      </w:r>
      <w:r>
        <w:rPr>
          <w:rFonts w:ascii="Palatino Linotype" w:eastAsia="Palatino Linotype" w:hAnsi="Palatino Linotype" w:cs="Palatino Linotype"/>
        </w:rPr>
        <w:t xml:space="preserve"> y Acceso a la Información Pública del Estado de México y Municipios, para tener por colmado dicho requerimiento.</w:t>
      </w:r>
    </w:p>
    <w:p w:rsidR="00FB18EB" w:rsidRDefault="00FB18EB">
      <w:pPr>
        <w:tabs>
          <w:tab w:val="left" w:pos="8080"/>
        </w:tabs>
        <w:spacing w:line="360" w:lineRule="auto"/>
        <w:ind w:right="-876"/>
        <w:jc w:val="both"/>
        <w:rPr>
          <w:rFonts w:ascii="Palatino Linotype" w:eastAsia="Palatino Linotype" w:hAnsi="Palatino Linotype" w:cs="Palatino Linotype"/>
          <w:b/>
          <w:bCs/>
        </w:rPr>
      </w:pPr>
    </w:p>
    <w:p w:rsidR="00FB18EB" w:rsidRDefault="008155AC">
      <w:pPr>
        <w:tabs>
          <w:tab w:val="left" w:pos="8080"/>
        </w:tabs>
        <w:spacing w:line="360" w:lineRule="auto"/>
        <w:ind w:right="-876"/>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w:t>
      </w:r>
      <w:r>
        <w:rPr>
          <w:rFonts w:ascii="Palatino Linotype" w:eastAsia="Palatino Linotype" w:hAnsi="Palatino Linotype" w:cs="Palatino Linotype"/>
        </w:rPr>
        <w:lastRenderedPageBreak/>
        <w:t xml:space="preserve">segundo párrafo y 194 de la Ley de Transparencia y Acceso a la Información Pública del Estado de México y Municipios </w:t>
      </w:r>
      <w:r w:rsidRPr="00E84975">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B18EB" w:rsidRDefault="00FB18EB">
      <w:pPr>
        <w:tabs>
          <w:tab w:val="left" w:pos="8080"/>
        </w:tabs>
        <w:spacing w:line="360" w:lineRule="auto"/>
        <w:ind w:right="-876"/>
        <w:jc w:val="both"/>
        <w:rPr>
          <w:rFonts w:ascii="Palatino Linotype" w:eastAsia="Palatino Linotype" w:hAnsi="Palatino Linotype" w:cs="Palatino Linotype"/>
          <w:color w:val="222222"/>
        </w:rPr>
      </w:pPr>
    </w:p>
    <w:p w:rsidR="00FB18EB" w:rsidRDefault="008155AC">
      <w:pPr>
        <w:shd w:val="clear" w:color="auto" w:fill="FFFFFF"/>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CUARTO. Notifíquese al RECURRENTE</w:t>
      </w:r>
      <w:r>
        <w:rPr>
          <w:rFonts w:ascii="Palatino Linotype" w:eastAsia="Palatino Linotype" w:hAnsi="Palatino Linotype" w:cs="Palatino Linotype"/>
        </w:rPr>
        <w:t xml:space="preserve"> la presente resolución vía SAIMEX.</w:t>
      </w:r>
    </w:p>
    <w:p w:rsidR="00FB18EB" w:rsidRDefault="00FB18EB">
      <w:pPr>
        <w:shd w:val="clear" w:color="auto" w:fill="FFFFFF"/>
        <w:spacing w:line="360" w:lineRule="auto"/>
        <w:ind w:right="-876"/>
        <w:jc w:val="both"/>
        <w:rPr>
          <w:rFonts w:ascii="Palatino Linotype" w:eastAsia="Palatino Linotype" w:hAnsi="Palatino Linotype" w:cs="Palatino Linotype"/>
          <w:b/>
          <w:bCs/>
          <w:color w:val="FF0000"/>
        </w:rPr>
      </w:pPr>
    </w:p>
    <w:p w:rsidR="00FB18EB" w:rsidRDefault="008155AC">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FB18EB" w:rsidRDefault="00FB18EB">
      <w:pPr>
        <w:spacing w:line="360" w:lineRule="auto"/>
        <w:ind w:right="-876"/>
        <w:jc w:val="both"/>
        <w:rPr>
          <w:rFonts w:ascii="Palatino Linotype" w:eastAsia="Palatino Linotype" w:hAnsi="Palatino Linotype" w:cs="Palatino Linotype"/>
          <w:color w:val="000000"/>
        </w:rPr>
      </w:pPr>
    </w:p>
    <w:p w:rsidR="00FB18EB" w:rsidRDefault="008155AC">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color w:val="000000"/>
        </w:rPr>
        <w:t xml:space="preserve">SEXTO. </w:t>
      </w:r>
      <w:r>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FB18EB" w:rsidRDefault="00FB18EB">
      <w:pPr>
        <w:shd w:val="clear" w:color="auto" w:fill="FFFFFF"/>
        <w:spacing w:line="360" w:lineRule="auto"/>
        <w:ind w:right="-876"/>
        <w:jc w:val="both"/>
        <w:rPr>
          <w:rFonts w:ascii="Palatino Linotype" w:eastAsia="Palatino Linotype" w:hAnsi="Palatino Linotype" w:cs="Palatino Linotype"/>
        </w:rPr>
      </w:pPr>
    </w:p>
    <w:p w:rsidR="00E84975" w:rsidRPr="0071724F" w:rsidRDefault="00E84975" w:rsidP="00E84975">
      <w:pPr>
        <w:spacing w:before="240" w:after="240" w:line="360" w:lineRule="auto"/>
        <w:ind w:right="-737" w:firstLine="1"/>
        <w:jc w:val="both"/>
        <w:rPr>
          <w:rFonts w:ascii="Palatino Linotype" w:hAnsi="Palatino Linotype"/>
        </w:rPr>
      </w:pPr>
      <w:bookmarkStart w:id="15" w:name="_Hlk99014733"/>
      <w:r w:rsidRPr="0071724F">
        <w:rPr>
          <w:rFonts w:ascii="Palatino Linotype" w:hAnsi="Palatino Linotype" w:cs="Palatino Linotype"/>
        </w:rPr>
        <w:t xml:space="preserve">ASÍ LO RESUELVE, POR UNANIMIDAD DE VOTOS, EL PLENO DEL INSTITUTO DE TRANSPARENCIA, ACCESO A LA INFORMACIÓN PÚBLICA Y PROTECCIÓN DE </w:t>
      </w:r>
      <w:r w:rsidRPr="0071724F">
        <w:rPr>
          <w:rFonts w:ascii="Palatino Linotype" w:hAnsi="Palatino Linotype" w:cs="Palatino Linotype"/>
        </w:rPr>
        <w:lastRenderedPageBreak/>
        <w:t>DATOS PERSONALES DEL ESTADO DE MÉXICO Y MUNICIPIOS, CONFORMADO POR LOS COMISIONADOS JOSÉ MARTÍNEZ VILCHIS, MARÍA DEL ROSARIO MEJÍA AYALA</w:t>
      </w:r>
      <w:r w:rsidR="0071724F" w:rsidRPr="0071724F">
        <w:rPr>
          <w:rFonts w:ascii="Palatino Linotype" w:hAnsi="Palatino Linotype" w:cs="Palatino Linotype"/>
        </w:rPr>
        <w:t xml:space="preserve"> EMITIENDO VOTO PARTICULAR CONCURRENTE</w:t>
      </w:r>
      <w:r w:rsidRPr="0071724F">
        <w:rPr>
          <w:rFonts w:ascii="Palatino Linotype" w:hAnsi="Palatino Linotype" w:cs="Palatino Linotype"/>
        </w:rPr>
        <w:t>, SHARON CRISTINA MORALES MARTÍNEZ</w:t>
      </w:r>
      <w:r w:rsidR="0071724F" w:rsidRPr="0071724F">
        <w:rPr>
          <w:rFonts w:ascii="Palatino Linotype" w:hAnsi="Palatino Linotype" w:cs="Palatino Linotype"/>
        </w:rPr>
        <w:t xml:space="preserve"> EMITIENDO VOTO PARTICULAR</w:t>
      </w:r>
      <w:r w:rsidRPr="0071724F">
        <w:rPr>
          <w:rFonts w:ascii="Palatino Linotype" w:hAnsi="Palatino Linotype" w:cs="Palatino Linotype"/>
        </w:rPr>
        <w:t xml:space="preserve">, LUIS GUSTAVO PARRA NORIEGA </w:t>
      </w:r>
      <w:r w:rsidR="0071724F" w:rsidRPr="0071724F">
        <w:rPr>
          <w:rFonts w:ascii="Palatino Linotype" w:hAnsi="Palatino Linotype" w:cs="Palatino Linotype"/>
        </w:rPr>
        <w:t xml:space="preserve">EMITIENDO VOTO PARTICULAR CONCURRENTE </w:t>
      </w:r>
      <w:r w:rsidRPr="0071724F">
        <w:rPr>
          <w:rFonts w:ascii="Palatino Linotype" w:hAnsi="Palatino Linotype" w:cs="Palatino Linotype"/>
        </w:rPr>
        <w:t>Y GUADALUPE RAMÍREZ PEÑA</w:t>
      </w:r>
      <w:r w:rsidR="0071724F" w:rsidRPr="0071724F">
        <w:rPr>
          <w:rFonts w:ascii="Palatino Linotype" w:hAnsi="Palatino Linotype" w:cs="Palatino Linotype"/>
        </w:rPr>
        <w:t xml:space="preserve"> EMITIENDO VOTO PARTICULAR</w:t>
      </w:r>
      <w:r w:rsidRPr="0071724F">
        <w:rPr>
          <w:rFonts w:ascii="Palatino Linotype" w:hAnsi="Palatino Linotype" w:cs="Palatino Linotype"/>
        </w:rPr>
        <w:t xml:space="preserve">; EN LA VIGÉSIMA CUARTA SESIÓN ORDINARIA, CELEBRADA EL UNO (01) DE JULIO DE DOS MIL VEINTISÉIS, ANTE EL SECRETARIO TÉCNICO DEL PLENO </w:t>
      </w:r>
      <w:r w:rsidRPr="0071724F">
        <w:rPr>
          <w:rFonts w:ascii="Palatino Linotype" w:hAnsi="Palatino Linotype" w:cs="Palatino Linotype"/>
          <w:color w:val="000000" w:themeColor="text1"/>
        </w:rPr>
        <w:t>ALEXIS TAPIA RAMÍREZ.</w:t>
      </w:r>
    </w:p>
    <w:bookmarkEnd w:id="15"/>
    <w:p w:rsidR="00FB18EB" w:rsidRPr="0071724F" w:rsidRDefault="00FB18EB">
      <w:pPr>
        <w:spacing w:line="360" w:lineRule="auto"/>
        <w:ind w:right="-876"/>
        <w:rPr>
          <w:rFonts w:ascii="Palatino Linotype" w:eastAsia="Palatino Linotype" w:hAnsi="Palatino Linotype" w:cs="Palatino Linotype"/>
        </w:rPr>
      </w:pPr>
    </w:p>
    <w:p w:rsidR="00FB18EB" w:rsidRDefault="00FB18EB">
      <w:pPr>
        <w:spacing w:line="360" w:lineRule="auto"/>
        <w:ind w:right="-876"/>
        <w:rPr>
          <w:rFonts w:ascii="Palatino Linotype" w:eastAsia="Palatino Linotype" w:hAnsi="Palatino Linotype" w:cs="Palatino Linotype"/>
        </w:rPr>
      </w:pPr>
    </w:p>
    <w:p w:rsidR="00FB18EB" w:rsidRDefault="00FB18EB">
      <w:pPr>
        <w:spacing w:line="360" w:lineRule="auto"/>
        <w:ind w:right="-876"/>
        <w:rPr>
          <w:rFonts w:ascii="Palatino Linotype" w:eastAsia="Palatino Linotype" w:hAnsi="Palatino Linotype" w:cs="Palatino Linotype"/>
        </w:rPr>
      </w:pPr>
    </w:p>
    <w:p w:rsidR="00FB18EB" w:rsidRDefault="00FB18EB">
      <w:pPr>
        <w:spacing w:line="360" w:lineRule="auto"/>
        <w:ind w:right="-876"/>
        <w:rPr>
          <w:rFonts w:ascii="Palatino Linotype" w:eastAsia="Palatino Linotype" w:hAnsi="Palatino Linotype" w:cs="Palatino Linotype"/>
        </w:rPr>
      </w:pPr>
    </w:p>
    <w:p w:rsidR="00FB18EB" w:rsidRDefault="00FB18EB">
      <w:pPr>
        <w:spacing w:line="360" w:lineRule="auto"/>
        <w:ind w:right="-876"/>
        <w:rPr>
          <w:rFonts w:ascii="Palatino Linotype" w:eastAsia="Palatino Linotype" w:hAnsi="Palatino Linotype" w:cs="Palatino Linotype"/>
        </w:rPr>
      </w:pPr>
    </w:p>
    <w:p w:rsidR="00FB18EB" w:rsidRDefault="00FB18EB">
      <w:pPr>
        <w:spacing w:line="360" w:lineRule="auto"/>
        <w:ind w:right="-876"/>
        <w:rPr>
          <w:rFonts w:ascii="Palatino Linotype" w:eastAsia="Palatino Linotype" w:hAnsi="Palatino Linotype" w:cs="Palatino Linotype"/>
        </w:rPr>
      </w:pPr>
    </w:p>
    <w:p w:rsidR="00CD7009" w:rsidRDefault="00CD7009">
      <w:pPr>
        <w:spacing w:line="360" w:lineRule="auto"/>
        <w:ind w:right="-876"/>
        <w:rPr>
          <w:rFonts w:ascii="Palatino Linotype" w:eastAsia="Palatino Linotype" w:hAnsi="Palatino Linotype" w:cs="Palatino Linotype"/>
        </w:rPr>
      </w:pPr>
    </w:p>
    <w:p w:rsidR="00CD7009" w:rsidRDefault="00CD7009">
      <w:pPr>
        <w:spacing w:line="360" w:lineRule="auto"/>
        <w:ind w:right="-876"/>
        <w:rPr>
          <w:rFonts w:ascii="Palatino Linotype" w:eastAsia="Palatino Linotype" w:hAnsi="Palatino Linotype" w:cs="Palatino Linotype"/>
        </w:rPr>
      </w:pPr>
    </w:p>
    <w:p w:rsidR="00CD7009" w:rsidRDefault="00CD7009">
      <w:pPr>
        <w:spacing w:line="360" w:lineRule="auto"/>
        <w:ind w:right="-876"/>
        <w:rPr>
          <w:rFonts w:ascii="Palatino Linotype" w:eastAsia="Palatino Linotype" w:hAnsi="Palatino Linotype" w:cs="Palatino Linotype"/>
        </w:rPr>
      </w:pPr>
    </w:p>
    <w:p w:rsidR="00CD7009" w:rsidRDefault="00CD7009">
      <w:pPr>
        <w:spacing w:line="360" w:lineRule="auto"/>
        <w:ind w:right="-876"/>
        <w:rPr>
          <w:rFonts w:ascii="Palatino Linotype" w:eastAsia="Palatino Linotype" w:hAnsi="Palatino Linotype" w:cs="Palatino Linotype"/>
        </w:rPr>
      </w:pPr>
    </w:p>
    <w:p w:rsidR="00CD7009" w:rsidRDefault="00CD7009">
      <w:pPr>
        <w:spacing w:line="360" w:lineRule="auto"/>
        <w:ind w:right="-876"/>
        <w:rPr>
          <w:rFonts w:ascii="Palatino Linotype" w:eastAsia="Palatino Linotype" w:hAnsi="Palatino Linotype" w:cs="Palatino Linotype"/>
        </w:rPr>
      </w:pPr>
    </w:p>
    <w:p w:rsidR="00CD7009" w:rsidRDefault="00CD7009">
      <w:pPr>
        <w:spacing w:line="360" w:lineRule="auto"/>
        <w:ind w:right="-876"/>
        <w:rPr>
          <w:rFonts w:ascii="Palatino Linotype" w:eastAsia="Palatino Linotype" w:hAnsi="Palatino Linotype" w:cs="Palatino Linotype"/>
        </w:rPr>
      </w:pPr>
    </w:p>
    <w:p w:rsidR="00FB18EB" w:rsidRDefault="00FB18EB">
      <w:pPr>
        <w:ind w:right="-876"/>
        <w:rPr>
          <w:rFonts w:ascii="Palatino Linotype" w:eastAsia="Palatino Linotype" w:hAnsi="Palatino Linotype" w:cs="Palatino Linotype"/>
        </w:rPr>
      </w:pPr>
    </w:p>
    <w:p w:rsidR="00FB18EB" w:rsidRDefault="00FB18EB">
      <w:pPr>
        <w:ind w:right="-876"/>
        <w:rPr>
          <w:rFonts w:ascii="Palatino Linotype" w:eastAsia="Palatino Linotype" w:hAnsi="Palatino Linotype" w:cs="Palatino Linotype"/>
        </w:rPr>
      </w:pPr>
    </w:p>
    <w:p w:rsidR="00FB18EB" w:rsidRDefault="00FB18EB">
      <w:pPr>
        <w:ind w:right="-876"/>
        <w:rPr>
          <w:rFonts w:ascii="Palatino Linotype" w:eastAsia="Palatino Linotype" w:hAnsi="Palatino Linotype" w:cs="Palatino Linotype"/>
        </w:rPr>
      </w:pPr>
    </w:p>
    <w:p w:rsidR="00FB18EB" w:rsidRDefault="00FB18EB">
      <w:pPr>
        <w:ind w:right="-876"/>
        <w:rPr>
          <w:rFonts w:ascii="Palatino Linotype" w:eastAsia="Palatino Linotype" w:hAnsi="Palatino Linotype" w:cs="Palatino Linotype"/>
        </w:rPr>
      </w:pPr>
    </w:p>
    <w:p w:rsidR="00FB18EB" w:rsidRDefault="00FB18EB">
      <w:pPr>
        <w:ind w:right="-876"/>
        <w:rPr>
          <w:rFonts w:ascii="Palatino Linotype" w:eastAsia="Palatino Linotype" w:hAnsi="Palatino Linotype" w:cs="Palatino Linotype"/>
        </w:rPr>
      </w:pPr>
    </w:p>
    <w:p w:rsidR="00FB18EB" w:rsidRDefault="00FB18EB">
      <w:pPr>
        <w:ind w:right="-876"/>
        <w:rPr>
          <w:rFonts w:ascii="Palatino Linotype" w:eastAsia="Palatino Linotype" w:hAnsi="Palatino Linotype" w:cs="Palatino Linotype"/>
        </w:rPr>
      </w:pPr>
    </w:p>
    <w:p w:rsidR="00FB18EB" w:rsidRDefault="00FB18EB">
      <w:pPr>
        <w:ind w:right="-876"/>
        <w:rPr>
          <w:rFonts w:ascii="Palatino Linotype" w:eastAsia="Palatino Linotype" w:hAnsi="Palatino Linotype" w:cs="Palatino Linotype"/>
        </w:rPr>
      </w:pPr>
    </w:p>
    <w:sectPr w:rsidR="00FB18EB">
      <w:headerReference w:type="even" r:id="rId12"/>
      <w:headerReference w:type="default" r:id="rId13"/>
      <w:footerReference w:type="default" r:id="rId14"/>
      <w:headerReference w:type="first" r:id="rId15"/>
      <w:footerReference w:type="first" r:id="rId16"/>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528" w:rsidRDefault="00036528">
      <w:r>
        <w:separator/>
      </w:r>
    </w:p>
  </w:endnote>
  <w:endnote w:type="continuationSeparator" w:id="0">
    <w:p w:rsidR="00036528" w:rsidRDefault="00036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A14B59C9-624E-47CE-A99E-3067981F67F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1C6133F9-6B2B-4408-8A91-C80EE9097D3C}"/>
    <w:embedBold r:id="rId3" w:fontKey="{E18A665A-647A-493E-B229-7D5F6DF69E78}"/>
    <w:embedItalic r:id="rId4" w:fontKey="{DEFCB189-E2CF-424B-954F-D6431DF3070B}"/>
    <w:embedBoldItalic r:id="rId5" w:fontKey="{692336F6-8ACA-4EFC-A5E6-F73008E6E660}"/>
  </w:font>
  <w:font w:name="Calibri">
    <w:panose1 w:val="020F0502020204030204"/>
    <w:charset w:val="00"/>
    <w:family w:val="swiss"/>
    <w:pitch w:val="variable"/>
    <w:sig w:usb0="E4002EFF" w:usb1="C200247B" w:usb2="00000009" w:usb3="00000000" w:csb0="000001FF" w:csb1="00000000"/>
    <w:embedRegular r:id="rId6" w:fontKey="{BF8B604C-0728-4503-97D0-48B90F8C8297}"/>
  </w:font>
  <w:font w:name="Georgia">
    <w:panose1 w:val="02040502050405020303"/>
    <w:charset w:val="00"/>
    <w:family w:val="roman"/>
    <w:pitch w:val="variable"/>
    <w:sig w:usb0="00000287" w:usb1="00000000" w:usb2="00000000" w:usb3="00000000" w:csb0="0000009F" w:csb1="00000000"/>
    <w:embedItalic r:id="rId7" w:fontKey="{ABDD6F2B-7105-4A71-AC7D-AA33B819439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1F1DAD50-DAE3-4621-80D2-6871D1125148}"/>
  </w:font>
  <w:font w:name="Garamond">
    <w:panose1 w:val="02020404030301010803"/>
    <w:charset w:val="00"/>
    <w:family w:val="roman"/>
    <w:pitch w:val="variable"/>
    <w:sig w:usb0="00000287" w:usb1="00000000" w:usb2="00000000" w:usb3="00000000" w:csb0="0000009F" w:csb1="00000000"/>
    <w:embedRegular r:id="rId9" w:fontKey="{B185ACF0-6C93-4DC3-A8AB-C031158A22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5AC" w:rsidRDefault="008155A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A666F0">
      <w:rPr>
        <w:rFonts w:ascii="Palatino Linotype" w:eastAsia="Palatino Linotype" w:hAnsi="Palatino Linotype" w:cs="Palatino Linotype"/>
        <w:b/>
        <w:bCs/>
        <w:noProof/>
        <w:color w:val="000000"/>
        <w:sz w:val="22"/>
        <w:szCs w:val="22"/>
      </w:rPr>
      <w:t>11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666F0">
      <w:rPr>
        <w:rFonts w:ascii="Palatino Linotype" w:eastAsia="Palatino Linotype" w:hAnsi="Palatino Linotype" w:cs="Palatino Linotype"/>
        <w:b/>
        <w:bCs/>
        <w:noProof/>
        <w:color w:val="000000"/>
        <w:sz w:val="22"/>
        <w:szCs w:val="22"/>
      </w:rPr>
      <w:t>54</w:t>
    </w:r>
    <w:r>
      <w:rPr>
        <w:rFonts w:ascii="Palatino Linotype" w:eastAsia="Palatino Linotype" w:hAnsi="Palatino Linotype" w:cs="Palatino Linotype"/>
        <w:b/>
        <w:bCs/>
        <w:color w:val="000000"/>
        <w:sz w:val="22"/>
        <w:szCs w:val="22"/>
      </w:rPr>
      <w:fldChar w:fldCharType="end"/>
    </w:r>
  </w:p>
  <w:p w:rsidR="008155AC" w:rsidRDefault="008155A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5AC" w:rsidRDefault="008155A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A666F0">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666F0">
      <w:rPr>
        <w:rFonts w:ascii="Palatino Linotype" w:eastAsia="Palatino Linotype" w:hAnsi="Palatino Linotype" w:cs="Palatino Linotype"/>
        <w:b/>
        <w:bCs/>
        <w:noProof/>
        <w:color w:val="000000"/>
        <w:sz w:val="22"/>
        <w:szCs w:val="22"/>
      </w:rPr>
      <w:t>54</w:t>
    </w:r>
    <w:r>
      <w:rPr>
        <w:rFonts w:ascii="Palatino Linotype" w:eastAsia="Palatino Linotype" w:hAnsi="Palatino Linotype" w:cs="Palatino Linotype"/>
        <w:b/>
        <w:bCs/>
        <w:color w:val="000000"/>
        <w:sz w:val="22"/>
        <w:szCs w:val="22"/>
      </w:rPr>
      <w:fldChar w:fldCharType="end"/>
    </w:r>
  </w:p>
  <w:p w:rsidR="008155AC" w:rsidRDefault="008155A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528" w:rsidRDefault="00036528">
      <w:r>
        <w:separator/>
      </w:r>
    </w:p>
  </w:footnote>
  <w:footnote w:type="continuationSeparator" w:id="0">
    <w:p w:rsidR="00036528" w:rsidRDefault="00036528">
      <w:r>
        <w:continuationSeparator/>
      </w:r>
    </w:p>
  </w:footnote>
  <w:footnote w:id="1">
    <w:p w:rsidR="008155AC" w:rsidRDefault="008155A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8155AC" w:rsidRDefault="008155A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8155AC" w:rsidRDefault="008155A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8155AC" w:rsidRDefault="008155A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8155AC" w:rsidRDefault="008155A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rsidR="008155AC" w:rsidRDefault="008155A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rsidR="008155AC" w:rsidRDefault="008155A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rsidR="008155AC" w:rsidRDefault="008155A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rsidR="008155AC" w:rsidRDefault="008155AC">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0">
    <w:p w:rsidR="008155AC" w:rsidRDefault="008155AC">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5AC" w:rsidRDefault="0003652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48" w:type="dxa"/>
      <w:tblInd w:w="0" w:type="dxa"/>
      <w:tblLayout w:type="fixed"/>
      <w:tblLook w:val="0400" w:firstRow="0" w:lastRow="0" w:firstColumn="0" w:lastColumn="0" w:noHBand="0" w:noVBand="1"/>
    </w:tblPr>
    <w:tblGrid>
      <w:gridCol w:w="2268"/>
      <w:gridCol w:w="8080"/>
    </w:tblGrid>
    <w:tr w:rsidR="008155AC" w:rsidTr="00CD7009">
      <w:trPr>
        <w:trHeight w:val="1435"/>
      </w:trPr>
      <w:tc>
        <w:tcPr>
          <w:tcW w:w="2268" w:type="dxa"/>
          <w:shd w:val="clear" w:color="auto" w:fill="auto"/>
        </w:tcPr>
        <w:p w:rsidR="008155AC" w:rsidRDefault="008155AC">
          <w:pPr>
            <w:tabs>
              <w:tab w:val="right" w:pos="4273"/>
            </w:tabs>
            <w:rPr>
              <w:rFonts w:ascii="Garamond" w:eastAsia="Garamond" w:hAnsi="Garamond" w:cs="Garamond"/>
              <w:sz w:val="16"/>
              <w:szCs w:val="16"/>
            </w:rPr>
          </w:pPr>
        </w:p>
      </w:tc>
      <w:tc>
        <w:tcPr>
          <w:tcW w:w="8080" w:type="dxa"/>
          <w:shd w:val="clear" w:color="auto" w:fill="auto"/>
        </w:tcPr>
        <w:tbl>
          <w:tblPr>
            <w:tblStyle w:val="a4"/>
            <w:tblW w:w="7860" w:type="dxa"/>
            <w:tblInd w:w="878" w:type="dxa"/>
            <w:tblLayout w:type="fixed"/>
            <w:tblLook w:val="0400" w:firstRow="0" w:lastRow="0" w:firstColumn="0" w:lastColumn="0" w:noHBand="0" w:noVBand="1"/>
          </w:tblPr>
          <w:tblGrid>
            <w:gridCol w:w="2940"/>
            <w:gridCol w:w="4920"/>
          </w:tblGrid>
          <w:tr w:rsidR="00E84975" w:rsidTr="00CD7009">
            <w:trPr>
              <w:trHeight w:val="317"/>
            </w:trPr>
            <w:tc>
              <w:tcPr>
                <w:tcW w:w="2940" w:type="dxa"/>
                <w:shd w:val="clear" w:color="auto" w:fill="auto"/>
              </w:tcPr>
              <w:p w:rsidR="00E84975" w:rsidRDefault="00E84975" w:rsidP="00E84975">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20" w:type="dxa"/>
                <w:shd w:val="clear" w:color="auto" w:fill="auto"/>
              </w:tcPr>
              <w:p w:rsidR="00E84975" w:rsidRDefault="00E84975" w:rsidP="00E84975">
                <w:pPr>
                  <w:ind w:left="-74" w:right="-105"/>
                  <w:rPr>
                    <w:rFonts w:ascii="Palatino Linotype" w:eastAsia="Palatino Linotype" w:hAnsi="Palatino Linotype" w:cs="Palatino Linotype"/>
                  </w:rPr>
                </w:pPr>
                <w:r>
                  <w:rPr>
                    <w:rFonts w:ascii="Palatino Linotype" w:eastAsia="Palatino Linotype" w:hAnsi="Palatino Linotype" w:cs="Palatino Linotype"/>
                  </w:rPr>
                  <w:t>03828/INFOEM/IP/RR/2026</w:t>
                </w:r>
              </w:p>
            </w:tc>
          </w:tr>
          <w:tr w:rsidR="00E84975" w:rsidTr="00CD7009">
            <w:trPr>
              <w:trHeight w:val="953"/>
            </w:trPr>
            <w:tc>
              <w:tcPr>
                <w:tcW w:w="2940" w:type="dxa"/>
                <w:shd w:val="clear" w:color="auto" w:fill="auto"/>
              </w:tcPr>
              <w:p w:rsidR="00E84975" w:rsidRDefault="00E84975" w:rsidP="00E8497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20" w:type="dxa"/>
                <w:shd w:val="clear" w:color="auto" w:fill="auto"/>
              </w:tcPr>
              <w:p w:rsidR="00E84975" w:rsidRDefault="00E84975" w:rsidP="00E84975">
                <w:pPr>
                  <w:tabs>
                    <w:tab w:val="left" w:pos="2834"/>
                  </w:tabs>
                  <w:ind w:left="-74" w:right="-105"/>
                  <w:rPr>
                    <w:rFonts w:ascii="Palatino Linotype" w:eastAsia="Palatino Linotype" w:hAnsi="Palatino Linotype" w:cs="Palatino Linotype"/>
                  </w:rPr>
                </w:pPr>
                <w:r>
                  <w:rPr>
                    <w:rFonts w:ascii="Palatino Linotype" w:eastAsia="Palatino Linotype" w:hAnsi="Palatino Linotype" w:cs="Palatino Linotype"/>
                  </w:rPr>
                  <w:t xml:space="preserve">Organismo Descentralizado de </w:t>
                </w:r>
              </w:p>
              <w:p w:rsidR="00E84975" w:rsidRDefault="00E84975" w:rsidP="00E84975">
                <w:pPr>
                  <w:tabs>
                    <w:tab w:val="left" w:pos="2834"/>
                  </w:tabs>
                  <w:ind w:left="-74" w:right="-105"/>
                  <w:rPr>
                    <w:rFonts w:ascii="Palatino Linotype" w:eastAsia="Palatino Linotype" w:hAnsi="Palatino Linotype" w:cs="Palatino Linotype"/>
                  </w:rPr>
                </w:pPr>
                <w:r>
                  <w:rPr>
                    <w:rFonts w:ascii="Palatino Linotype" w:eastAsia="Palatino Linotype" w:hAnsi="Palatino Linotype" w:cs="Palatino Linotype"/>
                  </w:rPr>
                  <w:t xml:space="preserve">Agua Potable, Alcantarillado y </w:t>
                </w:r>
              </w:p>
              <w:p w:rsidR="00E84975" w:rsidRDefault="00E84975" w:rsidP="00E84975">
                <w:pPr>
                  <w:tabs>
                    <w:tab w:val="left" w:pos="2834"/>
                  </w:tabs>
                  <w:ind w:left="-74" w:right="-105"/>
                  <w:rPr>
                    <w:rFonts w:ascii="Palatino Linotype" w:eastAsia="Palatino Linotype" w:hAnsi="Palatino Linotype" w:cs="Palatino Linotype"/>
                  </w:rPr>
                </w:pPr>
                <w:r>
                  <w:rPr>
                    <w:rFonts w:ascii="Palatino Linotype" w:eastAsia="Palatino Linotype" w:hAnsi="Palatino Linotype" w:cs="Palatino Linotype"/>
                  </w:rPr>
                  <w:t xml:space="preserve">Saneamiento de Valle de Chalco </w:t>
                </w:r>
              </w:p>
              <w:p w:rsidR="00E84975" w:rsidRDefault="00E84975" w:rsidP="00E84975">
                <w:pPr>
                  <w:tabs>
                    <w:tab w:val="left" w:pos="2834"/>
                  </w:tabs>
                  <w:ind w:left="-74" w:right="-105"/>
                  <w:rPr>
                    <w:rFonts w:ascii="Palatino Linotype" w:eastAsia="Palatino Linotype" w:hAnsi="Palatino Linotype" w:cs="Palatino Linotype"/>
                  </w:rPr>
                </w:pPr>
                <w:r>
                  <w:rPr>
                    <w:rFonts w:ascii="Palatino Linotype" w:eastAsia="Palatino Linotype" w:hAnsi="Palatino Linotype" w:cs="Palatino Linotype"/>
                  </w:rPr>
                  <w:t>Solidaridad</w:t>
                </w:r>
              </w:p>
            </w:tc>
          </w:tr>
          <w:tr w:rsidR="00E84975" w:rsidTr="00CD7009">
            <w:trPr>
              <w:trHeight w:val="635"/>
            </w:trPr>
            <w:tc>
              <w:tcPr>
                <w:tcW w:w="2940" w:type="dxa"/>
                <w:shd w:val="clear" w:color="auto" w:fill="auto"/>
              </w:tcPr>
              <w:p w:rsidR="00E84975" w:rsidRDefault="00E84975" w:rsidP="00E8497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920" w:type="dxa"/>
                <w:shd w:val="clear" w:color="auto" w:fill="auto"/>
              </w:tcPr>
              <w:p w:rsidR="00E84975" w:rsidRDefault="00E84975" w:rsidP="00E84975">
                <w:pPr>
                  <w:ind w:left="-74" w:right="-105"/>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E84975" w:rsidRDefault="00E84975" w:rsidP="00E84975">
                <w:pPr>
                  <w:ind w:left="-74" w:right="-105"/>
                  <w:rPr>
                    <w:rFonts w:ascii="Palatino Linotype" w:eastAsia="Palatino Linotype" w:hAnsi="Palatino Linotype" w:cs="Palatino Linotype"/>
                  </w:rPr>
                </w:pPr>
              </w:p>
            </w:tc>
          </w:tr>
        </w:tbl>
        <w:p w:rsidR="008155AC" w:rsidRDefault="008155AC">
          <w:pPr>
            <w:tabs>
              <w:tab w:val="right" w:pos="8838"/>
            </w:tabs>
            <w:ind w:left="-28"/>
            <w:jc w:val="both"/>
            <w:rPr>
              <w:rFonts w:ascii="Arial" w:eastAsia="Arial" w:hAnsi="Arial" w:cs="Arial"/>
              <w:b/>
              <w:bCs/>
              <w:sz w:val="22"/>
              <w:szCs w:val="22"/>
            </w:rPr>
          </w:pPr>
        </w:p>
      </w:tc>
    </w:tr>
  </w:tbl>
  <w:p w:rsidR="008155AC" w:rsidRDefault="00036528">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6.05pt;margin-top:-152.3pt;width:589.8pt;height:768pt;z-index:-251659776;mso-position-horizontal-relative:margin;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425" w:type="dxa"/>
      <w:tblInd w:w="0" w:type="dxa"/>
      <w:tblLayout w:type="fixed"/>
      <w:tblLook w:val="0400" w:firstRow="0" w:lastRow="0" w:firstColumn="0" w:lastColumn="0" w:noHBand="0" w:noVBand="1"/>
    </w:tblPr>
    <w:tblGrid>
      <w:gridCol w:w="2265"/>
      <w:gridCol w:w="8160"/>
    </w:tblGrid>
    <w:tr w:rsidR="008155AC">
      <w:trPr>
        <w:trHeight w:val="2789"/>
      </w:trPr>
      <w:tc>
        <w:tcPr>
          <w:tcW w:w="2265" w:type="dxa"/>
          <w:shd w:val="clear" w:color="auto" w:fill="auto"/>
        </w:tcPr>
        <w:p w:rsidR="008155AC" w:rsidRDefault="008155AC">
          <w:pPr>
            <w:tabs>
              <w:tab w:val="right" w:pos="4273"/>
            </w:tabs>
            <w:rPr>
              <w:rFonts w:ascii="Garamond" w:eastAsia="Garamond" w:hAnsi="Garamond" w:cs="Garamond"/>
              <w:sz w:val="22"/>
              <w:szCs w:val="22"/>
            </w:rPr>
          </w:pPr>
        </w:p>
      </w:tc>
      <w:tc>
        <w:tcPr>
          <w:tcW w:w="8160" w:type="dxa"/>
          <w:shd w:val="clear" w:color="auto" w:fill="auto"/>
        </w:tcPr>
        <w:tbl>
          <w:tblPr>
            <w:tblStyle w:val="a4"/>
            <w:tblW w:w="7860" w:type="dxa"/>
            <w:tblInd w:w="40" w:type="dxa"/>
            <w:tblLayout w:type="fixed"/>
            <w:tblLook w:val="0400" w:firstRow="0" w:lastRow="0" w:firstColumn="0" w:lastColumn="0" w:noHBand="0" w:noVBand="1"/>
          </w:tblPr>
          <w:tblGrid>
            <w:gridCol w:w="2940"/>
            <w:gridCol w:w="4920"/>
          </w:tblGrid>
          <w:tr w:rsidR="008155AC">
            <w:trPr>
              <w:trHeight w:val="317"/>
            </w:trPr>
            <w:tc>
              <w:tcPr>
                <w:tcW w:w="2940" w:type="dxa"/>
                <w:shd w:val="clear" w:color="auto" w:fill="auto"/>
              </w:tcPr>
              <w:p w:rsidR="008155AC" w:rsidRDefault="008155AC">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20" w:type="dxa"/>
                <w:shd w:val="clear" w:color="auto" w:fill="auto"/>
              </w:tcPr>
              <w:p w:rsidR="008155AC" w:rsidRDefault="008155AC">
                <w:pPr>
                  <w:ind w:left="-74" w:right="-105"/>
                  <w:rPr>
                    <w:rFonts w:ascii="Palatino Linotype" w:eastAsia="Palatino Linotype" w:hAnsi="Palatino Linotype" w:cs="Palatino Linotype"/>
                  </w:rPr>
                </w:pPr>
                <w:r>
                  <w:rPr>
                    <w:rFonts w:ascii="Palatino Linotype" w:eastAsia="Palatino Linotype" w:hAnsi="Palatino Linotype" w:cs="Palatino Linotype"/>
                  </w:rPr>
                  <w:t>03828/INFOEM/IP/RR/2026</w:t>
                </w:r>
              </w:p>
            </w:tc>
          </w:tr>
          <w:tr w:rsidR="008155AC">
            <w:trPr>
              <w:trHeight w:val="317"/>
            </w:trPr>
            <w:tc>
              <w:tcPr>
                <w:tcW w:w="2940" w:type="dxa"/>
                <w:shd w:val="clear" w:color="auto" w:fill="auto"/>
              </w:tcPr>
              <w:p w:rsidR="008155AC" w:rsidRDefault="008155AC">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920" w:type="dxa"/>
                <w:shd w:val="clear" w:color="auto" w:fill="auto"/>
              </w:tcPr>
              <w:p w:rsidR="008155AC" w:rsidRDefault="00A666F0">
                <w:pPr>
                  <w:tabs>
                    <w:tab w:val="left" w:pos="3122"/>
                  </w:tabs>
                  <w:ind w:left="-74" w:right="-105"/>
                  <w:rPr>
                    <w:rFonts w:ascii="Palatino Linotype" w:eastAsia="Palatino Linotype" w:hAnsi="Palatino Linotype" w:cs="Palatino Linotype"/>
                  </w:rPr>
                </w:pPr>
                <w:r>
                  <w:rPr>
                    <w:rFonts w:ascii="Palatino Linotype" w:eastAsia="Palatino Linotype" w:hAnsi="Palatino Linotype" w:cs="Palatino Linotype"/>
                  </w:rPr>
                  <w:t>XXXX</w:t>
                </w:r>
              </w:p>
            </w:tc>
          </w:tr>
          <w:tr w:rsidR="008155AC">
            <w:trPr>
              <w:trHeight w:val="953"/>
            </w:trPr>
            <w:tc>
              <w:tcPr>
                <w:tcW w:w="2940" w:type="dxa"/>
                <w:shd w:val="clear" w:color="auto" w:fill="auto"/>
              </w:tcPr>
              <w:p w:rsidR="008155AC" w:rsidRDefault="008155AC">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20" w:type="dxa"/>
                <w:shd w:val="clear" w:color="auto" w:fill="auto"/>
              </w:tcPr>
              <w:p w:rsidR="008155AC" w:rsidRDefault="008155AC">
                <w:pPr>
                  <w:tabs>
                    <w:tab w:val="left" w:pos="2834"/>
                  </w:tabs>
                  <w:ind w:left="-74" w:right="-105"/>
                  <w:rPr>
                    <w:rFonts w:ascii="Palatino Linotype" w:eastAsia="Palatino Linotype" w:hAnsi="Palatino Linotype" w:cs="Palatino Linotype"/>
                  </w:rPr>
                </w:pPr>
                <w:r>
                  <w:rPr>
                    <w:rFonts w:ascii="Palatino Linotype" w:eastAsia="Palatino Linotype" w:hAnsi="Palatino Linotype" w:cs="Palatino Linotype"/>
                  </w:rPr>
                  <w:t xml:space="preserve">Organismo Descentralizado de Agua Potable, </w:t>
                </w:r>
                <w:r w:rsidR="00E84975">
                  <w:rPr>
                    <w:rFonts w:ascii="Palatino Linotype" w:eastAsia="Palatino Linotype" w:hAnsi="Palatino Linotype" w:cs="Palatino Linotype"/>
                  </w:rPr>
                  <w:t>Alcantarillado y Saneamiento de</w:t>
                </w:r>
                <w:r>
                  <w:rPr>
                    <w:rFonts w:ascii="Palatino Linotype" w:eastAsia="Palatino Linotype" w:hAnsi="Palatino Linotype" w:cs="Palatino Linotype"/>
                  </w:rPr>
                  <w:t xml:space="preserve"> Valle de Chalco Solidaridad</w:t>
                </w:r>
              </w:p>
            </w:tc>
          </w:tr>
          <w:tr w:rsidR="008155AC">
            <w:trPr>
              <w:trHeight w:val="635"/>
            </w:trPr>
            <w:tc>
              <w:tcPr>
                <w:tcW w:w="2940" w:type="dxa"/>
                <w:shd w:val="clear" w:color="auto" w:fill="auto"/>
              </w:tcPr>
              <w:p w:rsidR="008155AC" w:rsidRDefault="008155AC">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920" w:type="dxa"/>
                <w:shd w:val="clear" w:color="auto" w:fill="auto"/>
              </w:tcPr>
              <w:p w:rsidR="008155AC" w:rsidRDefault="00CD7009" w:rsidP="00CD7009">
                <w:pPr>
                  <w:ind w:left="-74" w:right="-105"/>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8155AC" w:rsidRDefault="008155AC">
          <w:pPr>
            <w:tabs>
              <w:tab w:val="right" w:pos="8838"/>
            </w:tabs>
            <w:ind w:left="-28"/>
            <w:jc w:val="both"/>
            <w:rPr>
              <w:rFonts w:ascii="Arial" w:eastAsia="Arial" w:hAnsi="Arial" w:cs="Arial"/>
              <w:b/>
              <w:bCs/>
              <w:sz w:val="22"/>
              <w:szCs w:val="22"/>
            </w:rPr>
          </w:pPr>
        </w:p>
      </w:tc>
    </w:tr>
  </w:tbl>
  <w:p w:rsidR="008155AC" w:rsidRDefault="00036528">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5.6pt;margin-top:-175.35pt;width:589.8pt;height:768pt;z-index:-251658752;mso-position-horizontal-relative:margin;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54E5"/>
    <w:multiLevelType w:val="multilevel"/>
    <w:tmpl w:val="49B290B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02F176AD"/>
    <w:multiLevelType w:val="multilevel"/>
    <w:tmpl w:val="30744C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E827EB"/>
    <w:multiLevelType w:val="multilevel"/>
    <w:tmpl w:val="221037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A04A21"/>
    <w:multiLevelType w:val="multilevel"/>
    <w:tmpl w:val="47AE2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F13B27"/>
    <w:multiLevelType w:val="multilevel"/>
    <w:tmpl w:val="294EE106"/>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113F493E"/>
    <w:multiLevelType w:val="multilevel"/>
    <w:tmpl w:val="1EEE15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3E77D5E"/>
    <w:multiLevelType w:val="multilevel"/>
    <w:tmpl w:val="B1B61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766FB4"/>
    <w:multiLevelType w:val="multilevel"/>
    <w:tmpl w:val="535A0D16"/>
    <w:lvl w:ilvl="0">
      <w:start w:val="1"/>
      <w:numFmt w:val="decimal"/>
      <w:lvlText w:val="%1."/>
      <w:lvlJc w:val="left"/>
      <w:pPr>
        <w:ind w:left="644" w:hanging="358"/>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E6168FE"/>
    <w:multiLevelType w:val="multilevel"/>
    <w:tmpl w:val="3CE6B53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463AA5"/>
    <w:multiLevelType w:val="multilevel"/>
    <w:tmpl w:val="FB628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B17AE5"/>
    <w:multiLevelType w:val="multilevel"/>
    <w:tmpl w:val="D5D6324A"/>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76709A"/>
    <w:multiLevelType w:val="multilevel"/>
    <w:tmpl w:val="1682D0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6F7BE9"/>
    <w:multiLevelType w:val="multilevel"/>
    <w:tmpl w:val="B926558E"/>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 w15:restartNumberingAfterBreak="0">
    <w:nsid w:val="439166AE"/>
    <w:multiLevelType w:val="multilevel"/>
    <w:tmpl w:val="D0F27D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77D4D1A"/>
    <w:multiLevelType w:val="multilevel"/>
    <w:tmpl w:val="48BEFCA6"/>
    <w:lvl w:ilvl="0">
      <w:start w:val="1"/>
      <w:numFmt w:val="bullet"/>
      <w:lvlText w:val="●"/>
      <w:lvlJc w:val="left"/>
      <w:pPr>
        <w:ind w:left="644" w:hanging="360"/>
      </w:pPr>
      <w:rPr>
        <w:rFonts w:ascii="Noto Sans Symbols" w:eastAsia="Noto Sans Symbols" w:hAnsi="Noto Sans Symbols" w:cs="Noto Sans Symbols"/>
      </w:rPr>
    </w:lvl>
    <w:lvl w:ilvl="1">
      <w:start w:val="1"/>
      <w:numFmt w:val="bullet"/>
      <w:lvlText w:val="o"/>
      <w:lvlJc w:val="left"/>
      <w:pPr>
        <w:ind w:left="1298" w:hanging="360"/>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15" w15:restartNumberingAfterBreak="0">
    <w:nsid w:val="560839D1"/>
    <w:multiLevelType w:val="hybridMultilevel"/>
    <w:tmpl w:val="669A8A00"/>
    <w:lvl w:ilvl="0" w:tplc="C302A056">
      <w:start w:val="1"/>
      <w:numFmt w:val="decimal"/>
      <w:lvlText w:val="%1."/>
      <w:lvlJc w:val="left"/>
      <w:pPr>
        <w:ind w:left="502" w:hanging="360"/>
      </w:pPr>
      <w:rPr>
        <w:b/>
        <w:i w:val="0"/>
        <w:color w:val="000000" w:themeColor="text1"/>
        <w:sz w:val="24"/>
        <w:szCs w:val="24"/>
      </w:rPr>
    </w:lvl>
    <w:lvl w:ilvl="1" w:tplc="080A0019">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16" w15:restartNumberingAfterBreak="0">
    <w:nsid w:val="633D5F52"/>
    <w:multiLevelType w:val="multilevel"/>
    <w:tmpl w:val="20F6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5D71A60"/>
    <w:multiLevelType w:val="multilevel"/>
    <w:tmpl w:val="21F0349E"/>
    <w:lvl w:ilvl="0">
      <w:start w:val="1"/>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7554570"/>
    <w:multiLevelType w:val="multilevel"/>
    <w:tmpl w:val="54E8D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A4F7AE4"/>
    <w:multiLevelType w:val="multilevel"/>
    <w:tmpl w:val="BA668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6"/>
  </w:num>
  <w:num w:numId="3">
    <w:abstractNumId w:val="7"/>
  </w:num>
  <w:num w:numId="4">
    <w:abstractNumId w:val="12"/>
  </w:num>
  <w:num w:numId="5">
    <w:abstractNumId w:val="13"/>
  </w:num>
  <w:num w:numId="6">
    <w:abstractNumId w:val="9"/>
  </w:num>
  <w:num w:numId="7">
    <w:abstractNumId w:val="16"/>
  </w:num>
  <w:num w:numId="8">
    <w:abstractNumId w:val="17"/>
  </w:num>
  <w:num w:numId="9">
    <w:abstractNumId w:val="5"/>
  </w:num>
  <w:num w:numId="10">
    <w:abstractNumId w:val="10"/>
  </w:num>
  <w:num w:numId="11">
    <w:abstractNumId w:val="14"/>
  </w:num>
  <w:num w:numId="12">
    <w:abstractNumId w:val="18"/>
  </w:num>
  <w:num w:numId="13">
    <w:abstractNumId w:val="11"/>
  </w:num>
  <w:num w:numId="14">
    <w:abstractNumId w:val="2"/>
  </w:num>
  <w:num w:numId="15">
    <w:abstractNumId w:val="1"/>
  </w:num>
  <w:num w:numId="16">
    <w:abstractNumId w:val="8"/>
  </w:num>
  <w:num w:numId="17">
    <w:abstractNumId w:val="19"/>
  </w:num>
  <w:num w:numId="18">
    <w:abstractNumId w:val="0"/>
  </w:num>
  <w:num w:numId="19">
    <w:abstractNumId w:val="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EB"/>
    <w:rsid w:val="00036528"/>
    <w:rsid w:val="002F2395"/>
    <w:rsid w:val="00653764"/>
    <w:rsid w:val="0071724F"/>
    <w:rsid w:val="008155AC"/>
    <w:rsid w:val="00970470"/>
    <w:rsid w:val="00A56FCC"/>
    <w:rsid w:val="00A666F0"/>
    <w:rsid w:val="00CD2AA4"/>
    <w:rsid w:val="00CD7009"/>
    <w:rsid w:val="00DB3A64"/>
    <w:rsid w:val="00E0611D"/>
    <w:rsid w:val="00E84975"/>
    <w:rsid w:val="00ED6AC3"/>
    <w:rsid w:val="00F34992"/>
    <w:rsid w:val="00FB18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13EE4CE-2B16-4295-9294-C6C6E186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155AC"/>
    <w:rPr>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155AC"/>
    <w:pPr>
      <w:ind w:left="708"/>
    </w:pPr>
    <w:rPr>
      <w:lang w:val="es-ES"/>
    </w:rPr>
  </w:style>
  <w:style w:type="character" w:customStyle="1" w:styleId="normaltextrun">
    <w:name w:val="normaltextrun"/>
    <w:basedOn w:val="Fuentedeprrafopredeter"/>
    <w:rsid w:val="008155AC"/>
  </w:style>
  <w:style w:type="character" w:customStyle="1" w:styleId="eop">
    <w:name w:val="eop"/>
    <w:basedOn w:val="Fuentedeprrafopredeter"/>
    <w:rsid w:val="008155AC"/>
  </w:style>
  <w:style w:type="paragraph" w:styleId="Piedepgina">
    <w:name w:val="footer"/>
    <w:basedOn w:val="Normal"/>
    <w:link w:val="PiedepginaCar"/>
    <w:uiPriority w:val="99"/>
    <w:unhideWhenUsed/>
    <w:rsid w:val="00E84975"/>
    <w:pPr>
      <w:tabs>
        <w:tab w:val="center" w:pos="4419"/>
        <w:tab w:val="right" w:pos="8838"/>
      </w:tabs>
    </w:pPr>
  </w:style>
  <w:style w:type="character" w:customStyle="1" w:styleId="PiedepginaCar">
    <w:name w:val="Pie de página Car"/>
    <w:basedOn w:val="Fuentedeprrafopredeter"/>
    <w:link w:val="Piedepgina"/>
    <w:uiPriority w:val="99"/>
    <w:rsid w:val="00E84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f.gob.mx/nota_detalle.php?codigo=5492254&amp;fecha=28/07/2017"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jufy3FqKaqd1E0NNavRc7xUe8A==">CgMxLjAyDmguMXJ4Zm10MnFlcjNsMg5oLmZkOW5yd29ranJnNTIOaC5wMXJmb3VqOHV1bmoyDmgudDhkdWw3bHV3YjUyMg5oLjR6dDRkcWk3aTJ4dDIOaC5xMmN1ZmRhZW9lZXgyDmguYXQ0ejhxeDZjNG1wMg5oLmlxY29zMWRrNGhmazIOaC43aGwyZ2JvNGl2eXUyCWguMzVua3VuMjIJaC40NHNpbmlvMg5oLnJsY3dicnR3dTkwYzIOaC51Z3JoZXNucG9ya3IyDmguZ3J5MTVzbGFwZHJhOAByITF6SmlqemhlckY0WUNkbk13WHF4VmJLTTdFWm5RRXRL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54</Pages>
  <Words>12484</Words>
  <Characters>68666</Characters>
  <Application>Microsoft Office Word</Application>
  <DocSecurity>0</DocSecurity>
  <Lines>572</Lines>
  <Paragraphs>161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80989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9</cp:revision>
  <cp:lastPrinted>2026-07-03T16:03:00Z</cp:lastPrinted>
  <dcterms:created xsi:type="dcterms:W3CDTF">2026-06-29T18:08:00Z</dcterms:created>
  <dcterms:modified xsi:type="dcterms:W3CDTF">2026-07-08T18:26:00Z</dcterms:modified>
</cp:coreProperties>
</file>