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86325" w:rsidRDefault="008068B7">
      <w:pPr>
        <w:tabs>
          <w:tab w:val="left" w:pos="3465"/>
        </w:tabs>
        <w:spacing w:line="360" w:lineRule="auto"/>
        <w:ind w:right="-697"/>
        <w:jc w:val="both"/>
        <w:rPr>
          <w:rFonts w:ascii="Palatino Linotype" w:eastAsia="Palatino Linotype" w:hAnsi="Palatino Linotype" w:cs="Palatino Linotype"/>
          <w:b/>
          <w:bCs/>
        </w:rPr>
      </w:pPr>
      <w:r>
        <w:rPr>
          <w:rFonts w:ascii="Palatino Linotype" w:eastAsia="Palatino Linotype" w:hAnsi="Palatino Linotype" w:cs="Palatino Linotype"/>
        </w:rPr>
        <w:t xml:space="preserve">Resolución del Pleno del Instituto de Transparencia, Acceso a la Información Pública y Protección de Datos Personales del Estado de México y Municipios, con domicilio en Metepec, Estado de México; de fecha </w:t>
      </w:r>
      <w:r w:rsidR="00307A26">
        <w:rPr>
          <w:rFonts w:ascii="Palatino Linotype" w:eastAsia="Palatino Linotype" w:hAnsi="Palatino Linotype" w:cs="Palatino Linotype"/>
          <w:b/>
          <w:bCs/>
        </w:rPr>
        <w:t>tres (03) de junio</w:t>
      </w:r>
      <w:r>
        <w:rPr>
          <w:rFonts w:ascii="Palatino Linotype" w:eastAsia="Palatino Linotype" w:hAnsi="Palatino Linotype" w:cs="Palatino Linotype"/>
          <w:b/>
          <w:bCs/>
        </w:rPr>
        <w:t xml:space="preserve"> de dos mil veintiséis.</w:t>
      </w:r>
    </w:p>
    <w:p w:rsidR="00986325" w:rsidRDefault="00986325">
      <w:pPr>
        <w:tabs>
          <w:tab w:val="left" w:pos="3465"/>
        </w:tabs>
        <w:spacing w:line="360" w:lineRule="auto"/>
        <w:ind w:right="-697"/>
        <w:jc w:val="both"/>
        <w:rPr>
          <w:rFonts w:ascii="Palatino Linotype" w:eastAsia="Palatino Linotype" w:hAnsi="Palatino Linotype" w:cs="Palatino Linotype"/>
        </w:rPr>
      </w:pPr>
    </w:p>
    <w:p w:rsidR="00986325" w:rsidRDefault="008068B7">
      <w:pPr>
        <w:spacing w:line="360" w:lineRule="auto"/>
        <w:ind w:right="-697"/>
        <w:jc w:val="both"/>
        <w:rPr>
          <w:rFonts w:ascii="Palatino Linotype" w:eastAsia="Palatino Linotype" w:hAnsi="Palatino Linotype" w:cs="Palatino Linotype"/>
        </w:rPr>
      </w:pPr>
      <w:bookmarkStart w:id="0" w:name="_heading=h.kwbdfidx9xfo" w:colFirst="0" w:colLast="0"/>
      <w:bookmarkEnd w:id="0"/>
      <w:r>
        <w:rPr>
          <w:rFonts w:ascii="Palatino Linotype" w:eastAsia="Palatino Linotype" w:hAnsi="Palatino Linotype" w:cs="Palatino Linotype"/>
          <w:b/>
          <w:bCs/>
        </w:rPr>
        <w:t>VISTO</w:t>
      </w:r>
      <w:r>
        <w:rPr>
          <w:rFonts w:ascii="Palatino Linotype" w:eastAsia="Palatino Linotype" w:hAnsi="Palatino Linotype" w:cs="Palatino Linotype"/>
        </w:rPr>
        <w:t xml:space="preserve"> el expediente electrónico formado con motivo del Recurso de Revisión </w:t>
      </w:r>
      <w:r>
        <w:rPr>
          <w:rFonts w:ascii="Palatino Linotype" w:eastAsia="Palatino Linotype" w:hAnsi="Palatino Linotype" w:cs="Palatino Linotype"/>
          <w:b/>
          <w:bCs/>
        </w:rPr>
        <w:t xml:space="preserve">10953/INFOEM/IP/RR/2025, </w:t>
      </w:r>
      <w:r>
        <w:rPr>
          <w:rFonts w:ascii="Palatino Linotype" w:eastAsia="Palatino Linotype" w:hAnsi="Palatino Linotype" w:cs="Palatino Linotype"/>
        </w:rPr>
        <w:t>promovido por</w:t>
      </w:r>
      <w:r>
        <w:rPr>
          <w:rFonts w:ascii="Palatino Linotype" w:eastAsia="Palatino Linotype" w:hAnsi="Palatino Linotype" w:cs="Palatino Linotype"/>
          <w:b/>
          <w:bCs/>
        </w:rPr>
        <w:t xml:space="preserve"> </w:t>
      </w:r>
      <w:r w:rsidR="006B3940">
        <w:rPr>
          <w:rFonts w:ascii="Palatino Linotype" w:eastAsia="Palatino Linotype" w:hAnsi="Palatino Linotype" w:cs="Palatino Linotype"/>
          <w:b/>
          <w:bCs/>
        </w:rPr>
        <w:t>XXXX</w:t>
      </w:r>
      <w:r>
        <w:rPr>
          <w:rFonts w:ascii="Palatino Linotype" w:eastAsia="Palatino Linotype" w:hAnsi="Palatino Linotype" w:cs="Palatino Linotype"/>
        </w:rPr>
        <w:t xml:space="preserve">, a quien en lo sucesivo se le identificará como </w:t>
      </w:r>
      <w:r>
        <w:rPr>
          <w:rFonts w:ascii="Palatino Linotype" w:eastAsia="Palatino Linotype" w:hAnsi="Palatino Linotype" w:cs="Palatino Linotype"/>
          <w:b/>
          <w:bCs/>
        </w:rPr>
        <w:t>EL RECURRENTE</w:t>
      </w:r>
      <w:r>
        <w:rPr>
          <w:rFonts w:ascii="Palatino Linotype" w:eastAsia="Palatino Linotype" w:hAnsi="Palatino Linotype" w:cs="Palatino Linotype"/>
        </w:rPr>
        <w:t xml:space="preserve">, en contra de la respuesta del </w:t>
      </w:r>
      <w:r>
        <w:rPr>
          <w:rFonts w:ascii="Palatino Linotype" w:eastAsia="Palatino Linotype" w:hAnsi="Palatino Linotype" w:cs="Palatino Linotype"/>
          <w:b/>
          <w:bCs/>
        </w:rPr>
        <w:t xml:space="preserve">Ayuntamiento de Lerma, </w:t>
      </w:r>
      <w:r>
        <w:rPr>
          <w:rFonts w:ascii="Palatino Linotype" w:eastAsia="Palatino Linotype" w:hAnsi="Palatino Linotype" w:cs="Palatino Linotype"/>
        </w:rPr>
        <w:t>en adelante el</w:t>
      </w:r>
      <w:r>
        <w:rPr>
          <w:rFonts w:ascii="Palatino Linotype" w:eastAsia="Palatino Linotype" w:hAnsi="Palatino Linotype" w:cs="Palatino Linotype"/>
          <w:b/>
          <w:bCs/>
        </w:rPr>
        <w:t xml:space="preserve"> SUJETO OBLIGADO</w:t>
      </w:r>
      <w:r>
        <w:rPr>
          <w:rFonts w:ascii="Palatino Linotype" w:eastAsia="Palatino Linotype" w:hAnsi="Palatino Linotype" w:cs="Palatino Linotype"/>
        </w:rPr>
        <w:t>, se procede a dictar la presente Resolución, con base en los siguientes:</w:t>
      </w:r>
    </w:p>
    <w:p w:rsidR="00986325" w:rsidRDefault="00986325">
      <w:pPr>
        <w:spacing w:line="360" w:lineRule="auto"/>
        <w:ind w:right="-697"/>
        <w:jc w:val="both"/>
        <w:rPr>
          <w:rFonts w:ascii="Palatino Linotype" w:eastAsia="Palatino Linotype" w:hAnsi="Palatino Linotype" w:cs="Palatino Linotype"/>
          <w:b/>
          <w:bCs/>
        </w:rPr>
      </w:pPr>
    </w:p>
    <w:p w:rsidR="00986325" w:rsidRDefault="008068B7">
      <w:pPr>
        <w:pStyle w:val="Ttulo1"/>
        <w:spacing w:before="0" w:line="360" w:lineRule="auto"/>
        <w:ind w:right="-697"/>
        <w:jc w:val="center"/>
        <w:rPr>
          <w:rFonts w:ascii="Palatino Linotype" w:eastAsia="Palatino Linotype" w:hAnsi="Palatino Linotype" w:cs="Palatino Linotype"/>
          <w:b/>
          <w:bCs/>
          <w:color w:val="000000"/>
          <w:sz w:val="24"/>
          <w:szCs w:val="24"/>
        </w:rPr>
      </w:pPr>
      <w:bookmarkStart w:id="1" w:name="_heading=h.gjdgxs" w:colFirst="0" w:colLast="0"/>
      <w:bookmarkEnd w:id="1"/>
      <w:r>
        <w:rPr>
          <w:rFonts w:ascii="Palatino Linotype" w:eastAsia="Palatino Linotype" w:hAnsi="Palatino Linotype" w:cs="Palatino Linotype"/>
          <w:b/>
          <w:bCs/>
          <w:color w:val="000000"/>
          <w:sz w:val="24"/>
          <w:szCs w:val="24"/>
        </w:rPr>
        <w:t>A N T E C E D E N T E S</w:t>
      </w:r>
    </w:p>
    <w:p w:rsidR="00986325" w:rsidRDefault="00986325">
      <w:pPr>
        <w:spacing w:line="360" w:lineRule="auto"/>
        <w:ind w:right="-697"/>
        <w:rPr>
          <w:rFonts w:ascii="Palatino Linotype" w:eastAsia="Palatino Linotype" w:hAnsi="Palatino Linotype" w:cs="Palatino Linotype"/>
        </w:rPr>
      </w:pPr>
    </w:p>
    <w:p w:rsidR="00986325" w:rsidRDefault="008068B7">
      <w:pPr>
        <w:numPr>
          <w:ilvl w:val="0"/>
          <w:numId w:val="2"/>
        </w:numPr>
        <w:pBdr>
          <w:top w:val="nil"/>
          <w:left w:val="nil"/>
          <w:bottom w:val="nil"/>
          <w:right w:val="nil"/>
          <w:between w:val="nil"/>
        </w:pBdr>
        <w:spacing w:line="360" w:lineRule="auto"/>
        <w:ind w:left="0" w:right="-69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El día</w:t>
      </w:r>
      <w:r>
        <w:rPr>
          <w:rFonts w:ascii="Palatino Linotype" w:eastAsia="Palatino Linotype" w:hAnsi="Palatino Linotype" w:cs="Palatino Linotype"/>
          <w:b/>
          <w:bCs/>
          <w:color w:val="000000"/>
        </w:rPr>
        <w:t xml:space="preserve"> once de agosto dos mil veinticinco, </w:t>
      </w:r>
      <w:r>
        <w:rPr>
          <w:rFonts w:ascii="Palatino Linotype" w:eastAsia="Palatino Linotype" w:hAnsi="Palatino Linotype" w:cs="Palatino Linotype"/>
          <w:color w:val="000000"/>
        </w:rPr>
        <w:t xml:space="preserve">se presentó ante el </w:t>
      </w:r>
      <w:r>
        <w:rPr>
          <w:rFonts w:ascii="Palatino Linotype" w:eastAsia="Palatino Linotype" w:hAnsi="Palatino Linotype" w:cs="Palatino Linotype"/>
          <w:b/>
          <w:bCs/>
          <w:color w:val="000000"/>
        </w:rPr>
        <w:t>SUJETO OBLIGADO</w:t>
      </w:r>
      <w:r>
        <w:rPr>
          <w:rFonts w:ascii="Palatino Linotype" w:eastAsia="Palatino Linotype" w:hAnsi="Palatino Linotype" w:cs="Palatino Linotype"/>
          <w:color w:val="000000"/>
        </w:rPr>
        <w:t xml:space="preserve"> vía Sistema de Acceso a la Información Mexiquense (SAIMEX), la Solicitud de Información Pública registrada con el número</w:t>
      </w:r>
      <w:r>
        <w:rPr>
          <w:rFonts w:ascii="Palatino Linotype" w:eastAsia="Palatino Linotype" w:hAnsi="Palatino Linotype" w:cs="Palatino Linotype"/>
          <w:b/>
          <w:bCs/>
          <w:color w:val="000000"/>
        </w:rPr>
        <w:t xml:space="preserve">  00110/LERMA/IP/2025; </w:t>
      </w:r>
      <w:r>
        <w:rPr>
          <w:rFonts w:ascii="Palatino Linotype" w:eastAsia="Palatino Linotype" w:hAnsi="Palatino Linotype" w:cs="Palatino Linotype"/>
        </w:rPr>
        <w:t xml:space="preserve">en la que </w:t>
      </w:r>
      <w:r>
        <w:rPr>
          <w:rFonts w:ascii="Palatino Linotype" w:eastAsia="Palatino Linotype" w:hAnsi="Palatino Linotype" w:cs="Palatino Linotype"/>
          <w:color w:val="000000"/>
        </w:rPr>
        <w:t>se solicitó la siguiente información:</w:t>
      </w:r>
    </w:p>
    <w:p w:rsidR="00986325" w:rsidRDefault="00986325">
      <w:pPr>
        <w:pBdr>
          <w:top w:val="nil"/>
          <w:left w:val="nil"/>
          <w:bottom w:val="nil"/>
          <w:right w:val="nil"/>
          <w:between w:val="nil"/>
        </w:pBdr>
        <w:spacing w:line="360" w:lineRule="auto"/>
        <w:ind w:left="360" w:right="-697"/>
        <w:jc w:val="both"/>
        <w:rPr>
          <w:rFonts w:ascii="Palatino Linotype" w:eastAsia="Palatino Linotype" w:hAnsi="Palatino Linotype" w:cs="Palatino Linotype"/>
          <w:color w:val="000000"/>
        </w:rPr>
      </w:pPr>
    </w:p>
    <w:p w:rsidR="00986325" w:rsidRDefault="008068B7">
      <w:pPr>
        <w:pBdr>
          <w:top w:val="nil"/>
          <w:left w:val="nil"/>
          <w:bottom w:val="nil"/>
          <w:right w:val="nil"/>
          <w:between w:val="nil"/>
        </w:pBdr>
        <w:ind w:left="425" w:right="-697"/>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Informe de manera clara y precisa el Plan de Desarrollo del Gobierno Municipal de Lerma 2025 – 2027.</w:t>
      </w:r>
    </w:p>
    <w:p w:rsidR="00986325" w:rsidRDefault="008068B7">
      <w:pPr>
        <w:pBdr>
          <w:top w:val="nil"/>
          <w:left w:val="nil"/>
          <w:bottom w:val="nil"/>
          <w:right w:val="nil"/>
          <w:between w:val="nil"/>
        </w:pBdr>
        <w:ind w:left="425" w:right="-697"/>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Informe cuales son los planes y proyectos de inversión en obra pública que se desarrollarán en cumplimiento al Plan de Desarrollo del Gobierno Municipal de Lerma 2025 – 2027.</w:t>
      </w:r>
    </w:p>
    <w:p w:rsidR="00986325" w:rsidRDefault="008068B7">
      <w:pPr>
        <w:pBdr>
          <w:top w:val="nil"/>
          <w:left w:val="nil"/>
          <w:bottom w:val="nil"/>
          <w:right w:val="nil"/>
          <w:between w:val="nil"/>
        </w:pBdr>
        <w:ind w:left="425" w:right="-697"/>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Informe de manera clara y precisa las obras públicas que desarrollaron en el año 2024 por parte del Gobierno Municipal de Lerma, Estado de México.</w:t>
      </w:r>
    </w:p>
    <w:p w:rsidR="00986325" w:rsidRDefault="008068B7">
      <w:pPr>
        <w:pBdr>
          <w:top w:val="nil"/>
          <w:left w:val="nil"/>
          <w:bottom w:val="nil"/>
          <w:right w:val="nil"/>
          <w:between w:val="nil"/>
        </w:pBdr>
        <w:ind w:left="425" w:right="-697"/>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De lo anterior, especifique si cada una de las obras desarrolladas se realizó de forma directa por parte del gobierno municipal o se otorgaron contratos de construcción con empresas o terceras personas para su ejecución.</w:t>
      </w:r>
    </w:p>
    <w:p w:rsidR="00986325" w:rsidRDefault="008068B7">
      <w:pPr>
        <w:pBdr>
          <w:top w:val="nil"/>
          <w:left w:val="nil"/>
          <w:bottom w:val="nil"/>
          <w:right w:val="nil"/>
          <w:between w:val="nil"/>
        </w:pBdr>
        <w:ind w:left="425" w:right="-697"/>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lastRenderedPageBreak/>
        <w:t>* Informe de manera clara y precisa los planes y proyectos de inversión en obra pública por parte del Gobierno Municipal de Lerma, Estado de México respecto del presente año 2025.</w:t>
      </w:r>
    </w:p>
    <w:p w:rsidR="00986325" w:rsidRDefault="008068B7">
      <w:pPr>
        <w:pBdr>
          <w:top w:val="nil"/>
          <w:left w:val="nil"/>
          <w:bottom w:val="nil"/>
          <w:right w:val="nil"/>
          <w:between w:val="nil"/>
        </w:pBdr>
        <w:ind w:left="425" w:right="-697"/>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De lo anterior, describa el presupuesto otorgado para cada obra pública planeada a realizarse en el presente año 2025.</w:t>
      </w:r>
    </w:p>
    <w:p w:rsidR="00986325" w:rsidRDefault="008068B7">
      <w:pPr>
        <w:pBdr>
          <w:top w:val="nil"/>
          <w:left w:val="nil"/>
          <w:bottom w:val="nil"/>
          <w:right w:val="nil"/>
          <w:between w:val="nil"/>
        </w:pBdr>
        <w:ind w:left="425" w:right="-697"/>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Informe de manera clara y precisa las obras publicas que ya se desarrollaron o aquellas que continúan realizándose hasta el día de hoy por parte del Gobierno Municipal de Lerma, Estado de México, en el presente año 2025.</w:t>
      </w:r>
    </w:p>
    <w:p w:rsidR="00986325" w:rsidRDefault="008068B7">
      <w:pPr>
        <w:pBdr>
          <w:top w:val="nil"/>
          <w:left w:val="nil"/>
          <w:bottom w:val="nil"/>
          <w:right w:val="nil"/>
          <w:between w:val="nil"/>
        </w:pBdr>
        <w:ind w:left="425" w:right="-697"/>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Informe de manera clara y precisa los proyectos de obra pública planeadas para las comunidades de San Francisco Xochicuautla y la Concepción Xochicuautla Municipio de Lerma, Estado de México para los años 2025 - 2027.</w:t>
      </w:r>
    </w:p>
    <w:p w:rsidR="00986325" w:rsidRDefault="008068B7">
      <w:pPr>
        <w:pBdr>
          <w:top w:val="nil"/>
          <w:left w:val="nil"/>
          <w:bottom w:val="nil"/>
          <w:right w:val="nil"/>
          <w:between w:val="nil"/>
        </w:pBdr>
        <w:ind w:left="425" w:right="-697"/>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Informe la naturaleza de la obra que actualmente en el año 2025 se está construyendo en el campo de futbol de la Comunidad de la Concepción Xochicuautla, Lerma, Estado de México.</w:t>
      </w:r>
    </w:p>
    <w:p w:rsidR="00986325" w:rsidRDefault="008068B7">
      <w:pPr>
        <w:pBdr>
          <w:top w:val="nil"/>
          <w:left w:val="nil"/>
          <w:bottom w:val="nil"/>
          <w:right w:val="nil"/>
          <w:between w:val="nil"/>
        </w:pBdr>
        <w:ind w:left="425" w:right="-697"/>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Informe si el proyecto total de la obra que actualmente se está construyendo en el campo de futbol de la Comunidad de la Concepción Xochicuautla, Lerma, Estado de México, está planeada realizarse en diversas fases o etapas, indicando en su caso el número total de estas.</w:t>
      </w:r>
    </w:p>
    <w:p w:rsidR="00986325" w:rsidRDefault="008068B7">
      <w:pPr>
        <w:pBdr>
          <w:top w:val="nil"/>
          <w:left w:val="nil"/>
          <w:bottom w:val="nil"/>
          <w:right w:val="nil"/>
          <w:between w:val="nil"/>
        </w:pBdr>
        <w:ind w:left="425" w:right="-697"/>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Derivado de lo anterior, describa de manera clara los tiempos programados y así como el presupuesto otorgado para la ejecución de cada fase o etapa que integra el proyecto total de la obra que actualmente en el año 2025 se está construyendo en el campo de futbol de la Comunidad de la Concepción Xochicuautla, Lerma, Estado de México.</w:t>
      </w:r>
    </w:p>
    <w:p w:rsidR="00986325" w:rsidRDefault="008068B7">
      <w:pPr>
        <w:pBdr>
          <w:top w:val="nil"/>
          <w:left w:val="nil"/>
          <w:bottom w:val="nil"/>
          <w:right w:val="nil"/>
          <w:between w:val="nil"/>
        </w:pBdr>
        <w:ind w:left="425" w:right="-697"/>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Derivado de lo anterior, informe que fases o etapas que integra el proyecto total de la obra que actualmente en el año 2025 se está construyendo en el campo de futbol de la Comunidad de la Concepción Xochicuautla, Lerma, Estado de México, ya concluyeron, cuales se encuentran desarrollándose, e informe cuales faltan y están pendientes por realizarse.</w:t>
      </w:r>
    </w:p>
    <w:p w:rsidR="00986325" w:rsidRDefault="008068B7">
      <w:pPr>
        <w:pBdr>
          <w:top w:val="nil"/>
          <w:left w:val="nil"/>
          <w:bottom w:val="nil"/>
          <w:right w:val="nil"/>
          <w:between w:val="nil"/>
        </w:pBdr>
        <w:ind w:left="425" w:right="-697"/>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Informe si la obra que actualmente en el año 2025 se está construyendo en el campo de futbol de la Comunidad de la Concepción Xochicuautla, Lerma, Estado de México, se está realizando de forma directa por trabajadores del gobierno municipal o se contrató a una empresa o terceras personas para su ejecución, proporcionando en</w:t>
      </w:r>
    </w:p>
    <w:p w:rsidR="00986325" w:rsidRDefault="008068B7">
      <w:pPr>
        <w:pBdr>
          <w:top w:val="nil"/>
          <w:left w:val="nil"/>
          <w:bottom w:val="nil"/>
          <w:right w:val="nil"/>
          <w:between w:val="nil"/>
        </w:pBdr>
        <w:ind w:left="425" w:right="-697"/>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su caso copia fiel e inalterable del original de los contratos o cualquier tipo de documentos de donde se desprenda tal situación.</w:t>
      </w:r>
    </w:p>
    <w:p w:rsidR="00986325" w:rsidRDefault="008068B7">
      <w:pPr>
        <w:pBdr>
          <w:top w:val="nil"/>
          <w:left w:val="nil"/>
          <w:bottom w:val="nil"/>
          <w:right w:val="nil"/>
          <w:between w:val="nil"/>
        </w:pBdr>
        <w:ind w:left="425" w:right="-697"/>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Derivado de lo anterior, informe de manera clara y precisa el presupuesto destinado en cada una de sus fases o etapas, para la construcción de la obra que actualmente en el año 2025 se está realizando en el campo de futbol de la Comunidad de la Concepción Xochicuautla, Lerma, Estado de México.</w:t>
      </w:r>
    </w:p>
    <w:p w:rsidR="00986325" w:rsidRDefault="008068B7">
      <w:pPr>
        <w:pBdr>
          <w:top w:val="nil"/>
          <w:left w:val="nil"/>
          <w:bottom w:val="nil"/>
          <w:right w:val="nil"/>
          <w:between w:val="nil"/>
        </w:pBdr>
        <w:ind w:left="425" w:right="-697"/>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 Derivado de lo anterior, informe de manera clara y precisa las autoridades del Gobierno Municipal de Lerma, Estado de México que han intervenido en la planeación, orden, instrucción </w:t>
      </w:r>
      <w:r>
        <w:rPr>
          <w:rFonts w:ascii="Palatino Linotype" w:eastAsia="Palatino Linotype" w:hAnsi="Palatino Linotype" w:cs="Palatino Linotype"/>
          <w:i/>
          <w:iCs/>
          <w:color w:val="000000"/>
        </w:rPr>
        <w:lastRenderedPageBreak/>
        <w:t>y ejecución de la obra (en cada una de sus fases o etapas) que actualmente en el año 2025 se está realizando en el campo de futbol de la</w:t>
      </w:r>
    </w:p>
    <w:p w:rsidR="00986325" w:rsidRDefault="008068B7">
      <w:pPr>
        <w:pBdr>
          <w:top w:val="nil"/>
          <w:left w:val="nil"/>
          <w:bottom w:val="nil"/>
          <w:right w:val="nil"/>
          <w:between w:val="nil"/>
        </w:pBdr>
        <w:ind w:left="425" w:right="-697"/>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Comunidad de la Concepción Xochicuautla.</w:t>
      </w:r>
    </w:p>
    <w:p w:rsidR="00986325" w:rsidRDefault="008068B7">
      <w:pPr>
        <w:pBdr>
          <w:top w:val="nil"/>
          <w:left w:val="nil"/>
          <w:bottom w:val="nil"/>
          <w:right w:val="nil"/>
          <w:between w:val="nil"/>
        </w:pBdr>
        <w:ind w:left="425" w:right="-697"/>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Derivado de lo anterior, proporcione copia fiel e inalterable de planos, proyectos, planes de desarrollo, dictámenes técnicos, estudios de campos, levantamientos topográficos, dictámenes de aprobación de cumplimiento de normatividad firmados por las personas responsables o cualquier tipo de documento de los que se desprendan los señalamientos técnicos contemplados para la ejecución de la obra que actualmente en el año 2025 se está realizando en el campo de futbol de la Comunidad de la Concepción Xochicuautla.</w:t>
      </w:r>
    </w:p>
    <w:p w:rsidR="00986325" w:rsidRDefault="008068B7">
      <w:pPr>
        <w:pBdr>
          <w:top w:val="nil"/>
          <w:left w:val="nil"/>
          <w:bottom w:val="nil"/>
          <w:right w:val="nil"/>
          <w:between w:val="nil"/>
        </w:pBdr>
        <w:ind w:left="425" w:right="-697"/>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Informe los tiempos de inicio y conclusión programados para la ejecución (de cada fase o etapa) de la obra que se está realizando actualmente en el año 2025, en el campo de futbol de la comunidad de la Concepción Xochicuautla.”</w:t>
      </w:r>
    </w:p>
    <w:p w:rsidR="00986325" w:rsidRDefault="00986325">
      <w:pPr>
        <w:pBdr>
          <w:top w:val="nil"/>
          <w:left w:val="nil"/>
          <w:bottom w:val="nil"/>
          <w:right w:val="nil"/>
          <w:between w:val="nil"/>
        </w:pBdr>
        <w:spacing w:line="360" w:lineRule="auto"/>
        <w:ind w:left="426" w:right="-697"/>
        <w:jc w:val="both"/>
        <w:rPr>
          <w:rFonts w:ascii="Palatino Linotype" w:eastAsia="Palatino Linotype" w:hAnsi="Palatino Linotype" w:cs="Palatino Linotype"/>
          <w:i/>
          <w:iCs/>
          <w:color w:val="000000"/>
        </w:rPr>
      </w:pPr>
    </w:p>
    <w:p w:rsidR="00986325" w:rsidRDefault="008068B7">
      <w:pPr>
        <w:numPr>
          <w:ilvl w:val="0"/>
          <w:numId w:val="11"/>
        </w:numPr>
        <w:pBdr>
          <w:top w:val="nil"/>
          <w:left w:val="nil"/>
          <w:bottom w:val="nil"/>
          <w:right w:val="nil"/>
          <w:between w:val="nil"/>
        </w:pBdr>
        <w:spacing w:line="360" w:lineRule="auto"/>
        <w:ind w:left="851" w:right="-697"/>
        <w:jc w:val="both"/>
        <w:rPr>
          <w:rFonts w:ascii="Palatino Linotype" w:eastAsia="Palatino Linotype" w:hAnsi="Palatino Linotype" w:cs="Palatino Linotype"/>
          <w:b/>
          <w:bCs/>
          <w:color w:val="000000"/>
        </w:rPr>
      </w:pPr>
      <w:r>
        <w:rPr>
          <w:rFonts w:ascii="Palatino Linotype" w:eastAsia="Palatino Linotype" w:hAnsi="Palatino Linotype" w:cs="Palatino Linotype"/>
          <w:color w:val="000000"/>
        </w:rPr>
        <w:t xml:space="preserve">Se eligió como modalidad de entrega: </w:t>
      </w:r>
      <w:r>
        <w:rPr>
          <w:rFonts w:ascii="Palatino Linotype" w:eastAsia="Palatino Linotype" w:hAnsi="Palatino Linotype" w:cs="Palatino Linotype"/>
          <w:b/>
          <w:bCs/>
          <w:color w:val="000000"/>
        </w:rPr>
        <w:t>Copias certificadas con costo</w:t>
      </w:r>
    </w:p>
    <w:p w:rsidR="00986325" w:rsidRDefault="00986325">
      <w:pPr>
        <w:pBdr>
          <w:top w:val="nil"/>
          <w:left w:val="nil"/>
          <w:bottom w:val="nil"/>
          <w:right w:val="nil"/>
          <w:between w:val="nil"/>
        </w:pBdr>
        <w:tabs>
          <w:tab w:val="left" w:pos="0"/>
        </w:tabs>
        <w:spacing w:line="360" w:lineRule="auto"/>
        <w:ind w:left="360" w:right="-697"/>
        <w:jc w:val="both"/>
        <w:rPr>
          <w:rFonts w:ascii="Palatino Linotype" w:eastAsia="Palatino Linotype" w:hAnsi="Palatino Linotype" w:cs="Palatino Linotype"/>
          <w:color w:val="000000"/>
        </w:rPr>
      </w:pPr>
    </w:p>
    <w:p w:rsidR="00986325" w:rsidRDefault="008068B7">
      <w:pPr>
        <w:numPr>
          <w:ilvl w:val="0"/>
          <w:numId w:val="2"/>
        </w:numPr>
        <w:pBdr>
          <w:top w:val="nil"/>
          <w:left w:val="nil"/>
          <w:bottom w:val="nil"/>
          <w:right w:val="nil"/>
          <w:between w:val="nil"/>
        </w:pBdr>
        <w:tabs>
          <w:tab w:val="left" w:pos="0"/>
        </w:tabs>
        <w:spacing w:line="360" w:lineRule="auto"/>
        <w:ind w:left="0" w:right="-69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El </w:t>
      </w:r>
      <w:r>
        <w:rPr>
          <w:rFonts w:ascii="Palatino Linotype" w:eastAsia="Palatino Linotype" w:hAnsi="Palatino Linotype" w:cs="Palatino Linotype"/>
          <w:b/>
          <w:bCs/>
          <w:color w:val="000000"/>
        </w:rPr>
        <w:t>uno de septiembre de dos mil veinticinco</w:t>
      </w:r>
      <w:r>
        <w:rPr>
          <w:rFonts w:ascii="Palatino Linotype" w:eastAsia="Palatino Linotype" w:hAnsi="Palatino Linotype" w:cs="Palatino Linotype"/>
          <w:color w:val="000000"/>
        </w:rPr>
        <w:t xml:space="preserve">, el </w:t>
      </w:r>
      <w:r>
        <w:rPr>
          <w:rFonts w:ascii="Palatino Linotype" w:eastAsia="Palatino Linotype" w:hAnsi="Palatino Linotype" w:cs="Palatino Linotype"/>
          <w:b/>
          <w:bCs/>
          <w:color w:val="000000"/>
        </w:rPr>
        <w:t>SUJETO OBLIGADO</w:t>
      </w:r>
      <w:r>
        <w:rPr>
          <w:rFonts w:ascii="Palatino Linotype" w:eastAsia="Palatino Linotype" w:hAnsi="Palatino Linotype" w:cs="Palatino Linotype"/>
          <w:color w:val="000000"/>
        </w:rPr>
        <w:t xml:space="preserve"> dio respuesta a través del siguiente archivo electrónico:</w:t>
      </w:r>
    </w:p>
    <w:p w:rsidR="00986325" w:rsidRDefault="008068B7">
      <w:pPr>
        <w:numPr>
          <w:ilvl w:val="0"/>
          <w:numId w:val="1"/>
        </w:numPr>
        <w:pBdr>
          <w:top w:val="nil"/>
          <w:left w:val="nil"/>
          <w:bottom w:val="nil"/>
          <w:right w:val="nil"/>
          <w:between w:val="nil"/>
        </w:pBdr>
        <w:tabs>
          <w:tab w:val="left" w:pos="0"/>
        </w:tabs>
        <w:spacing w:line="360" w:lineRule="auto"/>
        <w:ind w:right="-697"/>
        <w:jc w:val="both"/>
        <w:rPr>
          <w:rFonts w:ascii="Palatino Linotype" w:eastAsia="Palatino Linotype" w:hAnsi="Palatino Linotype" w:cs="Palatino Linotype"/>
          <w:color w:val="000000"/>
        </w:rPr>
      </w:pPr>
      <w:r>
        <w:rPr>
          <w:rFonts w:ascii="Palatino Linotype" w:eastAsia="Palatino Linotype" w:hAnsi="Palatino Linotype" w:cs="Palatino Linotype"/>
          <w:b/>
          <w:bCs/>
          <w:color w:val="000000"/>
        </w:rPr>
        <w:t>AYL-00110-CIUDADANO-UTAI.pdf</w:t>
      </w:r>
      <w:r>
        <w:rPr>
          <w:rFonts w:ascii="Palatino Linotype" w:eastAsia="Palatino Linotype" w:hAnsi="Palatino Linotype" w:cs="Palatino Linotype"/>
          <w:color w:val="000000"/>
        </w:rPr>
        <w:t>, cuyo contenido corresponde al oficio ML/UTAI/RSI/112/2025, suscrito por la Titular de la Unidad de Transparencia, a través del cual emite diversos pronunciamientos a los requerimientos establecidos en la solicitud de información; asimismo, adjunta el siguiente escrito en SAIMEX:</w:t>
      </w:r>
    </w:p>
    <w:p w:rsidR="00986325" w:rsidRDefault="008068B7">
      <w:pPr>
        <w:pBdr>
          <w:top w:val="nil"/>
          <w:left w:val="nil"/>
          <w:bottom w:val="nil"/>
          <w:right w:val="nil"/>
          <w:between w:val="nil"/>
        </w:pBdr>
        <w:tabs>
          <w:tab w:val="left" w:pos="0"/>
        </w:tabs>
        <w:ind w:left="720" w:right="-697"/>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“En atención a su solicitud de información pública con fecha 11 de agosto del 2025, recibida a través del Sistema de Acceso a la Información Mexiquense (SAIMEX), con el número de folio 00110/LERMA/IP/2025, en la cual requiere lo siguiente: DESCRIPCIÓN CLARA Y PRECISA DE LA INFORMACIÓN SOLICITADA: “Informe de manera clara y precisa el Plan de Desarrollo del Gobierno Municipal de Lerma 2025 – 2027. * Informe cuales son los planes y proyectos de inversión en obra pública que se desarrollarán en cumplimiento al Plan de Desarrollo del Gobierno Municipal de Lerma 2025 – 2027. * Informe de manera clara y precisa las obras públicas que desarrollaron en el año 2024 por parte del Gobierno Municipal de Lerma, Estado de México. * De lo anterior, especifique si cada una de las obras desarrolladas se realizó de forma directa por parte del gobierno municipal o se otorgaron contratos de </w:t>
      </w:r>
      <w:r>
        <w:rPr>
          <w:rFonts w:ascii="Palatino Linotype" w:eastAsia="Palatino Linotype" w:hAnsi="Palatino Linotype" w:cs="Palatino Linotype"/>
          <w:i/>
          <w:iCs/>
          <w:color w:val="000000"/>
        </w:rPr>
        <w:lastRenderedPageBreak/>
        <w:t xml:space="preserve">construcción con empresas o terceras personas para su ejecución. * Informe de manera clara y precisa los planes y proyectos de inversión en obra pública por parte del Gobierno Municipal de Lerma, Estado de México respecto del presente año 2025. * De lo anterior, describa el presupuesto otorgado para cada obra pública planeada a realizarse en el presente año 2025. * Informe de manera clara y precisa las obras publicas que ya se desarrollaron o aquellas que continúan realizándose hasta el día de hoy por parte del Gobierno Municipal de Lerma, Estado de México, en el presente año 2025. * Informe de manera clara y precisa los proyectos de obra pública planeadas para las comunidades de San Francisco Xochicuautla y la Concepción Xochicuautla Municipio de Lerma, Estado de México para los años 2025 - 2027. * Informe la naturaleza de la obra que actualmente en el año 2025 se está construyendo en el campo de futbol de la Comunidad de la Concepción Xochicuautla, Lerma, Estado de México. * Informe si el proyecto total de la obra que actualmente se está construyendo en el campo de futbol de la Comunidad de la Concepción Xochicuautla, Lerma, Estado de México, está planeada realizarse en diversas fases o etapas, indicando en su caso el número total de estas. * Derivado de lo anterior, describa de manera clara los tiempos programados y así como el presupuesto otorgado para la ejecución de cada fase o etapa que integra el proyecto total de la obra que actualmente en el año 2025 se está construyendo en el campo de futbol de la Comunidad de la Concepción Xochicuautla, Lerma, Estado de México. * Derivado de lo anterior, informe que fases o etapas que integra el proyecto total de la obra que actualmente en el año 2025 se está construyendo en el campo de futbol de la Comunidad de la Concepción Xochicuautla, Lerma, Estado de México, ya concluyeron, cuales se encuentran desarrollándose, e informe cuales faltan y están pendientes por realizarse.  * Informe si la obra que actualmente en el año 2025 se está construyendo en el campo de futbol de la Comunidad de la Concepción Xochicuautla, Lerma, Estado de México, se está realizando de forma directa por trabajadores del gobierno municipal o se contrató a una empresa o terceras personas para su ejecución, proporcionando en su caso copia fiel e inalterable del original de los contratos o cualquier tipo de documentos de donde se desprenda tal situación. * Derivado de lo anterior, informe de manera clara y precisa el presupuesto destinado en cada una de sus fases o etapas, para la construcción de la obra que actualmente en el año 2025 se está realizando en el campo de futbol de la Comunidad de la Concepción Xochicuautla, Lerma, Estado de México. * Derivado de lo anterior, informe de manera clara y precisa las autoridades del Gobierno Municipal de Lerma, Estado de México que han intervenido en la planeación, orden, instrucción y ejecución de la obra (en cada una de sus fases o etapas) que actualmente en el año 2025 se está realizando en el campo de futbol de la Comunidad de la Concepción Xochicuautla. * Derivado de lo anterior, proporcione copia fiel e inalterable de planos, proyectos, planes de desarrollo, dictámenes técnicos, estudios de campos, levantamientos topográficos, dictámenes de aprobación de cumplimiento de </w:t>
      </w:r>
      <w:r>
        <w:rPr>
          <w:rFonts w:ascii="Palatino Linotype" w:eastAsia="Palatino Linotype" w:hAnsi="Palatino Linotype" w:cs="Palatino Linotype"/>
          <w:i/>
          <w:iCs/>
          <w:color w:val="000000"/>
        </w:rPr>
        <w:lastRenderedPageBreak/>
        <w:t xml:space="preserve">normatividad firmados por las personas responsables o cualquier tipo de documento de los que se desprendan los señalamientos técnicos contemplados para la ejecución de la obra que actualmente en el año 2025 se está realizando en el campo de futbol de la Comunidad de la Concepción Xochicuautla. * Informe los tiempos de inicio y conclusión programados para la ejecución (de cada fase o etapa) de la obra que se está realizando actualmente en el año 2025, en el campo de futbol de la comunidad de la Concepción Xochicuautla.”. (Sic) Al respecto y con fundamento en lo dispuesto por los artículos 12 párrafo segundo, 19 párrafo primero, 23 fracción IV, 53 fracciones II, V, VI y 163 de la Ley de Transparencia y Acceso a la Información Pública del Estado de México y Municipios, me permito notificarle que, se efectúo una búsqueda exhaustiva y razonable de la información solicitada en los archivos de la Dirección de Obras Públicas y de la Dirección de Gestión para Resultados y Calidad del Ayuntamiento Constitucional de Lerma, encontrándose lo siguiente: En relación a su petición sobre: Información del Plan de Desarrollo Municipal (PDM) 2025-2027, se le precisa que el artículo 161 de la Ley de Transparencia y Acceso a la Información Pública del Estado de México y Municipios, menciona que: cuando la información requerida por el solicitante, ya esté disponible al público (…) en formatos electrónicos disponibles en internet o en cualquier otro medio, se le hará saber por el medio requerido por el solicitante, el lugar, la fuente y la forma en que puede consultar (…). Por lo anterior, se hace de su conocimiento que la información del Plan de Desarrollo Municipal del Municipio de Lerma para el periodo 2025-2027, se encuentra publicada en la página web del Ayuntamiento, la cual podrá ser consultada en el siguiente enlace: https://lerma.gob.mx/wp-content/uploads/docs-pages/PLAN%20DE%20DESARROLLO%20MUNICIPAL%20DE%20LERMA%202025-2027.pdf Así mismo, con respecto al punto sobre los planes y proyectos de inversión en obra pública que se desarrollarán en cumplimiento al Plan de Desarrollo del Gobierno Municipal de Lerma 2025 – 2027, dicha información se encuentra desarrollada dentro de cada uno de los temas de desarrollo de los ejes que integran dicho documento. Resaltando que en el enlace arriba citado apreciar el documento íntegro del PDM, para su consulta y descarga, mismo que es oficial y vigente. Por otra parte continuando con el deshago de su solicitud, es importante hacerle mención que con relación a los puntos indicados en el texto de su requerimiento respecto a diversos puntos en materia de obra pública municipal, de acuerdo a las atribuciones y funciones de la Dirección de Obras Públicas, es competencia de la misma, registrar información sobre la ejecución y administración de los proyectos de infraestructura en el municipio, por lo que, dentro de los archivos que obran en esta Dirección, se cuenta con registros administrativos sobre obra pública, sin embargo, dicha información no se encuentra organizada tal y como usted lo requiere o en su defecto no cubre a detalle cada uno de los puntos que indica, toda vez que, la información que se resguarda, no contiene en su totalidad </w:t>
      </w:r>
      <w:r>
        <w:rPr>
          <w:rFonts w:ascii="Palatino Linotype" w:eastAsia="Palatino Linotype" w:hAnsi="Palatino Linotype" w:cs="Palatino Linotype"/>
          <w:i/>
          <w:iCs/>
          <w:color w:val="000000"/>
        </w:rPr>
        <w:lastRenderedPageBreak/>
        <w:t xml:space="preserve">y puntualmente los datos indicados, esto, debido a que dicha unidad administrativa maneja sus propios formatos acorde a las necesidades y a la utilidad de la información dentro del área. En este sentido, es importante recalcarle que el Derecho de Acceso a la Información Pública, se satisface en aquellos casos en que se entregue un documento en el que conste la información requerida, toda vez que, los Sujetos Obligados no tienen el deber de generar, poseer o administrar la información pública con el grado de detalle solicitado; esto es, que no tienen el deber de generar un documento ad hoc, para satisfacer el derecho de acceso a la información pública, como así lo establece el criterio 03/17 emitido por el Instituto Nacional de Transparencia, Acceso a la Información Pública y Protección de Datos Personales, el cual señala lo siguiente: “03/17 NO EXISTE OBLIGACIÓN DE ELABORAR DOCUMENTOS AD HOC PARA ATENDER LAS SOLICITUDES DE ACCESO A LA INFORMACIÓN. Los artículos 129 de la Ley General de Transparencia y Acceso a la Información Pública y 130, párrafo cuarto, de la Ley Federal de Transparencia y Acceso a la Información Pública, señalan que los sujetos obligados deberán otorgar acceso a los documentos que se encuentren en sus archivos o que estén obligados a documentar, de acuerdo con sus facultades, competencias o funciones, conforme a Las características físicas de la información o del lugar donde se encuentre. Por lo anterior, los sujetos obligados deben garantizar el derecho de acceso a la información del particular, proporcionando la información con la que cuentan en el formato en que la misma obre en sus archivos; sin necesidad de elaborar documentos ad hoc para atender las solicitudes de información. Por otra parte, y aunado a lo antepuesto, el último párrafo del artículo 24 de la Ley de la materia, dispone que los Sujetos Obligados solo proporcionarán la información pública que generen, administren o posean en el ejercicio de sus atribuciones; por consiguiente, la información pública se encuentra a disposición de cualquier persona, lo que implica que es deber de los Sujetos Obligados, garantizar el Derecho de Acceso a la Información Pública.”   En este sentido, es menester señalarle, que este Sujeto Obligado, se encuentra en la mejor disposición de colaborar dentro de sus competencias para brindar la información oportuna a los solicitantes en los diversos aplicativos de acceso a la información, por lo que a continuación me permito describirle la información existente con los rubros y campos que se generan en la Dirección de Obras Públicas, al respecto de su solicitud de información. Con relación a la petición sobre: Las obras públicas que se desarrollaron en el año 2024, el artículo 161 de la Ley de Transparencia y Acceso a la Información Pública del Estado de México y Municipios, menciona que: cuando la información requerida por el solicitante, ya esté disponible al público (…) en formatos electrónicos disponibles en internet o en cualquier otro medio, se le hará saber por el medio requerido por el solicitante, el lugar, la fuente y la forma en que puede consultar (…). Por lo anterior, la información relacionada con las obras púbicas que se desarrollaron en el año 2024, se encuentra publicada en el Informe </w:t>
      </w:r>
      <w:r>
        <w:rPr>
          <w:rFonts w:ascii="Palatino Linotype" w:eastAsia="Palatino Linotype" w:hAnsi="Palatino Linotype" w:cs="Palatino Linotype"/>
          <w:i/>
          <w:iCs/>
          <w:color w:val="000000"/>
        </w:rPr>
        <w:lastRenderedPageBreak/>
        <w:t xml:space="preserve">de Resultados del ejercicio fiscal 2024, paginas 15 -18, en el siguiente enlace: https://lerma.gob.mx/wp-content/uploads/docs-pages/3er-informe-web-2024.pdf Al respecto también se aclara que algunas obras se realizaron por Administración, y otras fueron ejecutadas por medio de contratos.   Con relación a los planes y proyectos de inversión en obra pública por parte del Gobierno Municipal de Lerma, Estado de México respecto del presente año, se le precisa que dicha información se tiene contemplada dentro del Programa Anual de Obra 2025, el cual está disponible para su consulta en el siguiente enlace: https://transparencia.lerma.gob.mx/wp-content/uploads/lerma-inf-financiera/2do-trim-2025/programa-anual-de-obras.pdf Por otra parte, respecto al punto sobre el presupuesto otorgado para cada obra pública planeada a realizarse en el presente año 2025, se le informa, que el monto del presupuesto aprobado para el año actual en materia de Inversión Pública contemplado en el Presupuesto de Egresos 2025, es por la cantidad $316,109,477.77 (trescientos dieciséis millones ciento nueve mil cuatrocientos setenta y siente pesos 77/100 m.n). Referente al punto informe de manera clara y precisa las obras publicas que ya se desarrollaron o aquellas que continúan realizándose hasta el día de hoy por parte del Gobierno Municipal de Lerma, Estado de México, en el presente año 2025, se le hace de conocimiento que la información sobre los proyectos de obras que han sido ejecutados en lo que va del año, se encuentra publicada en el portal electrónico de Información Pública de Oficio Mexiquense (IPOMEX) en su versión 4.0, en atención a lo dispuesto por el artículo 92 fracción XXIX de la ley anteriormente citada, y acorde a los Lineamientos Técnicos Generales para la publicación, homologación y estandarización de la información emitidos por el Sistema Nacional de Transparencia, la cual podrá ser consultada en el siguiente enlace: https://ipomex.org.mx/ipomex/#/info-fraccion/676/142/12 En seguimiento a la atención de su solicitud de información, en el punto sobre Informe de manera clara y precisa los proyectos de obra pública planeadas para las comunidades de San Francisco Xochicuautla y la Concepción Xochicuautla Municipio de Lerma, Estado de México para los años 2025 – 2027, se enlistan a continuación: (aclarando que pueden realizarse cambios en estas obras de acuerdo a las necesidades de la población).   Comunidad Obra Inversión San Francisco Xochicuautla Continuación de guarniciones y banquetas en av. Hidalgo 5ta. Etapa del centro de salud a La Capilla $ 2,000,000.00 San Francisco Xochicuautla Construcción de la alberca semiolímpica 3ra. Etapa $ 5,000,000.00 San Francisco Xochicuautla Pavimentación con concreto hidráulico de calle principal de acceso al Panteón $ 350,000.00 San Francisco Xochicuautla Pavimentación con concreto hidráulico en la calle Mérida $ 350,000.00 San Francisco Xochicuautla Pavimentación con concreto hidráulico en la calle Tijuana $ 550,000.00 San Francisco Xochicuautla Construcción de la alberca semiolímpica 2da. Etapa $ 5,000,000.00 San Francisco Xochicuautla Ampliación de red de electrificación en calle Limón 4ta. Sección, </w:t>
      </w:r>
      <w:r>
        <w:rPr>
          <w:rFonts w:ascii="Palatino Linotype" w:eastAsia="Palatino Linotype" w:hAnsi="Palatino Linotype" w:cs="Palatino Linotype"/>
          <w:i/>
          <w:iCs/>
          <w:color w:val="000000"/>
        </w:rPr>
        <w:lastRenderedPageBreak/>
        <w:t xml:space="preserve">San Francisco Xochicuautla $ 1,600,000.00 La Concepción Xochicuautla Construcción de aulas en Telebachillerato $ 3,700,000.00 La Concepción Xochicuautla Pavimentación con concreto hidráulico en calle Francisco González Bocanegra $ 500,000.00 La Concepción Xochicuautla Continuación de construcción de muro de contención en campo de fútbol 2da. Etapa $ 1,000,000.00 Y por último, por lo que respecta a los últimos puntos sobre los trabajos de obra pública con respecto al Campo de futbol de la Comunidad de la Concepción Xochicuautla, se le informa que a la fecha, se encuentra en trámite judicial, en el Juzgado Cuarto de Distrito en Materias Administrativa, Civil y de Trabajo en el Estado de México, el Juicio de Amparo Indirecto número: 1046/2025-III, de la cual se desprende que la autoridad federal referida mediante notificación personal número: 16688/2025, realizada en fecha 30 de julio del año en curso, por lo que este Sujeto Obligado, por el momento no se encuentra en condiciones de brindar al peticionario la información requerida hasta en tanto se resuelva el juico de garantías en mención. Es de resaltarse que, para el caso de consulta con hipervínculos, se le sugiere copiar los enlaces arriba citados o en su caso digitarlos en el navegador de su preferencia y presionar enter, para que no suceda algún error al dar click directo en la hoja de respuesta. Lo anterior, de conformidad con lo establecido en los artículos 12 y 24 de la Ley de Transparencia y Acceso a la Información Pública del Estado de México y Municipios, mismos que a la letra dicen: Artículo 12. Quienes generen, recopilen, administren, manejen, procesen, archiven o conserven información pública serán responsables de la misma en los términos de las disposiciones jurídicas aplicables. Los sujetos obligados sólo proporcionarán la información pública que se les requiere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 Artículo 24. … Los sujetos obligados solo proporcionarán la información pública que generen, administren o posean en el ejercicio de sus atribuciones.” Aunado a ello, el Pleno del Instituto de Transparencia y Acceso a la Información Pública del Estado de México y Municipios, aprobó el Criterio de Interpretación en el Orden Administrativo número 0002-11, el cual se describe a continuación: “CRITERIO 0002-11 INFORMACIÓN PÚBLICA, CONCEPTO DE, EN MATERIA DE TRANSPARENCIA, INTERPRETACIÓN TEMÁTICA DE LOS ARTÍCULOS 2° FRACCIÓN V, XV, Y XVI, 3°, 4°, 11 Y 41. De conformidad con los artículos antes referidos, el derecho de acceso a la información pública, se define en cuanto a su alcance y resultado material, el acceso a los archivos, registros y documentos públicos, administrados, generados o en posesión de los órganos u organismos públicos, en virtud del ejercicio de sus funciones de derecho público, sin importar su fuente, soporte o fecha de elaboración. Consecuencia el acceso a la información se refiere a que se cumplan cualquiera de los siguientes tres supuestos: </w:t>
      </w:r>
      <w:r>
        <w:rPr>
          <w:rFonts w:ascii="Palatino Linotype" w:eastAsia="Palatino Linotype" w:hAnsi="Palatino Linotype" w:cs="Palatino Linotype"/>
          <w:i/>
          <w:iCs/>
          <w:color w:val="000000"/>
        </w:rPr>
        <w:lastRenderedPageBreak/>
        <w:t>1). Que se trate de información registrada en cualquier soporte documental, que en ejercicio de las atribuciones conferidas, sea generada por los Sujetos Obligados; 2). Que se trate de información registrada en cualquier soporte documental, que en ejercicio de las atribuciones conferidas, sea administrada por los Sujetos Obligados, y 3). Que se dé información registrada en cualquier soporte documental, que en ejercicio de las atribuciones conferidas, se encuentre en posesión de los Sujetos Obligados”. Sin otro particular, con el presente escrito se tiene por atendida la solicitud de información.”</w:t>
      </w:r>
    </w:p>
    <w:p w:rsidR="00986325" w:rsidRDefault="00986325">
      <w:pPr>
        <w:pBdr>
          <w:top w:val="nil"/>
          <w:left w:val="nil"/>
          <w:bottom w:val="nil"/>
          <w:right w:val="nil"/>
          <w:between w:val="nil"/>
        </w:pBdr>
        <w:tabs>
          <w:tab w:val="left" w:pos="0"/>
        </w:tabs>
        <w:spacing w:line="360" w:lineRule="auto"/>
        <w:ind w:right="-697"/>
        <w:jc w:val="both"/>
        <w:rPr>
          <w:rFonts w:ascii="Palatino Linotype" w:eastAsia="Palatino Linotype" w:hAnsi="Palatino Linotype" w:cs="Palatino Linotype"/>
          <w:color w:val="000000"/>
        </w:rPr>
      </w:pPr>
    </w:p>
    <w:p w:rsidR="00986325" w:rsidRDefault="008068B7">
      <w:pPr>
        <w:numPr>
          <w:ilvl w:val="0"/>
          <w:numId w:val="2"/>
        </w:numPr>
        <w:pBdr>
          <w:top w:val="nil"/>
          <w:left w:val="nil"/>
          <w:bottom w:val="nil"/>
          <w:right w:val="nil"/>
          <w:between w:val="nil"/>
        </w:pBdr>
        <w:tabs>
          <w:tab w:val="left" w:pos="0"/>
        </w:tabs>
        <w:spacing w:line="360" w:lineRule="auto"/>
        <w:ind w:left="0" w:right="-69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Inconforme con la respuesta el particular </w:t>
      </w:r>
      <w:r>
        <w:rPr>
          <w:rFonts w:ascii="Palatino Linotype" w:eastAsia="Palatino Linotype" w:hAnsi="Palatino Linotype" w:cs="Palatino Linotype"/>
          <w:b/>
          <w:bCs/>
          <w:color w:val="000000"/>
        </w:rPr>
        <w:t>veintitrés de septiembre de dos mil veinticinco</w:t>
      </w:r>
      <w:r>
        <w:rPr>
          <w:rFonts w:ascii="Palatino Linotype" w:eastAsia="Palatino Linotype" w:hAnsi="Palatino Linotype" w:cs="Palatino Linotype"/>
          <w:color w:val="000000"/>
        </w:rPr>
        <w:t>, interpuso el recurso de revisión en contra de la respuesta, manifestando lo siguiente:</w:t>
      </w:r>
    </w:p>
    <w:p w:rsidR="00986325" w:rsidRDefault="008068B7">
      <w:pPr>
        <w:numPr>
          <w:ilvl w:val="0"/>
          <w:numId w:val="11"/>
        </w:numPr>
        <w:pBdr>
          <w:top w:val="nil"/>
          <w:left w:val="nil"/>
          <w:bottom w:val="nil"/>
          <w:right w:val="nil"/>
          <w:between w:val="nil"/>
        </w:pBdr>
        <w:ind w:left="425" w:right="-697"/>
        <w:jc w:val="both"/>
        <w:rPr>
          <w:rFonts w:ascii="Palatino Linotype" w:eastAsia="Palatino Linotype" w:hAnsi="Palatino Linotype" w:cs="Palatino Linotype"/>
          <w:i/>
          <w:iCs/>
          <w:color w:val="000000"/>
        </w:rPr>
      </w:pPr>
      <w:bookmarkStart w:id="2" w:name="_heading=h.30j0zll" w:colFirst="0" w:colLast="0"/>
      <w:bookmarkEnd w:id="2"/>
      <w:r>
        <w:rPr>
          <w:rFonts w:ascii="Palatino Linotype" w:eastAsia="Palatino Linotype" w:hAnsi="Palatino Linotype" w:cs="Palatino Linotype"/>
          <w:b/>
          <w:bCs/>
          <w:color w:val="000000"/>
        </w:rPr>
        <w:t xml:space="preserve">Acto impugnado: </w:t>
      </w:r>
      <w:r>
        <w:rPr>
          <w:rFonts w:ascii="Palatino Linotype" w:eastAsia="Palatino Linotype" w:hAnsi="Palatino Linotype" w:cs="Palatino Linotype"/>
          <w:i/>
          <w:iCs/>
          <w:color w:val="000000"/>
        </w:rPr>
        <w:t>“La negativa a la información solicitada que se realiza en la página 07 del Oficio de fecha 01 de septiembre de 2025, número ML/UTAI/RSI/112/2025 por parte de la Titular de la Unidad de Transparencia y Acceso a la Información del Ayuntamiento de Lerma, Estado de México, en la que para mayor referencia y precisión se transcribe su contenido literal: “… Y por último, por lo que respecta a los últimos puntos sobre los trabajos de obra pública con respecto al Campo de futbol de la Comunidad de la Concepción Xochicuautla, se le informa que a la fecha, se encuentra en trámite judicial, en el Juzgado Cuarto de Distrito en Materias Administrativa, Civil y de Trabajo en el Estado de México, el Juicio de Amparo Indirecto número 1046/2025-III, de la cual se desprende que la autoridad federal referida mediante notificación personal número 16688/2025, realizada en fecha 30 de julio del año en curso, por lo que este Sujeto Obligado, por el momento no se encuentra en condiciones de brindar al peticionario la información requerida hasta en tanto se resuelva el juicio de garantías en mención. … “</w:t>
      </w:r>
    </w:p>
    <w:p w:rsidR="00986325" w:rsidRDefault="00986325">
      <w:pPr>
        <w:pBdr>
          <w:top w:val="nil"/>
          <w:left w:val="nil"/>
          <w:bottom w:val="nil"/>
          <w:right w:val="nil"/>
          <w:between w:val="nil"/>
        </w:pBdr>
        <w:spacing w:line="360" w:lineRule="auto"/>
        <w:ind w:left="425" w:right="-697" w:hanging="360"/>
        <w:jc w:val="both"/>
        <w:rPr>
          <w:rFonts w:ascii="Palatino Linotype" w:eastAsia="Palatino Linotype" w:hAnsi="Palatino Linotype" w:cs="Palatino Linotype"/>
          <w:i/>
          <w:iCs/>
          <w:color w:val="000000"/>
        </w:rPr>
      </w:pPr>
    </w:p>
    <w:p w:rsidR="00986325" w:rsidRDefault="008068B7">
      <w:pPr>
        <w:numPr>
          <w:ilvl w:val="0"/>
          <w:numId w:val="11"/>
        </w:numPr>
        <w:pBdr>
          <w:top w:val="nil"/>
          <w:left w:val="nil"/>
          <w:bottom w:val="nil"/>
          <w:right w:val="nil"/>
          <w:between w:val="nil"/>
        </w:pBdr>
        <w:ind w:left="425" w:right="-697"/>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color w:val="000000"/>
        </w:rPr>
        <w:t>Razones o Motivos de Inconformidad:</w:t>
      </w:r>
      <w:r>
        <w:rPr>
          <w:rFonts w:ascii="Palatino Linotype" w:eastAsia="Palatino Linotype" w:hAnsi="Palatino Linotype" w:cs="Palatino Linotype"/>
          <w:i/>
          <w:iCs/>
          <w:color w:val="000000"/>
        </w:rPr>
        <w:t xml:space="preserve"> “La autoridad obligada, en este caso el Ayuntamiento de Lerma al dar respuesta a la solicitud de acceso a la información realizada por el suscrito con el objeto de requerir me fuera proporcionada diversa información con relación a los trabajos de obra pública que se realizan en el campo de futbol de la Comunidad de la Concepción Xochicuautla, de manera completamente ilegal SE NIEGA a proporcionar algún tipo de información al respecto transgrediendo mi derecho fundamental consagrado en el apartado A del articulo 6° de la Constitución Política de los Estados Unidos Mexicanos y así como de los diversos párrafos décimo séptimo, décimo octavo y décimo noveno del artículo 5 de la Constitución Política del Estado Libre y Soberano de México, omitiendo completamente fundar dicha negativa, realizando </w:t>
      </w:r>
      <w:r>
        <w:rPr>
          <w:rFonts w:ascii="Palatino Linotype" w:eastAsia="Palatino Linotype" w:hAnsi="Palatino Linotype" w:cs="Palatino Linotype"/>
          <w:i/>
          <w:iCs/>
          <w:color w:val="000000"/>
        </w:rPr>
        <w:lastRenderedPageBreak/>
        <w:t xml:space="preserve">una insuficiente motivación en el caso en particular, contrario a lo establecido en los diversos articulo 14 y 16 Constitucionales. Esto se sostiene así ya que, en atención a lo establecido en la Constitución Política de los Estados Unidos Mexicanos, la Constitución Política del Estado Libre y Soberano de México, y la Ley de Transparencia y Acceso a la Información Pública del Estado de México y Municipios, los sujetos obligados deben proporcionar la información pública que se les solicite y que tengan en su poder derivado del ejercicio de sus facultades competencias o funciones, como en el presente asunto se actualiza por parte del Ayuntamiento de Lerma en la planeación, proyección y ejecución de la obra pública que realiza en el campo de futbol de la Comunidad de la Concepción Xochicuautla, denominada por el sujeto obligado en la foja 07 como “Continuación de construcción de muro de contención en campo de futbol 2da Etapa”. Información que si bien es cierto puede ser clasificada como confidencial o reservada en términos de lo establecido en los artículos 122, 140 y 143 de la Ley de Transparencia y Acceso a la Información Pública del Estado de México y Municipios, también es cierto que dicha autoridad debe de realizar una correcta y debida fundamentación y motivación de tal circunstancia acreditando necesariamente haber cumplido con el procedimiento establecido por el propio articulo 168 de la Ley en comento, lo cual no aconteció en el presente, ya que de manera totalmente ilegal, la unidad de transparencia y acceso a la información del ayuntamiento de Lerma solo se limitó a manifestar en su contestación “que por el momento no se encuentra en condiciones de brindar al peticionario la información requerida hasta en tanto se resuelva el juicio de Amparo Indirecto número 1046/2025-III, tramitándose ante el Juzgado Cuarto de Distrito en Materias Administrativa, Civil y de Trabajo en el Estado de México.”, omitiendo: 1) citar algún precepto jurídico en especifico con el que fundamente tal negativa de información; 2) motive de manera debida y suficiente sus argumentos lógicos jurídicos que justifiquen su negativa de información; 3) así como informar y proporcionar la solicitud y resolución realizada en su caso ante el Comité de Transparencia en donde funde y motive la clasificación de la información solicitada respecto de la obra pública que realiza en el campo de futbol de la Comunidad de la Concepción Xochicuautla, no siendo justificación suficiente el solo hecho de informar la existencia del tramite de un juicio de Amparo Indirecto, ya que no realiza manifestación alguna sobre daños, alteraciones, transgresiones o vulneraciones que pudiera ocasionarse al proporcionarme la información pública solicitada, ni mucho menos describe de manera clara y precisa los alcances de la información pública en la litis constitucional del juicio de amparo o en su caso si el propio Juzgado de Distrito es quien ordenó la reserva de información. Siendo necesario destacar que el mandato constitucional ordena que al interpretarse este derecho deberá prevalecer el principio de máxima publicidad, además de regirse por los principios de certeza, legalidad, independencia, imparcialidad, eficacia, objetividad, profesionalismo y transparencia. En consecuencia de lo anterior y al no existir causa que justifique legalmente el que se niegue se </w:t>
      </w:r>
      <w:r>
        <w:rPr>
          <w:rFonts w:ascii="Palatino Linotype" w:eastAsia="Palatino Linotype" w:hAnsi="Palatino Linotype" w:cs="Palatino Linotype"/>
          <w:i/>
          <w:iCs/>
          <w:color w:val="000000"/>
        </w:rPr>
        <w:lastRenderedPageBreak/>
        <w:t xml:space="preserve">proporcione a mi favor la información solicitada por parte del sujeto obligado – Ayuntamiento de Lerma, es que se solicita a este órgano revisor, sirva declarar fundado las razones y motivos de esta inconformidad, revocar la respuesta del sujeto obligado y ordenar se me entregue de manera total y completa la información solicitada respecto de la obra pública que realiza en el campo de futbol de la Comunidad de la Concepción Xochicuautla, denominada por la propia autoridad en la foja 07 como “Continuación de construcción de muro de contención en campo de futbol 2da Etapa, de conformidad con lo dispuesto por la fracción III y IV del articulo 186 la Ley de Transparencia y Acceso a la Información Pública del Estado de México y Municipios.” </w:t>
      </w:r>
    </w:p>
    <w:p w:rsidR="00986325" w:rsidRDefault="00986325">
      <w:pPr>
        <w:pBdr>
          <w:top w:val="nil"/>
          <w:left w:val="nil"/>
          <w:bottom w:val="nil"/>
          <w:right w:val="nil"/>
          <w:between w:val="nil"/>
        </w:pBdr>
        <w:spacing w:line="360" w:lineRule="auto"/>
        <w:ind w:left="993" w:right="-697"/>
        <w:jc w:val="both"/>
        <w:rPr>
          <w:rFonts w:ascii="Palatino Linotype" w:eastAsia="Palatino Linotype" w:hAnsi="Palatino Linotype" w:cs="Palatino Linotype"/>
          <w:i/>
          <w:iCs/>
          <w:color w:val="000000"/>
        </w:rPr>
      </w:pPr>
    </w:p>
    <w:p w:rsidR="00986325" w:rsidRDefault="008068B7">
      <w:pPr>
        <w:numPr>
          <w:ilvl w:val="0"/>
          <w:numId w:val="11"/>
        </w:numPr>
        <w:pBdr>
          <w:top w:val="nil"/>
          <w:left w:val="nil"/>
          <w:bottom w:val="nil"/>
          <w:right w:val="nil"/>
          <w:between w:val="nil"/>
        </w:pBdr>
        <w:spacing w:line="360" w:lineRule="auto"/>
        <w:ind w:left="425" w:right="-697"/>
        <w:jc w:val="both"/>
        <w:rPr>
          <w:rFonts w:ascii="Palatino Linotype" w:eastAsia="Palatino Linotype" w:hAnsi="Palatino Linotype" w:cs="Palatino Linotype"/>
          <w:i/>
          <w:iCs/>
          <w:color w:val="000000"/>
        </w:rPr>
      </w:pPr>
      <w:r>
        <w:rPr>
          <w:rFonts w:ascii="Palatino Linotype" w:eastAsia="Palatino Linotype" w:hAnsi="Palatino Linotype" w:cs="Palatino Linotype"/>
          <w:color w:val="000000"/>
        </w:rPr>
        <w:t>Asimismo, se adjuntó el archivo denominado</w:t>
      </w:r>
      <w:r>
        <w:rPr>
          <w:rFonts w:ascii="Palatino Linotype" w:eastAsia="Palatino Linotype" w:hAnsi="Palatino Linotype" w:cs="Palatino Linotype"/>
          <w:i/>
          <w:iCs/>
          <w:color w:val="000000"/>
        </w:rPr>
        <w:t xml:space="preserve"> </w:t>
      </w:r>
      <w:r>
        <w:rPr>
          <w:rFonts w:ascii="Palatino Linotype" w:eastAsia="Palatino Linotype" w:hAnsi="Palatino Linotype" w:cs="Palatino Linotype"/>
          <w:b/>
          <w:bCs/>
          <w:i/>
          <w:iCs/>
          <w:color w:val="000000"/>
        </w:rPr>
        <w:t xml:space="preserve">REVISIÓN ADMINISTRATIVA VF.pdf, </w:t>
      </w:r>
      <w:r>
        <w:rPr>
          <w:rFonts w:ascii="Palatino Linotype" w:eastAsia="Palatino Linotype" w:hAnsi="Palatino Linotype" w:cs="Palatino Linotype"/>
          <w:color w:val="000000"/>
        </w:rPr>
        <w:t>cuyo contenido corresponde al siguiente escrito:</w:t>
      </w:r>
    </w:p>
    <w:p w:rsidR="00986325" w:rsidRDefault="008068B7">
      <w:pPr>
        <w:pBdr>
          <w:top w:val="nil"/>
          <w:left w:val="nil"/>
          <w:bottom w:val="nil"/>
          <w:right w:val="nil"/>
          <w:between w:val="nil"/>
        </w:pBdr>
        <w:ind w:left="141" w:right="-697"/>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t xml:space="preserve">UNIDAD DE TRANSPARENCIA Y ACCESO A LA INFORMACIÓN DEL AYUNTAMIENTO DE LERMA, ESTADO DE MÉXICO. </w:t>
      </w:r>
    </w:p>
    <w:p w:rsidR="00986325" w:rsidRDefault="008068B7">
      <w:pPr>
        <w:pBdr>
          <w:top w:val="nil"/>
          <w:left w:val="nil"/>
          <w:bottom w:val="nil"/>
          <w:right w:val="nil"/>
          <w:between w:val="nil"/>
        </w:pBdr>
        <w:ind w:left="993" w:right="-697"/>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t xml:space="preserve">P R E S E N T E. </w:t>
      </w:r>
    </w:p>
    <w:p w:rsidR="00986325" w:rsidRDefault="006B3940">
      <w:pPr>
        <w:pBdr>
          <w:top w:val="nil"/>
          <w:left w:val="nil"/>
          <w:bottom w:val="nil"/>
          <w:right w:val="nil"/>
          <w:between w:val="nil"/>
        </w:pBdr>
        <w:ind w:left="993" w:right="-697"/>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t>XXXX</w:t>
      </w:r>
      <w:r w:rsidR="008068B7">
        <w:rPr>
          <w:rFonts w:ascii="Palatino Linotype" w:eastAsia="Palatino Linotype" w:hAnsi="Palatino Linotype" w:cs="Palatino Linotype"/>
          <w:b/>
          <w:bCs/>
          <w:i/>
          <w:iCs/>
          <w:color w:val="000000"/>
        </w:rPr>
        <w:t xml:space="preserve">, </w:t>
      </w:r>
      <w:r w:rsidR="008068B7">
        <w:rPr>
          <w:rFonts w:ascii="Palatino Linotype" w:eastAsia="Palatino Linotype" w:hAnsi="Palatino Linotype" w:cs="Palatino Linotype"/>
          <w:i/>
          <w:iCs/>
          <w:color w:val="000000"/>
        </w:rPr>
        <w:t xml:space="preserve">por propio derecho y en mi carácter de parte solicitante de información pública respecto de la solicitud de fecha 11 de agosto de 2025, acusada de recibido a través del Sistema de Acceso a la Información Mexiquense (SAIMEX) con el número de folio 00110/LERMA/IP/2025; señalando como domicilio para oír y recibir notificaciones y documentos: </w:t>
      </w:r>
      <w:r w:rsidR="008068B7">
        <w:rPr>
          <w:rFonts w:ascii="Palatino Linotype" w:eastAsia="Palatino Linotype" w:hAnsi="Palatino Linotype" w:cs="Palatino Linotype"/>
          <w:b/>
          <w:bCs/>
          <w:i/>
          <w:iCs/>
          <w:color w:val="000000"/>
        </w:rPr>
        <w:t xml:space="preserve">el predio ubicado </w:t>
      </w:r>
      <w:r>
        <w:rPr>
          <w:rFonts w:ascii="Palatino Linotype" w:eastAsia="Palatino Linotype" w:hAnsi="Palatino Linotype" w:cs="Palatino Linotype"/>
          <w:b/>
          <w:bCs/>
          <w:i/>
          <w:iCs/>
          <w:color w:val="000000"/>
        </w:rPr>
        <w:t>XXXX</w:t>
      </w:r>
      <w:r w:rsidR="008068B7">
        <w:rPr>
          <w:rFonts w:ascii="Palatino Linotype" w:eastAsia="Palatino Linotype" w:hAnsi="Palatino Linotype" w:cs="Palatino Linotype"/>
          <w:b/>
          <w:bCs/>
          <w:i/>
          <w:iCs/>
          <w:color w:val="000000"/>
        </w:rPr>
        <w:t xml:space="preserve">; y </w:t>
      </w:r>
      <w:r w:rsidR="008068B7">
        <w:rPr>
          <w:rFonts w:ascii="Palatino Linotype" w:eastAsia="Palatino Linotype" w:hAnsi="Palatino Linotype" w:cs="Palatino Linotype"/>
          <w:i/>
          <w:iCs/>
          <w:color w:val="000000"/>
        </w:rPr>
        <w:t xml:space="preserve">proporcionado el siguiente correo electrónico: </w:t>
      </w:r>
      <w:r>
        <w:rPr>
          <w:rFonts w:ascii="Palatino Linotype" w:eastAsia="Palatino Linotype" w:hAnsi="Palatino Linotype" w:cs="Palatino Linotype"/>
          <w:i/>
          <w:iCs/>
          <w:color w:val="000000"/>
        </w:rPr>
        <w:t>XXXX</w:t>
      </w:r>
      <w:r w:rsidR="008068B7">
        <w:rPr>
          <w:rFonts w:ascii="Palatino Linotype" w:eastAsia="Palatino Linotype" w:hAnsi="Palatino Linotype" w:cs="Palatino Linotype"/>
          <w:i/>
          <w:iCs/>
          <w:color w:val="000000"/>
        </w:rPr>
        <w:t xml:space="preserve">. Asimismo, autorizo para efecto de oír y recibir notificaciones y documentos, así como para realizar los trámites y gestiones necesarias para la substanciación del recurso de revisión, al Licenciado en Derecho </w:t>
      </w:r>
      <w:r>
        <w:rPr>
          <w:rFonts w:ascii="Palatino Linotype" w:eastAsia="Palatino Linotype" w:hAnsi="Palatino Linotype" w:cs="Palatino Linotype"/>
          <w:b/>
          <w:bCs/>
          <w:i/>
          <w:iCs/>
          <w:color w:val="000000"/>
        </w:rPr>
        <w:t>XXXX</w:t>
      </w:r>
      <w:r w:rsidR="008068B7">
        <w:rPr>
          <w:rFonts w:ascii="Palatino Linotype" w:eastAsia="Palatino Linotype" w:hAnsi="Palatino Linotype" w:cs="Palatino Linotype"/>
          <w:b/>
          <w:bCs/>
          <w:i/>
          <w:iCs/>
          <w:color w:val="000000"/>
        </w:rPr>
        <w:t xml:space="preserve"> </w:t>
      </w:r>
      <w:r w:rsidR="008068B7">
        <w:rPr>
          <w:rFonts w:ascii="Palatino Linotype" w:eastAsia="Palatino Linotype" w:hAnsi="Palatino Linotype" w:cs="Palatino Linotype"/>
          <w:i/>
          <w:iCs/>
          <w:color w:val="000000"/>
        </w:rPr>
        <w:t xml:space="preserve">quien cuenta con cédula profesional número </w:t>
      </w:r>
      <w:r>
        <w:rPr>
          <w:rFonts w:ascii="Palatino Linotype" w:eastAsia="Palatino Linotype" w:hAnsi="Palatino Linotype" w:cs="Palatino Linotype"/>
          <w:i/>
          <w:iCs/>
          <w:color w:val="000000"/>
        </w:rPr>
        <w:t>XXXX</w:t>
      </w:r>
      <w:r w:rsidR="008068B7">
        <w:rPr>
          <w:rFonts w:ascii="Palatino Linotype" w:eastAsia="Palatino Linotype" w:hAnsi="Palatino Linotype" w:cs="Palatino Linotype"/>
          <w:i/>
          <w:iCs/>
          <w:color w:val="000000"/>
        </w:rPr>
        <w:t xml:space="preserve"> expedida a su favor por la Secretaría de Educación Pública, y únicamente para efecto de oír y recibir notificaciones al </w:t>
      </w:r>
      <w:r>
        <w:rPr>
          <w:rFonts w:ascii="Palatino Linotype" w:eastAsia="Palatino Linotype" w:hAnsi="Palatino Linotype" w:cs="Palatino Linotype"/>
          <w:b/>
          <w:bCs/>
          <w:i/>
          <w:iCs/>
          <w:color w:val="000000"/>
        </w:rPr>
        <w:t>XXXX</w:t>
      </w:r>
      <w:r w:rsidR="008068B7">
        <w:rPr>
          <w:rFonts w:ascii="Palatino Linotype" w:eastAsia="Palatino Linotype" w:hAnsi="Palatino Linotype" w:cs="Palatino Linotype"/>
          <w:b/>
          <w:bCs/>
          <w:i/>
          <w:iCs/>
          <w:color w:val="000000"/>
        </w:rPr>
        <w:t xml:space="preserve">, </w:t>
      </w:r>
      <w:r w:rsidR="008068B7">
        <w:rPr>
          <w:rFonts w:ascii="Palatino Linotype" w:eastAsia="Palatino Linotype" w:hAnsi="Palatino Linotype" w:cs="Palatino Linotype"/>
          <w:i/>
          <w:iCs/>
          <w:color w:val="000000"/>
        </w:rPr>
        <w:t xml:space="preserve">respetuosamente comparezco y expongo: </w:t>
      </w:r>
    </w:p>
    <w:p w:rsidR="00986325" w:rsidRDefault="008068B7">
      <w:pPr>
        <w:pBdr>
          <w:top w:val="nil"/>
          <w:left w:val="nil"/>
          <w:bottom w:val="nil"/>
          <w:right w:val="nil"/>
          <w:between w:val="nil"/>
        </w:pBdr>
        <w:ind w:left="993" w:right="-697"/>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En legal tiempo y forma y dentro del término de quince días previstos en los artículos 176 y 178 de la Ley de Transparencia y Acceso a la Información Pública del Estado de México y Municipios, vengo a interponer </w:t>
      </w:r>
      <w:r>
        <w:rPr>
          <w:rFonts w:ascii="Palatino Linotype" w:eastAsia="Palatino Linotype" w:hAnsi="Palatino Linotype" w:cs="Palatino Linotype"/>
          <w:b/>
          <w:bCs/>
          <w:i/>
          <w:iCs/>
          <w:color w:val="000000"/>
        </w:rPr>
        <w:t xml:space="preserve">RECURSO DE REVISIÓN </w:t>
      </w:r>
      <w:r>
        <w:rPr>
          <w:rFonts w:ascii="Palatino Linotype" w:eastAsia="Palatino Linotype" w:hAnsi="Palatino Linotype" w:cs="Palatino Linotype"/>
          <w:i/>
          <w:iCs/>
          <w:color w:val="000000"/>
        </w:rPr>
        <w:t xml:space="preserve">en contra de la respuesta rendida mediante el oficio número: ML/UTAI/RSI/112/2025, de fecha 01 de septiembre de 2025, realizada por parte de la Lic en C.P. y A.P. Talia Nohemi Pérez Noya, Titular de la Unidad de Transparencia y Acceso a la Información del Ayuntamiento de Lerma, Estado de México, con el que se responde la solicitud de información realizada por el suscrito el día 11 de agosto de 2025, acusada de recibido a través del Sistema de Acceso a la Información Mexiquense (SAIMEX) con el número de folio 00110/LERMA/IP/2025; lo cual realizo en los términos siguientes en cumplimiento a lo establecido en el diverso </w:t>
      </w:r>
      <w:r>
        <w:rPr>
          <w:rFonts w:ascii="Palatino Linotype" w:eastAsia="Palatino Linotype" w:hAnsi="Palatino Linotype" w:cs="Palatino Linotype"/>
          <w:i/>
          <w:iCs/>
          <w:color w:val="000000"/>
        </w:rPr>
        <w:lastRenderedPageBreak/>
        <w:t xml:space="preserve">articulo 180 de la Ley de Transparencia y Acceso a la Información Pública del Estado de México y Municipios: </w:t>
      </w:r>
    </w:p>
    <w:p w:rsidR="00986325" w:rsidRDefault="008068B7">
      <w:pPr>
        <w:numPr>
          <w:ilvl w:val="0"/>
          <w:numId w:val="3"/>
        </w:numPr>
        <w:pBdr>
          <w:top w:val="nil"/>
          <w:left w:val="nil"/>
          <w:bottom w:val="nil"/>
          <w:right w:val="nil"/>
          <w:between w:val="nil"/>
        </w:pBdr>
        <w:ind w:left="993" w:right="-697"/>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EL SUJETO OBLIGADO ANTE LA CUAL SE PRESENTÓ LA SOLICITUD; </w:t>
      </w:r>
    </w:p>
    <w:p w:rsidR="00986325" w:rsidRDefault="00986325">
      <w:pPr>
        <w:pBdr>
          <w:top w:val="nil"/>
          <w:left w:val="nil"/>
          <w:bottom w:val="nil"/>
          <w:right w:val="nil"/>
          <w:between w:val="nil"/>
        </w:pBdr>
        <w:ind w:left="993" w:right="-697"/>
        <w:jc w:val="both"/>
        <w:rPr>
          <w:rFonts w:ascii="Palatino Linotype" w:eastAsia="Palatino Linotype" w:hAnsi="Palatino Linotype" w:cs="Palatino Linotype"/>
          <w:i/>
          <w:iCs/>
          <w:color w:val="000000"/>
        </w:rPr>
      </w:pPr>
    </w:p>
    <w:p w:rsidR="00986325" w:rsidRDefault="008068B7">
      <w:pPr>
        <w:numPr>
          <w:ilvl w:val="0"/>
          <w:numId w:val="4"/>
        </w:numPr>
        <w:pBdr>
          <w:top w:val="nil"/>
          <w:left w:val="nil"/>
          <w:bottom w:val="nil"/>
          <w:right w:val="nil"/>
          <w:between w:val="nil"/>
        </w:pBdr>
        <w:ind w:left="993" w:right="-697"/>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t xml:space="preserve">Ayuntamiento de Lerma, Estado de México. </w:t>
      </w:r>
    </w:p>
    <w:p w:rsidR="00986325" w:rsidRDefault="00986325">
      <w:pPr>
        <w:pBdr>
          <w:top w:val="nil"/>
          <w:left w:val="nil"/>
          <w:bottom w:val="nil"/>
          <w:right w:val="nil"/>
          <w:between w:val="nil"/>
        </w:pBdr>
        <w:ind w:left="993" w:right="-697"/>
        <w:jc w:val="both"/>
        <w:rPr>
          <w:rFonts w:ascii="Palatino Linotype" w:eastAsia="Palatino Linotype" w:hAnsi="Palatino Linotype" w:cs="Palatino Linotype"/>
          <w:i/>
          <w:iCs/>
          <w:color w:val="000000"/>
        </w:rPr>
      </w:pPr>
    </w:p>
    <w:p w:rsidR="00986325" w:rsidRDefault="008068B7">
      <w:pPr>
        <w:numPr>
          <w:ilvl w:val="0"/>
          <w:numId w:val="5"/>
        </w:numPr>
        <w:pBdr>
          <w:top w:val="nil"/>
          <w:left w:val="nil"/>
          <w:bottom w:val="nil"/>
          <w:right w:val="nil"/>
          <w:between w:val="nil"/>
        </w:pBdr>
        <w:ind w:left="993" w:right="-697"/>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t xml:space="preserve">EL NOMBRE DEL SOLICITANTE QUE RECURRE O DE SU REPRESENTANTE Y, EN SU CASO, DEL TERCERO INTERESADO, ASÍ COMO LA DIRECCIÓN O MEDIO QUE SEÑALE PARA RECIBIR NOTIFICACIONES; </w:t>
      </w:r>
    </w:p>
    <w:p w:rsidR="00986325" w:rsidRDefault="00986325">
      <w:pPr>
        <w:pBdr>
          <w:top w:val="nil"/>
          <w:left w:val="nil"/>
          <w:bottom w:val="nil"/>
          <w:right w:val="nil"/>
          <w:between w:val="nil"/>
        </w:pBdr>
        <w:ind w:left="993" w:right="-697"/>
        <w:jc w:val="both"/>
        <w:rPr>
          <w:rFonts w:ascii="Palatino Linotype" w:eastAsia="Palatino Linotype" w:hAnsi="Palatino Linotype" w:cs="Palatino Linotype"/>
          <w:i/>
          <w:iCs/>
          <w:color w:val="000000"/>
        </w:rPr>
      </w:pPr>
    </w:p>
    <w:p w:rsidR="006B3940" w:rsidRDefault="006B3940" w:rsidP="006B3940">
      <w:pPr>
        <w:pBdr>
          <w:top w:val="nil"/>
          <w:left w:val="nil"/>
          <w:bottom w:val="nil"/>
          <w:right w:val="nil"/>
          <w:between w:val="nil"/>
        </w:pBdr>
        <w:ind w:left="993" w:right="-697"/>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t>XXXX</w:t>
      </w:r>
      <w:r w:rsidR="008068B7">
        <w:rPr>
          <w:rFonts w:ascii="Palatino Linotype" w:eastAsia="Palatino Linotype" w:hAnsi="Palatino Linotype" w:cs="Palatino Linotype"/>
          <w:b/>
          <w:bCs/>
          <w:i/>
          <w:iCs/>
          <w:color w:val="000000"/>
        </w:rPr>
        <w:t xml:space="preserve"> </w:t>
      </w:r>
      <w:r w:rsidR="008068B7">
        <w:rPr>
          <w:rFonts w:ascii="Palatino Linotype" w:eastAsia="Palatino Linotype" w:hAnsi="Palatino Linotype" w:cs="Palatino Linotype"/>
          <w:i/>
          <w:iCs/>
          <w:color w:val="000000"/>
        </w:rPr>
        <w:t xml:space="preserve">por derecho propio, señalando como domicilio para oír y recibir notificaciones y documentos: el predio ubicado </w:t>
      </w:r>
      <w:r>
        <w:rPr>
          <w:rFonts w:ascii="Palatino Linotype" w:eastAsia="Palatino Linotype" w:hAnsi="Palatino Linotype" w:cs="Palatino Linotype"/>
          <w:i/>
          <w:iCs/>
          <w:color w:val="000000"/>
        </w:rPr>
        <w:t>XXXX</w:t>
      </w:r>
      <w:r w:rsidR="008068B7">
        <w:rPr>
          <w:rFonts w:ascii="Palatino Linotype" w:eastAsia="Palatino Linotype" w:hAnsi="Palatino Linotype" w:cs="Palatino Linotype"/>
          <w:i/>
          <w:iCs/>
          <w:color w:val="000000"/>
        </w:rPr>
        <w:t>,</w:t>
      </w:r>
    </w:p>
    <w:p w:rsidR="00986325" w:rsidRDefault="008068B7">
      <w:pPr>
        <w:numPr>
          <w:ilvl w:val="0"/>
          <w:numId w:val="6"/>
        </w:numPr>
        <w:ind w:left="993" w:right="-697"/>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 y proporcionado el siguiente correo electrónico: </w:t>
      </w:r>
      <w:r w:rsidR="006B3940">
        <w:rPr>
          <w:rFonts w:ascii="Palatino Linotype" w:eastAsia="Palatino Linotype" w:hAnsi="Palatino Linotype" w:cs="Palatino Linotype"/>
          <w:i/>
          <w:iCs/>
          <w:color w:val="000000"/>
        </w:rPr>
        <w:t>XXXX</w:t>
      </w:r>
    </w:p>
    <w:p w:rsidR="00986325" w:rsidRDefault="00986325">
      <w:pPr>
        <w:ind w:left="993" w:right="-697"/>
        <w:jc w:val="both"/>
        <w:rPr>
          <w:rFonts w:ascii="Palatino Linotype" w:eastAsia="Palatino Linotype" w:hAnsi="Palatino Linotype" w:cs="Palatino Linotype"/>
          <w:i/>
          <w:iCs/>
          <w:color w:val="000000"/>
        </w:rPr>
      </w:pPr>
    </w:p>
    <w:p w:rsidR="00986325" w:rsidRDefault="008068B7">
      <w:pPr>
        <w:numPr>
          <w:ilvl w:val="0"/>
          <w:numId w:val="7"/>
        </w:numPr>
        <w:ind w:left="993" w:right="-697"/>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EL NÚMERO DE FOLIO DE RESPUESTA DE LA SOLICITUD DE ACCESO; </w:t>
      </w:r>
    </w:p>
    <w:p w:rsidR="00986325" w:rsidRDefault="00986325">
      <w:pPr>
        <w:ind w:left="993" w:right="-697"/>
        <w:jc w:val="both"/>
        <w:rPr>
          <w:rFonts w:ascii="Palatino Linotype" w:eastAsia="Palatino Linotype" w:hAnsi="Palatino Linotype" w:cs="Palatino Linotype"/>
          <w:i/>
          <w:iCs/>
          <w:color w:val="000000"/>
        </w:rPr>
      </w:pPr>
    </w:p>
    <w:p w:rsidR="00986325" w:rsidRDefault="008068B7">
      <w:pPr>
        <w:numPr>
          <w:ilvl w:val="0"/>
          <w:numId w:val="8"/>
        </w:numPr>
        <w:ind w:left="993" w:right="-697"/>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No. de Folio de la Solicitud realizada por el suscrito: </w:t>
      </w:r>
      <w:r>
        <w:rPr>
          <w:rFonts w:ascii="Palatino Linotype" w:eastAsia="Palatino Linotype" w:hAnsi="Palatino Linotype" w:cs="Palatino Linotype"/>
          <w:b/>
          <w:bCs/>
          <w:i/>
          <w:iCs/>
          <w:color w:val="000000"/>
        </w:rPr>
        <w:t xml:space="preserve">00110/LERMA/IP/2025; </w:t>
      </w:r>
    </w:p>
    <w:p w:rsidR="00986325" w:rsidRDefault="00986325">
      <w:pPr>
        <w:ind w:left="993" w:right="-697"/>
        <w:jc w:val="both"/>
        <w:rPr>
          <w:rFonts w:ascii="Palatino Linotype" w:eastAsia="Palatino Linotype" w:hAnsi="Palatino Linotype" w:cs="Palatino Linotype"/>
          <w:i/>
          <w:iCs/>
          <w:color w:val="000000"/>
        </w:rPr>
      </w:pPr>
    </w:p>
    <w:p w:rsidR="00986325" w:rsidRDefault="008068B7">
      <w:pPr>
        <w:numPr>
          <w:ilvl w:val="0"/>
          <w:numId w:val="9"/>
        </w:numPr>
        <w:ind w:left="993" w:right="-697"/>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No. de Oficio de respuesta realizada por la Titular de la Unidad de Transparencia y Acceso a la Información del Ayuntamiento de Lerma, Estado de México: </w:t>
      </w:r>
      <w:r>
        <w:rPr>
          <w:rFonts w:ascii="Palatino Linotype" w:eastAsia="Palatino Linotype" w:hAnsi="Palatino Linotype" w:cs="Palatino Linotype"/>
          <w:b/>
          <w:bCs/>
          <w:i/>
          <w:iCs/>
          <w:color w:val="000000"/>
        </w:rPr>
        <w:t xml:space="preserve">ML/UTAI/RSI/112/2025 </w:t>
      </w:r>
    </w:p>
    <w:p w:rsidR="00986325" w:rsidRDefault="00986325">
      <w:pPr>
        <w:ind w:left="993" w:right="-697"/>
        <w:jc w:val="both"/>
        <w:rPr>
          <w:rFonts w:ascii="Palatino Linotype" w:eastAsia="Palatino Linotype" w:hAnsi="Palatino Linotype" w:cs="Palatino Linotype"/>
          <w:i/>
          <w:iCs/>
          <w:color w:val="000000"/>
        </w:rPr>
      </w:pPr>
    </w:p>
    <w:p w:rsidR="00986325" w:rsidRDefault="008068B7">
      <w:pPr>
        <w:numPr>
          <w:ilvl w:val="0"/>
          <w:numId w:val="10"/>
        </w:numPr>
        <w:ind w:left="993" w:right="-697"/>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t xml:space="preserve">LA FECHA EN QUE FUE NOTIFICADA LA RESPUESTA AL SOLICITANTE O TUVO CONOCIMIENTO DEL ACTO RECLAMADO, O DE PRESENTACIÓN DE LA SOLICITUD, EN CASO DE FALTA DE RESPUESTA; </w:t>
      </w:r>
    </w:p>
    <w:p w:rsidR="00986325" w:rsidRDefault="00986325">
      <w:pPr>
        <w:ind w:left="993" w:right="-697"/>
        <w:jc w:val="both"/>
        <w:rPr>
          <w:rFonts w:ascii="Palatino Linotype" w:eastAsia="Palatino Linotype" w:hAnsi="Palatino Linotype" w:cs="Palatino Linotype"/>
          <w:i/>
          <w:iCs/>
          <w:color w:val="000000"/>
        </w:rPr>
      </w:pPr>
    </w:p>
    <w:p w:rsidR="00986325" w:rsidRDefault="008068B7">
      <w:pPr>
        <w:numPr>
          <w:ilvl w:val="0"/>
          <w:numId w:val="12"/>
        </w:numPr>
        <w:ind w:left="993" w:right="-697"/>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01 de septiembre de 2025 </w:t>
      </w:r>
    </w:p>
    <w:p w:rsidR="00986325" w:rsidRDefault="008068B7">
      <w:pPr>
        <w:numPr>
          <w:ilvl w:val="0"/>
          <w:numId w:val="13"/>
        </w:numPr>
        <w:ind w:left="993" w:right="-697"/>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EL ACTO QUE SE RECURRE; </w:t>
      </w:r>
    </w:p>
    <w:p w:rsidR="00986325" w:rsidRDefault="008068B7">
      <w:pPr>
        <w:ind w:left="993" w:right="-697"/>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La negativa a la información solicitada que se realiza en la página 07 del Oficio de fecha 01 de septiembre de 2025, número ML/UTAI/RSI/112/2025 por parte de la Titular de la Unidad de Transparencia y Acceso a la Información del Ayuntamiento de Lerma, Estado de México, en la que para mayor referencia y precisión se transcribe su contenido literal: </w:t>
      </w:r>
    </w:p>
    <w:p w:rsidR="00986325" w:rsidRDefault="008068B7">
      <w:pPr>
        <w:ind w:left="993" w:right="-697"/>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 Y por último, por lo que respecta a los últimos puntos sobre </w:t>
      </w:r>
      <w:r>
        <w:rPr>
          <w:rFonts w:ascii="Palatino Linotype" w:eastAsia="Palatino Linotype" w:hAnsi="Palatino Linotype" w:cs="Palatino Linotype"/>
          <w:b/>
          <w:bCs/>
          <w:i/>
          <w:iCs/>
          <w:color w:val="000000"/>
        </w:rPr>
        <w:t xml:space="preserve">los trabajos de obra pública con respecto al Campo de futbol de la Comunidad de la Concepción Xochicuautla, </w:t>
      </w:r>
      <w:r>
        <w:rPr>
          <w:rFonts w:ascii="Palatino Linotype" w:eastAsia="Palatino Linotype" w:hAnsi="Palatino Linotype" w:cs="Palatino Linotype"/>
          <w:i/>
          <w:iCs/>
          <w:color w:val="000000"/>
        </w:rPr>
        <w:t xml:space="preserve">se le informa que a la fecha, se encuentra en trámite judicial, en el Juzgado Cuarto de Distrito en Materias Administrativa, Civil y de Trabajo en el Estado de México, </w:t>
      </w:r>
      <w:r>
        <w:rPr>
          <w:rFonts w:ascii="Palatino Linotype" w:eastAsia="Palatino Linotype" w:hAnsi="Palatino Linotype" w:cs="Palatino Linotype"/>
          <w:i/>
          <w:iCs/>
          <w:color w:val="000000"/>
        </w:rPr>
        <w:lastRenderedPageBreak/>
        <w:t xml:space="preserve">el Juicio de Amparo Indirecto número 1046/2025-III, de la cual se desprende que la autoridad federal referida mediante notificación personal número 16688/2025, realizada en fecha 30 de julio del año en curso, </w:t>
      </w:r>
      <w:r>
        <w:rPr>
          <w:rFonts w:ascii="Palatino Linotype" w:eastAsia="Palatino Linotype" w:hAnsi="Palatino Linotype" w:cs="Palatino Linotype"/>
          <w:b/>
          <w:bCs/>
          <w:i/>
          <w:iCs/>
          <w:color w:val="000000"/>
        </w:rPr>
        <w:t xml:space="preserve">por lo que este Sujeto Obligado, por el momento no se encuentra en condiciones de brindar al peticionario la información requerida hasta en tanto se resuelva el juicio de garantías en mención. … “ </w:t>
      </w:r>
    </w:p>
    <w:p w:rsidR="00986325" w:rsidRDefault="008068B7">
      <w:pPr>
        <w:numPr>
          <w:ilvl w:val="0"/>
          <w:numId w:val="14"/>
        </w:numPr>
        <w:ind w:left="993" w:right="-697"/>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LAS RAZONES O MOTIVOS DE INCONFORMIDAD; </w:t>
      </w:r>
    </w:p>
    <w:p w:rsidR="00986325" w:rsidRDefault="00986325">
      <w:pPr>
        <w:ind w:left="993" w:right="-697"/>
        <w:jc w:val="both"/>
        <w:rPr>
          <w:rFonts w:ascii="Palatino Linotype" w:eastAsia="Palatino Linotype" w:hAnsi="Palatino Linotype" w:cs="Palatino Linotype"/>
          <w:i/>
          <w:iCs/>
          <w:color w:val="000000"/>
        </w:rPr>
      </w:pPr>
    </w:p>
    <w:p w:rsidR="00986325" w:rsidRDefault="008068B7">
      <w:pPr>
        <w:pBdr>
          <w:top w:val="nil"/>
          <w:left w:val="nil"/>
          <w:bottom w:val="nil"/>
          <w:right w:val="nil"/>
          <w:between w:val="nil"/>
        </w:pBdr>
        <w:ind w:left="993" w:right="-697"/>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La autoridad obligada, en este caso el Ayuntamiento de Lerma al dar respuesta a la solicitud de acceso a la información realizada por el suscrito con el objeto de requerir me fuera proporcionada diversa información con relación a los trabajos de obra pública que se realizan en el campo de futbol de la Comunidad de la Concepción Xochicuautla, </w:t>
      </w:r>
      <w:r>
        <w:rPr>
          <w:rFonts w:ascii="Palatino Linotype" w:eastAsia="Palatino Linotype" w:hAnsi="Palatino Linotype" w:cs="Palatino Linotype"/>
          <w:b/>
          <w:bCs/>
          <w:i/>
          <w:iCs/>
          <w:color w:val="000000"/>
        </w:rPr>
        <w:t xml:space="preserve">de manera completamente ilegal SE NIEGA a proporcionar algún tipo de información al respecto transgrediendo mi derecho fundamental consagrado en el apartado A del articulo 6° de la Constitución Política de los Estados Unidos Mexicanos </w:t>
      </w:r>
      <w:r>
        <w:rPr>
          <w:rFonts w:ascii="Palatino Linotype" w:eastAsia="Palatino Linotype" w:hAnsi="Palatino Linotype" w:cs="Palatino Linotype"/>
          <w:i/>
          <w:iCs/>
          <w:color w:val="000000"/>
        </w:rPr>
        <w:t xml:space="preserve">y así como de los diversos párrafos décimo séptimo, décimo octavo y décimo noveno del artículo 5 de la Constitución Política del Estado Libre y Soberano de México, omitiendo completamente fundar dicha negativa, realizando una insuficiente motivación en el caso en particular, contrario a lo establecido en los diversos articulo 14 y 16 Constitucionales. </w:t>
      </w:r>
    </w:p>
    <w:p w:rsidR="00986325" w:rsidRDefault="008068B7">
      <w:pPr>
        <w:ind w:left="993" w:right="-697"/>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Esto se sostiene así ya que, en atención a lo establecido en la Constitución Política de los Estados Unidos Mexicanos, la Constitución Política del Estado Libre y Soberano de México, y la Ley de Transparencia y Acceso a la Información Pública del Estado de México y Municipios, los sujetos obligados deben proporcionar la información pública que se les solicite y que tengan en su poder derivado del ejercicio de sus facultades competencias o funciones, como en el presente asunto se actualiza por parte del Ayuntamiento de Lerma en la planeación, proyección y ejecución de la obra pública que realiza en el campo de futbol de la Comunidad de la Concepción Xochicuautla, denominada por el sujeto obligado en la foja 07 como “</w:t>
      </w:r>
      <w:r>
        <w:rPr>
          <w:rFonts w:ascii="Palatino Linotype" w:eastAsia="Palatino Linotype" w:hAnsi="Palatino Linotype" w:cs="Palatino Linotype"/>
          <w:b/>
          <w:bCs/>
          <w:i/>
          <w:iCs/>
          <w:color w:val="000000"/>
        </w:rPr>
        <w:t>Continuación de construcción de muro de contención en campo de futbol 2da Etapa</w:t>
      </w:r>
      <w:r>
        <w:rPr>
          <w:rFonts w:ascii="Palatino Linotype" w:eastAsia="Palatino Linotype" w:hAnsi="Palatino Linotype" w:cs="Palatino Linotype"/>
          <w:i/>
          <w:iCs/>
          <w:color w:val="000000"/>
        </w:rPr>
        <w:t xml:space="preserve">”. Información que si bien es cierto puede ser clasificada como confidencial o reservada en términos de lo establecido en los artículos 122, 140 y 143 de la Ley de Transparencia y Acceso a la Información Pública del Estado de México y Municipios, también es cierto que dicha autoridad debe de realizar una correcta y debida fundamentación y motivación de tal circunstancia acreditando necesariamente haber cumplido con el procedimiento establecido por el propio articulo 168 de la Ley en comento, lo cual no aconteció en el presente, ya que de manera totalmente ilegal, la unidad de transparencia y acceso a la información del ayuntamiento de Lerma solo se limitó a manifestar en su contestación “que por el momento no se encuentra en condiciones de </w:t>
      </w:r>
      <w:r>
        <w:rPr>
          <w:rFonts w:ascii="Palatino Linotype" w:eastAsia="Palatino Linotype" w:hAnsi="Palatino Linotype" w:cs="Palatino Linotype"/>
          <w:i/>
          <w:iCs/>
          <w:color w:val="000000"/>
        </w:rPr>
        <w:lastRenderedPageBreak/>
        <w:t xml:space="preserve">brindar al peticionario la información requerida hasta en tanto se resuelva el juicio de Amparo Indirecto número 1046/2025-III, tramitándose ante el Juzgado Cuarto de Distrito en Materias Administrativa, Civil y de Trabajo en el Estado de México.”, omitiendo: 1) citar algún precepto jurídico en especifico con el que fundamente tal negativa de información; 2) motive de manera debida y suficiente sus argumentos lógicos jurídicos que justifiquen su negativa de información; 3) así como informar y proporcionar la solicitud y resolución realizada en su caso ante el Comité de Transparencia en donde funde y motive la clasificación de la información solicitada respecto de la obra pública que realiza en el campo de futbol de la Comunidad de la Concepción Xochicuautla, no siendo justificación suficiente el solo hecho de informar la existencia del tramite de un juicio de Amparo Indirecto, ya que no realiza manifestación alguna sobre daños, alteraciones, transgresiones o vulneraciones que pudiera ocasionarse al proporcionarme la información pública solicitada, ni mucho menos describe de manera clara y precisa los alcances de la información pública en la litis constitucional del juicio de amparo o en su caso si el propio Juzgado de Distrito es quien ordenó la reserva de información. </w:t>
      </w:r>
    </w:p>
    <w:p w:rsidR="00986325" w:rsidRDefault="008068B7">
      <w:pPr>
        <w:ind w:left="993" w:right="-697"/>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Siendo necesario destacar que el mandato constitucional ordena que al interpretarse este derecho deberá prevalecer el principio de máxima publicidad, además de regirse por los principios de certeza, legalidad, independencia, imparcialidad, eficacia, objetividad, profesionalismo y transparencia. </w:t>
      </w:r>
    </w:p>
    <w:p w:rsidR="00986325" w:rsidRDefault="008068B7">
      <w:pPr>
        <w:pBdr>
          <w:top w:val="nil"/>
          <w:left w:val="nil"/>
          <w:bottom w:val="nil"/>
          <w:right w:val="nil"/>
          <w:between w:val="nil"/>
        </w:pBdr>
        <w:ind w:left="993" w:right="-697"/>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En consecuencia de lo anterior y al no existir causa que justifique legalmente el que se niegue se proporcione a mi favor la información solicitada por parte del sujeto obligado – Ayuntamiento de Lerma, es que se solicita a este órgano revisor, </w:t>
      </w:r>
      <w:r>
        <w:rPr>
          <w:rFonts w:ascii="Palatino Linotype" w:eastAsia="Palatino Linotype" w:hAnsi="Palatino Linotype" w:cs="Palatino Linotype"/>
          <w:b/>
          <w:bCs/>
          <w:i/>
          <w:iCs/>
          <w:color w:val="000000"/>
        </w:rPr>
        <w:t xml:space="preserve">sirva declarar fundado las razones y motivos de esta inconformidad, revocar la respuesta del sujeto obligado y ordenar se me entregue de manera total y completa la información solicitada respecto de la obra pública que realiza en el campo de futbol de la Comunidad de la Concepción Xochicuautla, denominada por la propia autoridad en la foja 07 como “Continuación de construcción de muro de contención en campo de futbol 2da Etapa, </w:t>
      </w:r>
      <w:r>
        <w:rPr>
          <w:rFonts w:ascii="Palatino Linotype" w:eastAsia="Palatino Linotype" w:hAnsi="Palatino Linotype" w:cs="Palatino Linotype"/>
          <w:i/>
          <w:iCs/>
          <w:color w:val="000000"/>
        </w:rPr>
        <w:t xml:space="preserve">de conformidad con lo dispuesto por la fracción III y IV del articulo 186 la Ley de Transparencia y Acceso a la Información Pública del Estado de México y Municipios. </w:t>
      </w:r>
    </w:p>
    <w:p w:rsidR="00986325" w:rsidRDefault="008068B7">
      <w:pPr>
        <w:numPr>
          <w:ilvl w:val="0"/>
          <w:numId w:val="15"/>
        </w:numPr>
        <w:ind w:left="993" w:right="-697"/>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t xml:space="preserve">LA COPIA DE LA RESPUESTA QUE SE IMPUGNA Y, EN SU CASO, DE LA NOTIFICACIÓN CORRESPONDIENTE, EN EL CASO DE RESPUESTA DE LA SOLICITUD; Y </w:t>
      </w:r>
    </w:p>
    <w:p w:rsidR="00986325" w:rsidRDefault="00986325">
      <w:pPr>
        <w:ind w:left="993" w:right="-697"/>
        <w:jc w:val="both"/>
        <w:rPr>
          <w:rFonts w:ascii="Palatino Linotype" w:eastAsia="Palatino Linotype" w:hAnsi="Palatino Linotype" w:cs="Palatino Linotype"/>
          <w:i/>
          <w:iCs/>
          <w:color w:val="000000"/>
        </w:rPr>
      </w:pPr>
    </w:p>
    <w:p w:rsidR="00986325" w:rsidRDefault="008068B7">
      <w:pPr>
        <w:ind w:left="993" w:right="-697"/>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En el presente asunto, no se requiere tal requisito por interponerse se manera electrónica el presente recurso de revisión en términos de lo establecido por el último párrafo del </w:t>
      </w:r>
      <w:r>
        <w:rPr>
          <w:rFonts w:ascii="Palatino Linotype" w:eastAsia="Palatino Linotype" w:hAnsi="Palatino Linotype" w:cs="Palatino Linotype"/>
          <w:i/>
          <w:iCs/>
          <w:color w:val="000000"/>
        </w:rPr>
        <w:lastRenderedPageBreak/>
        <w:t xml:space="preserve">artículo 180 la Ley de Transparencia y Acceso a la Información Pública del Estado de México y Municipios. </w:t>
      </w:r>
    </w:p>
    <w:p w:rsidR="00986325" w:rsidRDefault="008068B7">
      <w:pPr>
        <w:numPr>
          <w:ilvl w:val="0"/>
          <w:numId w:val="16"/>
        </w:numPr>
        <w:ind w:left="993" w:right="-697"/>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t xml:space="preserve">FIRMA DEL RECURRENTE, EN SU CASO, CUANDO SE PRESENTE POR ESCRITO, REQUISITO SIN EL CUAL SE DARÁ TRÁMITE AL RECURSO. </w:t>
      </w:r>
    </w:p>
    <w:p w:rsidR="00986325" w:rsidRDefault="00986325">
      <w:pPr>
        <w:ind w:left="993" w:right="-697"/>
        <w:jc w:val="both"/>
        <w:rPr>
          <w:rFonts w:ascii="Palatino Linotype" w:eastAsia="Palatino Linotype" w:hAnsi="Palatino Linotype" w:cs="Palatino Linotype"/>
          <w:i/>
          <w:iCs/>
          <w:color w:val="000000"/>
        </w:rPr>
      </w:pPr>
    </w:p>
    <w:p w:rsidR="00986325" w:rsidRDefault="008068B7">
      <w:pPr>
        <w:ind w:left="993" w:right="-697"/>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En el presente asunto, no se requiere tal requisito por interponerse se manera electrónica el presente recurso de revisión en términos de lo establecido por el último párrafo del artículo 180 la Ley de Transparencia y Acceso a la Información Pública del Estado de México y Municipios. </w:t>
      </w:r>
    </w:p>
    <w:p w:rsidR="00986325" w:rsidRDefault="008068B7">
      <w:pPr>
        <w:ind w:left="993" w:right="-697"/>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t xml:space="preserve">Por lo anteriormente expuesto, atentamente solicito: </w:t>
      </w:r>
    </w:p>
    <w:p w:rsidR="00986325" w:rsidRDefault="008068B7">
      <w:pPr>
        <w:ind w:left="993" w:right="-697"/>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t xml:space="preserve">UNICO. </w:t>
      </w:r>
      <w:r>
        <w:rPr>
          <w:rFonts w:ascii="Palatino Linotype" w:eastAsia="Palatino Linotype" w:hAnsi="Palatino Linotype" w:cs="Palatino Linotype"/>
          <w:i/>
          <w:iCs/>
          <w:color w:val="000000"/>
        </w:rPr>
        <w:t xml:space="preserve">Se me tenga en legal tiempo y forma y dentro del término de previstos en los artículos 176 y 178 de la Ley de Transparencia y Acceso a la Información Pública del Estado de México y Municipios, interponiendo </w:t>
      </w:r>
      <w:r>
        <w:rPr>
          <w:rFonts w:ascii="Palatino Linotype" w:eastAsia="Palatino Linotype" w:hAnsi="Palatino Linotype" w:cs="Palatino Linotype"/>
          <w:b/>
          <w:bCs/>
          <w:i/>
          <w:iCs/>
          <w:color w:val="000000"/>
        </w:rPr>
        <w:t xml:space="preserve">RECURSO DE REVISIÓN </w:t>
      </w:r>
      <w:r>
        <w:rPr>
          <w:rFonts w:ascii="Palatino Linotype" w:eastAsia="Palatino Linotype" w:hAnsi="Palatino Linotype" w:cs="Palatino Linotype"/>
          <w:i/>
          <w:iCs/>
          <w:color w:val="000000"/>
        </w:rPr>
        <w:t xml:space="preserve">en contra de la respuesta rendida mediante el oficio número: ML/UTAI/RSI/112/2025, de fecha 01 de septiembre de 2025, realizada por parte de la Lic en C.P. y A.P. Talia Nohemi Pérez Noya, Titular de la Unidad de Transparencia y Acceso a la Información del Ayuntamiento de Lerma, Estado de México, esperando sirva acordar de conformidad el mismo. </w:t>
      </w:r>
    </w:p>
    <w:p w:rsidR="00986325" w:rsidRDefault="008068B7">
      <w:pPr>
        <w:ind w:left="993" w:right="-697"/>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t xml:space="preserve">PROTESTO LO NECESARIO </w:t>
      </w:r>
    </w:p>
    <w:p w:rsidR="00986325" w:rsidRDefault="008068B7">
      <w:pPr>
        <w:ind w:left="993" w:right="-697"/>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t xml:space="preserve">Lerma, Estado de México a 23 de septiembre de 2025. </w:t>
      </w:r>
    </w:p>
    <w:p w:rsidR="00986325" w:rsidRDefault="006B3940">
      <w:pPr>
        <w:pBdr>
          <w:top w:val="nil"/>
          <w:left w:val="nil"/>
          <w:bottom w:val="nil"/>
          <w:right w:val="nil"/>
          <w:between w:val="nil"/>
        </w:pBdr>
        <w:ind w:left="993" w:right="-697"/>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t>XXXX</w:t>
      </w:r>
    </w:p>
    <w:p w:rsidR="00986325" w:rsidRDefault="00986325">
      <w:pPr>
        <w:pBdr>
          <w:top w:val="nil"/>
          <w:left w:val="nil"/>
          <w:bottom w:val="nil"/>
          <w:right w:val="nil"/>
          <w:between w:val="nil"/>
        </w:pBdr>
        <w:spacing w:line="360" w:lineRule="auto"/>
        <w:ind w:left="993" w:right="-697"/>
        <w:jc w:val="both"/>
        <w:rPr>
          <w:rFonts w:ascii="Palatino Linotype" w:eastAsia="Palatino Linotype" w:hAnsi="Palatino Linotype" w:cs="Palatino Linotype"/>
          <w:i/>
          <w:iCs/>
          <w:color w:val="000000"/>
        </w:rPr>
      </w:pPr>
    </w:p>
    <w:p w:rsidR="00986325" w:rsidRDefault="008068B7">
      <w:pPr>
        <w:numPr>
          <w:ilvl w:val="0"/>
          <w:numId w:val="2"/>
        </w:numPr>
        <w:pBdr>
          <w:top w:val="nil"/>
          <w:left w:val="nil"/>
          <w:bottom w:val="nil"/>
          <w:right w:val="nil"/>
          <w:between w:val="nil"/>
        </w:pBdr>
        <w:spacing w:line="360" w:lineRule="auto"/>
        <w:ind w:left="0" w:right="-69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La Comisionada </w:t>
      </w:r>
      <w:r>
        <w:rPr>
          <w:rFonts w:ascii="Palatino Linotype" w:eastAsia="Palatino Linotype" w:hAnsi="Palatino Linotype" w:cs="Palatino Linotype"/>
        </w:rPr>
        <w:t>p</w:t>
      </w:r>
      <w:r>
        <w:rPr>
          <w:rFonts w:ascii="Palatino Linotype" w:eastAsia="Palatino Linotype" w:hAnsi="Palatino Linotype" w:cs="Palatino Linotype"/>
          <w:color w:val="000000"/>
        </w:rPr>
        <w:t xml:space="preserve">onente con fundamento en lo dispuesto por el artículo 185 fracción II de la ley de la materia, a través del acuerdo de admisión de fecha </w:t>
      </w:r>
      <w:r>
        <w:rPr>
          <w:rFonts w:ascii="Palatino Linotype" w:eastAsia="Palatino Linotype" w:hAnsi="Palatino Linotype" w:cs="Palatino Linotype"/>
          <w:b/>
          <w:bCs/>
          <w:color w:val="000000"/>
        </w:rPr>
        <w:t>veintinueve de septiembre dos mil veinticinco</w:t>
      </w:r>
      <w:r>
        <w:rPr>
          <w:rFonts w:ascii="Palatino Linotype" w:eastAsia="Palatino Linotype" w:hAnsi="Palatino Linotype" w:cs="Palatino Linotype"/>
          <w:color w:val="000000"/>
        </w:rPr>
        <w:t xml:space="preserve">, puso a disposición de las partes el expediente electrónico vía </w:t>
      </w:r>
      <w:r>
        <w:rPr>
          <w:rFonts w:ascii="Palatino Linotype" w:eastAsia="Palatino Linotype" w:hAnsi="Palatino Linotype" w:cs="Palatino Linotype"/>
          <w:b/>
          <w:bCs/>
          <w:color w:val="000000"/>
        </w:rPr>
        <w:t xml:space="preserve">SAIMEX </w:t>
      </w:r>
      <w:r>
        <w:rPr>
          <w:rFonts w:ascii="Palatino Linotype" w:eastAsia="Palatino Linotype" w:hAnsi="Palatino Linotype" w:cs="Palatino Linotype"/>
          <w:color w:val="000000"/>
        </w:rPr>
        <w:t xml:space="preserve">a efecto de que en un plazo máximo de siete días </w:t>
      </w:r>
      <w:r>
        <w:rPr>
          <w:rFonts w:ascii="Palatino Linotype" w:eastAsia="Palatino Linotype" w:hAnsi="Palatino Linotype" w:cs="Palatino Linotype"/>
        </w:rPr>
        <w:t>manifestara</w:t>
      </w:r>
      <w:r>
        <w:rPr>
          <w:rFonts w:ascii="Palatino Linotype" w:eastAsia="Palatino Linotype" w:hAnsi="Palatino Linotype" w:cs="Palatino Linotype"/>
          <w:color w:val="000000"/>
        </w:rPr>
        <w:t xml:space="preserve"> lo que a su derecho conviniera, </w:t>
      </w:r>
      <w:r>
        <w:rPr>
          <w:rFonts w:ascii="Palatino Linotype" w:eastAsia="Palatino Linotype" w:hAnsi="Palatino Linotype" w:cs="Palatino Linotype"/>
        </w:rPr>
        <w:t>ofreciera</w:t>
      </w:r>
      <w:r>
        <w:rPr>
          <w:rFonts w:ascii="Palatino Linotype" w:eastAsia="Palatino Linotype" w:hAnsi="Palatino Linotype" w:cs="Palatino Linotype"/>
          <w:color w:val="000000"/>
        </w:rPr>
        <w:t xml:space="preserve"> pruebas y alegatos según corresponda a los casos concretos, y el </w:t>
      </w:r>
      <w:r>
        <w:rPr>
          <w:rFonts w:ascii="Palatino Linotype" w:eastAsia="Palatino Linotype" w:hAnsi="Palatino Linotype" w:cs="Palatino Linotype"/>
          <w:b/>
          <w:bCs/>
          <w:color w:val="000000"/>
        </w:rPr>
        <w:t>SUJETO OBLIGADO</w:t>
      </w:r>
      <w:r>
        <w:rPr>
          <w:rFonts w:ascii="Palatino Linotype" w:eastAsia="Palatino Linotype" w:hAnsi="Palatino Linotype" w:cs="Palatino Linotype"/>
          <w:color w:val="000000"/>
        </w:rPr>
        <w:t xml:space="preserve"> presentará el Informe Justificado procedente.</w:t>
      </w:r>
    </w:p>
    <w:p w:rsidR="00986325" w:rsidRDefault="00986325">
      <w:pPr>
        <w:pBdr>
          <w:top w:val="nil"/>
          <w:left w:val="nil"/>
          <w:bottom w:val="nil"/>
          <w:right w:val="nil"/>
          <w:between w:val="nil"/>
        </w:pBdr>
        <w:spacing w:line="360" w:lineRule="auto"/>
        <w:ind w:right="-697"/>
        <w:jc w:val="both"/>
        <w:rPr>
          <w:rFonts w:ascii="Palatino Linotype" w:eastAsia="Palatino Linotype" w:hAnsi="Palatino Linotype" w:cs="Palatino Linotype"/>
          <w:color w:val="000000"/>
        </w:rPr>
      </w:pPr>
    </w:p>
    <w:p w:rsidR="00986325" w:rsidRDefault="008068B7">
      <w:pPr>
        <w:numPr>
          <w:ilvl w:val="0"/>
          <w:numId w:val="2"/>
        </w:numPr>
        <w:pBdr>
          <w:top w:val="nil"/>
          <w:left w:val="nil"/>
          <w:bottom w:val="nil"/>
          <w:right w:val="nil"/>
          <w:between w:val="nil"/>
        </w:pBdr>
        <w:spacing w:line="360" w:lineRule="auto"/>
        <w:ind w:left="0" w:right="-69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De lo anterior, el </w:t>
      </w:r>
      <w:r>
        <w:rPr>
          <w:rFonts w:ascii="Palatino Linotype" w:eastAsia="Palatino Linotype" w:hAnsi="Palatino Linotype" w:cs="Palatino Linotype"/>
          <w:b/>
          <w:bCs/>
          <w:color w:val="000000"/>
        </w:rPr>
        <w:t xml:space="preserve">RECURRENTE </w:t>
      </w:r>
      <w:r>
        <w:rPr>
          <w:rFonts w:ascii="Palatino Linotype" w:eastAsia="Palatino Linotype" w:hAnsi="Palatino Linotype" w:cs="Palatino Linotype"/>
          <w:color w:val="000000"/>
        </w:rPr>
        <w:t xml:space="preserve">fue omiso en realizar manifestaciones que a su derecho conviniera y asistiera. Por su parte el </w:t>
      </w:r>
      <w:r>
        <w:rPr>
          <w:rFonts w:ascii="Palatino Linotype" w:eastAsia="Palatino Linotype" w:hAnsi="Palatino Linotype" w:cs="Palatino Linotype"/>
          <w:b/>
          <w:bCs/>
          <w:color w:val="000000"/>
        </w:rPr>
        <w:t>SUJETO OBLIGADO</w:t>
      </w:r>
      <w:r>
        <w:rPr>
          <w:rFonts w:ascii="Palatino Linotype" w:eastAsia="Palatino Linotype" w:hAnsi="Palatino Linotype" w:cs="Palatino Linotype"/>
          <w:color w:val="000000"/>
        </w:rPr>
        <w:t xml:space="preserve"> dejó de rendir el informe justificado correspondiente.</w:t>
      </w:r>
    </w:p>
    <w:p w:rsidR="00986325" w:rsidRPr="00702D03" w:rsidRDefault="008068B7">
      <w:pPr>
        <w:numPr>
          <w:ilvl w:val="0"/>
          <w:numId w:val="2"/>
        </w:numPr>
        <w:pBdr>
          <w:top w:val="nil"/>
          <w:left w:val="nil"/>
          <w:bottom w:val="nil"/>
          <w:right w:val="nil"/>
          <w:between w:val="nil"/>
        </w:pBdr>
        <w:spacing w:line="360" w:lineRule="auto"/>
        <w:ind w:left="0" w:right="-697" w:firstLine="0"/>
        <w:jc w:val="both"/>
        <w:rPr>
          <w:rFonts w:ascii="Palatino Linotype" w:eastAsia="Palatino Linotype" w:hAnsi="Palatino Linotype" w:cs="Palatino Linotype"/>
          <w:b/>
          <w:bCs/>
          <w:color w:val="000000"/>
        </w:rPr>
      </w:pPr>
      <w:bookmarkStart w:id="3" w:name="_heading=h.1fob9te" w:colFirst="0" w:colLast="0"/>
      <w:bookmarkEnd w:id="3"/>
      <w:r>
        <w:rPr>
          <w:rFonts w:ascii="Palatino Linotype" w:eastAsia="Palatino Linotype" w:hAnsi="Palatino Linotype" w:cs="Palatino Linotype"/>
          <w:color w:val="000000"/>
        </w:rPr>
        <w:lastRenderedPageBreak/>
        <w:t xml:space="preserve">Seguidamente, mediante Acuerdo de fecha </w:t>
      </w:r>
      <w:r>
        <w:rPr>
          <w:rFonts w:ascii="Palatino Linotype" w:eastAsia="Palatino Linotype" w:hAnsi="Palatino Linotype" w:cs="Palatino Linotype"/>
          <w:b/>
          <w:bCs/>
          <w:color w:val="000000"/>
        </w:rPr>
        <w:t xml:space="preserve">veintiséis de mayo de dos mil veintiséis, </w:t>
      </w:r>
      <w:r>
        <w:rPr>
          <w:rFonts w:ascii="Palatino Linotype" w:eastAsia="Palatino Linotype" w:hAnsi="Palatino Linotype" w:cs="Palatino Linotype"/>
          <w:color w:val="000000"/>
        </w:rPr>
        <w:t>se amplió el término para resolver. Por ello, es menester precisar que, si bien se ha excedido el plazo para resolver el presente medio de impugnación, de conformidad con la ley de la materia, el plazo para emitir la resolución se encuentra justificado en los elementos para medir la razonabilidad de asuntos conforme a los parámetros establecidos por diversos órganos jurisdiccionales federales, aplicables también en procedimientos análogos, como el que nos ocupa.</w:t>
      </w:r>
    </w:p>
    <w:p w:rsidR="00702D03" w:rsidRDefault="00702D03" w:rsidP="00702D03">
      <w:pPr>
        <w:pBdr>
          <w:top w:val="nil"/>
          <w:left w:val="nil"/>
          <w:bottom w:val="nil"/>
          <w:right w:val="nil"/>
          <w:between w:val="nil"/>
        </w:pBdr>
        <w:spacing w:line="360" w:lineRule="auto"/>
        <w:ind w:right="-697"/>
        <w:jc w:val="both"/>
        <w:rPr>
          <w:rFonts w:ascii="Palatino Linotype" w:eastAsia="Palatino Linotype" w:hAnsi="Palatino Linotype" w:cs="Palatino Linotype"/>
          <w:b/>
          <w:bCs/>
          <w:color w:val="000000"/>
        </w:rPr>
      </w:pPr>
    </w:p>
    <w:p w:rsidR="00986325" w:rsidRDefault="008068B7">
      <w:pPr>
        <w:numPr>
          <w:ilvl w:val="0"/>
          <w:numId w:val="2"/>
        </w:numPr>
        <w:pBdr>
          <w:top w:val="nil"/>
          <w:left w:val="nil"/>
          <w:bottom w:val="nil"/>
          <w:right w:val="nil"/>
          <w:between w:val="nil"/>
        </w:pBdr>
        <w:spacing w:line="360" w:lineRule="auto"/>
        <w:ind w:left="0" w:right="-697" w:firstLine="0"/>
        <w:jc w:val="both"/>
        <w:rPr>
          <w:rFonts w:ascii="Palatino Linotype" w:eastAsia="Palatino Linotype" w:hAnsi="Palatino Linotype" w:cs="Palatino Linotype"/>
          <w:b/>
          <w:bCs/>
          <w:color w:val="000000"/>
        </w:rPr>
      </w:pPr>
      <w:r>
        <w:rPr>
          <w:rFonts w:ascii="Palatino Linotype" w:eastAsia="Palatino Linotype" w:hAnsi="Palatino Linotype" w:cs="Palatino Linotype"/>
          <w:color w:val="000000"/>
        </w:rPr>
        <w:t>Consecutivamente se decretó el cierre de instrucción mediante Acuerdo de misma fecha , por lo que no habiendo más que hacer constar, y</w:t>
      </w:r>
    </w:p>
    <w:p w:rsidR="00986325" w:rsidRDefault="00986325">
      <w:pPr>
        <w:pBdr>
          <w:top w:val="nil"/>
          <w:left w:val="nil"/>
          <w:bottom w:val="nil"/>
          <w:right w:val="nil"/>
          <w:between w:val="nil"/>
        </w:pBdr>
        <w:spacing w:line="360" w:lineRule="auto"/>
        <w:ind w:left="644" w:right="-697"/>
        <w:jc w:val="both"/>
        <w:rPr>
          <w:rFonts w:ascii="Palatino Linotype" w:eastAsia="Palatino Linotype" w:hAnsi="Palatino Linotype" w:cs="Palatino Linotype"/>
        </w:rPr>
      </w:pPr>
    </w:p>
    <w:p w:rsidR="00986325" w:rsidRDefault="008068B7">
      <w:pPr>
        <w:pBdr>
          <w:top w:val="nil"/>
          <w:left w:val="nil"/>
          <w:bottom w:val="nil"/>
          <w:right w:val="nil"/>
          <w:between w:val="nil"/>
        </w:pBdr>
        <w:spacing w:line="360" w:lineRule="auto"/>
        <w:ind w:right="-697"/>
        <w:jc w:val="center"/>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C O N S I D E R A N D O</w:t>
      </w:r>
    </w:p>
    <w:p w:rsidR="00986325" w:rsidRDefault="00986325">
      <w:pPr>
        <w:pBdr>
          <w:top w:val="nil"/>
          <w:left w:val="nil"/>
          <w:bottom w:val="nil"/>
          <w:right w:val="nil"/>
          <w:between w:val="nil"/>
        </w:pBdr>
        <w:spacing w:line="360" w:lineRule="auto"/>
        <w:ind w:right="-697"/>
        <w:jc w:val="center"/>
        <w:rPr>
          <w:rFonts w:ascii="Palatino Linotype" w:eastAsia="Palatino Linotype" w:hAnsi="Palatino Linotype" w:cs="Palatino Linotype"/>
          <w:b/>
          <w:bCs/>
          <w:color w:val="000000"/>
        </w:rPr>
      </w:pPr>
    </w:p>
    <w:p w:rsidR="00986325" w:rsidRDefault="008068B7">
      <w:pPr>
        <w:pStyle w:val="Ttulo2"/>
        <w:spacing w:before="0" w:line="360" w:lineRule="auto"/>
        <w:ind w:right="-697"/>
        <w:rPr>
          <w:rFonts w:ascii="Palatino Linotype" w:eastAsia="Palatino Linotype" w:hAnsi="Palatino Linotype" w:cs="Palatino Linotype"/>
          <w:b/>
          <w:bCs/>
          <w:color w:val="000000"/>
          <w:sz w:val="24"/>
          <w:szCs w:val="24"/>
        </w:rPr>
      </w:pPr>
      <w:bookmarkStart w:id="4" w:name="_heading=h.3znysh7" w:colFirst="0" w:colLast="0"/>
      <w:bookmarkEnd w:id="4"/>
      <w:r>
        <w:rPr>
          <w:rFonts w:ascii="Palatino Linotype" w:eastAsia="Palatino Linotype" w:hAnsi="Palatino Linotype" w:cs="Palatino Linotype"/>
          <w:b/>
          <w:bCs/>
          <w:color w:val="000000"/>
          <w:sz w:val="24"/>
          <w:szCs w:val="24"/>
        </w:rPr>
        <w:t>PRIMERO. De la competencia</w:t>
      </w:r>
    </w:p>
    <w:p w:rsidR="00986325" w:rsidRDefault="008068B7">
      <w:pPr>
        <w:numPr>
          <w:ilvl w:val="0"/>
          <w:numId w:val="2"/>
        </w:numPr>
        <w:pBdr>
          <w:top w:val="nil"/>
          <w:left w:val="nil"/>
          <w:bottom w:val="nil"/>
          <w:right w:val="nil"/>
          <w:between w:val="nil"/>
        </w:pBdr>
        <w:spacing w:line="360" w:lineRule="auto"/>
        <w:ind w:left="0" w:right="-69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Este Instituto de Transparencia, Acceso a la Información Pública y Protección de Datos Personales del Estado de México y Municipios es competente para conocer y resolver el presente Recurso de Revisión, conforme a lo dispuesto en el artículo 5, pá</w:t>
      </w:r>
      <w:r>
        <w:rPr>
          <w:rFonts w:ascii="Palatino Linotype" w:eastAsia="Palatino Linotype" w:hAnsi="Palatino Linotype" w:cs="Palatino Linotype"/>
        </w:rPr>
        <w:t>r</w:t>
      </w:r>
      <w:r>
        <w:rPr>
          <w:rFonts w:ascii="Palatino Linotype" w:eastAsia="Palatino Linotype" w:hAnsi="Palatino Linotype" w:cs="Palatino Linotype"/>
          <w:color w:val="000000"/>
        </w:rPr>
        <w:t>rafos trigésimo séptimo, trigésimo octavo y trigésimo noveno fracciones IV y V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rsidR="00986325" w:rsidRDefault="008068B7">
      <w:pPr>
        <w:pStyle w:val="Ttulo2"/>
        <w:spacing w:before="0" w:line="360" w:lineRule="auto"/>
        <w:ind w:right="-697"/>
        <w:rPr>
          <w:rFonts w:ascii="Palatino Linotype" w:eastAsia="Palatino Linotype" w:hAnsi="Palatino Linotype" w:cs="Palatino Linotype"/>
          <w:b/>
          <w:bCs/>
          <w:color w:val="000000"/>
          <w:sz w:val="24"/>
          <w:szCs w:val="24"/>
        </w:rPr>
      </w:pPr>
      <w:bookmarkStart w:id="5" w:name="_heading=h.1r2ncu86dirb" w:colFirst="0" w:colLast="0"/>
      <w:bookmarkStart w:id="6" w:name="_heading=h.2et92p0" w:colFirst="0" w:colLast="0"/>
      <w:bookmarkEnd w:id="5"/>
      <w:bookmarkEnd w:id="6"/>
      <w:r>
        <w:rPr>
          <w:rFonts w:ascii="Palatino Linotype" w:eastAsia="Palatino Linotype" w:hAnsi="Palatino Linotype" w:cs="Palatino Linotype"/>
          <w:b/>
          <w:bCs/>
          <w:color w:val="000000"/>
          <w:sz w:val="24"/>
          <w:szCs w:val="24"/>
        </w:rPr>
        <w:lastRenderedPageBreak/>
        <w:t>SEGUNDO. De la oportunidad y procedencia.</w:t>
      </w:r>
    </w:p>
    <w:p w:rsidR="00986325" w:rsidRDefault="008068B7">
      <w:pPr>
        <w:numPr>
          <w:ilvl w:val="0"/>
          <w:numId w:val="2"/>
        </w:numPr>
        <w:pBdr>
          <w:top w:val="nil"/>
          <w:left w:val="nil"/>
          <w:bottom w:val="nil"/>
          <w:right w:val="nil"/>
          <w:between w:val="nil"/>
        </w:pBdr>
        <w:spacing w:line="360" w:lineRule="auto"/>
        <w:ind w:left="0" w:right="-697"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Este Órgano Garante considera que el medio de impugnación reúne los requisitos de procedencia </w:t>
      </w:r>
      <w:r>
        <w:rPr>
          <w:rFonts w:ascii="Palatino Linotype" w:eastAsia="Palatino Linotype" w:hAnsi="Palatino Linotype" w:cs="Palatino Linotype"/>
          <w:color w:val="000000"/>
        </w:rPr>
        <w:t>toda vez que: el recurso fue presentado dentro del plazo establecido en el artículo 178 de la Ley de Transparencia y Acceso a la Información Pública del Estado de México y Municipios; asimismo no se tiene conocimiento de que se encuentre en trámite algún medio de defensa presentado por el Recurrente ante otra instancia.</w:t>
      </w:r>
    </w:p>
    <w:p w:rsidR="00986325" w:rsidRDefault="00986325">
      <w:pPr>
        <w:pBdr>
          <w:top w:val="nil"/>
          <w:left w:val="nil"/>
          <w:bottom w:val="nil"/>
          <w:right w:val="nil"/>
          <w:between w:val="nil"/>
        </w:pBdr>
        <w:spacing w:line="360" w:lineRule="auto"/>
        <w:ind w:right="-697"/>
        <w:jc w:val="both"/>
        <w:rPr>
          <w:rFonts w:ascii="Palatino Linotype" w:eastAsia="Palatino Linotype" w:hAnsi="Palatino Linotype" w:cs="Palatino Linotype"/>
        </w:rPr>
      </w:pPr>
    </w:p>
    <w:p w:rsidR="00986325" w:rsidRDefault="008068B7">
      <w:pPr>
        <w:numPr>
          <w:ilvl w:val="0"/>
          <w:numId w:val="2"/>
        </w:numPr>
        <w:pBdr>
          <w:top w:val="nil"/>
          <w:left w:val="nil"/>
          <w:bottom w:val="nil"/>
          <w:right w:val="nil"/>
          <w:between w:val="nil"/>
        </w:pBdr>
        <w:spacing w:line="360" w:lineRule="auto"/>
        <w:ind w:left="0" w:right="-69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Consecuencia de lo anterior, este Órgano Garante advierte que el escrito contiene las </w:t>
      </w:r>
      <w:r>
        <w:rPr>
          <w:rFonts w:ascii="Palatino Linotype" w:eastAsia="Palatino Linotype" w:hAnsi="Palatino Linotype" w:cs="Palatino Linotype"/>
        </w:rPr>
        <w:t>formalidades</w:t>
      </w:r>
      <w:r>
        <w:rPr>
          <w:rFonts w:ascii="Palatino Linotype" w:eastAsia="Palatino Linotype" w:hAnsi="Palatino Linotype" w:cs="Palatino Linotype"/>
          <w:color w:val="000000"/>
        </w:rPr>
        <w:t xml:space="preserve"> previstas por el artículo 180 último párrafo de la Ley de </w:t>
      </w:r>
      <w:r>
        <w:rPr>
          <w:rFonts w:ascii="Palatino Linotype" w:eastAsia="Palatino Linotype" w:hAnsi="Palatino Linotype" w:cs="Palatino Linotype"/>
        </w:rPr>
        <w:t>Transparencia</w:t>
      </w:r>
      <w:r>
        <w:rPr>
          <w:rFonts w:ascii="Palatino Linotype" w:eastAsia="Palatino Linotype" w:hAnsi="Palatino Linotype" w:cs="Palatino Linotype"/>
          <w:color w:val="000000"/>
        </w:rPr>
        <w:t xml:space="preserve"> y Acceso a la </w:t>
      </w:r>
      <w:r>
        <w:rPr>
          <w:rFonts w:ascii="Palatino Linotype" w:eastAsia="Palatino Linotype" w:hAnsi="Palatino Linotype" w:cs="Palatino Linotype"/>
        </w:rPr>
        <w:t>Información</w:t>
      </w:r>
      <w:r>
        <w:rPr>
          <w:rFonts w:ascii="Palatino Linotype" w:eastAsia="Palatino Linotype" w:hAnsi="Palatino Linotype" w:cs="Palatino Linotype"/>
          <w:color w:val="000000"/>
        </w:rPr>
        <w:t xml:space="preserve"> Pública del Estado de México y Municipios, por lo que es procedente que este Instituto de Transparencia, Acceso a la Información Pública y Protección de Datos Personales del Estado de México y Municipios, conozca y resuelva el presente recurso.</w:t>
      </w:r>
    </w:p>
    <w:p w:rsidR="00986325" w:rsidRDefault="00986325">
      <w:pPr>
        <w:pBdr>
          <w:top w:val="nil"/>
          <w:left w:val="nil"/>
          <w:bottom w:val="nil"/>
          <w:right w:val="nil"/>
          <w:between w:val="nil"/>
        </w:pBdr>
        <w:spacing w:line="360" w:lineRule="auto"/>
        <w:ind w:right="-697"/>
        <w:jc w:val="both"/>
        <w:rPr>
          <w:rFonts w:ascii="Palatino Linotype" w:eastAsia="Palatino Linotype" w:hAnsi="Palatino Linotype" w:cs="Palatino Linotype"/>
          <w:color w:val="000000"/>
        </w:rPr>
      </w:pPr>
    </w:p>
    <w:p w:rsidR="00986325" w:rsidRDefault="008068B7">
      <w:pPr>
        <w:numPr>
          <w:ilvl w:val="0"/>
          <w:numId w:val="2"/>
        </w:numPr>
        <w:pBdr>
          <w:top w:val="nil"/>
          <w:left w:val="nil"/>
          <w:bottom w:val="nil"/>
          <w:right w:val="nil"/>
          <w:between w:val="nil"/>
        </w:pBdr>
        <w:spacing w:line="360" w:lineRule="auto"/>
        <w:ind w:left="0" w:right="-697" w:firstLine="0"/>
        <w:jc w:val="both"/>
        <w:rPr>
          <w:rFonts w:ascii="Palatino Linotype" w:eastAsia="Palatino Linotype" w:hAnsi="Palatino Linotype" w:cs="Palatino Linotype"/>
        </w:rPr>
      </w:pPr>
      <w:r>
        <w:rPr>
          <w:rFonts w:ascii="Palatino Linotype" w:eastAsia="Palatino Linotype" w:hAnsi="Palatino Linotype" w:cs="Palatino Linotype"/>
        </w:rPr>
        <w:t>Finalmente, el escrito contiene las formalidades previstas por el artículo 180 último párrafo de la citada Ley de la materia, por lo que es procedente que este Instituto conozca y resuelva el presente recurso.</w:t>
      </w:r>
    </w:p>
    <w:p w:rsidR="00986325" w:rsidRDefault="00986325">
      <w:pPr>
        <w:pBdr>
          <w:top w:val="nil"/>
          <w:left w:val="nil"/>
          <w:bottom w:val="nil"/>
          <w:right w:val="nil"/>
          <w:between w:val="nil"/>
        </w:pBdr>
        <w:ind w:left="720" w:right="-697"/>
        <w:rPr>
          <w:rFonts w:ascii="Palatino Linotype" w:eastAsia="Palatino Linotype" w:hAnsi="Palatino Linotype" w:cs="Palatino Linotype"/>
          <w:color w:val="000000"/>
        </w:rPr>
      </w:pPr>
    </w:p>
    <w:p w:rsidR="00986325" w:rsidRDefault="008068B7">
      <w:pPr>
        <w:pStyle w:val="Ttulo1"/>
        <w:spacing w:before="0" w:line="360" w:lineRule="auto"/>
        <w:ind w:right="-697"/>
        <w:rPr>
          <w:rFonts w:ascii="Palatino Linotype" w:eastAsia="Palatino Linotype" w:hAnsi="Palatino Linotype" w:cs="Palatino Linotype"/>
          <w:b/>
          <w:bCs/>
          <w:color w:val="000000"/>
          <w:sz w:val="24"/>
          <w:szCs w:val="24"/>
        </w:rPr>
      </w:pPr>
      <w:bookmarkStart w:id="7" w:name="_heading=h.tyjcwt" w:colFirst="0" w:colLast="0"/>
      <w:bookmarkEnd w:id="7"/>
      <w:r>
        <w:rPr>
          <w:rFonts w:ascii="Palatino Linotype" w:eastAsia="Palatino Linotype" w:hAnsi="Palatino Linotype" w:cs="Palatino Linotype"/>
          <w:b/>
          <w:bCs/>
          <w:color w:val="000000"/>
          <w:sz w:val="24"/>
          <w:szCs w:val="24"/>
        </w:rPr>
        <w:t xml:space="preserve">TERCERO. Del planteamiento de la </w:t>
      </w:r>
      <w:r>
        <w:rPr>
          <w:rFonts w:ascii="Palatino Linotype" w:eastAsia="Palatino Linotype" w:hAnsi="Palatino Linotype" w:cs="Palatino Linotype"/>
          <w:b/>
          <w:bCs/>
          <w:i/>
          <w:iCs/>
          <w:color w:val="000000"/>
          <w:sz w:val="24"/>
          <w:szCs w:val="24"/>
        </w:rPr>
        <w:t>Litis</w:t>
      </w:r>
      <w:r>
        <w:rPr>
          <w:rFonts w:ascii="Palatino Linotype" w:eastAsia="Palatino Linotype" w:hAnsi="Palatino Linotype" w:cs="Palatino Linotype"/>
          <w:b/>
          <w:bCs/>
          <w:color w:val="000000"/>
          <w:sz w:val="24"/>
          <w:szCs w:val="24"/>
        </w:rPr>
        <w:t>.</w:t>
      </w:r>
    </w:p>
    <w:p w:rsidR="00986325" w:rsidRDefault="008068B7">
      <w:pPr>
        <w:numPr>
          <w:ilvl w:val="0"/>
          <w:numId w:val="2"/>
        </w:numPr>
        <w:pBdr>
          <w:top w:val="nil"/>
          <w:left w:val="nil"/>
          <w:bottom w:val="nil"/>
          <w:right w:val="nil"/>
          <w:between w:val="nil"/>
        </w:pBdr>
        <w:spacing w:line="360" w:lineRule="auto"/>
        <w:ind w:left="0" w:right="-69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Se solicitó tener acceso, a la información que a continuación se desagrega:</w:t>
      </w:r>
    </w:p>
    <w:p w:rsidR="00986325" w:rsidRDefault="008068B7">
      <w:pPr>
        <w:pBdr>
          <w:top w:val="nil"/>
          <w:left w:val="nil"/>
          <w:bottom w:val="nil"/>
          <w:right w:val="nil"/>
          <w:between w:val="nil"/>
        </w:pBdr>
        <w:spacing w:line="360" w:lineRule="auto"/>
        <w:ind w:left="502" w:right="-697"/>
        <w:jc w:val="both"/>
        <w:rPr>
          <w:rFonts w:ascii="Palatino Linotype" w:eastAsia="Palatino Linotype" w:hAnsi="Palatino Linotype" w:cs="Palatino Linotype"/>
          <w:b/>
          <w:bCs/>
          <w:i/>
          <w:iCs/>
          <w:color w:val="000000"/>
        </w:rPr>
      </w:pPr>
      <w:r>
        <w:rPr>
          <w:rFonts w:ascii="Palatino Linotype" w:eastAsia="Palatino Linotype" w:hAnsi="Palatino Linotype" w:cs="Palatino Linotype"/>
          <w:b/>
          <w:bCs/>
          <w:i/>
          <w:iCs/>
          <w:color w:val="000000"/>
        </w:rPr>
        <w:t>Se informe de manera clara y precisa, lo siguiente:</w:t>
      </w:r>
    </w:p>
    <w:p w:rsidR="00986325" w:rsidRDefault="008068B7">
      <w:pPr>
        <w:numPr>
          <w:ilvl w:val="0"/>
          <w:numId w:val="1"/>
        </w:numPr>
        <w:pBdr>
          <w:top w:val="nil"/>
          <w:left w:val="nil"/>
          <w:bottom w:val="nil"/>
          <w:right w:val="nil"/>
          <w:between w:val="nil"/>
        </w:pBdr>
        <w:spacing w:line="360" w:lineRule="auto"/>
        <w:ind w:right="-697"/>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El Plan de Desarrollo del Gobierno Municipal de Lerma 2025 – 2027.</w:t>
      </w:r>
    </w:p>
    <w:p w:rsidR="00986325" w:rsidRDefault="008068B7">
      <w:pPr>
        <w:numPr>
          <w:ilvl w:val="0"/>
          <w:numId w:val="1"/>
        </w:numPr>
        <w:pBdr>
          <w:top w:val="nil"/>
          <w:left w:val="nil"/>
          <w:bottom w:val="nil"/>
          <w:right w:val="nil"/>
          <w:between w:val="nil"/>
        </w:pBdr>
        <w:spacing w:line="360" w:lineRule="auto"/>
        <w:ind w:right="-697"/>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Cuáles son los planes y proyectos de inversión en obra pública que se desarrollarán en cumplimiento al Plan de Desarrollo del Gobierno Municipal de Lerma 2025 – 2027.</w:t>
      </w:r>
    </w:p>
    <w:p w:rsidR="00986325" w:rsidRDefault="008068B7">
      <w:pPr>
        <w:numPr>
          <w:ilvl w:val="0"/>
          <w:numId w:val="1"/>
        </w:numPr>
        <w:pBdr>
          <w:top w:val="nil"/>
          <w:left w:val="nil"/>
          <w:bottom w:val="nil"/>
          <w:right w:val="nil"/>
          <w:between w:val="nil"/>
        </w:pBdr>
        <w:spacing w:line="360" w:lineRule="auto"/>
        <w:ind w:right="-697"/>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lastRenderedPageBreak/>
        <w:t>Las obras públicas que desarrollaron en el año 2024 por parte del Gobierno Municipal de Lerma, Estado de México.</w:t>
      </w:r>
    </w:p>
    <w:p w:rsidR="00986325" w:rsidRDefault="008068B7">
      <w:pPr>
        <w:numPr>
          <w:ilvl w:val="0"/>
          <w:numId w:val="1"/>
        </w:numPr>
        <w:pBdr>
          <w:top w:val="nil"/>
          <w:left w:val="nil"/>
          <w:bottom w:val="nil"/>
          <w:right w:val="nil"/>
          <w:between w:val="nil"/>
        </w:pBdr>
        <w:spacing w:line="360" w:lineRule="auto"/>
        <w:ind w:right="-697"/>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Si cada una de las obras desarrolladas se realizó de forma directa por parte del gobierno municipal o se otorgaron contratos de construcción con empresas o terceras personas para su ejecución.</w:t>
      </w:r>
    </w:p>
    <w:p w:rsidR="00986325" w:rsidRDefault="008068B7">
      <w:pPr>
        <w:numPr>
          <w:ilvl w:val="0"/>
          <w:numId w:val="1"/>
        </w:numPr>
        <w:pBdr>
          <w:top w:val="nil"/>
          <w:left w:val="nil"/>
          <w:bottom w:val="nil"/>
          <w:right w:val="nil"/>
          <w:between w:val="nil"/>
        </w:pBdr>
        <w:spacing w:line="360" w:lineRule="auto"/>
        <w:ind w:right="-697"/>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Los planes y proyectos de inversión en obra pública por parte del Gobierno Municipal de Lerma, Estado de México respecto del presente año 2025.</w:t>
      </w:r>
    </w:p>
    <w:p w:rsidR="00986325" w:rsidRDefault="008068B7">
      <w:pPr>
        <w:numPr>
          <w:ilvl w:val="0"/>
          <w:numId w:val="1"/>
        </w:numPr>
        <w:pBdr>
          <w:top w:val="nil"/>
          <w:left w:val="nil"/>
          <w:bottom w:val="nil"/>
          <w:right w:val="nil"/>
          <w:between w:val="nil"/>
        </w:pBdr>
        <w:spacing w:line="360" w:lineRule="auto"/>
        <w:ind w:right="-697"/>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El presupuesto otorgado para cada obra pública planeada a realizarse en el presente año 2025.</w:t>
      </w:r>
    </w:p>
    <w:p w:rsidR="00986325" w:rsidRDefault="008068B7">
      <w:pPr>
        <w:numPr>
          <w:ilvl w:val="0"/>
          <w:numId w:val="1"/>
        </w:numPr>
        <w:pBdr>
          <w:top w:val="nil"/>
          <w:left w:val="nil"/>
          <w:bottom w:val="nil"/>
          <w:right w:val="nil"/>
          <w:between w:val="nil"/>
        </w:pBdr>
        <w:spacing w:line="360" w:lineRule="auto"/>
        <w:ind w:right="-697"/>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Las obras públicas que ya se desarrollaron o aquellas que continúan realizándose hasta el día de hoy por parte del Gobierno Municipal de Lerma, Estado de México, en el presente año 2025.</w:t>
      </w:r>
    </w:p>
    <w:p w:rsidR="00986325" w:rsidRDefault="008068B7">
      <w:pPr>
        <w:numPr>
          <w:ilvl w:val="0"/>
          <w:numId w:val="1"/>
        </w:numPr>
        <w:pBdr>
          <w:top w:val="nil"/>
          <w:left w:val="nil"/>
          <w:bottom w:val="nil"/>
          <w:right w:val="nil"/>
          <w:between w:val="nil"/>
        </w:pBdr>
        <w:spacing w:line="360" w:lineRule="auto"/>
        <w:ind w:right="-697"/>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Los proyectos de obra pública planeadas para las comunidades de San Francisco Xochicuautla y la Concepción Xochicuautla Municipio de Lerma, Estado de México para los años 2025 - 2027.</w:t>
      </w:r>
    </w:p>
    <w:p w:rsidR="00986325" w:rsidRDefault="008068B7">
      <w:pPr>
        <w:numPr>
          <w:ilvl w:val="0"/>
          <w:numId w:val="1"/>
        </w:numPr>
        <w:pBdr>
          <w:top w:val="nil"/>
          <w:left w:val="nil"/>
          <w:bottom w:val="nil"/>
          <w:right w:val="nil"/>
          <w:between w:val="nil"/>
        </w:pBdr>
        <w:spacing w:line="360" w:lineRule="auto"/>
        <w:ind w:right="-697"/>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La naturaleza de la obra que actualmente en el año 2025 se está construyendo en el campo de futbol de la Comunidad de la Concepción Xochicuautla, Lerma, Estado de México.</w:t>
      </w:r>
    </w:p>
    <w:p w:rsidR="00986325" w:rsidRDefault="008068B7">
      <w:pPr>
        <w:numPr>
          <w:ilvl w:val="0"/>
          <w:numId w:val="1"/>
        </w:numPr>
        <w:pBdr>
          <w:top w:val="nil"/>
          <w:left w:val="nil"/>
          <w:bottom w:val="nil"/>
          <w:right w:val="nil"/>
          <w:between w:val="nil"/>
        </w:pBdr>
        <w:spacing w:line="360" w:lineRule="auto"/>
        <w:ind w:right="-697"/>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Si el proyecto total de la obra que actualmente se está construyendo en el campo de futbol de la Comunidad de la Concepción Xochicuautla, Lerma, Estado de México, está planeada realizarse en diversas fases o etapas, indicando en su caso el número total de estas.</w:t>
      </w:r>
    </w:p>
    <w:p w:rsidR="00986325" w:rsidRDefault="008068B7">
      <w:pPr>
        <w:numPr>
          <w:ilvl w:val="0"/>
          <w:numId w:val="1"/>
        </w:numPr>
        <w:pBdr>
          <w:top w:val="nil"/>
          <w:left w:val="nil"/>
          <w:bottom w:val="nil"/>
          <w:right w:val="nil"/>
          <w:between w:val="nil"/>
        </w:pBdr>
        <w:spacing w:line="360" w:lineRule="auto"/>
        <w:ind w:right="-697"/>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Se describa de manera clara los tiempos programados y así como el presupuesto otorgado para la ejecución de cada fase o etapa que integra el proyecto total de la obra que actualmente en el año 2025 se está construyendo en el campo de futbol de la Comunidad de la Concepción Xochicuautla, Lerma, Estado de México.</w:t>
      </w:r>
    </w:p>
    <w:p w:rsidR="00986325" w:rsidRDefault="008068B7">
      <w:pPr>
        <w:numPr>
          <w:ilvl w:val="0"/>
          <w:numId w:val="1"/>
        </w:numPr>
        <w:pBdr>
          <w:top w:val="nil"/>
          <w:left w:val="nil"/>
          <w:bottom w:val="nil"/>
          <w:right w:val="nil"/>
          <w:between w:val="nil"/>
        </w:pBdr>
        <w:spacing w:line="360" w:lineRule="auto"/>
        <w:ind w:right="-697"/>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lastRenderedPageBreak/>
        <w:t>Etapas que integra el proyecto total de la obra que actualmente en el año 2025 se está construyendo en el campo de futbol de la Comunidad de la Concepción Xochicuautla, Lerma, Estado de México, ya concluyeron, cuales se encuentran desarrollándose, e informe cuales faltan y están pendientes por realizarse.</w:t>
      </w:r>
    </w:p>
    <w:p w:rsidR="00986325" w:rsidRDefault="008068B7">
      <w:pPr>
        <w:numPr>
          <w:ilvl w:val="0"/>
          <w:numId w:val="1"/>
        </w:numPr>
        <w:pBdr>
          <w:top w:val="nil"/>
          <w:left w:val="nil"/>
          <w:bottom w:val="nil"/>
          <w:right w:val="nil"/>
          <w:between w:val="nil"/>
        </w:pBdr>
        <w:spacing w:line="360" w:lineRule="auto"/>
        <w:ind w:right="-697"/>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Si la obra que actualmente en el año 2025 se está construyendo en el campo de futbol de la Comunidad de la Concepción Xochicuautla, Lerma, Estado de México, se está realizando de forma directa por trabajadores del gobierno municipal o se contrató a una empresa o terceras personas para su ejecución, proporcionando en su caso copia fiel e inalterable del original de los contratos o cualquier tipo de documentos de donde se desprenda tal situación.</w:t>
      </w:r>
    </w:p>
    <w:p w:rsidR="00986325" w:rsidRDefault="008068B7">
      <w:pPr>
        <w:numPr>
          <w:ilvl w:val="0"/>
          <w:numId w:val="1"/>
        </w:numPr>
        <w:pBdr>
          <w:top w:val="nil"/>
          <w:left w:val="nil"/>
          <w:bottom w:val="nil"/>
          <w:right w:val="nil"/>
          <w:between w:val="nil"/>
        </w:pBdr>
        <w:spacing w:line="360" w:lineRule="auto"/>
        <w:ind w:right="-697"/>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Informe de manera clara y precisa el presupuesto destinado en cada una de sus fases o etapas, para la construcción de la obra que actualmente en el año 2025 se está realizando en el campo de futbol de la Comunidad de la Concepción Xochicuautla, Lerma, Estado de México.</w:t>
      </w:r>
    </w:p>
    <w:p w:rsidR="00986325" w:rsidRDefault="008068B7">
      <w:pPr>
        <w:numPr>
          <w:ilvl w:val="0"/>
          <w:numId w:val="1"/>
        </w:numPr>
        <w:pBdr>
          <w:top w:val="nil"/>
          <w:left w:val="nil"/>
          <w:bottom w:val="nil"/>
          <w:right w:val="nil"/>
          <w:between w:val="nil"/>
        </w:pBdr>
        <w:spacing w:line="360" w:lineRule="auto"/>
        <w:ind w:right="-697"/>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Informe de manera clara y precisa las autoridades del Gobierno Municipal de Lerma, Estado de México que han intervenido en la planeación, orden, instrucción y ejecución de la obra (en cada una de sus fases o etapas) que actualmente en el año 2025 se está realizando en el campo de futbol de la Comunidad de la Concepción Xochicuautla.</w:t>
      </w:r>
    </w:p>
    <w:p w:rsidR="00986325" w:rsidRDefault="008068B7">
      <w:pPr>
        <w:numPr>
          <w:ilvl w:val="0"/>
          <w:numId w:val="1"/>
        </w:numPr>
        <w:pBdr>
          <w:top w:val="nil"/>
          <w:left w:val="nil"/>
          <w:bottom w:val="nil"/>
          <w:right w:val="nil"/>
          <w:between w:val="nil"/>
        </w:pBdr>
        <w:spacing w:line="360" w:lineRule="auto"/>
        <w:ind w:right="-697"/>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Proporcione copia fiel e inalterable de planos, proyectos, planes de desarrollo, dictámenes técnicos, estudios de campos, levantamientos topográficos, dictámenes de aprobación de cumplimiento de normatividad firmados por las personas responsables o cualquier tipo de documento de los que se desprendan los señalamientos técnicos contemplados para la ejecución de la obra que actualmente en el año 2025 se está realizando en el campo de futbol de la Comunidad de la Concepción Xochicuautla.</w:t>
      </w:r>
    </w:p>
    <w:p w:rsidR="00986325" w:rsidRDefault="008068B7">
      <w:pPr>
        <w:numPr>
          <w:ilvl w:val="0"/>
          <w:numId w:val="1"/>
        </w:numPr>
        <w:pBdr>
          <w:top w:val="nil"/>
          <w:left w:val="nil"/>
          <w:bottom w:val="nil"/>
          <w:right w:val="nil"/>
          <w:between w:val="nil"/>
        </w:pBdr>
        <w:spacing w:line="360" w:lineRule="auto"/>
        <w:ind w:right="-697"/>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lastRenderedPageBreak/>
        <w:t>Los tiempos de inicio y conclusión programados para la ejecución (de cada fase o etapa) de la obra que se está realizando actualmente en el año 2025, en el campo de futbol de la comunidad de la Concepción Xochicuautla.”</w:t>
      </w:r>
    </w:p>
    <w:p w:rsidR="00986325" w:rsidRDefault="00986325">
      <w:pPr>
        <w:pBdr>
          <w:top w:val="nil"/>
          <w:left w:val="nil"/>
          <w:bottom w:val="nil"/>
          <w:right w:val="nil"/>
          <w:between w:val="nil"/>
        </w:pBdr>
        <w:spacing w:line="360" w:lineRule="auto"/>
        <w:ind w:left="349" w:right="-697"/>
        <w:jc w:val="both"/>
        <w:rPr>
          <w:rFonts w:ascii="Palatino Linotype" w:eastAsia="Palatino Linotype" w:hAnsi="Palatino Linotype" w:cs="Palatino Linotype"/>
          <w:color w:val="000000"/>
        </w:rPr>
      </w:pPr>
    </w:p>
    <w:p w:rsidR="00986325" w:rsidRDefault="008068B7">
      <w:pPr>
        <w:numPr>
          <w:ilvl w:val="0"/>
          <w:numId w:val="2"/>
        </w:numPr>
        <w:spacing w:line="360" w:lineRule="auto"/>
        <w:ind w:left="0" w:right="-697" w:firstLine="0"/>
        <w:jc w:val="both"/>
        <w:rPr>
          <w:rFonts w:ascii="Palatino Linotype" w:eastAsia="Palatino Linotype" w:hAnsi="Palatino Linotype" w:cs="Palatino Linotype"/>
          <w:color w:val="000000"/>
        </w:rPr>
      </w:pPr>
      <w:r>
        <w:rPr>
          <w:rFonts w:ascii="Palatino Linotype" w:eastAsia="Palatino Linotype" w:hAnsi="Palatino Linotype" w:cs="Palatino Linotype"/>
        </w:rPr>
        <w:t xml:space="preserve">En respuesta, el </w:t>
      </w:r>
      <w:r>
        <w:rPr>
          <w:rFonts w:ascii="Palatino Linotype" w:eastAsia="Palatino Linotype" w:hAnsi="Palatino Linotype" w:cs="Palatino Linotype"/>
          <w:b/>
          <w:bCs/>
        </w:rPr>
        <w:t xml:space="preserve">SUJETO OBLIGADO </w:t>
      </w:r>
      <w:r>
        <w:rPr>
          <w:rFonts w:ascii="Palatino Linotype" w:eastAsia="Palatino Linotype" w:hAnsi="Palatino Linotype" w:cs="Palatino Linotype"/>
        </w:rPr>
        <w:t>remitió la información ya descrita en el párrafo 2. Inconforme con la misma, se interpuso recurso de revisión en contra de la negativa de la entrega de la información y la clasificación de la información.</w:t>
      </w:r>
    </w:p>
    <w:p w:rsidR="00986325" w:rsidRDefault="00986325">
      <w:pPr>
        <w:tabs>
          <w:tab w:val="left" w:pos="933"/>
        </w:tabs>
        <w:spacing w:line="360" w:lineRule="auto"/>
        <w:ind w:right="-697"/>
        <w:jc w:val="both"/>
        <w:rPr>
          <w:rFonts w:ascii="Palatino Linotype" w:eastAsia="Palatino Linotype" w:hAnsi="Palatino Linotype" w:cs="Palatino Linotype"/>
        </w:rPr>
      </w:pPr>
    </w:p>
    <w:p w:rsidR="00986325" w:rsidRDefault="008068B7">
      <w:pPr>
        <w:numPr>
          <w:ilvl w:val="0"/>
          <w:numId w:val="2"/>
        </w:numPr>
        <w:spacing w:line="360" w:lineRule="auto"/>
        <w:ind w:left="0" w:right="-697"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En dichas condiciones se presume que el particular se duele de la negativa de la entrega de la información, por lo tanto la </w:t>
      </w:r>
      <w:r>
        <w:rPr>
          <w:rFonts w:ascii="Palatino Linotype" w:eastAsia="Palatino Linotype" w:hAnsi="Palatino Linotype" w:cs="Palatino Linotype"/>
          <w:i/>
          <w:iCs/>
        </w:rPr>
        <w:t>Litis</w:t>
      </w:r>
      <w:r>
        <w:rPr>
          <w:rFonts w:ascii="Palatino Linotype" w:eastAsia="Palatino Linotype" w:hAnsi="Palatino Linotype" w:cs="Palatino Linotype"/>
        </w:rPr>
        <w:t xml:space="preserve"> a resolver en este recurso se circunscribe a determinar si se actualiza la causal de procedencia prevista en el artículo 179, </w:t>
      </w:r>
      <w:r>
        <w:rPr>
          <w:rFonts w:ascii="Palatino Linotype" w:eastAsia="Palatino Linotype" w:hAnsi="Palatino Linotype" w:cs="Palatino Linotype"/>
          <w:b/>
          <w:bCs/>
        </w:rPr>
        <w:t xml:space="preserve">fracciones I </w:t>
      </w:r>
      <w:r>
        <w:rPr>
          <w:rFonts w:ascii="Palatino Linotype" w:eastAsia="Palatino Linotype" w:hAnsi="Palatino Linotype" w:cs="Palatino Linotype"/>
        </w:rPr>
        <w:t>y</w:t>
      </w:r>
      <w:r>
        <w:rPr>
          <w:rFonts w:ascii="Palatino Linotype" w:eastAsia="Palatino Linotype" w:hAnsi="Palatino Linotype" w:cs="Palatino Linotype"/>
          <w:b/>
          <w:bCs/>
        </w:rPr>
        <w:t xml:space="preserve"> II </w:t>
      </w:r>
      <w:r>
        <w:rPr>
          <w:rFonts w:ascii="Palatino Linotype" w:eastAsia="Palatino Linotype" w:hAnsi="Palatino Linotype" w:cs="Palatino Linotype"/>
        </w:rPr>
        <w:t xml:space="preserve">de la </w:t>
      </w:r>
      <w:r>
        <w:rPr>
          <w:rFonts w:ascii="Palatino Linotype" w:eastAsia="Palatino Linotype" w:hAnsi="Palatino Linotype" w:cs="Palatino Linotype"/>
          <w:b/>
          <w:bCs/>
        </w:rPr>
        <w:t>Ley de Transparencia y Acceso a la Información Pública del Estado de México y Municipios</w:t>
      </w:r>
      <w:r>
        <w:rPr>
          <w:rFonts w:ascii="Palatino Linotype" w:eastAsia="Palatino Linotype" w:hAnsi="Palatino Linotype" w:cs="Palatino Linotype"/>
          <w:color w:val="000000"/>
        </w:rPr>
        <w:t>;</w:t>
      </w:r>
      <w:r>
        <w:rPr>
          <w:rFonts w:ascii="Palatino Linotype" w:eastAsia="Palatino Linotype" w:hAnsi="Palatino Linotype" w:cs="Palatino Linotype"/>
        </w:rPr>
        <w:t xml:space="preserve"> fracciones que determina las hipótesis jurídicas relativas a la negativa de la entrega de la información y a la clasificación de la información; contexto del cual se dolió </w:t>
      </w:r>
      <w:r>
        <w:rPr>
          <w:rFonts w:ascii="Palatino Linotype" w:eastAsia="Palatino Linotype" w:hAnsi="Palatino Linotype" w:cs="Palatino Linotype"/>
          <w:b/>
          <w:bCs/>
        </w:rPr>
        <w:t xml:space="preserve">EL RECURRENTE </w:t>
      </w:r>
      <w:r>
        <w:rPr>
          <w:rFonts w:ascii="Palatino Linotype" w:eastAsia="Palatino Linotype" w:hAnsi="Palatino Linotype" w:cs="Palatino Linotype"/>
        </w:rPr>
        <w:t>al momento de interponer su inconformidad.</w:t>
      </w:r>
    </w:p>
    <w:p w:rsidR="00986325" w:rsidRDefault="00986325">
      <w:pPr>
        <w:spacing w:line="360" w:lineRule="auto"/>
        <w:ind w:right="-697"/>
        <w:rPr>
          <w:rFonts w:ascii="Palatino Linotype" w:eastAsia="Palatino Linotype" w:hAnsi="Palatino Linotype" w:cs="Palatino Linotype"/>
        </w:rPr>
      </w:pPr>
    </w:p>
    <w:p w:rsidR="00986325" w:rsidRDefault="008068B7">
      <w:pPr>
        <w:numPr>
          <w:ilvl w:val="0"/>
          <w:numId w:val="2"/>
        </w:numPr>
        <w:spacing w:line="360" w:lineRule="auto"/>
        <w:ind w:left="0" w:right="-697" w:firstLine="0"/>
        <w:jc w:val="both"/>
        <w:rPr>
          <w:rFonts w:ascii="Palatino Linotype" w:eastAsia="Palatino Linotype" w:hAnsi="Palatino Linotype" w:cs="Palatino Linotype"/>
        </w:rPr>
      </w:pPr>
      <w:r>
        <w:rPr>
          <w:rFonts w:ascii="Palatino Linotype" w:eastAsia="Palatino Linotype" w:hAnsi="Palatino Linotype" w:cs="Palatino Linotype"/>
          <w:color w:val="000000"/>
        </w:rPr>
        <w:t xml:space="preserve">De modo tal que el presente Recurso de Revisión se </w:t>
      </w:r>
      <w:r>
        <w:rPr>
          <w:rFonts w:ascii="Palatino Linotype" w:eastAsia="Palatino Linotype" w:hAnsi="Palatino Linotype" w:cs="Palatino Linotype"/>
        </w:rPr>
        <w:t>abocará</w:t>
      </w:r>
      <w:r>
        <w:rPr>
          <w:rFonts w:ascii="Palatino Linotype" w:eastAsia="Palatino Linotype" w:hAnsi="Palatino Linotype" w:cs="Palatino Linotype"/>
          <w:color w:val="000000"/>
        </w:rPr>
        <w:t xml:space="preserve"> en determinar si el </w:t>
      </w:r>
      <w:r>
        <w:rPr>
          <w:rFonts w:ascii="Palatino Linotype" w:eastAsia="Palatino Linotype" w:hAnsi="Palatino Linotype" w:cs="Palatino Linotype"/>
          <w:b/>
          <w:bCs/>
          <w:color w:val="000000"/>
        </w:rPr>
        <w:t>SUJETO</w:t>
      </w:r>
      <w:r>
        <w:rPr>
          <w:rFonts w:ascii="Palatino Linotype" w:eastAsia="Palatino Linotype" w:hAnsi="Palatino Linotype" w:cs="Palatino Linotype"/>
          <w:color w:val="000000"/>
        </w:rPr>
        <w:t xml:space="preserve"> </w:t>
      </w:r>
      <w:r>
        <w:rPr>
          <w:rFonts w:ascii="Palatino Linotype" w:eastAsia="Palatino Linotype" w:hAnsi="Palatino Linotype" w:cs="Palatino Linotype"/>
          <w:b/>
          <w:bCs/>
          <w:color w:val="000000"/>
        </w:rPr>
        <w:t>OBLIGADO</w:t>
      </w:r>
      <w:r>
        <w:rPr>
          <w:rFonts w:ascii="Palatino Linotype" w:eastAsia="Palatino Linotype" w:hAnsi="Palatino Linotype" w:cs="Palatino Linotype"/>
          <w:color w:val="000000"/>
        </w:rPr>
        <w:t xml:space="preserve"> con su respuesta ciertamente actualiza la causal de procedencia</w:t>
      </w:r>
      <w:r>
        <w:rPr>
          <w:rFonts w:ascii="Palatino Linotype" w:eastAsia="Palatino Linotype" w:hAnsi="Palatino Linotype" w:cs="Palatino Linotype"/>
          <w:b/>
          <w:bCs/>
          <w:color w:val="000000"/>
        </w:rPr>
        <w:t xml:space="preserve"> </w:t>
      </w:r>
      <w:r>
        <w:rPr>
          <w:rFonts w:ascii="Palatino Linotype" w:eastAsia="Palatino Linotype" w:hAnsi="Palatino Linotype" w:cs="Palatino Linotype"/>
          <w:color w:val="000000"/>
        </w:rPr>
        <w:t xml:space="preserve">antes señalada. </w:t>
      </w:r>
    </w:p>
    <w:p w:rsidR="00986325" w:rsidRDefault="00986325">
      <w:pPr>
        <w:spacing w:line="360" w:lineRule="auto"/>
        <w:ind w:left="644" w:right="-697"/>
        <w:jc w:val="both"/>
        <w:rPr>
          <w:rFonts w:ascii="Palatino Linotype" w:eastAsia="Palatino Linotype" w:hAnsi="Palatino Linotype" w:cs="Palatino Linotype"/>
        </w:rPr>
      </w:pPr>
    </w:p>
    <w:p w:rsidR="00986325" w:rsidRDefault="008068B7">
      <w:pPr>
        <w:pStyle w:val="Ttulo2"/>
        <w:spacing w:before="0" w:line="360" w:lineRule="auto"/>
        <w:ind w:right="-697"/>
        <w:rPr>
          <w:rFonts w:ascii="Palatino Linotype" w:eastAsia="Palatino Linotype" w:hAnsi="Palatino Linotype" w:cs="Palatino Linotype"/>
          <w:b/>
          <w:bCs/>
          <w:color w:val="000000"/>
          <w:sz w:val="24"/>
          <w:szCs w:val="24"/>
        </w:rPr>
      </w:pPr>
      <w:bookmarkStart w:id="8" w:name="_heading=h.3dy6vkm" w:colFirst="0" w:colLast="0"/>
      <w:bookmarkEnd w:id="8"/>
      <w:r>
        <w:rPr>
          <w:rFonts w:ascii="Palatino Linotype" w:eastAsia="Palatino Linotype" w:hAnsi="Palatino Linotype" w:cs="Palatino Linotype"/>
          <w:b/>
          <w:bCs/>
          <w:color w:val="000000"/>
          <w:sz w:val="24"/>
          <w:szCs w:val="24"/>
        </w:rPr>
        <w:t>CUARTO. Del estudio y resolución del asunto.</w:t>
      </w:r>
    </w:p>
    <w:p w:rsidR="00986325" w:rsidRDefault="008068B7">
      <w:pPr>
        <w:numPr>
          <w:ilvl w:val="0"/>
          <w:numId w:val="2"/>
        </w:numPr>
        <w:spacing w:line="360" w:lineRule="auto"/>
        <w:ind w:left="0" w:right="-697"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Determinado lo anterior; revisaremos la atención otorgada por el Sujeto Obligado a la solicitud que dio origen a este recurso, considerando imprescindible establecer lo que la regulación </w:t>
      </w:r>
      <w:r>
        <w:rPr>
          <w:rFonts w:ascii="Palatino Linotype" w:eastAsia="Palatino Linotype" w:hAnsi="Palatino Linotype" w:cs="Palatino Linotype"/>
          <w:color w:val="000000"/>
        </w:rPr>
        <w:t>determina</w:t>
      </w:r>
      <w:r>
        <w:rPr>
          <w:rFonts w:ascii="Palatino Linotype" w:eastAsia="Palatino Linotype" w:hAnsi="Palatino Linotype" w:cs="Palatino Linotype"/>
        </w:rPr>
        <w:t xml:space="preserve">, por ello, en primer lugar, vamos a revisar lo que mandata nuestra </w:t>
      </w:r>
      <w:r>
        <w:rPr>
          <w:rFonts w:ascii="Palatino Linotype" w:eastAsia="Palatino Linotype" w:hAnsi="Palatino Linotype" w:cs="Palatino Linotype"/>
        </w:rPr>
        <w:lastRenderedPageBreak/>
        <w:t>Ley de Transparencia local, en su artículo 12, el cual establece que quienes generen, recopilen, administren, manejen, procesen, archiven o conserven información pública serán responsables de la misma, del mismo modo, el artículo 18 establece que los Sujetos Obligados deberán documentar todo acto que derive del ejercicio de sus facultades, competencias o funciones desde su origen la eventual publicidad y reutilización de la información que generen.</w:t>
      </w:r>
    </w:p>
    <w:p w:rsidR="00986325" w:rsidRDefault="00986325">
      <w:pPr>
        <w:spacing w:line="360" w:lineRule="auto"/>
        <w:ind w:right="-697"/>
        <w:jc w:val="both"/>
        <w:rPr>
          <w:rFonts w:ascii="Palatino Linotype" w:eastAsia="Palatino Linotype" w:hAnsi="Palatino Linotype" w:cs="Palatino Linotype"/>
        </w:rPr>
      </w:pPr>
    </w:p>
    <w:p w:rsidR="00986325" w:rsidRDefault="008068B7">
      <w:pPr>
        <w:numPr>
          <w:ilvl w:val="0"/>
          <w:numId w:val="2"/>
        </w:numPr>
        <w:spacing w:line="360" w:lineRule="auto"/>
        <w:ind w:left="0" w:right="-697" w:firstLine="0"/>
        <w:jc w:val="both"/>
        <w:rPr>
          <w:rFonts w:ascii="Palatino Linotype" w:eastAsia="Palatino Linotype" w:hAnsi="Palatino Linotype" w:cs="Palatino Linotype"/>
        </w:rPr>
      </w:pPr>
      <w:r>
        <w:rPr>
          <w:rFonts w:ascii="Palatino Linotype" w:eastAsia="Palatino Linotype" w:hAnsi="Palatino Linotype" w:cs="Palatino Linotype"/>
        </w:rPr>
        <w:t>Asimismo, es relevante mencionar que el artículo 19 del ordenamiento local de la materia señala que se presume que la información debe existir si se refiere a las facultades, competencias y funciones que los ordenamientos jurídicos aplicables otorgan a los sujetos obligados y en caso de que dichas facultades no se hayan ejercido, se deberá motivar la respuesta en función de las causas que motivaron tal circunstancia.</w:t>
      </w:r>
    </w:p>
    <w:p w:rsidR="00986325" w:rsidRDefault="00986325">
      <w:pPr>
        <w:pBdr>
          <w:top w:val="nil"/>
          <w:left w:val="nil"/>
          <w:bottom w:val="nil"/>
          <w:right w:val="nil"/>
          <w:between w:val="nil"/>
        </w:pBdr>
        <w:spacing w:line="360" w:lineRule="auto"/>
        <w:ind w:left="720" w:right="-697"/>
        <w:rPr>
          <w:rFonts w:ascii="Palatino Linotype" w:eastAsia="Palatino Linotype" w:hAnsi="Palatino Linotype" w:cs="Palatino Linotype"/>
          <w:color w:val="000000"/>
        </w:rPr>
      </w:pPr>
    </w:p>
    <w:p w:rsidR="00986325" w:rsidRDefault="008068B7">
      <w:pPr>
        <w:numPr>
          <w:ilvl w:val="0"/>
          <w:numId w:val="2"/>
        </w:numPr>
        <w:spacing w:line="360" w:lineRule="auto"/>
        <w:ind w:left="0" w:right="-697" w:firstLine="0"/>
        <w:jc w:val="both"/>
        <w:rPr>
          <w:rFonts w:ascii="Palatino Linotype" w:eastAsia="Palatino Linotype" w:hAnsi="Palatino Linotype" w:cs="Palatino Linotype"/>
        </w:rPr>
      </w:pPr>
      <w:r>
        <w:rPr>
          <w:rFonts w:ascii="Palatino Linotype" w:eastAsia="Palatino Linotype" w:hAnsi="Palatino Linotype" w:cs="Palatino Linotype"/>
        </w:rPr>
        <w:t>Los artículos antes citados, refieren que el derecho de acceso a la información pública es un derecho humano que abarca el solicitar, investigar, difundir y buscar información que se encuentre en los archivos de los sujetos obligados, ya sea porque estos las generaron o la poseen en atención a sus funciones, por lo que se le considera un bien común de dominio público, toda vez que al tratarse de acciones ejercidas por un servidor público, este lo hace en representación del Estado, por lo que le pertenece a todos y debe ser accesible a cualquier persona, ya sea que los particulares la puedan consultar por encontrarse publicada en cualquier medio de difusión o porque la requieren a través de una solicitud de acceso a la información, siempre y cuando no encuadre en una de las excepciones contempladas por la ley.</w:t>
      </w:r>
    </w:p>
    <w:p w:rsidR="00986325" w:rsidRDefault="00986325">
      <w:pPr>
        <w:pBdr>
          <w:top w:val="nil"/>
          <w:left w:val="nil"/>
          <w:bottom w:val="nil"/>
          <w:right w:val="nil"/>
          <w:between w:val="nil"/>
        </w:pBdr>
        <w:spacing w:line="360" w:lineRule="auto"/>
        <w:ind w:left="720" w:right="-697"/>
        <w:rPr>
          <w:rFonts w:ascii="Palatino Linotype" w:eastAsia="Palatino Linotype" w:hAnsi="Palatino Linotype" w:cs="Palatino Linotype"/>
          <w:color w:val="000000"/>
        </w:rPr>
      </w:pPr>
    </w:p>
    <w:p w:rsidR="00986325" w:rsidRDefault="008068B7">
      <w:pPr>
        <w:numPr>
          <w:ilvl w:val="0"/>
          <w:numId w:val="2"/>
        </w:numPr>
        <w:spacing w:line="360" w:lineRule="auto"/>
        <w:ind w:left="0" w:right="-697" w:firstLine="0"/>
        <w:jc w:val="both"/>
        <w:rPr>
          <w:rFonts w:ascii="Palatino Linotype" w:eastAsia="Palatino Linotype" w:hAnsi="Palatino Linotype" w:cs="Palatino Linotype"/>
          <w:color w:val="000000"/>
        </w:rPr>
      </w:pPr>
      <w:r>
        <w:rPr>
          <w:rFonts w:ascii="Palatino Linotype" w:eastAsia="Palatino Linotype" w:hAnsi="Palatino Linotype" w:cs="Palatino Linotype"/>
        </w:rPr>
        <w:lastRenderedPageBreak/>
        <w:t xml:space="preserve">Una vez sentado lo anterior, resulta oportuno primeramente traer a contexto los motivos de inconformidad; toda vez que estos son </w:t>
      </w:r>
      <w:r>
        <w:rPr>
          <w:rFonts w:ascii="Palatino Linotype" w:eastAsia="Palatino Linotype" w:hAnsi="Palatino Linotype" w:cs="Palatino Linotype"/>
          <w:color w:val="000000"/>
        </w:rPr>
        <w:t>tendientes</w:t>
      </w:r>
      <w:r>
        <w:rPr>
          <w:rFonts w:ascii="Palatino Linotype" w:eastAsia="Palatino Linotype" w:hAnsi="Palatino Linotype" w:cs="Palatino Linotype"/>
        </w:rPr>
        <w:t xml:space="preserve"> únicamente a impugnar la presunta </w:t>
      </w:r>
      <w:r>
        <w:rPr>
          <w:rFonts w:ascii="Palatino Linotype" w:eastAsia="Palatino Linotype" w:hAnsi="Palatino Linotype" w:cs="Palatino Linotype"/>
          <w:i/>
          <w:iCs/>
        </w:rPr>
        <w:t>negativa a la información solicitada que se realiza en la página 07 del Oficio de fecha 01 de septiembre de 2025.</w:t>
      </w:r>
      <w:r>
        <w:rPr>
          <w:rFonts w:ascii="Palatino Linotype" w:eastAsia="Palatino Linotype" w:hAnsi="Palatino Linotype" w:cs="Palatino Linotype"/>
        </w:rPr>
        <w:t xml:space="preserve"> Asimismo, en el escrito adjunto de manera puntual se señala lo siguiente: "</w:t>
      </w:r>
      <w:r>
        <w:rPr>
          <w:rFonts w:ascii="Palatino Linotype" w:eastAsia="Palatino Linotype" w:hAnsi="Palatino Linotype" w:cs="Palatino Linotype"/>
          <w:i/>
          <w:iCs/>
        </w:rPr>
        <w:t>...sirva declarar fundado las razones y motivos de esta inconformidad, revocar la respuesta del sujeto obligado y ordenar se me entregue de manera total y completa la información solicitada respecto de la obra pública que realiza en el campo de futbol de la Comunidad de la Concepción Xochicuautla, denominada por la propia autoridad en la foja 07 como “Continuación de construcción de muro de contención en campo de futbol 2da Etapa..."</w:t>
      </w:r>
    </w:p>
    <w:p w:rsidR="00986325" w:rsidRDefault="00986325">
      <w:pPr>
        <w:spacing w:line="360" w:lineRule="auto"/>
        <w:ind w:right="-697"/>
        <w:rPr>
          <w:rFonts w:ascii="Palatino Linotype" w:eastAsia="Palatino Linotype" w:hAnsi="Palatino Linotype" w:cs="Palatino Linotype"/>
          <w:color w:val="000000"/>
        </w:rPr>
      </w:pPr>
    </w:p>
    <w:p w:rsidR="00986325" w:rsidRDefault="008068B7">
      <w:pPr>
        <w:numPr>
          <w:ilvl w:val="0"/>
          <w:numId w:val="2"/>
        </w:numPr>
        <w:spacing w:line="360" w:lineRule="auto"/>
        <w:ind w:left="0" w:right="-697" w:firstLine="0"/>
        <w:jc w:val="both"/>
        <w:rPr>
          <w:rFonts w:ascii="Palatino Linotype" w:eastAsia="Palatino Linotype" w:hAnsi="Palatino Linotype" w:cs="Palatino Linotype"/>
        </w:rPr>
      </w:pPr>
      <w:r>
        <w:rPr>
          <w:rFonts w:ascii="Palatino Linotype" w:eastAsia="Palatino Linotype" w:hAnsi="Palatino Linotype" w:cs="Palatino Linotype"/>
          <w:color w:val="000000"/>
        </w:rPr>
        <w:t xml:space="preserve">Luego entonces se advierte con claridad, que no fueron impugnados el resto de rubros que </w:t>
      </w:r>
      <w:r>
        <w:rPr>
          <w:rFonts w:ascii="Palatino Linotype" w:eastAsia="Palatino Linotype" w:hAnsi="Palatino Linotype" w:cs="Palatino Linotype"/>
        </w:rPr>
        <w:t>integran</w:t>
      </w:r>
      <w:r>
        <w:rPr>
          <w:rFonts w:ascii="Palatino Linotype" w:eastAsia="Palatino Linotype" w:hAnsi="Palatino Linotype" w:cs="Palatino Linotype"/>
          <w:color w:val="000000"/>
        </w:rPr>
        <w:t xml:space="preserve"> la solicitud de información, </w:t>
      </w:r>
      <w:r>
        <w:rPr>
          <w:rFonts w:ascii="Palatino Linotype" w:eastAsia="Palatino Linotype" w:hAnsi="Palatino Linotype" w:cs="Palatino Linotype"/>
        </w:rPr>
        <w:t xml:space="preserve">de tal forma que, la parte de la solicitud que no fue impugnada debe declararse consentida, toda vez que al no realizar manifestaciones de inconformidad; no pueden producirse efectos jurídicos tendentes a revocar, confirmar o modificar el acto reclamado, ya que no realizó manifestación alguna al respecto. </w:t>
      </w:r>
    </w:p>
    <w:p w:rsidR="006B3940" w:rsidRDefault="006B3940" w:rsidP="006B3940">
      <w:pPr>
        <w:spacing w:line="360" w:lineRule="auto"/>
        <w:ind w:right="-697"/>
        <w:jc w:val="both"/>
        <w:rPr>
          <w:rFonts w:ascii="Palatino Linotype" w:eastAsia="Palatino Linotype" w:hAnsi="Palatino Linotype" w:cs="Palatino Linotype"/>
        </w:rPr>
      </w:pPr>
    </w:p>
    <w:p w:rsidR="00986325" w:rsidRDefault="008068B7">
      <w:pPr>
        <w:numPr>
          <w:ilvl w:val="0"/>
          <w:numId w:val="2"/>
        </w:numPr>
        <w:spacing w:line="360" w:lineRule="auto"/>
        <w:ind w:left="0" w:right="-697"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Sirve de sustento, la tesis jurisprudencial número VI.3o.C. J/60, publicada en el </w:t>
      </w:r>
      <w:r>
        <w:rPr>
          <w:rFonts w:ascii="Palatino Linotype" w:eastAsia="Palatino Linotype" w:hAnsi="Palatino Linotype" w:cs="Palatino Linotype"/>
          <w:color w:val="000000"/>
        </w:rPr>
        <w:t>Semanario</w:t>
      </w:r>
      <w:r>
        <w:rPr>
          <w:rFonts w:ascii="Palatino Linotype" w:eastAsia="Palatino Linotype" w:hAnsi="Palatino Linotype" w:cs="Palatino Linotype"/>
        </w:rPr>
        <w:t xml:space="preserve"> Judicial de la Federación y su Gaceta bajo el número de registro 176,608 que a la letra dice:</w:t>
      </w:r>
    </w:p>
    <w:p w:rsidR="00986325" w:rsidRDefault="008068B7">
      <w:pPr>
        <w:tabs>
          <w:tab w:val="left" w:pos="851"/>
        </w:tabs>
        <w:spacing w:line="360" w:lineRule="auto"/>
        <w:ind w:left="851" w:right="-697"/>
        <w:jc w:val="both"/>
        <w:rPr>
          <w:rFonts w:ascii="Palatino Linotype" w:eastAsia="Palatino Linotype" w:hAnsi="Palatino Linotype" w:cs="Palatino Linotype"/>
          <w:i/>
          <w:iCs/>
        </w:rPr>
      </w:pPr>
      <w:r>
        <w:rPr>
          <w:rFonts w:ascii="Palatino Linotype" w:eastAsia="Palatino Linotype" w:hAnsi="Palatino Linotype" w:cs="Palatino Linotype"/>
          <w:b/>
          <w:bCs/>
          <w:i/>
          <w:iCs/>
        </w:rPr>
        <w:t xml:space="preserve">“ACTOS CONSENTIDOS. SON LOS QUE NO SE IMPUGNAN MEDIANTE EL RECURSO IDÓNEO. </w:t>
      </w:r>
      <w:r>
        <w:rPr>
          <w:rFonts w:ascii="Palatino Linotype" w:eastAsia="Palatino Linotype" w:hAnsi="Palatino Linotype" w:cs="Palatino Linotype"/>
          <w:i/>
          <w:iCs/>
        </w:rPr>
        <w:t xml:space="preserve">Debe reputarse como consentido el acto que no se impugnó por el medio establecido por la ley, ya que si se hizo uso de otro no previsto por ella o si se hace una simple manifestación de inconformidad, tales actuaciones no producen efectos jurídicos </w:t>
      </w:r>
      <w:r>
        <w:rPr>
          <w:rFonts w:ascii="Palatino Linotype" w:eastAsia="Palatino Linotype" w:hAnsi="Palatino Linotype" w:cs="Palatino Linotype"/>
          <w:i/>
          <w:iCs/>
        </w:rPr>
        <w:lastRenderedPageBreak/>
        <w:t>tendientes a revocar, confirmar o modificar el acto reclamado en amparo, lo que significa consentimiento del mismo por falta de impugnación eficaz.”</w:t>
      </w:r>
    </w:p>
    <w:p w:rsidR="00986325" w:rsidRDefault="00986325">
      <w:pPr>
        <w:tabs>
          <w:tab w:val="left" w:pos="851"/>
        </w:tabs>
        <w:spacing w:line="360" w:lineRule="auto"/>
        <w:ind w:left="851" w:right="-697"/>
        <w:jc w:val="both"/>
        <w:rPr>
          <w:rFonts w:ascii="Palatino Linotype" w:eastAsia="Palatino Linotype" w:hAnsi="Palatino Linotype" w:cs="Palatino Linotype"/>
          <w:i/>
          <w:iCs/>
        </w:rPr>
      </w:pPr>
    </w:p>
    <w:p w:rsidR="00986325" w:rsidRDefault="008068B7">
      <w:pPr>
        <w:numPr>
          <w:ilvl w:val="0"/>
          <w:numId w:val="2"/>
        </w:numPr>
        <w:spacing w:line="360" w:lineRule="auto"/>
        <w:ind w:left="0" w:right="-697"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De la interpretación del Criterio antes citado, se advierte que cuando el particular impugnó la respuesta del </w:t>
      </w:r>
      <w:r>
        <w:rPr>
          <w:rFonts w:ascii="Palatino Linotype" w:eastAsia="Palatino Linotype" w:hAnsi="Palatino Linotype" w:cs="Palatino Linotype"/>
          <w:b/>
          <w:bCs/>
        </w:rPr>
        <w:t>SUJETO OBLIGADO</w:t>
      </w:r>
      <w:r>
        <w:rPr>
          <w:rFonts w:ascii="Palatino Linotype" w:eastAsia="Palatino Linotype" w:hAnsi="Palatino Linotype" w:cs="Palatino Linotype"/>
        </w:rPr>
        <w:t xml:space="preserve">, no expresó razón o motivo de inconformidad en contra de todos los rubros solicitados, estos deben declararse atendidos, pues se entiende que </w:t>
      </w:r>
      <w:r>
        <w:rPr>
          <w:rFonts w:ascii="Palatino Linotype" w:eastAsia="Palatino Linotype" w:hAnsi="Palatino Linotype" w:cs="Palatino Linotype"/>
          <w:b/>
          <w:bCs/>
        </w:rPr>
        <w:t>EL RECURRENTE</w:t>
      </w:r>
      <w:r>
        <w:rPr>
          <w:rFonts w:ascii="Palatino Linotype" w:eastAsia="Palatino Linotype" w:hAnsi="Palatino Linotype" w:cs="Palatino Linotype"/>
        </w:rPr>
        <w:t xml:space="preserve"> está conforme con la respuesta proporcionada por </w:t>
      </w:r>
      <w:r>
        <w:rPr>
          <w:rFonts w:ascii="Palatino Linotype" w:eastAsia="Palatino Linotype" w:hAnsi="Palatino Linotype" w:cs="Palatino Linotype"/>
          <w:b/>
          <w:bCs/>
        </w:rPr>
        <w:t>EL SUJETO OBLIGADO,</w:t>
      </w:r>
      <w:r>
        <w:rPr>
          <w:rFonts w:ascii="Palatino Linotype" w:eastAsia="Palatino Linotype" w:hAnsi="Palatino Linotype" w:cs="Palatino Linotype"/>
        </w:rPr>
        <w:t xml:space="preserve"> al no contravenir la misma. </w:t>
      </w:r>
    </w:p>
    <w:p w:rsidR="00986325" w:rsidRDefault="00986325">
      <w:pPr>
        <w:spacing w:line="360" w:lineRule="auto"/>
        <w:ind w:right="-697"/>
        <w:jc w:val="both"/>
        <w:rPr>
          <w:rFonts w:ascii="Palatino Linotype" w:eastAsia="Palatino Linotype" w:hAnsi="Palatino Linotype" w:cs="Palatino Linotype"/>
        </w:rPr>
      </w:pPr>
    </w:p>
    <w:p w:rsidR="00986325" w:rsidRDefault="008068B7">
      <w:pPr>
        <w:numPr>
          <w:ilvl w:val="0"/>
          <w:numId w:val="2"/>
        </w:numPr>
        <w:spacing w:line="360" w:lineRule="auto"/>
        <w:ind w:left="0" w:right="-697" w:firstLine="0"/>
        <w:jc w:val="both"/>
        <w:rPr>
          <w:rFonts w:ascii="Palatino Linotype" w:eastAsia="Palatino Linotype" w:hAnsi="Palatino Linotype" w:cs="Palatino Linotype"/>
        </w:rPr>
      </w:pPr>
      <w:r>
        <w:rPr>
          <w:rFonts w:ascii="Palatino Linotype" w:eastAsia="Palatino Linotype" w:hAnsi="Palatino Linotype" w:cs="Palatino Linotype"/>
        </w:rPr>
        <w:t>Atento a ello, es importante traer a contexto la Tesis Jurisprudencial Número 3ª./J.7/91, Publicada en el Semanario Judicial de la Federación y su Gaceta bajo el número de registro 174,177, que establece lo siguiente:</w:t>
      </w:r>
    </w:p>
    <w:p w:rsidR="00986325" w:rsidRDefault="008068B7">
      <w:pPr>
        <w:tabs>
          <w:tab w:val="left" w:pos="7937"/>
          <w:tab w:val="left" w:pos="8222"/>
        </w:tabs>
        <w:spacing w:line="360" w:lineRule="auto"/>
        <w:ind w:left="851" w:right="-697"/>
        <w:jc w:val="both"/>
        <w:rPr>
          <w:rFonts w:ascii="Palatino Linotype" w:eastAsia="Palatino Linotype" w:hAnsi="Palatino Linotype" w:cs="Palatino Linotype"/>
          <w:i/>
          <w:iCs/>
        </w:rPr>
      </w:pPr>
      <w:r>
        <w:rPr>
          <w:rFonts w:ascii="Palatino Linotype" w:eastAsia="Palatino Linotype" w:hAnsi="Palatino Linotype" w:cs="Palatino Linotype"/>
          <w:b/>
          <w:bCs/>
          <w:i/>
          <w:iCs/>
        </w:rPr>
        <w:t xml:space="preserve">“REVISIÓN EN AMPARO. LOS RESOLUTIVOS NO COMBATIDOS DEBEN DECLARARSE FIRMES. </w:t>
      </w:r>
      <w:r>
        <w:rPr>
          <w:rFonts w:ascii="Palatino Linotype" w:eastAsia="Palatino Linotype" w:hAnsi="Palatino Linotype" w:cs="Palatino Linotype"/>
          <w:i/>
          <w:iCs/>
        </w:rPr>
        <w:t>Cuando algún resolutivo de la sentencia impugnada afecta a la recurrente, y ésta no expresa agravio en contra de las consideraciones que le sirven de base, dicho resolutivo debe declararse firme. Esto es, en el caso referido, no obstante que la materia de la revisión comprende a todos los resolutivos que afectan a la recurrente, deben declararse firmes aquéllos en contra de los cuales no se formuló agravio y dicha declaración de firmeza debe reflejarse en la parte considerativa y en los resolutivos debe confirmarse la sentencia recurrida en la parte correspondiente.”</w:t>
      </w:r>
    </w:p>
    <w:p w:rsidR="00986325" w:rsidRDefault="00986325">
      <w:pPr>
        <w:tabs>
          <w:tab w:val="left" w:pos="7937"/>
          <w:tab w:val="left" w:pos="8222"/>
        </w:tabs>
        <w:spacing w:line="360" w:lineRule="auto"/>
        <w:ind w:left="851" w:right="-697"/>
        <w:jc w:val="both"/>
        <w:rPr>
          <w:rFonts w:ascii="Palatino Linotype" w:eastAsia="Palatino Linotype" w:hAnsi="Palatino Linotype" w:cs="Palatino Linotype"/>
          <w:i/>
          <w:iCs/>
        </w:rPr>
      </w:pPr>
    </w:p>
    <w:p w:rsidR="00986325" w:rsidRDefault="008068B7">
      <w:pPr>
        <w:numPr>
          <w:ilvl w:val="0"/>
          <w:numId w:val="2"/>
        </w:numPr>
        <w:spacing w:line="360" w:lineRule="auto"/>
        <w:ind w:left="0" w:right="-697"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En consecuencia que los demás fundamentos remitidos en respuesta. Se consideran un acto consentido y, en consecuencia, este Órgano Resolutor no entrará al estudio de los rubros no impugnados por las razones hasta aquí expuestas. </w:t>
      </w:r>
    </w:p>
    <w:p w:rsidR="00986325" w:rsidRDefault="00986325">
      <w:pPr>
        <w:spacing w:line="360" w:lineRule="auto"/>
        <w:ind w:right="-697"/>
        <w:jc w:val="both"/>
        <w:rPr>
          <w:rFonts w:ascii="Palatino Linotype" w:eastAsia="Palatino Linotype" w:hAnsi="Palatino Linotype" w:cs="Palatino Linotype"/>
        </w:rPr>
      </w:pPr>
    </w:p>
    <w:p w:rsidR="00986325" w:rsidRDefault="008068B7">
      <w:pPr>
        <w:numPr>
          <w:ilvl w:val="0"/>
          <w:numId w:val="2"/>
        </w:numPr>
        <w:spacing w:line="360" w:lineRule="auto"/>
        <w:ind w:left="0" w:right="-69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Determinado lo anterior, </w:t>
      </w:r>
      <w:r>
        <w:rPr>
          <w:rFonts w:ascii="Palatino Linotype" w:eastAsia="Palatino Linotype" w:hAnsi="Palatino Linotype" w:cs="Palatino Linotype"/>
        </w:rPr>
        <w:t>respecto</w:t>
      </w:r>
      <w:r>
        <w:rPr>
          <w:rFonts w:ascii="Palatino Linotype" w:eastAsia="Palatino Linotype" w:hAnsi="Palatino Linotype" w:cs="Palatino Linotype"/>
          <w:color w:val="000000"/>
        </w:rPr>
        <w:t xml:space="preserve"> del rubro impugnado, y que como ya se ha hecho mención, corresponde a lo siguiente: “</w:t>
      </w:r>
      <w:r>
        <w:rPr>
          <w:rFonts w:ascii="Palatino Linotype" w:eastAsia="Palatino Linotype" w:hAnsi="Palatino Linotype" w:cs="Palatino Linotype"/>
          <w:i/>
          <w:iCs/>
          <w:color w:val="000000"/>
        </w:rPr>
        <w:t xml:space="preserve">se me entregue de manera total y completa la información solicitada respecto de la obra pública que realiza en el campo de futbol de la Comunidad de la Concepción Xochicuautla, denominada por la propia autoridad en la foja 07 como “Continuación de construcción de muro de contención en campo de futbol 2da Etapa” </w:t>
      </w:r>
      <w:r>
        <w:rPr>
          <w:rFonts w:ascii="Palatino Linotype" w:eastAsia="Palatino Linotype" w:hAnsi="Palatino Linotype" w:cs="Palatino Linotype"/>
          <w:color w:val="000000"/>
        </w:rPr>
        <w:t>cuya respuesta literal, es la siguiente:</w:t>
      </w:r>
    </w:p>
    <w:p w:rsidR="00986325" w:rsidRDefault="008068B7">
      <w:pPr>
        <w:pBdr>
          <w:top w:val="nil"/>
          <w:left w:val="nil"/>
          <w:bottom w:val="nil"/>
          <w:right w:val="nil"/>
          <w:between w:val="nil"/>
        </w:pBdr>
        <w:tabs>
          <w:tab w:val="left" w:pos="0"/>
        </w:tabs>
        <w:spacing w:line="360" w:lineRule="auto"/>
        <w:ind w:right="-697"/>
        <w:jc w:val="both"/>
        <w:rPr>
          <w:rFonts w:ascii="Palatino Linotype" w:eastAsia="Palatino Linotype" w:hAnsi="Palatino Linotype" w:cs="Palatino Linotype"/>
          <w:color w:val="000000"/>
        </w:rPr>
      </w:pPr>
      <w:r>
        <w:rPr>
          <w:rFonts w:ascii="Palatino Linotype" w:eastAsia="Palatino Linotype" w:hAnsi="Palatino Linotype" w:cs="Palatino Linotype"/>
          <w:noProof/>
          <w:color w:val="000000"/>
          <w:lang w:val="es-MX"/>
        </w:rPr>
        <w:drawing>
          <wp:inline distT="0" distB="0" distL="0" distR="0">
            <wp:extent cx="5671185" cy="2513965"/>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5671185" cy="2513965"/>
                    </a:xfrm>
                    <a:prstGeom prst="rect">
                      <a:avLst/>
                    </a:prstGeom>
                    <a:ln/>
                  </pic:spPr>
                </pic:pic>
              </a:graphicData>
            </a:graphic>
          </wp:inline>
        </w:drawing>
      </w:r>
    </w:p>
    <w:p w:rsidR="00986325" w:rsidRDefault="00986325">
      <w:pPr>
        <w:pBdr>
          <w:top w:val="nil"/>
          <w:left w:val="nil"/>
          <w:bottom w:val="nil"/>
          <w:right w:val="nil"/>
          <w:between w:val="nil"/>
        </w:pBdr>
        <w:tabs>
          <w:tab w:val="left" w:pos="0"/>
        </w:tabs>
        <w:spacing w:line="360" w:lineRule="auto"/>
        <w:ind w:right="-697"/>
        <w:jc w:val="both"/>
        <w:rPr>
          <w:rFonts w:ascii="Palatino Linotype" w:eastAsia="Palatino Linotype" w:hAnsi="Palatino Linotype" w:cs="Palatino Linotype"/>
          <w:color w:val="000000"/>
        </w:rPr>
      </w:pPr>
    </w:p>
    <w:p w:rsidR="00986325" w:rsidRDefault="008068B7">
      <w:pPr>
        <w:numPr>
          <w:ilvl w:val="0"/>
          <w:numId w:val="2"/>
        </w:numPr>
        <w:spacing w:line="360" w:lineRule="auto"/>
        <w:ind w:left="0" w:right="-69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Al respecto, lo inicialmente solicitado relacionado con el Campo de </w:t>
      </w:r>
      <w:r>
        <w:rPr>
          <w:rFonts w:ascii="Palatino Linotype" w:eastAsia="Palatino Linotype" w:hAnsi="Palatino Linotype" w:cs="Palatino Linotype"/>
        </w:rPr>
        <w:t>Fútbol</w:t>
      </w:r>
      <w:r>
        <w:rPr>
          <w:rFonts w:ascii="Palatino Linotype" w:eastAsia="Palatino Linotype" w:hAnsi="Palatino Linotype" w:cs="Palatino Linotype"/>
          <w:color w:val="000000"/>
        </w:rPr>
        <w:t xml:space="preserve"> de la Comunidad de la Concepción Xochicuautla, fue lo siguiente:</w:t>
      </w:r>
    </w:p>
    <w:p w:rsidR="00986325" w:rsidRDefault="008068B7">
      <w:pPr>
        <w:numPr>
          <w:ilvl w:val="0"/>
          <w:numId w:val="1"/>
        </w:numPr>
        <w:pBdr>
          <w:top w:val="nil"/>
          <w:left w:val="nil"/>
          <w:bottom w:val="nil"/>
          <w:right w:val="nil"/>
          <w:between w:val="nil"/>
        </w:pBdr>
        <w:ind w:left="714" w:right="-697" w:hanging="357"/>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Informe la naturaleza de la obra que actualmente en el año 2025 se está construyendo en el campo de futbol de la Comunidad de la Concepción Xochicuautla, Lerma, Estado de México.</w:t>
      </w:r>
    </w:p>
    <w:p w:rsidR="00986325" w:rsidRDefault="00986325">
      <w:pPr>
        <w:pBdr>
          <w:top w:val="nil"/>
          <w:left w:val="nil"/>
          <w:bottom w:val="nil"/>
          <w:right w:val="nil"/>
          <w:between w:val="nil"/>
        </w:pBdr>
        <w:ind w:left="714" w:right="-697"/>
        <w:jc w:val="both"/>
        <w:rPr>
          <w:rFonts w:ascii="Palatino Linotype" w:eastAsia="Palatino Linotype" w:hAnsi="Palatino Linotype" w:cs="Palatino Linotype"/>
          <w:i/>
          <w:iCs/>
          <w:color w:val="000000"/>
        </w:rPr>
      </w:pPr>
    </w:p>
    <w:p w:rsidR="00986325" w:rsidRDefault="008068B7">
      <w:pPr>
        <w:numPr>
          <w:ilvl w:val="0"/>
          <w:numId w:val="1"/>
        </w:numPr>
        <w:pBdr>
          <w:top w:val="nil"/>
          <w:left w:val="nil"/>
          <w:bottom w:val="nil"/>
          <w:right w:val="nil"/>
          <w:between w:val="nil"/>
        </w:pBdr>
        <w:ind w:left="714" w:right="-697" w:hanging="357"/>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Informe si el proyecto total de la obra que actualmente se está construyendo en el campo de futbol de la Comunidad de la Concepción Xochicuautla, Lerma, Estado de México, está planeada realizarse en diversas fases o etapas, indicando en su caso el número total de estas.</w:t>
      </w:r>
    </w:p>
    <w:p w:rsidR="00986325" w:rsidRDefault="00986325">
      <w:pPr>
        <w:pBdr>
          <w:top w:val="nil"/>
          <w:left w:val="nil"/>
          <w:bottom w:val="nil"/>
          <w:right w:val="nil"/>
          <w:between w:val="nil"/>
        </w:pBdr>
        <w:ind w:left="720" w:right="-697"/>
        <w:rPr>
          <w:rFonts w:ascii="Palatino Linotype" w:eastAsia="Palatino Linotype" w:hAnsi="Palatino Linotype" w:cs="Palatino Linotype"/>
          <w:i/>
          <w:iCs/>
          <w:color w:val="000000"/>
        </w:rPr>
      </w:pPr>
    </w:p>
    <w:p w:rsidR="00986325" w:rsidRDefault="008068B7">
      <w:pPr>
        <w:numPr>
          <w:ilvl w:val="0"/>
          <w:numId w:val="1"/>
        </w:numPr>
        <w:pBdr>
          <w:top w:val="nil"/>
          <w:left w:val="nil"/>
          <w:bottom w:val="nil"/>
          <w:right w:val="nil"/>
          <w:between w:val="nil"/>
        </w:pBdr>
        <w:ind w:left="714" w:right="-697" w:hanging="357"/>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lastRenderedPageBreak/>
        <w:t>Derivado de lo anterior, describa de manera clara los tiempos programados y así como el presupuesto otorgado para la ejecución de cada fase o etapa que integra el proyecto total de la obra que actualmente en el año 2025 se está construyendo en el campo de futbol de la Comunidad de la Concepción Xochicuautla, Lerma, Estado de México.</w:t>
      </w:r>
    </w:p>
    <w:p w:rsidR="00986325" w:rsidRDefault="008068B7">
      <w:pPr>
        <w:numPr>
          <w:ilvl w:val="0"/>
          <w:numId w:val="1"/>
        </w:numPr>
        <w:pBdr>
          <w:top w:val="nil"/>
          <w:left w:val="nil"/>
          <w:bottom w:val="nil"/>
          <w:right w:val="nil"/>
          <w:between w:val="nil"/>
        </w:pBdr>
        <w:ind w:left="714" w:right="-697" w:hanging="357"/>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Derivado de lo anterior, informe que fases o etapas que integra el proyecto total de la obra que actualmente en el año 2025 se está construyendo en el campo de futbol de la Comunidad de la Concepción Xochicuautla, Lerma, Estado de México, ya concluyeron, cuales se encuentran desarrollándose, e informe cuales faltan y están pendientes por realizarse. </w:t>
      </w:r>
    </w:p>
    <w:p w:rsidR="00986325" w:rsidRDefault="00986325">
      <w:pPr>
        <w:pBdr>
          <w:top w:val="nil"/>
          <w:left w:val="nil"/>
          <w:bottom w:val="nil"/>
          <w:right w:val="nil"/>
          <w:between w:val="nil"/>
        </w:pBdr>
        <w:ind w:left="714" w:right="-697"/>
        <w:jc w:val="both"/>
        <w:rPr>
          <w:rFonts w:ascii="Palatino Linotype" w:eastAsia="Palatino Linotype" w:hAnsi="Palatino Linotype" w:cs="Palatino Linotype"/>
          <w:i/>
          <w:iCs/>
          <w:color w:val="000000"/>
        </w:rPr>
      </w:pPr>
    </w:p>
    <w:p w:rsidR="00986325" w:rsidRDefault="008068B7">
      <w:pPr>
        <w:numPr>
          <w:ilvl w:val="0"/>
          <w:numId w:val="1"/>
        </w:numPr>
        <w:pBdr>
          <w:top w:val="nil"/>
          <w:left w:val="nil"/>
          <w:bottom w:val="nil"/>
          <w:right w:val="nil"/>
          <w:between w:val="nil"/>
        </w:pBdr>
        <w:ind w:left="714" w:right="-697" w:hanging="357"/>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Informe si la obra que actualmente en el año 2025 se está construyendo en el campo de futbol de la Comunidad de la Concepción Xochicuautla, Lerma, Estado de México, se está realizando de forma directa por trabajadores del gobierno municipal o se contrató a una empresa o terceras personas para su ejecución, proporcionando en su caso copia fiel e inalterable del original de los contratos o cualquier tipo de documentos de donde se desprenda tal situación.</w:t>
      </w:r>
    </w:p>
    <w:p w:rsidR="00986325" w:rsidRDefault="00986325">
      <w:pPr>
        <w:pBdr>
          <w:top w:val="nil"/>
          <w:left w:val="nil"/>
          <w:bottom w:val="nil"/>
          <w:right w:val="nil"/>
          <w:between w:val="nil"/>
        </w:pBdr>
        <w:ind w:left="720" w:right="-697"/>
        <w:rPr>
          <w:rFonts w:ascii="Palatino Linotype" w:eastAsia="Palatino Linotype" w:hAnsi="Palatino Linotype" w:cs="Palatino Linotype"/>
          <w:i/>
          <w:iCs/>
          <w:color w:val="000000"/>
        </w:rPr>
      </w:pPr>
    </w:p>
    <w:p w:rsidR="00986325" w:rsidRDefault="008068B7">
      <w:pPr>
        <w:numPr>
          <w:ilvl w:val="0"/>
          <w:numId w:val="1"/>
        </w:numPr>
        <w:pBdr>
          <w:top w:val="nil"/>
          <w:left w:val="nil"/>
          <w:bottom w:val="nil"/>
          <w:right w:val="nil"/>
          <w:between w:val="nil"/>
        </w:pBdr>
        <w:ind w:left="714" w:right="-697" w:hanging="357"/>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Derivado de lo anterior, informe de manera clara y precisa el presupuesto destinado en cada una de sus fases etapas, para la construcción de la obra que actualmente en el año 2025 se está realizando en el campo de futbol de la Comunidad de la Concepción Xochicuautla, Lerma, Estado de México. </w:t>
      </w:r>
    </w:p>
    <w:p w:rsidR="00986325" w:rsidRDefault="00986325">
      <w:pPr>
        <w:pBdr>
          <w:top w:val="nil"/>
          <w:left w:val="nil"/>
          <w:bottom w:val="nil"/>
          <w:right w:val="nil"/>
          <w:between w:val="nil"/>
        </w:pBdr>
        <w:ind w:left="720" w:right="-697"/>
        <w:rPr>
          <w:rFonts w:ascii="Palatino Linotype" w:eastAsia="Palatino Linotype" w:hAnsi="Palatino Linotype" w:cs="Palatino Linotype"/>
          <w:i/>
          <w:iCs/>
          <w:color w:val="000000"/>
        </w:rPr>
      </w:pPr>
    </w:p>
    <w:p w:rsidR="00986325" w:rsidRDefault="008068B7">
      <w:pPr>
        <w:numPr>
          <w:ilvl w:val="0"/>
          <w:numId w:val="1"/>
        </w:numPr>
        <w:pBdr>
          <w:top w:val="nil"/>
          <w:left w:val="nil"/>
          <w:bottom w:val="nil"/>
          <w:right w:val="nil"/>
          <w:between w:val="nil"/>
        </w:pBdr>
        <w:ind w:left="714" w:right="-697" w:hanging="357"/>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Derivado de lo anterior, informe de manera clara y precisa las autoridades del Gobierno Municipal de Lerma, Estado de México que han intervenido en la planeación, orden, instrucción y ejecución de la obra (en cada una de sus fases o etapas) que actualmente en el año 2025 se está realizando en el campo de futbol de la Comunidad de la Concepción Xochicuautla.</w:t>
      </w:r>
    </w:p>
    <w:p w:rsidR="00986325" w:rsidRDefault="00986325">
      <w:pPr>
        <w:pBdr>
          <w:top w:val="nil"/>
          <w:left w:val="nil"/>
          <w:bottom w:val="nil"/>
          <w:right w:val="nil"/>
          <w:between w:val="nil"/>
        </w:pBdr>
        <w:ind w:left="720" w:right="-697"/>
        <w:rPr>
          <w:rFonts w:ascii="Palatino Linotype" w:eastAsia="Palatino Linotype" w:hAnsi="Palatino Linotype" w:cs="Palatino Linotype"/>
          <w:i/>
          <w:iCs/>
          <w:color w:val="000000"/>
        </w:rPr>
      </w:pPr>
    </w:p>
    <w:p w:rsidR="00986325" w:rsidRDefault="008068B7">
      <w:pPr>
        <w:numPr>
          <w:ilvl w:val="0"/>
          <w:numId w:val="1"/>
        </w:numPr>
        <w:pBdr>
          <w:top w:val="nil"/>
          <w:left w:val="nil"/>
          <w:bottom w:val="nil"/>
          <w:right w:val="nil"/>
          <w:between w:val="nil"/>
        </w:pBdr>
        <w:ind w:left="714" w:right="-697" w:hanging="357"/>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Derivado de lo anterior, proporcione copia fiel e inalterable de planos, proyectos, planes de desarrollo, dictámenes técnicos, estudios de campos, levantamientos topográficos, dictámenes de aprobación de cumplimiento de normatividad firmados por las personas responsables o cualquier tipo de documento de los que se desprendan los señalamientos técnicos contemplados para la ejecución de la obra que actualmente en el año 2025 se está realizando en el campo de futbol de la Comunidad de la Concepción Xochicuautla.</w:t>
      </w:r>
    </w:p>
    <w:p w:rsidR="00986325" w:rsidRDefault="00986325">
      <w:pPr>
        <w:pBdr>
          <w:top w:val="nil"/>
          <w:left w:val="nil"/>
          <w:bottom w:val="nil"/>
          <w:right w:val="nil"/>
          <w:between w:val="nil"/>
        </w:pBdr>
        <w:ind w:left="720" w:right="-697"/>
        <w:rPr>
          <w:rFonts w:ascii="Palatino Linotype" w:eastAsia="Palatino Linotype" w:hAnsi="Palatino Linotype" w:cs="Palatino Linotype"/>
          <w:i/>
          <w:iCs/>
          <w:color w:val="000000"/>
        </w:rPr>
      </w:pPr>
    </w:p>
    <w:p w:rsidR="00986325" w:rsidRDefault="008068B7">
      <w:pPr>
        <w:numPr>
          <w:ilvl w:val="0"/>
          <w:numId w:val="1"/>
        </w:numPr>
        <w:pBdr>
          <w:top w:val="nil"/>
          <w:left w:val="nil"/>
          <w:bottom w:val="nil"/>
          <w:right w:val="nil"/>
          <w:between w:val="nil"/>
        </w:pBdr>
        <w:ind w:left="714" w:right="-697" w:hanging="357"/>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lastRenderedPageBreak/>
        <w:t>Informe los tiempos de inicio y conclusión programados para la ejecución (de cada fase o etapa) de la obra que se está realizando actualmente en el año 2025, en el campo de futbol de la comunidad de la Concepción Xochicuautla.</w:t>
      </w:r>
    </w:p>
    <w:p w:rsidR="00986325" w:rsidRDefault="00986325">
      <w:pPr>
        <w:pBdr>
          <w:top w:val="nil"/>
          <w:left w:val="nil"/>
          <w:bottom w:val="nil"/>
          <w:right w:val="nil"/>
          <w:between w:val="nil"/>
        </w:pBdr>
        <w:ind w:left="720" w:right="-697"/>
        <w:jc w:val="both"/>
        <w:rPr>
          <w:rFonts w:ascii="Palatino Linotype" w:eastAsia="Palatino Linotype" w:hAnsi="Palatino Linotype" w:cs="Palatino Linotype"/>
          <w:i/>
          <w:iCs/>
        </w:rPr>
      </w:pPr>
    </w:p>
    <w:p w:rsidR="00986325" w:rsidRDefault="00986325">
      <w:pPr>
        <w:pBdr>
          <w:top w:val="nil"/>
          <w:left w:val="nil"/>
          <w:bottom w:val="nil"/>
          <w:right w:val="nil"/>
          <w:between w:val="nil"/>
        </w:pBdr>
        <w:ind w:left="720" w:right="-697"/>
        <w:jc w:val="both"/>
        <w:rPr>
          <w:rFonts w:ascii="Palatino Linotype" w:eastAsia="Palatino Linotype" w:hAnsi="Palatino Linotype" w:cs="Palatino Linotype"/>
          <w:i/>
          <w:iCs/>
        </w:rPr>
      </w:pPr>
    </w:p>
    <w:p w:rsidR="00986325" w:rsidRDefault="008068B7">
      <w:pPr>
        <w:numPr>
          <w:ilvl w:val="0"/>
          <w:numId w:val="2"/>
        </w:numPr>
        <w:spacing w:line="360" w:lineRule="auto"/>
        <w:ind w:left="0" w:right="-69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Expuesto lo anterior, se desprenden diversos puntos importantes, el primero, que, con su respuesta, el </w:t>
      </w:r>
      <w:r>
        <w:rPr>
          <w:rFonts w:ascii="Palatino Linotype" w:eastAsia="Palatino Linotype" w:hAnsi="Palatino Linotype" w:cs="Palatino Linotype"/>
          <w:b/>
          <w:bCs/>
          <w:color w:val="000000"/>
        </w:rPr>
        <w:t>SUJETO OBLIGADO</w:t>
      </w:r>
      <w:r>
        <w:rPr>
          <w:rFonts w:ascii="Palatino Linotype" w:eastAsia="Palatino Linotype" w:hAnsi="Palatino Linotype" w:cs="Palatino Linotype"/>
          <w:color w:val="000000"/>
        </w:rPr>
        <w:t xml:space="preserve"> asume de manera expresa la existencia de la obra pública referida por el particular; tan es así que pretende clasificar la entrega de información relacionada por estar en </w:t>
      </w:r>
      <w:r>
        <w:rPr>
          <w:rFonts w:ascii="Palatino Linotype" w:eastAsia="Palatino Linotype" w:hAnsi="Palatino Linotype" w:cs="Palatino Linotype"/>
        </w:rPr>
        <w:t>trámite</w:t>
      </w:r>
      <w:r>
        <w:rPr>
          <w:rFonts w:ascii="Palatino Linotype" w:eastAsia="Palatino Linotype" w:hAnsi="Palatino Linotype" w:cs="Palatino Linotype"/>
          <w:color w:val="000000"/>
        </w:rPr>
        <w:t xml:space="preserve"> un juicio de amparo indirecto; luego entonces se omite un análisis pormenorizado de la fuente obligacional del Ayuntamiento para concluir si se genera, posee o administra la información, en razón de ya haber sido asumida. </w:t>
      </w:r>
    </w:p>
    <w:p w:rsidR="00986325" w:rsidRDefault="00986325">
      <w:pPr>
        <w:spacing w:line="360" w:lineRule="auto"/>
        <w:ind w:right="-697"/>
        <w:jc w:val="both"/>
        <w:rPr>
          <w:rFonts w:ascii="Palatino Linotype" w:eastAsia="Palatino Linotype" w:hAnsi="Palatino Linotype" w:cs="Palatino Linotype"/>
          <w:color w:val="000000"/>
        </w:rPr>
      </w:pPr>
    </w:p>
    <w:p w:rsidR="00986325" w:rsidRDefault="008068B7">
      <w:pPr>
        <w:numPr>
          <w:ilvl w:val="0"/>
          <w:numId w:val="2"/>
        </w:numPr>
        <w:spacing w:line="360" w:lineRule="auto"/>
        <w:ind w:left="0" w:right="-69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Por otro lado, mencionar que dicha la obra ya iniciada o ejecutada, no está denominada </w:t>
      </w:r>
      <w:r>
        <w:rPr>
          <w:rFonts w:ascii="Palatino Linotype" w:eastAsia="Palatino Linotype" w:hAnsi="Palatino Linotype" w:cs="Palatino Linotype"/>
          <w:i/>
          <w:iCs/>
          <w:color w:val="000000"/>
        </w:rPr>
        <w:t>“Continuación de construcción de muro de contención en campo de futbol 2da Etapa”,</w:t>
      </w:r>
      <w:r>
        <w:rPr>
          <w:rFonts w:ascii="Palatino Linotype" w:eastAsia="Palatino Linotype" w:hAnsi="Palatino Linotype" w:cs="Palatino Linotype"/>
          <w:color w:val="000000"/>
        </w:rPr>
        <w:t xml:space="preserve"> como lo refiere el solicitante, ya que dicha obra pública fue hecha del conocimiento del </w:t>
      </w:r>
      <w:r>
        <w:rPr>
          <w:rFonts w:ascii="Palatino Linotype" w:eastAsia="Palatino Linotype" w:hAnsi="Palatino Linotype" w:cs="Palatino Linotype"/>
          <w:b/>
          <w:bCs/>
          <w:color w:val="000000"/>
        </w:rPr>
        <w:t xml:space="preserve">RECURRENTE, </w:t>
      </w:r>
      <w:r>
        <w:rPr>
          <w:rFonts w:ascii="Palatino Linotype" w:eastAsia="Palatino Linotype" w:hAnsi="Palatino Linotype" w:cs="Palatino Linotype"/>
          <w:color w:val="000000"/>
        </w:rPr>
        <w:t>en relación al rubro de “</w:t>
      </w:r>
      <w:r>
        <w:rPr>
          <w:rFonts w:ascii="Palatino Linotype" w:eastAsia="Palatino Linotype" w:hAnsi="Palatino Linotype" w:cs="Palatino Linotype"/>
          <w:i/>
          <w:iCs/>
          <w:color w:val="000000"/>
        </w:rPr>
        <w:t>obras públicas planeadas”.</w:t>
      </w:r>
    </w:p>
    <w:p w:rsidR="00986325" w:rsidRDefault="00986325">
      <w:pPr>
        <w:spacing w:line="360" w:lineRule="auto"/>
        <w:ind w:right="-697"/>
        <w:jc w:val="both"/>
        <w:rPr>
          <w:rFonts w:ascii="Palatino Linotype" w:eastAsia="Palatino Linotype" w:hAnsi="Palatino Linotype" w:cs="Palatino Linotype"/>
          <w:color w:val="000000"/>
        </w:rPr>
      </w:pPr>
    </w:p>
    <w:p w:rsidR="00986325" w:rsidRDefault="008068B7">
      <w:pPr>
        <w:numPr>
          <w:ilvl w:val="0"/>
          <w:numId w:val="2"/>
        </w:numPr>
        <w:spacing w:line="360" w:lineRule="auto"/>
        <w:ind w:left="0" w:right="-69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 Otro aspecto a destacar, de los requerimientos, corresponde a las pretensiones del ahora </w:t>
      </w:r>
      <w:r>
        <w:rPr>
          <w:rFonts w:ascii="Palatino Linotype" w:eastAsia="Palatino Linotype" w:hAnsi="Palatino Linotype" w:cs="Palatino Linotype"/>
          <w:b/>
          <w:bCs/>
          <w:color w:val="000000"/>
        </w:rPr>
        <w:t>RECURRENTE</w:t>
      </w:r>
      <w:r>
        <w:rPr>
          <w:rFonts w:ascii="Palatino Linotype" w:eastAsia="Palatino Linotype" w:hAnsi="Palatino Linotype" w:cs="Palatino Linotype"/>
          <w:color w:val="000000"/>
        </w:rPr>
        <w:t xml:space="preserve">, quien aspira a que se le informe y se le describa. Contextos que resultan improcedentes para el ejercicio del acceso a la información, que corresponde aquel derecho que versa sobre documentos generados, poseídos o administrados en ejercicio de sus funciones de derecho público previo a una solicitud de información sin la necesidad de generar documentos </w:t>
      </w:r>
      <w:r>
        <w:rPr>
          <w:rFonts w:ascii="Palatino Linotype" w:eastAsia="Palatino Linotype" w:hAnsi="Palatino Linotype" w:cs="Palatino Linotype"/>
          <w:i/>
          <w:iCs/>
          <w:color w:val="000000"/>
        </w:rPr>
        <w:t>ad hoc</w:t>
      </w:r>
      <w:r>
        <w:rPr>
          <w:rFonts w:ascii="Palatino Linotype" w:eastAsia="Palatino Linotype" w:hAnsi="Palatino Linotype" w:cs="Palatino Linotype"/>
          <w:color w:val="000000"/>
        </w:rPr>
        <w:t xml:space="preserve"> conforme a los intereses particulares del solicitante.</w:t>
      </w:r>
    </w:p>
    <w:p w:rsidR="00986325" w:rsidRDefault="00986325">
      <w:pPr>
        <w:pBdr>
          <w:top w:val="nil"/>
          <w:left w:val="nil"/>
          <w:bottom w:val="nil"/>
          <w:right w:val="nil"/>
          <w:between w:val="nil"/>
        </w:pBdr>
        <w:ind w:left="720" w:right="-697"/>
        <w:rPr>
          <w:rFonts w:ascii="Palatino Linotype" w:eastAsia="Palatino Linotype" w:hAnsi="Palatino Linotype" w:cs="Palatino Linotype"/>
          <w:color w:val="000000"/>
        </w:rPr>
      </w:pPr>
    </w:p>
    <w:p w:rsidR="00986325" w:rsidRDefault="008068B7">
      <w:pPr>
        <w:numPr>
          <w:ilvl w:val="0"/>
          <w:numId w:val="2"/>
        </w:numPr>
        <w:spacing w:line="360" w:lineRule="auto"/>
        <w:ind w:left="0" w:right="-697" w:firstLine="0"/>
        <w:jc w:val="both"/>
        <w:rPr>
          <w:rFonts w:ascii="Palatino Linotype" w:eastAsia="Palatino Linotype" w:hAnsi="Palatino Linotype" w:cs="Palatino Linotype"/>
          <w:color w:val="000000"/>
        </w:rPr>
      </w:pPr>
      <w:r>
        <w:rPr>
          <w:rFonts w:ascii="Palatino Linotype" w:eastAsia="Palatino Linotype" w:hAnsi="Palatino Linotype" w:cs="Palatino Linotype"/>
        </w:rPr>
        <w:lastRenderedPageBreak/>
        <w:t xml:space="preserve">Como apoyo a lo anterior, es aplicable por analogía el </w:t>
      </w:r>
      <w:r>
        <w:rPr>
          <w:rFonts w:ascii="Palatino Linotype" w:eastAsia="Palatino Linotype" w:hAnsi="Palatino Linotype" w:cs="Palatino Linotype"/>
          <w:b/>
          <w:bCs/>
        </w:rPr>
        <w:t>Criterio 03/17</w:t>
      </w:r>
      <w:r>
        <w:rPr>
          <w:rFonts w:ascii="Palatino Linotype" w:eastAsia="Palatino Linotype" w:hAnsi="Palatino Linotype" w:cs="Palatino Linotype"/>
        </w:rPr>
        <w:t>, emitido por el Pleno del Instituto Nacional de Transparencia, Acceso a la Información y Protección de Datos Personales (INAI), que a la letra dice:</w:t>
      </w:r>
    </w:p>
    <w:p w:rsidR="00986325" w:rsidRDefault="008068B7">
      <w:pPr>
        <w:pBdr>
          <w:top w:val="nil"/>
          <w:left w:val="nil"/>
          <w:bottom w:val="nil"/>
          <w:right w:val="nil"/>
          <w:between w:val="nil"/>
        </w:pBdr>
        <w:ind w:left="567" w:right="-697"/>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t xml:space="preserve">“No existe obligación de elaborar documentos ad hoc para atender las solicitudes de acceso a la información. </w:t>
      </w:r>
      <w:r>
        <w:rPr>
          <w:rFonts w:ascii="Palatino Linotype" w:eastAsia="Palatino Linotype" w:hAnsi="Palatino Linotype" w:cs="Palatino Linotype"/>
          <w:i/>
          <w:iCs/>
          <w:color w:val="000000"/>
        </w:rPr>
        <w:t>Los artículos 129 de la Ley General de Transparencia y Acceso a la Información Pública y 130, párrafo cuarto, de la Ley Federal de Transparencia y Acceso a la Información Pública, señalan que los sujetos obligados deberán otorgar acceso a los documentos que se encuentren en sus archivos o que estén obligados a documentar, de acuerdo con sus facultades, competencias o funciones, conforme a las características físicas de la información o del lugar donde se encuentre. Por lo anterior, los sujetos obligados deben garantizar el derecho de acceso a la información del particular, proporcionando la información con la que cuentan en el formato en que la misma obre en sus archivos; sin necesidad de elaborar documentos ad hoc para atender las solicitudes de información.</w:t>
      </w:r>
    </w:p>
    <w:p w:rsidR="00986325" w:rsidRDefault="00986325">
      <w:pPr>
        <w:pBdr>
          <w:top w:val="nil"/>
          <w:left w:val="nil"/>
          <w:bottom w:val="nil"/>
          <w:right w:val="nil"/>
          <w:between w:val="nil"/>
        </w:pBdr>
        <w:ind w:left="567" w:right="-697"/>
        <w:jc w:val="both"/>
        <w:rPr>
          <w:rFonts w:ascii="Palatino Linotype" w:eastAsia="Palatino Linotype" w:hAnsi="Palatino Linotype" w:cs="Palatino Linotype"/>
          <w:i/>
          <w:iCs/>
          <w:color w:val="000000"/>
        </w:rPr>
      </w:pPr>
    </w:p>
    <w:p w:rsidR="00986325" w:rsidRDefault="008068B7">
      <w:pPr>
        <w:numPr>
          <w:ilvl w:val="0"/>
          <w:numId w:val="2"/>
        </w:numPr>
        <w:spacing w:line="360" w:lineRule="auto"/>
        <w:ind w:left="0" w:right="-697"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Por su parte, el artículo 12, de la Ley de la materia establece que los Sujetos Obligados sólo proporcionarán la información que generen, recopilen, administren, manejen, procesen, archiven o conserven, y sólo facilitarán las que se les requiera y obre en sus archivos, en el estado en el que se encuentre, sin la obligación de generarla, resumir, efectuar cálculos o practicar investigaciones; tal y como se señala a continuación: </w:t>
      </w:r>
    </w:p>
    <w:p w:rsidR="00986325" w:rsidRDefault="008068B7">
      <w:pPr>
        <w:pBdr>
          <w:top w:val="nil"/>
          <w:left w:val="nil"/>
          <w:bottom w:val="nil"/>
          <w:right w:val="nil"/>
          <w:between w:val="nil"/>
        </w:pBdr>
        <w:ind w:left="505" w:right="-697"/>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w:t>
      </w:r>
      <w:r>
        <w:rPr>
          <w:rFonts w:ascii="Palatino Linotype" w:eastAsia="Palatino Linotype" w:hAnsi="Palatino Linotype" w:cs="Palatino Linotype"/>
          <w:b/>
          <w:bCs/>
          <w:i/>
          <w:iCs/>
          <w:color w:val="000000"/>
        </w:rPr>
        <w:t>Artículo 12.</w:t>
      </w:r>
      <w:r>
        <w:rPr>
          <w:rFonts w:ascii="Palatino Linotype" w:eastAsia="Palatino Linotype" w:hAnsi="Palatino Linotype" w:cs="Palatino Linotype"/>
          <w:i/>
          <w:iCs/>
          <w:color w:val="000000"/>
        </w:rPr>
        <w:t xml:space="preserve"> Quienes generen, recopilen, administren, manejen, procesen, archiven o conserven información pública serán responsables de la misma en los términos de las disposiciones jurídicas aplicables. </w:t>
      </w:r>
    </w:p>
    <w:p w:rsidR="00986325" w:rsidRDefault="00986325">
      <w:pPr>
        <w:pBdr>
          <w:top w:val="nil"/>
          <w:left w:val="nil"/>
          <w:bottom w:val="nil"/>
          <w:right w:val="nil"/>
          <w:between w:val="nil"/>
        </w:pBdr>
        <w:ind w:left="505" w:right="-697"/>
        <w:jc w:val="both"/>
        <w:rPr>
          <w:rFonts w:ascii="Palatino Linotype" w:eastAsia="Palatino Linotype" w:hAnsi="Palatino Linotype" w:cs="Palatino Linotype"/>
          <w:i/>
          <w:iCs/>
          <w:color w:val="000000"/>
          <w:sz w:val="2"/>
          <w:szCs w:val="2"/>
        </w:rPr>
      </w:pPr>
    </w:p>
    <w:p w:rsidR="00986325" w:rsidRDefault="00986325">
      <w:pPr>
        <w:pBdr>
          <w:top w:val="nil"/>
          <w:left w:val="nil"/>
          <w:bottom w:val="nil"/>
          <w:right w:val="nil"/>
          <w:between w:val="nil"/>
        </w:pBdr>
        <w:ind w:left="505" w:right="-697"/>
        <w:jc w:val="both"/>
        <w:rPr>
          <w:rFonts w:ascii="Palatino Linotype" w:eastAsia="Palatino Linotype" w:hAnsi="Palatino Linotype" w:cs="Palatino Linotype"/>
          <w:b/>
          <w:bCs/>
          <w:i/>
          <w:iCs/>
          <w:color w:val="000000"/>
          <w:u w:val="single"/>
        </w:rPr>
      </w:pPr>
    </w:p>
    <w:p w:rsidR="00986325" w:rsidRDefault="008068B7">
      <w:pPr>
        <w:pBdr>
          <w:top w:val="nil"/>
          <w:left w:val="nil"/>
          <w:bottom w:val="nil"/>
          <w:right w:val="nil"/>
          <w:between w:val="nil"/>
        </w:pBdr>
        <w:ind w:left="505" w:right="-697"/>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u w:val="single"/>
        </w:rPr>
        <w:t>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w:t>
      </w:r>
      <w:r>
        <w:rPr>
          <w:rFonts w:ascii="Palatino Linotype" w:eastAsia="Palatino Linotype" w:hAnsi="Palatino Linotype" w:cs="Palatino Linotype"/>
          <w:i/>
          <w:iCs/>
          <w:color w:val="000000"/>
        </w:rPr>
        <w:t>”</w:t>
      </w:r>
    </w:p>
    <w:p w:rsidR="00986325" w:rsidRDefault="008068B7">
      <w:pPr>
        <w:pBdr>
          <w:top w:val="nil"/>
          <w:left w:val="nil"/>
          <w:bottom w:val="nil"/>
          <w:right w:val="nil"/>
          <w:between w:val="nil"/>
        </w:pBdr>
        <w:spacing w:line="360" w:lineRule="auto"/>
        <w:ind w:left="505" w:right="-697"/>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Énfasis añadido</w:t>
      </w:r>
    </w:p>
    <w:p w:rsidR="00986325" w:rsidRDefault="00986325">
      <w:pPr>
        <w:pBdr>
          <w:top w:val="nil"/>
          <w:left w:val="nil"/>
          <w:bottom w:val="nil"/>
          <w:right w:val="nil"/>
          <w:between w:val="nil"/>
        </w:pBdr>
        <w:spacing w:line="360" w:lineRule="auto"/>
        <w:ind w:left="505" w:right="-697"/>
        <w:jc w:val="both"/>
        <w:rPr>
          <w:rFonts w:ascii="Palatino Linotype" w:eastAsia="Palatino Linotype" w:hAnsi="Palatino Linotype" w:cs="Palatino Linotype"/>
          <w:color w:val="000000"/>
        </w:rPr>
      </w:pPr>
    </w:p>
    <w:p w:rsidR="00986325" w:rsidRDefault="008068B7">
      <w:pPr>
        <w:numPr>
          <w:ilvl w:val="0"/>
          <w:numId w:val="2"/>
        </w:numPr>
        <w:spacing w:line="360" w:lineRule="auto"/>
        <w:ind w:left="0" w:right="-69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lastRenderedPageBreak/>
        <w:t xml:space="preserve">En </w:t>
      </w:r>
      <w:r>
        <w:rPr>
          <w:rFonts w:ascii="Palatino Linotype" w:eastAsia="Palatino Linotype" w:hAnsi="Palatino Linotype" w:cs="Palatino Linotype"/>
        </w:rPr>
        <w:t>síntesis</w:t>
      </w:r>
      <w:r>
        <w:rPr>
          <w:rFonts w:ascii="Palatino Linotype" w:eastAsia="Palatino Linotype" w:hAnsi="Palatino Linotype" w:cs="Palatino Linotype"/>
          <w:color w:val="000000"/>
        </w:rPr>
        <w:t xml:space="preserve">, el derecho de acceso a la información pública se satisface en aquellos casos en </w:t>
      </w:r>
      <w:r>
        <w:rPr>
          <w:rFonts w:ascii="Palatino Linotype" w:eastAsia="Palatino Linotype" w:hAnsi="Palatino Linotype" w:cs="Palatino Linotype"/>
        </w:rPr>
        <w:t>que</w:t>
      </w:r>
      <w:r>
        <w:rPr>
          <w:rFonts w:ascii="Palatino Linotype" w:eastAsia="Palatino Linotype" w:hAnsi="Palatino Linotype" w:cs="Palatino Linotype"/>
          <w:color w:val="000000"/>
        </w:rPr>
        <w:t xml:space="preserve"> </w:t>
      </w:r>
      <w:r>
        <w:rPr>
          <w:rFonts w:ascii="Palatino Linotype" w:eastAsia="Palatino Linotype" w:hAnsi="Palatino Linotype" w:cs="Palatino Linotype"/>
        </w:rPr>
        <w:t>se</w:t>
      </w:r>
      <w:r>
        <w:rPr>
          <w:rFonts w:ascii="Palatino Linotype" w:eastAsia="Palatino Linotype" w:hAnsi="Palatino Linotype" w:cs="Palatino Linotype"/>
          <w:color w:val="000000"/>
        </w:rPr>
        <w:t xml:space="preserve"> entregue el soporte documental en que conste la información pública. Asimismo, el artículo 24, de la Ley de la materia, dispone que los sujetos obligados sólo proporcionarán la información pública que </w:t>
      </w:r>
      <w:r>
        <w:rPr>
          <w:rFonts w:ascii="Palatino Linotype" w:eastAsia="Palatino Linotype" w:hAnsi="Palatino Linotype" w:cs="Palatino Linotype"/>
        </w:rPr>
        <w:t>generen</w:t>
      </w:r>
      <w:r>
        <w:rPr>
          <w:rFonts w:ascii="Palatino Linotype" w:eastAsia="Palatino Linotype" w:hAnsi="Palatino Linotype" w:cs="Palatino Linotype"/>
          <w:color w:val="000000"/>
        </w:rPr>
        <w:t>, administren o posean en el ejercicio de sus atribuciones; por consiguiente, la información pública se encuentra a disposición de cualquier persona, lo que implica que es deber de los Sujetos Obligados, garantizar el derecho de acceso a la información pública.</w:t>
      </w:r>
    </w:p>
    <w:p w:rsidR="00986325" w:rsidRDefault="00986325">
      <w:pPr>
        <w:spacing w:line="360" w:lineRule="auto"/>
        <w:ind w:right="-697"/>
        <w:jc w:val="both"/>
        <w:rPr>
          <w:rFonts w:ascii="Palatino Linotype" w:eastAsia="Palatino Linotype" w:hAnsi="Palatino Linotype" w:cs="Palatino Linotype"/>
          <w:color w:val="000000"/>
        </w:rPr>
      </w:pPr>
    </w:p>
    <w:p w:rsidR="00986325" w:rsidRDefault="008068B7">
      <w:pPr>
        <w:numPr>
          <w:ilvl w:val="0"/>
          <w:numId w:val="2"/>
        </w:numPr>
        <w:spacing w:line="360" w:lineRule="auto"/>
        <w:ind w:left="0" w:right="-69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No obstante, si bien es cierto que no es procedente exigir al </w:t>
      </w:r>
      <w:r>
        <w:rPr>
          <w:rFonts w:ascii="Palatino Linotype" w:eastAsia="Palatino Linotype" w:hAnsi="Palatino Linotype" w:cs="Palatino Linotype"/>
          <w:b/>
          <w:bCs/>
          <w:color w:val="000000"/>
        </w:rPr>
        <w:t>SUJETO OBLIGADO</w:t>
      </w:r>
      <w:r>
        <w:rPr>
          <w:rFonts w:ascii="Palatino Linotype" w:eastAsia="Palatino Linotype" w:hAnsi="Palatino Linotype" w:cs="Palatino Linotype"/>
          <w:color w:val="000000"/>
        </w:rPr>
        <w:t xml:space="preserve"> a que informe, explique o describa; también lo es que existen expresiones documentales que pueden colmar sus interrogantes. Por tanto es procedente analizar la naturaleza de la ejecución de obras públicas por parte de autoridades municipales. </w:t>
      </w:r>
    </w:p>
    <w:p w:rsidR="00986325" w:rsidRDefault="00986325">
      <w:pPr>
        <w:pBdr>
          <w:top w:val="nil"/>
          <w:left w:val="nil"/>
          <w:bottom w:val="nil"/>
          <w:right w:val="nil"/>
          <w:between w:val="nil"/>
        </w:pBdr>
        <w:ind w:left="720" w:right="-697"/>
        <w:rPr>
          <w:rFonts w:ascii="Palatino Linotype" w:eastAsia="Palatino Linotype" w:hAnsi="Palatino Linotype" w:cs="Palatino Linotype"/>
          <w:color w:val="000000"/>
        </w:rPr>
      </w:pPr>
    </w:p>
    <w:p w:rsidR="00986325" w:rsidRDefault="008068B7">
      <w:pPr>
        <w:numPr>
          <w:ilvl w:val="0"/>
          <w:numId w:val="2"/>
        </w:numPr>
        <w:spacing w:line="360" w:lineRule="auto"/>
        <w:ind w:left="0" w:right="-69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Primeramente, trayendo a colación lo dispuesto en la Ley de la Contratación Pública del Estado de México y Municipios, la cual tiene por objeto regular los actos relativos a la planeación, programación, presupuestación, ejecución y control de la adquisición, enajenación y arrendamiento de bienes, y la contratación de servicios de cualquier naturaleza, que realicen los Ayuntamientos del Estado; los cuales se </w:t>
      </w:r>
      <w:r>
        <w:rPr>
          <w:rFonts w:ascii="Palatino Linotype" w:eastAsia="Palatino Linotype" w:hAnsi="Palatino Linotype" w:cs="Palatino Linotype"/>
        </w:rPr>
        <w:t>adjudicarán</w:t>
      </w:r>
      <w:r>
        <w:rPr>
          <w:rFonts w:ascii="Palatino Linotype" w:eastAsia="Palatino Linotype" w:hAnsi="Palatino Linotype" w:cs="Palatino Linotype"/>
          <w:color w:val="000000"/>
        </w:rPr>
        <w:t xml:space="preserve"> a través de </w:t>
      </w:r>
      <w:r>
        <w:rPr>
          <w:rFonts w:ascii="Palatino Linotype" w:eastAsia="Palatino Linotype" w:hAnsi="Palatino Linotype" w:cs="Palatino Linotype"/>
          <w:color w:val="000000"/>
          <w:u w:val="single"/>
        </w:rPr>
        <w:t>licitaciones públicas</w:t>
      </w:r>
      <w:r>
        <w:rPr>
          <w:rFonts w:ascii="Palatino Linotype" w:eastAsia="Palatino Linotype" w:hAnsi="Palatino Linotype" w:cs="Palatino Linotype"/>
          <w:color w:val="000000"/>
        </w:rPr>
        <w:t>, i</w:t>
      </w:r>
      <w:r>
        <w:rPr>
          <w:rFonts w:ascii="Palatino Linotype" w:eastAsia="Palatino Linotype" w:hAnsi="Palatino Linotype" w:cs="Palatino Linotype"/>
          <w:color w:val="000000"/>
          <w:u w:val="single"/>
        </w:rPr>
        <w:t>nvitación restringida o adjudicación directa,</w:t>
      </w:r>
      <w:r>
        <w:rPr>
          <w:rFonts w:ascii="Palatino Linotype" w:eastAsia="Palatino Linotype" w:hAnsi="Palatino Linotype" w:cs="Palatino Linotype"/>
          <w:color w:val="000000"/>
        </w:rPr>
        <w:t xml:space="preserve"> mediante convocatoria pública, tal y como lo establecen los artículos 4, 26 y 27 de dicha Ley, los cuales son del tenor siguiente:</w:t>
      </w:r>
    </w:p>
    <w:p w:rsidR="00986325" w:rsidRDefault="008068B7">
      <w:pPr>
        <w:spacing w:line="360" w:lineRule="auto"/>
        <w:ind w:left="851" w:right="-697"/>
        <w:jc w:val="both"/>
        <w:rPr>
          <w:rFonts w:ascii="Palatino Linotype" w:eastAsia="Palatino Linotype" w:hAnsi="Palatino Linotype" w:cs="Palatino Linotype"/>
          <w:i/>
          <w:iCs/>
        </w:rPr>
      </w:pPr>
      <w:r>
        <w:rPr>
          <w:rFonts w:ascii="Palatino Linotype" w:eastAsia="Palatino Linotype" w:hAnsi="Palatino Linotype" w:cs="Palatino Linotype"/>
          <w:i/>
          <w:iCs/>
        </w:rPr>
        <w:t>“</w:t>
      </w:r>
      <w:r>
        <w:rPr>
          <w:rFonts w:ascii="Palatino Linotype" w:eastAsia="Palatino Linotype" w:hAnsi="Palatino Linotype" w:cs="Palatino Linotype"/>
          <w:b/>
          <w:bCs/>
          <w:i/>
          <w:iCs/>
        </w:rPr>
        <w:t>Artículo 4.-</w:t>
      </w:r>
      <w:r>
        <w:rPr>
          <w:rFonts w:ascii="Palatino Linotype" w:eastAsia="Palatino Linotype" w:hAnsi="Palatino Linotype" w:cs="Palatino Linotype"/>
          <w:i/>
          <w:iCs/>
        </w:rPr>
        <w:t xml:space="preserve"> Para los efectos de esta Ley, en las adquisiciones, enajenaciones, arrendamientos y servicios, quedan comprendidos: </w:t>
      </w:r>
    </w:p>
    <w:p w:rsidR="00986325" w:rsidRDefault="008068B7">
      <w:pPr>
        <w:spacing w:line="360" w:lineRule="auto"/>
        <w:ind w:left="851" w:right="-697"/>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I. La adquisición de bienes muebles. </w:t>
      </w:r>
    </w:p>
    <w:p w:rsidR="00986325" w:rsidRDefault="008068B7">
      <w:pPr>
        <w:spacing w:line="360" w:lineRule="auto"/>
        <w:ind w:left="851" w:right="-697"/>
        <w:jc w:val="both"/>
        <w:rPr>
          <w:rFonts w:ascii="Palatino Linotype" w:eastAsia="Palatino Linotype" w:hAnsi="Palatino Linotype" w:cs="Palatino Linotype"/>
          <w:i/>
          <w:iCs/>
        </w:rPr>
      </w:pPr>
      <w:r>
        <w:rPr>
          <w:rFonts w:ascii="Palatino Linotype" w:eastAsia="Palatino Linotype" w:hAnsi="Palatino Linotype" w:cs="Palatino Linotype"/>
          <w:i/>
          <w:iCs/>
        </w:rPr>
        <w:lastRenderedPageBreak/>
        <w:t xml:space="preserve">II. La adquisición de bienes inmuebles, a través de compraventa. </w:t>
      </w:r>
    </w:p>
    <w:p w:rsidR="00986325" w:rsidRDefault="008068B7">
      <w:pPr>
        <w:spacing w:line="360" w:lineRule="auto"/>
        <w:ind w:left="851" w:right="-697"/>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III. La enajenación de bienes muebles e inmuebles. </w:t>
      </w:r>
    </w:p>
    <w:p w:rsidR="00986325" w:rsidRDefault="008068B7">
      <w:pPr>
        <w:spacing w:line="360" w:lineRule="auto"/>
        <w:ind w:left="851" w:right="-697"/>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IV. El arrendamiento de bienes muebles e inmuebles. </w:t>
      </w:r>
    </w:p>
    <w:p w:rsidR="00986325" w:rsidRDefault="008068B7">
      <w:pPr>
        <w:spacing w:line="360" w:lineRule="auto"/>
        <w:ind w:left="851" w:right="-697"/>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V. La contratación de los servicios, relacionados con bienes muebles que se encuentran incorporados o adheridos a bienes inmuebles, cuya instalación o mantenimiento no implique modificación al bien inmueble. </w:t>
      </w:r>
    </w:p>
    <w:p w:rsidR="00986325" w:rsidRDefault="008068B7">
      <w:pPr>
        <w:spacing w:line="360" w:lineRule="auto"/>
        <w:ind w:left="851" w:right="-697"/>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VI. La contratación de los servicios de reconstrucción y mantenimiento de bienes muebles. </w:t>
      </w:r>
    </w:p>
    <w:p w:rsidR="00986325" w:rsidRDefault="008068B7">
      <w:pPr>
        <w:spacing w:line="360" w:lineRule="auto"/>
        <w:ind w:left="851" w:right="-697"/>
        <w:jc w:val="both"/>
        <w:rPr>
          <w:rFonts w:ascii="Palatino Linotype" w:eastAsia="Palatino Linotype" w:hAnsi="Palatino Linotype" w:cs="Palatino Linotype"/>
          <w:i/>
          <w:iCs/>
        </w:rPr>
      </w:pPr>
      <w:r>
        <w:rPr>
          <w:rFonts w:ascii="Palatino Linotype" w:eastAsia="Palatino Linotype" w:hAnsi="Palatino Linotype" w:cs="Palatino Linotype"/>
          <w:i/>
          <w:iCs/>
        </w:rPr>
        <w:t>VII. La contratación de los servicios de maquila, seguros y transportación, así como de los de limpieza y vigilancia de bienes inmuebles</w:t>
      </w:r>
    </w:p>
    <w:p w:rsidR="00986325" w:rsidRDefault="008068B7">
      <w:pPr>
        <w:spacing w:line="360" w:lineRule="auto"/>
        <w:ind w:left="851" w:right="-697"/>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VIII. La prestación de servicios profesionales, la contratación de consultorías, asesorías y estudios e investigaciones, excepto la contratación de servicios personales de personas físicas bajo el régimen de honorarios. </w:t>
      </w:r>
    </w:p>
    <w:p w:rsidR="00986325" w:rsidRDefault="008068B7">
      <w:pPr>
        <w:spacing w:line="360" w:lineRule="auto"/>
        <w:ind w:left="851" w:right="-697"/>
        <w:jc w:val="both"/>
        <w:rPr>
          <w:rFonts w:ascii="Palatino Linotype" w:eastAsia="Palatino Linotype" w:hAnsi="Palatino Linotype" w:cs="Palatino Linotype"/>
          <w:i/>
          <w:iCs/>
        </w:rPr>
      </w:pPr>
      <w:r>
        <w:rPr>
          <w:rFonts w:ascii="Palatino Linotype" w:eastAsia="Palatino Linotype" w:hAnsi="Palatino Linotype" w:cs="Palatino Linotype"/>
          <w:i/>
          <w:iCs/>
        </w:rPr>
        <w:t>En general, otros actos que impliquen la contratación de servicios de cualquier naturaleza.</w:t>
      </w:r>
    </w:p>
    <w:p w:rsidR="00986325" w:rsidRDefault="00986325">
      <w:pPr>
        <w:spacing w:line="360" w:lineRule="auto"/>
        <w:ind w:left="851" w:right="-697"/>
        <w:jc w:val="both"/>
        <w:rPr>
          <w:rFonts w:ascii="Palatino Linotype" w:eastAsia="Palatino Linotype" w:hAnsi="Palatino Linotype" w:cs="Palatino Linotype"/>
          <w:b/>
          <w:bCs/>
          <w:i/>
          <w:iCs/>
          <w:u w:val="single"/>
        </w:rPr>
      </w:pPr>
    </w:p>
    <w:p w:rsidR="00986325" w:rsidRDefault="008068B7">
      <w:pPr>
        <w:spacing w:line="360" w:lineRule="auto"/>
        <w:ind w:left="851" w:right="-697"/>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Artículo 26.- Las adquisiciones, arrendamientos y servicios se adjudicarán a través de licitaciones públicas, mediante convocatoria pública.</w:t>
      </w:r>
    </w:p>
    <w:p w:rsidR="00986325" w:rsidRDefault="00986325">
      <w:pPr>
        <w:spacing w:line="360" w:lineRule="auto"/>
        <w:ind w:left="851" w:right="-697"/>
        <w:jc w:val="both"/>
        <w:rPr>
          <w:rFonts w:ascii="Palatino Linotype" w:eastAsia="Palatino Linotype" w:hAnsi="Palatino Linotype" w:cs="Palatino Linotype"/>
          <w:b/>
          <w:bCs/>
          <w:i/>
          <w:iCs/>
        </w:rPr>
      </w:pPr>
    </w:p>
    <w:p w:rsidR="00986325" w:rsidRDefault="008068B7">
      <w:pPr>
        <w:spacing w:line="360" w:lineRule="auto"/>
        <w:ind w:left="851" w:right="-697"/>
        <w:jc w:val="both"/>
        <w:rPr>
          <w:rFonts w:ascii="Palatino Linotype" w:eastAsia="Palatino Linotype" w:hAnsi="Palatino Linotype" w:cs="Palatino Linotype"/>
          <w:i/>
          <w:iCs/>
        </w:rPr>
      </w:pPr>
      <w:r>
        <w:rPr>
          <w:rFonts w:ascii="Palatino Linotype" w:eastAsia="Palatino Linotype" w:hAnsi="Palatino Linotype" w:cs="Palatino Linotype"/>
          <w:b/>
          <w:bCs/>
          <w:i/>
          <w:iCs/>
        </w:rPr>
        <w:t xml:space="preserve">Artículo 27.- </w:t>
      </w:r>
      <w:r>
        <w:rPr>
          <w:rFonts w:ascii="Palatino Linotype" w:eastAsia="Palatino Linotype" w:hAnsi="Palatino Linotype" w:cs="Palatino Linotype"/>
          <w:i/>
          <w:iCs/>
        </w:rPr>
        <w:t xml:space="preserve">La Secretaría, las entidades, los tribunales administrativos y </w:t>
      </w:r>
      <w:r>
        <w:rPr>
          <w:rFonts w:ascii="Palatino Linotype" w:eastAsia="Palatino Linotype" w:hAnsi="Palatino Linotype" w:cs="Palatino Linotype"/>
          <w:b/>
          <w:bCs/>
          <w:i/>
          <w:iCs/>
        </w:rPr>
        <w:t>los ayuntamientos</w:t>
      </w:r>
      <w:r>
        <w:rPr>
          <w:rFonts w:ascii="Palatino Linotype" w:eastAsia="Palatino Linotype" w:hAnsi="Palatino Linotype" w:cs="Palatino Linotype"/>
          <w:i/>
          <w:iCs/>
        </w:rPr>
        <w:t xml:space="preserve"> podrán adjudicar adquisiciones, arrendamientos y servicios, mediante las excepciones al procedimiento de licitación que a continuación se señalan: </w:t>
      </w:r>
    </w:p>
    <w:p w:rsidR="00986325" w:rsidRDefault="008068B7">
      <w:pPr>
        <w:spacing w:line="360" w:lineRule="auto"/>
        <w:ind w:left="851" w:right="-697"/>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 xml:space="preserve">I. Invitación restringida. </w:t>
      </w:r>
    </w:p>
    <w:p w:rsidR="00986325" w:rsidRDefault="008068B7">
      <w:pPr>
        <w:spacing w:line="360" w:lineRule="auto"/>
        <w:ind w:left="851" w:right="-697"/>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II. Adjudicación directa.”</w:t>
      </w:r>
    </w:p>
    <w:p w:rsidR="00986325" w:rsidRDefault="008068B7">
      <w:pPr>
        <w:spacing w:line="360" w:lineRule="auto"/>
        <w:ind w:left="567" w:right="-697"/>
        <w:rPr>
          <w:rFonts w:ascii="Palatino Linotype" w:eastAsia="Palatino Linotype" w:hAnsi="Palatino Linotype" w:cs="Palatino Linotype"/>
        </w:rPr>
      </w:pPr>
      <w:r>
        <w:rPr>
          <w:rFonts w:ascii="Palatino Linotype" w:eastAsia="Palatino Linotype" w:hAnsi="Palatino Linotype" w:cs="Palatino Linotype"/>
        </w:rPr>
        <w:t xml:space="preserve">(Énfasis añadido) </w:t>
      </w:r>
    </w:p>
    <w:p w:rsidR="00986325" w:rsidRDefault="00986325">
      <w:pPr>
        <w:spacing w:line="360" w:lineRule="auto"/>
        <w:ind w:right="-697"/>
        <w:jc w:val="both"/>
        <w:rPr>
          <w:rFonts w:ascii="Palatino Linotype" w:eastAsia="Palatino Linotype" w:hAnsi="Palatino Linotype" w:cs="Palatino Linotype"/>
        </w:rPr>
      </w:pPr>
    </w:p>
    <w:p w:rsidR="00986325" w:rsidRDefault="008068B7">
      <w:pPr>
        <w:numPr>
          <w:ilvl w:val="0"/>
          <w:numId w:val="2"/>
        </w:numPr>
        <w:spacing w:line="360" w:lineRule="auto"/>
        <w:ind w:left="0" w:right="-69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lastRenderedPageBreak/>
        <w:t>Asimismo, en las licitaciones se debe seguir el procedimiento marcado en el artículo 35 del precitado ordenamiento, que literalmente establece:</w:t>
      </w:r>
    </w:p>
    <w:p w:rsidR="00986325" w:rsidRDefault="008068B7">
      <w:pPr>
        <w:spacing w:line="360" w:lineRule="auto"/>
        <w:ind w:left="567" w:right="-697"/>
        <w:jc w:val="both"/>
        <w:rPr>
          <w:rFonts w:ascii="Palatino Linotype" w:eastAsia="Palatino Linotype" w:hAnsi="Palatino Linotype" w:cs="Palatino Linotype"/>
          <w:i/>
          <w:iCs/>
        </w:rPr>
      </w:pPr>
      <w:r>
        <w:rPr>
          <w:rFonts w:ascii="Palatino Linotype" w:eastAsia="Palatino Linotype" w:hAnsi="Palatino Linotype" w:cs="Palatino Linotype"/>
          <w:b/>
          <w:bCs/>
          <w:i/>
          <w:iCs/>
        </w:rPr>
        <w:t>“Artículo 35</w:t>
      </w:r>
      <w:r>
        <w:rPr>
          <w:rFonts w:ascii="Palatino Linotype" w:eastAsia="Palatino Linotype" w:hAnsi="Palatino Linotype" w:cs="Palatino Linotype"/>
          <w:i/>
          <w:iCs/>
        </w:rPr>
        <w:t>.- En los procedimientos de licitación pública se observará lo siguiente:</w:t>
      </w:r>
    </w:p>
    <w:p w:rsidR="00986325" w:rsidRDefault="008068B7">
      <w:pPr>
        <w:spacing w:line="360" w:lineRule="auto"/>
        <w:ind w:left="567" w:right="-697"/>
        <w:jc w:val="both"/>
        <w:rPr>
          <w:rFonts w:ascii="Palatino Linotype" w:eastAsia="Palatino Linotype" w:hAnsi="Palatino Linotype" w:cs="Palatino Linotype"/>
          <w:i/>
          <w:iCs/>
        </w:rPr>
      </w:pPr>
      <w:r>
        <w:rPr>
          <w:rFonts w:ascii="Palatino Linotype" w:eastAsia="Palatino Linotype" w:hAnsi="Palatino Linotype" w:cs="Palatino Linotype"/>
          <w:i/>
          <w:iCs/>
        </w:rPr>
        <w:t>I. El acto de presentación y apertura de propuestas se llevará a cabo por el servidor público que designe la convocante, conforme al procedimiento que se establezca en el reglamento de esta Ley.</w:t>
      </w:r>
    </w:p>
    <w:p w:rsidR="00986325" w:rsidRDefault="008068B7">
      <w:pPr>
        <w:spacing w:line="360" w:lineRule="auto"/>
        <w:ind w:left="567" w:right="-697"/>
        <w:jc w:val="both"/>
        <w:rPr>
          <w:rFonts w:ascii="Palatino Linotype" w:eastAsia="Palatino Linotype" w:hAnsi="Palatino Linotype" w:cs="Palatino Linotype"/>
          <w:i/>
          <w:iCs/>
        </w:rPr>
      </w:pPr>
      <w:r>
        <w:rPr>
          <w:rFonts w:ascii="Palatino Linotype" w:eastAsia="Palatino Linotype" w:hAnsi="Palatino Linotype" w:cs="Palatino Linotype"/>
          <w:i/>
          <w:iCs/>
        </w:rPr>
        <w:t>II. El comité de adquisiciones y servicios evaluará y analizará las propuestas técnicas y económicas presentadas por los licitantes en el ámbito de las respectivas competencias de sus integrantes, y emitirá el dictamen de adjudicación.</w:t>
      </w:r>
    </w:p>
    <w:p w:rsidR="00986325" w:rsidRDefault="008068B7">
      <w:pPr>
        <w:spacing w:line="360" w:lineRule="auto"/>
        <w:ind w:left="567" w:right="-697"/>
        <w:jc w:val="both"/>
        <w:rPr>
          <w:rFonts w:ascii="Palatino Linotype" w:eastAsia="Palatino Linotype" w:hAnsi="Palatino Linotype" w:cs="Palatino Linotype"/>
          <w:i/>
          <w:iCs/>
          <w:u w:val="single"/>
        </w:rPr>
      </w:pPr>
      <w:r>
        <w:rPr>
          <w:rFonts w:ascii="Palatino Linotype" w:eastAsia="Palatino Linotype" w:hAnsi="Palatino Linotype" w:cs="Palatino Linotype"/>
          <w:i/>
          <w:iCs/>
          <w:u w:val="single"/>
        </w:rPr>
        <w:t xml:space="preserve">III. Las bases de licitación se pondrán a la venta a partir de la fecha de publicación de la convocatoria y hasta el día hábil anterior a la fecha de celebración </w:t>
      </w:r>
      <w:r>
        <w:rPr>
          <w:rFonts w:ascii="Palatino Linotype" w:eastAsia="Palatino Linotype" w:hAnsi="Palatino Linotype" w:cs="Palatino Linotype"/>
          <w:b/>
          <w:bCs/>
          <w:i/>
          <w:iCs/>
          <w:u w:val="single"/>
        </w:rPr>
        <w:t>de la junta de aclaraciones</w:t>
      </w:r>
      <w:r>
        <w:rPr>
          <w:rFonts w:ascii="Palatino Linotype" w:eastAsia="Palatino Linotype" w:hAnsi="Palatino Linotype" w:cs="Palatino Linotype"/>
          <w:i/>
          <w:iCs/>
          <w:u w:val="single"/>
        </w:rPr>
        <w:t xml:space="preserve"> o, en su defecto, del acto de presentación y apertura de propuestas.</w:t>
      </w:r>
    </w:p>
    <w:p w:rsidR="00986325" w:rsidRDefault="008068B7">
      <w:pPr>
        <w:spacing w:line="360" w:lineRule="auto"/>
        <w:ind w:left="567" w:right="-697"/>
        <w:jc w:val="both"/>
        <w:rPr>
          <w:rFonts w:ascii="Palatino Linotype" w:eastAsia="Palatino Linotype" w:hAnsi="Palatino Linotype" w:cs="Palatino Linotype"/>
          <w:i/>
          <w:iCs/>
        </w:rPr>
      </w:pPr>
      <w:r>
        <w:rPr>
          <w:rFonts w:ascii="Palatino Linotype" w:eastAsia="Palatino Linotype" w:hAnsi="Palatino Linotype" w:cs="Palatino Linotype"/>
          <w:i/>
          <w:iCs/>
        </w:rPr>
        <w:t>IV. Las convocantes podrán modificar los plazos y términos establecidos en la convocatoria o en las bases de licitación, hasta cinco días hábiles anteriores a la fecha de la celebración del acto de presentación y apertura de propuestas.</w:t>
      </w:r>
    </w:p>
    <w:p w:rsidR="00986325" w:rsidRDefault="008068B7">
      <w:pPr>
        <w:spacing w:line="360" w:lineRule="auto"/>
        <w:ind w:left="567" w:right="-697"/>
        <w:jc w:val="both"/>
        <w:rPr>
          <w:rFonts w:ascii="Palatino Linotype" w:eastAsia="Palatino Linotype" w:hAnsi="Palatino Linotype" w:cs="Palatino Linotype"/>
          <w:i/>
          <w:iCs/>
        </w:rPr>
      </w:pPr>
      <w:r>
        <w:rPr>
          <w:rFonts w:ascii="Palatino Linotype" w:eastAsia="Palatino Linotype" w:hAnsi="Palatino Linotype" w:cs="Palatino Linotype"/>
          <w:i/>
          <w:iCs/>
        </w:rPr>
        <w:t>V. Las modificaciones no podrán limitar el número de licitantes, sustituir o variar sustancialmente los bienes o servicios convocados originalmente, ni adicionar otros  distintos.</w:t>
      </w:r>
    </w:p>
    <w:p w:rsidR="00986325" w:rsidRDefault="008068B7">
      <w:pPr>
        <w:spacing w:line="360" w:lineRule="auto"/>
        <w:ind w:left="567" w:right="-697"/>
        <w:jc w:val="both"/>
        <w:rPr>
          <w:rFonts w:ascii="Palatino Linotype" w:eastAsia="Palatino Linotype" w:hAnsi="Palatino Linotype" w:cs="Palatino Linotype"/>
          <w:i/>
          <w:iCs/>
        </w:rPr>
      </w:pPr>
      <w:r>
        <w:rPr>
          <w:rFonts w:ascii="Palatino Linotype" w:eastAsia="Palatino Linotype" w:hAnsi="Palatino Linotype" w:cs="Palatino Linotype"/>
          <w:i/>
          <w:iCs/>
        </w:rPr>
        <w:t>VI. Las modificaciones a la convocatoria o a las bases se harán del conocimiento de los interesados hasta tres días hábiles antes de la fecha señalada para el acto de presentación y apertura de propuestas.</w:t>
      </w:r>
    </w:p>
    <w:p w:rsidR="00986325" w:rsidRDefault="008068B7">
      <w:pPr>
        <w:spacing w:line="360" w:lineRule="auto"/>
        <w:ind w:left="567" w:right="-697"/>
        <w:jc w:val="both"/>
        <w:rPr>
          <w:rFonts w:ascii="Palatino Linotype" w:eastAsia="Palatino Linotype" w:hAnsi="Palatino Linotype" w:cs="Palatino Linotype"/>
          <w:i/>
          <w:iCs/>
        </w:rPr>
      </w:pPr>
      <w:r>
        <w:rPr>
          <w:rFonts w:ascii="Palatino Linotype" w:eastAsia="Palatino Linotype" w:hAnsi="Palatino Linotype" w:cs="Palatino Linotype"/>
          <w:i/>
          <w:iCs/>
        </w:rPr>
        <w:t>VII. Se emitirá el fallo dentro de los 15 días hábiles siguientes a la publicación de la convocatoria.</w:t>
      </w:r>
    </w:p>
    <w:p w:rsidR="00986325" w:rsidRDefault="008068B7">
      <w:pPr>
        <w:spacing w:line="360" w:lineRule="auto"/>
        <w:ind w:left="567" w:right="-697"/>
        <w:jc w:val="both"/>
        <w:rPr>
          <w:rFonts w:ascii="Palatino Linotype" w:eastAsia="Palatino Linotype" w:hAnsi="Palatino Linotype" w:cs="Palatino Linotype"/>
          <w:i/>
          <w:iCs/>
        </w:rPr>
      </w:pPr>
      <w:r>
        <w:rPr>
          <w:rFonts w:ascii="Palatino Linotype" w:eastAsia="Palatino Linotype" w:hAnsi="Palatino Linotype" w:cs="Palatino Linotype"/>
          <w:i/>
          <w:iCs/>
        </w:rPr>
        <w:t>VIII. Los licitantes se podrán registrar hasta el día y la hora fijados para el acto de presentación y apertura de propuestas.</w:t>
      </w:r>
      <w:r>
        <w:rPr>
          <w:rFonts w:ascii="Palatino Linotype" w:eastAsia="Palatino Linotype" w:hAnsi="Palatino Linotype" w:cs="Palatino Linotype"/>
          <w:b/>
          <w:bCs/>
          <w:i/>
          <w:iCs/>
        </w:rPr>
        <w:t>”</w:t>
      </w:r>
    </w:p>
    <w:p w:rsidR="00986325" w:rsidRDefault="008068B7">
      <w:pPr>
        <w:spacing w:line="360" w:lineRule="auto"/>
        <w:ind w:left="567" w:right="-697"/>
        <w:rPr>
          <w:rFonts w:ascii="Palatino Linotype" w:eastAsia="Palatino Linotype" w:hAnsi="Palatino Linotype" w:cs="Palatino Linotype"/>
        </w:rPr>
      </w:pPr>
      <w:r>
        <w:rPr>
          <w:rFonts w:ascii="Palatino Linotype" w:eastAsia="Palatino Linotype" w:hAnsi="Palatino Linotype" w:cs="Palatino Linotype"/>
        </w:rPr>
        <w:t>(Énfasis añadido)</w:t>
      </w:r>
    </w:p>
    <w:p w:rsidR="00986325" w:rsidRDefault="008068B7">
      <w:pPr>
        <w:numPr>
          <w:ilvl w:val="0"/>
          <w:numId w:val="2"/>
        </w:numPr>
        <w:spacing w:line="360" w:lineRule="auto"/>
        <w:ind w:left="0" w:right="-69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lastRenderedPageBreak/>
        <w:t>Del precepto legal, se desprende que, los comités de adquisiciones y servicios, les corresponde evaluar y analizar las propuestas técnicas y económicas presentadas por los licitantes en el ámbito de las respectivas competencias de sus integrantes, debiendo emitir para ello un dictamen de adjudicación y conforme a dicho dictamen se deberá emitir el fallo dentro de los quince días hábiles siguientes a la publicación de la convocatoria.</w:t>
      </w:r>
    </w:p>
    <w:p w:rsidR="00986325" w:rsidRDefault="00986325">
      <w:pPr>
        <w:spacing w:line="360" w:lineRule="auto"/>
        <w:ind w:left="502" w:right="-697"/>
        <w:jc w:val="both"/>
        <w:rPr>
          <w:rFonts w:ascii="Palatino Linotype" w:eastAsia="Palatino Linotype" w:hAnsi="Palatino Linotype" w:cs="Palatino Linotype"/>
        </w:rPr>
      </w:pPr>
    </w:p>
    <w:p w:rsidR="00986325" w:rsidRDefault="008068B7">
      <w:pPr>
        <w:numPr>
          <w:ilvl w:val="0"/>
          <w:numId w:val="2"/>
        </w:numPr>
        <w:spacing w:line="360" w:lineRule="auto"/>
        <w:ind w:left="0" w:right="-69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Ahora bien, por cuanto hace a la invitación restringida el artículo 44 de la Ley de la Contratación Pública del Estado de México y Municipios, dispone que podrá realizarse cuando se hubiere declarado desierto un procedimiento de licitación o cuando el importe de la operación no exceda de los montos establecidos por el Presupuesto de Egresos del Gobierno del Estado de México del ejercicio correspondiente. </w:t>
      </w:r>
    </w:p>
    <w:p w:rsidR="00986325" w:rsidRDefault="00986325">
      <w:pPr>
        <w:spacing w:line="360" w:lineRule="auto"/>
        <w:ind w:right="-697"/>
        <w:jc w:val="both"/>
        <w:rPr>
          <w:rFonts w:ascii="Palatino Linotype" w:eastAsia="Palatino Linotype" w:hAnsi="Palatino Linotype" w:cs="Palatino Linotype"/>
          <w:color w:val="000000"/>
        </w:rPr>
      </w:pPr>
    </w:p>
    <w:p w:rsidR="00986325" w:rsidRDefault="008068B7">
      <w:pPr>
        <w:numPr>
          <w:ilvl w:val="0"/>
          <w:numId w:val="2"/>
        </w:numPr>
        <w:spacing w:line="360" w:lineRule="auto"/>
        <w:ind w:left="0" w:right="-69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En este sentido, debe decirse que los </w:t>
      </w:r>
      <w:r>
        <w:rPr>
          <w:rFonts w:ascii="Palatino Linotype" w:eastAsia="Palatino Linotype" w:hAnsi="Palatino Linotype" w:cs="Palatino Linotype"/>
          <w:b/>
          <w:bCs/>
          <w:color w:val="000000"/>
          <w:u w:val="single"/>
        </w:rPr>
        <w:t>expedientes de las adquisiciones, arrendamientos, enajenaciones y servicios</w:t>
      </w:r>
      <w:r>
        <w:rPr>
          <w:rFonts w:ascii="Palatino Linotype" w:eastAsia="Palatino Linotype" w:hAnsi="Palatino Linotype" w:cs="Palatino Linotype"/>
          <w:color w:val="000000"/>
        </w:rPr>
        <w:t>, se encuentra considerada como una de las obligaciones de transparencias comunes que los Sujetos Obligados tienen el deber de poner a disposición del público de manera permanente y actualizada de forma sencilla, precisa y entendible, en los respectivos medios electrónicos, de acuerdo con sus facultades, atribuciones, funciones u objeto social, según corresponda; esto conforme a lo establecido en el artículo 92 de la de la Ley de Transparencia y Acceso a la Información Pública del Estado de México y Municipios, en su fracción XXIX, dispone lo siguiente:</w:t>
      </w:r>
    </w:p>
    <w:p w:rsidR="00986325" w:rsidRDefault="008068B7">
      <w:pPr>
        <w:spacing w:line="360" w:lineRule="auto"/>
        <w:ind w:left="851" w:right="-697"/>
        <w:jc w:val="both"/>
        <w:rPr>
          <w:rFonts w:ascii="Palatino Linotype" w:eastAsia="Palatino Linotype" w:hAnsi="Palatino Linotype" w:cs="Palatino Linotype"/>
        </w:rPr>
      </w:pPr>
      <w:r>
        <w:rPr>
          <w:rFonts w:ascii="Palatino Linotype" w:eastAsia="Palatino Linotype" w:hAnsi="Palatino Linotype" w:cs="Palatino Linotype"/>
          <w:b/>
          <w:bCs/>
          <w:i/>
          <w:iCs/>
        </w:rPr>
        <w:t>“Artículo 92. </w:t>
      </w:r>
      <w:r>
        <w:rPr>
          <w:rFonts w:ascii="Palatino Linotype" w:eastAsia="Palatino Linotype" w:hAnsi="Palatino Linotype" w:cs="Palatino Linotype"/>
          <w:i/>
          <w:iCs/>
        </w:rPr>
        <w:t xml:space="preserve">Los sujetos obligados deberán poner a disposición del público de manera permanente y actualizada de forma sencilla, precisa y entendible, en los respectivos medios electrónicos, de acuerdo con sus facultades, atribuciones, funciones u objeto social, </w:t>
      </w:r>
      <w:r>
        <w:rPr>
          <w:rFonts w:ascii="Palatino Linotype" w:eastAsia="Palatino Linotype" w:hAnsi="Palatino Linotype" w:cs="Palatino Linotype"/>
          <w:i/>
          <w:iCs/>
        </w:rPr>
        <w:lastRenderedPageBreak/>
        <w:t>según corresponda, la información, por lo menos, de los temas, documentos y políticas que a continuación se señalan:</w:t>
      </w:r>
    </w:p>
    <w:p w:rsidR="00986325" w:rsidRDefault="008068B7">
      <w:pPr>
        <w:spacing w:line="360" w:lineRule="auto"/>
        <w:ind w:left="851" w:right="-697"/>
        <w:jc w:val="both"/>
        <w:rPr>
          <w:rFonts w:ascii="Palatino Linotype" w:eastAsia="Palatino Linotype" w:hAnsi="Palatino Linotype" w:cs="Palatino Linotype"/>
        </w:rPr>
      </w:pPr>
      <w:r>
        <w:rPr>
          <w:rFonts w:ascii="Palatino Linotype" w:eastAsia="Palatino Linotype" w:hAnsi="Palatino Linotype" w:cs="Palatino Linotype"/>
          <w:i/>
          <w:iCs/>
        </w:rPr>
        <w:t>(…)</w:t>
      </w:r>
    </w:p>
    <w:p w:rsidR="00986325" w:rsidRDefault="00986325">
      <w:pPr>
        <w:spacing w:line="360" w:lineRule="auto"/>
        <w:ind w:left="851" w:right="-697"/>
        <w:jc w:val="both"/>
        <w:rPr>
          <w:rFonts w:ascii="Palatino Linotype" w:eastAsia="Palatino Linotype" w:hAnsi="Palatino Linotype" w:cs="Palatino Linotype"/>
          <w:b/>
          <w:bCs/>
          <w:i/>
          <w:iCs/>
        </w:rPr>
      </w:pPr>
    </w:p>
    <w:p w:rsidR="00986325" w:rsidRDefault="008068B7">
      <w:pPr>
        <w:spacing w:line="360" w:lineRule="auto"/>
        <w:ind w:left="851" w:right="-697"/>
        <w:jc w:val="both"/>
        <w:rPr>
          <w:rFonts w:ascii="Palatino Linotype" w:eastAsia="Palatino Linotype" w:hAnsi="Palatino Linotype" w:cs="Palatino Linotype"/>
        </w:rPr>
      </w:pPr>
      <w:r>
        <w:rPr>
          <w:rFonts w:ascii="Palatino Linotype" w:eastAsia="Palatino Linotype" w:hAnsi="Palatino Linotype" w:cs="Palatino Linotype"/>
          <w:b/>
          <w:bCs/>
          <w:i/>
          <w:iCs/>
        </w:rPr>
        <w:t>XXIX. </w:t>
      </w:r>
      <w:r>
        <w:rPr>
          <w:rFonts w:ascii="Palatino Linotype" w:eastAsia="Palatino Linotype" w:hAnsi="Palatino Linotype" w:cs="Palatino Linotype"/>
          <w:i/>
          <w:iCs/>
        </w:rPr>
        <w:t>La información sobre los procesos y resultados sobre procedimientos de adjudicación directa, invitación restringida y licitación de cualquier naturaleza, incluyendo la versión pública del expediente respectivo y de los contratos celebrados, que deberán contener, por los menos, lo siguiente:</w:t>
      </w:r>
    </w:p>
    <w:p w:rsidR="00986325" w:rsidRDefault="008068B7">
      <w:pPr>
        <w:spacing w:line="360" w:lineRule="auto"/>
        <w:ind w:left="851" w:right="-697"/>
        <w:jc w:val="both"/>
        <w:rPr>
          <w:rFonts w:ascii="Palatino Linotype" w:eastAsia="Palatino Linotype" w:hAnsi="Palatino Linotype" w:cs="Palatino Linotype"/>
        </w:rPr>
      </w:pPr>
      <w:r>
        <w:rPr>
          <w:rFonts w:ascii="Palatino Linotype" w:eastAsia="Palatino Linotype" w:hAnsi="Palatino Linotype" w:cs="Palatino Linotype"/>
          <w:b/>
          <w:bCs/>
          <w:i/>
          <w:iCs/>
        </w:rPr>
        <w:t>a) </w:t>
      </w:r>
      <w:r>
        <w:rPr>
          <w:rFonts w:ascii="Palatino Linotype" w:eastAsia="Palatino Linotype" w:hAnsi="Palatino Linotype" w:cs="Palatino Linotype"/>
          <w:i/>
          <w:iCs/>
        </w:rPr>
        <w:t>De licitaciones públicas o procedimientos de invitación restringida:</w:t>
      </w:r>
    </w:p>
    <w:p w:rsidR="00986325" w:rsidRDefault="008068B7">
      <w:pPr>
        <w:spacing w:line="360" w:lineRule="auto"/>
        <w:ind w:left="851" w:right="-697"/>
        <w:jc w:val="both"/>
        <w:rPr>
          <w:rFonts w:ascii="Palatino Linotype" w:eastAsia="Palatino Linotype" w:hAnsi="Palatino Linotype" w:cs="Palatino Linotype"/>
        </w:rPr>
      </w:pPr>
      <w:r>
        <w:rPr>
          <w:rFonts w:ascii="Palatino Linotype" w:eastAsia="Palatino Linotype" w:hAnsi="Palatino Linotype" w:cs="Palatino Linotype"/>
          <w:b/>
          <w:bCs/>
          <w:i/>
          <w:iCs/>
        </w:rPr>
        <w:t>1)</w:t>
      </w:r>
      <w:r>
        <w:rPr>
          <w:rFonts w:ascii="Palatino Linotype" w:eastAsia="Palatino Linotype" w:hAnsi="Palatino Linotype" w:cs="Palatino Linotype"/>
          <w:i/>
          <w:iCs/>
        </w:rPr>
        <w:t> La convocatoria o invitación emitida, así como los fundamentos legales aplicados para llevarla a cabo;</w:t>
      </w:r>
    </w:p>
    <w:p w:rsidR="00986325" w:rsidRDefault="008068B7">
      <w:pPr>
        <w:spacing w:line="360" w:lineRule="auto"/>
        <w:ind w:left="851" w:right="-697"/>
        <w:jc w:val="both"/>
        <w:rPr>
          <w:rFonts w:ascii="Palatino Linotype" w:eastAsia="Palatino Linotype" w:hAnsi="Palatino Linotype" w:cs="Palatino Linotype"/>
        </w:rPr>
      </w:pPr>
      <w:r>
        <w:rPr>
          <w:rFonts w:ascii="Palatino Linotype" w:eastAsia="Palatino Linotype" w:hAnsi="Palatino Linotype" w:cs="Palatino Linotype"/>
          <w:b/>
          <w:bCs/>
          <w:i/>
          <w:iCs/>
        </w:rPr>
        <w:t>2) </w:t>
      </w:r>
      <w:r>
        <w:rPr>
          <w:rFonts w:ascii="Palatino Linotype" w:eastAsia="Palatino Linotype" w:hAnsi="Palatino Linotype" w:cs="Palatino Linotype"/>
          <w:i/>
          <w:iCs/>
        </w:rPr>
        <w:t>Los nombres de los participantes o invitados;</w:t>
      </w:r>
    </w:p>
    <w:p w:rsidR="00986325" w:rsidRDefault="008068B7">
      <w:pPr>
        <w:spacing w:line="360" w:lineRule="auto"/>
        <w:ind w:left="851" w:right="-697"/>
        <w:jc w:val="both"/>
        <w:rPr>
          <w:rFonts w:ascii="Palatino Linotype" w:eastAsia="Palatino Linotype" w:hAnsi="Palatino Linotype" w:cs="Palatino Linotype"/>
        </w:rPr>
      </w:pPr>
      <w:r>
        <w:rPr>
          <w:rFonts w:ascii="Palatino Linotype" w:eastAsia="Palatino Linotype" w:hAnsi="Palatino Linotype" w:cs="Palatino Linotype"/>
          <w:b/>
          <w:bCs/>
          <w:i/>
          <w:iCs/>
        </w:rPr>
        <w:t>3)</w:t>
      </w:r>
      <w:r>
        <w:rPr>
          <w:rFonts w:ascii="Palatino Linotype" w:eastAsia="Palatino Linotype" w:hAnsi="Palatino Linotype" w:cs="Palatino Linotype"/>
          <w:i/>
          <w:iCs/>
        </w:rPr>
        <w:t> El nombre del ganador y las razones que lo justifican;</w:t>
      </w:r>
    </w:p>
    <w:p w:rsidR="00986325" w:rsidRDefault="008068B7">
      <w:pPr>
        <w:spacing w:line="360" w:lineRule="auto"/>
        <w:ind w:left="851" w:right="-697"/>
        <w:jc w:val="both"/>
        <w:rPr>
          <w:rFonts w:ascii="Palatino Linotype" w:eastAsia="Palatino Linotype" w:hAnsi="Palatino Linotype" w:cs="Palatino Linotype"/>
        </w:rPr>
      </w:pPr>
      <w:r>
        <w:rPr>
          <w:rFonts w:ascii="Palatino Linotype" w:eastAsia="Palatino Linotype" w:hAnsi="Palatino Linotype" w:cs="Palatino Linotype"/>
          <w:b/>
          <w:bCs/>
          <w:i/>
          <w:iCs/>
        </w:rPr>
        <w:t>4) </w:t>
      </w:r>
      <w:r>
        <w:rPr>
          <w:rFonts w:ascii="Palatino Linotype" w:eastAsia="Palatino Linotype" w:hAnsi="Palatino Linotype" w:cs="Palatino Linotype"/>
          <w:i/>
          <w:iCs/>
        </w:rPr>
        <w:t>El área solicitante y la responsable de su ejecución;</w:t>
      </w:r>
    </w:p>
    <w:p w:rsidR="00986325" w:rsidRDefault="008068B7">
      <w:pPr>
        <w:spacing w:line="360" w:lineRule="auto"/>
        <w:ind w:left="851" w:right="-697"/>
        <w:jc w:val="both"/>
        <w:rPr>
          <w:rFonts w:ascii="Palatino Linotype" w:eastAsia="Palatino Linotype" w:hAnsi="Palatino Linotype" w:cs="Palatino Linotype"/>
        </w:rPr>
      </w:pPr>
      <w:r>
        <w:rPr>
          <w:rFonts w:ascii="Palatino Linotype" w:eastAsia="Palatino Linotype" w:hAnsi="Palatino Linotype" w:cs="Palatino Linotype"/>
          <w:b/>
          <w:bCs/>
          <w:i/>
          <w:iCs/>
        </w:rPr>
        <w:t>5) </w:t>
      </w:r>
      <w:r>
        <w:rPr>
          <w:rFonts w:ascii="Palatino Linotype" w:eastAsia="Palatino Linotype" w:hAnsi="Palatino Linotype" w:cs="Palatino Linotype"/>
          <w:i/>
          <w:iCs/>
        </w:rPr>
        <w:t>Las convocatorias e invitaciones emitidas;</w:t>
      </w:r>
    </w:p>
    <w:p w:rsidR="00986325" w:rsidRDefault="008068B7">
      <w:pPr>
        <w:spacing w:line="360" w:lineRule="auto"/>
        <w:ind w:left="851" w:right="-697"/>
        <w:jc w:val="both"/>
        <w:rPr>
          <w:rFonts w:ascii="Palatino Linotype" w:eastAsia="Palatino Linotype" w:hAnsi="Palatino Linotype" w:cs="Palatino Linotype"/>
          <w:i/>
          <w:iCs/>
        </w:rPr>
      </w:pPr>
      <w:r>
        <w:rPr>
          <w:rFonts w:ascii="Palatino Linotype" w:eastAsia="Palatino Linotype" w:hAnsi="Palatino Linotype" w:cs="Palatino Linotype"/>
          <w:i/>
          <w:iCs/>
        </w:rPr>
        <w:t>6) Los dictámenes y fallo de adjudicación;</w:t>
      </w:r>
    </w:p>
    <w:p w:rsidR="00986325" w:rsidRDefault="008068B7">
      <w:pPr>
        <w:spacing w:line="360" w:lineRule="auto"/>
        <w:ind w:left="851" w:right="-697"/>
        <w:jc w:val="both"/>
        <w:rPr>
          <w:rFonts w:ascii="Palatino Linotype" w:eastAsia="Palatino Linotype" w:hAnsi="Palatino Linotype" w:cs="Palatino Linotype"/>
          <w:i/>
          <w:iCs/>
        </w:rPr>
      </w:pPr>
      <w:r>
        <w:rPr>
          <w:rFonts w:ascii="Palatino Linotype" w:eastAsia="Palatino Linotype" w:hAnsi="Palatino Linotype" w:cs="Palatino Linotype"/>
          <w:i/>
          <w:iCs/>
        </w:rPr>
        <w:t>7) El contrato y, en su caso, sus anexos;</w:t>
      </w:r>
    </w:p>
    <w:p w:rsidR="00986325" w:rsidRDefault="008068B7">
      <w:pPr>
        <w:spacing w:line="360" w:lineRule="auto"/>
        <w:ind w:left="851" w:right="-697"/>
        <w:jc w:val="both"/>
        <w:rPr>
          <w:rFonts w:ascii="Palatino Linotype" w:eastAsia="Palatino Linotype" w:hAnsi="Palatino Linotype" w:cs="Palatino Linotype"/>
          <w:i/>
          <w:iCs/>
        </w:rPr>
      </w:pPr>
      <w:r>
        <w:rPr>
          <w:rFonts w:ascii="Palatino Linotype" w:eastAsia="Palatino Linotype" w:hAnsi="Palatino Linotype" w:cs="Palatino Linotype"/>
          <w:i/>
          <w:iCs/>
        </w:rPr>
        <w:t>8) Los mecanismos de vigilancia y supervisión, incluyendo en su caso, los estudios de impacto urbano y ambiental, según corresponda;</w:t>
      </w:r>
    </w:p>
    <w:p w:rsidR="00986325" w:rsidRDefault="008068B7">
      <w:pPr>
        <w:spacing w:line="360" w:lineRule="auto"/>
        <w:ind w:left="851" w:right="-697"/>
        <w:jc w:val="both"/>
        <w:rPr>
          <w:rFonts w:ascii="Palatino Linotype" w:eastAsia="Palatino Linotype" w:hAnsi="Palatino Linotype" w:cs="Palatino Linotype"/>
        </w:rPr>
      </w:pPr>
      <w:r>
        <w:rPr>
          <w:rFonts w:ascii="Palatino Linotype" w:eastAsia="Palatino Linotype" w:hAnsi="Palatino Linotype" w:cs="Palatino Linotype"/>
          <w:b/>
          <w:bCs/>
          <w:i/>
          <w:iCs/>
        </w:rPr>
        <w:t>9) </w:t>
      </w:r>
      <w:r>
        <w:rPr>
          <w:rFonts w:ascii="Palatino Linotype" w:eastAsia="Palatino Linotype" w:hAnsi="Palatino Linotype" w:cs="Palatino Linotype"/>
          <w:i/>
          <w:iCs/>
        </w:rPr>
        <w:t>La partida presupuestal, de conformidad con el clasificador por objeto del gasto, en el caso de ser aplicable;</w:t>
      </w:r>
    </w:p>
    <w:p w:rsidR="00986325" w:rsidRDefault="008068B7">
      <w:pPr>
        <w:spacing w:line="360" w:lineRule="auto"/>
        <w:ind w:left="851" w:right="-697"/>
        <w:jc w:val="both"/>
        <w:rPr>
          <w:rFonts w:ascii="Palatino Linotype" w:eastAsia="Palatino Linotype" w:hAnsi="Palatino Linotype" w:cs="Palatino Linotype"/>
        </w:rPr>
      </w:pPr>
      <w:r>
        <w:rPr>
          <w:rFonts w:ascii="Palatino Linotype" w:eastAsia="Palatino Linotype" w:hAnsi="Palatino Linotype" w:cs="Palatino Linotype"/>
          <w:i/>
          <w:iCs/>
        </w:rPr>
        <w:t>10) Origen de los recursos especificando si son federales, estatales o municipales, así como el tipo de fondo de participación o aportación respectiva;</w:t>
      </w:r>
    </w:p>
    <w:p w:rsidR="00986325" w:rsidRDefault="008068B7">
      <w:pPr>
        <w:spacing w:line="360" w:lineRule="auto"/>
        <w:ind w:left="851" w:right="-697"/>
        <w:jc w:val="both"/>
        <w:rPr>
          <w:rFonts w:ascii="Palatino Linotype" w:eastAsia="Palatino Linotype" w:hAnsi="Palatino Linotype" w:cs="Palatino Linotype"/>
        </w:rPr>
      </w:pPr>
      <w:r>
        <w:rPr>
          <w:rFonts w:ascii="Palatino Linotype" w:eastAsia="Palatino Linotype" w:hAnsi="Palatino Linotype" w:cs="Palatino Linotype"/>
          <w:b/>
          <w:bCs/>
          <w:i/>
          <w:iCs/>
        </w:rPr>
        <w:lastRenderedPageBreak/>
        <w:t>11) </w:t>
      </w:r>
      <w:r>
        <w:rPr>
          <w:rFonts w:ascii="Palatino Linotype" w:eastAsia="Palatino Linotype" w:hAnsi="Palatino Linotype" w:cs="Palatino Linotype"/>
          <w:i/>
          <w:iCs/>
        </w:rPr>
        <w:t>Los convenios modificatorios que, en su caso, sean firmados, precisando el objeto y la fecha de celebración;</w:t>
      </w:r>
    </w:p>
    <w:p w:rsidR="00986325" w:rsidRDefault="008068B7">
      <w:pPr>
        <w:spacing w:line="360" w:lineRule="auto"/>
        <w:ind w:left="851" w:right="-697"/>
        <w:jc w:val="both"/>
        <w:rPr>
          <w:rFonts w:ascii="Palatino Linotype" w:eastAsia="Palatino Linotype" w:hAnsi="Palatino Linotype" w:cs="Palatino Linotype"/>
        </w:rPr>
      </w:pPr>
      <w:r>
        <w:rPr>
          <w:rFonts w:ascii="Palatino Linotype" w:eastAsia="Palatino Linotype" w:hAnsi="Palatino Linotype" w:cs="Palatino Linotype"/>
          <w:b/>
          <w:bCs/>
          <w:i/>
          <w:iCs/>
        </w:rPr>
        <w:t>12) </w:t>
      </w:r>
      <w:r>
        <w:rPr>
          <w:rFonts w:ascii="Palatino Linotype" w:eastAsia="Palatino Linotype" w:hAnsi="Palatino Linotype" w:cs="Palatino Linotype"/>
          <w:i/>
          <w:iCs/>
        </w:rPr>
        <w:t>Los informes de avance físico y financiero sobre las obras o servicios contratados;</w:t>
      </w:r>
    </w:p>
    <w:p w:rsidR="00986325" w:rsidRDefault="008068B7">
      <w:pPr>
        <w:spacing w:line="360" w:lineRule="auto"/>
        <w:ind w:left="851" w:right="-697"/>
        <w:jc w:val="both"/>
        <w:rPr>
          <w:rFonts w:ascii="Palatino Linotype" w:eastAsia="Palatino Linotype" w:hAnsi="Palatino Linotype" w:cs="Palatino Linotype"/>
        </w:rPr>
      </w:pPr>
      <w:r>
        <w:rPr>
          <w:rFonts w:ascii="Palatino Linotype" w:eastAsia="Palatino Linotype" w:hAnsi="Palatino Linotype" w:cs="Palatino Linotype"/>
          <w:b/>
          <w:bCs/>
          <w:i/>
          <w:iCs/>
        </w:rPr>
        <w:t>13) </w:t>
      </w:r>
      <w:r>
        <w:rPr>
          <w:rFonts w:ascii="Palatino Linotype" w:eastAsia="Palatino Linotype" w:hAnsi="Palatino Linotype" w:cs="Palatino Linotype"/>
          <w:i/>
          <w:iCs/>
        </w:rPr>
        <w:t>El convenio de terminación; y</w:t>
      </w:r>
    </w:p>
    <w:p w:rsidR="00986325" w:rsidRDefault="008068B7">
      <w:pPr>
        <w:spacing w:line="360" w:lineRule="auto"/>
        <w:ind w:left="851" w:right="-697"/>
        <w:jc w:val="both"/>
        <w:rPr>
          <w:rFonts w:ascii="Palatino Linotype" w:eastAsia="Palatino Linotype" w:hAnsi="Palatino Linotype" w:cs="Palatino Linotype"/>
        </w:rPr>
      </w:pPr>
      <w:r>
        <w:rPr>
          <w:rFonts w:ascii="Palatino Linotype" w:eastAsia="Palatino Linotype" w:hAnsi="Palatino Linotype" w:cs="Palatino Linotype"/>
          <w:b/>
          <w:bCs/>
          <w:i/>
          <w:iCs/>
        </w:rPr>
        <w:t>14) </w:t>
      </w:r>
      <w:r>
        <w:rPr>
          <w:rFonts w:ascii="Palatino Linotype" w:eastAsia="Palatino Linotype" w:hAnsi="Palatino Linotype" w:cs="Palatino Linotype"/>
          <w:i/>
          <w:iCs/>
        </w:rPr>
        <w:t>El finiquito.</w:t>
      </w:r>
    </w:p>
    <w:p w:rsidR="00986325" w:rsidRDefault="008068B7">
      <w:pPr>
        <w:spacing w:line="360" w:lineRule="auto"/>
        <w:ind w:left="851" w:right="-697"/>
        <w:jc w:val="both"/>
        <w:rPr>
          <w:rFonts w:ascii="Palatino Linotype" w:eastAsia="Palatino Linotype" w:hAnsi="Palatino Linotype" w:cs="Palatino Linotype"/>
          <w:b/>
          <w:bCs/>
        </w:rPr>
      </w:pPr>
      <w:r>
        <w:rPr>
          <w:rFonts w:ascii="Palatino Linotype" w:eastAsia="Palatino Linotype" w:hAnsi="Palatino Linotype" w:cs="Palatino Linotype"/>
          <w:b/>
          <w:bCs/>
          <w:i/>
          <w:iCs/>
        </w:rPr>
        <w:t>b) De las adjudicaciones directas:</w:t>
      </w:r>
    </w:p>
    <w:p w:rsidR="00986325" w:rsidRDefault="008068B7">
      <w:pPr>
        <w:spacing w:line="360" w:lineRule="auto"/>
        <w:ind w:left="851" w:right="-697"/>
        <w:jc w:val="both"/>
        <w:rPr>
          <w:rFonts w:ascii="Palatino Linotype" w:eastAsia="Palatino Linotype" w:hAnsi="Palatino Linotype" w:cs="Palatino Linotype"/>
        </w:rPr>
      </w:pPr>
      <w:r>
        <w:rPr>
          <w:rFonts w:ascii="Palatino Linotype" w:eastAsia="Palatino Linotype" w:hAnsi="Palatino Linotype" w:cs="Palatino Linotype"/>
          <w:b/>
          <w:bCs/>
          <w:i/>
          <w:iCs/>
        </w:rPr>
        <w:t>1) </w:t>
      </w:r>
      <w:r>
        <w:rPr>
          <w:rFonts w:ascii="Palatino Linotype" w:eastAsia="Palatino Linotype" w:hAnsi="Palatino Linotype" w:cs="Palatino Linotype"/>
          <w:i/>
          <w:iCs/>
        </w:rPr>
        <w:t>La propuesta enviada por el participante;</w:t>
      </w:r>
    </w:p>
    <w:p w:rsidR="00986325" w:rsidRDefault="008068B7">
      <w:pPr>
        <w:spacing w:line="360" w:lineRule="auto"/>
        <w:ind w:left="851" w:right="-697"/>
        <w:jc w:val="both"/>
        <w:rPr>
          <w:rFonts w:ascii="Palatino Linotype" w:eastAsia="Palatino Linotype" w:hAnsi="Palatino Linotype" w:cs="Palatino Linotype"/>
        </w:rPr>
      </w:pPr>
      <w:r>
        <w:rPr>
          <w:rFonts w:ascii="Palatino Linotype" w:eastAsia="Palatino Linotype" w:hAnsi="Palatino Linotype" w:cs="Palatino Linotype"/>
          <w:b/>
          <w:bCs/>
          <w:i/>
          <w:iCs/>
        </w:rPr>
        <w:t>2) </w:t>
      </w:r>
      <w:r>
        <w:rPr>
          <w:rFonts w:ascii="Palatino Linotype" w:eastAsia="Palatino Linotype" w:hAnsi="Palatino Linotype" w:cs="Palatino Linotype"/>
          <w:i/>
          <w:iCs/>
        </w:rPr>
        <w:t>Los motivos y fundamentos legales aplicados para llevarla a cabo;</w:t>
      </w:r>
    </w:p>
    <w:p w:rsidR="00986325" w:rsidRDefault="008068B7">
      <w:pPr>
        <w:spacing w:line="360" w:lineRule="auto"/>
        <w:ind w:left="851" w:right="-697"/>
        <w:jc w:val="both"/>
        <w:rPr>
          <w:rFonts w:ascii="Palatino Linotype" w:eastAsia="Palatino Linotype" w:hAnsi="Palatino Linotype" w:cs="Palatino Linotype"/>
        </w:rPr>
      </w:pPr>
      <w:r>
        <w:rPr>
          <w:rFonts w:ascii="Palatino Linotype" w:eastAsia="Palatino Linotype" w:hAnsi="Palatino Linotype" w:cs="Palatino Linotype"/>
          <w:b/>
          <w:bCs/>
          <w:i/>
          <w:iCs/>
        </w:rPr>
        <w:t>3) </w:t>
      </w:r>
      <w:r>
        <w:rPr>
          <w:rFonts w:ascii="Palatino Linotype" w:eastAsia="Palatino Linotype" w:hAnsi="Palatino Linotype" w:cs="Palatino Linotype"/>
          <w:i/>
          <w:iCs/>
        </w:rPr>
        <w:t>La autorización del ejercicio de la opción;</w:t>
      </w:r>
    </w:p>
    <w:p w:rsidR="00986325" w:rsidRDefault="008068B7">
      <w:pPr>
        <w:spacing w:line="360" w:lineRule="auto"/>
        <w:ind w:left="851" w:right="-697"/>
        <w:jc w:val="both"/>
        <w:rPr>
          <w:rFonts w:ascii="Palatino Linotype" w:eastAsia="Palatino Linotype" w:hAnsi="Palatino Linotype" w:cs="Palatino Linotype"/>
        </w:rPr>
      </w:pPr>
      <w:r>
        <w:rPr>
          <w:rFonts w:ascii="Palatino Linotype" w:eastAsia="Palatino Linotype" w:hAnsi="Palatino Linotype" w:cs="Palatino Linotype"/>
          <w:i/>
          <w:iCs/>
        </w:rPr>
        <w:t>4) En su caso, las cotizaciones consideradas, especificando los nombres de los proveedores y sus montos;</w:t>
      </w:r>
    </w:p>
    <w:p w:rsidR="00986325" w:rsidRDefault="008068B7">
      <w:pPr>
        <w:spacing w:line="360" w:lineRule="auto"/>
        <w:ind w:left="851" w:right="-697"/>
        <w:jc w:val="both"/>
        <w:rPr>
          <w:rFonts w:ascii="Palatino Linotype" w:eastAsia="Palatino Linotype" w:hAnsi="Palatino Linotype" w:cs="Palatino Linotype"/>
        </w:rPr>
      </w:pPr>
      <w:r>
        <w:rPr>
          <w:rFonts w:ascii="Palatino Linotype" w:eastAsia="Palatino Linotype" w:hAnsi="Palatino Linotype" w:cs="Palatino Linotype"/>
          <w:b/>
          <w:bCs/>
          <w:i/>
          <w:iCs/>
        </w:rPr>
        <w:t>5) </w:t>
      </w:r>
      <w:r>
        <w:rPr>
          <w:rFonts w:ascii="Palatino Linotype" w:eastAsia="Palatino Linotype" w:hAnsi="Palatino Linotype" w:cs="Palatino Linotype"/>
          <w:i/>
          <w:iCs/>
        </w:rPr>
        <w:t>El nombre de la persona física o jurídica colectiva adjudicada;</w:t>
      </w:r>
    </w:p>
    <w:p w:rsidR="00986325" w:rsidRDefault="008068B7">
      <w:pPr>
        <w:spacing w:line="360" w:lineRule="auto"/>
        <w:ind w:left="851" w:right="-697"/>
        <w:jc w:val="both"/>
        <w:rPr>
          <w:rFonts w:ascii="Palatino Linotype" w:eastAsia="Palatino Linotype" w:hAnsi="Palatino Linotype" w:cs="Palatino Linotype"/>
        </w:rPr>
      </w:pPr>
      <w:r>
        <w:rPr>
          <w:rFonts w:ascii="Palatino Linotype" w:eastAsia="Palatino Linotype" w:hAnsi="Palatino Linotype" w:cs="Palatino Linotype"/>
          <w:b/>
          <w:bCs/>
          <w:i/>
          <w:iCs/>
        </w:rPr>
        <w:t>6) </w:t>
      </w:r>
      <w:r>
        <w:rPr>
          <w:rFonts w:ascii="Palatino Linotype" w:eastAsia="Palatino Linotype" w:hAnsi="Palatino Linotype" w:cs="Palatino Linotype"/>
          <w:i/>
          <w:iCs/>
        </w:rPr>
        <w:t>La unidad administrativa solicitante y la responsable de su ejecución;</w:t>
      </w:r>
    </w:p>
    <w:p w:rsidR="00986325" w:rsidRDefault="008068B7">
      <w:pPr>
        <w:spacing w:line="360" w:lineRule="auto"/>
        <w:ind w:left="851" w:right="-697"/>
        <w:jc w:val="both"/>
        <w:rPr>
          <w:rFonts w:ascii="Palatino Linotype" w:eastAsia="Palatino Linotype" w:hAnsi="Palatino Linotype" w:cs="Palatino Linotype"/>
        </w:rPr>
      </w:pPr>
      <w:r>
        <w:rPr>
          <w:rFonts w:ascii="Palatino Linotype" w:eastAsia="Palatino Linotype" w:hAnsi="Palatino Linotype" w:cs="Palatino Linotype"/>
          <w:b/>
          <w:bCs/>
          <w:i/>
          <w:iCs/>
        </w:rPr>
        <w:t>7)</w:t>
      </w:r>
      <w:r>
        <w:rPr>
          <w:rFonts w:ascii="Palatino Linotype" w:eastAsia="Palatino Linotype" w:hAnsi="Palatino Linotype" w:cs="Palatino Linotype"/>
          <w:i/>
          <w:iCs/>
        </w:rPr>
        <w:t> El número, fecha, el monto del contrato y el plazo de entrega o de ejecución de los servicios u obra;</w:t>
      </w:r>
    </w:p>
    <w:p w:rsidR="00986325" w:rsidRDefault="008068B7">
      <w:pPr>
        <w:spacing w:line="360" w:lineRule="auto"/>
        <w:ind w:left="851" w:right="-697"/>
        <w:jc w:val="both"/>
        <w:rPr>
          <w:rFonts w:ascii="Palatino Linotype" w:eastAsia="Palatino Linotype" w:hAnsi="Palatino Linotype" w:cs="Palatino Linotype"/>
        </w:rPr>
      </w:pPr>
      <w:r>
        <w:rPr>
          <w:rFonts w:ascii="Palatino Linotype" w:eastAsia="Palatino Linotype" w:hAnsi="Palatino Linotype" w:cs="Palatino Linotype"/>
          <w:b/>
          <w:bCs/>
          <w:i/>
          <w:iCs/>
        </w:rPr>
        <w:t>8) </w:t>
      </w:r>
      <w:r>
        <w:rPr>
          <w:rFonts w:ascii="Palatino Linotype" w:eastAsia="Palatino Linotype" w:hAnsi="Palatino Linotype" w:cs="Palatino Linotype"/>
          <w:i/>
          <w:iCs/>
        </w:rPr>
        <w:t>Los mecanismos de vigilancia y supervisión, incluyendo, en su caso, los estudios de impacto urbano y ambiental, según corresponda;</w:t>
      </w:r>
    </w:p>
    <w:p w:rsidR="00986325" w:rsidRDefault="008068B7">
      <w:pPr>
        <w:spacing w:line="360" w:lineRule="auto"/>
        <w:ind w:left="851" w:right="-697"/>
        <w:jc w:val="both"/>
        <w:rPr>
          <w:rFonts w:ascii="Palatino Linotype" w:eastAsia="Palatino Linotype" w:hAnsi="Palatino Linotype" w:cs="Palatino Linotype"/>
        </w:rPr>
      </w:pPr>
      <w:r>
        <w:rPr>
          <w:rFonts w:ascii="Palatino Linotype" w:eastAsia="Palatino Linotype" w:hAnsi="Palatino Linotype" w:cs="Palatino Linotype"/>
          <w:b/>
          <w:bCs/>
          <w:i/>
          <w:iCs/>
        </w:rPr>
        <w:t>9) </w:t>
      </w:r>
      <w:r>
        <w:rPr>
          <w:rFonts w:ascii="Palatino Linotype" w:eastAsia="Palatino Linotype" w:hAnsi="Palatino Linotype" w:cs="Palatino Linotype"/>
          <w:i/>
          <w:iCs/>
        </w:rPr>
        <w:t>Los informes de avance sobre las obras o servicios contratados;</w:t>
      </w:r>
    </w:p>
    <w:p w:rsidR="00986325" w:rsidRDefault="008068B7">
      <w:pPr>
        <w:spacing w:line="360" w:lineRule="auto"/>
        <w:ind w:left="851" w:right="-697"/>
        <w:jc w:val="both"/>
        <w:rPr>
          <w:rFonts w:ascii="Palatino Linotype" w:eastAsia="Palatino Linotype" w:hAnsi="Palatino Linotype" w:cs="Palatino Linotype"/>
        </w:rPr>
      </w:pPr>
      <w:r>
        <w:rPr>
          <w:rFonts w:ascii="Palatino Linotype" w:eastAsia="Palatino Linotype" w:hAnsi="Palatino Linotype" w:cs="Palatino Linotype"/>
          <w:b/>
          <w:bCs/>
          <w:i/>
          <w:iCs/>
        </w:rPr>
        <w:t>10) </w:t>
      </w:r>
      <w:r>
        <w:rPr>
          <w:rFonts w:ascii="Palatino Linotype" w:eastAsia="Palatino Linotype" w:hAnsi="Palatino Linotype" w:cs="Palatino Linotype"/>
          <w:i/>
          <w:iCs/>
        </w:rPr>
        <w:t>El convenio de terminación; y</w:t>
      </w:r>
    </w:p>
    <w:p w:rsidR="00986325" w:rsidRDefault="008068B7">
      <w:pPr>
        <w:spacing w:line="360" w:lineRule="auto"/>
        <w:ind w:left="851" w:right="-697"/>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11) </w:t>
      </w:r>
      <w:r>
        <w:rPr>
          <w:rFonts w:ascii="Palatino Linotype" w:eastAsia="Palatino Linotype" w:hAnsi="Palatino Linotype" w:cs="Palatino Linotype"/>
          <w:i/>
          <w:iCs/>
        </w:rPr>
        <w:t>El finiquito.</w:t>
      </w:r>
      <w:r>
        <w:rPr>
          <w:rFonts w:ascii="Palatino Linotype" w:eastAsia="Palatino Linotype" w:hAnsi="Palatino Linotype" w:cs="Palatino Linotype"/>
          <w:b/>
          <w:bCs/>
          <w:i/>
          <w:iCs/>
        </w:rPr>
        <w:t>”</w:t>
      </w:r>
    </w:p>
    <w:p w:rsidR="00986325" w:rsidRDefault="00986325">
      <w:pPr>
        <w:spacing w:line="360" w:lineRule="auto"/>
        <w:ind w:left="851" w:right="-697"/>
        <w:jc w:val="both"/>
        <w:rPr>
          <w:rFonts w:ascii="Palatino Linotype" w:eastAsia="Palatino Linotype" w:hAnsi="Palatino Linotype" w:cs="Palatino Linotype"/>
        </w:rPr>
      </w:pPr>
    </w:p>
    <w:p w:rsidR="00986325" w:rsidRDefault="008068B7">
      <w:pPr>
        <w:numPr>
          <w:ilvl w:val="0"/>
          <w:numId w:val="2"/>
        </w:numPr>
        <w:spacing w:line="360" w:lineRule="auto"/>
        <w:ind w:left="0" w:right="-69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En consecuencia, se determina que ciertamente existe fuente obligacional para celebrar licitaciones y contratos relacionados con obras públicas, a través de procedimientos de licitación, invitación restringida o adjudicación directa, en todos los casos, existe la </w:t>
      </w:r>
      <w:r>
        <w:rPr>
          <w:rFonts w:ascii="Palatino Linotype" w:eastAsia="Palatino Linotype" w:hAnsi="Palatino Linotype" w:cs="Palatino Linotype"/>
          <w:color w:val="000000"/>
        </w:rPr>
        <w:lastRenderedPageBreak/>
        <w:t>obligación de hacer pública la información relacionada con las mismas, de acuerdo al artículo 92 de la Ley de Transparencia Local, ya que existe un interés colectivo de conocer el uso y destino de los recursos públicos.</w:t>
      </w:r>
    </w:p>
    <w:p w:rsidR="00986325" w:rsidRDefault="00986325">
      <w:pPr>
        <w:pBdr>
          <w:top w:val="nil"/>
          <w:left w:val="nil"/>
          <w:bottom w:val="nil"/>
          <w:right w:val="nil"/>
          <w:between w:val="nil"/>
        </w:pBdr>
        <w:tabs>
          <w:tab w:val="left" w:pos="851"/>
        </w:tabs>
        <w:spacing w:line="360" w:lineRule="auto"/>
        <w:ind w:right="-697"/>
        <w:jc w:val="both"/>
        <w:rPr>
          <w:rFonts w:ascii="Palatino Linotype" w:eastAsia="Palatino Linotype" w:hAnsi="Palatino Linotype" w:cs="Palatino Linotype"/>
          <w:color w:val="000000"/>
        </w:rPr>
      </w:pPr>
    </w:p>
    <w:p w:rsidR="00986325" w:rsidRDefault="008068B7">
      <w:pPr>
        <w:numPr>
          <w:ilvl w:val="0"/>
          <w:numId w:val="2"/>
        </w:numPr>
        <w:spacing w:line="360" w:lineRule="auto"/>
        <w:ind w:left="0" w:right="-69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Luego entonces, los sujetos obligados están obligados a poner a disposición del público de manera constante y actualizada, de forma sencilla, precisa y entendible, en los respectivos medios electrónicos, la información referente a los procesos y resultados sobre procedimientos de adjudicación directa, invitación restringida y licitación de cualquier naturaleza, en el que se debe contener dentro de la versión pública del expediente respectivo toda la información relativa a dichos procedimientos, desde la convocatoria hasta el fallo de adjudicación, contratos y demás información, conforme a lo dispuesto en la normatividad en la materia.</w:t>
      </w:r>
    </w:p>
    <w:p w:rsidR="00986325" w:rsidRDefault="00986325">
      <w:pPr>
        <w:pBdr>
          <w:top w:val="nil"/>
          <w:left w:val="nil"/>
          <w:bottom w:val="nil"/>
          <w:right w:val="nil"/>
          <w:between w:val="nil"/>
        </w:pBdr>
        <w:ind w:left="720" w:right="-697"/>
        <w:rPr>
          <w:rFonts w:ascii="Palatino Linotype" w:eastAsia="Palatino Linotype" w:hAnsi="Palatino Linotype" w:cs="Palatino Linotype"/>
          <w:color w:val="000000"/>
        </w:rPr>
      </w:pPr>
    </w:p>
    <w:p w:rsidR="00986325" w:rsidRDefault="008068B7">
      <w:pPr>
        <w:numPr>
          <w:ilvl w:val="0"/>
          <w:numId w:val="2"/>
        </w:numPr>
        <w:spacing w:line="360" w:lineRule="auto"/>
        <w:ind w:left="0" w:right="-69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Por tanto resulta dable ordenar que se realice una búsqueda exhaustiva y razonable del soporte documental en el que eventualmente, conste o se adviertan los siguientes rubros, generados, poseídos o administrados</w:t>
      </w:r>
      <w:r>
        <w:rPr>
          <w:rFonts w:ascii="Palatino Linotype" w:eastAsia="Palatino Linotype" w:hAnsi="Palatino Linotype" w:cs="Palatino Linotype"/>
          <w:color w:val="000000"/>
          <w:sz w:val="22"/>
          <w:szCs w:val="22"/>
        </w:rPr>
        <w:t xml:space="preserve">, </w:t>
      </w:r>
      <w:r>
        <w:rPr>
          <w:rFonts w:ascii="Palatino Linotype" w:eastAsia="Palatino Linotype" w:hAnsi="Palatino Linotype" w:cs="Palatino Linotype"/>
          <w:color w:val="000000"/>
        </w:rPr>
        <w:t xml:space="preserve">de la obra pública que se llevó </w:t>
      </w:r>
      <w:r>
        <w:rPr>
          <w:rFonts w:ascii="Palatino Linotype" w:eastAsia="Palatino Linotype" w:hAnsi="Palatino Linotype" w:cs="Palatino Linotype"/>
        </w:rPr>
        <w:t>a cabo</w:t>
      </w:r>
      <w:r>
        <w:rPr>
          <w:rFonts w:ascii="Palatino Linotype" w:eastAsia="Palatino Linotype" w:hAnsi="Palatino Linotype" w:cs="Palatino Linotype"/>
          <w:color w:val="000000"/>
        </w:rPr>
        <w:t xml:space="preserve"> en el campo de </w:t>
      </w:r>
      <w:r>
        <w:rPr>
          <w:rFonts w:ascii="Palatino Linotype" w:eastAsia="Palatino Linotype" w:hAnsi="Palatino Linotype" w:cs="Palatino Linotype"/>
        </w:rPr>
        <w:t>fútbol</w:t>
      </w:r>
      <w:r>
        <w:rPr>
          <w:rFonts w:ascii="Palatino Linotype" w:eastAsia="Palatino Linotype" w:hAnsi="Palatino Linotype" w:cs="Palatino Linotype"/>
          <w:color w:val="000000"/>
        </w:rPr>
        <w:t xml:space="preserve"> de la Comunidad de la Concepción Xochicuautla, del 01 de enero al </w:t>
      </w:r>
      <w:r>
        <w:rPr>
          <w:rFonts w:ascii="Palatino Linotype" w:eastAsia="Palatino Linotype" w:hAnsi="Palatino Linotype" w:cs="Palatino Linotype"/>
          <w:color w:val="000000"/>
          <w:sz w:val="22"/>
          <w:szCs w:val="22"/>
        </w:rPr>
        <w:t>11 de agosto de 2025</w:t>
      </w:r>
      <w:r>
        <w:rPr>
          <w:rFonts w:ascii="Palatino Linotype" w:eastAsia="Palatino Linotype" w:hAnsi="Palatino Linotype" w:cs="Palatino Linotype"/>
          <w:color w:val="000000"/>
        </w:rPr>
        <w:t>:</w:t>
      </w:r>
    </w:p>
    <w:p w:rsidR="00986325" w:rsidRDefault="008068B7">
      <w:pPr>
        <w:numPr>
          <w:ilvl w:val="0"/>
          <w:numId w:val="17"/>
        </w:numPr>
        <w:pBdr>
          <w:top w:val="nil"/>
          <w:left w:val="nil"/>
          <w:bottom w:val="nil"/>
          <w:right w:val="nil"/>
          <w:between w:val="nil"/>
        </w:pBdr>
        <w:spacing w:line="360" w:lineRule="auto"/>
        <w:ind w:right="-697"/>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La naturaleza de la obra</w:t>
      </w:r>
    </w:p>
    <w:p w:rsidR="00986325" w:rsidRDefault="008068B7">
      <w:pPr>
        <w:numPr>
          <w:ilvl w:val="0"/>
          <w:numId w:val="17"/>
        </w:numPr>
        <w:pBdr>
          <w:top w:val="nil"/>
          <w:left w:val="nil"/>
          <w:bottom w:val="nil"/>
          <w:right w:val="nil"/>
          <w:between w:val="nil"/>
        </w:pBdr>
        <w:spacing w:line="360" w:lineRule="auto"/>
        <w:ind w:right="-697"/>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La planeación en que se ha de ejecutar (fases o etapas) y, cuales son</w:t>
      </w:r>
    </w:p>
    <w:p w:rsidR="00986325" w:rsidRDefault="008068B7">
      <w:pPr>
        <w:numPr>
          <w:ilvl w:val="0"/>
          <w:numId w:val="17"/>
        </w:numPr>
        <w:pBdr>
          <w:top w:val="nil"/>
          <w:left w:val="nil"/>
          <w:bottom w:val="nil"/>
          <w:right w:val="nil"/>
          <w:between w:val="nil"/>
        </w:pBdr>
        <w:spacing w:line="360" w:lineRule="auto"/>
        <w:ind w:right="-697"/>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Los tiempos programados y así como el presupuesto otorgado para la ejecución de cada fase o etapa que integra el proyecto total de la obra;</w:t>
      </w:r>
    </w:p>
    <w:p w:rsidR="00986325" w:rsidRDefault="008068B7">
      <w:pPr>
        <w:numPr>
          <w:ilvl w:val="0"/>
          <w:numId w:val="17"/>
        </w:numPr>
        <w:pBdr>
          <w:top w:val="nil"/>
          <w:left w:val="nil"/>
          <w:bottom w:val="nil"/>
          <w:right w:val="nil"/>
          <w:between w:val="nil"/>
        </w:pBdr>
        <w:spacing w:line="360" w:lineRule="auto"/>
        <w:ind w:right="-697"/>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Si se está ejecutando por trabajadores del gobierno municipal o por una empresa, de ser el caso, entregando los contratos celebrados.</w:t>
      </w:r>
    </w:p>
    <w:p w:rsidR="00986325" w:rsidRDefault="008068B7">
      <w:pPr>
        <w:numPr>
          <w:ilvl w:val="0"/>
          <w:numId w:val="17"/>
        </w:numPr>
        <w:pBdr>
          <w:top w:val="nil"/>
          <w:left w:val="nil"/>
          <w:bottom w:val="nil"/>
          <w:right w:val="nil"/>
          <w:between w:val="nil"/>
        </w:pBdr>
        <w:spacing w:line="360" w:lineRule="auto"/>
        <w:ind w:right="-697"/>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lastRenderedPageBreak/>
        <w:t>Presupuesto destinado en cada una de sus fases etapas</w:t>
      </w:r>
    </w:p>
    <w:p w:rsidR="00986325" w:rsidRDefault="008068B7">
      <w:pPr>
        <w:numPr>
          <w:ilvl w:val="0"/>
          <w:numId w:val="17"/>
        </w:numPr>
        <w:pBdr>
          <w:top w:val="nil"/>
          <w:left w:val="nil"/>
          <w:bottom w:val="nil"/>
          <w:right w:val="nil"/>
          <w:between w:val="nil"/>
        </w:pBdr>
        <w:spacing w:line="360" w:lineRule="auto"/>
        <w:ind w:right="-697"/>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Servidores públicos que han intervenido en la planeación, orden, instrucción y ejecución de la obra (en cada una de sus fases o etapas)</w:t>
      </w:r>
    </w:p>
    <w:p w:rsidR="00986325" w:rsidRDefault="008068B7">
      <w:pPr>
        <w:numPr>
          <w:ilvl w:val="0"/>
          <w:numId w:val="17"/>
        </w:numPr>
        <w:pBdr>
          <w:top w:val="nil"/>
          <w:left w:val="nil"/>
          <w:bottom w:val="nil"/>
          <w:right w:val="nil"/>
          <w:between w:val="nil"/>
        </w:pBdr>
        <w:spacing w:line="360" w:lineRule="auto"/>
        <w:ind w:right="-697"/>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Los tiempos de inicio y conclusión programados para la ejecución (de cada fase o etapa) de la obra </w:t>
      </w:r>
    </w:p>
    <w:p w:rsidR="00986325" w:rsidRDefault="00986325">
      <w:pPr>
        <w:pBdr>
          <w:top w:val="nil"/>
          <w:left w:val="nil"/>
          <w:bottom w:val="nil"/>
          <w:right w:val="nil"/>
          <w:between w:val="nil"/>
        </w:pBdr>
        <w:spacing w:line="360" w:lineRule="auto"/>
        <w:ind w:left="720" w:right="-697"/>
        <w:jc w:val="both"/>
        <w:rPr>
          <w:rFonts w:ascii="Palatino Linotype" w:eastAsia="Palatino Linotype" w:hAnsi="Palatino Linotype" w:cs="Palatino Linotype"/>
          <w:i/>
          <w:iCs/>
        </w:rPr>
      </w:pPr>
    </w:p>
    <w:p w:rsidR="00986325" w:rsidRDefault="008068B7">
      <w:pPr>
        <w:numPr>
          <w:ilvl w:val="0"/>
          <w:numId w:val="2"/>
        </w:numPr>
        <w:spacing w:line="360" w:lineRule="auto"/>
        <w:ind w:left="0" w:right="-69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Ello en virtud, que dada su propia y especial naturaleza, no actualiza una causal de reserva de la información, que a decir del </w:t>
      </w:r>
      <w:r>
        <w:rPr>
          <w:rFonts w:ascii="Palatino Linotype" w:eastAsia="Palatino Linotype" w:hAnsi="Palatino Linotype" w:cs="Palatino Linotype"/>
          <w:b/>
          <w:bCs/>
          <w:color w:val="000000"/>
        </w:rPr>
        <w:t>SUJETO OBLIGADO</w:t>
      </w:r>
      <w:r>
        <w:rPr>
          <w:rFonts w:ascii="Palatino Linotype" w:eastAsia="Palatino Linotype" w:hAnsi="Palatino Linotype" w:cs="Palatino Linotype"/>
          <w:color w:val="000000"/>
        </w:rPr>
        <w:t xml:space="preserve"> corresponde a que se encuentra en trámite un juicio de amparo; de lo que se colige se pretende actualizar la causal contenida en la fracción VIII del artículo 140 de la Ley de Transparencia y Acceso a la Información Pública del Estado de México y Municipios, a saber:</w:t>
      </w:r>
    </w:p>
    <w:p w:rsidR="00986325" w:rsidRDefault="008068B7">
      <w:pPr>
        <w:spacing w:line="360" w:lineRule="auto"/>
        <w:ind w:left="426" w:right="-697"/>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“Artículo 140. El acceso a la información pública será restringido excepcionalmente, cuando por razones de interés público, ésta sea clasificada como reservada, conforme a los criterios siguientes: </w:t>
      </w:r>
    </w:p>
    <w:p w:rsidR="00986325" w:rsidRDefault="008068B7">
      <w:pPr>
        <w:spacing w:line="360" w:lineRule="auto"/>
        <w:ind w:left="426" w:right="-697"/>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w:t>
      </w:r>
    </w:p>
    <w:p w:rsidR="00986325" w:rsidRDefault="008068B7">
      <w:pPr>
        <w:spacing w:line="360" w:lineRule="auto"/>
        <w:ind w:left="426" w:right="-697"/>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VIII. Vulnere la conducción de los expedientes judiciales o de los procedimientos administrativos seguidos en forma de juicio, en tanto no hayan quedado firmes; </w:t>
      </w:r>
    </w:p>
    <w:p w:rsidR="00986325" w:rsidRDefault="008068B7">
      <w:pPr>
        <w:spacing w:line="360" w:lineRule="auto"/>
        <w:ind w:left="426" w:right="-697"/>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w:t>
      </w:r>
      <w:bookmarkStart w:id="9" w:name="_GoBack"/>
      <w:bookmarkEnd w:id="9"/>
    </w:p>
    <w:p w:rsidR="00986325" w:rsidRDefault="008068B7">
      <w:pPr>
        <w:numPr>
          <w:ilvl w:val="0"/>
          <w:numId w:val="2"/>
        </w:numPr>
        <w:spacing w:line="360" w:lineRule="auto"/>
        <w:ind w:left="0" w:right="-69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Lo anterior resulta así, porque los requerimientos que el </w:t>
      </w:r>
      <w:r>
        <w:rPr>
          <w:rFonts w:ascii="Palatino Linotype" w:eastAsia="Palatino Linotype" w:hAnsi="Palatino Linotype" w:cs="Palatino Linotype"/>
          <w:b/>
          <w:bCs/>
          <w:color w:val="000000"/>
        </w:rPr>
        <w:t>RECURRENTE</w:t>
      </w:r>
      <w:r>
        <w:rPr>
          <w:rFonts w:ascii="Palatino Linotype" w:eastAsia="Palatino Linotype" w:hAnsi="Palatino Linotype" w:cs="Palatino Linotype"/>
          <w:color w:val="000000"/>
        </w:rPr>
        <w:t xml:space="preserve"> solicita corresponden, en esencia, a información relacionada con la planeación, contratación, ejecución, presupuesto y responsables de una obra pública, y no guardan una relación directa con la afectación real de un procedimiento administrativo seguido en forma de juicio o de un expediente judicial, o de un juicio de garantías como se desprende del caso concreto.</w:t>
      </w:r>
    </w:p>
    <w:p w:rsidR="00986325" w:rsidRDefault="00986325">
      <w:pPr>
        <w:spacing w:line="360" w:lineRule="auto"/>
        <w:ind w:right="-697"/>
        <w:jc w:val="both"/>
        <w:rPr>
          <w:rFonts w:ascii="Palatino Linotype" w:eastAsia="Palatino Linotype" w:hAnsi="Palatino Linotype" w:cs="Palatino Linotype"/>
          <w:color w:val="000000"/>
        </w:rPr>
      </w:pPr>
    </w:p>
    <w:p w:rsidR="00986325" w:rsidRDefault="008068B7">
      <w:pPr>
        <w:numPr>
          <w:ilvl w:val="0"/>
          <w:numId w:val="2"/>
        </w:numPr>
        <w:spacing w:line="360" w:lineRule="auto"/>
        <w:ind w:left="0" w:right="-69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lastRenderedPageBreak/>
        <w:t xml:space="preserve">Luego entonces, la causal de reserva que se pretende hacer valer por parte del </w:t>
      </w:r>
      <w:r>
        <w:rPr>
          <w:rFonts w:ascii="Palatino Linotype" w:eastAsia="Palatino Linotype" w:hAnsi="Palatino Linotype" w:cs="Palatino Linotype"/>
          <w:b/>
          <w:bCs/>
          <w:color w:val="000000"/>
        </w:rPr>
        <w:t>SUJETO OBLIGADO</w:t>
      </w:r>
      <w:r>
        <w:rPr>
          <w:rFonts w:ascii="Palatino Linotype" w:eastAsia="Palatino Linotype" w:hAnsi="Palatino Linotype" w:cs="Palatino Linotype"/>
          <w:color w:val="000000"/>
        </w:rPr>
        <w:t xml:space="preserve"> protege únicamente información cuya divulgación pueda afectar materialmente la conducción de un procedimiento contencioso mientras no exista resolución firme; es decir, no basta con que exista un procedimiento abierto: el </w:t>
      </w:r>
      <w:r>
        <w:rPr>
          <w:rFonts w:ascii="Palatino Linotype" w:eastAsia="Palatino Linotype" w:hAnsi="Palatino Linotype" w:cs="Palatino Linotype"/>
          <w:b/>
          <w:bCs/>
          <w:color w:val="000000"/>
        </w:rPr>
        <w:t>SUJETO OBLIGADO</w:t>
      </w:r>
      <w:r>
        <w:rPr>
          <w:rFonts w:ascii="Palatino Linotype" w:eastAsia="Palatino Linotype" w:hAnsi="Palatino Linotype" w:cs="Palatino Linotype"/>
          <w:color w:val="000000"/>
        </w:rPr>
        <w:t xml:space="preserve"> debe demostrar cómo la entrega de la información </w:t>
      </w:r>
      <w:r>
        <w:rPr>
          <w:rFonts w:ascii="Palatino Linotype" w:eastAsia="Palatino Linotype" w:hAnsi="Palatino Linotype" w:cs="Palatino Linotype"/>
        </w:rPr>
        <w:t>perjudica</w:t>
      </w:r>
      <w:r>
        <w:rPr>
          <w:rFonts w:ascii="Palatino Linotype" w:eastAsia="Palatino Linotype" w:hAnsi="Palatino Linotype" w:cs="Palatino Linotype"/>
          <w:color w:val="000000"/>
        </w:rPr>
        <w:t xml:space="preserve"> ese procedimiento.</w:t>
      </w:r>
    </w:p>
    <w:p w:rsidR="00986325" w:rsidRDefault="00986325">
      <w:pPr>
        <w:spacing w:line="360" w:lineRule="auto"/>
        <w:ind w:right="-697"/>
        <w:jc w:val="both"/>
        <w:rPr>
          <w:rFonts w:ascii="Palatino Linotype" w:eastAsia="Palatino Linotype" w:hAnsi="Palatino Linotype" w:cs="Palatino Linotype"/>
          <w:color w:val="000000"/>
        </w:rPr>
      </w:pPr>
    </w:p>
    <w:p w:rsidR="00986325" w:rsidRDefault="008068B7">
      <w:pPr>
        <w:numPr>
          <w:ilvl w:val="0"/>
          <w:numId w:val="2"/>
        </w:numPr>
        <w:spacing w:line="360" w:lineRule="auto"/>
        <w:ind w:left="0" w:right="-69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En ese sentido, los datos solicitados no actualizan dicha causal por varias razones, a saber, se trata de información eminentemente administrativa y presupuestal, con aspectos como: naturaleza de la obra, etapas de ejecución, presupuesto, tiempos programados, contratos (documentos definitivos y de transparencia proactiva u obligaciones comunes de transparencia en materia de obra pública), servidores públicos intervinientes, forman parte de las obligaciones ordinarias de documentación y rendición de cuentas derivadas del ejercicio de recursos públicos.</w:t>
      </w:r>
    </w:p>
    <w:p w:rsidR="00986325" w:rsidRDefault="00986325">
      <w:pPr>
        <w:spacing w:line="360" w:lineRule="auto"/>
        <w:ind w:right="-697"/>
        <w:jc w:val="both"/>
        <w:rPr>
          <w:rFonts w:ascii="Palatino Linotype" w:eastAsia="Palatino Linotype" w:hAnsi="Palatino Linotype" w:cs="Palatino Linotype"/>
          <w:color w:val="000000"/>
        </w:rPr>
      </w:pPr>
    </w:p>
    <w:p w:rsidR="00986325" w:rsidRDefault="008068B7">
      <w:pPr>
        <w:numPr>
          <w:ilvl w:val="0"/>
          <w:numId w:val="2"/>
        </w:numPr>
        <w:spacing w:line="360" w:lineRule="auto"/>
        <w:ind w:left="0" w:right="-69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En esa tesitura, se considera que con su entrega, no revelan estrategias procesales ni actuaciones jurisdiccionales, pues dicha causal de reserva busca proteger elementos como estrategias jurídicas, líneas de defensa, pruebas, actuaciones internas del litigio, proyectos de resolución, diligencias pendientes, cuya difusión sí podría afectar el debido proceso o generar una ventaja indebida para alguna de las partes.</w:t>
      </w:r>
    </w:p>
    <w:p w:rsidR="00986325" w:rsidRDefault="00986325">
      <w:pPr>
        <w:spacing w:line="360" w:lineRule="auto"/>
        <w:ind w:right="-697"/>
        <w:jc w:val="both"/>
        <w:rPr>
          <w:rFonts w:ascii="Palatino Linotype" w:eastAsia="Palatino Linotype" w:hAnsi="Palatino Linotype" w:cs="Palatino Linotype"/>
          <w:color w:val="000000"/>
        </w:rPr>
      </w:pPr>
    </w:p>
    <w:p w:rsidR="008068B7" w:rsidRPr="00522A92" w:rsidRDefault="008068B7" w:rsidP="008068B7">
      <w:pPr>
        <w:numPr>
          <w:ilvl w:val="0"/>
          <w:numId w:val="2"/>
        </w:numPr>
        <w:spacing w:line="360" w:lineRule="auto"/>
        <w:ind w:left="0" w:right="-697" w:firstLine="0"/>
        <w:jc w:val="both"/>
        <w:rPr>
          <w:rFonts w:ascii="Palatino Linotype" w:eastAsia="Palatino Linotype" w:hAnsi="Palatino Linotype" w:cs="Palatino Linotype"/>
          <w:color w:val="000000"/>
        </w:rPr>
      </w:pPr>
      <w:r w:rsidRPr="00522A92">
        <w:rPr>
          <w:rFonts w:ascii="Palatino Linotype" w:eastAsia="Palatino Linotype" w:hAnsi="Palatino Linotype" w:cs="Palatino Linotype"/>
          <w:color w:val="000000"/>
        </w:rPr>
        <w:t xml:space="preserve">En cambio, conocer cuánto cuesta una obra, quién la ejecuta o cuáles son sus etapas no vulnera la conducción de un juicio. Ahora bien, no pasa desapercibido el rubro relativo a los planos, proyectos, planes de desarrollo, dictámenes técnicos, estudios de campos, </w:t>
      </w:r>
      <w:r w:rsidRPr="00522A92">
        <w:rPr>
          <w:rFonts w:ascii="Palatino Linotype" w:eastAsia="Palatino Linotype" w:hAnsi="Palatino Linotype" w:cs="Palatino Linotype"/>
          <w:color w:val="000000"/>
        </w:rPr>
        <w:lastRenderedPageBreak/>
        <w:t xml:space="preserve">levantamientos topográficos, dictámenes de aprobación de cumplimiento de normatividad, los cuales, si bien es cierto por regla general es pública; también lo es que, eventualmente pueden clasificarse como información reservada cuando su divulgación actualice alguna de las causales de reserva previstas en la ley. </w:t>
      </w:r>
    </w:p>
    <w:p w:rsidR="008068B7" w:rsidRPr="00522A92" w:rsidRDefault="008068B7" w:rsidP="008068B7">
      <w:pPr>
        <w:pStyle w:val="Prrafodelista"/>
        <w:rPr>
          <w:rFonts w:ascii="Palatino Linotype" w:eastAsia="Palatino Linotype" w:hAnsi="Palatino Linotype" w:cs="Palatino Linotype"/>
          <w:color w:val="000000"/>
        </w:rPr>
      </w:pPr>
    </w:p>
    <w:p w:rsidR="008068B7" w:rsidRPr="00522A92" w:rsidRDefault="008068B7" w:rsidP="00DF2114">
      <w:pPr>
        <w:numPr>
          <w:ilvl w:val="0"/>
          <w:numId w:val="2"/>
        </w:numPr>
        <w:spacing w:line="360" w:lineRule="auto"/>
        <w:ind w:left="0" w:right="-697" w:firstLine="0"/>
        <w:jc w:val="both"/>
        <w:rPr>
          <w:rFonts w:ascii="Palatino Linotype" w:eastAsia="Palatino Linotype" w:hAnsi="Palatino Linotype" w:cs="Palatino Linotype"/>
          <w:color w:val="000000"/>
        </w:rPr>
      </w:pPr>
      <w:r w:rsidRPr="00522A92">
        <w:rPr>
          <w:rFonts w:ascii="Palatino Linotype" w:eastAsia="Palatino Linotype" w:hAnsi="Palatino Linotype" w:cs="Palatino Linotype"/>
          <w:color w:val="000000"/>
        </w:rPr>
        <w:t>Lo anterior dada su propia y especial naturaleza, pues eventualmente pueden comprometer la seguridad pública, si contienen información detallada sobre infraestructura estratégica, instalaciones de seguridad, sistemas de vigilancia, rutas de acceso restringido, redes de comunicación o puntos vulnerables, su difusión podría facilitar actos delictivos o poner en riesgo la seguridad de las personas.</w:t>
      </w:r>
    </w:p>
    <w:p w:rsidR="008068B7" w:rsidRPr="00522A92" w:rsidRDefault="008068B7" w:rsidP="008068B7">
      <w:pPr>
        <w:spacing w:line="360" w:lineRule="auto"/>
        <w:ind w:right="-697"/>
        <w:jc w:val="both"/>
        <w:rPr>
          <w:rFonts w:ascii="Palatino Linotype" w:eastAsia="Palatino Linotype" w:hAnsi="Palatino Linotype" w:cs="Palatino Linotype"/>
          <w:color w:val="000000"/>
        </w:rPr>
      </w:pPr>
    </w:p>
    <w:p w:rsidR="00FC4A9B" w:rsidRPr="00522A92" w:rsidRDefault="008068B7" w:rsidP="00DF2114">
      <w:pPr>
        <w:numPr>
          <w:ilvl w:val="0"/>
          <w:numId w:val="2"/>
        </w:numPr>
        <w:spacing w:line="360" w:lineRule="auto"/>
        <w:ind w:left="0" w:right="-697" w:firstLine="0"/>
        <w:jc w:val="both"/>
        <w:rPr>
          <w:rFonts w:ascii="Palatino Linotype" w:eastAsia="Palatino Linotype" w:hAnsi="Palatino Linotype" w:cs="Palatino Linotype"/>
          <w:color w:val="000000"/>
        </w:rPr>
      </w:pPr>
      <w:r w:rsidRPr="00522A92">
        <w:rPr>
          <w:rFonts w:ascii="Palatino Linotype" w:eastAsia="Palatino Linotype" w:hAnsi="Palatino Linotype" w:cs="Palatino Linotype"/>
          <w:color w:val="000000"/>
        </w:rPr>
        <w:t>Por</w:t>
      </w:r>
      <w:r w:rsidR="00DF2114" w:rsidRPr="00522A92">
        <w:rPr>
          <w:rFonts w:ascii="Palatino Linotype" w:eastAsia="Palatino Linotype" w:hAnsi="Palatino Linotype" w:cs="Palatino Linotype"/>
          <w:color w:val="000000"/>
        </w:rPr>
        <w:t xml:space="preserve"> otro lado</w:t>
      </w:r>
      <w:r w:rsidRPr="00522A92">
        <w:rPr>
          <w:rFonts w:ascii="Palatino Linotype" w:eastAsia="Palatino Linotype" w:hAnsi="Palatino Linotype" w:cs="Palatino Linotype"/>
          <w:color w:val="000000"/>
        </w:rPr>
        <w:t>,</w:t>
      </w:r>
      <w:r w:rsidR="00DF2114" w:rsidRPr="00522A92">
        <w:rPr>
          <w:rFonts w:ascii="Palatino Linotype" w:eastAsia="Palatino Linotype" w:hAnsi="Palatino Linotype" w:cs="Palatino Linotype"/>
          <w:color w:val="000000"/>
        </w:rPr>
        <w:t xml:space="preserve"> e</w:t>
      </w:r>
      <w:r w:rsidRPr="00522A92">
        <w:rPr>
          <w:rFonts w:ascii="Palatino Linotype" w:eastAsia="Palatino Linotype" w:hAnsi="Palatino Linotype" w:cs="Palatino Linotype"/>
          <w:color w:val="000000"/>
        </w:rPr>
        <w:t>n materia de obra pública municipal</w:t>
      </w:r>
      <w:r w:rsidR="00DF2114" w:rsidRPr="00522A92">
        <w:rPr>
          <w:rFonts w:ascii="Palatino Linotype" w:eastAsia="Palatino Linotype" w:hAnsi="Palatino Linotype" w:cs="Palatino Linotype"/>
          <w:color w:val="000000"/>
        </w:rPr>
        <w:t>, t</w:t>
      </w:r>
      <w:r w:rsidRPr="00522A92">
        <w:rPr>
          <w:rFonts w:ascii="Palatino Linotype" w:eastAsia="Palatino Linotype" w:hAnsi="Palatino Linotype" w:cs="Palatino Linotype"/>
          <w:color w:val="000000"/>
        </w:rPr>
        <w:t>ratándose de obras públicas, la mayoría de los documentos como</w:t>
      </w:r>
      <w:r w:rsidR="00DF2114" w:rsidRPr="00522A92">
        <w:rPr>
          <w:rFonts w:ascii="Palatino Linotype" w:eastAsia="Palatino Linotype" w:hAnsi="Palatino Linotype" w:cs="Palatino Linotype"/>
          <w:color w:val="000000"/>
        </w:rPr>
        <w:t xml:space="preserve"> los solicitados (planos aprobados, proyectos ejecutivos concluidos, dictámenes técnicos finales, estudios topográficos, licencias y autorizaciones), s</w:t>
      </w:r>
      <w:r w:rsidRPr="00522A92">
        <w:rPr>
          <w:rFonts w:ascii="Palatino Linotype" w:eastAsia="Palatino Linotype" w:hAnsi="Palatino Linotype" w:cs="Palatino Linotype"/>
          <w:color w:val="000000"/>
        </w:rPr>
        <w:t>uelen ser información pública, ya que permiten conocer cómo se ejercen los recursos públicos y fa</w:t>
      </w:r>
      <w:r w:rsidR="00DF2114" w:rsidRPr="00522A92">
        <w:rPr>
          <w:rFonts w:ascii="Palatino Linotype" w:eastAsia="Palatino Linotype" w:hAnsi="Palatino Linotype" w:cs="Palatino Linotype"/>
          <w:color w:val="000000"/>
        </w:rPr>
        <w:t>cilitan la rendición de cuentas; n</w:t>
      </w:r>
      <w:r w:rsidRPr="00522A92">
        <w:rPr>
          <w:rFonts w:ascii="Palatino Linotype" w:eastAsia="Palatino Linotype" w:hAnsi="Palatino Linotype" w:cs="Palatino Linotype"/>
          <w:color w:val="000000"/>
        </w:rPr>
        <w:t>o obstante, podrían reservar</w:t>
      </w:r>
      <w:r w:rsidR="00DF2114" w:rsidRPr="00522A92">
        <w:rPr>
          <w:rFonts w:ascii="Palatino Linotype" w:eastAsia="Palatino Linotype" w:hAnsi="Palatino Linotype" w:cs="Palatino Linotype"/>
          <w:color w:val="000000"/>
        </w:rPr>
        <w:t>se temporalmente si su difusión p</w:t>
      </w:r>
      <w:r w:rsidRPr="00522A92">
        <w:rPr>
          <w:rFonts w:ascii="Palatino Linotype" w:eastAsia="Palatino Linotype" w:hAnsi="Palatino Linotype" w:cs="Palatino Linotype"/>
          <w:color w:val="000000"/>
        </w:rPr>
        <w:t>one en riesgo la seguridad de in</w:t>
      </w:r>
      <w:r w:rsidR="00DF2114" w:rsidRPr="00522A92">
        <w:rPr>
          <w:rFonts w:ascii="Palatino Linotype" w:eastAsia="Palatino Linotype" w:hAnsi="Palatino Linotype" w:cs="Palatino Linotype"/>
          <w:color w:val="000000"/>
        </w:rPr>
        <w:t>fraestructura estratégica, i</w:t>
      </w:r>
      <w:r w:rsidRPr="00522A92">
        <w:rPr>
          <w:rFonts w:ascii="Palatino Linotype" w:eastAsia="Palatino Linotype" w:hAnsi="Palatino Linotype" w:cs="Palatino Linotype"/>
          <w:color w:val="000000"/>
        </w:rPr>
        <w:t>nterfiere con procedimient</w:t>
      </w:r>
      <w:r w:rsidR="00DF2114" w:rsidRPr="00522A92">
        <w:rPr>
          <w:rFonts w:ascii="Palatino Linotype" w:eastAsia="Palatino Linotype" w:hAnsi="Palatino Linotype" w:cs="Palatino Linotype"/>
          <w:color w:val="000000"/>
        </w:rPr>
        <w:t>os de contratación aún en curso, a</w:t>
      </w:r>
      <w:r w:rsidRPr="00522A92">
        <w:rPr>
          <w:rFonts w:ascii="Palatino Linotype" w:eastAsia="Palatino Linotype" w:hAnsi="Palatino Linotype" w:cs="Palatino Linotype"/>
          <w:color w:val="000000"/>
        </w:rPr>
        <w:t>fecta invest</w:t>
      </w:r>
      <w:r w:rsidR="00DF2114" w:rsidRPr="00522A92">
        <w:rPr>
          <w:rFonts w:ascii="Palatino Linotype" w:eastAsia="Palatino Linotype" w:hAnsi="Palatino Linotype" w:cs="Palatino Linotype"/>
          <w:color w:val="000000"/>
        </w:rPr>
        <w:t xml:space="preserve">igaciones o auditorías vigentes, </w:t>
      </w:r>
      <w:r w:rsidR="00FC4A9B" w:rsidRPr="00522A92">
        <w:rPr>
          <w:rFonts w:ascii="Palatino Linotype" w:eastAsia="Palatino Linotype" w:hAnsi="Palatino Linotype" w:cs="Palatino Linotype"/>
          <w:color w:val="000000"/>
        </w:rPr>
        <w:t>situaciones que si bien no fueron invocadas, eventualmente se pudieran actualizar.</w:t>
      </w:r>
    </w:p>
    <w:p w:rsidR="00FC4A9B" w:rsidRPr="00522A92" w:rsidRDefault="00FC4A9B" w:rsidP="00FC4A9B">
      <w:pPr>
        <w:spacing w:line="360" w:lineRule="auto"/>
        <w:ind w:right="-697"/>
        <w:jc w:val="both"/>
        <w:rPr>
          <w:rFonts w:ascii="Palatino Linotype" w:eastAsia="Palatino Linotype" w:hAnsi="Palatino Linotype" w:cs="Palatino Linotype"/>
          <w:color w:val="000000"/>
        </w:rPr>
      </w:pPr>
    </w:p>
    <w:p w:rsidR="008068B7" w:rsidRPr="00522A92" w:rsidRDefault="00FC4A9B" w:rsidP="00DF2114">
      <w:pPr>
        <w:numPr>
          <w:ilvl w:val="0"/>
          <w:numId w:val="2"/>
        </w:numPr>
        <w:spacing w:line="360" w:lineRule="auto"/>
        <w:ind w:left="0" w:right="-697" w:firstLine="0"/>
        <w:jc w:val="both"/>
        <w:rPr>
          <w:rFonts w:ascii="Palatino Linotype" w:eastAsia="Palatino Linotype" w:hAnsi="Palatino Linotype" w:cs="Palatino Linotype"/>
          <w:color w:val="000000"/>
        </w:rPr>
      </w:pPr>
      <w:r w:rsidRPr="00522A92">
        <w:rPr>
          <w:rFonts w:ascii="Palatino Linotype" w:eastAsia="Palatino Linotype" w:hAnsi="Palatino Linotype" w:cs="Palatino Linotype"/>
          <w:color w:val="000000"/>
        </w:rPr>
        <w:t>En el caso concret</w:t>
      </w:r>
      <w:r w:rsidR="008068B7" w:rsidRPr="00522A92">
        <w:rPr>
          <w:rFonts w:ascii="Palatino Linotype" w:eastAsia="Palatino Linotype" w:hAnsi="Palatino Linotype" w:cs="Palatino Linotype"/>
          <w:color w:val="000000"/>
        </w:rPr>
        <w:t xml:space="preserve">o, el </w:t>
      </w:r>
      <w:r w:rsidRPr="00522A92">
        <w:rPr>
          <w:rFonts w:ascii="Palatino Linotype" w:eastAsia="Palatino Linotype" w:hAnsi="Palatino Linotype" w:cs="Palatino Linotype"/>
          <w:b/>
          <w:color w:val="000000"/>
        </w:rPr>
        <w:t>SUJETO OBLIGADO</w:t>
      </w:r>
      <w:r w:rsidRPr="00522A92">
        <w:rPr>
          <w:rFonts w:ascii="Palatino Linotype" w:eastAsia="Palatino Linotype" w:hAnsi="Palatino Linotype" w:cs="Palatino Linotype"/>
          <w:color w:val="000000"/>
        </w:rPr>
        <w:t xml:space="preserve"> </w:t>
      </w:r>
      <w:r w:rsidR="008068B7" w:rsidRPr="00522A92">
        <w:rPr>
          <w:rFonts w:ascii="Palatino Linotype" w:eastAsia="Palatino Linotype" w:hAnsi="Palatino Linotype" w:cs="Palatino Linotype"/>
          <w:color w:val="000000"/>
        </w:rPr>
        <w:t xml:space="preserve">no puede afirmar de manera genérica que los planos o proyectos son reservados; debe identificar la causal específica prevista en la ley, realizar la prueba de daño correspondiente y emitir el acuerdo de clasificación </w:t>
      </w:r>
      <w:r w:rsidR="008068B7" w:rsidRPr="00522A92">
        <w:rPr>
          <w:rFonts w:ascii="Palatino Linotype" w:eastAsia="Palatino Linotype" w:hAnsi="Palatino Linotype" w:cs="Palatino Linotype"/>
          <w:color w:val="000000"/>
        </w:rPr>
        <w:lastRenderedPageBreak/>
        <w:t>debidamente fundado y motivado. En ausencia de estos elementos, la información debe entregarse.</w:t>
      </w:r>
    </w:p>
    <w:p w:rsidR="008068B7" w:rsidRPr="00522A92" w:rsidRDefault="008068B7" w:rsidP="008068B7">
      <w:pPr>
        <w:spacing w:line="360" w:lineRule="auto"/>
        <w:ind w:right="-697"/>
        <w:jc w:val="both"/>
        <w:rPr>
          <w:rFonts w:ascii="Palatino Linotype" w:eastAsia="Palatino Linotype" w:hAnsi="Palatino Linotype" w:cs="Palatino Linotype"/>
          <w:color w:val="000000"/>
        </w:rPr>
      </w:pPr>
    </w:p>
    <w:p w:rsidR="0022637E" w:rsidRPr="00522A92" w:rsidRDefault="0022637E" w:rsidP="0022637E">
      <w:pPr>
        <w:numPr>
          <w:ilvl w:val="0"/>
          <w:numId w:val="2"/>
        </w:numPr>
        <w:spacing w:line="360" w:lineRule="auto"/>
        <w:ind w:left="0" w:right="-697" w:firstLine="0"/>
        <w:jc w:val="both"/>
        <w:rPr>
          <w:rFonts w:ascii="Palatino Linotype" w:eastAsia="Palatino Linotype" w:hAnsi="Palatino Linotype" w:cs="Palatino Linotype"/>
          <w:color w:val="000000"/>
        </w:rPr>
      </w:pPr>
      <w:r w:rsidRPr="00522A92">
        <w:rPr>
          <w:rFonts w:ascii="Palatino Linotype" w:eastAsia="Palatino Linotype" w:hAnsi="Palatino Linotype" w:cs="Palatino Linotype"/>
          <w:color w:val="000000"/>
        </w:rPr>
        <w:t>Supuestos, de los cuales se desconoce si también alguno de ellos pudiera actualizarse, derivado que la clasificación propuesta corresponde a un mero pronunciamiento simple</w:t>
      </w:r>
      <w:r w:rsidR="008068B7" w:rsidRPr="00522A92">
        <w:rPr>
          <w:rFonts w:ascii="Palatino Linotype" w:eastAsia="Palatino Linotype" w:hAnsi="Palatino Linotype" w:cs="Palatino Linotype"/>
          <w:color w:val="000000"/>
        </w:rPr>
        <w:t xml:space="preserve">, </w:t>
      </w:r>
      <w:r w:rsidRPr="00522A92">
        <w:rPr>
          <w:rFonts w:ascii="Palatino Linotype" w:eastAsia="Palatino Linotype" w:hAnsi="Palatino Linotype" w:cs="Palatino Linotype"/>
          <w:color w:val="000000"/>
        </w:rPr>
        <w:t xml:space="preserve">de una probable clasificación por un juicio en trámite </w:t>
      </w:r>
      <w:r w:rsidR="008068B7" w:rsidRPr="00522A92">
        <w:rPr>
          <w:rFonts w:ascii="Palatino Linotype" w:eastAsia="Palatino Linotype" w:hAnsi="Palatino Linotype" w:cs="Palatino Linotype"/>
          <w:color w:val="000000"/>
        </w:rPr>
        <w:t xml:space="preserve">si pudieran actualizar una causal de reserva, dependiendo del contenido específico y del contexto, pero en términos generales, no pueden reservarse automáticamente bajo la causal relativa a “vulnerar la conducción de expedientes judiciales o procedimientos administrativos seguidos en forma de juicio”, </w:t>
      </w:r>
      <w:r w:rsidRPr="00522A92">
        <w:rPr>
          <w:rFonts w:ascii="Palatino Linotype" w:eastAsia="Palatino Linotype" w:hAnsi="Palatino Linotype" w:cs="Palatino Linotype"/>
          <w:color w:val="000000"/>
        </w:rPr>
        <w:t>para ese caso en específico la clasificación de planos, proyectos, dictámenes técnicos, estudios de campo, levantamientos topográficos u otros documentos técnicos no deriva de su contenido en sí mismo, sino de la función que desempeñan dentro de un procedimiento que aún no ha concluido.</w:t>
      </w:r>
    </w:p>
    <w:p w:rsidR="00FC4A9B" w:rsidRPr="00522A92" w:rsidRDefault="00FC4A9B" w:rsidP="00FC4A9B">
      <w:pPr>
        <w:pStyle w:val="Prrafodelista"/>
        <w:rPr>
          <w:rFonts w:ascii="Palatino Linotype" w:eastAsia="Palatino Linotype" w:hAnsi="Palatino Linotype" w:cs="Palatino Linotype"/>
          <w:color w:val="000000"/>
        </w:rPr>
      </w:pPr>
    </w:p>
    <w:p w:rsidR="0022637E" w:rsidRPr="00522A92" w:rsidRDefault="0022637E" w:rsidP="0022637E">
      <w:pPr>
        <w:numPr>
          <w:ilvl w:val="0"/>
          <w:numId w:val="2"/>
        </w:numPr>
        <w:spacing w:line="360" w:lineRule="auto"/>
        <w:ind w:left="0" w:right="-697" w:firstLine="0"/>
        <w:jc w:val="both"/>
        <w:rPr>
          <w:rFonts w:ascii="Palatino Linotype" w:eastAsia="Palatino Linotype" w:hAnsi="Palatino Linotype" w:cs="Palatino Linotype"/>
          <w:color w:val="000000"/>
        </w:rPr>
      </w:pPr>
      <w:r w:rsidRPr="00522A92">
        <w:rPr>
          <w:rFonts w:ascii="Palatino Linotype" w:eastAsia="Palatino Linotype" w:hAnsi="Palatino Linotype" w:cs="Palatino Linotype"/>
          <w:color w:val="000000"/>
        </w:rPr>
        <w:t>En ese supuesto, la causal de clasificación tiene la finalidad de garantizar que los procedimientos jurisdiccionales o cuasi jurisdiccionales se desarrollen de manera adecuada, sin interferencias externas que puedan afectar, la imparcialidad de la autoridad que resolverá, el derecho de defensa de las partes, la igualdad procesal, la obtención y valoración de pruebas, la emisión de una resolución fundada y motivada.</w:t>
      </w:r>
    </w:p>
    <w:p w:rsidR="0022637E" w:rsidRPr="00522A92" w:rsidRDefault="0022637E" w:rsidP="0022637E">
      <w:pPr>
        <w:spacing w:line="360" w:lineRule="auto"/>
        <w:ind w:right="-697"/>
        <w:jc w:val="both"/>
        <w:rPr>
          <w:rFonts w:ascii="Palatino Linotype" w:eastAsia="Palatino Linotype" w:hAnsi="Palatino Linotype" w:cs="Palatino Linotype"/>
          <w:color w:val="000000"/>
        </w:rPr>
      </w:pPr>
    </w:p>
    <w:p w:rsidR="00986325" w:rsidRPr="00522A92" w:rsidRDefault="0022637E" w:rsidP="0022637E">
      <w:pPr>
        <w:numPr>
          <w:ilvl w:val="0"/>
          <w:numId w:val="2"/>
        </w:numPr>
        <w:spacing w:line="360" w:lineRule="auto"/>
        <w:ind w:left="0" w:right="-697" w:firstLine="0"/>
        <w:jc w:val="both"/>
        <w:rPr>
          <w:rFonts w:ascii="Palatino Linotype" w:eastAsia="Palatino Linotype" w:hAnsi="Palatino Linotype" w:cs="Palatino Linotype"/>
          <w:color w:val="000000"/>
        </w:rPr>
      </w:pPr>
      <w:r w:rsidRPr="00522A92">
        <w:rPr>
          <w:rFonts w:ascii="Palatino Linotype" w:eastAsia="Palatino Linotype" w:hAnsi="Palatino Linotype" w:cs="Palatino Linotype"/>
          <w:color w:val="000000"/>
        </w:rPr>
        <w:t xml:space="preserve">La reserva no busca ocultar información pública, sino evitar que la divulgación anticipada de determinados documentos genere una afectación real al procedimiento en trámite, </w:t>
      </w:r>
      <w:r w:rsidR="008068B7" w:rsidRPr="00522A92">
        <w:rPr>
          <w:rFonts w:ascii="Palatino Linotype" w:eastAsia="Palatino Linotype" w:hAnsi="Palatino Linotype" w:cs="Palatino Linotype"/>
          <w:color w:val="000000"/>
        </w:rPr>
        <w:t xml:space="preserve">contexto que se desconoce, en virtud que la respuesta corresponde a un </w:t>
      </w:r>
      <w:r w:rsidR="008068B7" w:rsidRPr="00522A92">
        <w:rPr>
          <w:rFonts w:ascii="Palatino Linotype" w:eastAsia="Palatino Linotype" w:hAnsi="Palatino Linotype" w:cs="Palatino Linotype"/>
          <w:color w:val="000000"/>
        </w:rPr>
        <w:lastRenderedPageBreak/>
        <w:t>pronunciamiento simple, sin que para tal efecto se haya fundado y motivado mediante la prueba de daño.</w:t>
      </w:r>
    </w:p>
    <w:p w:rsidR="00986325" w:rsidRPr="00522A92" w:rsidRDefault="00986325">
      <w:pPr>
        <w:pBdr>
          <w:top w:val="nil"/>
          <w:left w:val="nil"/>
          <w:bottom w:val="nil"/>
          <w:right w:val="nil"/>
          <w:between w:val="nil"/>
        </w:pBdr>
        <w:ind w:left="720" w:right="-697"/>
        <w:rPr>
          <w:rFonts w:ascii="Palatino Linotype" w:eastAsia="Palatino Linotype" w:hAnsi="Palatino Linotype" w:cs="Palatino Linotype"/>
          <w:color w:val="000000"/>
        </w:rPr>
      </w:pPr>
    </w:p>
    <w:p w:rsidR="00986325" w:rsidRPr="00522A92" w:rsidRDefault="008068B7">
      <w:pPr>
        <w:numPr>
          <w:ilvl w:val="0"/>
          <w:numId w:val="2"/>
        </w:numPr>
        <w:spacing w:line="360" w:lineRule="auto"/>
        <w:ind w:left="0" w:right="-697" w:firstLine="0"/>
        <w:jc w:val="both"/>
        <w:rPr>
          <w:rFonts w:ascii="Palatino Linotype" w:eastAsia="Palatino Linotype" w:hAnsi="Palatino Linotype" w:cs="Palatino Linotype"/>
          <w:color w:val="000000"/>
        </w:rPr>
      </w:pPr>
      <w:r w:rsidRPr="00522A92">
        <w:rPr>
          <w:rFonts w:ascii="Palatino Linotype" w:eastAsia="Palatino Linotype" w:hAnsi="Palatino Linotype" w:cs="Palatino Linotype"/>
          <w:color w:val="000000"/>
        </w:rPr>
        <w:t>En ese sentido, los sujetos obligados deben acreditar una prueba de daño, en la cual se justifique caso por caso por qué su divulgación afectaría realmente el procedimiento, ya que –se insiste– esos documentos sí</w:t>
      </w:r>
      <w:r w:rsidR="00FC4A9B" w:rsidRPr="00522A92">
        <w:rPr>
          <w:rFonts w:ascii="Palatino Linotype" w:eastAsia="Palatino Linotype" w:hAnsi="Palatino Linotype" w:cs="Palatino Linotype"/>
          <w:color w:val="000000"/>
        </w:rPr>
        <w:t xml:space="preserve"> pueden ser más sensibles que el resto de la</w:t>
      </w:r>
      <w:r w:rsidRPr="00522A92">
        <w:rPr>
          <w:rFonts w:ascii="Palatino Linotype" w:eastAsia="Palatino Linotype" w:hAnsi="Palatino Linotype" w:cs="Palatino Linotype"/>
          <w:color w:val="000000"/>
        </w:rPr>
        <w:t xml:space="preserve"> información meramente presupuestal o administrativa</w:t>
      </w:r>
      <w:r w:rsidR="00FC4A9B" w:rsidRPr="00522A92">
        <w:rPr>
          <w:rFonts w:ascii="Palatino Linotype" w:eastAsia="Palatino Linotype" w:hAnsi="Palatino Linotype" w:cs="Palatino Linotype"/>
          <w:color w:val="000000"/>
        </w:rPr>
        <w:t xml:space="preserve"> que se ordena</w:t>
      </w:r>
      <w:r w:rsidRPr="00522A92">
        <w:rPr>
          <w:rFonts w:ascii="Palatino Linotype" w:eastAsia="Palatino Linotype" w:hAnsi="Palatino Linotype" w:cs="Palatino Linotype"/>
          <w:color w:val="000000"/>
        </w:rPr>
        <w:t>, porque algunos podrían encuadrar excepcionalmente en otras causales de reserva o incluso contener información confidencial.</w:t>
      </w:r>
    </w:p>
    <w:p w:rsidR="00986325" w:rsidRDefault="00986325">
      <w:pPr>
        <w:pBdr>
          <w:top w:val="nil"/>
          <w:left w:val="nil"/>
          <w:bottom w:val="nil"/>
          <w:right w:val="nil"/>
          <w:between w:val="nil"/>
        </w:pBdr>
        <w:ind w:left="720" w:right="-697"/>
        <w:rPr>
          <w:rFonts w:ascii="Palatino Linotype" w:eastAsia="Palatino Linotype" w:hAnsi="Palatino Linotype" w:cs="Palatino Linotype"/>
          <w:color w:val="000000"/>
        </w:rPr>
      </w:pPr>
    </w:p>
    <w:p w:rsidR="00986325" w:rsidRDefault="008068B7">
      <w:pPr>
        <w:numPr>
          <w:ilvl w:val="0"/>
          <w:numId w:val="2"/>
        </w:numPr>
        <w:spacing w:line="360" w:lineRule="auto"/>
        <w:ind w:left="0" w:right="-69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Normalmente, la información de referencia, forma parte del expediente técnico de una obra pública y, en principio, son información pública por estar vinculados al ejercicio de recursos públicos; no obstante, podrían clasificarse como reservados cuando su publicidad, comprometa infraestructura estratégica, afecte seguridad pública, </w:t>
      </w:r>
      <w:r>
        <w:rPr>
          <w:rFonts w:ascii="Palatino Linotype" w:eastAsia="Palatino Linotype" w:hAnsi="Palatino Linotype" w:cs="Palatino Linotype"/>
        </w:rPr>
        <w:t>revela</w:t>
      </w:r>
      <w:r>
        <w:rPr>
          <w:rFonts w:ascii="Palatino Linotype" w:eastAsia="Palatino Linotype" w:hAnsi="Palatino Linotype" w:cs="Palatino Linotype"/>
          <w:color w:val="000000"/>
        </w:rPr>
        <w:t xml:space="preserve"> vulnerabilidades estructurales, exponga instalaciones críticas, o contenga secretos industriales, derechos de autor o información técnica protegida de particulares.</w:t>
      </w:r>
    </w:p>
    <w:p w:rsidR="00986325" w:rsidRDefault="00986325">
      <w:pPr>
        <w:pBdr>
          <w:top w:val="nil"/>
          <w:left w:val="nil"/>
          <w:bottom w:val="nil"/>
          <w:right w:val="nil"/>
          <w:between w:val="nil"/>
        </w:pBdr>
        <w:ind w:left="720" w:right="-697"/>
        <w:rPr>
          <w:rFonts w:ascii="Palatino Linotype" w:eastAsia="Palatino Linotype" w:hAnsi="Palatino Linotype" w:cs="Palatino Linotype"/>
          <w:color w:val="000000"/>
        </w:rPr>
      </w:pPr>
    </w:p>
    <w:p w:rsidR="00986325" w:rsidRDefault="008068B7">
      <w:pPr>
        <w:numPr>
          <w:ilvl w:val="0"/>
          <w:numId w:val="2"/>
        </w:numPr>
        <w:spacing w:line="360" w:lineRule="auto"/>
        <w:ind w:left="0" w:right="-69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Por ejemplo, podría existir una reserva parcial respecto de especificaciones de seguridad, sistemas hidráulicos críticos, instalaciones eléctricas estratégicas, infraestructura de seguridad, coordenadas sensibles, memorias técnicas protegidas.</w:t>
      </w:r>
    </w:p>
    <w:p w:rsidR="00702D03" w:rsidRDefault="00702D03" w:rsidP="00702D03">
      <w:pPr>
        <w:spacing w:line="360" w:lineRule="auto"/>
        <w:ind w:right="-697"/>
        <w:jc w:val="both"/>
        <w:rPr>
          <w:rFonts w:ascii="Palatino Linotype" w:eastAsia="Palatino Linotype" w:hAnsi="Palatino Linotype" w:cs="Palatino Linotype"/>
          <w:color w:val="000000"/>
        </w:rPr>
      </w:pPr>
    </w:p>
    <w:p w:rsidR="00986325" w:rsidRDefault="008068B7">
      <w:pPr>
        <w:numPr>
          <w:ilvl w:val="0"/>
          <w:numId w:val="2"/>
        </w:numPr>
        <w:spacing w:line="360" w:lineRule="auto"/>
        <w:ind w:left="0" w:right="-69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Pero aun en esos casos, la reserva debe estar fundada y motivada, reiterando en la aplicabilidad de una prueba de daño, debiendo demostrar el </w:t>
      </w:r>
      <w:r>
        <w:rPr>
          <w:rFonts w:ascii="Palatino Linotype" w:eastAsia="Palatino Linotype" w:hAnsi="Palatino Linotype" w:cs="Palatino Linotype"/>
          <w:b/>
          <w:bCs/>
          <w:color w:val="000000"/>
        </w:rPr>
        <w:t xml:space="preserve">SUJETO OBLIGADO </w:t>
      </w:r>
      <w:r>
        <w:rPr>
          <w:rFonts w:ascii="Palatino Linotype" w:eastAsia="Palatino Linotype" w:hAnsi="Palatino Linotype" w:cs="Palatino Linotype"/>
          <w:color w:val="000000"/>
        </w:rPr>
        <w:t xml:space="preserve">de manera enunciativa más no limitativa aspectos como que el documento constituye una prueba central aún no desahogada; que su difusión alteraría la igualdad procesal; que </w:t>
      </w:r>
      <w:r>
        <w:rPr>
          <w:rFonts w:ascii="Palatino Linotype" w:eastAsia="Palatino Linotype" w:hAnsi="Palatino Linotype" w:cs="Palatino Linotype"/>
          <w:color w:val="000000"/>
        </w:rPr>
        <w:lastRenderedPageBreak/>
        <w:t>revelaría estrategia jurídica; o que interferiría materialmente con actuaciones pendientes, esto para el caso que la causal que se actualice corresponde al juicio de amparo que se arguye se encuentra en trámite.</w:t>
      </w:r>
    </w:p>
    <w:p w:rsidR="00986325" w:rsidRDefault="00986325">
      <w:pPr>
        <w:pBdr>
          <w:top w:val="nil"/>
          <w:left w:val="nil"/>
          <w:bottom w:val="nil"/>
          <w:right w:val="nil"/>
          <w:between w:val="nil"/>
        </w:pBdr>
        <w:ind w:left="720" w:right="-697"/>
        <w:rPr>
          <w:rFonts w:ascii="Palatino Linotype" w:eastAsia="Palatino Linotype" w:hAnsi="Palatino Linotype" w:cs="Palatino Linotype"/>
          <w:color w:val="000000"/>
        </w:rPr>
      </w:pPr>
    </w:p>
    <w:p w:rsidR="00986325" w:rsidRDefault="008068B7">
      <w:pPr>
        <w:numPr>
          <w:ilvl w:val="0"/>
          <w:numId w:val="2"/>
        </w:numPr>
        <w:spacing w:line="360" w:lineRule="auto"/>
        <w:ind w:left="0" w:right="-69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Contextos que se insiste, se desconocen derivado de la ambigüedad de la respuesta, por ello en todo caso, de ser procedente, se deberá identificar el procedimiento específico, explicar el riesgo real, demostrable e identificable, señalar cómo la publicidad afectaría la conducción del asunto, justificar por qué el daño es mayor al interés público de conocer la información.</w:t>
      </w:r>
    </w:p>
    <w:p w:rsidR="00986325" w:rsidRDefault="00986325">
      <w:pPr>
        <w:spacing w:line="360" w:lineRule="auto"/>
        <w:ind w:right="-697"/>
        <w:jc w:val="both"/>
        <w:rPr>
          <w:rFonts w:ascii="Palatino Linotype" w:eastAsia="Palatino Linotype" w:hAnsi="Palatino Linotype" w:cs="Palatino Linotype"/>
          <w:color w:val="000000"/>
        </w:rPr>
      </w:pPr>
    </w:p>
    <w:p w:rsidR="00986325" w:rsidRDefault="008068B7">
      <w:pPr>
        <w:numPr>
          <w:ilvl w:val="0"/>
          <w:numId w:val="2"/>
        </w:numPr>
        <w:spacing w:line="360" w:lineRule="auto"/>
        <w:ind w:left="0" w:right="-697"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Dicho lo anterior, es necesario definir con puntualidad a la prueba de daño como la responsabilidad de los </w:t>
      </w:r>
      <w:r>
        <w:rPr>
          <w:rFonts w:ascii="Palatino Linotype" w:eastAsia="Palatino Linotype" w:hAnsi="Palatino Linotype" w:cs="Palatino Linotype"/>
          <w:color w:val="000000"/>
        </w:rPr>
        <w:t>sujetos</w:t>
      </w:r>
      <w:r>
        <w:rPr>
          <w:rFonts w:ascii="Palatino Linotype" w:eastAsia="Palatino Linotype" w:hAnsi="Palatino Linotype" w:cs="Palatino Linotype"/>
        </w:rPr>
        <w:t xml:space="preserve"> obligados de demostrar de manera fundada y motivada, que la divulgación de la información lesiona el interés debidamente protegido por la Ley, y que el menoscabo o daño que puede producirse con la publicidad de la información es mayor, que el interés de conocerla, por lo que debe clasificarse como reservada.</w:t>
      </w:r>
      <w:r>
        <w:rPr>
          <w:rFonts w:ascii="Palatino Linotype" w:eastAsia="Palatino Linotype" w:hAnsi="Palatino Linotype" w:cs="Palatino Linotype"/>
          <w:vertAlign w:val="superscript"/>
        </w:rPr>
        <w:footnoteReference w:id="1"/>
      </w:r>
    </w:p>
    <w:p w:rsidR="00986325" w:rsidRDefault="00986325">
      <w:pPr>
        <w:spacing w:line="360" w:lineRule="auto"/>
        <w:ind w:right="-697"/>
        <w:jc w:val="both"/>
        <w:rPr>
          <w:rFonts w:ascii="Palatino Linotype" w:eastAsia="Palatino Linotype" w:hAnsi="Palatino Linotype" w:cs="Palatino Linotype"/>
        </w:rPr>
      </w:pPr>
    </w:p>
    <w:p w:rsidR="00986325" w:rsidRDefault="008068B7">
      <w:pPr>
        <w:numPr>
          <w:ilvl w:val="0"/>
          <w:numId w:val="2"/>
        </w:numPr>
        <w:spacing w:line="360" w:lineRule="auto"/>
        <w:ind w:left="0" w:right="-697" w:firstLine="0"/>
        <w:jc w:val="both"/>
        <w:rPr>
          <w:rFonts w:ascii="Palatino Linotype" w:eastAsia="Palatino Linotype" w:hAnsi="Palatino Linotype" w:cs="Palatino Linotype"/>
        </w:rPr>
      </w:pPr>
      <w:r>
        <w:rPr>
          <w:rFonts w:ascii="Palatino Linotype" w:eastAsia="Palatino Linotype" w:hAnsi="Palatino Linotype" w:cs="Palatino Linotype"/>
        </w:rPr>
        <w:t>De este modo, para clasificar la información, se debe de atender a lo dispuesto por la normativa y aplicar, de manera estricta, las excepciones del derecho de acceso a la información y sólo podrán invocarlas cuando acrediten su procedencia, debiendo clasificar la información en el momento en que:</w:t>
      </w:r>
      <w:r>
        <w:rPr>
          <w:rFonts w:ascii="Palatino Linotype" w:eastAsia="Palatino Linotype" w:hAnsi="Palatino Linotype" w:cs="Palatino Linotype"/>
          <w:vertAlign w:val="superscript"/>
        </w:rPr>
        <w:footnoteReference w:id="2"/>
      </w:r>
    </w:p>
    <w:p w:rsidR="00986325" w:rsidRDefault="008068B7">
      <w:pPr>
        <w:numPr>
          <w:ilvl w:val="0"/>
          <w:numId w:val="19"/>
        </w:numPr>
        <w:spacing w:line="360" w:lineRule="auto"/>
        <w:ind w:right="-697"/>
        <w:jc w:val="both"/>
        <w:rPr>
          <w:rFonts w:ascii="Palatino Linotype" w:eastAsia="Palatino Linotype" w:hAnsi="Palatino Linotype" w:cs="Palatino Linotype"/>
        </w:rPr>
      </w:pPr>
      <w:r>
        <w:rPr>
          <w:rFonts w:ascii="Palatino Linotype" w:eastAsia="Palatino Linotype" w:hAnsi="Palatino Linotype" w:cs="Palatino Linotype"/>
        </w:rPr>
        <w:lastRenderedPageBreak/>
        <w:t>Se reciba una solicitud de acceso a la información.</w:t>
      </w:r>
    </w:p>
    <w:p w:rsidR="00986325" w:rsidRDefault="008068B7">
      <w:pPr>
        <w:numPr>
          <w:ilvl w:val="0"/>
          <w:numId w:val="19"/>
        </w:numPr>
        <w:spacing w:line="360" w:lineRule="auto"/>
        <w:ind w:right="-697"/>
        <w:jc w:val="both"/>
        <w:rPr>
          <w:rFonts w:ascii="Palatino Linotype" w:eastAsia="Palatino Linotype" w:hAnsi="Palatino Linotype" w:cs="Palatino Linotype"/>
          <w:b/>
          <w:bCs/>
          <w:u w:val="single"/>
        </w:rPr>
      </w:pPr>
      <w:r>
        <w:rPr>
          <w:rFonts w:ascii="Palatino Linotype" w:eastAsia="Palatino Linotype" w:hAnsi="Palatino Linotype" w:cs="Palatino Linotype"/>
          <w:b/>
          <w:bCs/>
          <w:u w:val="single"/>
        </w:rPr>
        <w:t>Se determine mediante resolución de autoridad competente.</w:t>
      </w:r>
    </w:p>
    <w:p w:rsidR="00986325" w:rsidRDefault="008068B7">
      <w:pPr>
        <w:numPr>
          <w:ilvl w:val="0"/>
          <w:numId w:val="19"/>
        </w:numPr>
        <w:spacing w:line="360" w:lineRule="auto"/>
        <w:ind w:right="-697"/>
        <w:jc w:val="both"/>
        <w:rPr>
          <w:rFonts w:ascii="Palatino Linotype" w:eastAsia="Palatino Linotype" w:hAnsi="Palatino Linotype" w:cs="Palatino Linotype"/>
        </w:rPr>
      </w:pPr>
      <w:r>
        <w:rPr>
          <w:rFonts w:ascii="Palatino Linotype" w:eastAsia="Palatino Linotype" w:hAnsi="Palatino Linotype" w:cs="Palatino Linotype"/>
        </w:rPr>
        <w:t>Se generen versiones públicas para dar cumplimiento a las obligaciones de transparencia previstas en la Ley.</w:t>
      </w:r>
    </w:p>
    <w:p w:rsidR="00986325" w:rsidRDefault="00986325">
      <w:pPr>
        <w:spacing w:line="360" w:lineRule="auto"/>
        <w:ind w:right="-697"/>
        <w:jc w:val="both"/>
        <w:rPr>
          <w:rFonts w:ascii="Palatino Linotype" w:eastAsia="Palatino Linotype" w:hAnsi="Palatino Linotype" w:cs="Palatino Linotype"/>
        </w:rPr>
      </w:pPr>
    </w:p>
    <w:p w:rsidR="00986325" w:rsidRDefault="008068B7">
      <w:pPr>
        <w:numPr>
          <w:ilvl w:val="0"/>
          <w:numId w:val="2"/>
        </w:numPr>
        <w:spacing w:line="360" w:lineRule="auto"/>
        <w:ind w:left="0" w:right="-697" w:firstLine="0"/>
        <w:jc w:val="both"/>
        <w:rPr>
          <w:rFonts w:ascii="Palatino Linotype" w:eastAsia="Palatino Linotype" w:hAnsi="Palatino Linotype" w:cs="Palatino Linotype"/>
        </w:rPr>
      </w:pPr>
      <w:r>
        <w:rPr>
          <w:rFonts w:ascii="Palatino Linotype" w:eastAsia="Palatino Linotype" w:hAnsi="Palatino Linotype" w:cs="Palatino Linotype"/>
        </w:rPr>
        <w:t>Situación que se robustece con el artículo 141 de la misma Ley, que señala que las causales de reserva previstas, se deberán fundar y motivar, a través de la aplicación de la prueba de daño.</w:t>
      </w:r>
    </w:p>
    <w:p w:rsidR="00986325" w:rsidRDefault="00986325">
      <w:pPr>
        <w:spacing w:line="360" w:lineRule="auto"/>
        <w:ind w:right="-697"/>
        <w:jc w:val="both"/>
        <w:rPr>
          <w:rFonts w:ascii="Palatino Linotype" w:eastAsia="Palatino Linotype" w:hAnsi="Palatino Linotype" w:cs="Palatino Linotype"/>
        </w:rPr>
      </w:pPr>
    </w:p>
    <w:p w:rsidR="00986325" w:rsidRDefault="008068B7">
      <w:pPr>
        <w:numPr>
          <w:ilvl w:val="0"/>
          <w:numId w:val="2"/>
        </w:numPr>
        <w:spacing w:line="360" w:lineRule="auto"/>
        <w:ind w:left="0" w:right="-697"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Igualmente, la clasificación de la información debe estar sustentada en el Acuerdo de Clasificación correspondiente, en el que, de manera fundada y motivada, se establezcan las hipótesis normativas aplicables al caso concreto y se analice la prueba del daño que prevé el artículo 129 de la Ley de Transparencia de mérito, para lo cual, los sujetos obligados deberán considerar lo siguiente: </w:t>
      </w:r>
    </w:p>
    <w:p w:rsidR="00986325" w:rsidRDefault="008068B7">
      <w:pPr>
        <w:numPr>
          <w:ilvl w:val="0"/>
          <w:numId w:val="20"/>
        </w:numPr>
        <w:pBdr>
          <w:top w:val="nil"/>
          <w:left w:val="nil"/>
          <w:bottom w:val="nil"/>
          <w:right w:val="nil"/>
          <w:between w:val="nil"/>
        </w:pBdr>
        <w:spacing w:line="360" w:lineRule="auto"/>
        <w:ind w:right="-697"/>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La divulgación de la información representa un riesgo real, demostrable e identificable del perjuicio significativo al interés público o a la seguridad pública;</w:t>
      </w:r>
    </w:p>
    <w:p w:rsidR="00986325" w:rsidRDefault="008068B7">
      <w:pPr>
        <w:numPr>
          <w:ilvl w:val="0"/>
          <w:numId w:val="20"/>
        </w:numPr>
        <w:pBdr>
          <w:top w:val="nil"/>
          <w:left w:val="nil"/>
          <w:bottom w:val="nil"/>
          <w:right w:val="nil"/>
          <w:between w:val="nil"/>
        </w:pBdr>
        <w:spacing w:line="360" w:lineRule="auto"/>
        <w:ind w:right="-697"/>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El riesgo de perjuicio que supondría la divulgación supera el interés público general de que se difunda; y</w:t>
      </w:r>
    </w:p>
    <w:p w:rsidR="00986325" w:rsidRDefault="008068B7">
      <w:pPr>
        <w:numPr>
          <w:ilvl w:val="0"/>
          <w:numId w:val="20"/>
        </w:numPr>
        <w:pBdr>
          <w:top w:val="nil"/>
          <w:left w:val="nil"/>
          <w:bottom w:val="nil"/>
          <w:right w:val="nil"/>
          <w:between w:val="nil"/>
        </w:pBdr>
        <w:spacing w:line="360" w:lineRule="auto"/>
        <w:ind w:right="-697"/>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La limitación se adecua al principio de proporcionalidad y representa el medio menos restrictivo disponible para evitar el perjuicio. </w:t>
      </w:r>
    </w:p>
    <w:p w:rsidR="00986325" w:rsidRDefault="00986325">
      <w:pPr>
        <w:spacing w:line="360" w:lineRule="auto"/>
        <w:ind w:right="-697"/>
        <w:jc w:val="both"/>
        <w:rPr>
          <w:rFonts w:ascii="Palatino Linotype" w:eastAsia="Palatino Linotype" w:hAnsi="Palatino Linotype" w:cs="Palatino Linotype"/>
        </w:rPr>
      </w:pPr>
    </w:p>
    <w:p w:rsidR="00986325" w:rsidRDefault="008068B7">
      <w:pPr>
        <w:numPr>
          <w:ilvl w:val="0"/>
          <w:numId w:val="2"/>
        </w:numPr>
        <w:spacing w:line="360" w:lineRule="auto"/>
        <w:ind w:left="283" w:right="-697"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De tal manera, las limitaciones al acceso a la información deben sustentarse en una adecuada clasificación que debe distinguir y tomar en cuenta qué información puede </w:t>
      </w:r>
      <w:r>
        <w:rPr>
          <w:rFonts w:ascii="Palatino Linotype" w:eastAsia="Palatino Linotype" w:hAnsi="Palatino Linotype" w:cs="Palatino Linotype"/>
        </w:rPr>
        <w:lastRenderedPageBreak/>
        <w:t>generar un daño desproporcionado o innecesario a valores jurídicamente protegidos; tal y como lo dispone la siguiente tesis</w:t>
      </w:r>
      <w:r>
        <w:rPr>
          <w:rFonts w:ascii="Palatino Linotype" w:eastAsia="Palatino Linotype" w:hAnsi="Palatino Linotype" w:cs="Palatino Linotype"/>
          <w:vertAlign w:val="superscript"/>
        </w:rPr>
        <w:t>:</w:t>
      </w:r>
    </w:p>
    <w:p w:rsidR="00986325" w:rsidRDefault="008068B7">
      <w:pPr>
        <w:spacing w:before="240" w:line="360" w:lineRule="auto"/>
        <w:ind w:left="851" w:right="-697"/>
        <w:jc w:val="both"/>
        <w:rPr>
          <w:rFonts w:ascii="Palatino Linotype" w:eastAsia="Palatino Linotype" w:hAnsi="Palatino Linotype" w:cs="Palatino Linotype"/>
          <w:i/>
          <w:iCs/>
        </w:rPr>
      </w:pPr>
      <w:r>
        <w:rPr>
          <w:rFonts w:ascii="Palatino Linotype" w:eastAsia="Palatino Linotype" w:hAnsi="Palatino Linotype" w:cs="Palatino Linotype"/>
          <w:b/>
          <w:bCs/>
          <w:i/>
          <w:iCs/>
        </w:rPr>
        <w:t>“INFORMACIÓN RESERVADA. APLICACIÓN DE LA "PRUEBA DE DAÑO E INTERÉS PÚBLICO" PARA DETERMINAR LO ADECUADO DE LA APORTADA CON ESA CLASIFICACIÓN EN EL JUICIO DE AMPARO POR LA AUTORIDAD RESPONSABLE, A EFECTO DE HACER VIABLE LA DEFENSA EFECTIVA DEL QUEJOSO.</w:t>
      </w:r>
      <w:r>
        <w:rPr>
          <w:rFonts w:ascii="Palatino Linotype" w:eastAsia="Palatino Linotype" w:hAnsi="Palatino Linotype" w:cs="Palatino Linotype"/>
          <w:i/>
          <w:iCs/>
        </w:rPr>
        <w:t xml:space="preserve"> </w:t>
      </w:r>
    </w:p>
    <w:p w:rsidR="00986325" w:rsidRDefault="008068B7">
      <w:pPr>
        <w:spacing w:before="240" w:line="360" w:lineRule="auto"/>
        <w:ind w:left="851" w:right="-697"/>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rPr>
        <w:t>Una adecuada clasificación de la información pública debe tomar en cuenta y distinguir, en el contexto general de un documento, cuál es la específica y precisa, cuya divulgación puede generar un daño desproporcionado o innecesario a valores jurídicamente protegidos, lo cual debe evitarse, en la medida de lo posible, frente a aquella que debe ser accesible al quejoso en el amparo para hacer viable su defensa efectiva y cuestionar violaciones a derechos fundamentales, lo que implica un interés público en abrir o desclasificar la información necesaria para ese efecto, cuando la autoridad responsable que la aporta al juicio la clasifica como reservada. Por tanto, es necesario distinguir esas diferencias y formular una idónea y adecuada clasificación de la información, generando así una regla individualizada y pertinente para el caso, a través de aplicar la "prueba de daño e interés público" ex officio, con el propósito de obtener una versión que sea pública para la parte interesada.”</w:t>
      </w:r>
    </w:p>
    <w:p w:rsidR="00986325" w:rsidRDefault="00986325">
      <w:pPr>
        <w:spacing w:line="360" w:lineRule="auto"/>
        <w:ind w:right="-697"/>
        <w:jc w:val="both"/>
        <w:rPr>
          <w:rFonts w:ascii="Palatino Linotype" w:eastAsia="Palatino Linotype" w:hAnsi="Palatino Linotype" w:cs="Palatino Linotype"/>
        </w:rPr>
      </w:pPr>
    </w:p>
    <w:p w:rsidR="00986325" w:rsidRDefault="008068B7">
      <w:pPr>
        <w:numPr>
          <w:ilvl w:val="0"/>
          <w:numId w:val="2"/>
        </w:numPr>
        <w:spacing w:line="360" w:lineRule="auto"/>
        <w:ind w:left="0" w:right="-697"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Prueba de daño, que cobra relevancia puesto que </w:t>
      </w:r>
      <w:r>
        <w:rPr>
          <w:rFonts w:ascii="Palatino Linotype" w:eastAsia="Palatino Linotype" w:hAnsi="Palatino Linotype" w:cs="Palatino Linotype"/>
          <w:b/>
          <w:bCs/>
          <w:u w:val="single"/>
        </w:rPr>
        <w:t>sí ésta no arroja resultados contundentes sobre un posible peligro, deberá de publicarse la información</w:t>
      </w:r>
      <w:r>
        <w:rPr>
          <w:rFonts w:ascii="Palatino Linotype" w:eastAsia="Palatino Linotype" w:hAnsi="Palatino Linotype" w:cs="Palatino Linotype"/>
          <w:vertAlign w:val="superscript"/>
        </w:rPr>
        <w:footnoteReference w:id="3"/>
      </w:r>
      <w:r>
        <w:rPr>
          <w:rFonts w:ascii="Palatino Linotype" w:eastAsia="Palatino Linotype" w:hAnsi="Palatino Linotype" w:cs="Palatino Linotype"/>
        </w:rPr>
        <w:t xml:space="preserve">. Siendo que, </w:t>
      </w:r>
      <w:r>
        <w:rPr>
          <w:rFonts w:ascii="Palatino Linotype" w:eastAsia="Palatino Linotype" w:hAnsi="Palatino Linotype" w:cs="Palatino Linotype"/>
        </w:rPr>
        <w:lastRenderedPageBreak/>
        <w:t>los Sujetos Obligados deben aplicar de manera restrictiva y limitada, las excepciones al derecho de acceso a la información, sin ampliar las excepciones y supuestos de reserva previstos en la Ley General de Transparencia y Acceso a la Información Pública o la Ley local, aduciendo analogía o mayoría de razón.</w:t>
      </w:r>
    </w:p>
    <w:p w:rsidR="00986325" w:rsidRDefault="00986325">
      <w:pPr>
        <w:spacing w:line="360" w:lineRule="auto"/>
        <w:ind w:right="-697"/>
        <w:jc w:val="both"/>
        <w:rPr>
          <w:rFonts w:ascii="Palatino Linotype" w:eastAsia="Palatino Linotype" w:hAnsi="Palatino Linotype" w:cs="Palatino Linotype"/>
        </w:rPr>
      </w:pPr>
    </w:p>
    <w:p w:rsidR="00986325" w:rsidRDefault="008068B7">
      <w:pPr>
        <w:numPr>
          <w:ilvl w:val="0"/>
          <w:numId w:val="2"/>
        </w:numPr>
        <w:spacing w:line="360" w:lineRule="auto"/>
        <w:ind w:left="0" w:right="-697" w:firstLine="0"/>
        <w:jc w:val="both"/>
        <w:rPr>
          <w:rFonts w:ascii="Palatino Linotype" w:eastAsia="Palatino Linotype" w:hAnsi="Palatino Linotype" w:cs="Palatino Linotype"/>
        </w:rPr>
      </w:pPr>
      <w:r>
        <w:rPr>
          <w:rFonts w:ascii="Palatino Linotype" w:eastAsia="Palatino Linotype" w:hAnsi="Palatino Linotype" w:cs="Palatino Linotype"/>
        </w:rPr>
        <w:t>Asimismo, los Sujetos Obligados no pueden emitir acuerdos de carácter general o particular que clasifiquen documentos o información como reservada, ya que dicha clasificación, debe estar acorde con la actualización de los supuestos definidos; resaltando, además, que la clasificación de la información se debe realizar conforme a un análisis caso por caso, mediante la aplicación de la enunciada prueba de daño.</w:t>
      </w:r>
      <w:r>
        <w:rPr>
          <w:rFonts w:ascii="Palatino Linotype" w:eastAsia="Palatino Linotype" w:hAnsi="Palatino Linotype" w:cs="Palatino Linotype"/>
          <w:vertAlign w:val="superscript"/>
        </w:rPr>
        <w:footnoteReference w:id="4"/>
      </w:r>
    </w:p>
    <w:p w:rsidR="00986325" w:rsidRDefault="00986325">
      <w:pPr>
        <w:spacing w:line="360" w:lineRule="auto"/>
        <w:ind w:right="-697"/>
        <w:jc w:val="both"/>
        <w:rPr>
          <w:rFonts w:ascii="Palatino Linotype" w:eastAsia="Palatino Linotype" w:hAnsi="Palatino Linotype" w:cs="Palatino Linotype"/>
        </w:rPr>
      </w:pPr>
    </w:p>
    <w:p w:rsidR="00986325" w:rsidRDefault="008068B7">
      <w:pPr>
        <w:numPr>
          <w:ilvl w:val="0"/>
          <w:numId w:val="2"/>
        </w:numPr>
        <w:spacing w:line="360" w:lineRule="auto"/>
        <w:ind w:left="0" w:right="-697" w:firstLine="0"/>
        <w:jc w:val="both"/>
        <w:rPr>
          <w:rFonts w:ascii="Palatino Linotype" w:eastAsia="Palatino Linotype" w:hAnsi="Palatino Linotype" w:cs="Palatino Linotype"/>
        </w:rPr>
      </w:pPr>
      <w:r>
        <w:rPr>
          <w:rFonts w:ascii="Palatino Linotype" w:eastAsia="Palatino Linotype" w:hAnsi="Palatino Linotype" w:cs="Palatino Linotype"/>
        </w:rPr>
        <w:t>De este modo, es necesario que la autoridad, al aplicar la prueba de daño, distinga entre los supuestos por los cuales puede invocar la reserva de la información y cuáles de manera clara y específica, son los que le atañen a la información que se solicite; situación que le hará permisible distinguir diferencias y formular una idónea y adecuada clasificación de la información, generando así, una regla individualizada y pertinente para el caso, a través de la aplicación de dicha prueba.</w:t>
      </w:r>
    </w:p>
    <w:p w:rsidR="00986325" w:rsidRDefault="00986325">
      <w:pPr>
        <w:spacing w:line="360" w:lineRule="auto"/>
        <w:ind w:right="-697"/>
        <w:jc w:val="both"/>
        <w:rPr>
          <w:rFonts w:ascii="Palatino Linotype" w:eastAsia="Palatino Linotype" w:hAnsi="Palatino Linotype" w:cs="Palatino Linotype"/>
        </w:rPr>
      </w:pPr>
    </w:p>
    <w:p w:rsidR="00986325" w:rsidRDefault="008068B7">
      <w:pPr>
        <w:numPr>
          <w:ilvl w:val="0"/>
          <w:numId w:val="2"/>
        </w:numPr>
        <w:spacing w:line="360" w:lineRule="auto"/>
        <w:ind w:left="0" w:right="-697" w:firstLine="0"/>
        <w:jc w:val="both"/>
        <w:rPr>
          <w:rFonts w:ascii="Palatino Linotype" w:eastAsia="Palatino Linotype" w:hAnsi="Palatino Linotype" w:cs="Palatino Linotype"/>
        </w:rPr>
      </w:pPr>
      <w:r>
        <w:rPr>
          <w:rFonts w:ascii="Palatino Linotype" w:eastAsia="Palatino Linotype" w:hAnsi="Palatino Linotype" w:cs="Palatino Linotype"/>
        </w:rPr>
        <w:t>Aunado a lo anterior, se tiene que, para realizar la clasificación de la información se debe</w:t>
      </w:r>
      <w:r>
        <w:rPr>
          <w:rFonts w:ascii="Palatino Linotype" w:eastAsia="Palatino Linotype" w:hAnsi="Palatino Linotype" w:cs="Palatino Linotype"/>
          <w:vertAlign w:val="superscript"/>
        </w:rPr>
        <w:footnoteReference w:id="5"/>
      </w:r>
      <w:r>
        <w:rPr>
          <w:rFonts w:ascii="Palatino Linotype" w:eastAsia="Palatino Linotype" w:hAnsi="Palatino Linotype" w:cs="Palatino Linotype"/>
        </w:rPr>
        <w:t>:</w:t>
      </w:r>
    </w:p>
    <w:p w:rsidR="00986325" w:rsidRDefault="008068B7">
      <w:pPr>
        <w:numPr>
          <w:ilvl w:val="0"/>
          <w:numId w:val="21"/>
        </w:numPr>
        <w:spacing w:before="240" w:after="240" w:line="360" w:lineRule="auto"/>
        <w:ind w:left="714" w:right="-697" w:hanging="357"/>
        <w:jc w:val="both"/>
        <w:rPr>
          <w:rFonts w:ascii="Palatino Linotype" w:eastAsia="Palatino Linotype" w:hAnsi="Palatino Linotype" w:cs="Palatino Linotype"/>
        </w:rPr>
      </w:pPr>
      <w:r>
        <w:rPr>
          <w:rFonts w:ascii="Palatino Linotype" w:eastAsia="Palatino Linotype" w:hAnsi="Palatino Linotype" w:cs="Palatino Linotype"/>
          <w:b/>
          <w:bCs/>
        </w:rPr>
        <w:lastRenderedPageBreak/>
        <w:t>Fundar:</w:t>
      </w:r>
      <w:r>
        <w:rPr>
          <w:rFonts w:ascii="Palatino Linotype" w:eastAsia="Palatino Linotype" w:hAnsi="Palatino Linotype" w:cs="Palatino Linotype"/>
        </w:rPr>
        <w:t xml:space="preserve"> señalando el artículo, fracción, inciso, párrafo o numeral de la Ley o tratado internacional suscrito por el Estado mexicano que expresamente le otorgue el carácter de reservada.</w:t>
      </w:r>
    </w:p>
    <w:p w:rsidR="00986325" w:rsidRDefault="008068B7">
      <w:pPr>
        <w:numPr>
          <w:ilvl w:val="0"/>
          <w:numId w:val="21"/>
        </w:numPr>
        <w:spacing w:before="240" w:line="360" w:lineRule="auto"/>
        <w:ind w:right="-697"/>
        <w:jc w:val="both"/>
        <w:rPr>
          <w:rFonts w:ascii="Palatino Linotype" w:eastAsia="Palatino Linotype" w:hAnsi="Palatino Linotype" w:cs="Palatino Linotype"/>
        </w:rPr>
      </w:pPr>
      <w:r>
        <w:rPr>
          <w:rFonts w:ascii="Palatino Linotype" w:eastAsia="Palatino Linotype" w:hAnsi="Palatino Linotype" w:cs="Palatino Linotype"/>
          <w:b/>
          <w:bCs/>
        </w:rPr>
        <w:t>Motivar:</w:t>
      </w:r>
      <w:r>
        <w:rPr>
          <w:rFonts w:ascii="Palatino Linotype" w:eastAsia="Palatino Linotype" w:hAnsi="Palatino Linotype" w:cs="Palatino Linotype"/>
        </w:rPr>
        <w:t xml:space="preserve"> señalando las razones o circunstancias especiales que lo llevaron a concluir que el caso particular se ajusta al supuesto previsto por la norma legal invocada como fundamento.</w:t>
      </w:r>
    </w:p>
    <w:p w:rsidR="00986325" w:rsidRDefault="008068B7">
      <w:pPr>
        <w:numPr>
          <w:ilvl w:val="0"/>
          <w:numId w:val="21"/>
        </w:numPr>
        <w:spacing w:line="360" w:lineRule="auto"/>
        <w:ind w:right="-697"/>
        <w:jc w:val="both"/>
        <w:rPr>
          <w:rFonts w:ascii="Palatino Linotype" w:eastAsia="Palatino Linotype" w:hAnsi="Palatino Linotype" w:cs="Palatino Linotype"/>
          <w:b/>
          <w:bCs/>
        </w:rPr>
      </w:pPr>
      <w:r>
        <w:rPr>
          <w:rFonts w:ascii="Palatino Linotype" w:eastAsia="Palatino Linotype" w:hAnsi="Palatino Linotype" w:cs="Palatino Linotype"/>
          <w:b/>
          <w:bCs/>
          <w:u w:val="single"/>
        </w:rPr>
        <w:t>Siendo que, en el caso específico de la reserva, la motivación de la clasificación, también deberá comprender las circunstancias que justifican el establecimiento de determinado plazo de reserva.</w:t>
      </w:r>
    </w:p>
    <w:p w:rsidR="00986325" w:rsidRDefault="00986325">
      <w:pPr>
        <w:spacing w:line="360" w:lineRule="auto"/>
        <w:ind w:right="-697"/>
        <w:jc w:val="both"/>
        <w:rPr>
          <w:rFonts w:ascii="Palatino Linotype" w:eastAsia="Palatino Linotype" w:hAnsi="Palatino Linotype" w:cs="Palatino Linotype"/>
        </w:rPr>
      </w:pPr>
    </w:p>
    <w:p w:rsidR="00986325" w:rsidRDefault="008068B7">
      <w:pPr>
        <w:numPr>
          <w:ilvl w:val="0"/>
          <w:numId w:val="2"/>
        </w:numPr>
        <w:spacing w:line="360" w:lineRule="auto"/>
        <w:ind w:left="0" w:right="-697"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En otras palabras, para clasificar la información como reservada, los acuerdos deben estar debidamente fundados y motivados, exponiendo los hechos relevantes para decidir, citando la norma habilitante y un argumento mínimo pero suficiente para acreditar el razonamiento realizado. Sirve de sustento a lo anterior el siguiente criterio jurisprudencial: </w:t>
      </w:r>
    </w:p>
    <w:p w:rsidR="00986325" w:rsidRDefault="008068B7">
      <w:pPr>
        <w:spacing w:before="240" w:line="360" w:lineRule="auto"/>
        <w:ind w:left="851" w:right="-697"/>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“FUNDAMENTACIÓN Y MOTIVACIÓN. EL ASPECTO FORMAL DE LA GARANTÍA Y SU FINALIDAD SE TRADUCEN EN EXPLICAR, JUSTIFICAR, POSIBILITAR LA DEFENSA Y COMUNICAR LA DECISIÓN. </w:t>
      </w:r>
    </w:p>
    <w:p w:rsidR="00986325" w:rsidRDefault="008068B7">
      <w:pPr>
        <w:spacing w:before="240" w:line="360" w:lineRule="auto"/>
        <w:ind w:left="851" w:right="-697"/>
        <w:jc w:val="both"/>
        <w:rPr>
          <w:rFonts w:ascii="Palatino Linotype" w:eastAsia="Palatino Linotype" w:hAnsi="Palatino Linotype" w:cs="Palatino Linotype"/>
          <w:i/>
          <w:iCs/>
        </w:rPr>
      </w:pPr>
      <w:r>
        <w:rPr>
          <w:rFonts w:ascii="Palatino Linotype" w:eastAsia="Palatino Linotype" w:hAnsi="Palatino Linotype" w:cs="Palatino Linotype"/>
          <w:i/>
          <w:iCs/>
        </w:rPr>
        <w:t>El contenido formal de la garantía de legalidad prevista en el artículo 16 constitucional relativa a la fundamentación y motivación tiene como propósito primordial y ratio que el justiciable </w:t>
      </w:r>
      <w:r>
        <w:rPr>
          <w:rFonts w:ascii="Palatino Linotype" w:eastAsia="Palatino Linotype" w:hAnsi="Palatino Linotype" w:cs="Palatino Linotype"/>
          <w:b/>
          <w:bCs/>
          <w:i/>
          <w:iCs/>
          <w:u w:val="single"/>
        </w:rPr>
        <w:t xml:space="preserve">conozca el "para qué" de la conducta de la autoridad, lo que se traduce en darle a conocer en detalle y de manera completa la esencia de todas las circunstancias y condiciones que determinaron el acto de voluntad, de manera que </w:t>
      </w:r>
      <w:r>
        <w:rPr>
          <w:rFonts w:ascii="Palatino Linotype" w:eastAsia="Palatino Linotype" w:hAnsi="Palatino Linotype" w:cs="Palatino Linotype"/>
          <w:b/>
          <w:bCs/>
          <w:i/>
          <w:iCs/>
          <w:u w:val="single"/>
        </w:rPr>
        <w:lastRenderedPageBreak/>
        <w:t>sea evidente y muy claro para el afectado poder cuestionar y controvertir el mérito de la decisión, permitiéndole una real y auténtica defensa</w:t>
      </w:r>
      <w:r>
        <w:rPr>
          <w:rFonts w:ascii="Palatino Linotype" w:eastAsia="Palatino Linotype" w:hAnsi="Palatino Linotype" w:cs="Palatino Linotype"/>
          <w:i/>
          <w:iCs/>
          <w:u w:val="single"/>
        </w:rPr>
        <w:t>.</w:t>
      </w:r>
      <w:r>
        <w:rPr>
          <w:rFonts w:ascii="Palatino Linotype" w:eastAsia="Palatino Linotype" w:hAnsi="Palatino Linotype" w:cs="Palatino Linotype"/>
          <w:i/>
          <w:iCs/>
        </w:rPr>
        <w:t> Por tanto, no basta que el acto de autoridad apenas observe una motivación pro forma pero de una manera incongruente, insuficiente o imprecisa, que impida la finalidad del conocimiento, comprobación y defensa pertinente, ni es válido exigirle una amplitud o abundancia superflua, pues </w:t>
      </w:r>
      <w:r>
        <w:rPr>
          <w:rFonts w:ascii="Palatino Linotype" w:eastAsia="Palatino Linotype" w:hAnsi="Palatino Linotype" w:cs="Palatino Linotype"/>
          <w:b/>
          <w:bCs/>
          <w:i/>
          <w:iCs/>
          <w:u w:val="single"/>
        </w:rPr>
        <w:t>es suficiente la expresión de lo estrictamente necesario para explicar, justificar y posibilitar la defensa, así como para comunicar la decisión a efecto de que se considere debidamente fundado y motivado, exponiendo los hechos relevantes para decidir, citando la norma habilitante y un argumento mínimo pero suficiente para acreditar el razonamiento</w:t>
      </w:r>
      <w:r>
        <w:rPr>
          <w:rFonts w:ascii="Palatino Linotype" w:eastAsia="Palatino Linotype" w:hAnsi="Palatino Linotype" w:cs="Palatino Linotype"/>
          <w:i/>
          <w:iCs/>
        </w:rPr>
        <w:t> del que se deduzca la relación de pertenencia lógica de los hechos al derecho invocado, que es la subsunción.”</w:t>
      </w:r>
    </w:p>
    <w:p w:rsidR="00986325" w:rsidRDefault="00986325">
      <w:pPr>
        <w:pBdr>
          <w:top w:val="nil"/>
          <w:left w:val="nil"/>
          <w:bottom w:val="nil"/>
          <w:right w:val="nil"/>
          <w:between w:val="nil"/>
        </w:pBdr>
        <w:ind w:left="720" w:right="-697"/>
        <w:rPr>
          <w:rFonts w:ascii="Palatino Linotype" w:eastAsia="Palatino Linotype" w:hAnsi="Palatino Linotype" w:cs="Palatino Linotype"/>
          <w:color w:val="000000"/>
        </w:rPr>
      </w:pPr>
    </w:p>
    <w:p w:rsidR="00986325" w:rsidRDefault="008068B7">
      <w:pPr>
        <w:numPr>
          <w:ilvl w:val="0"/>
          <w:numId w:val="2"/>
        </w:numPr>
        <w:spacing w:line="360" w:lineRule="auto"/>
        <w:ind w:left="0" w:right="-69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Luego entonces, si no se actualiza la causal de reserva en los términos planteados, será improcedente y se deberá proceder a su entrega en versión pública, al ser la obra pública </w:t>
      </w:r>
      <w:r>
        <w:rPr>
          <w:rFonts w:ascii="Palatino Linotype" w:eastAsia="Palatino Linotype" w:hAnsi="Palatino Linotype" w:cs="Palatino Linotype"/>
        </w:rPr>
        <w:t>existente</w:t>
      </w:r>
      <w:r>
        <w:rPr>
          <w:rFonts w:ascii="Palatino Linotype" w:eastAsia="Palatino Linotype" w:hAnsi="Palatino Linotype" w:cs="Palatino Linotype"/>
          <w:color w:val="000000"/>
        </w:rPr>
        <w:t xml:space="preserve"> de interés público.</w:t>
      </w:r>
    </w:p>
    <w:p w:rsidR="00986325" w:rsidRDefault="00986325">
      <w:pPr>
        <w:pBdr>
          <w:top w:val="nil"/>
          <w:left w:val="nil"/>
          <w:bottom w:val="nil"/>
          <w:right w:val="nil"/>
          <w:between w:val="nil"/>
        </w:pBdr>
        <w:ind w:left="720" w:right="-697"/>
        <w:rPr>
          <w:rFonts w:ascii="Palatino Linotype" w:eastAsia="Palatino Linotype" w:hAnsi="Palatino Linotype" w:cs="Palatino Linotype"/>
          <w:color w:val="000000"/>
        </w:rPr>
      </w:pPr>
    </w:p>
    <w:p w:rsidR="00986325" w:rsidRDefault="008068B7">
      <w:pPr>
        <w:numPr>
          <w:ilvl w:val="0"/>
          <w:numId w:val="2"/>
        </w:numPr>
        <w:spacing w:line="360" w:lineRule="auto"/>
        <w:ind w:left="0" w:right="-69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Con la determinación anterior quedará por colmado el derecho de acceso a la información del ahora Recurrente; toda vez que el Derecho que tutela este Órgano Garante </w:t>
      </w:r>
      <w:r>
        <w:rPr>
          <w:rFonts w:ascii="Palatino Linotype" w:eastAsia="Palatino Linotype" w:hAnsi="Palatino Linotype" w:cs="Palatino Linotype"/>
        </w:rPr>
        <w:t>corresponde</w:t>
      </w:r>
      <w:r>
        <w:rPr>
          <w:rFonts w:ascii="Palatino Linotype" w:eastAsia="Palatino Linotype" w:hAnsi="Palatino Linotype" w:cs="Palatino Linotype"/>
          <w:color w:val="000000"/>
        </w:rPr>
        <w:t xml:space="preserve"> a la  </w:t>
      </w:r>
      <w:r>
        <w:rPr>
          <w:rFonts w:ascii="Palatino Linotype" w:eastAsia="Palatino Linotype" w:hAnsi="Palatino Linotype" w:cs="Palatino Linotype"/>
          <w:i/>
          <w:iCs/>
          <w:color w:val="000000"/>
        </w:rPr>
        <w:t>igualdad de oportunidades para recibir, buscar e impartir información</w:t>
      </w:r>
      <w:r>
        <w:rPr>
          <w:rFonts w:ascii="Palatino Linotype" w:eastAsia="Palatino Linotype" w:hAnsi="Palatino Linotype" w:cs="Palatino Linotype"/>
          <w:i/>
          <w:iCs/>
          <w:color w:val="000000"/>
          <w:vertAlign w:val="superscript"/>
        </w:rPr>
        <w:footnoteReference w:id="6"/>
      </w:r>
      <w:r>
        <w:rPr>
          <w:rFonts w:ascii="Palatino Linotype" w:eastAsia="Palatino Linotype" w:hAnsi="Palatino Linotype" w:cs="Palatino Linotype"/>
          <w:i/>
          <w:iCs/>
          <w:color w:val="000000"/>
        </w:rPr>
        <w:t xml:space="preserve"> en posesión de cualquier autoridad, entidad, órgano y organismo de los </w:t>
      </w:r>
      <w:r>
        <w:rPr>
          <w:rFonts w:ascii="Palatino Linotype" w:eastAsia="Palatino Linotype" w:hAnsi="Palatino Linotype" w:cs="Palatino Linotype"/>
          <w:color w:val="000000"/>
        </w:rPr>
        <w:t>poderes</w:t>
      </w:r>
      <w:r>
        <w:rPr>
          <w:rFonts w:ascii="Palatino Linotype" w:eastAsia="Palatino Linotype" w:hAnsi="Palatino Linotype" w:cs="Palatino Linotype"/>
          <w:i/>
          <w:iCs/>
          <w:color w:val="000000"/>
        </w:rPr>
        <w:t xml:space="preserve"> Ejecutivo, Legislativo y Judicial, órganos autónomos, partidos políticos, fideicomisos, y fondos públicos, así como de cualquier persona física, moral o sindicato que reciba y ejerza recursos públicos o realice actos de autoridad en el ámbito federal, estatal y municipal</w:t>
      </w:r>
      <w:r>
        <w:rPr>
          <w:rFonts w:ascii="Palatino Linotype" w:eastAsia="Palatino Linotype" w:hAnsi="Palatino Linotype" w:cs="Palatino Linotype"/>
          <w:color w:val="000000"/>
          <w:vertAlign w:val="superscript"/>
        </w:rPr>
        <w:footnoteReference w:id="7"/>
      </w:r>
      <w:r>
        <w:rPr>
          <w:rFonts w:ascii="Palatino Linotype" w:eastAsia="Palatino Linotype" w:hAnsi="Palatino Linotype" w:cs="Palatino Linotype"/>
          <w:i/>
          <w:iCs/>
          <w:color w:val="000000"/>
        </w:rPr>
        <w:t xml:space="preserve"> </w:t>
      </w:r>
      <w:r>
        <w:rPr>
          <w:rFonts w:ascii="Palatino Linotype" w:eastAsia="Palatino Linotype" w:hAnsi="Palatino Linotype" w:cs="Palatino Linotype"/>
          <w:color w:val="000000"/>
        </w:rPr>
        <w:t xml:space="preserve">que se constituye como una herramienta fundamental para </w:t>
      </w:r>
      <w:r>
        <w:rPr>
          <w:rFonts w:ascii="Palatino Linotype" w:eastAsia="Palatino Linotype" w:hAnsi="Palatino Linotype" w:cs="Palatino Linotype"/>
          <w:i/>
          <w:iCs/>
          <w:color w:val="000000"/>
        </w:rPr>
        <w:t xml:space="preserve">ejercer </w:t>
      </w:r>
      <w:r>
        <w:rPr>
          <w:rFonts w:ascii="Palatino Linotype" w:eastAsia="Palatino Linotype" w:hAnsi="Palatino Linotype" w:cs="Palatino Linotype"/>
          <w:i/>
          <w:iCs/>
          <w:color w:val="000000"/>
        </w:rPr>
        <w:lastRenderedPageBreak/>
        <w:t>control democrático de las gestiones estatales, de forma tal que puedan cuestionar, indagar y considerar si se está dando un adecuado cumplimiento de las funciones públicas,</w:t>
      </w:r>
      <w:r>
        <w:rPr>
          <w:rFonts w:ascii="Palatino Linotype" w:eastAsia="Palatino Linotype" w:hAnsi="Palatino Linotype" w:cs="Palatino Linotype"/>
          <w:i/>
          <w:iCs/>
          <w:color w:val="000000"/>
          <w:vertAlign w:val="superscript"/>
        </w:rPr>
        <w:footnoteReference w:id="8"/>
      </w:r>
      <w:r>
        <w:rPr>
          <w:rFonts w:ascii="Palatino Linotype" w:eastAsia="Palatino Linotype" w:hAnsi="Palatino Linotype" w:cs="Palatino Linotype"/>
          <w:color w:val="000000"/>
        </w:rPr>
        <w:t>fomentando</w:t>
      </w:r>
      <w:r>
        <w:rPr>
          <w:rFonts w:ascii="Palatino Linotype" w:eastAsia="Palatino Linotype" w:hAnsi="Palatino Linotype" w:cs="Palatino Linotype"/>
          <w:i/>
          <w:iCs/>
          <w:color w:val="000000"/>
        </w:rPr>
        <w:t xml:space="preserve"> la transparencia de las actividades estatales y</w:t>
      </w:r>
      <w:r>
        <w:rPr>
          <w:rFonts w:ascii="Palatino Linotype" w:eastAsia="Palatino Linotype" w:hAnsi="Palatino Linotype" w:cs="Palatino Linotype"/>
          <w:color w:val="000000"/>
        </w:rPr>
        <w:t xml:space="preserve"> promoviendo</w:t>
      </w:r>
      <w:r>
        <w:rPr>
          <w:rFonts w:ascii="Palatino Linotype" w:eastAsia="Palatino Linotype" w:hAnsi="Palatino Linotype" w:cs="Palatino Linotype"/>
          <w:i/>
          <w:iCs/>
          <w:color w:val="000000"/>
        </w:rPr>
        <w:t xml:space="preserve"> la responsabilidad de los funcionarios sobre su gestión pública</w:t>
      </w:r>
      <w:r>
        <w:rPr>
          <w:rFonts w:ascii="Palatino Linotype" w:eastAsia="Palatino Linotype" w:hAnsi="Palatino Linotype" w:cs="Palatino Linotype"/>
          <w:i/>
          <w:iCs/>
          <w:color w:val="000000"/>
          <w:vertAlign w:val="superscript"/>
        </w:rPr>
        <w:footnoteReference w:id="9"/>
      </w:r>
      <w:r>
        <w:rPr>
          <w:rFonts w:ascii="Palatino Linotype" w:eastAsia="Palatino Linotype" w:hAnsi="Palatino Linotype" w:cs="Palatino Linotype"/>
          <w:i/>
          <w:iCs/>
          <w:color w:val="000000"/>
        </w:rPr>
        <w:t xml:space="preserve"> </w:t>
      </w:r>
      <w:r>
        <w:rPr>
          <w:rFonts w:ascii="Palatino Linotype" w:eastAsia="Palatino Linotype" w:hAnsi="Palatino Linotype" w:cs="Palatino Linotype"/>
          <w:color w:val="000000"/>
        </w:rPr>
        <w:t>que permite</w:t>
      </w:r>
      <w:r>
        <w:rPr>
          <w:rFonts w:ascii="Palatino Linotype" w:eastAsia="Palatino Linotype" w:hAnsi="Palatino Linotype" w:cs="Palatino Linotype"/>
          <w:i/>
          <w:iCs/>
          <w:color w:val="000000"/>
        </w:rPr>
        <w:t xml:space="preserve"> saber qué están haciendo los gobiernos por sus pueblos, sin lo cual la verdad languidecería y la participación en el gobierno permanecería fragmentada.</w:t>
      </w:r>
      <w:r>
        <w:rPr>
          <w:rFonts w:ascii="Palatino Linotype" w:eastAsia="Palatino Linotype" w:hAnsi="Palatino Linotype" w:cs="Palatino Linotype"/>
          <w:i/>
          <w:iCs/>
          <w:color w:val="000000"/>
          <w:vertAlign w:val="superscript"/>
        </w:rPr>
        <w:footnoteReference w:id="10"/>
      </w:r>
      <w:r>
        <w:rPr>
          <w:rFonts w:ascii="Palatino Linotype" w:eastAsia="Palatino Linotype" w:hAnsi="Palatino Linotype" w:cs="Palatino Linotype"/>
          <w:color w:val="000000"/>
        </w:rPr>
        <w:t xml:space="preserve"> ”</w:t>
      </w:r>
    </w:p>
    <w:p w:rsidR="00986325" w:rsidRDefault="00986325">
      <w:pPr>
        <w:spacing w:line="360" w:lineRule="auto"/>
        <w:ind w:right="-697"/>
        <w:jc w:val="both"/>
        <w:rPr>
          <w:rFonts w:ascii="Palatino Linotype" w:eastAsia="Palatino Linotype" w:hAnsi="Palatino Linotype" w:cs="Palatino Linotype"/>
          <w:color w:val="000000"/>
        </w:rPr>
      </w:pPr>
    </w:p>
    <w:p w:rsidR="00986325" w:rsidRDefault="008068B7">
      <w:pPr>
        <w:numPr>
          <w:ilvl w:val="0"/>
          <w:numId w:val="2"/>
        </w:numPr>
        <w:spacing w:line="360" w:lineRule="auto"/>
        <w:ind w:left="0" w:right="-69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Para entender los alcances de la información pública se considera importante citar el criterio de interpretación en el orden administrativo número 0002-11, emitido por Acuerdo del Pleno de este Instituto de Transparencia y Acceso a la Información Pública del Estado de México y Municipios, publicado en el Periódico Oficial del Gobierno del Estado Libre y Soberano de México “Gaceta del Gobierno” el diecinueve de octubre de dos mil once, cuyo rubro y texto dispone:</w:t>
      </w:r>
    </w:p>
    <w:p w:rsidR="00986325" w:rsidRDefault="008068B7">
      <w:pPr>
        <w:spacing w:line="360" w:lineRule="auto"/>
        <w:ind w:left="426" w:right="-697"/>
        <w:jc w:val="both"/>
        <w:rPr>
          <w:rFonts w:ascii="Palatino Linotype" w:eastAsia="Palatino Linotype" w:hAnsi="Palatino Linotype" w:cs="Palatino Linotype"/>
          <w:b/>
          <w:bCs/>
          <w:i/>
          <w:iCs/>
          <w:color w:val="000000"/>
        </w:rPr>
      </w:pPr>
      <w:r>
        <w:rPr>
          <w:rFonts w:ascii="Palatino Linotype" w:eastAsia="Palatino Linotype" w:hAnsi="Palatino Linotype" w:cs="Palatino Linotype"/>
          <w:b/>
          <w:bCs/>
          <w:i/>
          <w:iCs/>
          <w:color w:val="000000"/>
        </w:rPr>
        <w:t>“CRITERIO 0002-11</w:t>
      </w:r>
    </w:p>
    <w:p w:rsidR="00986325" w:rsidRDefault="008068B7">
      <w:pPr>
        <w:spacing w:line="360" w:lineRule="auto"/>
        <w:ind w:left="426" w:right="-697"/>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t>INFORMACIÓN PÚBLICA, CONCEPTO DE, EN MATERIA DE TRANSPARENCIA. INTERPRETACIÓN TEMÁTICA DE LOS ARTÍCULOS 2, FRACCIÓN V, XV, Y XVI, 3, 4,11 Y 41.</w:t>
      </w:r>
      <w:r>
        <w:rPr>
          <w:rFonts w:ascii="Palatino Linotype" w:eastAsia="Palatino Linotype" w:hAnsi="Palatino Linotype" w:cs="Palatino Linotype"/>
          <w:i/>
          <w:iCs/>
          <w:color w:val="000000"/>
        </w:rPr>
        <w:t xml:space="preserve"> De conformidad con los artículos antes referidos, el derecho de acceso a la información pública, se define en cuanto a su alcance y resultado material, el acceso a los archivos, registros y documentos públicos, administrados, generados o en posesión de los órganos u organismos </w:t>
      </w:r>
      <w:r>
        <w:rPr>
          <w:rFonts w:ascii="Palatino Linotype" w:eastAsia="Palatino Linotype" w:hAnsi="Palatino Linotype" w:cs="Palatino Linotype"/>
          <w:i/>
          <w:iCs/>
          <w:color w:val="000000"/>
        </w:rPr>
        <w:lastRenderedPageBreak/>
        <w:t>públicos, en virtud del ejercicio de sus funciones de derecho público, sin importar su fuente, soporte o fecha de elaboración.</w:t>
      </w:r>
    </w:p>
    <w:p w:rsidR="00986325" w:rsidRDefault="008068B7">
      <w:pPr>
        <w:spacing w:line="360" w:lineRule="auto"/>
        <w:ind w:left="426" w:right="-697"/>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En consecuencia el acceso a la información se refiere a que se cumplan cualquiera de los siguientes tres supuestos:</w:t>
      </w:r>
    </w:p>
    <w:p w:rsidR="00986325" w:rsidRDefault="008068B7">
      <w:pPr>
        <w:spacing w:line="360" w:lineRule="auto"/>
        <w:ind w:left="426" w:right="-697"/>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Que se trate de información registrada en cualquier soporte documental, que en ejercicio de las atribuciones conferidas, sea generada por los Sujetos Obligados;</w:t>
      </w:r>
    </w:p>
    <w:p w:rsidR="00986325" w:rsidRDefault="008068B7">
      <w:pPr>
        <w:spacing w:line="360" w:lineRule="auto"/>
        <w:ind w:left="426" w:right="-697"/>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Que se trate de información registrada en cualquier soporte documental, que en ejercicio de las atribuciones conferidas, sea administrada por los Sujetos Obligados, y</w:t>
      </w:r>
    </w:p>
    <w:p w:rsidR="00986325" w:rsidRDefault="008068B7">
      <w:pPr>
        <w:spacing w:line="360" w:lineRule="auto"/>
        <w:ind w:left="426" w:right="-697"/>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Que se trate de información registrada en cualquier soporte documental, que en ejercicio de las atribuciones conferidas, se encuentre en posesión de los Sujetos Obligados.”</w:t>
      </w:r>
    </w:p>
    <w:p w:rsidR="00986325" w:rsidRDefault="00986325">
      <w:pPr>
        <w:spacing w:line="360" w:lineRule="auto"/>
        <w:ind w:left="567" w:right="-697"/>
        <w:jc w:val="both"/>
        <w:rPr>
          <w:rFonts w:ascii="Palatino Linotype" w:eastAsia="Palatino Linotype" w:hAnsi="Palatino Linotype" w:cs="Palatino Linotype"/>
          <w:i/>
          <w:iCs/>
          <w:color w:val="000000"/>
        </w:rPr>
      </w:pPr>
    </w:p>
    <w:p w:rsidR="00986325" w:rsidRDefault="008068B7">
      <w:pPr>
        <w:numPr>
          <w:ilvl w:val="0"/>
          <w:numId w:val="2"/>
        </w:numPr>
        <w:spacing w:line="360" w:lineRule="auto"/>
        <w:ind w:left="0" w:right="-69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El derecho de acceso a la información encuentra su materia elemental en los documentos, y la Ley de Transparencia local  nos brinda el siguiente concepto, para darnos un mejor panorama:</w:t>
      </w:r>
    </w:p>
    <w:p w:rsidR="00986325" w:rsidRDefault="008068B7">
      <w:pPr>
        <w:spacing w:line="360" w:lineRule="auto"/>
        <w:ind w:left="426" w:right="-697"/>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t xml:space="preserve">XI. Documento: </w:t>
      </w:r>
      <w:r>
        <w:rPr>
          <w:rFonts w:ascii="Palatino Linotype" w:eastAsia="Palatino Linotype" w:hAnsi="Palatino Linotype" w:cs="Palatino Linotype"/>
          <w:i/>
          <w:iCs/>
          <w:color w:val="000000"/>
        </w:rPr>
        <w:t xml:space="preserve">Los expedientes, reportes, estudios, actas, resoluciones, oficios, correspondencia, acuerdos, directivas, directrices, circulares, contratos, convenios, instructivos, notas, memorandos, estadísticas o bien, </w:t>
      </w:r>
      <w:r>
        <w:rPr>
          <w:rFonts w:ascii="Palatino Linotype" w:eastAsia="Palatino Linotype" w:hAnsi="Palatino Linotype" w:cs="Palatino Linotype"/>
          <w:b/>
          <w:bCs/>
          <w:i/>
          <w:iCs/>
          <w:color w:val="000000"/>
        </w:rPr>
        <w:t>cualquier otro registro</w:t>
      </w:r>
      <w:r>
        <w:rPr>
          <w:rFonts w:ascii="Palatino Linotype" w:eastAsia="Palatino Linotype" w:hAnsi="Palatino Linotype" w:cs="Palatino Linotype"/>
          <w:i/>
          <w:iCs/>
          <w:color w:val="000000"/>
        </w:rPr>
        <w:t xml:space="preserve"> que documente el ejercicio de las facultades, funciones y competencias de los sujetos obligados, sus servidores públicos e integrantes, sin importar su fuente o fecha de elaboración. Los documentos podrán estar en cualquier medio, sea escrito, impreso, sonoro, visual, electrónico, informático u holográfico;</w:t>
      </w:r>
    </w:p>
    <w:p w:rsidR="00986325" w:rsidRDefault="00986325">
      <w:pPr>
        <w:spacing w:line="360" w:lineRule="auto"/>
        <w:ind w:left="567" w:right="-697"/>
        <w:jc w:val="both"/>
        <w:rPr>
          <w:rFonts w:ascii="Palatino Linotype" w:eastAsia="Palatino Linotype" w:hAnsi="Palatino Linotype" w:cs="Palatino Linotype"/>
          <w:i/>
          <w:iCs/>
          <w:color w:val="000000"/>
        </w:rPr>
      </w:pPr>
    </w:p>
    <w:p w:rsidR="00986325" w:rsidRDefault="008068B7">
      <w:pPr>
        <w:numPr>
          <w:ilvl w:val="0"/>
          <w:numId w:val="2"/>
        </w:numPr>
        <w:spacing w:line="360" w:lineRule="auto"/>
        <w:ind w:left="0" w:right="-69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Es así que, todos los actos de autoridad que realicen los Sujetos Obligados </w:t>
      </w:r>
      <w:r>
        <w:rPr>
          <w:rFonts w:ascii="Palatino Linotype" w:eastAsia="Palatino Linotype" w:hAnsi="Palatino Linotype" w:cs="Palatino Linotype"/>
          <w:b/>
          <w:bCs/>
          <w:color w:val="000000"/>
        </w:rPr>
        <w:t xml:space="preserve">deben estar </w:t>
      </w:r>
      <w:r>
        <w:rPr>
          <w:rFonts w:ascii="Palatino Linotype" w:eastAsia="Palatino Linotype" w:hAnsi="Palatino Linotype" w:cs="Palatino Linotype"/>
          <w:color w:val="000000"/>
        </w:rPr>
        <w:t xml:space="preserve">documentados y, bajo el más alto estándar de transparencia deberán poner toda la </w:t>
      </w:r>
      <w:r>
        <w:rPr>
          <w:rFonts w:ascii="Palatino Linotype" w:eastAsia="Palatino Linotype" w:hAnsi="Palatino Linotype" w:cs="Palatino Linotype"/>
          <w:color w:val="000000"/>
        </w:rPr>
        <w:lastRenderedPageBreak/>
        <w:t>información que se encuentre en su posesión, a disposición de los particulares que la soliciten.</w:t>
      </w:r>
    </w:p>
    <w:p w:rsidR="00986325" w:rsidRDefault="00986325">
      <w:pPr>
        <w:spacing w:line="360" w:lineRule="auto"/>
        <w:ind w:right="-697"/>
        <w:jc w:val="both"/>
        <w:rPr>
          <w:rFonts w:ascii="Palatino Linotype" w:eastAsia="Palatino Linotype" w:hAnsi="Palatino Linotype" w:cs="Palatino Linotype"/>
          <w:color w:val="000000"/>
        </w:rPr>
      </w:pPr>
    </w:p>
    <w:p w:rsidR="00986325" w:rsidRDefault="008068B7">
      <w:pPr>
        <w:numPr>
          <w:ilvl w:val="0"/>
          <w:numId w:val="2"/>
        </w:numPr>
        <w:spacing w:line="360" w:lineRule="auto"/>
        <w:ind w:left="0" w:right="-69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Además, debemos tomar en cuenta los artículos 4 y 12 (antes transcrito), de la Ley de Transparencia y Acceso a la Información Pública del Estado de México y Municipios, los cuales establecen lo siguiente:</w:t>
      </w:r>
    </w:p>
    <w:p w:rsidR="00986325" w:rsidRDefault="008068B7">
      <w:pPr>
        <w:spacing w:line="360" w:lineRule="auto"/>
        <w:ind w:left="426" w:right="-697"/>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t xml:space="preserve">“Artículo 4. </w:t>
      </w:r>
      <w:r>
        <w:rPr>
          <w:rFonts w:ascii="Palatino Linotype" w:eastAsia="Palatino Linotype" w:hAnsi="Palatino Linotype" w:cs="Palatino Linotype"/>
          <w:i/>
          <w:iCs/>
          <w:color w:val="000000"/>
        </w:rPr>
        <w:t>El derecho humano de acceso a la información pública es la prerrogativa de las personas para buscar, difundir, investigar, recabar, recibir y solicitar información pública, sin necesidad de acreditar personalidad ni interés jurídico.</w:t>
      </w:r>
    </w:p>
    <w:p w:rsidR="00986325" w:rsidRDefault="008068B7">
      <w:pPr>
        <w:spacing w:line="360" w:lineRule="auto"/>
        <w:ind w:left="426" w:right="-697"/>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t>Toda la información</w:t>
      </w:r>
      <w:r>
        <w:rPr>
          <w:rFonts w:ascii="Palatino Linotype" w:eastAsia="Palatino Linotype" w:hAnsi="Palatino Linotype" w:cs="Palatino Linotype"/>
          <w:i/>
          <w:iCs/>
          <w:color w:val="000000"/>
        </w:rPr>
        <w:t xml:space="preserve"> generada, obtenida, adquirida, transformada, administrada o </w:t>
      </w:r>
      <w:r>
        <w:rPr>
          <w:rFonts w:ascii="Palatino Linotype" w:eastAsia="Palatino Linotype" w:hAnsi="Palatino Linotype" w:cs="Palatino Linotype"/>
          <w:b/>
          <w:bCs/>
          <w:i/>
          <w:iCs/>
          <w:color w:val="000000"/>
        </w:rPr>
        <w:t>en posesión de los sujetos obligados es pública</w:t>
      </w:r>
      <w:r>
        <w:rPr>
          <w:rFonts w:ascii="Palatino Linotype" w:eastAsia="Palatino Linotype" w:hAnsi="Palatino Linotype" w:cs="Palatino Linotype"/>
          <w:i/>
          <w:iCs/>
          <w:color w:val="000000"/>
        </w:rPr>
        <w:t xml:space="preserve"> y accesible de manera permanente a cualquier persona,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rsidR="00986325" w:rsidRDefault="008068B7">
      <w:pPr>
        <w:spacing w:line="360" w:lineRule="auto"/>
        <w:ind w:left="426" w:right="-697"/>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Los sujetos obligados deben poner en práctica, políticas y programas de acceso a la información que se apeguen a criterios de publicidad, veracidad, oportunidad, precisión y suficiencia en beneficio de los solicitantes.”</w:t>
      </w:r>
    </w:p>
    <w:p w:rsidR="00986325" w:rsidRDefault="00986325">
      <w:pPr>
        <w:spacing w:line="360" w:lineRule="auto"/>
        <w:ind w:left="567" w:right="-697"/>
        <w:jc w:val="both"/>
        <w:rPr>
          <w:rFonts w:ascii="Palatino Linotype" w:eastAsia="Palatino Linotype" w:hAnsi="Palatino Linotype" w:cs="Palatino Linotype"/>
          <w:i/>
          <w:iCs/>
          <w:color w:val="000000"/>
        </w:rPr>
      </w:pPr>
    </w:p>
    <w:p w:rsidR="00986325" w:rsidRDefault="008068B7">
      <w:pPr>
        <w:numPr>
          <w:ilvl w:val="0"/>
          <w:numId w:val="2"/>
        </w:numPr>
        <w:spacing w:line="360" w:lineRule="auto"/>
        <w:ind w:left="0" w:right="-69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Es así que, por un lado se tiene la obligación de documentar todos los actos que se lleven a cabo en el ejercicio de sus funciones, atribuciones y competencias, mientras que por otro, se ven impuestos por la obligación de hacer pública toda aquella información que se </w:t>
      </w:r>
      <w:r>
        <w:rPr>
          <w:rFonts w:ascii="Palatino Linotype" w:eastAsia="Palatino Linotype" w:hAnsi="Palatino Linotype" w:cs="Palatino Linotype"/>
          <w:color w:val="000000"/>
        </w:rPr>
        <w:lastRenderedPageBreak/>
        <w:t>encuentre en su posesión en estricto apego a los principios de eficacia</w:t>
      </w:r>
      <w:r>
        <w:rPr>
          <w:rFonts w:ascii="Palatino Linotype" w:eastAsia="Palatino Linotype" w:hAnsi="Palatino Linotype" w:cs="Palatino Linotype"/>
          <w:color w:val="000000"/>
          <w:vertAlign w:val="superscript"/>
        </w:rPr>
        <w:footnoteReference w:id="11"/>
      </w:r>
      <w:r>
        <w:rPr>
          <w:rFonts w:ascii="Palatino Linotype" w:eastAsia="Palatino Linotype" w:hAnsi="Palatino Linotype" w:cs="Palatino Linotype"/>
          <w:color w:val="000000"/>
        </w:rPr>
        <w:t xml:space="preserve"> y máxima publicidad, sobre éste último se debe poner mayor énfasis, puesto que establece que toda la información en posesión de los Sujetos Obligados será pública, completa, oportuna y accesible, lo que permite que la ciudadanía tenga un amplio acceso sobre lo que es el actuar de las autoridades.</w:t>
      </w:r>
    </w:p>
    <w:p w:rsidR="00986325" w:rsidRDefault="00986325">
      <w:pPr>
        <w:spacing w:line="360" w:lineRule="auto"/>
        <w:ind w:right="-697"/>
        <w:jc w:val="both"/>
        <w:rPr>
          <w:rFonts w:ascii="Palatino Linotype" w:eastAsia="Palatino Linotype" w:hAnsi="Palatino Linotype" w:cs="Palatino Linotype"/>
          <w:color w:val="000000"/>
        </w:rPr>
      </w:pPr>
    </w:p>
    <w:p w:rsidR="00986325" w:rsidRDefault="008068B7">
      <w:pPr>
        <w:numPr>
          <w:ilvl w:val="0"/>
          <w:numId w:val="2"/>
        </w:numPr>
        <w:spacing w:line="360" w:lineRule="auto"/>
        <w:ind w:left="0" w:right="-69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Robustece lo anterior la Tesis aislada identificada con la clave I.4º.A.40 A del Cuarto Tribunal colegiado en Materia Administrativa del Primer Circuito, publicada en el Seminario Judicial de la Federación y su Gaceta en el libro XVIII, Marzo 2013, Página 1899.</w:t>
      </w:r>
    </w:p>
    <w:p w:rsidR="00986325" w:rsidRDefault="008068B7">
      <w:pPr>
        <w:pBdr>
          <w:top w:val="nil"/>
          <w:left w:val="nil"/>
          <w:bottom w:val="nil"/>
          <w:right w:val="nil"/>
          <w:between w:val="nil"/>
        </w:pBdr>
        <w:tabs>
          <w:tab w:val="left" w:pos="851"/>
        </w:tabs>
        <w:spacing w:line="360" w:lineRule="auto"/>
        <w:ind w:left="425" w:right="-697"/>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t>ACCESO A LA INFORMACIÓN. IMPLICACIÓN DEL PRINCIPIO DE MÁXIMA PUBLICIDAD EN EL DERECHO FUNDAMENTAL RELATIVO.</w:t>
      </w:r>
      <w:r>
        <w:rPr>
          <w:rFonts w:ascii="Palatino Linotype" w:eastAsia="Palatino Linotype" w:hAnsi="Palatino Linotype" w:cs="Palatino Linotype"/>
          <w:i/>
          <w:iCs/>
          <w:color w:val="000000"/>
        </w:rPr>
        <w:t xml:space="preserve"> Del artículo 6o. de la Constitución Política de los Estados Unidos Mexicanos se advierte que el Estado Mexicano está constreñido a publicitar sus actos, pues se reconoce el derecho fundamental de los ciudadanos a acceder a la información que obra en poder de la autoridad, que como lo ha expuesto el Pleno de la Suprema Corte de Justicia de la Nación en la tesis P./J. 54/2008, publicada en el Semanario Judicial de la Federación y su Gaceta, Novena Época, Tomo XXVII, junio de 2008, página 743, de rubro: "ACCESO A LA INFORMACIÓN. SU NATURALEZA COMO GARANTÍAS INDIVIDUAL Y SOCIAL.", contiene una doble dimensión: individual y social. En su primer aspecto, cumple con la función de maximizar el campo de la autonomía personal, posibilitando el ejercicio de la libertad de expresión en un contexto de mayor diversidad de datos, voces y opiniones, mientras que en el segundo, brinda un derecho colectivo o social que tiende a revelar el empleo instrumental de la información no sólo como factor de autorrealización personal, sino </w:t>
      </w:r>
      <w:r>
        <w:rPr>
          <w:rFonts w:ascii="Palatino Linotype" w:eastAsia="Palatino Linotype" w:hAnsi="Palatino Linotype" w:cs="Palatino Linotype"/>
          <w:i/>
          <w:iCs/>
          <w:color w:val="000000"/>
        </w:rPr>
        <w:lastRenderedPageBreak/>
        <w:t>como un mecanismo de control institucional, pues se trata de un derecho fundado en una de las características principales del gobierno republicano, que es la publicidad de los actos de gobierno y la transparencia en el actuar de la administración, conducente y necesaria para la rendición de cuentas. Por ello, el principio de máxima publicidad incorporado en el texto constitucional, implica para cualquier autoridad, realizar un manejo de la información bajo la premisa inicial que toda ella es pública y sólo por excepción, en los casos expresamente previstos en la legislación secundaria y justificados bajo determinadas circunstancias, se podrá clasificar como confidencial o reservada, esto es, considerarla con una calidad diversa. “</w:t>
      </w:r>
    </w:p>
    <w:p w:rsidR="00986325" w:rsidRDefault="00986325">
      <w:pPr>
        <w:pBdr>
          <w:top w:val="nil"/>
          <w:left w:val="nil"/>
          <w:bottom w:val="nil"/>
          <w:right w:val="nil"/>
          <w:between w:val="nil"/>
        </w:pBdr>
        <w:tabs>
          <w:tab w:val="left" w:pos="851"/>
        </w:tabs>
        <w:spacing w:line="360" w:lineRule="auto"/>
        <w:ind w:right="-697"/>
        <w:jc w:val="both"/>
        <w:rPr>
          <w:rFonts w:ascii="Palatino Linotype" w:eastAsia="Palatino Linotype" w:hAnsi="Palatino Linotype" w:cs="Palatino Linotype"/>
          <w:i/>
          <w:iCs/>
          <w:color w:val="000000"/>
        </w:rPr>
      </w:pPr>
    </w:p>
    <w:p w:rsidR="00986325" w:rsidRDefault="008068B7">
      <w:pPr>
        <w:numPr>
          <w:ilvl w:val="0"/>
          <w:numId w:val="2"/>
        </w:numPr>
        <w:spacing w:line="360" w:lineRule="auto"/>
        <w:ind w:left="0" w:right="-697" w:firstLine="0"/>
        <w:jc w:val="both"/>
        <w:rPr>
          <w:rFonts w:ascii="Palatino Linotype" w:eastAsia="Palatino Linotype" w:hAnsi="Palatino Linotype" w:cs="Palatino Linotype"/>
        </w:rPr>
      </w:pPr>
      <w:r>
        <w:rPr>
          <w:rFonts w:ascii="Palatino Linotype" w:eastAsia="Palatino Linotype" w:hAnsi="Palatino Linotype" w:cs="Palatino Linotype"/>
          <w:color w:val="000000"/>
        </w:rPr>
        <w:t>Finalmente, respecto de la modalidad de entrega elegida (copias certificadas con costo)</w:t>
      </w:r>
      <w:r>
        <w:rPr>
          <w:rFonts w:ascii="Palatino Linotype" w:eastAsia="Palatino Linotype" w:hAnsi="Palatino Linotype" w:cs="Palatino Linotype"/>
        </w:rPr>
        <w:t xml:space="preserve">, es necesario traer a colación, a los </w:t>
      </w:r>
      <w:r>
        <w:rPr>
          <w:rFonts w:ascii="Palatino Linotype" w:eastAsia="Palatino Linotype" w:hAnsi="Palatino Linotype" w:cs="Palatino Linotype"/>
          <w:color w:val="000000"/>
        </w:rPr>
        <w:t>Lineamientos para la recepción, trámite y resolución de las solicitudes de acceso a la información, así como de los recursos de revisión, que deberán observar los Sujetos Obligados por la Ley de Transparencia y Acceso a la Información Pública del Estado de México y Municipios</w:t>
      </w:r>
      <w:r>
        <w:rPr>
          <w:rFonts w:ascii="Palatino Linotype" w:eastAsia="Palatino Linotype" w:hAnsi="Palatino Linotype" w:cs="Palatino Linotype"/>
          <w:color w:val="000000"/>
          <w:vertAlign w:val="superscript"/>
        </w:rPr>
        <w:footnoteReference w:id="12"/>
      </w:r>
      <w:r>
        <w:rPr>
          <w:rFonts w:ascii="Palatino Linotype" w:eastAsia="Palatino Linotype" w:hAnsi="Palatino Linotype" w:cs="Palatino Linotype"/>
          <w:color w:val="000000"/>
        </w:rPr>
        <w:t>, mismos que se transcriben a continuación:</w:t>
      </w:r>
    </w:p>
    <w:p w:rsidR="00986325" w:rsidRDefault="008068B7">
      <w:pPr>
        <w:spacing w:line="259" w:lineRule="auto"/>
        <w:ind w:left="567" w:right="-697"/>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w:t>
      </w:r>
      <w:r>
        <w:rPr>
          <w:rFonts w:ascii="Palatino Linotype" w:eastAsia="Palatino Linotype" w:hAnsi="Palatino Linotype" w:cs="Palatino Linotype"/>
          <w:b/>
          <w:bCs/>
          <w:i/>
          <w:iCs/>
          <w:color w:val="000000"/>
        </w:rPr>
        <w:t>TREINTA Y OCHO</w:t>
      </w:r>
      <w:r>
        <w:rPr>
          <w:rFonts w:ascii="Palatino Linotype" w:eastAsia="Palatino Linotype" w:hAnsi="Palatino Linotype" w:cs="Palatino Linotype"/>
          <w:i/>
          <w:iCs/>
          <w:color w:val="000000"/>
        </w:rPr>
        <w:t xml:space="preserve">. Las Unidades de Información tramitarán las solicitudes de información pública internamente de la siguiente forma: </w:t>
      </w:r>
    </w:p>
    <w:p w:rsidR="00986325" w:rsidRDefault="008068B7">
      <w:pPr>
        <w:spacing w:line="259" w:lineRule="auto"/>
        <w:ind w:left="567" w:right="-697"/>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w:t>
      </w:r>
    </w:p>
    <w:p w:rsidR="00986325" w:rsidRDefault="008068B7">
      <w:pPr>
        <w:spacing w:line="259" w:lineRule="auto"/>
        <w:ind w:left="567" w:right="-697"/>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d) Hecho lo anterior la Unidad de Información </w:t>
      </w:r>
      <w:r>
        <w:rPr>
          <w:rFonts w:ascii="Palatino Linotype" w:eastAsia="Palatino Linotype" w:hAnsi="Palatino Linotype" w:cs="Palatino Linotype"/>
          <w:b/>
          <w:bCs/>
          <w:i/>
          <w:iCs/>
          <w:color w:val="000000"/>
        </w:rPr>
        <w:t>emitirá el oficio de respuesta correspondiente en donde se deberá precisar</w:t>
      </w:r>
      <w:r>
        <w:rPr>
          <w:rFonts w:ascii="Palatino Linotype" w:eastAsia="Palatino Linotype" w:hAnsi="Palatino Linotype" w:cs="Palatino Linotype"/>
          <w:i/>
          <w:iCs/>
          <w:color w:val="000000"/>
        </w:rPr>
        <w:t>: (…)</w:t>
      </w:r>
    </w:p>
    <w:p w:rsidR="00986325" w:rsidRDefault="00986325">
      <w:pPr>
        <w:spacing w:line="259" w:lineRule="auto"/>
        <w:ind w:left="567" w:right="-697"/>
        <w:jc w:val="both"/>
        <w:rPr>
          <w:rFonts w:ascii="Palatino Linotype" w:eastAsia="Palatino Linotype" w:hAnsi="Palatino Linotype" w:cs="Palatino Linotype"/>
          <w:i/>
          <w:iCs/>
          <w:color w:val="000000"/>
        </w:rPr>
      </w:pPr>
    </w:p>
    <w:p w:rsidR="00986325" w:rsidRDefault="008068B7">
      <w:pPr>
        <w:spacing w:line="259" w:lineRule="auto"/>
        <w:ind w:left="567" w:right="-697"/>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f) </w:t>
      </w:r>
      <w:r>
        <w:rPr>
          <w:rFonts w:ascii="Palatino Linotype" w:eastAsia="Palatino Linotype" w:hAnsi="Palatino Linotype" w:cs="Palatino Linotype"/>
          <w:b/>
          <w:bCs/>
          <w:i/>
          <w:iCs/>
          <w:color w:val="000000"/>
        </w:rPr>
        <w:t>El costo total por la reproducción de la información, en caso de que así la hubiere solicitado, si técnicamente le fuera factible su reproducción, así como la orientación respecto al lugar y el procedimiento para realizar el pago correspondiente</w:t>
      </w:r>
      <w:r>
        <w:rPr>
          <w:rFonts w:ascii="Palatino Linotype" w:eastAsia="Palatino Linotype" w:hAnsi="Palatino Linotype" w:cs="Palatino Linotype"/>
          <w:i/>
          <w:iCs/>
          <w:color w:val="000000"/>
        </w:rPr>
        <w:t>...”</w:t>
      </w:r>
    </w:p>
    <w:p w:rsidR="00986325" w:rsidRDefault="00986325">
      <w:pPr>
        <w:spacing w:line="259" w:lineRule="auto"/>
        <w:ind w:left="567" w:right="-697"/>
        <w:jc w:val="both"/>
        <w:rPr>
          <w:rFonts w:ascii="Palatino Linotype" w:eastAsia="Palatino Linotype" w:hAnsi="Palatino Linotype" w:cs="Palatino Linotype"/>
          <w:i/>
          <w:iCs/>
          <w:color w:val="000000"/>
        </w:rPr>
      </w:pPr>
    </w:p>
    <w:p w:rsidR="00986325" w:rsidRDefault="008068B7">
      <w:pPr>
        <w:spacing w:line="259" w:lineRule="auto"/>
        <w:ind w:left="567" w:right="-697"/>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w:t>
      </w:r>
      <w:r>
        <w:rPr>
          <w:rFonts w:ascii="Palatino Linotype" w:eastAsia="Palatino Linotype" w:hAnsi="Palatino Linotype" w:cs="Palatino Linotype"/>
          <w:b/>
          <w:bCs/>
          <w:i/>
          <w:iCs/>
          <w:color w:val="000000"/>
        </w:rPr>
        <w:t>CINCUENTA Y CINCO</w:t>
      </w:r>
      <w:r>
        <w:rPr>
          <w:rFonts w:ascii="Palatino Linotype" w:eastAsia="Palatino Linotype" w:hAnsi="Palatino Linotype" w:cs="Palatino Linotype"/>
          <w:i/>
          <w:iCs/>
          <w:color w:val="000000"/>
        </w:rPr>
        <w:t xml:space="preserve">. </w:t>
      </w:r>
      <w:r>
        <w:rPr>
          <w:rFonts w:ascii="Palatino Linotype" w:eastAsia="Palatino Linotype" w:hAnsi="Palatino Linotype" w:cs="Palatino Linotype"/>
          <w:b/>
          <w:bCs/>
          <w:i/>
          <w:iCs/>
          <w:color w:val="000000"/>
        </w:rPr>
        <w:t>En caso de que el particular hubiera solicitado, copias simples, copias certificadas o cualquier otro medio en el cual se encuentre la información, se deberá exhibir previamente el pago correspondiente</w:t>
      </w:r>
      <w:r>
        <w:rPr>
          <w:rFonts w:ascii="Palatino Linotype" w:eastAsia="Palatino Linotype" w:hAnsi="Palatino Linotype" w:cs="Palatino Linotype"/>
          <w:i/>
          <w:iCs/>
          <w:color w:val="000000"/>
        </w:rPr>
        <w:t xml:space="preserve"> o, en su caso, el medio magnético en el cual hubiere solicitado la información, si técnicamente fuera factible su reproducción a efecto de que pueda ser entregada en los medios solicitados.”</w:t>
      </w:r>
    </w:p>
    <w:p w:rsidR="00986325" w:rsidRDefault="00986325">
      <w:pPr>
        <w:spacing w:line="259" w:lineRule="auto"/>
        <w:ind w:left="567" w:right="-697"/>
        <w:jc w:val="both"/>
        <w:rPr>
          <w:rFonts w:ascii="Palatino Linotype" w:eastAsia="Palatino Linotype" w:hAnsi="Palatino Linotype" w:cs="Palatino Linotype"/>
          <w:i/>
          <w:iCs/>
          <w:color w:val="000000"/>
        </w:rPr>
      </w:pPr>
    </w:p>
    <w:p w:rsidR="00986325" w:rsidRDefault="008068B7">
      <w:pPr>
        <w:spacing w:line="259" w:lineRule="auto"/>
        <w:ind w:left="567" w:right="-697"/>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El recibo de pago, así como la constancia de entrega del medio magnético por parte del solicitante a la Unidad de Información, deberán agregarse al expediente electrónico.</w:t>
      </w:r>
    </w:p>
    <w:p w:rsidR="00986325" w:rsidRDefault="00986325">
      <w:pPr>
        <w:spacing w:line="259" w:lineRule="auto"/>
        <w:ind w:left="567" w:right="-697"/>
        <w:jc w:val="both"/>
        <w:rPr>
          <w:rFonts w:ascii="Palatino Linotype" w:eastAsia="Palatino Linotype" w:hAnsi="Palatino Linotype" w:cs="Palatino Linotype"/>
          <w:i/>
          <w:iCs/>
          <w:color w:val="000000"/>
        </w:rPr>
      </w:pPr>
    </w:p>
    <w:p w:rsidR="00986325" w:rsidRDefault="008068B7">
      <w:pPr>
        <w:spacing w:line="259" w:lineRule="auto"/>
        <w:ind w:left="567" w:right="-697"/>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w:t>
      </w:r>
      <w:r>
        <w:rPr>
          <w:rFonts w:ascii="Palatino Linotype" w:eastAsia="Palatino Linotype" w:hAnsi="Palatino Linotype" w:cs="Palatino Linotype"/>
          <w:b/>
          <w:bCs/>
          <w:i/>
          <w:iCs/>
          <w:color w:val="000000"/>
        </w:rPr>
        <w:t>CINCUENTA Y SEIS</w:t>
      </w:r>
      <w:r>
        <w:rPr>
          <w:rFonts w:ascii="Palatino Linotype" w:eastAsia="Palatino Linotype" w:hAnsi="Palatino Linotype" w:cs="Palatino Linotype"/>
          <w:i/>
          <w:iCs/>
          <w:color w:val="000000"/>
        </w:rPr>
        <w:t xml:space="preserve">. </w:t>
      </w:r>
      <w:r>
        <w:rPr>
          <w:rFonts w:ascii="Palatino Linotype" w:eastAsia="Palatino Linotype" w:hAnsi="Palatino Linotype" w:cs="Palatino Linotype"/>
          <w:b/>
          <w:bCs/>
          <w:i/>
          <w:iCs/>
          <w:color w:val="000000"/>
        </w:rPr>
        <w:t xml:space="preserve">El costo por la reproducción de la información se sujetará a las disposiciones del Código Financiero del Estado de México y Municipios </w:t>
      </w:r>
      <w:r>
        <w:rPr>
          <w:rFonts w:ascii="Palatino Linotype" w:eastAsia="Palatino Linotype" w:hAnsi="Palatino Linotype" w:cs="Palatino Linotype"/>
          <w:i/>
          <w:iCs/>
          <w:color w:val="000000"/>
        </w:rPr>
        <w:t>y demás normatividad aplicable.”</w:t>
      </w:r>
    </w:p>
    <w:p w:rsidR="00986325" w:rsidRDefault="00986325">
      <w:pPr>
        <w:spacing w:line="360" w:lineRule="auto"/>
        <w:ind w:right="-697"/>
        <w:jc w:val="both"/>
        <w:rPr>
          <w:rFonts w:ascii="Palatino Linotype" w:eastAsia="Palatino Linotype" w:hAnsi="Palatino Linotype" w:cs="Palatino Linotype"/>
        </w:rPr>
      </w:pPr>
    </w:p>
    <w:p w:rsidR="00986325" w:rsidRDefault="008068B7">
      <w:pPr>
        <w:numPr>
          <w:ilvl w:val="0"/>
          <w:numId w:val="2"/>
        </w:numPr>
        <w:spacing w:line="360" w:lineRule="auto"/>
        <w:ind w:left="0" w:right="-697" w:firstLine="0"/>
        <w:jc w:val="both"/>
        <w:rPr>
          <w:rFonts w:ascii="Palatino Linotype" w:eastAsia="Palatino Linotype" w:hAnsi="Palatino Linotype" w:cs="Palatino Linotype"/>
        </w:rPr>
      </w:pPr>
      <w:r>
        <w:rPr>
          <w:rFonts w:ascii="Palatino Linotype" w:eastAsia="Palatino Linotype" w:hAnsi="Palatino Linotype" w:cs="Palatino Linotype"/>
        </w:rPr>
        <w:t>De los preceptos anteriores se desprende que corresponde a la Unidad de Información ahora Unidad de Transparencia</w:t>
      </w:r>
      <w:r>
        <w:rPr>
          <w:rFonts w:ascii="Palatino Linotype" w:eastAsia="Palatino Linotype" w:hAnsi="Palatino Linotype" w:cs="Palatino Linotype"/>
          <w:vertAlign w:val="superscript"/>
        </w:rPr>
        <w:footnoteReference w:id="13"/>
      </w:r>
      <w:r>
        <w:rPr>
          <w:rFonts w:ascii="Palatino Linotype" w:eastAsia="Palatino Linotype" w:hAnsi="Palatino Linotype" w:cs="Palatino Linotype"/>
        </w:rPr>
        <w:t xml:space="preserve"> que cuente con la información motivo de la solicitud de acceso de que se trate, referir en el oficio que emita en respuesta a la misma, el costo total de reproducción de la información, así como la referencia del lugar y el procedimiento correspondiente para efectuar el pago respectivo, toda vez que cuando se soliciten copias ya sean simples o certificadas se deberá de exhibir previamente el pago correspondiente para que proceda su entrega, el cual será agregado al expediente electrónico, sujetándose para el establecimiento del costo en las disposiciones que para tal supuesto se prevén en el Código Financiero del Estado de México y Municipios, así como en la normatividad aplicable.</w:t>
      </w:r>
    </w:p>
    <w:p w:rsidR="00986325" w:rsidRDefault="00986325">
      <w:pPr>
        <w:spacing w:line="360" w:lineRule="auto"/>
        <w:ind w:right="-697"/>
        <w:jc w:val="both"/>
        <w:rPr>
          <w:rFonts w:ascii="Palatino Linotype" w:eastAsia="Palatino Linotype" w:hAnsi="Palatino Linotype" w:cs="Palatino Linotype"/>
        </w:rPr>
      </w:pPr>
    </w:p>
    <w:p w:rsidR="00986325" w:rsidRDefault="008068B7">
      <w:pPr>
        <w:numPr>
          <w:ilvl w:val="0"/>
          <w:numId w:val="2"/>
        </w:numPr>
        <w:spacing w:line="360" w:lineRule="auto"/>
        <w:ind w:left="0" w:right="-697" w:firstLine="0"/>
        <w:jc w:val="both"/>
        <w:rPr>
          <w:rFonts w:ascii="Palatino Linotype" w:eastAsia="Palatino Linotype" w:hAnsi="Palatino Linotype" w:cs="Palatino Linotype"/>
        </w:rPr>
      </w:pPr>
      <w:r>
        <w:rPr>
          <w:rFonts w:ascii="Palatino Linotype" w:eastAsia="Palatino Linotype" w:hAnsi="Palatino Linotype" w:cs="Palatino Linotype"/>
        </w:rPr>
        <w:lastRenderedPageBreak/>
        <w:t>Lo anterior en armonía con lo establecido en los artículos 17 y 174, de la Ley de Transparencia y Acceso a la Información Pública del Estado de México y Municipios, que señala lo siguiente:</w:t>
      </w:r>
    </w:p>
    <w:p w:rsidR="00986325" w:rsidRDefault="008068B7">
      <w:pPr>
        <w:spacing w:line="259" w:lineRule="auto"/>
        <w:ind w:left="567" w:right="-697"/>
        <w:jc w:val="both"/>
        <w:rPr>
          <w:rFonts w:ascii="Palatino Linotype" w:eastAsia="Palatino Linotype" w:hAnsi="Palatino Linotype" w:cs="Palatino Linotype"/>
          <w:i/>
          <w:iCs/>
        </w:rPr>
      </w:pPr>
      <w:r>
        <w:rPr>
          <w:rFonts w:ascii="Palatino Linotype" w:eastAsia="Palatino Linotype" w:hAnsi="Palatino Linotype" w:cs="Palatino Linotype"/>
          <w:i/>
          <w:iCs/>
        </w:rPr>
        <w:t>“</w:t>
      </w:r>
      <w:r>
        <w:rPr>
          <w:rFonts w:ascii="Palatino Linotype" w:eastAsia="Palatino Linotype" w:hAnsi="Palatino Linotype" w:cs="Palatino Linotype"/>
          <w:b/>
          <w:bCs/>
          <w:i/>
          <w:iCs/>
        </w:rPr>
        <w:t>Artículo 17. La búsqueda y acceso a la información es gratuita y solo se cubrirán los gastos de reproducción</w:t>
      </w:r>
      <w:r>
        <w:rPr>
          <w:rFonts w:ascii="Palatino Linotype" w:eastAsia="Palatino Linotype" w:hAnsi="Palatino Linotype" w:cs="Palatino Linotype"/>
          <w:i/>
          <w:iCs/>
        </w:rPr>
        <w:t xml:space="preserve">, o </w:t>
      </w:r>
      <w:r>
        <w:rPr>
          <w:rFonts w:ascii="Palatino Linotype" w:eastAsia="Palatino Linotype" w:hAnsi="Palatino Linotype" w:cs="Palatino Linotype"/>
          <w:b/>
          <w:bCs/>
          <w:i/>
          <w:iCs/>
        </w:rPr>
        <w:t>por la modalidad de entrega solicitada</w:t>
      </w:r>
      <w:r>
        <w:rPr>
          <w:rFonts w:ascii="Palatino Linotype" w:eastAsia="Palatino Linotype" w:hAnsi="Palatino Linotype" w:cs="Palatino Linotype"/>
          <w:i/>
          <w:iCs/>
        </w:rPr>
        <w:t xml:space="preserve">, así como por el envío, que en su caso se genere, </w:t>
      </w:r>
      <w:r>
        <w:rPr>
          <w:rFonts w:ascii="Palatino Linotype" w:eastAsia="Palatino Linotype" w:hAnsi="Palatino Linotype" w:cs="Palatino Linotype"/>
          <w:b/>
          <w:bCs/>
          <w:i/>
          <w:iCs/>
        </w:rPr>
        <w:t>de conformidad con los derechos, productos y aprovechamientos establecidos en la legislación aplicable</w:t>
      </w:r>
      <w:r>
        <w:rPr>
          <w:rFonts w:ascii="Palatino Linotype" w:eastAsia="Palatino Linotype" w:hAnsi="Palatino Linotype" w:cs="Palatino Linotype"/>
          <w:i/>
          <w:iCs/>
        </w:rPr>
        <w:t>, sin que exceda de los límites establecidos en la presente Ley.”</w:t>
      </w:r>
    </w:p>
    <w:p w:rsidR="00986325" w:rsidRDefault="00986325">
      <w:pPr>
        <w:spacing w:line="259" w:lineRule="auto"/>
        <w:ind w:left="567" w:right="-697"/>
        <w:jc w:val="both"/>
        <w:rPr>
          <w:rFonts w:ascii="Palatino Linotype" w:eastAsia="Palatino Linotype" w:hAnsi="Palatino Linotype" w:cs="Palatino Linotype"/>
          <w:i/>
          <w:iCs/>
        </w:rPr>
      </w:pPr>
    </w:p>
    <w:p w:rsidR="00986325" w:rsidRDefault="008068B7">
      <w:pPr>
        <w:spacing w:line="259" w:lineRule="auto"/>
        <w:ind w:left="567" w:right="-697"/>
        <w:jc w:val="both"/>
        <w:rPr>
          <w:rFonts w:ascii="Palatino Linotype" w:eastAsia="Palatino Linotype" w:hAnsi="Palatino Linotype" w:cs="Palatino Linotype"/>
          <w:i/>
          <w:iCs/>
        </w:rPr>
      </w:pPr>
      <w:r>
        <w:rPr>
          <w:rFonts w:ascii="Palatino Linotype" w:eastAsia="Palatino Linotype" w:hAnsi="Palatino Linotype" w:cs="Palatino Linotype"/>
          <w:i/>
          <w:iCs/>
        </w:rPr>
        <w:t>“</w:t>
      </w:r>
      <w:r>
        <w:rPr>
          <w:rFonts w:ascii="Palatino Linotype" w:eastAsia="Palatino Linotype" w:hAnsi="Palatino Linotype" w:cs="Palatino Linotype"/>
          <w:b/>
          <w:bCs/>
          <w:i/>
          <w:iCs/>
        </w:rPr>
        <w:t>Artículo 174</w:t>
      </w:r>
      <w:r>
        <w:rPr>
          <w:rFonts w:ascii="Palatino Linotype" w:eastAsia="Palatino Linotype" w:hAnsi="Palatino Linotype" w:cs="Palatino Linotype"/>
          <w:i/>
          <w:iCs/>
        </w:rPr>
        <w:t xml:space="preserve">. </w:t>
      </w:r>
      <w:r>
        <w:rPr>
          <w:rFonts w:ascii="Palatino Linotype" w:eastAsia="Palatino Linotype" w:hAnsi="Palatino Linotype" w:cs="Palatino Linotype"/>
          <w:b/>
          <w:bCs/>
          <w:i/>
          <w:iCs/>
        </w:rPr>
        <w:t>En caso de existir costos para obtener la información deberán cubrirse de manera previa a la entrega</w:t>
      </w:r>
      <w:r>
        <w:rPr>
          <w:rFonts w:ascii="Palatino Linotype" w:eastAsia="Palatino Linotype" w:hAnsi="Palatino Linotype" w:cs="Palatino Linotype"/>
          <w:i/>
          <w:iCs/>
        </w:rPr>
        <w:t xml:space="preserve"> y no podrán ser superiores a la suma de: </w:t>
      </w:r>
    </w:p>
    <w:p w:rsidR="00986325" w:rsidRDefault="00986325">
      <w:pPr>
        <w:spacing w:line="259" w:lineRule="auto"/>
        <w:ind w:left="567" w:right="-697"/>
        <w:jc w:val="both"/>
        <w:rPr>
          <w:rFonts w:ascii="Palatino Linotype" w:eastAsia="Palatino Linotype" w:hAnsi="Palatino Linotype" w:cs="Palatino Linotype"/>
          <w:i/>
          <w:iCs/>
        </w:rPr>
      </w:pPr>
    </w:p>
    <w:p w:rsidR="00986325" w:rsidRDefault="008068B7">
      <w:pPr>
        <w:spacing w:line="259" w:lineRule="auto"/>
        <w:ind w:left="567" w:right="-697"/>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I. El costo de los materiales utilizados en la reproducción de la información; </w:t>
      </w:r>
    </w:p>
    <w:p w:rsidR="00986325" w:rsidRDefault="008068B7">
      <w:pPr>
        <w:spacing w:line="259" w:lineRule="auto"/>
        <w:ind w:left="567" w:right="-697"/>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II. El costo de envío, en su caso; y </w:t>
      </w:r>
    </w:p>
    <w:p w:rsidR="00986325" w:rsidRDefault="008068B7">
      <w:pPr>
        <w:spacing w:line="259" w:lineRule="auto"/>
        <w:ind w:left="567" w:right="-697"/>
        <w:jc w:val="both"/>
        <w:rPr>
          <w:rFonts w:ascii="Palatino Linotype" w:eastAsia="Palatino Linotype" w:hAnsi="Palatino Linotype" w:cs="Palatino Linotype"/>
          <w:i/>
          <w:iCs/>
        </w:rPr>
      </w:pPr>
      <w:r>
        <w:rPr>
          <w:rFonts w:ascii="Palatino Linotype" w:eastAsia="Palatino Linotype" w:hAnsi="Palatino Linotype" w:cs="Palatino Linotype"/>
          <w:i/>
          <w:iCs/>
        </w:rPr>
        <w:t>III</w:t>
      </w:r>
      <w:r>
        <w:rPr>
          <w:rFonts w:ascii="Palatino Linotype" w:eastAsia="Palatino Linotype" w:hAnsi="Palatino Linotype" w:cs="Palatino Linotype"/>
          <w:b/>
          <w:bCs/>
          <w:i/>
          <w:iCs/>
        </w:rPr>
        <w:t>. El pago de la certificación de los documentos</w:t>
      </w:r>
      <w:r>
        <w:rPr>
          <w:rFonts w:ascii="Palatino Linotype" w:eastAsia="Palatino Linotype" w:hAnsi="Palatino Linotype" w:cs="Palatino Linotype"/>
          <w:i/>
          <w:iCs/>
        </w:rPr>
        <w:t xml:space="preserve">, cuando proceda. </w:t>
      </w:r>
    </w:p>
    <w:p w:rsidR="00986325" w:rsidRDefault="00986325">
      <w:pPr>
        <w:spacing w:line="259" w:lineRule="auto"/>
        <w:ind w:left="567" w:right="-697"/>
        <w:jc w:val="both"/>
        <w:rPr>
          <w:rFonts w:ascii="Palatino Linotype" w:eastAsia="Palatino Linotype" w:hAnsi="Palatino Linotype" w:cs="Palatino Linotype"/>
          <w:b/>
          <w:bCs/>
          <w:i/>
          <w:iCs/>
        </w:rPr>
      </w:pPr>
    </w:p>
    <w:p w:rsidR="00986325" w:rsidRDefault="008068B7">
      <w:pPr>
        <w:spacing w:line="259" w:lineRule="auto"/>
        <w:ind w:left="567" w:right="-697"/>
        <w:jc w:val="both"/>
        <w:rPr>
          <w:rFonts w:ascii="Palatino Linotype" w:eastAsia="Palatino Linotype" w:hAnsi="Palatino Linotype" w:cs="Palatino Linotype"/>
          <w:i/>
          <w:iCs/>
        </w:rPr>
      </w:pPr>
      <w:r>
        <w:rPr>
          <w:rFonts w:ascii="Palatino Linotype" w:eastAsia="Palatino Linotype" w:hAnsi="Palatino Linotype" w:cs="Palatino Linotype"/>
          <w:b/>
          <w:bCs/>
          <w:i/>
          <w:iCs/>
        </w:rPr>
        <w:t>Las cuotas de los derechos aplicables deberán establecerse, en su caso, en el Código Financiero del Estado de México y Municipios</w:t>
      </w:r>
      <w:r>
        <w:rPr>
          <w:rFonts w:ascii="Palatino Linotype" w:eastAsia="Palatino Linotype" w:hAnsi="Palatino Linotype" w:cs="Palatino Linotype"/>
          <w:i/>
          <w:iCs/>
        </w:rPr>
        <w:t xml:space="preserve"> y demás disposiciones jurídicas aplicables, las cuales se publicarán en los sitios de internet de los sujetos obligados. En su determinación se deberá considerar que los montos permitan o faciliten el ejercicio del derecho de acceso a la información. </w:t>
      </w:r>
    </w:p>
    <w:p w:rsidR="00986325" w:rsidRDefault="00986325">
      <w:pPr>
        <w:spacing w:line="259" w:lineRule="auto"/>
        <w:ind w:left="567" w:right="-697"/>
        <w:jc w:val="both"/>
        <w:rPr>
          <w:rFonts w:ascii="Palatino Linotype" w:eastAsia="Palatino Linotype" w:hAnsi="Palatino Linotype" w:cs="Palatino Linotype"/>
          <w:i/>
          <w:iCs/>
        </w:rPr>
      </w:pPr>
    </w:p>
    <w:p w:rsidR="00986325" w:rsidRDefault="008068B7">
      <w:pPr>
        <w:spacing w:line="259" w:lineRule="auto"/>
        <w:ind w:left="567" w:right="-697"/>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Los sujetos obligados a los que no les sea aplicable el Código Financiero del Estado de México y Municipios deberán establecer cuotas que no sean mayores a las dispuestas en dicho ordenamiento. </w:t>
      </w:r>
    </w:p>
    <w:p w:rsidR="00986325" w:rsidRDefault="00986325">
      <w:pPr>
        <w:spacing w:line="259" w:lineRule="auto"/>
        <w:ind w:left="567" w:right="-697"/>
        <w:jc w:val="both"/>
        <w:rPr>
          <w:rFonts w:ascii="Palatino Linotype" w:eastAsia="Palatino Linotype" w:hAnsi="Palatino Linotype" w:cs="Palatino Linotype"/>
          <w:b/>
          <w:bCs/>
          <w:i/>
          <w:iCs/>
        </w:rPr>
      </w:pPr>
    </w:p>
    <w:p w:rsidR="00986325" w:rsidRDefault="008068B7">
      <w:pPr>
        <w:spacing w:line="259" w:lineRule="auto"/>
        <w:ind w:left="567" w:right="-697"/>
        <w:jc w:val="both"/>
        <w:rPr>
          <w:rFonts w:ascii="Palatino Linotype" w:eastAsia="Palatino Linotype" w:hAnsi="Palatino Linotype" w:cs="Palatino Linotype"/>
          <w:i/>
          <w:iCs/>
        </w:rPr>
      </w:pPr>
      <w:r>
        <w:rPr>
          <w:rFonts w:ascii="Palatino Linotype" w:eastAsia="Palatino Linotype" w:hAnsi="Palatino Linotype" w:cs="Palatino Linotype"/>
          <w:b/>
          <w:bCs/>
          <w:i/>
          <w:iCs/>
          <w:u w:val="single"/>
        </w:rPr>
        <w:t>La información deberá ser entregada sin costo, cuando implique la entrega de no más de veinte hojas simples</w:t>
      </w:r>
      <w:r>
        <w:rPr>
          <w:rFonts w:ascii="Palatino Linotype" w:eastAsia="Palatino Linotype" w:hAnsi="Palatino Linotype" w:cs="Palatino Linotype"/>
          <w:i/>
          <w:iCs/>
        </w:rPr>
        <w:t>. Las unidades de transparencia podrán exceptuar el pago de reproducción y envío atendiendo a las circunstancias socioeconómicas del solicitante, en términos de los lineamientos que expida el Instituto.”</w:t>
      </w:r>
    </w:p>
    <w:p w:rsidR="00986325" w:rsidRDefault="00986325">
      <w:pPr>
        <w:tabs>
          <w:tab w:val="left" w:pos="8647"/>
        </w:tabs>
        <w:spacing w:line="360" w:lineRule="auto"/>
        <w:ind w:right="-697"/>
        <w:jc w:val="both"/>
        <w:rPr>
          <w:rFonts w:ascii="Palatino Linotype" w:eastAsia="Palatino Linotype" w:hAnsi="Palatino Linotype" w:cs="Palatino Linotype"/>
        </w:rPr>
      </w:pPr>
    </w:p>
    <w:p w:rsidR="00986325" w:rsidRDefault="008068B7">
      <w:pPr>
        <w:numPr>
          <w:ilvl w:val="0"/>
          <w:numId w:val="2"/>
        </w:numPr>
        <w:spacing w:line="360" w:lineRule="auto"/>
        <w:ind w:left="0" w:right="-697" w:firstLine="0"/>
        <w:jc w:val="both"/>
        <w:rPr>
          <w:rFonts w:ascii="Palatino Linotype" w:eastAsia="Palatino Linotype" w:hAnsi="Palatino Linotype" w:cs="Palatino Linotype"/>
        </w:rPr>
      </w:pPr>
      <w:r>
        <w:rPr>
          <w:rFonts w:ascii="Palatino Linotype" w:eastAsia="Palatino Linotype" w:hAnsi="Palatino Linotype" w:cs="Palatino Linotype"/>
        </w:rPr>
        <w:lastRenderedPageBreak/>
        <w:t xml:space="preserve">Por lo anterior, se advierte que, respecto de los costos de reproducción, como fue mencionado, el Código Financiero del Estado de México y Municipios establece que, el </w:t>
      </w:r>
      <w:r>
        <w:rPr>
          <w:rFonts w:ascii="Palatino Linotype" w:eastAsia="Palatino Linotype" w:hAnsi="Palatino Linotype" w:cs="Palatino Linotype"/>
          <w:b/>
          <w:bCs/>
        </w:rPr>
        <w:t xml:space="preserve">pago de derechos corresponde a la recepción de un servicio </w:t>
      </w:r>
      <w:r>
        <w:rPr>
          <w:rFonts w:ascii="Palatino Linotype" w:eastAsia="Palatino Linotype" w:hAnsi="Palatino Linotype" w:cs="Palatino Linotype"/>
        </w:rPr>
        <w:t>que presta el Estado en sus funciones de derecho público, entre los que se encuentra la expedición de copias certificadas.</w:t>
      </w:r>
    </w:p>
    <w:p w:rsidR="00986325" w:rsidRDefault="00986325">
      <w:pPr>
        <w:spacing w:line="360" w:lineRule="auto"/>
        <w:ind w:right="-697"/>
        <w:jc w:val="both"/>
        <w:rPr>
          <w:rFonts w:ascii="Palatino Linotype" w:eastAsia="Palatino Linotype" w:hAnsi="Palatino Linotype" w:cs="Palatino Linotype"/>
        </w:rPr>
      </w:pPr>
    </w:p>
    <w:p w:rsidR="00986325" w:rsidRDefault="008068B7">
      <w:pPr>
        <w:numPr>
          <w:ilvl w:val="0"/>
          <w:numId w:val="2"/>
        </w:numPr>
        <w:spacing w:line="360" w:lineRule="auto"/>
        <w:ind w:left="0" w:right="-697" w:firstLine="0"/>
        <w:jc w:val="both"/>
        <w:rPr>
          <w:rFonts w:ascii="Palatino Linotype" w:eastAsia="Palatino Linotype" w:hAnsi="Palatino Linotype" w:cs="Palatino Linotype"/>
        </w:rPr>
      </w:pPr>
      <w:r>
        <w:rPr>
          <w:rFonts w:ascii="Palatino Linotype" w:eastAsia="Palatino Linotype" w:hAnsi="Palatino Linotype" w:cs="Palatino Linotype"/>
        </w:rPr>
        <w:t>En este sentido, la modalidad seleccionada por la parte</w:t>
      </w:r>
      <w:r>
        <w:rPr>
          <w:rFonts w:ascii="Palatino Linotype" w:eastAsia="Palatino Linotype" w:hAnsi="Palatino Linotype" w:cs="Palatino Linotype"/>
          <w:b/>
          <w:bCs/>
        </w:rPr>
        <w:t xml:space="preserve"> RECURRENTE </w:t>
      </w:r>
      <w:r>
        <w:rPr>
          <w:rFonts w:ascii="Palatino Linotype" w:eastAsia="Palatino Linotype" w:hAnsi="Palatino Linotype" w:cs="Palatino Linotype"/>
        </w:rPr>
        <w:t>se encuentra regulada por el Código Financiero del Estado de México y Municipios en su artículo 148 fracción II, porción normativa que dispone a la literalidad lo siguiente:</w:t>
      </w:r>
    </w:p>
    <w:p w:rsidR="00986325" w:rsidRDefault="008068B7">
      <w:pPr>
        <w:widowControl w:val="0"/>
        <w:spacing w:before="24" w:line="360" w:lineRule="auto"/>
        <w:ind w:right="-697"/>
        <w:jc w:val="both"/>
        <w:rPr>
          <w:rFonts w:ascii="Palatino Linotype" w:eastAsia="Palatino Linotype" w:hAnsi="Palatino Linotype" w:cs="Palatino Linotype"/>
        </w:rPr>
      </w:pPr>
      <w:r>
        <w:rPr>
          <w:noProof/>
          <w:lang w:val="es-MX"/>
        </w:rPr>
        <w:drawing>
          <wp:anchor distT="0" distB="0" distL="114300" distR="114300" simplePos="0" relativeHeight="251658240" behindDoc="0" locked="0" layoutInCell="1" hidden="0" allowOverlap="1">
            <wp:simplePos x="0" y="0"/>
            <wp:positionH relativeFrom="column">
              <wp:posOffset>605155</wp:posOffset>
            </wp:positionH>
            <wp:positionV relativeFrom="paragraph">
              <wp:posOffset>212725</wp:posOffset>
            </wp:positionV>
            <wp:extent cx="4420235" cy="2711450"/>
            <wp:effectExtent l="0" t="0" r="0" b="0"/>
            <wp:wrapSquare wrapText="bothSides" distT="0" distB="0" distL="114300" distR="11430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a:stretch>
                      <a:fillRect/>
                    </a:stretch>
                  </pic:blipFill>
                  <pic:spPr>
                    <a:xfrm>
                      <a:off x="0" y="0"/>
                      <a:ext cx="4420235" cy="2711450"/>
                    </a:xfrm>
                    <a:prstGeom prst="rect">
                      <a:avLst/>
                    </a:prstGeom>
                    <a:ln/>
                  </pic:spPr>
                </pic:pic>
              </a:graphicData>
            </a:graphic>
          </wp:anchor>
        </w:drawing>
      </w:r>
    </w:p>
    <w:p w:rsidR="00986325" w:rsidRDefault="00986325">
      <w:pPr>
        <w:widowControl w:val="0"/>
        <w:spacing w:before="24" w:line="360" w:lineRule="auto"/>
        <w:ind w:right="-697"/>
        <w:jc w:val="both"/>
        <w:rPr>
          <w:rFonts w:ascii="Palatino Linotype" w:eastAsia="Palatino Linotype" w:hAnsi="Palatino Linotype" w:cs="Palatino Linotype"/>
        </w:rPr>
      </w:pPr>
    </w:p>
    <w:p w:rsidR="00986325" w:rsidRDefault="00986325">
      <w:pPr>
        <w:tabs>
          <w:tab w:val="left" w:pos="8647"/>
        </w:tabs>
        <w:spacing w:line="360" w:lineRule="auto"/>
        <w:ind w:right="-697"/>
        <w:jc w:val="both"/>
        <w:rPr>
          <w:rFonts w:ascii="Palatino Linotype" w:eastAsia="Palatino Linotype" w:hAnsi="Palatino Linotype" w:cs="Palatino Linotype"/>
        </w:rPr>
      </w:pPr>
    </w:p>
    <w:p w:rsidR="00986325" w:rsidRDefault="00986325">
      <w:pPr>
        <w:spacing w:line="360" w:lineRule="auto"/>
        <w:ind w:right="-697"/>
        <w:jc w:val="both"/>
        <w:rPr>
          <w:rFonts w:ascii="Palatino Linotype" w:eastAsia="Palatino Linotype" w:hAnsi="Palatino Linotype" w:cs="Palatino Linotype"/>
        </w:rPr>
      </w:pPr>
    </w:p>
    <w:p w:rsidR="00986325" w:rsidRDefault="00986325">
      <w:pPr>
        <w:spacing w:line="360" w:lineRule="auto"/>
        <w:ind w:right="-697"/>
        <w:jc w:val="both"/>
        <w:rPr>
          <w:rFonts w:ascii="Palatino Linotype" w:eastAsia="Palatino Linotype" w:hAnsi="Palatino Linotype" w:cs="Palatino Linotype"/>
        </w:rPr>
      </w:pPr>
    </w:p>
    <w:p w:rsidR="00986325" w:rsidRDefault="00986325">
      <w:pPr>
        <w:spacing w:line="360" w:lineRule="auto"/>
        <w:ind w:right="-697"/>
        <w:jc w:val="both"/>
        <w:rPr>
          <w:rFonts w:ascii="Palatino Linotype" w:eastAsia="Palatino Linotype" w:hAnsi="Palatino Linotype" w:cs="Palatino Linotype"/>
        </w:rPr>
      </w:pPr>
    </w:p>
    <w:p w:rsidR="00986325" w:rsidRDefault="00986325">
      <w:pPr>
        <w:spacing w:line="360" w:lineRule="auto"/>
        <w:ind w:right="-697"/>
        <w:jc w:val="both"/>
        <w:rPr>
          <w:rFonts w:ascii="Palatino Linotype" w:eastAsia="Palatino Linotype" w:hAnsi="Palatino Linotype" w:cs="Palatino Linotype"/>
        </w:rPr>
      </w:pPr>
    </w:p>
    <w:p w:rsidR="00986325" w:rsidRDefault="00986325">
      <w:pPr>
        <w:spacing w:line="360" w:lineRule="auto"/>
        <w:ind w:right="-697"/>
        <w:jc w:val="both"/>
        <w:rPr>
          <w:rFonts w:ascii="Palatino Linotype" w:eastAsia="Palatino Linotype" w:hAnsi="Palatino Linotype" w:cs="Palatino Linotype"/>
        </w:rPr>
      </w:pPr>
    </w:p>
    <w:p w:rsidR="00986325" w:rsidRDefault="00986325">
      <w:pPr>
        <w:spacing w:line="360" w:lineRule="auto"/>
        <w:ind w:right="-697"/>
        <w:jc w:val="both"/>
        <w:rPr>
          <w:rFonts w:ascii="Palatino Linotype" w:eastAsia="Palatino Linotype" w:hAnsi="Palatino Linotype" w:cs="Palatino Linotype"/>
        </w:rPr>
      </w:pPr>
    </w:p>
    <w:p w:rsidR="00986325" w:rsidRDefault="00986325">
      <w:pPr>
        <w:spacing w:line="360" w:lineRule="auto"/>
        <w:ind w:right="-697"/>
        <w:jc w:val="both"/>
        <w:rPr>
          <w:rFonts w:ascii="Palatino Linotype" w:eastAsia="Palatino Linotype" w:hAnsi="Palatino Linotype" w:cs="Palatino Linotype"/>
        </w:rPr>
      </w:pPr>
    </w:p>
    <w:p w:rsidR="00986325" w:rsidRDefault="00986325">
      <w:pPr>
        <w:spacing w:line="360" w:lineRule="auto"/>
        <w:ind w:right="-697"/>
        <w:jc w:val="both"/>
        <w:rPr>
          <w:rFonts w:ascii="Palatino Linotype" w:eastAsia="Palatino Linotype" w:hAnsi="Palatino Linotype" w:cs="Palatino Linotype"/>
          <w:color w:val="000000"/>
        </w:rPr>
      </w:pPr>
    </w:p>
    <w:p w:rsidR="00986325" w:rsidRDefault="008068B7">
      <w:pPr>
        <w:numPr>
          <w:ilvl w:val="0"/>
          <w:numId w:val="2"/>
        </w:numPr>
        <w:spacing w:line="360" w:lineRule="auto"/>
        <w:ind w:left="0" w:right="-69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Asimismo, es menester señalar que lo requerido, es posible su entrega en copia certificada, dado que da cuenta de su existencia en los archivos del Sujeto Obligado, al respecto, se trae al estudio el Criterio Orientador, con clave de control SO/006/2017, emitido por el entonces INAI, que prevé lo siguiente:</w:t>
      </w:r>
    </w:p>
    <w:p w:rsidR="00986325" w:rsidRDefault="008068B7">
      <w:pPr>
        <w:ind w:left="567" w:right="-697"/>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lastRenderedPageBreak/>
        <w:t>“</w:t>
      </w:r>
      <w:r>
        <w:rPr>
          <w:rFonts w:ascii="Palatino Linotype" w:eastAsia="Palatino Linotype" w:hAnsi="Palatino Linotype" w:cs="Palatino Linotype"/>
          <w:b/>
          <w:bCs/>
          <w:i/>
          <w:iCs/>
          <w:color w:val="000000"/>
        </w:rPr>
        <w:t>Copias certificadas, como modalidad de entrega en la Ley Federal de Transparencia y Acceso a la Información Pública corrobora que el documento es una copia fiel del que obra en los archivos del sujeto obligado</w:t>
      </w:r>
      <w:r>
        <w:rPr>
          <w:rFonts w:ascii="Palatino Linotype" w:eastAsia="Palatino Linotype" w:hAnsi="Palatino Linotype" w:cs="Palatino Linotype"/>
          <w:i/>
          <w:iCs/>
          <w:color w:val="000000"/>
        </w:rPr>
        <w:t>. Los artículos 125, fracción V y 136 de la Ley Federal de Transparencia y Acceso a la Información Pública, prevén que el acceso a la información se dará en la modalidad de entrega elegida por los solicitantes, como lo es, en copia certificada. Considerando que el artículo 1° de la Ley en cita tiene como finalidad proveer lo necesario para garantizar el acceso de toda persona a la información en posesión de los sujetos obligados del ámbito federal, la certificación en materia de transparencia y acceso a la información tiene por efecto constatar que la copia certificada entregada es una reproducción fiel del documento -original o copia simple- que obra en los archivos del sujeto obligado. En ese orden de ideas, la certificación, para efectos de acceso a la información, a diferencia del concepto que tradicionalmente se ha sostenido en diversas tesis del Poder Judicial de la Federación, no tiene como propósito que el documento certificado haga las veces de un original, sino dejar evidencia de que los documentos obran en los archivos de los sujetos obligados, tal como se encuentran.”</w:t>
      </w:r>
    </w:p>
    <w:p w:rsidR="00986325" w:rsidRDefault="00986325">
      <w:pPr>
        <w:spacing w:line="360" w:lineRule="auto"/>
        <w:ind w:right="-697"/>
        <w:jc w:val="both"/>
        <w:rPr>
          <w:rFonts w:ascii="Palatino Linotype" w:eastAsia="Palatino Linotype" w:hAnsi="Palatino Linotype" w:cs="Palatino Linotype"/>
          <w:i/>
          <w:iCs/>
          <w:color w:val="000000"/>
        </w:rPr>
      </w:pPr>
    </w:p>
    <w:p w:rsidR="00986325" w:rsidRDefault="008068B7">
      <w:pPr>
        <w:numPr>
          <w:ilvl w:val="0"/>
          <w:numId w:val="2"/>
        </w:numPr>
        <w:spacing w:line="360" w:lineRule="auto"/>
        <w:ind w:left="0" w:right="-69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Así pues, es posible la certificación de copias simples, dado que, en el ejercicio de nuestra materia, la certificación no debe ser entendida en el marco de que haga las veces de un original, sino que, da cuenta de que la documentación se encuentra en los archivos del </w:t>
      </w:r>
      <w:r>
        <w:rPr>
          <w:rFonts w:ascii="Palatino Linotype" w:eastAsia="Palatino Linotype" w:hAnsi="Palatino Linotype" w:cs="Palatino Linotype"/>
          <w:b/>
          <w:bCs/>
          <w:color w:val="000000"/>
        </w:rPr>
        <w:t>Sujeto Obligado</w:t>
      </w:r>
      <w:r>
        <w:rPr>
          <w:rFonts w:ascii="Palatino Linotype" w:eastAsia="Palatino Linotype" w:hAnsi="Palatino Linotype" w:cs="Palatino Linotype"/>
          <w:color w:val="000000"/>
        </w:rPr>
        <w:t xml:space="preserve"> en los términos antes descritos. </w:t>
      </w:r>
    </w:p>
    <w:p w:rsidR="00986325" w:rsidRDefault="00986325">
      <w:pPr>
        <w:spacing w:line="360" w:lineRule="auto"/>
        <w:ind w:right="-697"/>
        <w:jc w:val="both"/>
        <w:rPr>
          <w:rFonts w:ascii="Palatino Linotype" w:eastAsia="Palatino Linotype" w:hAnsi="Palatino Linotype" w:cs="Palatino Linotype"/>
          <w:color w:val="000000"/>
        </w:rPr>
      </w:pPr>
    </w:p>
    <w:p w:rsidR="00986325" w:rsidRDefault="008068B7">
      <w:pPr>
        <w:numPr>
          <w:ilvl w:val="0"/>
          <w:numId w:val="2"/>
        </w:numPr>
        <w:spacing w:line="360" w:lineRule="auto"/>
        <w:ind w:left="0" w:right="-697" w:firstLine="0"/>
        <w:jc w:val="both"/>
        <w:rPr>
          <w:rFonts w:ascii="Palatino Linotype" w:eastAsia="Palatino Linotype" w:hAnsi="Palatino Linotype" w:cs="Palatino Linotype"/>
        </w:rPr>
      </w:pPr>
      <w:r>
        <w:rPr>
          <w:rFonts w:ascii="Palatino Linotype" w:eastAsia="Palatino Linotype" w:hAnsi="Palatino Linotype" w:cs="Palatino Linotype"/>
        </w:rPr>
        <w:t>Cabe precisar que es criterio mayoritario de este Pleno que las copias</w:t>
      </w:r>
      <w:r>
        <w:rPr>
          <w:rFonts w:ascii="Palatino Linotype" w:eastAsia="Palatino Linotype" w:hAnsi="Palatino Linotype" w:cs="Palatino Linotype"/>
          <w:b/>
          <w:bCs/>
        </w:rPr>
        <w:t xml:space="preserve"> certificadas</w:t>
      </w:r>
      <w:r>
        <w:rPr>
          <w:rFonts w:ascii="Palatino Linotype" w:eastAsia="Palatino Linotype" w:hAnsi="Palatino Linotype" w:cs="Palatino Linotype"/>
        </w:rPr>
        <w:t xml:space="preserve"> se </w:t>
      </w:r>
      <w:r>
        <w:rPr>
          <w:rFonts w:ascii="Palatino Linotype" w:eastAsia="Palatino Linotype" w:hAnsi="Palatino Linotype" w:cs="Palatino Linotype"/>
          <w:color w:val="000000"/>
        </w:rPr>
        <w:t>atiendan</w:t>
      </w:r>
      <w:r>
        <w:rPr>
          <w:rFonts w:ascii="Palatino Linotype" w:eastAsia="Palatino Linotype" w:hAnsi="Palatino Linotype" w:cs="Palatino Linotype"/>
        </w:rPr>
        <w:t xml:space="preserve"> conforme a lo dispuesto en los costos de reproducción que determina el Código Financiero del Estado de México y Municipios y demás normatividad aplicable, por tanto, la entrega de las copias certificadas debe atender a los costos correspondientes. Luego entonces, en el presente caso, no se informó de los costos, lugar y horarios, siendo procedente ordenar su puesta a disposición en los términos expuestos.</w:t>
      </w:r>
    </w:p>
    <w:p w:rsidR="00986325" w:rsidRDefault="00986325">
      <w:pPr>
        <w:spacing w:line="360" w:lineRule="auto"/>
        <w:ind w:right="-697"/>
        <w:jc w:val="both"/>
        <w:rPr>
          <w:rFonts w:ascii="Palatino Linotype" w:eastAsia="Palatino Linotype" w:hAnsi="Palatino Linotype" w:cs="Palatino Linotype"/>
        </w:rPr>
      </w:pPr>
    </w:p>
    <w:p w:rsidR="00986325" w:rsidRDefault="008068B7">
      <w:pPr>
        <w:pBdr>
          <w:top w:val="nil"/>
          <w:left w:val="nil"/>
          <w:bottom w:val="nil"/>
          <w:right w:val="nil"/>
          <w:between w:val="nil"/>
        </w:pBdr>
        <w:tabs>
          <w:tab w:val="left" w:pos="284"/>
          <w:tab w:val="left" w:pos="426"/>
        </w:tabs>
        <w:spacing w:line="360" w:lineRule="auto"/>
        <w:ind w:right="-697"/>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QUINTO. De la versión pública.</w:t>
      </w:r>
    </w:p>
    <w:p w:rsidR="00986325" w:rsidRDefault="008068B7">
      <w:pPr>
        <w:numPr>
          <w:ilvl w:val="0"/>
          <w:numId w:val="2"/>
        </w:numPr>
        <w:spacing w:line="360" w:lineRule="auto"/>
        <w:ind w:left="0" w:right="-697" w:firstLine="0"/>
        <w:jc w:val="both"/>
        <w:rPr>
          <w:rFonts w:ascii="Palatino Linotype" w:eastAsia="Palatino Linotype" w:hAnsi="Palatino Linotype" w:cs="Palatino Linotype"/>
        </w:rPr>
      </w:pPr>
      <w:r>
        <w:rPr>
          <w:rFonts w:ascii="Palatino Linotype" w:eastAsia="Palatino Linotype" w:hAnsi="Palatino Linotype" w:cs="Palatino Linotype"/>
        </w:rPr>
        <w:lastRenderedPageBreak/>
        <w:t xml:space="preserve">Finalmente, debe señalarse que dada la propia y especial naturaleza de lo solicitado, </w:t>
      </w:r>
      <w:r>
        <w:rPr>
          <w:rFonts w:ascii="Palatino Linotype" w:eastAsia="Palatino Linotype" w:hAnsi="Palatino Linotype" w:cs="Palatino Linotype"/>
          <w:color w:val="000000"/>
        </w:rPr>
        <w:t>eminentemente</w:t>
      </w:r>
      <w:r>
        <w:rPr>
          <w:rFonts w:ascii="Palatino Linotype" w:eastAsia="Palatino Linotype" w:hAnsi="Palatino Linotype" w:cs="Palatino Linotype"/>
        </w:rPr>
        <w:t xml:space="preserve"> contiene múltiples datos personales que deberán ser protegidos como ya quedó asentado en el Considerando anterior del presente proveído. </w:t>
      </w:r>
      <w:r>
        <w:rPr>
          <w:rFonts w:ascii="Palatino Linotype" w:eastAsia="Palatino Linotype" w:hAnsi="Palatino Linotype" w:cs="Palatino Linotype"/>
          <w:color w:val="000000"/>
        </w:rPr>
        <w:t>Para</w:t>
      </w:r>
      <w:r>
        <w:rPr>
          <w:rFonts w:ascii="Palatino Linotype" w:eastAsia="Palatino Linotype" w:hAnsi="Palatino Linotype" w:cs="Palatino Linotype"/>
        </w:rPr>
        <w:t xml:space="preserve"> dar cumplimiento a la presente resolución, contengan datos que deban ser clasificados, el </w:t>
      </w:r>
      <w:r>
        <w:rPr>
          <w:rFonts w:ascii="Palatino Linotype" w:eastAsia="Palatino Linotype" w:hAnsi="Palatino Linotype" w:cs="Palatino Linotype"/>
          <w:b/>
          <w:bCs/>
        </w:rPr>
        <w:t>SUJETO OBLIGADO</w:t>
      </w:r>
      <w:r>
        <w:rPr>
          <w:rFonts w:ascii="Palatino Linotype" w:eastAsia="Palatino Linotype" w:hAnsi="Palatino Linotype" w:cs="Palatino Linotype"/>
        </w:rPr>
        <w:t xml:space="preserve"> deberá hacer la elaboración de la versión pública de tales documentos a fin de satisfacer el derecho de acceso a la información pública del recurrente sin menoscabo al derecho a la protección de los datos personales de terceros.</w:t>
      </w:r>
    </w:p>
    <w:p w:rsidR="00986325" w:rsidRDefault="00986325">
      <w:pPr>
        <w:spacing w:line="360" w:lineRule="auto"/>
        <w:ind w:right="-697"/>
        <w:jc w:val="both"/>
        <w:rPr>
          <w:rFonts w:ascii="Palatino Linotype" w:eastAsia="Palatino Linotype" w:hAnsi="Palatino Linotype" w:cs="Palatino Linotype"/>
        </w:rPr>
      </w:pPr>
    </w:p>
    <w:p w:rsidR="00986325" w:rsidRDefault="008068B7">
      <w:pPr>
        <w:numPr>
          <w:ilvl w:val="0"/>
          <w:numId w:val="2"/>
        </w:numPr>
        <w:spacing w:line="360" w:lineRule="auto"/>
        <w:ind w:left="0" w:right="-697" w:firstLine="0"/>
        <w:jc w:val="both"/>
        <w:rPr>
          <w:rFonts w:ascii="Palatino Linotype" w:eastAsia="Palatino Linotype" w:hAnsi="Palatino Linotype" w:cs="Palatino Linotype"/>
        </w:rPr>
      </w:pPr>
      <w:r>
        <w:rPr>
          <w:rFonts w:ascii="Palatino Linotype" w:eastAsia="Palatino Linotype" w:hAnsi="Palatino Linotype" w:cs="Palatino Linotype"/>
        </w:rPr>
        <w:t>Por lo que, para efectos de la elaboración de la versión pública se deberá observar lo dispuesto por los artículos 3 fracciones IX, XX, XXI, XXXII y XLV; 6, 49 fracción VIII, 91, 137, 143 Fracción I, de la Ley de Transparencia y Acceso a la Información Pública del Estado de México y Municipios vigente, que establecen:</w:t>
      </w:r>
    </w:p>
    <w:p w:rsidR="00986325" w:rsidRDefault="008068B7">
      <w:pPr>
        <w:spacing w:line="360" w:lineRule="auto"/>
        <w:ind w:left="851" w:right="-697"/>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 xml:space="preserve"> “Artículo 3. Para los efectos de la presente Ley se entenderá por:</w:t>
      </w:r>
    </w:p>
    <w:p w:rsidR="00986325" w:rsidRDefault="008068B7">
      <w:pPr>
        <w:spacing w:line="360" w:lineRule="auto"/>
        <w:ind w:left="851" w:right="-697"/>
        <w:jc w:val="both"/>
        <w:rPr>
          <w:rFonts w:ascii="Palatino Linotype" w:eastAsia="Palatino Linotype" w:hAnsi="Palatino Linotype" w:cs="Palatino Linotype"/>
          <w:i/>
          <w:iCs/>
        </w:rPr>
      </w:pPr>
      <w:r>
        <w:rPr>
          <w:rFonts w:ascii="Palatino Linotype" w:eastAsia="Palatino Linotype" w:hAnsi="Palatino Linotype" w:cs="Palatino Linotype"/>
          <w:b/>
          <w:bCs/>
          <w:i/>
          <w:iCs/>
        </w:rPr>
        <w:t>IX. Datos personales:</w:t>
      </w:r>
      <w:r>
        <w:rPr>
          <w:rFonts w:ascii="Palatino Linotype" w:eastAsia="Palatino Linotype" w:hAnsi="Palatino Linotype" w:cs="Palatino Linotype"/>
          <w:i/>
          <w:iCs/>
        </w:rPr>
        <w:t xml:space="preserve"> </w:t>
      </w:r>
      <w:r>
        <w:rPr>
          <w:rFonts w:ascii="Palatino Linotype" w:eastAsia="Palatino Linotype" w:hAnsi="Palatino Linotype" w:cs="Palatino Linotype"/>
          <w:b/>
          <w:bCs/>
          <w:i/>
          <w:iCs/>
        </w:rPr>
        <w:t>La información concerniente a una persona, identificada o identificable</w:t>
      </w:r>
      <w:r>
        <w:rPr>
          <w:rFonts w:ascii="Palatino Linotype" w:eastAsia="Palatino Linotype" w:hAnsi="Palatino Linotype" w:cs="Palatino Linotype"/>
          <w:i/>
          <w:iCs/>
        </w:rPr>
        <w:t xml:space="preserve"> según lo dispuesto por la Ley de Protección de Datos Personales del Estado de México;</w:t>
      </w:r>
    </w:p>
    <w:p w:rsidR="00986325" w:rsidRDefault="008068B7">
      <w:pPr>
        <w:spacing w:line="360" w:lineRule="auto"/>
        <w:ind w:left="851" w:right="-697"/>
        <w:jc w:val="both"/>
        <w:rPr>
          <w:rFonts w:ascii="Palatino Linotype" w:eastAsia="Palatino Linotype" w:hAnsi="Palatino Linotype" w:cs="Palatino Linotype"/>
          <w:i/>
          <w:iCs/>
        </w:rPr>
      </w:pPr>
      <w:r>
        <w:rPr>
          <w:rFonts w:ascii="Palatino Linotype" w:eastAsia="Palatino Linotype" w:hAnsi="Palatino Linotype" w:cs="Palatino Linotype"/>
          <w:b/>
          <w:bCs/>
          <w:i/>
          <w:iCs/>
        </w:rPr>
        <w:t>XX. Información clasificada:</w:t>
      </w:r>
      <w:r>
        <w:rPr>
          <w:rFonts w:ascii="Palatino Linotype" w:eastAsia="Palatino Linotype" w:hAnsi="Palatino Linotype" w:cs="Palatino Linotype"/>
          <w:i/>
          <w:iCs/>
        </w:rPr>
        <w:t xml:space="preserve"> Aquella considerada por la presente Ley como reservada o confidencial;</w:t>
      </w:r>
    </w:p>
    <w:p w:rsidR="00986325" w:rsidRDefault="008068B7">
      <w:pPr>
        <w:spacing w:line="360" w:lineRule="auto"/>
        <w:ind w:left="851" w:right="-697"/>
        <w:jc w:val="both"/>
        <w:rPr>
          <w:rFonts w:ascii="Palatino Linotype" w:eastAsia="Palatino Linotype" w:hAnsi="Palatino Linotype" w:cs="Palatino Linotype"/>
          <w:i/>
          <w:iCs/>
        </w:rPr>
      </w:pPr>
      <w:r>
        <w:rPr>
          <w:rFonts w:ascii="Palatino Linotype" w:eastAsia="Palatino Linotype" w:hAnsi="Palatino Linotype" w:cs="Palatino Linotype"/>
          <w:b/>
          <w:bCs/>
          <w:i/>
          <w:iCs/>
        </w:rPr>
        <w:t>XXXII. Protección de Datos Personales:</w:t>
      </w:r>
      <w:r>
        <w:rPr>
          <w:rFonts w:ascii="Palatino Linotype" w:eastAsia="Palatino Linotype" w:hAnsi="Palatino Linotype" w:cs="Palatino Linotype"/>
          <w:i/>
          <w:iCs/>
        </w:rPr>
        <w:t xml:space="preserve"> Derecho humano que tutela la privacidad de datos personales en poder de los sujetos obligados y sujetos particulares;</w:t>
      </w:r>
    </w:p>
    <w:p w:rsidR="00986325" w:rsidRDefault="008068B7">
      <w:pPr>
        <w:spacing w:line="360" w:lineRule="auto"/>
        <w:ind w:left="851" w:right="-697"/>
        <w:jc w:val="both"/>
        <w:rPr>
          <w:rFonts w:ascii="Palatino Linotype" w:eastAsia="Palatino Linotype" w:hAnsi="Palatino Linotype" w:cs="Palatino Linotype"/>
          <w:i/>
          <w:iCs/>
        </w:rPr>
      </w:pPr>
      <w:r>
        <w:rPr>
          <w:rFonts w:ascii="Palatino Linotype" w:eastAsia="Palatino Linotype" w:hAnsi="Palatino Linotype" w:cs="Palatino Linotype"/>
          <w:b/>
          <w:bCs/>
          <w:i/>
          <w:iCs/>
        </w:rPr>
        <w:t>XLV. Versión pública</w:t>
      </w:r>
      <w:r>
        <w:rPr>
          <w:rFonts w:ascii="Palatino Linotype" w:eastAsia="Palatino Linotype" w:hAnsi="Palatino Linotype" w:cs="Palatino Linotype"/>
          <w:i/>
          <w:iCs/>
        </w:rPr>
        <w:t>: Documento en el que se elimine, suprime o borra la información clasificada como reservada o confidencial para permitir su acceso.”</w:t>
      </w:r>
    </w:p>
    <w:p w:rsidR="00986325" w:rsidRDefault="00986325">
      <w:pPr>
        <w:spacing w:line="360" w:lineRule="auto"/>
        <w:ind w:left="851" w:right="-697"/>
        <w:jc w:val="both"/>
        <w:rPr>
          <w:rFonts w:ascii="Palatino Linotype" w:eastAsia="Palatino Linotype" w:hAnsi="Palatino Linotype" w:cs="Palatino Linotype"/>
          <w:i/>
          <w:iCs/>
        </w:rPr>
      </w:pPr>
    </w:p>
    <w:p w:rsidR="00986325" w:rsidRDefault="008068B7">
      <w:pPr>
        <w:spacing w:line="360" w:lineRule="auto"/>
        <w:ind w:left="851" w:right="-697"/>
        <w:jc w:val="both"/>
        <w:rPr>
          <w:rFonts w:ascii="Palatino Linotype" w:eastAsia="Palatino Linotype" w:hAnsi="Palatino Linotype" w:cs="Palatino Linotype"/>
          <w:i/>
          <w:iCs/>
        </w:rPr>
      </w:pPr>
      <w:r>
        <w:rPr>
          <w:rFonts w:ascii="Palatino Linotype" w:eastAsia="Palatino Linotype" w:hAnsi="Palatino Linotype" w:cs="Palatino Linotype"/>
          <w:b/>
          <w:bCs/>
          <w:i/>
          <w:iCs/>
        </w:rPr>
        <w:lastRenderedPageBreak/>
        <w:t>“Artículo 6.</w:t>
      </w:r>
      <w:r>
        <w:rPr>
          <w:rFonts w:ascii="Palatino Linotype" w:eastAsia="Palatino Linotype" w:hAnsi="Palatino Linotype" w:cs="Palatino Linotype"/>
          <w:i/>
          <w:iCs/>
        </w:rPr>
        <w:t xml:space="preserve"> Los datos personales son irrenunciables, intransferibles e indelegables, por lo que los sujetos obligados no deberán proporcionar o hacer pública la información que contenga, con excepción de aquellos casos en que deban hacerlo en observancia de las disposiciones aplicables. En el caso de los derechos de acceso, rectificación, cancelación u oposición; los principios, procedimientos, medidas de seguridad en el tratamiento y demás disposiciones en materia de datos personales, se deberá estar a lo dispuesto en las leyes de la materia.”</w:t>
      </w:r>
    </w:p>
    <w:p w:rsidR="00986325" w:rsidRDefault="00986325">
      <w:pPr>
        <w:spacing w:line="360" w:lineRule="auto"/>
        <w:ind w:left="851" w:right="-697"/>
        <w:jc w:val="both"/>
        <w:rPr>
          <w:rFonts w:ascii="Palatino Linotype" w:eastAsia="Palatino Linotype" w:hAnsi="Palatino Linotype" w:cs="Palatino Linotype"/>
          <w:i/>
          <w:iCs/>
        </w:rPr>
      </w:pPr>
    </w:p>
    <w:p w:rsidR="00986325" w:rsidRDefault="008068B7">
      <w:pPr>
        <w:spacing w:line="360" w:lineRule="auto"/>
        <w:ind w:left="851" w:right="-697"/>
        <w:jc w:val="both"/>
        <w:rPr>
          <w:rFonts w:ascii="Palatino Linotype" w:eastAsia="Palatino Linotype" w:hAnsi="Palatino Linotype" w:cs="Palatino Linotype"/>
          <w:i/>
          <w:iCs/>
        </w:rPr>
      </w:pPr>
      <w:r>
        <w:rPr>
          <w:rFonts w:ascii="Palatino Linotype" w:eastAsia="Palatino Linotype" w:hAnsi="Palatino Linotype" w:cs="Palatino Linotype"/>
          <w:i/>
          <w:iCs/>
        </w:rPr>
        <w:t> </w:t>
      </w:r>
      <w:r>
        <w:rPr>
          <w:rFonts w:ascii="Palatino Linotype" w:eastAsia="Palatino Linotype" w:hAnsi="Palatino Linotype" w:cs="Palatino Linotype"/>
          <w:b/>
          <w:bCs/>
          <w:i/>
          <w:iCs/>
        </w:rPr>
        <w:t>Artículo 49.</w:t>
      </w:r>
      <w:r>
        <w:rPr>
          <w:rFonts w:ascii="Palatino Linotype" w:eastAsia="Palatino Linotype" w:hAnsi="Palatino Linotype" w:cs="Palatino Linotype"/>
          <w:i/>
          <w:iCs/>
        </w:rPr>
        <w:t> Los Comités de Transparencia tendrán las siguientes atribuciones:</w:t>
      </w:r>
    </w:p>
    <w:p w:rsidR="00986325" w:rsidRDefault="008068B7">
      <w:pPr>
        <w:spacing w:line="360" w:lineRule="auto"/>
        <w:ind w:left="851" w:right="-697"/>
        <w:jc w:val="both"/>
        <w:rPr>
          <w:rFonts w:ascii="Palatino Linotype" w:eastAsia="Palatino Linotype" w:hAnsi="Palatino Linotype" w:cs="Palatino Linotype"/>
          <w:i/>
          <w:iCs/>
        </w:rPr>
      </w:pPr>
      <w:r>
        <w:rPr>
          <w:rFonts w:ascii="Palatino Linotype" w:eastAsia="Palatino Linotype" w:hAnsi="Palatino Linotype" w:cs="Palatino Linotype"/>
          <w:i/>
          <w:iCs/>
        </w:rPr>
        <w:t>(…)</w:t>
      </w:r>
    </w:p>
    <w:p w:rsidR="00986325" w:rsidRDefault="008068B7">
      <w:pPr>
        <w:spacing w:line="360" w:lineRule="auto"/>
        <w:ind w:left="851" w:right="-697"/>
        <w:jc w:val="both"/>
        <w:rPr>
          <w:rFonts w:ascii="Palatino Linotype" w:eastAsia="Palatino Linotype" w:hAnsi="Palatino Linotype" w:cs="Palatino Linotype"/>
          <w:i/>
          <w:iCs/>
        </w:rPr>
      </w:pPr>
      <w:r>
        <w:rPr>
          <w:rFonts w:ascii="Palatino Linotype" w:eastAsia="Palatino Linotype" w:hAnsi="Palatino Linotype" w:cs="Palatino Linotype"/>
          <w:b/>
          <w:bCs/>
          <w:i/>
          <w:iCs/>
        </w:rPr>
        <w:t>VIII</w:t>
      </w:r>
      <w:r>
        <w:rPr>
          <w:rFonts w:ascii="Palatino Linotype" w:eastAsia="Palatino Linotype" w:hAnsi="Palatino Linotype" w:cs="Palatino Linotype"/>
          <w:i/>
          <w:iCs/>
        </w:rPr>
        <w:t>. Aprobar, modificar o revocar la clasificación de la información;</w:t>
      </w:r>
    </w:p>
    <w:p w:rsidR="00986325" w:rsidRDefault="008068B7">
      <w:pPr>
        <w:spacing w:line="360" w:lineRule="auto"/>
        <w:ind w:left="851" w:right="-697"/>
        <w:jc w:val="both"/>
        <w:rPr>
          <w:rFonts w:ascii="Palatino Linotype" w:eastAsia="Palatino Linotype" w:hAnsi="Palatino Linotype" w:cs="Palatino Linotype"/>
          <w:i/>
          <w:iCs/>
        </w:rPr>
      </w:pPr>
      <w:r>
        <w:rPr>
          <w:rFonts w:ascii="Palatino Linotype" w:eastAsia="Palatino Linotype" w:hAnsi="Palatino Linotype" w:cs="Palatino Linotype"/>
          <w:i/>
          <w:iCs/>
        </w:rPr>
        <w:t>(…)</w:t>
      </w:r>
    </w:p>
    <w:p w:rsidR="00986325" w:rsidRDefault="008068B7">
      <w:pPr>
        <w:spacing w:line="360" w:lineRule="auto"/>
        <w:ind w:left="851" w:right="-697"/>
        <w:jc w:val="both"/>
        <w:rPr>
          <w:rFonts w:ascii="Palatino Linotype" w:eastAsia="Palatino Linotype" w:hAnsi="Palatino Linotype" w:cs="Palatino Linotype"/>
          <w:i/>
          <w:iCs/>
        </w:rPr>
      </w:pPr>
      <w:r>
        <w:rPr>
          <w:rFonts w:ascii="Palatino Linotype" w:eastAsia="Palatino Linotype" w:hAnsi="Palatino Linotype" w:cs="Palatino Linotype"/>
          <w:b/>
          <w:bCs/>
          <w:i/>
          <w:iCs/>
        </w:rPr>
        <w:t xml:space="preserve">Artículo 91. </w:t>
      </w:r>
      <w:r>
        <w:rPr>
          <w:rFonts w:ascii="Palatino Linotype" w:eastAsia="Palatino Linotype" w:hAnsi="Palatino Linotype" w:cs="Palatino Linotype"/>
          <w:i/>
          <w:iCs/>
        </w:rPr>
        <w:t>El acceso a la información pública será restringido excepcionalmente, cuando ésta sea clasificada como reservada o confidencial.</w:t>
      </w:r>
    </w:p>
    <w:p w:rsidR="00986325" w:rsidRDefault="00986325">
      <w:pPr>
        <w:spacing w:line="360" w:lineRule="auto"/>
        <w:ind w:left="851" w:right="-697"/>
        <w:jc w:val="both"/>
        <w:rPr>
          <w:rFonts w:ascii="Palatino Linotype" w:eastAsia="Palatino Linotype" w:hAnsi="Palatino Linotype" w:cs="Palatino Linotype"/>
          <w:i/>
          <w:iCs/>
        </w:rPr>
      </w:pPr>
    </w:p>
    <w:p w:rsidR="00986325" w:rsidRDefault="008068B7">
      <w:pPr>
        <w:spacing w:line="360" w:lineRule="auto"/>
        <w:ind w:left="851" w:right="-697"/>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“Artículo 137.</w:t>
      </w:r>
      <w:r>
        <w:rPr>
          <w:rFonts w:ascii="Palatino Linotype" w:eastAsia="Palatino Linotype" w:hAnsi="Palatino Linotype" w:cs="Palatino Linotype"/>
          <w:i/>
          <w:iCs/>
        </w:rPr>
        <w:t xml:space="preserve"> Cuando un mismo medio, impreso o electrónico, contenga información pública y reservada o confidencial, la Unidad de Transparencia para efectos de atender una solicitud de información, deberán elaborar una versión pública en la que se testen las partes o secciones clasificadas, indicando su contenido de manera genérica y fundando y motivando su clasificación.”</w:t>
      </w:r>
    </w:p>
    <w:p w:rsidR="00986325" w:rsidRDefault="00986325">
      <w:pPr>
        <w:spacing w:line="360" w:lineRule="auto"/>
        <w:ind w:left="851" w:right="-697"/>
        <w:jc w:val="both"/>
        <w:rPr>
          <w:rFonts w:ascii="Palatino Linotype" w:eastAsia="Palatino Linotype" w:hAnsi="Palatino Linotype" w:cs="Palatino Linotype"/>
          <w:b/>
          <w:bCs/>
          <w:i/>
          <w:iCs/>
        </w:rPr>
      </w:pPr>
    </w:p>
    <w:p w:rsidR="00986325" w:rsidRDefault="008068B7">
      <w:pPr>
        <w:spacing w:line="360" w:lineRule="auto"/>
        <w:ind w:left="851" w:right="-697"/>
        <w:jc w:val="both"/>
        <w:rPr>
          <w:rFonts w:ascii="Palatino Linotype" w:eastAsia="Palatino Linotype" w:hAnsi="Palatino Linotype" w:cs="Palatino Linotype"/>
          <w:i/>
          <w:iCs/>
        </w:rPr>
      </w:pPr>
      <w:r>
        <w:rPr>
          <w:rFonts w:ascii="Palatino Linotype" w:eastAsia="Palatino Linotype" w:hAnsi="Palatino Linotype" w:cs="Palatino Linotype"/>
          <w:b/>
          <w:bCs/>
          <w:i/>
          <w:iCs/>
        </w:rPr>
        <w:t>“Artículo 143</w:t>
      </w:r>
      <w:r>
        <w:rPr>
          <w:rFonts w:ascii="Palatino Linotype" w:eastAsia="Palatino Linotype" w:hAnsi="Palatino Linotype" w:cs="Palatino Linotype"/>
          <w:i/>
          <w:iCs/>
        </w:rPr>
        <w:t>. Para los efectos de esta Ley se considera información confidencial, la clasificada como tal, de manera permanente, por su naturaleza, cuando:</w:t>
      </w:r>
    </w:p>
    <w:p w:rsidR="00986325" w:rsidRDefault="008068B7">
      <w:pPr>
        <w:spacing w:line="360" w:lineRule="auto"/>
        <w:ind w:left="851" w:right="-697"/>
        <w:jc w:val="both"/>
        <w:rPr>
          <w:rFonts w:ascii="Palatino Linotype" w:eastAsia="Palatino Linotype" w:hAnsi="Palatino Linotype" w:cs="Palatino Linotype"/>
          <w:i/>
          <w:iCs/>
        </w:rPr>
      </w:pPr>
      <w:r>
        <w:rPr>
          <w:rFonts w:ascii="Palatino Linotype" w:eastAsia="Palatino Linotype" w:hAnsi="Palatino Linotype" w:cs="Palatino Linotype"/>
          <w:b/>
          <w:bCs/>
          <w:i/>
          <w:iCs/>
        </w:rPr>
        <w:lastRenderedPageBreak/>
        <w:t>I.</w:t>
      </w:r>
      <w:r>
        <w:rPr>
          <w:rFonts w:ascii="Palatino Linotype" w:eastAsia="Palatino Linotype" w:hAnsi="Palatino Linotype" w:cs="Palatino Linotype"/>
          <w:i/>
          <w:iCs/>
        </w:rPr>
        <w:t xml:space="preserve"> Se refiera a la información privada y los datos personales concernientes a una persona física o jurídica colectiva identificada o identificable;</w:t>
      </w:r>
    </w:p>
    <w:p w:rsidR="00986325" w:rsidRDefault="008068B7">
      <w:pPr>
        <w:spacing w:line="360" w:lineRule="auto"/>
        <w:ind w:left="851" w:right="-697"/>
        <w:jc w:val="both"/>
        <w:rPr>
          <w:rFonts w:ascii="Palatino Linotype" w:eastAsia="Palatino Linotype" w:hAnsi="Palatino Linotype" w:cs="Palatino Linotype"/>
          <w:i/>
          <w:iCs/>
        </w:rPr>
      </w:pPr>
      <w:r>
        <w:rPr>
          <w:rFonts w:ascii="Palatino Linotype" w:eastAsia="Palatino Linotype" w:hAnsi="Palatino Linotype" w:cs="Palatino Linotype"/>
          <w:i/>
          <w:iCs/>
        </w:rPr>
        <w:t>II. Los secretos bancario, fiduciario, industrial, comercial, fiscal, bursátil y postal, cuya titularidad corresponda a particulares, sujetos de derecho internacional o a sujetos obligados cuando no involucren el ejercicio de recursos públicos; y</w:t>
      </w:r>
    </w:p>
    <w:p w:rsidR="00986325" w:rsidRDefault="008068B7">
      <w:pPr>
        <w:spacing w:line="360" w:lineRule="auto"/>
        <w:ind w:left="851" w:right="-697"/>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III. La que presenten los particulares a los sujetos obligados, de conformidad con lo dispuesto por las leyes o los tratados internacionales.” </w:t>
      </w:r>
    </w:p>
    <w:p w:rsidR="00986325" w:rsidRDefault="00986325">
      <w:pPr>
        <w:spacing w:line="360" w:lineRule="auto"/>
        <w:ind w:left="993" w:right="-697"/>
        <w:jc w:val="both"/>
        <w:rPr>
          <w:rFonts w:ascii="Palatino Linotype" w:eastAsia="Palatino Linotype" w:hAnsi="Palatino Linotype" w:cs="Palatino Linotype"/>
          <w:i/>
          <w:iCs/>
        </w:rPr>
      </w:pPr>
    </w:p>
    <w:p w:rsidR="00986325" w:rsidRDefault="008068B7">
      <w:pPr>
        <w:numPr>
          <w:ilvl w:val="0"/>
          <w:numId w:val="2"/>
        </w:numPr>
        <w:spacing w:line="360" w:lineRule="auto"/>
        <w:ind w:left="0" w:right="-697" w:firstLine="0"/>
        <w:jc w:val="both"/>
        <w:rPr>
          <w:rFonts w:ascii="Palatino Linotype" w:eastAsia="Palatino Linotype" w:hAnsi="Palatino Linotype" w:cs="Palatino Linotype"/>
        </w:rPr>
      </w:pPr>
      <w:r>
        <w:rPr>
          <w:rFonts w:ascii="Palatino Linotype" w:eastAsia="Palatino Linotype" w:hAnsi="Palatino Linotype" w:cs="Palatino Linotype"/>
        </w:rPr>
        <w:t>De los preceptos anteriores se desprende que cuando un documento que vaya a ser entregado vía acceso a la información pública, contenga tanto información de interés público como información que debe ser clasificada, se hará la entrega del mismo, testando las secciones o datos que deban ser clasificados; por ende el Sujeto Obligado deberá proceder a testar los datos personales que se encuentren contenidos en los documentos a entregar por parte del Sujeto Obligado para satisfacer el derecho de acceso a la información pública de la recurrente, esto es, los datos concernientes a una persona identificada o identificable, o aquellos datos que tengan el carácter de sensibles, es decir los que afectan la esfera más íntima de su titular o cuya utilización indebida pueda dar origen a discriminación o conlleven un riesgo grave para aquel de acuerdo a lo que señala la fracción XII del artículo 4 de la Ley de Protección de Datos Personales en Posesión de Sujetos Obligados del Estado de México.</w:t>
      </w:r>
    </w:p>
    <w:p w:rsidR="00986325" w:rsidRDefault="00986325">
      <w:pPr>
        <w:spacing w:line="360" w:lineRule="auto"/>
        <w:ind w:right="-697"/>
        <w:jc w:val="both"/>
        <w:rPr>
          <w:rFonts w:ascii="Palatino Linotype" w:eastAsia="Palatino Linotype" w:hAnsi="Palatino Linotype" w:cs="Palatino Linotype"/>
          <w:b/>
          <w:bCs/>
        </w:rPr>
      </w:pPr>
    </w:p>
    <w:p w:rsidR="00986325" w:rsidRDefault="008068B7">
      <w:pPr>
        <w:numPr>
          <w:ilvl w:val="0"/>
          <w:numId w:val="2"/>
        </w:numPr>
        <w:spacing w:line="360" w:lineRule="auto"/>
        <w:ind w:left="0" w:right="-697"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Finalmente, debe señalarse que de ser el caso en que los documentos que vayan a ser entregados para dar cumplimiento a la presente resolución, contengan datos que deban ser clasificados, </w:t>
      </w:r>
      <w:r>
        <w:rPr>
          <w:rFonts w:ascii="Palatino Linotype" w:eastAsia="Palatino Linotype" w:hAnsi="Palatino Linotype" w:cs="Palatino Linotype"/>
          <w:b/>
          <w:bCs/>
        </w:rPr>
        <w:t>EL</w:t>
      </w:r>
      <w:r>
        <w:rPr>
          <w:rFonts w:ascii="Palatino Linotype" w:eastAsia="Palatino Linotype" w:hAnsi="Palatino Linotype" w:cs="Palatino Linotype"/>
        </w:rPr>
        <w:t xml:space="preserve"> </w:t>
      </w:r>
      <w:r>
        <w:rPr>
          <w:rFonts w:ascii="Palatino Linotype" w:eastAsia="Palatino Linotype" w:hAnsi="Palatino Linotype" w:cs="Palatino Linotype"/>
          <w:b/>
          <w:bCs/>
        </w:rPr>
        <w:t>SUJETO OBLIGADO</w:t>
      </w:r>
      <w:r>
        <w:rPr>
          <w:rFonts w:ascii="Palatino Linotype" w:eastAsia="Palatino Linotype" w:hAnsi="Palatino Linotype" w:cs="Palatino Linotype"/>
        </w:rPr>
        <w:t xml:space="preserve"> deberá hacer la elaboración de la versión pública de </w:t>
      </w:r>
      <w:r>
        <w:rPr>
          <w:rFonts w:ascii="Palatino Linotype" w:eastAsia="Palatino Linotype" w:hAnsi="Palatino Linotype" w:cs="Palatino Linotype"/>
        </w:rPr>
        <w:lastRenderedPageBreak/>
        <w:t xml:space="preserve">los mismos a fin de satisfacer el derecho de acceso a la información pública de la parte </w:t>
      </w:r>
      <w:r>
        <w:rPr>
          <w:rFonts w:ascii="Palatino Linotype" w:eastAsia="Palatino Linotype" w:hAnsi="Palatino Linotype" w:cs="Palatino Linotype"/>
          <w:b/>
          <w:bCs/>
        </w:rPr>
        <w:t>RECURRENTE</w:t>
      </w:r>
      <w:r>
        <w:rPr>
          <w:rFonts w:ascii="Palatino Linotype" w:eastAsia="Palatino Linotype" w:hAnsi="Palatino Linotype" w:cs="Palatino Linotype"/>
        </w:rPr>
        <w:t xml:space="preserve"> sin menoscabo al derecho a la protección de los datos personales de terceros.</w:t>
      </w:r>
    </w:p>
    <w:p w:rsidR="00986325" w:rsidRDefault="00986325">
      <w:pPr>
        <w:spacing w:line="360" w:lineRule="auto"/>
        <w:ind w:right="-697"/>
        <w:jc w:val="both"/>
        <w:rPr>
          <w:rFonts w:ascii="Palatino Linotype" w:eastAsia="Palatino Linotype" w:hAnsi="Palatino Linotype" w:cs="Palatino Linotype"/>
        </w:rPr>
      </w:pPr>
    </w:p>
    <w:p w:rsidR="00986325" w:rsidRDefault="008068B7">
      <w:pPr>
        <w:numPr>
          <w:ilvl w:val="0"/>
          <w:numId w:val="2"/>
        </w:numPr>
        <w:spacing w:line="360" w:lineRule="auto"/>
        <w:ind w:left="0" w:right="-697" w:firstLine="0"/>
        <w:jc w:val="both"/>
        <w:rPr>
          <w:rFonts w:ascii="Palatino Linotype" w:eastAsia="Palatino Linotype" w:hAnsi="Palatino Linotype" w:cs="Palatino Linotype"/>
        </w:rPr>
      </w:pPr>
      <w:r>
        <w:rPr>
          <w:rFonts w:ascii="Palatino Linotype" w:eastAsia="Palatino Linotype" w:hAnsi="Palatino Linotype" w:cs="Palatino Linotype"/>
        </w:rPr>
        <w:t>Datos que deberá clasificar como confidenciales por tratarse precisamente de información privada, puesto que los datos personales son irrenunciables, intransferibles e indelegables y los Sujetos Obligados no deberán hacer entrega de los mismos a personas ajenas a su titular.</w:t>
      </w:r>
    </w:p>
    <w:p w:rsidR="00986325" w:rsidRDefault="00986325">
      <w:pPr>
        <w:pBdr>
          <w:top w:val="nil"/>
          <w:left w:val="nil"/>
          <w:bottom w:val="nil"/>
          <w:right w:val="nil"/>
          <w:between w:val="nil"/>
        </w:pBdr>
        <w:spacing w:line="360" w:lineRule="auto"/>
        <w:ind w:left="720" w:right="-697"/>
        <w:rPr>
          <w:rFonts w:ascii="Palatino Linotype" w:eastAsia="Palatino Linotype" w:hAnsi="Palatino Linotype" w:cs="Palatino Linotype"/>
          <w:color w:val="000000"/>
        </w:rPr>
      </w:pPr>
    </w:p>
    <w:p w:rsidR="00986325" w:rsidRDefault="008068B7">
      <w:pPr>
        <w:numPr>
          <w:ilvl w:val="0"/>
          <w:numId w:val="2"/>
        </w:numPr>
        <w:spacing w:line="360" w:lineRule="auto"/>
        <w:ind w:left="0" w:right="-697" w:firstLine="0"/>
        <w:jc w:val="both"/>
        <w:rPr>
          <w:rFonts w:ascii="Palatino Linotype" w:eastAsia="Palatino Linotype" w:hAnsi="Palatino Linotype" w:cs="Palatino Linotype"/>
        </w:rPr>
      </w:pPr>
      <w:r>
        <w:rPr>
          <w:rFonts w:ascii="Palatino Linotype" w:eastAsia="Palatino Linotype" w:hAnsi="Palatino Linotype" w:cs="Palatino Linotype"/>
        </w:rPr>
        <w:t>En ese contexto, la clasificación de la información no opera con la simple supresión de datos que se haga en los documentos de que se trate o con la simple decisión que tome el Servidor Público Habilitado o el Responsable de la Unidad de Transparencia del Sujeto Obligado, sino que ello deberá realizarse en términos de lo que disponen los artículos 49 fracción VIII, 53, fracción X y 59, fracción V, de la Ley en consulta, cuyo sentido literal es el siguiente:</w:t>
      </w:r>
    </w:p>
    <w:p w:rsidR="00986325" w:rsidRDefault="008068B7">
      <w:pPr>
        <w:spacing w:line="360" w:lineRule="auto"/>
        <w:ind w:left="992" w:right="-697"/>
        <w:jc w:val="both"/>
        <w:rPr>
          <w:rFonts w:ascii="Palatino Linotype" w:eastAsia="Palatino Linotype" w:hAnsi="Palatino Linotype" w:cs="Palatino Linotype"/>
          <w:i/>
          <w:iCs/>
        </w:rPr>
      </w:pPr>
      <w:r>
        <w:rPr>
          <w:rFonts w:ascii="Palatino Linotype" w:eastAsia="Palatino Linotype" w:hAnsi="Palatino Linotype" w:cs="Palatino Linotype"/>
          <w:b/>
          <w:bCs/>
          <w:i/>
          <w:iCs/>
        </w:rPr>
        <w:t>“Artículo 49.</w:t>
      </w:r>
      <w:r>
        <w:rPr>
          <w:rFonts w:ascii="Palatino Linotype" w:eastAsia="Palatino Linotype" w:hAnsi="Palatino Linotype" w:cs="Palatino Linotype"/>
          <w:i/>
          <w:iCs/>
        </w:rPr>
        <w:t xml:space="preserve"> </w:t>
      </w:r>
      <w:r>
        <w:rPr>
          <w:rFonts w:ascii="Palatino Linotype" w:eastAsia="Palatino Linotype" w:hAnsi="Palatino Linotype" w:cs="Palatino Linotype"/>
          <w:b/>
          <w:bCs/>
          <w:i/>
          <w:iCs/>
        </w:rPr>
        <w:t>Los Comités de Transparencia</w:t>
      </w:r>
      <w:r>
        <w:rPr>
          <w:rFonts w:ascii="Palatino Linotype" w:eastAsia="Palatino Linotype" w:hAnsi="Palatino Linotype" w:cs="Palatino Linotype"/>
          <w:i/>
          <w:iCs/>
        </w:rPr>
        <w:t xml:space="preserve"> tendrán las siguientes atribuciones:</w:t>
      </w:r>
    </w:p>
    <w:p w:rsidR="00986325" w:rsidRDefault="008068B7">
      <w:pPr>
        <w:spacing w:line="360" w:lineRule="auto"/>
        <w:ind w:left="992" w:right="-697"/>
        <w:jc w:val="both"/>
        <w:rPr>
          <w:rFonts w:ascii="Palatino Linotype" w:eastAsia="Palatino Linotype" w:hAnsi="Palatino Linotype" w:cs="Palatino Linotype"/>
          <w:i/>
          <w:iCs/>
        </w:rPr>
      </w:pPr>
      <w:r>
        <w:rPr>
          <w:rFonts w:ascii="Palatino Linotype" w:eastAsia="Palatino Linotype" w:hAnsi="Palatino Linotype" w:cs="Palatino Linotype"/>
          <w:b/>
          <w:bCs/>
          <w:i/>
          <w:iCs/>
        </w:rPr>
        <w:t>VIII. Aprobar, modificar o revocar la clasificación de la información</w:t>
      </w:r>
      <w:r>
        <w:rPr>
          <w:rFonts w:ascii="Palatino Linotype" w:eastAsia="Palatino Linotype" w:hAnsi="Palatino Linotype" w:cs="Palatino Linotype"/>
          <w:i/>
          <w:iCs/>
        </w:rPr>
        <w:t>…”</w:t>
      </w:r>
    </w:p>
    <w:p w:rsidR="00986325" w:rsidRDefault="008068B7">
      <w:pPr>
        <w:spacing w:line="360" w:lineRule="auto"/>
        <w:ind w:left="992" w:right="-697"/>
        <w:jc w:val="both"/>
        <w:rPr>
          <w:rFonts w:ascii="Palatino Linotype" w:eastAsia="Palatino Linotype" w:hAnsi="Palatino Linotype" w:cs="Palatino Linotype"/>
          <w:i/>
          <w:iCs/>
        </w:rPr>
      </w:pPr>
      <w:r>
        <w:rPr>
          <w:rFonts w:ascii="Palatino Linotype" w:eastAsia="Palatino Linotype" w:hAnsi="Palatino Linotype" w:cs="Palatino Linotype"/>
          <w:i/>
          <w:iCs/>
        </w:rPr>
        <w:t>“</w:t>
      </w:r>
      <w:r>
        <w:rPr>
          <w:rFonts w:ascii="Palatino Linotype" w:eastAsia="Palatino Linotype" w:hAnsi="Palatino Linotype" w:cs="Palatino Linotype"/>
          <w:b/>
          <w:bCs/>
          <w:i/>
          <w:iCs/>
        </w:rPr>
        <w:t>Artículo 53.</w:t>
      </w:r>
      <w:r>
        <w:rPr>
          <w:rFonts w:ascii="Palatino Linotype" w:eastAsia="Palatino Linotype" w:hAnsi="Palatino Linotype" w:cs="Palatino Linotype"/>
          <w:i/>
          <w:iCs/>
        </w:rPr>
        <w:t xml:space="preserve"> Las </w:t>
      </w:r>
      <w:r>
        <w:rPr>
          <w:rFonts w:ascii="Palatino Linotype" w:eastAsia="Palatino Linotype" w:hAnsi="Palatino Linotype" w:cs="Palatino Linotype"/>
          <w:b/>
          <w:bCs/>
          <w:i/>
          <w:iCs/>
        </w:rPr>
        <w:t>Unidades de Transparencia</w:t>
      </w:r>
      <w:r>
        <w:rPr>
          <w:rFonts w:ascii="Palatino Linotype" w:eastAsia="Palatino Linotype" w:hAnsi="Palatino Linotype" w:cs="Palatino Linotype"/>
          <w:i/>
          <w:iCs/>
        </w:rPr>
        <w:t xml:space="preserve"> tendrán las siguientes </w:t>
      </w:r>
      <w:r>
        <w:rPr>
          <w:rFonts w:ascii="Palatino Linotype" w:eastAsia="Palatino Linotype" w:hAnsi="Palatino Linotype" w:cs="Palatino Linotype"/>
          <w:b/>
          <w:bCs/>
          <w:i/>
          <w:iCs/>
        </w:rPr>
        <w:t>funciones</w:t>
      </w:r>
      <w:r>
        <w:rPr>
          <w:rFonts w:ascii="Palatino Linotype" w:eastAsia="Palatino Linotype" w:hAnsi="Palatino Linotype" w:cs="Palatino Linotype"/>
          <w:i/>
          <w:iCs/>
        </w:rPr>
        <w:t>:</w:t>
      </w:r>
    </w:p>
    <w:p w:rsidR="00986325" w:rsidRDefault="008068B7">
      <w:pPr>
        <w:spacing w:line="360" w:lineRule="auto"/>
        <w:ind w:left="992" w:right="-697"/>
        <w:jc w:val="both"/>
        <w:rPr>
          <w:rFonts w:ascii="Palatino Linotype" w:eastAsia="Palatino Linotype" w:hAnsi="Palatino Linotype" w:cs="Palatino Linotype"/>
          <w:i/>
          <w:iCs/>
        </w:rPr>
      </w:pPr>
      <w:r>
        <w:rPr>
          <w:rFonts w:ascii="Palatino Linotype" w:eastAsia="Palatino Linotype" w:hAnsi="Palatino Linotype" w:cs="Palatino Linotype"/>
          <w:b/>
          <w:bCs/>
          <w:i/>
          <w:iCs/>
        </w:rPr>
        <w:t>X. Presentar ante el Comité, el proyecto de clasificación de información</w:t>
      </w:r>
      <w:r>
        <w:rPr>
          <w:rFonts w:ascii="Palatino Linotype" w:eastAsia="Palatino Linotype" w:hAnsi="Palatino Linotype" w:cs="Palatino Linotype"/>
          <w:i/>
          <w:iCs/>
        </w:rPr>
        <w:t xml:space="preserve">…” </w:t>
      </w:r>
    </w:p>
    <w:p w:rsidR="00986325" w:rsidRDefault="008068B7">
      <w:pPr>
        <w:spacing w:line="360" w:lineRule="auto"/>
        <w:ind w:left="992" w:right="-697"/>
        <w:jc w:val="both"/>
        <w:rPr>
          <w:rFonts w:ascii="Palatino Linotype" w:eastAsia="Palatino Linotype" w:hAnsi="Palatino Linotype" w:cs="Palatino Linotype"/>
          <w:i/>
          <w:iCs/>
        </w:rPr>
      </w:pPr>
      <w:r>
        <w:rPr>
          <w:rFonts w:ascii="Palatino Linotype" w:eastAsia="Palatino Linotype" w:hAnsi="Palatino Linotype" w:cs="Palatino Linotype"/>
          <w:b/>
          <w:bCs/>
          <w:i/>
          <w:iCs/>
        </w:rPr>
        <w:t>“Artículo 59.</w:t>
      </w:r>
      <w:r>
        <w:rPr>
          <w:rFonts w:ascii="Palatino Linotype" w:eastAsia="Palatino Linotype" w:hAnsi="Palatino Linotype" w:cs="Palatino Linotype"/>
          <w:i/>
          <w:iCs/>
        </w:rPr>
        <w:t xml:space="preserve"> Los </w:t>
      </w:r>
      <w:r>
        <w:rPr>
          <w:rFonts w:ascii="Palatino Linotype" w:eastAsia="Palatino Linotype" w:hAnsi="Palatino Linotype" w:cs="Palatino Linotype"/>
          <w:b/>
          <w:bCs/>
          <w:i/>
          <w:iCs/>
        </w:rPr>
        <w:t>servidores públicos habilitados</w:t>
      </w:r>
      <w:r>
        <w:rPr>
          <w:rFonts w:ascii="Palatino Linotype" w:eastAsia="Palatino Linotype" w:hAnsi="Palatino Linotype" w:cs="Palatino Linotype"/>
          <w:i/>
          <w:iCs/>
        </w:rPr>
        <w:t xml:space="preserve"> tendrán las </w:t>
      </w:r>
      <w:r>
        <w:rPr>
          <w:rFonts w:ascii="Palatino Linotype" w:eastAsia="Palatino Linotype" w:hAnsi="Palatino Linotype" w:cs="Palatino Linotype"/>
          <w:b/>
          <w:bCs/>
          <w:i/>
          <w:iCs/>
        </w:rPr>
        <w:t>funciones</w:t>
      </w:r>
      <w:r>
        <w:rPr>
          <w:rFonts w:ascii="Palatino Linotype" w:eastAsia="Palatino Linotype" w:hAnsi="Palatino Linotype" w:cs="Palatino Linotype"/>
          <w:i/>
          <w:iCs/>
        </w:rPr>
        <w:t xml:space="preserve"> siguientes:</w:t>
      </w:r>
    </w:p>
    <w:p w:rsidR="00986325" w:rsidRDefault="008068B7">
      <w:pPr>
        <w:spacing w:line="360" w:lineRule="auto"/>
        <w:ind w:left="992" w:right="-697"/>
        <w:jc w:val="both"/>
        <w:rPr>
          <w:rFonts w:ascii="Palatino Linotype" w:eastAsia="Palatino Linotype" w:hAnsi="Palatino Linotype" w:cs="Palatino Linotype"/>
          <w:i/>
          <w:iCs/>
        </w:rPr>
      </w:pPr>
      <w:r>
        <w:rPr>
          <w:rFonts w:ascii="Palatino Linotype" w:eastAsia="Palatino Linotype" w:hAnsi="Palatino Linotype" w:cs="Palatino Linotype"/>
          <w:b/>
          <w:bCs/>
          <w:i/>
          <w:iCs/>
        </w:rPr>
        <w:t>V. Integrar y presentar al responsable de la Unidad de Transparencia la propuesta de clasificación de información</w:t>
      </w:r>
      <w:r>
        <w:rPr>
          <w:rFonts w:ascii="Palatino Linotype" w:eastAsia="Palatino Linotype" w:hAnsi="Palatino Linotype" w:cs="Palatino Linotype"/>
          <w:i/>
          <w:iCs/>
        </w:rPr>
        <w:t>, la cual tendrá los fundamentos y argumentos en que se basa dicha propuesta…”</w:t>
      </w:r>
    </w:p>
    <w:p w:rsidR="00986325" w:rsidRDefault="00986325">
      <w:pPr>
        <w:spacing w:line="360" w:lineRule="auto"/>
        <w:ind w:left="992" w:right="-697"/>
        <w:jc w:val="both"/>
        <w:rPr>
          <w:rFonts w:ascii="Palatino Linotype" w:eastAsia="Palatino Linotype" w:hAnsi="Palatino Linotype" w:cs="Palatino Linotype"/>
          <w:i/>
          <w:iCs/>
        </w:rPr>
      </w:pPr>
    </w:p>
    <w:p w:rsidR="00986325" w:rsidRDefault="008068B7">
      <w:pPr>
        <w:numPr>
          <w:ilvl w:val="0"/>
          <w:numId w:val="2"/>
        </w:numPr>
        <w:spacing w:line="360" w:lineRule="auto"/>
        <w:ind w:left="0" w:right="-697" w:firstLine="0"/>
        <w:jc w:val="both"/>
        <w:rPr>
          <w:rFonts w:ascii="Palatino Linotype" w:eastAsia="Palatino Linotype" w:hAnsi="Palatino Linotype" w:cs="Palatino Linotype"/>
        </w:rPr>
      </w:pPr>
      <w:r>
        <w:rPr>
          <w:rFonts w:ascii="Palatino Linotype" w:eastAsia="Palatino Linotype" w:hAnsi="Palatino Linotype" w:cs="Palatino Linotype"/>
        </w:rPr>
        <w:lastRenderedPageBreak/>
        <w:t>Denotándose de dichos elementos normativos que el determinar la clasificación de la información es un trabajo en conjunto tanto de los Servidores Públicos Habilitados, de las Unidades de Transparencia y del Comité de Transparencia del Sujeto Obligado, teniendo el deber los primeros de ellos de presentar ante la Unidad de Transparencia la propuesta de la clasificación de la información, para que luego ésta presente ante al Comité de Transparencia de así resultar procedente el proyecto de clasificación de la información y finalmente sea éste último quien apruebe, modifique o revoque la clasificación de la información solicitada.</w:t>
      </w:r>
    </w:p>
    <w:p w:rsidR="00986325" w:rsidRDefault="00986325">
      <w:pPr>
        <w:spacing w:line="360" w:lineRule="auto"/>
        <w:ind w:right="-697"/>
        <w:jc w:val="both"/>
        <w:rPr>
          <w:rFonts w:ascii="Palatino Linotype" w:eastAsia="Palatino Linotype" w:hAnsi="Palatino Linotype" w:cs="Palatino Linotype"/>
        </w:rPr>
      </w:pPr>
    </w:p>
    <w:p w:rsidR="00986325" w:rsidRDefault="008068B7">
      <w:pPr>
        <w:numPr>
          <w:ilvl w:val="0"/>
          <w:numId w:val="2"/>
        </w:numPr>
        <w:spacing w:line="360" w:lineRule="auto"/>
        <w:ind w:left="0" w:right="-697" w:firstLine="0"/>
        <w:jc w:val="both"/>
        <w:rPr>
          <w:rFonts w:ascii="Palatino Linotype" w:eastAsia="Palatino Linotype" w:hAnsi="Palatino Linotype" w:cs="Palatino Linotype"/>
        </w:rPr>
      </w:pPr>
      <w:r>
        <w:rPr>
          <w:rFonts w:ascii="Palatino Linotype" w:eastAsia="Palatino Linotype" w:hAnsi="Palatino Linotype" w:cs="Palatino Linotype"/>
        </w:rPr>
        <w:t>Para lo cual, a su vez en el caso de información de carácter confidencial, se debe atender a lo que señala el artículo 149 de la Ley de Transparencia Local vigente, que se lee como sigue:</w:t>
      </w:r>
    </w:p>
    <w:p w:rsidR="00986325" w:rsidRDefault="008068B7">
      <w:pPr>
        <w:spacing w:line="360" w:lineRule="auto"/>
        <w:ind w:left="993" w:right="-697"/>
        <w:jc w:val="both"/>
        <w:rPr>
          <w:rFonts w:ascii="Palatino Linotype" w:eastAsia="Palatino Linotype" w:hAnsi="Palatino Linotype" w:cs="Palatino Linotype"/>
          <w:i/>
          <w:iCs/>
        </w:rPr>
      </w:pPr>
      <w:r>
        <w:rPr>
          <w:rFonts w:ascii="Palatino Linotype" w:eastAsia="Palatino Linotype" w:hAnsi="Palatino Linotype" w:cs="Palatino Linotype"/>
          <w:i/>
          <w:iCs/>
        </w:rPr>
        <w:t>“</w:t>
      </w:r>
      <w:r>
        <w:rPr>
          <w:rFonts w:ascii="Palatino Linotype" w:eastAsia="Palatino Linotype" w:hAnsi="Palatino Linotype" w:cs="Palatino Linotype"/>
          <w:b/>
          <w:bCs/>
          <w:i/>
          <w:iCs/>
        </w:rPr>
        <w:t>Artículo 149.</w:t>
      </w:r>
      <w:r>
        <w:rPr>
          <w:rFonts w:ascii="Palatino Linotype" w:eastAsia="Palatino Linotype" w:hAnsi="Palatino Linotype" w:cs="Palatino Linotype"/>
          <w:i/>
          <w:iCs/>
        </w:rPr>
        <w:t xml:space="preserve"> El </w:t>
      </w:r>
      <w:r>
        <w:rPr>
          <w:rFonts w:ascii="Palatino Linotype" w:eastAsia="Palatino Linotype" w:hAnsi="Palatino Linotype" w:cs="Palatino Linotype"/>
          <w:b/>
          <w:bCs/>
          <w:i/>
          <w:iCs/>
        </w:rPr>
        <w:t>acuerdo que clasifique la información como confidencial</w:t>
      </w:r>
      <w:r>
        <w:rPr>
          <w:rFonts w:ascii="Palatino Linotype" w:eastAsia="Palatino Linotype" w:hAnsi="Palatino Linotype" w:cs="Palatino Linotype"/>
          <w:i/>
          <w:iCs/>
        </w:rPr>
        <w:t xml:space="preserve"> deberá contener un razonamiento lógico en el que demuestre que la información se encuentra en alguna o algunas de las hipótesis previstas en la presente Ley.”</w:t>
      </w:r>
    </w:p>
    <w:p w:rsidR="00986325" w:rsidRDefault="00986325">
      <w:pPr>
        <w:spacing w:line="360" w:lineRule="auto"/>
        <w:ind w:left="993" w:right="-697"/>
        <w:jc w:val="both"/>
        <w:rPr>
          <w:rFonts w:ascii="Palatino Linotype" w:eastAsia="Palatino Linotype" w:hAnsi="Palatino Linotype" w:cs="Palatino Linotype"/>
          <w:i/>
          <w:iCs/>
        </w:rPr>
      </w:pPr>
    </w:p>
    <w:p w:rsidR="00986325" w:rsidRDefault="008068B7">
      <w:pPr>
        <w:numPr>
          <w:ilvl w:val="0"/>
          <w:numId w:val="2"/>
        </w:numPr>
        <w:spacing w:line="360" w:lineRule="auto"/>
        <w:ind w:left="0" w:right="-697" w:firstLine="0"/>
        <w:jc w:val="both"/>
        <w:rPr>
          <w:rFonts w:ascii="Palatino Linotype" w:eastAsia="Palatino Linotype" w:hAnsi="Palatino Linotype" w:cs="Palatino Linotype"/>
        </w:rPr>
      </w:pPr>
      <w:r>
        <w:rPr>
          <w:rFonts w:ascii="Palatino Linotype" w:eastAsia="Palatino Linotype" w:hAnsi="Palatino Linotype" w:cs="Palatino Linotype"/>
        </w:rPr>
        <w:t>Es decir, el Sujeto Obligado a través de su Comité de Transparencia, deberá elaborar acuerdo que contenga un razonamiento lógico con el que se demuestre que la información que se testa de las versiones públicas que se sirva elaborar, encuadra en alguna de las hipótesis que contempla la Ley de la Materia en su artículo 143; ya que de lo contrario, se crearía la incertidumbre jurídica en relación a si lo entregado es formalmente una versión pública, o un documento ilegible, incompleto o tachado; en otras palabras si no se exponen de manera puntual las razones de la versión pública de la documentación entregada se estaría violentando el derecho de acceso a la información de la parte solicitante.</w:t>
      </w:r>
    </w:p>
    <w:p w:rsidR="00986325" w:rsidRDefault="00986325">
      <w:pPr>
        <w:spacing w:line="360" w:lineRule="auto"/>
        <w:ind w:left="851" w:right="-697"/>
        <w:jc w:val="both"/>
        <w:rPr>
          <w:rFonts w:ascii="Palatino Linotype" w:eastAsia="Palatino Linotype" w:hAnsi="Palatino Linotype" w:cs="Palatino Linotype"/>
          <w:i/>
          <w:iCs/>
        </w:rPr>
      </w:pPr>
    </w:p>
    <w:p w:rsidR="00986325" w:rsidRDefault="008068B7">
      <w:pPr>
        <w:numPr>
          <w:ilvl w:val="0"/>
          <w:numId w:val="2"/>
        </w:numPr>
        <w:spacing w:line="360" w:lineRule="auto"/>
        <w:ind w:left="0" w:right="-697" w:firstLine="0"/>
        <w:jc w:val="both"/>
        <w:rPr>
          <w:rFonts w:ascii="Palatino Linotype" w:eastAsia="Palatino Linotype" w:hAnsi="Palatino Linotype" w:cs="Palatino Linotype"/>
        </w:rPr>
      </w:pPr>
      <w:r>
        <w:rPr>
          <w:rFonts w:ascii="Palatino Linotype" w:eastAsia="Palatino Linotype" w:hAnsi="Palatino Linotype" w:cs="Palatino Linotype"/>
        </w:rPr>
        <w:t>Finalmente, la entrega de documentos en su versión pública debe acompañarse necesariamente del Acuerdo del Comité de Transparencia que la sustente, en el que se expongan los fundamentos y razonamientos que llevaron al </w:t>
      </w:r>
      <w:r>
        <w:rPr>
          <w:rFonts w:ascii="Palatino Linotype" w:eastAsia="Palatino Linotype" w:hAnsi="Palatino Linotype" w:cs="Palatino Linotype"/>
          <w:b/>
          <w:bCs/>
        </w:rPr>
        <w:t>SUJETO OBLIGADO</w:t>
      </w:r>
      <w:r>
        <w:rPr>
          <w:rFonts w:ascii="Palatino Linotype" w:eastAsia="Palatino Linotype" w:hAnsi="Palatino Linotype" w:cs="Palatino Linotype"/>
        </w:rPr>
        <w:t> a testar, suprimir o eliminar datos de dicho soporte documental, ya que no hacerlo implica que lo entregado no es legal ni formalmente una versión pública, sino más bien una documentación ilegible, incompleta o tachada; pues no señalar las razones por las que no se aprecian determinados datos ya sea porque se testan o suprimen deja al solicitante en estado de incertidumbre, al no conocer o comprender porque no aparecen en la documentación respectiva, es decir, si no se exponen de manera puntual las razones de ello se estaría violentando desde un inicio el derecho de acceso a la información del solicitante, por lo que el acuerdo respectivo, deberá hacerse del conocimiento del </w:t>
      </w:r>
      <w:r>
        <w:rPr>
          <w:rFonts w:ascii="Palatino Linotype" w:eastAsia="Palatino Linotype" w:hAnsi="Palatino Linotype" w:cs="Palatino Linotype"/>
          <w:b/>
          <w:bCs/>
        </w:rPr>
        <w:t>RECURRENTE.</w:t>
      </w:r>
    </w:p>
    <w:p w:rsidR="00986325" w:rsidRDefault="00986325">
      <w:pPr>
        <w:pBdr>
          <w:top w:val="nil"/>
          <w:left w:val="nil"/>
          <w:bottom w:val="nil"/>
          <w:right w:val="nil"/>
          <w:between w:val="nil"/>
        </w:pBdr>
        <w:spacing w:line="360" w:lineRule="auto"/>
        <w:ind w:left="720" w:right="-697"/>
        <w:rPr>
          <w:rFonts w:ascii="Palatino Linotype" w:eastAsia="Palatino Linotype" w:hAnsi="Palatino Linotype" w:cs="Palatino Linotype"/>
          <w:color w:val="000000"/>
        </w:rPr>
      </w:pPr>
    </w:p>
    <w:p w:rsidR="00986325" w:rsidRDefault="008068B7">
      <w:pPr>
        <w:numPr>
          <w:ilvl w:val="0"/>
          <w:numId w:val="2"/>
        </w:numPr>
        <w:spacing w:line="360" w:lineRule="auto"/>
        <w:ind w:left="0" w:right="-697"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De este modo, como ha sido señalado en la presente Resolución, en armonía entre los principios constitucionales de máxima publicidad y de protección de datos personales, la Ley de Transparencia y Acceso a la Información Pública del Estado de México y Municipios permite la elaboración de versiones públicas en las que se suprima aquella información relacionada con la vida privada de los servidores públicos. </w:t>
      </w:r>
    </w:p>
    <w:p w:rsidR="00986325" w:rsidRDefault="00986325">
      <w:pPr>
        <w:pBdr>
          <w:top w:val="nil"/>
          <w:left w:val="nil"/>
          <w:bottom w:val="nil"/>
          <w:right w:val="nil"/>
          <w:between w:val="nil"/>
        </w:pBdr>
        <w:ind w:left="720" w:right="-697"/>
        <w:rPr>
          <w:rFonts w:ascii="Palatino Linotype" w:eastAsia="Palatino Linotype" w:hAnsi="Palatino Linotype" w:cs="Palatino Linotype"/>
          <w:color w:val="000000"/>
        </w:rPr>
      </w:pPr>
    </w:p>
    <w:p w:rsidR="00986325" w:rsidRDefault="008068B7">
      <w:pPr>
        <w:numPr>
          <w:ilvl w:val="0"/>
          <w:numId w:val="2"/>
        </w:numPr>
        <w:spacing w:line="360" w:lineRule="auto"/>
        <w:ind w:left="0" w:right="-697"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Igualmente, los Lineamientos Generales en Materia de Clasificación y Desclasificación de la Información, así como para la elaboración de Versiones Públicas, emitidos por el Consejo Nacional del Sistema Nacional de Transparencia, Acceso a la Información Pública y Protección de Datos Personales, publicados en el Diario Oficial de la Federación el día quince de abril de dos mil dieciséis, tienen por objeto establecer los </w:t>
      </w:r>
      <w:r>
        <w:rPr>
          <w:rFonts w:ascii="Palatino Linotype" w:eastAsia="Palatino Linotype" w:hAnsi="Palatino Linotype" w:cs="Palatino Linotype"/>
        </w:rPr>
        <w:lastRenderedPageBreak/>
        <w:t>criterios con base en los cuales los sujetos obligados clasificará como reservada o confidencial la información que posean, desclasificará y generarán, en su caso, versiones públicas de expedientes o documentos que contengan partes o secciones clasificadas.</w:t>
      </w:r>
    </w:p>
    <w:p w:rsidR="00986325" w:rsidRDefault="00986325">
      <w:pPr>
        <w:pBdr>
          <w:top w:val="nil"/>
          <w:left w:val="nil"/>
          <w:bottom w:val="nil"/>
          <w:right w:val="nil"/>
          <w:between w:val="nil"/>
        </w:pBdr>
        <w:spacing w:line="360" w:lineRule="auto"/>
        <w:ind w:left="720" w:right="-697"/>
        <w:rPr>
          <w:rFonts w:ascii="Palatino Linotype" w:eastAsia="Palatino Linotype" w:hAnsi="Palatino Linotype" w:cs="Palatino Linotype"/>
          <w:color w:val="000000"/>
        </w:rPr>
      </w:pPr>
    </w:p>
    <w:p w:rsidR="00986325" w:rsidRDefault="008068B7">
      <w:pPr>
        <w:numPr>
          <w:ilvl w:val="0"/>
          <w:numId w:val="2"/>
        </w:numPr>
        <w:spacing w:line="360" w:lineRule="auto"/>
        <w:ind w:left="0" w:right="-697" w:firstLine="0"/>
        <w:jc w:val="both"/>
        <w:rPr>
          <w:rFonts w:ascii="Palatino Linotype" w:eastAsia="Palatino Linotype" w:hAnsi="Palatino Linotype" w:cs="Palatino Linotype"/>
        </w:rPr>
      </w:pPr>
      <w:r>
        <w:rPr>
          <w:rFonts w:ascii="Palatino Linotype" w:eastAsia="Palatino Linotype" w:hAnsi="Palatino Linotype" w:cs="Palatino Linotype"/>
        </w:rPr>
        <w:t>Entorno a lo que aquí nos interesa, los Lineamientos Quincuagésimo sexto, Quincuagésimo séptimo y Quincuagésimo octavo, establecen lo siguiente:</w:t>
      </w:r>
    </w:p>
    <w:p w:rsidR="00986325" w:rsidRDefault="008068B7">
      <w:pPr>
        <w:spacing w:line="360" w:lineRule="auto"/>
        <w:ind w:left="851" w:right="-697"/>
        <w:jc w:val="both"/>
        <w:rPr>
          <w:rFonts w:ascii="Palatino Linotype" w:eastAsia="Palatino Linotype" w:hAnsi="Palatino Linotype" w:cs="Palatino Linotype"/>
          <w:i/>
          <w:iCs/>
        </w:rPr>
      </w:pPr>
      <w:r>
        <w:rPr>
          <w:rFonts w:ascii="Palatino Linotype" w:eastAsia="Palatino Linotype" w:hAnsi="Palatino Linotype" w:cs="Palatino Linotype"/>
          <w:i/>
          <w:iCs/>
        </w:rPr>
        <w:t>“Quincuagésimo sexto</w:t>
      </w:r>
      <w:r>
        <w:rPr>
          <w:rFonts w:ascii="Palatino Linotype" w:eastAsia="Palatino Linotype" w:hAnsi="Palatino Linotype" w:cs="Palatino Linotype"/>
          <w:b/>
          <w:bCs/>
          <w:i/>
          <w:iCs/>
        </w:rPr>
        <w:t>. La versión pública del documento o expediente que contenga partes o secciones reservadas o confidenciales, será elaborada por los sujetos obligados, previo pago de los costos de reproducción, a través de sus áreas y deberá ser aprobada por su Comité de Transparencia</w:t>
      </w:r>
    </w:p>
    <w:p w:rsidR="00986325" w:rsidRDefault="008068B7">
      <w:pPr>
        <w:spacing w:line="360" w:lineRule="auto"/>
        <w:ind w:left="851" w:right="-697"/>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Quincuagésimo séptimo. Se considera, en principio, como información pública y no podrá omitirse de las versiones públicas la siguiente: </w:t>
      </w:r>
    </w:p>
    <w:p w:rsidR="00986325" w:rsidRDefault="008068B7">
      <w:pPr>
        <w:spacing w:line="360" w:lineRule="auto"/>
        <w:ind w:left="851" w:right="-697"/>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I. La relativa a las Obligaciones de Transparencia que contempla el Título V de la Ley General y las demás disposiciones legales aplicables; </w:t>
      </w:r>
    </w:p>
    <w:p w:rsidR="00986325" w:rsidRDefault="008068B7">
      <w:pPr>
        <w:spacing w:line="360" w:lineRule="auto"/>
        <w:ind w:left="851" w:right="-697"/>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II. El nombre de los servidores públicos en los documentos, y sus firmas autógrafas, cuando sean utilizados en el ejercicio de las facultades conferidas para el desempeño del servicio público, y </w:t>
      </w:r>
    </w:p>
    <w:p w:rsidR="00986325" w:rsidRDefault="008068B7">
      <w:pPr>
        <w:spacing w:line="360" w:lineRule="auto"/>
        <w:ind w:left="851" w:right="-697"/>
        <w:jc w:val="both"/>
        <w:rPr>
          <w:rFonts w:ascii="Palatino Linotype" w:eastAsia="Palatino Linotype" w:hAnsi="Palatino Linotype" w:cs="Palatino Linotype"/>
          <w:i/>
          <w:iCs/>
        </w:rPr>
      </w:pPr>
      <w:r>
        <w:rPr>
          <w:rFonts w:ascii="Palatino Linotype" w:eastAsia="Palatino Linotype" w:hAnsi="Palatino Linotype" w:cs="Palatino Linotype"/>
          <w:i/>
          <w:iCs/>
        </w:rPr>
        <w:t>III. La información que documente decisiones y los actos de autoridad concluidos de los sujetos obligados, así como el ejercicio de las facultades o actividades de los servidores públicos, de manera que se pueda valorar el desempeño de los mismos.</w:t>
      </w:r>
    </w:p>
    <w:p w:rsidR="00986325" w:rsidRDefault="008068B7">
      <w:pPr>
        <w:spacing w:line="360" w:lineRule="auto"/>
        <w:ind w:left="851" w:right="-697"/>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Lo anterior, siempre y cuando no se acredite alguna causal de clasificación, prevista en las leyes o en los tratados internaciones suscritos por el Estado mexicano. </w:t>
      </w:r>
    </w:p>
    <w:p w:rsidR="00986325" w:rsidRDefault="008068B7">
      <w:pPr>
        <w:spacing w:line="360" w:lineRule="auto"/>
        <w:ind w:left="851" w:right="-697"/>
        <w:jc w:val="both"/>
        <w:rPr>
          <w:rFonts w:ascii="Palatino Linotype" w:eastAsia="Palatino Linotype" w:hAnsi="Palatino Linotype" w:cs="Palatino Linotype"/>
          <w:i/>
          <w:iCs/>
        </w:rPr>
      </w:pPr>
      <w:r>
        <w:rPr>
          <w:rFonts w:ascii="Palatino Linotype" w:eastAsia="Palatino Linotype" w:hAnsi="Palatino Linotype" w:cs="Palatino Linotype"/>
          <w:i/>
          <w:iCs/>
        </w:rPr>
        <w:lastRenderedPageBreak/>
        <w:t>Quincuagésimo octavo. Los sujetos obligados garantizarán que los sistemas o medios empleados para eliminar la información en las versiones públicas no permitan la recuperación o visualización de la misma.”</w:t>
      </w:r>
    </w:p>
    <w:p w:rsidR="00986325" w:rsidRDefault="00986325">
      <w:pPr>
        <w:spacing w:line="360" w:lineRule="auto"/>
        <w:ind w:left="851" w:right="-697"/>
        <w:jc w:val="both"/>
        <w:rPr>
          <w:rFonts w:ascii="Palatino Linotype" w:eastAsia="Palatino Linotype" w:hAnsi="Palatino Linotype" w:cs="Palatino Linotype"/>
          <w:i/>
          <w:iCs/>
        </w:rPr>
      </w:pPr>
    </w:p>
    <w:p w:rsidR="00986325" w:rsidRDefault="008068B7">
      <w:pPr>
        <w:numPr>
          <w:ilvl w:val="0"/>
          <w:numId w:val="2"/>
        </w:numPr>
        <w:spacing w:line="360" w:lineRule="auto"/>
        <w:ind w:left="0" w:right="-697" w:firstLine="0"/>
        <w:jc w:val="both"/>
        <w:rPr>
          <w:rFonts w:ascii="Palatino Linotype" w:eastAsia="Palatino Linotype" w:hAnsi="Palatino Linotype" w:cs="Palatino Linotype"/>
        </w:rPr>
      </w:pPr>
      <w:r>
        <w:rPr>
          <w:rFonts w:ascii="Palatino Linotype" w:eastAsia="Palatino Linotype" w:hAnsi="Palatino Linotype" w:cs="Palatino Linotype"/>
        </w:rPr>
        <w:t>Por lo tanto, la entrega de documentos en su versión pública debe acompañarse necesariamente del Acuerdo del Comité de Transparencia que la sustente el cual debe estar debidamente fundado y motivado, en el que se expongan los fundamentos y razonamientos que llevaron al Sujeto Obligado a testar, suprimir o eliminar datos de dicho soporte documental, ya que no hacerlo, se reitera que lo entregado no tendría un sustento jurídico ni resultaría ser una versión pública, sino más bien una documentación ilegible, incompleta o tachada; ya que el no justificar las causas o motivos por las que no se aprecian determinados datos -ya sea porque se testan o suprimen- deja al solicitante en estado de incertidumbre, al no conocer o comprender porque no aparecen en la documentación respectiva.</w:t>
      </w:r>
    </w:p>
    <w:p w:rsidR="00986325" w:rsidRDefault="00986325">
      <w:pPr>
        <w:pBdr>
          <w:top w:val="nil"/>
          <w:left w:val="nil"/>
          <w:bottom w:val="nil"/>
          <w:right w:val="nil"/>
          <w:between w:val="nil"/>
        </w:pBdr>
        <w:tabs>
          <w:tab w:val="left" w:pos="284"/>
          <w:tab w:val="left" w:pos="426"/>
        </w:tabs>
        <w:spacing w:line="360" w:lineRule="auto"/>
        <w:ind w:right="-697"/>
        <w:jc w:val="both"/>
        <w:rPr>
          <w:rFonts w:ascii="Palatino Linotype" w:eastAsia="Palatino Linotype" w:hAnsi="Palatino Linotype" w:cs="Palatino Linotype"/>
          <w:color w:val="000000"/>
        </w:rPr>
      </w:pPr>
    </w:p>
    <w:p w:rsidR="00986325" w:rsidRDefault="008068B7">
      <w:pPr>
        <w:numPr>
          <w:ilvl w:val="0"/>
          <w:numId w:val="2"/>
        </w:numPr>
        <w:spacing w:line="360" w:lineRule="auto"/>
        <w:ind w:left="0" w:right="-69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Los </w:t>
      </w:r>
      <w:r>
        <w:rPr>
          <w:rFonts w:ascii="Palatino Linotype" w:eastAsia="Palatino Linotype" w:hAnsi="Palatino Linotype" w:cs="Palatino Linotype"/>
        </w:rPr>
        <w:t>sujetos</w:t>
      </w:r>
      <w:r>
        <w:rPr>
          <w:rFonts w:ascii="Palatino Linotype" w:eastAsia="Palatino Linotype" w:hAnsi="Palatino Linotype" w:cs="Palatino Linotype"/>
          <w:color w:val="000000"/>
        </w:rPr>
        <w:t xml:space="preserve"> obligados</w:t>
      </w:r>
      <w:r>
        <w:rPr>
          <w:rFonts w:ascii="Palatino Linotype" w:eastAsia="Palatino Linotype" w:hAnsi="Palatino Linotype" w:cs="Palatino Linotype"/>
          <w:b/>
          <w:bCs/>
          <w:color w:val="000000"/>
        </w:rPr>
        <w:t xml:space="preserve"> </w:t>
      </w:r>
      <w:r>
        <w:rPr>
          <w:rFonts w:ascii="Palatino Linotype" w:eastAsia="Palatino Linotype" w:hAnsi="Palatino Linotype" w:cs="Palatino Linotype"/>
          <w:color w:val="000000"/>
        </w:rPr>
        <w:t xml:space="preserve">serán responsables de los datos personales en su </w:t>
      </w:r>
      <w:r>
        <w:rPr>
          <w:rFonts w:ascii="Palatino Linotype" w:eastAsia="Palatino Linotype" w:hAnsi="Palatino Linotype" w:cs="Palatino Linotype"/>
        </w:rPr>
        <w:t>posesión</w:t>
      </w:r>
      <w:r>
        <w:rPr>
          <w:rFonts w:ascii="Palatino Linotype" w:eastAsia="Palatino Linotype" w:hAnsi="Palatino Linotype" w:cs="Palatino Linotype"/>
          <w:color w:val="000000"/>
        </w:rPr>
        <w:t xml:space="preserve"> y que, en </w:t>
      </w:r>
      <w:r>
        <w:rPr>
          <w:rFonts w:ascii="Palatino Linotype" w:eastAsia="Palatino Linotype" w:hAnsi="Palatino Linotype" w:cs="Palatino Linotype"/>
        </w:rPr>
        <w:t>caso</w:t>
      </w:r>
      <w:r>
        <w:rPr>
          <w:rFonts w:ascii="Palatino Linotype" w:eastAsia="Palatino Linotype" w:hAnsi="Palatino Linotype" w:cs="Palatino Linotype"/>
          <w:color w:val="000000"/>
        </w:rPr>
        <w:t xml:space="preserve"> de localizarse datos concernientes a terceros, éstos no podrán difundir, </w:t>
      </w:r>
      <w:r>
        <w:rPr>
          <w:rFonts w:ascii="Palatino Linotype" w:eastAsia="Palatino Linotype" w:hAnsi="Palatino Linotype" w:cs="Palatino Linotype"/>
        </w:rPr>
        <w:t>distribuir</w:t>
      </w:r>
      <w:r>
        <w:rPr>
          <w:rFonts w:ascii="Palatino Linotype" w:eastAsia="Palatino Linotype" w:hAnsi="Palatino Linotype" w:cs="Palatino Linotype"/>
          <w:color w:val="000000"/>
        </w:rPr>
        <w:t xml:space="preserve"> o comercializar los datos personales.  Cabe destacar que, para la realización de la clasificación de la información, se deben seguir una serie de pasos y procedimientos, por lo que es menester reiterar los mismos:</w:t>
      </w:r>
    </w:p>
    <w:p w:rsidR="00986325" w:rsidRDefault="00986325">
      <w:pPr>
        <w:tabs>
          <w:tab w:val="left" w:pos="284"/>
        </w:tabs>
        <w:spacing w:line="360" w:lineRule="auto"/>
        <w:ind w:right="-697"/>
        <w:jc w:val="both"/>
        <w:rPr>
          <w:rFonts w:ascii="Palatino Linotype" w:eastAsia="Palatino Linotype" w:hAnsi="Palatino Linotype" w:cs="Palatino Linotype"/>
          <w:color w:val="000000"/>
        </w:rPr>
      </w:pPr>
    </w:p>
    <w:tbl>
      <w:tblPr>
        <w:tblStyle w:val="a"/>
        <w:tblW w:w="9705" w:type="dxa"/>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925"/>
        <w:gridCol w:w="6780"/>
      </w:tblGrid>
      <w:tr w:rsidR="00986325">
        <w:tc>
          <w:tcPr>
            <w:tcW w:w="2925" w:type="dxa"/>
            <w:tcBorders>
              <w:top w:val="single" w:sz="4" w:space="0" w:color="BFBFBF"/>
              <w:left w:val="single" w:sz="4" w:space="0" w:color="BFBFBF"/>
              <w:bottom w:val="single" w:sz="4" w:space="0" w:color="BFBFBF"/>
              <w:right w:val="single" w:sz="4" w:space="0" w:color="BFBFBF"/>
            </w:tcBorders>
          </w:tcPr>
          <w:p w:rsidR="00986325" w:rsidRDefault="008068B7" w:rsidP="00702D03">
            <w:pPr>
              <w:tabs>
                <w:tab w:val="left" w:pos="284"/>
              </w:tabs>
              <w:ind w:right="-20"/>
              <w:rPr>
                <w:rFonts w:ascii="Palatino Linotype" w:eastAsia="Palatino Linotype" w:hAnsi="Palatino Linotype" w:cs="Palatino Linotype"/>
              </w:rPr>
            </w:pPr>
            <w:r>
              <w:rPr>
                <w:rFonts w:ascii="Palatino Linotype" w:eastAsia="Palatino Linotype" w:hAnsi="Palatino Linotype" w:cs="Palatino Linotype"/>
              </w:rPr>
              <w:t>a) Requisitos previos.</w:t>
            </w:r>
          </w:p>
        </w:tc>
        <w:tc>
          <w:tcPr>
            <w:tcW w:w="6780" w:type="dxa"/>
            <w:tcBorders>
              <w:top w:val="single" w:sz="4" w:space="0" w:color="BFBFBF"/>
              <w:left w:val="single" w:sz="4" w:space="0" w:color="BFBFBF"/>
              <w:bottom w:val="single" w:sz="4" w:space="0" w:color="BFBFBF"/>
              <w:right w:val="single" w:sz="4" w:space="0" w:color="BFBFBF"/>
            </w:tcBorders>
          </w:tcPr>
          <w:p w:rsidR="00986325" w:rsidRDefault="008068B7" w:rsidP="00702D03">
            <w:pPr>
              <w:tabs>
                <w:tab w:val="left" w:pos="284"/>
              </w:tabs>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Los artículos 100 y 122 de la Ley Estatal y de la Ley General, respectivamente, señalan que si los Sujetos Obligados determinan que la información actualiza alguno de los </w:t>
            </w:r>
            <w:r>
              <w:rPr>
                <w:rFonts w:ascii="Palatino Linotype" w:eastAsia="Palatino Linotype" w:hAnsi="Palatino Linotype" w:cs="Palatino Linotype"/>
                <w:color w:val="000000"/>
              </w:rPr>
              <w:lastRenderedPageBreak/>
              <w:t xml:space="preserve">supuestos de clasificación, es deber de los titulares de las áreas proponer su clasificación y no del Comité de Transparencia. </w:t>
            </w:r>
          </w:p>
          <w:p w:rsidR="00986325" w:rsidRDefault="008068B7" w:rsidP="00702D03">
            <w:pPr>
              <w:tabs>
                <w:tab w:val="left" w:pos="284"/>
              </w:tabs>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Al hacerlo tienen que precisar de qué información se trata, señalando el supuesto de clasificación (confidencialidad o reserva).</w:t>
            </w:r>
          </w:p>
          <w:p w:rsidR="00986325" w:rsidRDefault="008068B7" w:rsidP="00702D03">
            <w:pPr>
              <w:tabs>
                <w:tab w:val="left" w:pos="284"/>
              </w:tabs>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Además, se debe señalar el procedimiento, de los tres que establecen los artículos 132 y 106 de la Ley Estatal y General, respectivamente.</w:t>
            </w:r>
          </w:p>
          <w:p w:rsidR="00986325" w:rsidRDefault="008068B7" w:rsidP="00702D03">
            <w:pPr>
              <w:tabs>
                <w:tab w:val="left" w:pos="284"/>
              </w:tabs>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El último de estos requisitos previos consiste en que no se pueden emitir acuerdos de carácter general ni particular, esto es, </w:t>
            </w:r>
            <w:r>
              <w:rPr>
                <w:rFonts w:ascii="Palatino Linotype" w:eastAsia="Palatino Linotype" w:hAnsi="Palatino Linotype" w:cs="Palatino Linotype"/>
                <w:color w:val="000000"/>
                <w:u w:val="single"/>
              </w:rPr>
              <w:t>no se puede hacer un acuerdo para clasificar de manera general todos los documentos de un expediente o área, sin</w:t>
            </w:r>
            <w:r>
              <w:rPr>
                <w:rFonts w:ascii="Palatino Linotype" w:eastAsia="Palatino Linotype" w:hAnsi="Palatino Linotype" w:cs="Palatino Linotype"/>
                <w:color w:val="000000"/>
              </w:rPr>
              <w:t xml:space="preserve"> individualizar su análisis y tampoco se puede hacer un acuerdo por cada dato que se vaya a clasificar dentro de un documento con diez datos, por ejemplo, susceptibles de ser clasificados.</w:t>
            </w:r>
          </w:p>
          <w:p w:rsidR="00986325" w:rsidRDefault="00986325" w:rsidP="00702D03">
            <w:pPr>
              <w:tabs>
                <w:tab w:val="left" w:pos="284"/>
              </w:tabs>
              <w:jc w:val="both"/>
              <w:rPr>
                <w:rFonts w:ascii="Palatino Linotype" w:eastAsia="Palatino Linotype" w:hAnsi="Palatino Linotype" w:cs="Palatino Linotype"/>
              </w:rPr>
            </w:pPr>
          </w:p>
        </w:tc>
      </w:tr>
      <w:tr w:rsidR="00986325">
        <w:tc>
          <w:tcPr>
            <w:tcW w:w="2925" w:type="dxa"/>
            <w:tcBorders>
              <w:top w:val="single" w:sz="4" w:space="0" w:color="BFBFBF"/>
              <w:left w:val="single" w:sz="4" w:space="0" w:color="BFBFBF"/>
              <w:bottom w:val="single" w:sz="4" w:space="0" w:color="BFBFBF"/>
              <w:right w:val="single" w:sz="4" w:space="0" w:color="BFBFBF"/>
            </w:tcBorders>
          </w:tcPr>
          <w:p w:rsidR="00986325" w:rsidRDefault="008068B7" w:rsidP="00702D03">
            <w:pPr>
              <w:tabs>
                <w:tab w:val="left" w:pos="284"/>
              </w:tabs>
              <w:ind w:right="-20"/>
              <w:rPr>
                <w:rFonts w:ascii="Palatino Linotype" w:eastAsia="Palatino Linotype" w:hAnsi="Palatino Linotype" w:cs="Palatino Linotype"/>
              </w:rPr>
            </w:pPr>
            <w:r>
              <w:rPr>
                <w:rFonts w:ascii="Palatino Linotype" w:eastAsia="Palatino Linotype" w:hAnsi="Palatino Linotype" w:cs="Palatino Linotype"/>
              </w:rPr>
              <w:lastRenderedPageBreak/>
              <w:t>b) Supuestos de clasificación.</w:t>
            </w:r>
          </w:p>
        </w:tc>
        <w:tc>
          <w:tcPr>
            <w:tcW w:w="6780" w:type="dxa"/>
            <w:tcBorders>
              <w:top w:val="single" w:sz="4" w:space="0" w:color="BFBFBF"/>
              <w:left w:val="single" w:sz="4" w:space="0" w:color="BFBFBF"/>
              <w:bottom w:val="single" w:sz="4" w:space="0" w:color="BFBFBF"/>
              <w:right w:val="single" w:sz="4" w:space="0" w:color="BFBFBF"/>
            </w:tcBorders>
          </w:tcPr>
          <w:p w:rsidR="00986325" w:rsidRDefault="008068B7" w:rsidP="00702D03">
            <w:pPr>
              <w:tabs>
                <w:tab w:val="left" w:pos="284"/>
              </w:tabs>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Las disposiciones constitucionales y legales en la materia establecen los dos supuestos generales para clasificar la información: por reserva y por confidencialidad.</w:t>
            </w:r>
          </w:p>
          <w:p w:rsidR="00986325" w:rsidRDefault="008068B7" w:rsidP="00702D03">
            <w:pPr>
              <w:tabs>
                <w:tab w:val="left" w:pos="284"/>
              </w:tabs>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Los artículos 116 y 143 de la Ley Estatal y de la Ley General, respectivamente, señalan los supuestos para que la información pueda ser clasificada como confidencial. Mientras que los artículos 105 y 130 de la Ley Estatal y de la Ley General, respectivamente, señalan que la aplicación de estos supuestos debe realizarse de manera restrictiva y limitada, por lo que debe acreditarse que se cumple con esta condición y no se pueden ampliar las excepciones o supuestos de clasificación aduciendo analogía o mayoría de razón.</w:t>
            </w:r>
          </w:p>
          <w:p w:rsidR="00986325" w:rsidRDefault="008068B7" w:rsidP="00702D03">
            <w:pPr>
              <w:tabs>
                <w:tab w:val="left" w:pos="284"/>
              </w:tabs>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El </w:t>
            </w:r>
            <w:r>
              <w:rPr>
                <w:rFonts w:ascii="Palatino Linotype" w:eastAsia="Palatino Linotype" w:hAnsi="Palatino Linotype" w:cs="Palatino Linotype"/>
                <w:b/>
                <w:bCs/>
                <w:color w:val="000000"/>
              </w:rPr>
              <w:t>Sujeto Obligado</w:t>
            </w:r>
            <w:r>
              <w:rPr>
                <w:rFonts w:ascii="Palatino Linotype" w:eastAsia="Palatino Linotype" w:hAnsi="Palatino Linotype" w:cs="Palatino Linotype"/>
                <w:color w:val="000000"/>
              </w:rPr>
              <w:t xml:space="preserve"> debe identificar claramente el tipo de información y hacer un juicio de subsunción o encaje para acreditar que el supuesto de hecho corresponde estrictamente con la hipótesis jurídica. Esto también lo debe de realizar el servidor público habilitado y el titular del área que administra la información.</w:t>
            </w:r>
          </w:p>
          <w:p w:rsidR="00986325" w:rsidRDefault="00986325" w:rsidP="00702D03">
            <w:pPr>
              <w:tabs>
                <w:tab w:val="left" w:pos="284"/>
              </w:tabs>
              <w:jc w:val="both"/>
              <w:rPr>
                <w:rFonts w:ascii="Palatino Linotype" w:eastAsia="Palatino Linotype" w:hAnsi="Palatino Linotype" w:cs="Palatino Linotype"/>
              </w:rPr>
            </w:pPr>
          </w:p>
        </w:tc>
      </w:tr>
      <w:tr w:rsidR="00986325">
        <w:tc>
          <w:tcPr>
            <w:tcW w:w="2925" w:type="dxa"/>
            <w:tcBorders>
              <w:top w:val="single" w:sz="4" w:space="0" w:color="BFBFBF"/>
              <w:left w:val="single" w:sz="4" w:space="0" w:color="BFBFBF"/>
              <w:bottom w:val="single" w:sz="4" w:space="0" w:color="BFBFBF"/>
              <w:right w:val="single" w:sz="4" w:space="0" w:color="BFBFBF"/>
            </w:tcBorders>
          </w:tcPr>
          <w:p w:rsidR="00986325" w:rsidRDefault="008068B7" w:rsidP="00702D03">
            <w:pPr>
              <w:tabs>
                <w:tab w:val="left" w:pos="284"/>
              </w:tabs>
              <w:ind w:right="-20"/>
              <w:rPr>
                <w:rFonts w:ascii="Palatino Linotype" w:eastAsia="Palatino Linotype" w:hAnsi="Palatino Linotype" w:cs="Palatino Linotype"/>
              </w:rPr>
            </w:pPr>
            <w:r>
              <w:rPr>
                <w:rFonts w:ascii="Palatino Linotype" w:eastAsia="Palatino Linotype" w:hAnsi="Palatino Linotype" w:cs="Palatino Linotype"/>
              </w:rPr>
              <w:lastRenderedPageBreak/>
              <w:t>c) Formalidades para emitir el acuerdo de clasificación.</w:t>
            </w:r>
          </w:p>
        </w:tc>
        <w:tc>
          <w:tcPr>
            <w:tcW w:w="6780" w:type="dxa"/>
            <w:tcBorders>
              <w:top w:val="single" w:sz="4" w:space="0" w:color="BFBFBF"/>
              <w:left w:val="single" w:sz="4" w:space="0" w:color="BFBFBF"/>
              <w:bottom w:val="single" w:sz="4" w:space="0" w:color="BFBFBF"/>
              <w:right w:val="single" w:sz="4" w:space="0" w:color="BFBFBF"/>
            </w:tcBorders>
          </w:tcPr>
          <w:p w:rsidR="00986325" w:rsidRDefault="008068B7" w:rsidP="00702D03">
            <w:pPr>
              <w:tabs>
                <w:tab w:val="left" w:pos="284"/>
              </w:tabs>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El Comité de Transparencia, según lo dispuesto en los artículos cuenta con las facultades para aprobar, modificar o revocar la clasificación de la información que haya propuesto. </w:t>
            </w:r>
          </w:p>
          <w:p w:rsidR="00986325" w:rsidRDefault="008068B7" w:rsidP="00702D03">
            <w:pPr>
              <w:tabs>
                <w:tab w:val="left" w:pos="284"/>
              </w:tabs>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Es necesario que </w:t>
            </w:r>
            <w:r>
              <w:rPr>
                <w:rFonts w:ascii="Palatino Linotype" w:eastAsia="Palatino Linotype" w:hAnsi="Palatino Linotype" w:cs="Palatino Linotype"/>
                <w:b/>
                <w:bCs/>
                <w:color w:val="000000"/>
                <w:u w:val="single"/>
              </w:rPr>
              <w:t>el acto reúna con los requisitos elementales</w:t>
            </w:r>
            <w:r>
              <w:rPr>
                <w:rFonts w:ascii="Palatino Linotype" w:eastAsia="Palatino Linotype" w:hAnsi="Palatino Linotype" w:cs="Palatino Linotype"/>
                <w:color w:val="000000"/>
              </w:rPr>
              <w:t>, entre ellos, que la autoridad que va a emitir el acto de autoridad sea la legalmente facultada para ello.</w:t>
            </w:r>
          </w:p>
          <w:p w:rsidR="00986325" w:rsidRDefault="008068B7" w:rsidP="00702D03">
            <w:pPr>
              <w:tabs>
                <w:tab w:val="left" w:pos="284"/>
              </w:tabs>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La decisión de aprobar, modificar o revocar la clasificación deberá de asentarse en un documento que registre la determinación a la que se llegue después de un análisis minucioso a partir de lo propuesto por el Titular del I. </w:t>
            </w:r>
            <w:r>
              <w:rPr>
                <w:rFonts w:ascii="Palatino Linotype" w:eastAsia="Palatino Linotype" w:hAnsi="Palatino Linotype" w:cs="Palatino Linotype"/>
              </w:rPr>
              <w:t>El área</w:t>
            </w:r>
            <w:r>
              <w:rPr>
                <w:rFonts w:ascii="Palatino Linotype" w:eastAsia="Palatino Linotype" w:hAnsi="Palatino Linotype" w:cs="Palatino Linotype"/>
                <w:color w:val="000000"/>
              </w:rPr>
              <w:t xml:space="preserve"> que administra la información, cuyo análisis debe integrarse en la agenda de los asuntos a tratar en las sesiones, se insiste, a partir de las decisiones adoptadas previamente por los titulares de áreas y que son sujetas a control, en primera instancia, por el Comité de Transparencia.</w:t>
            </w:r>
          </w:p>
          <w:p w:rsidR="00986325" w:rsidRDefault="00986325" w:rsidP="00702D03">
            <w:pPr>
              <w:tabs>
                <w:tab w:val="left" w:pos="284"/>
              </w:tabs>
              <w:jc w:val="both"/>
              <w:rPr>
                <w:rFonts w:ascii="Palatino Linotype" w:eastAsia="Palatino Linotype" w:hAnsi="Palatino Linotype" w:cs="Palatino Linotype"/>
              </w:rPr>
            </w:pPr>
          </w:p>
        </w:tc>
      </w:tr>
      <w:tr w:rsidR="00986325">
        <w:tc>
          <w:tcPr>
            <w:tcW w:w="2925" w:type="dxa"/>
            <w:tcBorders>
              <w:top w:val="single" w:sz="4" w:space="0" w:color="BFBFBF"/>
              <w:left w:val="single" w:sz="4" w:space="0" w:color="BFBFBF"/>
              <w:bottom w:val="single" w:sz="4" w:space="0" w:color="BFBFBF"/>
              <w:right w:val="single" w:sz="4" w:space="0" w:color="BFBFBF"/>
            </w:tcBorders>
          </w:tcPr>
          <w:p w:rsidR="00986325" w:rsidRDefault="00986325" w:rsidP="00702D03">
            <w:pPr>
              <w:tabs>
                <w:tab w:val="left" w:pos="284"/>
              </w:tabs>
              <w:ind w:right="-20"/>
              <w:rPr>
                <w:rFonts w:ascii="Palatino Linotype" w:eastAsia="Palatino Linotype" w:hAnsi="Palatino Linotype" w:cs="Palatino Linotype"/>
              </w:rPr>
            </w:pPr>
          </w:p>
          <w:p w:rsidR="00986325" w:rsidRDefault="008068B7" w:rsidP="00702D03">
            <w:pPr>
              <w:tabs>
                <w:tab w:val="left" w:pos="284"/>
              </w:tabs>
              <w:ind w:right="-20"/>
              <w:jc w:val="both"/>
              <w:rPr>
                <w:rFonts w:ascii="Palatino Linotype" w:eastAsia="Palatino Linotype" w:hAnsi="Palatino Linotype" w:cs="Palatino Linotype"/>
              </w:rPr>
            </w:pPr>
            <w:r>
              <w:rPr>
                <w:rFonts w:ascii="Palatino Linotype" w:eastAsia="Palatino Linotype" w:hAnsi="Palatino Linotype" w:cs="Palatino Linotype"/>
                <w:color w:val="000000"/>
              </w:rPr>
              <w:t xml:space="preserve">d) Requisitos de fondo del acuerdo de clasificación. </w:t>
            </w:r>
          </w:p>
        </w:tc>
        <w:tc>
          <w:tcPr>
            <w:tcW w:w="6780" w:type="dxa"/>
            <w:tcBorders>
              <w:top w:val="single" w:sz="4" w:space="0" w:color="BFBFBF"/>
              <w:left w:val="single" w:sz="4" w:space="0" w:color="BFBFBF"/>
              <w:bottom w:val="single" w:sz="4" w:space="0" w:color="BFBFBF"/>
              <w:right w:val="single" w:sz="4" w:space="0" w:color="BFBFBF"/>
            </w:tcBorders>
          </w:tcPr>
          <w:p w:rsidR="00986325" w:rsidRDefault="008068B7" w:rsidP="00702D03">
            <w:pPr>
              <w:tabs>
                <w:tab w:val="left" w:pos="284"/>
              </w:tabs>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Como se ha señalado antes, al hacer el juicio de subsunción o encaje entre el supuesto de hecho y la hipótesis jurídica, se debe acreditar la estricta correspondencia entre un elemento y otro. Ahora, en esta parte del procedimiento, que se desahoga en sede del Comité de Transparencia, la ley señala que la carga de la prueba, para justificar las restricciones, corresponde a los </w:t>
            </w:r>
            <w:r>
              <w:rPr>
                <w:rFonts w:ascii="Palatino Linotype" w:eastAsia="Palatino Linotype" w:hAnsi="Palatino Linotype" w:cs="Palatino Linotype"/>
                <w:b/>
                <w:bCs/>
                <w:color w:val="000000"/>
              </w:rPr>
              <w:t>Sujetos Obligados</w:t>
            </w:r>
            <w:r>
              <w:rPr>
                <w:rFonts w:ascii="Palatino Linotype" w:eastAsia="Palatino Linotype" w:hAnsi="Palatino Linotype" w:cs="Palatino Linotype"/>
                <w:color w:val="000000"/>
              </w:rPr>
              <w:t xml:space="preserve">, por lo que deberán fundar y motivar debidamente la clasificación. </w:t>
            </w:r>
          </w:p>
          <w:p w:rsidR="00986325" w:rsidRDefault="008068B7" w:rsidP="00702D03">
            <w:pPr>
              <w:tabs>
                <w:tab w:val="left" w:pos="284"/>
              </w:tabs>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De lo anterior, se desprende que para una correcta </w:t>
            </w:r>
            <w:r>
              <w:rPr>
                <w:rFonts w:ascii="Palatino Linotype" w:eastAsia="Palatino Linotype" w:hAnsi="Palatino Linotype" w:cs="Palatino Linotype"/>
                <w:b/>
                <w:bCs/>
                <w:color w:val="000000"/>
              </w:rPr>
              <w:t>clasificación total o parcial</w:t>
            </w:r>
            <w:r>
              <w:rPr>
                <w:rFonts w:ascii="Palatino Linotype" w:eastAsia="Palatino Linotype" w:hAnsi="Palatino Linotype" w:cs="Palatino Linotype"/>
                <w:color w:val="000000"/>
              </w:rPr>
              <w:t>, esto es determinar los datos que se suprimen en las versiones públicas, es necesario fundar y motivar, de manera correcta, la clasificación; considerando que todo acto que la autoridad pronuncie en el ejercicio de sus atribuciones, debe expresar los fundamentos legales que le dieron origen y las razones por las que se deben aplicar al caso concreto.</w:t>
            </w:r>
          </w:p>
          <w:p w:rsidR="00986325" w:rsidRDefault="008068B7" w:rsidP="00702D03">
            <w:pPr>
              <w:tabs>
                <w:tab w:val="left" w:pos="284"/>
              </w:tabs>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Así, en un acto de autoridad se cumple con la debida fundamentación cuando se cita el precepto legal aplicable al caso concreto y la debida motivación cuando se expresan las razones, motivos o circunstancias que tomó en cuenta la </w:t>
            </w:r>
            <w:r>
              <w:rPr>
                <w:rFonts w:ascii="Palatino Linotype" w:eastAsia="Palatino Linotype" w:hAnsi="Palatino Linotype" w:cs="Palatino Linotype"/>
                <w:color w:val="000000"/>
              </w:rPr>
              <w:lastRenderedPageBreak/>
              <w:t>autoridad para adecuar el hecho a los fundamentos de derecho. De este modo, la persona que se sienta afectada pueda impugnar la decisión, permitiéndole una real y auténtica defensa.</w:t>
            </w:r>
          </w:p>
          <w:p w:rsidR="00986325" w:rsidRDefault="008068B7" w:rsidP="00702D03">
            <w:pPr>
              <w:tabs>
                <w:tab w:val="left" w:pos="284"/>
              </w:tabs>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En ese mismo sentido, el numeral trigésimo tercero fracción V de los Lineamientos Generales, precisa que para motivar la clasificación se deben acreditar las circunstancias de tiempo, modo y lugar.</w:t>
            </w:r>
          </w:p>
          <w:p w:rsidR="00986325" w:rsidRDefault="008068B7" w:rsidP="00702D03">
            <w:pPr>
              <w:tabs>
                <w:tab w:val="left" w:pos="284"/>
              </w:tabs>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Ahora bien, </w:t>
            </w:r>
            <w:r>
              <w:rPr>
                <w:rFonts w:ascii="Palatino Linotype" w:eastAsia="Palatino Linotype" w:hAnsi="Palatino Linotype" w:cs="Palatino Linotype"/>
                <w:b/>
                <w:bCs/>
                <w:color w:val="000000"/>
                <w:u w:val="single"/>
              </w:rPr>
              <w:t>para cada caso además de fundar y motivar</w:t>
            </w:r>
            <w:r>
              <w:rPr>
                <w:rFonts w:ascii="Palatino Linotype" w:eastAsia="Palatino Linotype" w:hAnsi="Palatino Linotype" w:cs="Palatino Linotype"/>
                <w:color w:val="000000"/>
              </w:rPr>
              <w:t xml:space="preserve">, se debe identificar con claridad </w:t>
            </w:r>
            <w:r>
              <w:rPr>
                <w:rFonts w:ascii="Palatino Linotype" w:eastAsia="Palatino Linotype" w:hAnsi="Palatino Linotype" w:cs="Palatino Linotype"/>
              </w:rPr>
              <w:t>qué</w:t>
            </w:r>
            <w:r>
              <w:rPr>
                <w:rFonts w:ascii="Palatino Linotype" w:eastAsia="Palatino Linotype" w:hAnsi="Palatino Linotype" w:cs="Palatino Linotype"/>
                <w:color w:val="000000"/>
              </w:rPr>
              <w:t xml:space="preserve"> datos contenidos en las documentales que son susceptibles de suprimirse, por ejemplo; Clave Única de Registro de Población (CURP), Registro Federal de Contribuyentes (R.F.C.), claves de seguros, préstamos o descuentos personales, secretos bancario, fiduciario, industrial, comercial, fiscal, bursátil y postal, cuya titularidad corresponda a particulares, entre otros.</w:t>
            </w:r>
          </w:p>
          <w:p w:rsidR="00986325" w:rsidRDefault="00986325" w:rsidP="00702D03">
            <w:pPr>
              <w:tabs>
                <w:tab w:val="left" w:pos="284"/>
              </w:tabs>
              <w:jc w:val="both"/>
              <w:rPr>
                <w:rFonts w:ascii="Palatino Linotype" w:eastAsia="Palatino Linotype" w:hAnsi="Palatino Linotype" w:cs="Palatino Linotype"/>
                <w:color w:val="000000"/>
              </w:rPr>
            </w:pPr>
          </w:p>
        </w:tc>
      </w:tr>
      <w:tr w:rsidR="00986325">
        <w:tc>
          <w:tcPr>
            <w:tcW w:w="2925" w:type="dxa"/>
            <w:tcBorders>
              <w:top w:val="single" w:sz="4" w:space="0" w:color="BFBFBF"/>
              <w:left w:val="single" w:sz="4" w:space="0" w:color="BFBFBF"/>
              <w:bottom w:val="single" w:sz="4" w:space="0" w:color="BFBFBF"/>
              <w:right w:val="single" w:sz="4" w:space="0" w:color="BFBFBF"/>
            </w:tcBorders>
          </w:tcPr>
          <w:p w:rsidR="00986325" w:rsidRDefault="008068B7" w:rsidP="00702D03">
            <w:pPr>
              <w:tabs>
                <w:tab w:val="left" w:pos="284"/>
              </w:tabs>
              <w:ind w:right="-20"/>
              <w:jc w:val="both"/>
              <w:rPr>
                <w:rFonts w:ascii="Palatino Linotype" w:eastAsia="Palatino Linotype" w:hAnsi="Palatino Linotype" w:cs="Palatino Linotype"/>
              </w:rPr>
            </w:pPr>
            <w:r>
              <w:rPr>
                <w:rFonts w:ascii="Palatino Linotype" w:eastAsia="Palatino Linotype" w:hAnsi="Palatino Linotype" w:cs="Palatino Linotype"/>
              </w:rPr>
              <w:t xml:space="preserve">e) Condiciones especiales de la clasificación de la información como confidencial. </w:t>
            </w:r>
          </w:p>
        </w:tc>
        <w:tc>
          <w:tcPr>
            <w:tcW w:w="6780" w:type="dxa"/>
            <w:tcBorders>
              <w:top w:val="single" w:sz="4" w:space="0" w:color="BFBFBF"/>
              <w:left w:val="single" w:sz="4" w:space="0" w:color="BFBFBF"/>
              <w:bottom w:val="single" w:sz="4" w:space="0" w:color="BFBFBF"/>
              <w:right w:val="single" w:sz="4" w:space="0" w:color="BFBFBF"/>
            </w:tcBorders>
          </w:tcPr>
          <w:p w:rsidR="00986325" w:rsidRDefault="008068B7" w:rsidP="00702D03">
            <w:pPr>
              <w:tabs>
                <w:tab w:val="left" w:pos="284"/>
              </w:tabs>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Los artículos 148 y 120 de la Ley Estatal y de la Ley General, respectivamente, establecen que aun tratándose de datos personales, se podrán proporcionar, incluso sin solicitar el consentimiento de su titular. </w:t>
            </w:r>
          </w:p>
          <w:p w:rsidR="00986325" w:rsidRDefault="008068B7" w:rsidP="00702D03">
            <w:pPr>
              <w:tabs>
                <w:tab w:val="left" w:pos="284"/>
              </w:tabs>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En el caso de lo señalado en la fracción IV, será el Instituto quien deba aplicar la prueba de interés público, considerando también que como recientemente ha discutido la Suprema Corte de Justicia de la Nación, los servidores públicos nos encontramos sujetos a un régimen menor de protección. </w:t>
            </w:r>
          </w:p>
          <w:p w:rsidR="00986325" w:rsidRDefault="008068B7" w:rsidP="00702D03">
            <w:pPr>
              <w:tabs>
                <w:tab w:val="left" w:pos="284"/>
              </w:tabs>
              <w:rPr>
                <w:rFonts w:ascii="Palatino Linotype" w:eastAsia="Palatino Linotype" w:hAnsi="Palatino Linotype" w:cs="Palatino Linotype"/>
                <w:color w:val="000000"/>
              </w:rPr>
            </w:pPr>
            <w:r>
              <w:rPr>
                <w:rFonts w:ascii="Palatino Linotype" w:eastAsia="Palatino Linotype" w:hAnsi="Palatino Linotype" w:cs="Palatino Linotype"/>
                <w:color w:val="000000"/>
              </w:rPr>
              <w:t>Pero si la información que se pretende clasificar como confidencial no se encuentra en los supuestos de los artículos señalados y es posible, se deberá consultar al titular de los datos si permite o no el acceso. De no ser posible, la realización de la consulta, procede, fundando y motivando, la clasificación.</w:t>
            </w:r>
          </w:p>
          <w:p w:rsidR="00986325" w:rsidRDefault="00986325" w:rsidP="00702D03">
            <w:pPr>
              <w:tabs>
                <w:tab w:val="left" w:pos="284"/>
              </w:tabs>
              <w:rPr>
                <w:rFonts w:ascii="Palatino Linotype" w:eastAsia="Palatino Linotype" w:hAnsi="Palatino Linotype" w:cs="Palatino Linotype"/>
              </w:rPr>
            </w:pPr>
          </w:p>
        </w:tc>
      </w:tr>
    </w:tbl>
    <w:p w:rsidR="00986325" w:rsidRDefault="00986325">
      <w:pPr>
        <w:tabs>
          <w:tab w:val="left" w:pos="284"/>
        </w:tabs>
        <w:spacing w:line="360" w:lineRule="auto"/>
        <w:ind w:right="-697"/>
        <w:rPr>
          <w:rFonts w:ascii="Palatino Linotype" w:eastAsia="Palatino Linotype" w:hAnsi="Palatino Linotype" w:cs="Palatino Linotype"/>
          <w:color w:val="000000"/>
        </w:rPr>
      </w:pPr>
    </w:p>
    <w:p w:rsidR="00986325" w:rsidRDefault="008068B7">
      <w:pPr>
        <w:numPr>
          <w:ilvl w:val="0"/>
          <w:numId w:val="2"/>
        </w:numPr>
        <w:spacing w:line="360" w:lineRule="auto"/>
        <w:ind w:left="0" w:right="-697" w:firstLine="0"/>
        <w:jc w:val="both"/>
        <w:rPr>
          <w:rFonts w:ascii="Palatino Linotype" w:eastAsia="Palatino Linotype" w:hAnsi="Palatino Linotype" w:cs="Palatino Linotype"/>
          <w:color w:val="000000"/>
        </w:rPr>
      </w:pPr>
      <w:r>
        <w:rPr>
          <w:rFonts w:ascii="Palatino Linotype" w:eastAsia="Palatino Linotype" w:hAnsi="Palatino Linotype" w:cs="Palatino Linotype"/>
        </w:rPr>
        <w:lastRenderedPageBreak/>
        <w:t xml:space="preserve">Si el </w:t>
      </w:r>
      <w:r>
        <w:rPr>
          <w:rFonts w:ascii="Palatino Linotype" w:eastAsia="Palatino Linotype" w:hAnsi="Palatino Linotype" w:cs="Palatino Linotype"/>
          <w:color w:val="000000"/>
        </w:rPr>
        <w:t>servidor</w:t>
      </w:r>
      <w:r>
        <w:rPr>
          <w:rFonts w:ascii="Palatino Linotype" w:eastAsia="Palatino Linotype" w:hAnsi="Palatino Linotype" w:cs="Palatino Linotype"/>
        </w:rPr>
        <w:t xml:space="preserve"> público incumple con estas formalidades y entrega la información </w:t>
      </w:r>
      <w:r>
        <w:rPr>
          <w:rFonts w:ascii="Palatino Linotype" w:eastAsia="Palatino Linotype" w:hAnsi="Palatino Linotype" w:cs="Palatino Linotype"/>
          <w:color w:val="000000"/>
        </w:rPr>
        <w:t>sin</w:t>
      </w:r>
      <w:r>
        <w:rPr>
          <w:rFonts w:ascii="Palatino Linotype" w:eastAsia="Palatino Linotype" w:hAnsi="Palatino Linotype" w:cs="Palatino Linotype"/>
        </w:rPr>
        <w:t xml:space="preserve"> proteger los datos personales incumple con lo que estipula las </w:t>
      </w:r>
      <w:r>
        <w:rPr>
          <w:rFonts w:ascii="Palatino Linotype" w:eastAsia="Palatino Linotype" w:hAnsi="Palatino Linotype" w:cs="Palatino Linotype"/>
          <w:color w:val="000000"/>
        </w:rPr>
        <w:t>disposiciones</w:t>
      </w:r>
      <w:r>
        <w:rPr>
          <w:rFonts w:ascii="Palatino Linotype" w:eastAsia="Palatino Linotype" w:hAnsi="Palatino Linotype" w:cs="Palatino Linotype"/>
        </w:rPr>
        <w:t xml:space="preserve"> legales </w:t>
      </w:r>
      <w:r>
        <w:rPr>
          <w:rFonts w:ascii="Palatino Linotype" w:eastAsia="Palatino Linotype" w:hAnsi="Palatino Linotype" w:cs="Palatino Linotype"/>
          <w:color w:val="000000"/>
        </w:rPr>
        <w:t>establecidas</w:t>
      </w:r>
      <w:r>
        <w:rPr>
          <w:rFonts w:ascii="Palatino Linotype" w:eastAsia="Palatino Linotype" w:hAnsi="Palatino Linotype" w:cs="Palatino Linotype"/>
        </w:rPr>
        <w:t>, asimismo que si entrega un documento testado sin el debido acuerdo de clasificación.</w:t>
      </w:r>
    </w:p>
    <w:p w:rsidR="00986325" w:rsidRDefault="00986325">
      <w:pPr>
        <w:pBdr>
          <w:top w:val="nil"/>
          <w:left w:val="nil"/>
          <w:bottom w:val="nil"/>
          <w:right w:val="nil"/>
          <w:between w:val="nil"/>
        </w:pBdr>
        <w:tabs>
          <w:tab w:val="left" w:pos="851"/>
        </w:tabs>
        <w:spacing w:line="360" w:lineRule="auto"/>
        <w:ind w:right="-697"/>
        <w:jc w:val="both"/>
        <w:rPr>
          <w:rFonts w:ascii="Palatino Linotype" w:eastAsia="Palatino Linotype" w:hAnsi="Palatino Linotype" w:cs="Palatino Linotype"/>
          <w:i/>
          <w:iCs/>
          <w:color w:val="000000"/>
        </w:rPr>
      </w:pPr>
    </w:p>
    <w:p w:rsidR="00986325" w:rsidRPr="00702D03" w:rsidRDefault="008068B7">
      <w:pPr>
        <w:numPr>
          <w:ilvl w:val="0"/>
          <w:numId w:val="2"/>
        </w:numPr>
        <w:pBdr>
          <w:top w:val="nil"/>
          <w:left w:val="nil"/>
          <w:bottom w:val="nil"/>
          <w:right w:val="nil"/>
          <w:between w:val="nil"/>
        </w:pBdr>
        <w:spacing w:line="360" w:lineRule="auto"/>
        <w:ind w:left="0" w:right="-697" w:firstLine="0"/>
        <w:jc w:val="both"/>
        <w:rPr>
          <w:rFonts w:ascii="Palatino Linotype" w:eastAsia="Palatino Linotype" w:hAnsi="Palatino Linotype" w:cs="Palatino Linotype"/>
        </w:rPr>
      </w:pPr>
      <w:r>
        <w:rPr>
          <w:rFonts w:ascii="Palatino Linotype" w:eastAsia="Palatino Linotype" w:hAnsi="Palatino Linotype" w:cs="Palatino Linotype"/>
          <w:color w:val="222222"/>
        </w:rPr>
        <w:t xml:space="preserve">Por lo </w:t>
      </w:r>
      <w:r>
        <w:rPr>
          <w:rFonts w:ascii="Palatino Linotype" w:eastAsia="Palatino Linotype" w:hAnsi="Palatino Linotype" w:cs="Palatino Linotype"/>
        </w:rPr>
        <w:t>anteriormente</w:t>
      </w:r>
      <w:r>
        <w:rPr>
          <w:rFonts w:ascii="Palatino Linotype" w:eastAsia="Palatino Linotype" w:hAnsi="Palatino Linotype" w:cs="Palatino Linotype"/>
          <w:color w:val="222222"/>
        </w:rPr>
        <w:t xml:space="preserve"> expuesto y fundado, este </w:t>
      </w:r>
      <w:r>
        <w:rPr>
          <w:rFonts w:ascii="Palatino Linotype" w:eastAsia="Palatino Linotype" w:hAnsi="Palatino Linotype" w:cs="Palatino Linotype"/>
          <w:b/>
          <w:bCs/>
          <w:color w:val="222222"/>
        </w:rPr>
        <w:t>ÓRGANO GARANTE</w:t>
      </w:r>
      <w:r>
        <w:rPr>
          <w:rFonts w:ascii="Palatino Linotype" w:eastAsia="Palatino Linotype" w:hAnsi="Palatino Linotype" w:cs="Palatino Linotype"/>
          <w:color w:val="222222"/>
        </w:rPr>
        <w:t xml:space="preserve"> emite los </w:t>
      </w:r>
      <w:r>
        <w:rPr>
          <w:rFonts w:ascii="Palatino Linotype" w:eastAsia="Palatino Linotype" w:hAnsi="Palatino Linotype" w:cs="Palatino Linotype"/>
        </w:rPr>
        <w:t>siguientes</w:t>
      </w:r>
      <w:r>
        <w:rPr>
          <w:rFonts w:ascii="Palatino Linotype" w:eastAsia="Palatino Linotype" w:hAnsi="Palatino Linotype" w:cs="Palatino Linotype"/>
          <w:color w:val="222222"/>
        </w:rPr>
        <w:t>:</w:t>
      </w:r>
      <w:r w:rsidR="00702D03">
        <w:rPr>
          <w:rFonts w:ascii="Palatino Linotype" w:eastAsia="Palatino Linotype" w:hAnsi="Palatino Linotype" w:cs="Palatino Linotype"/>
          <w:color w:val="222222"/>
        </w:rPr>
        <w:t xml:space="preserve"> ---------------------------------------------------------------------------------------------------------</w:t>
      </w:r>
    </w:p>
    <w:p w:rsidR="00702D03" w:rsidRDefault="00702D03" w:rsidP="00702D03">
      <w:pPr>
        <w:pStyle w:val="Prrafodelista"/>
        <w:rPr>
          <w:rFonts w:ascii="Palatino Linotype" w:eastAsia="Palatino Linotype" w:hAnsi="Palatino Linotype" w:cs="Palatino Linotype"/>
        </w:rPr>
      </w:pPr>
    </w:p>
    <w:p w:rsidR="00702D03" w:rsidRDefault="00702D03" w:rsidP="00702D03">
      <w:pPr>
        <w:pBdr>
          <w:top w:val="nil"/>
          <w:left w:val="nil"/>
          <w:bottom w:val="nil"/>
          <w:right w:val="nil"/>
          <w:between w:val="nil"/>
        </w:pBdr>
        <w:spacing w:line="360" w:lineRule="auto"/>
        <w:ind w:right="-697"/>
        <w:jc w:val="both"/>
        <w:rPr>
          <w:rFonts w:ascii="Palatino Linotype" w:eastAsia="Palatino Linotype" w:hAnsi="Palatino Linotype" w:cs="Palatino Linotype"/>
        </w:rPr>
      </w:pPr>
    </w:p>
    <w:p w:rsidR="00702D03" w:rsidRDefault="00702D03" w:rsidP="00702D03">
      <w:pPr>
        <w:pBdr>
          <w:top w:val="nil"/>
          <w:left w:val="nil"/>
          <w:bottom w:val="nil"/>
          <w:right w:val="nil"/>
          <w:between w:val="nil"/>
        </w:pBdr>
        <w:spacing w:line="360" w:lineRule="auto"/>
        <w:ind w:right="-697"/>
        <w:jc w:val="both"/>
        <w:rPr>
          <w:rFonts w:ascii="Palatino Linotype" w:eastAsia="Palatino Linotype" w:hAnsi="Palatino Linotype" w:cs="Palatino Linotype"/>
        </w:rPr>
      </w:pPr>
    </w:p>
    <w:p w:rsidR="00986325" w:rsidRDefault="008068B7">
      <w:pPr>
        <w:keepNext/>
        <w:keepLines/>
        <w:spacing w:line="360" w:lineRule="auto"/>
        <w:ind w:right="-697"/>
        <w:jc w:val="center"/>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R E S O L U T I V O S</w:t>
      </w:r>
    </w:p>
    <w:p w:rsidR="00986325" w:rsidRDefault="008068B7">
      <w:pPr>
        <w:spacing w:line="360" w:lineRule="auto"/>
        <w:ind w:right="-697"/>
        <w:jc w:val="both"/>
        <w:rPr>
          <w:rFonts w:ascii="Palatino Linotype" w:eastAsia="Palatino Linotype" w:hAnsi="Palatino Linotype" w:cs="Palatino Linotype"/>
          <w:b/>
          <w:bCs/>
        </w:rPr>
      </w:pPr>
      <w:r>
        <w:rPr>
          <w:rFonts w:ascii="Palatino Linotype" w:eastAsia="Palatino Linotype" w:hAnsi="Palatino Linotype" w:cs="Palatino Linotype"/>
          <w:b/>
          <w:bCs/>
        </w:rPr>
        <w:tab/>
      </w:r>
    </w:p>
    <w:p w:rsidR="00986325" w:rsidRDefault="008068B7">
      <w:pPr>
        <w:spacing w:line="360" w:lineRule="auto"/>
        <w:ind w:right="-697"/>
        <w:jc w:val="both"/>
        <w:rPr>
          <w:rFonts w:ascii="Palatino Linotype" w:eastAsia="Palatino Linotype" w:hAnsi="Palatino Linotype" w:cs="Palatino Linotype"/>
        </w:rPr>
      </w:pPr>
      <w:r>
        <w:rPr>
          <w:rFonts w:ascii="Palatino Linotype" w:eastAsia="Palatino Linotype" w:hAnsi="Palatino Linotype" w:cs="Palatino Linotype"/>
          <w:b/>
          <w:bCs/>
        </w:rPr>
        <w:t>PRIMERO</w:t>
      </w:r>
      <w:r>
        <w:rPr>
          <w:rFonts w:ascii="Palatino Linotype" w:eastAsia="Palatino Linotype" w:hAnsi="Palatino Linotype" w:cs="Palatino Linotype"/>
        </w:rPr>
        <w:t xml:space="preserve">. Resultan parcialmente fundadas las razones o motivos de inconformidad hechos valer en el Recurso de Revisión </w:t>
      </w:r>
      <w:r>
        <w:rPr>
          <w:rFonts w:ascii="Palatino Linotype" w:eastAsia="Palatino Linotype" w:hAnsi="Palatino Linotype" w:cs="Palatino Linotype"/>
          <w:b/>
          <w:bCs/>
        </w:rPr>
        <w:t xml:space="preserve">10953/INFOEM/IP/RR/2025, </w:t>
      </w:r>
      <w:r>
        <w:rPr>
          <w:rFonts w:ascii="Palatino Linotype" w:eastAsia="Palatino Linotype" w:hAnsi="Palatino Linotype" w:cs="Palatino Linotype"/>
        </w:rPr>
        <w:t xml:space="preserve">en términos de los </w:t>
      </w:r>
      <w:r>
        <w:rPr>
          <w:rFonts w:ascii="Palatino Linotype" w:eastAsia="Palatino Linotype" w:hAnsi="Palatino Linotype" w:cs="Palatino Linotype"/>
          <w:b/>
          <w:bCs/>
        </w:rPr>
        <w:t>Considerandos</w:t>
      </w:r>
      <w:r>
        <w:rPr>
          <w:rFonts w:ascii="Palatino Linotype" w:eastAsia="Palatino Linotype" w:hAnsi="Palatino Linotype" w:cs="Palatino Linotype"/>
        </w:rPr>
        <w:t xml:space="preserve"> </w:t>
      </w:r>
      <w:r>
        <w:rPr>
          <w:rFonts w:ascii="Palatino Linotype" w:eastAsia="Palatino Linotype" w:hAnsi="Palatino Linotype" w:cs="Palatino Linotype"/>
          <w:b/>
          <w:bCs/>
        </w:rPr>
        <w:t xml:space="preserve">Cuarto </w:t>
      </w:r>
      <w:r>
        <w:rPr>
          <w:rFonts w:ascii="Palatino Linotype" w:eastAsia="Palatino Linotype" w:hAnsi="Palatino Linotype" w:cs="Palatino Linotype"/>
        </w:rPr>
        <w:t>y</w:t>
      </w:r>
      <w:r>
        <w:rPr>
          <w:rFonts w:ascii="Palatino Linotype" w:eastAsia="Palatino Linotype" w:hAnsi="Palatino Linotype" w:cs="Palatino Linotype"/>
          <w:b/>
          <w:bCs/>
        </w:rPr>
        <w:t xml:space="preserve"> Quinto </w:t>
      </w:r>
      <w:r>
        <w:rPr>
          <w:rFonts w:ascii="Palatino Linotype" w:eastAsia="Palatino Linotype" w:hAnsi="Palatino Linotype" w:cs="Palatino Linotype"/>
        </w:rPr>
        <w:t>de la presente Resolución.</w:t>
      </w:r>
    </w:p>
    <w:p w:rsidR="00583259" w:rsidRDefault="00583259">
      <w:pPr>
        <w:spacing w:line="360" w:lineRule="auto"/>
        <w:ind w:right="-697"/>
        <w:jc w:val="both"/>
        <w:rPr>
          <w:rFonts w:ascii="Palatino Linotype" w:eastAsia="Palatino Linotype" w:hAnsi="Palatino Linotype" w:cs="Palatino Linotype"/>
        </w:rPr>
      </w:pPr>
    </w:p>
    <w:p w:rsidR="00986325" w:rsidRDefault="008068B7">
      <w:pPr>
        <w:spacing w:line="360" w:lineRule="auto"/>
        <w:ind w:right="-697"/>
        <w:jc w:val="both"/>
        <w:rPr>
          <w:rFonts w:ascii="Palatino Linotype" w:eastAsia="Palatino Linotype" w:hAnsi="Palatino Linotype" w:cs="Palatino Linotype"/>
          <w:b/>
          <w:bCs/>
        </w:rPr>
      </w:pPr>
      <w:r>
        <w:rPr>
          <w:rFonts w:ascii="Palatino Linotype" w:eastAsia="Palatino Linotype" w:hAnsi="Palatino Linotype" w:cs="Palatino Linotype"/>
          <w:b/>
          <w:bCs/>
        </w:rPr>
        <w:t xml:space="preserve">SEGUNDO. </w:t>
      </w:r>
      <w:r>
        <w:rPr>
          <w:rFonts w:ascii="Palatino Linotype" w:eastAsia="Palatino Linotype" w:hAnsi="Palatino Linotype" w:cs="Palatino Linotype"/>
          <w:color w:val="000000"/>
        </w:rPr>
        <w:t xml:space="preserve">Se </w:t>
      </w:r>
      <w:r>
        <w:rPr>
          <w:rFonts w:ascii="Palatino Linotype" w:eastAsia="Palatino Linotype" w:hAnsi="Palatino Linotype" w:cs="Palatino Linotype"/>
          <w:b/>
          <w:bCs/>
          <w:color w:val="000000"/>
        </w:rPr>
        <w:t xml:space="preserve">MODIFICA </w:t>
      </w:r>
      <w:r>
        <w:rPr>
          <w:rFonts w:ascii="Palatino Linotype" w:eastAsia="Palatino Linotype" w:hAnsi="Palatino Linotype" w:cs="Palatino Linotype"/>
          <w:color w:val="000000"/>
        </w:rPr>
        <w:t xml:space="preserve">la respuesta emitida por el </w:t>
      </w:r>
      <w:r>
        <w:rPr>
          <w:rFonts w:ascii="Palatino Linotype" w:eastAsia="Palatino Linotype" w:hAnsi="Palatino Linotype" w:cs="Palatino Linotype"/>
          <w:b/>
          <w:bCs/>
          <w:color w:val="000000"/>
        </w:rPr>
        <w:t>Ayuntamiento de Lerma</w:t>
      </w:r>
      <w:r>
        <w:rPr>
          <w:rFonts w:ascii="Palatino Linotype" w:eastAsia="Palatino Linotype" w:hAnsi="Palatino Linotype" w:cs="Palatino Linotype"/>
          <w:b/>
          <w:bCs/>
        </w:rPr>
        <w:t>;</w:t>
      </w:r>
      <w:r>
        <w:rPr>
          <w:rFonts w:ascii="Palatino Linotype" w:eastAsia="Palatino Linotype" w:hAnsi="Palatino Linotype" w:cs="Palatino Linotype"/>
        </w:rPr>
        <w:t xml:space="preserve"> por lo que</w:t>
      </w:r>
      <w:r>
        <w:rPr>
          <w:rFonts w:ascii="Palatino Linotype" w:eastAsia="Palatino Linotype" w:hAnsi="Palatino Linotype" w:cs="Palatino Linotype"/>
          <w:color w:val="000000"/>
        </w:rPr>
        <w:t xml:space="preserve"> se </w:t>
      </w:r>
      <w:r>
        <w:rPr>
          <w:rFonts w:ascii="Palatino Linotype" w:eastAsia="Palatino Linotype" w:hAnsi="Palatino Linotype" w:cs="Palatino Linotype"/>
          <w:b/>
          <w:bCs/>
          <w:color w:val="000000"/>
        </w:rPr>
        <w:t>ORDENA</w:t>
      </w:r>
      <w:r>
        <w:rPr>
          <w:rFonts w:ascii="Palatino Linotype" w:eastAsia="Palatino Linotype" w:hAnsi="Palatino Linotype" w:cs="Palatino Linotype"/>
          <w:color w:val="000000"/>
        </w:rPr>
        <w:t xml:space="preserve"> entregar en </w:t>
      </w:r>
      <w:r>
        <w:rPr>
          <w:rFonts w:ascii="Palatino Linotype" w:eastAsia="Palatino Linotype" w:hAnsi="Palatino Linotype" w:cs="Palatino Linotype"/>
          <w:b/>
          <w:bCs/>
          <w:color w:val="000000"/>
        </w:rPr>
        <w:t>copias certificadas con costo</w:t>
      </w:r>
      <w:r>
        <w:rPr>
          <w:rFonts w:ascii="Palatino Linotype" w:eastAsia="Palatino Linotype" w:hAnsi="Palatino Linotype" w:cs="Palatino Linotype"/>
          <w:color w:val="000000"/>
        </w:rPr>
        <w:t>, previa búsqueda exhaustiva y razonable, el s</w:t>
      </w:r>
      <w:r>
        <w:rPr>
          <w:rFonts w:ascii="Palatino Linotype" w:eastAsia="Palatino Linotype" w:hAnsi="Palatino Linotype" w:cs="Palatino Linotype"/>
        </w:rPr>
        <w:t xml:space="preserve">oporte documental en el que conste o se adviertan la siguiente información, generada, poseída o administrada, del </w:t>
      </w:r>
      <w:r>
        <w:rPr>
          <w:rFonts w:ascii="Palatino Linotype" w:eastAsia="Palatino Linotype" w:hAnsi="Palatino Linotype" w:cs="Palatino Linotype"/>
          <w:b/>
          <w:bCs/>
        </w:rPr>
        <w:t>01 de enero al 11 de agosto de 2025</w:t>
      </w:r>
      <w:r>
        <w:rPr>
          <w:rFonts w:ascii="Palatino Linotype" w:eastAsia="Palatino Linotype" w:hAnsi="Palatino Linotype" w:cs="Palatino Linotype"/>
        </w:rPr>
        <w:t>, relacionada a la obra pública ejecutada en el campo de fútbol de la Comunidad de la Concepción Xochicuautla:</w:t>
      </w:r>
    </w:p>
    <w:p w:rsidR="00986325" w:rsidRDefault="00986325">
      <w:pPr>
        <w:spacing w:line="360" w:lineRule="auto"/>
        <w:ind w:right="-697"/>
        <w:jc w:val="both"/>
        <w:rPr>
          <w:rFonts w:ascii="Palatino Linotype" w:eastAsia="Palatino Linotype" w:hAnsi="Palatino Linotype" w:cs="Palatino Linotype"/>
          <w:b/>
          <w:bCs/>
        </w:rPr>
      </w:pPr>
    </w:p>
    <w:p w:rsidR="00986325" w:rsidRDefault="008068B7">
      <w:pPr>
        <w:numPr>
          <w:ilvl w:val="0"/>
          <w:numId w:val="18"/>
        </w:numPr>
        <w:pBdr>
          <w:top w:val="nil"/>
          <w:left w:val="nil"/>
          <w:bottom w:val="nil"/>
          <w:right w:val="nil"/>
          <w:between w:val="nil"/>
        </w:pBdr>
        <w:spacing w:line="360" w:lineRule="auto"/>
        <w:ind w:right="-697"/>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La naturaleza de la obra;</w:t>
      </w:r>
    </w:p>
    <w:p w:rsidR="00986325" w:rsidRDefault="008068B7">
      <w:pPr>
        <w:numPr>
          <w:ilvl w:val="0"/>
          <w:numId w:val="18"/>
        </w:numPr>
        <w:pBdr>
          <w:top w:val="nil"/>
          <w:left w:val="nil"/>
          <w:bottom w:val="nil"/>
          <w:right w:val="nil"/>
          <w:between w:val="nil"/>
        </w:pBdr>
        <w:spacing w:line="360" w:lineRule="auto"/>
        <w:ind w:right="-697"/>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La planeación en que se ha de ejecutar (fases o etapas) y, cuales son;</w:t>
      </w:r>
    </w:p>
    <w:p w:rsidR="00986325" w:rsidRDefault="008068B7">
      <w:pPr>
        <w:numPr>
          <w:ilvl w:val="0"/>
          <w:numId w:val="18"/>
        </w:numPr>
        <w:pBdr>
          <w:top w:val="nil"/>
          <w:left w:val="nil"/>
          <w:bottom w:val="nil"/>
          <w:right w:val="nil"/>
          <w:between w:val="nil"/>
        </w:pBdr>
        <w:spacing w:line="360" w:lineRule="auto"/>
        <w:ind w:right="-697"/>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lastRenderedPageBreak/>
        <w:t>Los tiempos programados, así como el presupuesto otorgado para la ejecución de cada fase o etapa que integra el proyecto total de la obra;</w:t>
      </w:r>
    </w:p>
    <w:p w:rsidR="00986325" w:rsidRDefault="008068B7">
      <w:pPr>
        <w:numPr>
          <w:ilvl w:val="0"/>
          <w:numId w:val="18"/>
        </w:numPr>
        <w:pBdr>
          <w:top w:val="nil"/>
          <w:left w:val="nil"/>
          <w:bottom w:val="nil"/>
          <w:right w:val="nil"/>
          <w:between w:val="nil"/>
        </w:pBdr>
        <w:spacing w:line="360" w:lineRule="auto"/>
        <w:ind w:right="-697"/>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Documento en que conste o se advierta, si la obra pública se está ejecutando por servidores públicos del Ayuntamiento de Lerma o, los contratos celebrados para el caso de estar a cargo de una empresa;</w:t>
      </w:r>
    </w:p>
    <w:p w:rsidR="00986325" w:rsidRDefault="008068B7">
      <w:pPr>
        <w:numPr>
          <w:ilvl w:val="0"/>
          <w:numId w:val="18"/>
        </w:numPr>
        <w:pBdr>
          <w:top w:val="nil"/>
          <w:left w:val="nil"/>
          <w:bottom w:val="nil"/>
          <w:right w:val="nil"/>
          <w:between w:val="nil"/>
        </w:pBdr>
        <w:spacing w:line="360" w:lineRule="auto"/>
        <w:ind w:right="-697"/>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Servidores públicos que han intervenido en la planeación, orden, instrucción y ejecución de la obra, en cada una de sus fases o etapas; y</w:t>
      </w:r>
    </w:p>
    <w:p w:rsidR="00986325" w:rsidRDefault="008068B7">
      <w:pPr>
        <w:numPr>
          <w:ilvl w:val="0"/>
          <w:numId w:val="18"/>
        </w:numPr>
        <w:pBdr>
          <w:top w:val="nil"/>
          <w:left w:val="nil"/>
          <w:bottom w:val="nil"/>
          <w:right w:val="nil"/>
          <w:between w:val="nil"/>
        </w:pBdr>
        <w:spacing w:line="360" w:lineRule="auto"/>
        <w:ind w:right="-697"/>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Planos, proyectos, planes de desarrollo, dictámenes técnicos, estudios de campos, levantamientos topográficos, dictámenes de aprobación de cumplimiento de normatividad.</w:t>
      </w:r>
    </w:p>
    <w:p w:rsidR="008068B7" w:rsidRDefault="008068B7" w:rsidP="008068B7">
      <w:pPr>
        <w:pBdr>
          <w:top w:val="nil"/>
          <w:left w:val="nil"/>
          <w:bottom w:val="nil"/>
          <w:right w:val="nil"/>
          <w:between w:val="nil"/>
        </w:pBdr>
        <w:spacing w:line="360" w:lineRule="auto"/>
        <w:ind w:left="720" w:right="-697"/>
        <w:jc w:val="both"/>
        <w:rPr>
          <w:rFonts w:ascii="Palatino Linotype" w:eastAsia="Palatino Linotype" w:hAnsi="Palatino Linotype" w:cs="Palatino Linotype"/>
          <w:b/>
          <w:bCs/>
          <w:color w:val="000000"/>
        </w:rPr>
      </w:pPr>
    </w:p>
    <w:p w:rsidR="00986325" w:rsidRDefault="008068B7">
      <w:pPr>
        <w:spacing w:line="360" w:lineRule="auto"/>
        <w:ind w:right="-697"/>
        <w:jc w:val="both"/>
        <w:rPr>
          <w:rFonts w:ascii="Palatino Linotype" w:eastAsia="Palatino Linotype" w:hAnsi="Palatino Linotype" w:cs="Palatino Linotype"/>
        </w:rPr>
      </w:pPr>
      <w:r>
        <w:rPr>
          <w:rFonts w:ascii="Palatino Linotype" w:eastAsia="Palatino Linotype" w:hAnsi="Palatino Linotype" w:cs="Palatino Linotype"/>
        </w:rPr>
        <w:t xml:space="preserve">Para efectos de lo anterior se deberá emitir el Acuerdo del Comité de Transparencia en términos de los artículos 49 fracción VIII y 132 fracción II de la Ley de Transparencia y Acceso a la Información Pública del Estado de México y Municipios, en el que funde y motive las razones sobre los datos que se supriman o eliminen dentro del soporte documental respectivo objeto de las versiones públicas que se formulen y se ponga a disposición de la parte </w:t>
      </w:r>
      <w:r>
        <w:rPr>
          <w:rFonts w:ascii="Palatino Linotype" w:eastAsia="Palatino Linotype" w:hAnsi="Palatino Linotype" w:cs="Palatino Linotype"/>
          <w:b/>
          <w:bCs/>
        </w:rPr>
        <w:t>RECURRENTE</w:t>
      </w:r>
      <w:r>
        <w:rPr>
          <w:rFonts w:ascii="Palatino Linotype" w:eastAsia="Palatino Linotype" w:hAnsi="Palatino Linotype" w:cs="Palatino Linotype"/>
        </w:rPr>
        <w:t>.</w:t>
      </w:r>
    </w:p>
    <w:p w:rsidR="00986325" w:rsidRDefault="00986325">
      <w:pPr>
        <w:spacing w:line="360" w:lineRule="auto"/>
        <w:ind w:right="-697"/>
        <w:jc w:val="both"/>
        <w:rPr>
          <w:rFonts w:ascii="Palatino Linotype" w:eastAsia="Palatino Linotype" w:hAnsi="Palatino Linotype" w:cs="Palatino Linotype"/>
        </w:rPr>
      </w:pPr>
    </w:p>
    <w:p w:rsidR="00986325" w:rsidRDefault="008068B7">
      <w:pPr>
        <w:spacing w:line="360" w:lineRule="auto"/>
        <w:ind w:right="-697"/>
        <w:jc w:val="both"/>
        <w:rPr>
          <w:rFonts w:ascii="Palatino Linotype" w:eastAsia="Palatino Linotype" w:hAnsi="Palatino Linotype" w:cs="Palatino Linotype"/>
        </w:rPr>
      </w:pPr>
      <w:r>
        <w:rPr>
          <w:rFonts w:ascii="Palatino Linotype" w:eastAsia="Palatino Linotype" w:hAnsi="Palatino Linotype" w:cs="Palatino Linotype"/>
        </w:rPr>
        <w:t xml:space="preserve">Asimismo, en referencia al </w:t>
      </w:r>
      <w:r>
        <w:rPr>
          <w:rFonts w:ascii="Palatino Linotype" w:eastAsia="Palatino Linotype" w:hAnsi="Palatino Linotype" w:cs="Palatino Linotype"/>
          <w:b/>
          <w:bCs/>
        </w:rPr>
        <w:t>inciso f)</w:t>
      </w:r>
      <w:r>
        <w:rPr>
          <w:rFonts w:ascii="Palatino Linotype" w:eastAsia="Palatino Linotype" w:hAnsi="Palatino Linotype" w:cs="Palatino Linotype"/>
        </w:rPr>
        <w:t>, en caso de actualizar alguna de las hipótesis previstas en el artículo 140 de la Ley de Transparencia y Acceso a la Información Pública del Estado de México y Municipios, resulta procedente la entrega del acuerdo que clasifique como información reservada, a través de la aplicación de la prueba de daño.</w:t>
      </w:r>
    </w:p>
    <w:p w:rsidR="00583259" w:rsidRDefault="00583259">
      <w:pPr>
        <w:spacing w:line="360" w:lineRule="auto"/>
        <w:ind w:right="-697"/>
        <w:jc w:val="both"/>
        <w:rPr>
          <w:rFonts w:ascii="Palatino Linotype" w:eastAsia="Palatino Linotype" w:hAnsi="Palatino Linotype" w:cs="Palatino Linotype"/>
        </w:rPr>
      </w:pPr>
    </w:p>
    <w:p w:rsidR="00986325" w:rsidRDefault="008068B7">
      <w:pPr>
        <w:spacing w:line="360" w:lineRule="auto"/>
        <w:ind w:right="-697"/>
        <w:jc w:val="both"/>
        <w:rPr>
          <w:rFonts w:ascii="Palatino Linotype" w:eastAsia="Palatino Linotype" w:hAnsi="Palatino Linotype" w:cs="Palatino Linotype"/>
        </w:rPr>
      </w:pPr>
      <w:r>
        <w:rPr>
          <w:rFonts w:ascii="Palatino Linotype" w:eastAsia="Palatino Linotype" w:hAnsi="Palatino Linotype" w:cs="Palatino Linotype"/>
        </w:rPr>
        <w:lastRenderedPageBreak/>
        <w:t xml:space="preserve">Para la entrega de las copias certificadas, el </w:t>
      </w:r>
      <w:r>
        <w:rPr>
          <w:rFonts w:ascii="Palatino Linotype" w:eastAsia="Palatino Linotype" w:hAnsi="Palatino Linotype" w:cs="Palatino Linotype"/>
          <w:b/>
          <w:bCs/>
        </w:rPr>
        <w:t>SUJETO OBLIGADO</w:t>
      </w:r>
      <w:r>
        <w:rPr>
          <w:rFonts w:ascii="Palatino Linotype" w:eastAsia="Palatino Linotype" w:hAnsi="Palatino Linotype" w:cs="Palatino Linotype"/>
        </w:rPr>
        <w:t>, a través del Sistema de Acceso a la Información Mexiquense (</w:t>
      </w:r>
      <w:r>
        <w:rPr>
          <w:rFonts w:ascii="Palatino Linotype" w:eastAsia="Palatino Linotype" w:hAnsi="Palatino Linotype" w:cs="Palatino Linotype"/>
          <w:b/>
          <w:bCs/>
        </w:rPr>
        <w:t>SAIMEX</w:t>
      </w:r>
      <w:r>
        <w:rPr>
          <w:rFonts w:ascii="Palatino Linotype" w:eastAsia="Palatino Linotype" w:hAnsi="Palatino Linotype" w:cs="Palatino Linotype"/>
        </w:rPr>
        <w:t xml:space="preserve">), deberá indicar el domicilio, así como los días y horarios de atención, junto con el nombre del servidor público que le atenderá, el procedimiento de pago y el costo total a pagar, de conformidad con el Vigésimo Sexto de los Lineamientos para la operación del Sistema de Acceso a la Información Mexiquense (SAIMEX) y del Sistema de Acceso, Rectificación, Cancelación y Oposición de Datos Personales del Estado de México (SARCOEM) y lo señalado en el </w:t>
      </w:r>
      <w:r>
        <w:rPr>
          <w:rFonts w:ascii="Palatino Linotype" w:eastAsia="Palatino Linotype" w:hAnsi="Palatino Linotype" w:cs="Palatino Linotype"/>
          <w:b/>
          <w:bCs/>
        </w:rPr>
        <w:t>considerando CUARTO</w:t>
      </w:r>
      <w:r>
        <w:rPr>
          <w:rFonts w:ascii="Palatino Linotype" w:eastAsia="Palatino Linotype" w:hAnsi="Palatino Linotype" w:cs="Palatino Linotype"/>
        </w:rPr>
        <w:t>.</w:t>
      </w:r>
    </w:p>
    <w:p w:rsidR="00986325" w:rsidRDefault="00986325">
      <w:pPr>
        <w:pBdr>
          <w:top w:val="nil"/>
          <w:left w:val="nil"/>
          <w:bottom w:val="nil"/>
          <w:right w:val="nil"/>
          <w:between w:val="nil"/>
        </w:pBdr>
        <w:spacing w:line="360" w:lineRule="auto"/>
        <w:ind w:right="-697"/>
        <w:jc w:val="both"/>
        <w:rPr>
          <w:rFonts w:ascii="Palatino Linotype" w:eastAsia="Palatino Linotype" w:hAnsi="Palatino Linotype" w:cs="Palatino Linotype"/>
          <w:b/>
          <w:bCs/>
          <w:color w:val="000000"/>
        </w:rPr>
      </w:pPr>
    </w:p>
    <w:p w:rsidR="00986325" w:rsidRDefault="008068B7">
      <w:pPr>
        <w:spacing w:line="360" w:lineRule="auto"/>
        <w:ind w:right="-697"/>
        <w:jc w:val="both"/>
        <w:rPr>
          <w:rFonts w:ascii="Palatino Linotype" w:eastAsia="Palatino Linotype" w:hAnsi="Palatino Linotype" w:cs="Palatino Linotype"/>
        </w:rPr>
      </w:pPr>
      <w:r>
        <w:rPr>
          <w:rFonts w:ascii="Palatino Linotype" w:eastAsia="Palatino Linotype" w:hAnsi="Palatino Linotype" w:cs="Palatino Linotype"/>
          <w:b/>
          <w:bCs/>
        </w:rPr>
        <w:t xml:space="preserve">TERCERO. Notifíquese </w:t>
      </w:r>
      <w:r>
        <w:rPr>
          <w:rFonts w:ascii="Palatino Linotype" w:eastAsia="Palatino Linotype" w:hAnsi="Palatino Linotype" w:cs="Palatino Linotype"/>
        </w:rPr>
        <w:t xml:space="preserve">la presente Resolución al Titular de la Unidad de Transparencia del Sujeto Obligado vía SAIMEX, para que conforme al artículo 186 último párrafo, 189 segundo párrafo y 194 de la Ley de Transparencia y Acceso a la Información Pública del Estado de México y Municipios; </w:t>
      </w:r>
      <w:r>
        <w:rPr>
          <w:rFonts w:ascii="Palatino Linotype" w:eastAsia="Palatino Linotype" w:hAnsi="Palatino Linotype" w:cs="Palatino Linotype"/>
          <w:b/>
          <w:bCs/>
        </w:rPr>
        <w:t>dé cumplimiento a lo ordenado dentro del plazo de diez días hábiles,</w:t>
      </w:r>
      <w:r>
        <w:rPr>
          <w:rFonts w:ascii="Palatino Linotype" w:eastAsia="Palatino Linotype" w:hAnsi="Palatino Linotype" w:cs="Palatino Linotype"/>
        </w:rPr>
        <w:t xml:space="preserve">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rsidR="00986325" w:rsidRDefault="00986325">
      <w:pPr>
        <w:spacing w:line="360" w:lineRule="auto"/>
        <w:ind w:right="-697"/>
        <w:jc w:val="both"/>
        <w:rPr>
          <w:rFonts w:ascii="Palatino Linotype" w:eastAsia="Palatino Linotype" w:hAnsi="Palatino Linotype" w:cs="Palatino Linotype"/>
        </w:rPr>
      </w:pPr>
    </w:p>
    <w:p w:rsidR="00986325" w:rsidRDefault="008068B7">
      <w:pPr>
        <w:spacing w:line="360" w:lineRule="auto"/>
        <w:ind w:right="-697"/>
        <w:jc w:val="both"/>
        <w:rPr>
          <w:rFonts w:ascii="Palatino Linotype" w:eastAsia="Palatino Linotype" w:hAnsi="Palatino Linotype" w:cs="Palatino Linotype"/>
        </w:rPr>
      </w:pPr>
      <w:r>
        <w:rPr>
          <w:rFonts w:ascii="Palatino Linotype" w:eastAsia="Palatino Linotype" w:hAnsi="Palatino Linotype" w:cs="Palatino Linotype"/>
          <w:b/>
          <w:bCs/>
        </w:rPr>
        <w:t xml:space="preserve">CUARTO. </w:t>
      </w:r>
      <w:r>
        <w:rPr>
          <w:rFonts w:ascii="Palatino Linotype" w:eastAsia="Palatino Linotype" w:hAnsi="Palatino Linotype" w:cs="Palatino Linotype"/>
        </w:rPr>
        <w:t xml:space="preserve">De conformidad con el artículo 198 de la Ley de Transparencia y Acceso a la Información Pública del Estado de México y Municipios, de considerarlo procedente, el </w:t>
      </w:r>
      <w:r>
        <w:rPr>
          <w:rFonts w:ascii="Palatino Linotype" w:eastAsia="Palatino Linotype" w:hAnsi="Palatino Linotype" w:cs="Palatino Linotype"/>
          <w:b/>
          <w:bCs/>
        </w:rPr>
        <w:t>SUJETO OBLIGADO</w:t>
      </w:r>
      <w:r>
        <w:rPr>
          <w:rFonts w:ascii="Palatino Linotype" w:eastAsia="Palatino Linotype" w:hAnsi="Palatino Linotype" w:cs="Palatino Linotype"/>
        </w:rPr>
        <w:t xml:space="preserve"> de manera fundada y motivada, podrá solicitar una ampliación de plazo para el cumplimiento de la presente Resolución.</w:t>
      </w:r>
    </w:p>
    <w:p w:rsidR="00986325" w:rsidRDefault="00986325">
      <w:pPr>
        <w:spacing w:line="360" w:lineRule="auto"/>
        <w:ind w:right="-697"/>
        <w:jc w:val="both"/>
        <w:rPr>
          <w:rFonts w:ascii="Palatino Linotype" w:eastAsia="Palatino Linotype" w:hAnsi="Palatino Linotype" w:cs="Palatino Linotype"/>
        </w:rPr>
      </w:pPr>
    </w:p>
    <w:p w:rsidR="00986325" w:rsidRDefault="008068B7">
      <w:pPr>
        <w:tabs>
          <w:tab w:val="left" w:pos="8080"/>
        </w:tabs>
        <w:spacing w:line="360" w:lineRule="auto"/>
        <w:ind w:right="-697"/>
        <w:jc w:val="both"/>
        <w:rPr>
          <w:rFonts w:ascii="Palatino Linotype" w:eastAsia="Palatino Linotype" w:hAnsi="Palatino Linotype" w:cs="Palatino Linotype"/>
        </w:rPr>
      </w:pPr>
      <w:bookmarkStart w:id="10" w:name="_heading=h.lnxbz9" w:colFirst="0" w:colLast="0"/>
      <w:bookmarkEnd w:id="10"/>
      <w:r>
        <w:rPr>
          <w:rFonts w:ascii="Palatino Linotype" w:eastAsia="Palatino Linotype" w:hAnsi="Palatino Linotype" w:cs="Palatino Linotype"/>
          <w:b/>
          <w:bCs/>
        </w:rPr>
        <w:t xml:space="preserve">QUINTO. </w:t>
      </w:r>
      <w:r>
        <w:rPr>
          <w:rFonts w:ascii="Palatino Linotype" w:eastAsia="Palatino Linotype" w:hAnsi="Palatino Linotype" w:cs="Palatino Linotype"/>
        </w:rPr>
        <w:t xml:space="preserve">Notifíquese al </w:t>
      </w:r>
      <w:r>
        <w:rPr>
          <w:rFonts w:ascii="Palatino Linotype" w:eastAsia="Palatino Linotype" w:hAnsi="Palatino Linotype" w:cs="Palatino Linotype"/>
          <w:b/>
          <w:bCs/>
        </w:rPr>
        <w:t>RECURRENTE</w:t>
      </w:r>
      <w:r>
        <w:rPr>
          <w:rFonts w:ascii="Palatino Linotype" w:eastAsia="Palatino Linotype" w:hAnsi="Palatino Linotype" w:cs="Palatino Linotype"/>
        </w:rPr>
        <w:t xml:space="preserve"> la presente Resolución, vía </w:t>
      </w:r>
      <w:r>
        <w:rPr>
          <w:rFonts w:ascii="Palatino Linotype" w:eastAsia="Palatino Linotype" w:hAnsi="Palatino Linotype" w:cs="Palatino Linotype"/>
          <w:b/>
          <w:bCs/>
        </w:rPr>
        <w:t>SAIMEX</w:t>
      </w:r>
      <w:r>
        <w:rPr>
          <w:rFonts w:ascii="Palatino Linotype" w:eastAsia="Palatino Linotype" w:hAnsi="Palatino Linotype" w:cs="Palatino Linotype"/>
        </w:rPr>
        <w:t>.</w:t>
      </w:r>
    </w:p>
    <w:p w:rsidR="00986325" w:rsidRDefault="00986325">
      <w:pPr>
        <w:tabs>
          <w:tab w:val="left" w:pos="8080"/>
        </w:tabs>
        <w:spacing w:line="360" w:lineRule="auto"/>
        <w:ind w:right="-697"/>
        <w:jc w:val="both"/>
        <w:rPr>
          <w:rFonts w:ascii="Palatino Linotype" w:eastAsia="Palatino Linotype" w:hAnsi="Palatino Linotype" w:cs="Palatino Linotype"/>
        </w:rPr>
      </w:pPr>
    </w:p>
    <w:p w:rsidR="00986325" w:rsidRDefault="008068B7">
      <w:pPr>
        <w:shd w:val="clear" w:color="auto" w:fill="FFFFFF"/>
        <w:spacing w:line="360" w:lineRule="auto"/>
        <w:ind w:right="-697"/>
        <w:jc w:val="both"/>
        <w:rPr>
          <w:rFonts w:ascii="Palatino Linotype" w:eastAsia="Palatino Linotype" w:hAnsi="Palatino Linotype" w:cs="Palatino Linotype"/>
        </w:rPr>
      </w:pPr>
      <w:r>
        <w:rPr>
          <w:rFonts w:ascii="Palatino Linotype" w:eastAsia="Palatino Linotype" w:hAnsi="Palatino Linotype" w:cs="Palatino Linotype"/>
          <w:b/>
          <w:bCs/>
        </w:rPr>
        <w:t xml:space="preserve">SEXTO. </w:t>
      </w:r>
      <w:r>
        <w:rPr>
          <w:rFonts w:ascii="Palatino Linotype" w:eastAsia="Palatino Linotype" w:hAnsi="Palatino Linotype" w:cs="Palatino Linotype"/>
        </w:rPr>
        <w:t>Se hace del conocimiento del</w:t>
      </w:r>
      <w:r>
        <w:rPr>
          <w:rFonts w:ascii="Palatino Linotype" w:eastAsia="Palatino Linotype" w:hAnsi="Palatino Linotype" w:cs="Palatino Linotype"/>
          <w:b/>
          <w:bCs/>
        </w:rPr>
        <w:t xml:space="preserve"> RECURRENTE </w:t>
      </w:r>
      <w:r>
        <w:rPr>
          <w:rFonts w:ascii="Palatino Linotype" w:eastAsia="Palatino Linotype" w:hAnsi="Palatino Linotype" w:cs="Palatino Linotype"/>
        </w:rPr>
        <w:t>que, de conformidad con lo establecido en el artículo 196 de la Ley de Transparencia y Acceso a la Información Pública del Estado de México y Municipios, en caso de que considere que la Resolución le cause algún perjuicio podrá impugnar vía juicio de amparo en los términos de las leyes aplicables.</w:t>
      </w:r>
    </w:p>
    <w:p w:rsidR="00986325" w:rsidRDefault="00986325">
      <w:pPr>
        <w:shd w:val="clear" w:color="auto" w:fill="FFFFFF"/>
        <w:spacing w:line="360" w:lineRule="auto"/>
        <w:ind w:right="-697"/>
        <w:jc w:val="both"/>
        <w:rPr>
          <w:rFonts w:ascii="Palatino Linotype" w:eastAsia="Palatino Linotype" w:hAnsi="Palatino Linotype" w:cs="Palatino Linotype"/>
        </w:rPr>
      </w:pPr>
    </w:p>
    <w:p w:rsidR="00307A26" w:rsidRPr="003E2295" w:rsidRDefault="00307A26" w:rsidP="00307A26">
      <w:pPr>
        <w:spacing w:before="240" w:after="240" w:line="360" w:lineRule="auto"/>
        <w:ind w:right="-708" w:firstLine="1"/>
        <w:jc w:val="both"/>
        <w:rPr>
          <w:rFonts w:ascii="Palatino Linotype" w:hAnsi="Palatino Linotype"/>
        </w:rPr>
      </w:pPr>
      <w:bookmarkStart w:id="11" w:name="_Hlk99014733"/>
      <w:r w:rsidRPr="003E2295">
        <w:rPr>
          <w:rFonts w:ascii="Palatino Linotype" w:hAnsi="Palatino Linotype" w:cs="Palatino Linotype"/>
        </w:rPr>
        <w:t>ASÍ LO RESUELVE, POR UNANIMIDAD DE VOTOS, EL PLENO DEL INSTITUTO DE TRANSPARENCIA, ACCESO A LA INFORMACIÓN PÚBLICA Y PROTECCIÓN DE DATOS PERSONALES DEL ESTADO DE MÉXICO Y MUNICIPIOS, CONFORMADO POR LOS COMISIONADOS JOSÉ MARTÍNEZ VILCHIS, MARÍA DEL ROSARIO MEJÍA AYALA</w:t>
      </w:r>
      <w:r w:rsidR="004C3A02">
        <w:rPr>
          <w:rFonts w:ascii="Palatino Linotype" w:hAnsi="Palatino Linotype" w:cs="Palatino Linotype"/>
        </w:rPr>
        <w:t xml:space="preserve"> EMITIENDO VOTO PARTICULAR</w:t>
      </w:r>
      <w:r w:rsidRPr="003E2295">
        <w:rPr>
          <w:rFonts w:ascii="Palatino Linotype" w:hAnsi="Palatino Linotype" w:cs="Palatino Linotype"/>
        </w:rPr>
        <w:t xml:space="preserve">, SHARON CRISTINA MORALES MARTÍNEZ, LUIS GUSTAVO PARRA NORIEGA </w:t>
      </w:r>
      <w:r w:rsidR="004C3A02">
        <w:rPr>
          <w:rFonts w:ascii="Palatino Linotype" w:hAnsi="Palatino Linotype" w:cs="Palatino Linotype"/>
        </w:rPr>
        <w:t xml:space="preserve">EMITIENDO VOTO PARTICULAR </w:t>
      </w:r>
      <w:r w:rsidRPr="003E2295">
        <w:rPr>
          <w:rFonts w:ascii="Palatino Linotype" w:hAnsi="Palatino Linotype" w:cs="Palatino Linotype"/>
        </w:rPr>
        <w:t xml:space="preserve">Y GUADALUPE RAMÍREZ PEÑA; EN LA </w:t>
      </w:r>
      <w:r>
        <w:rPr>
          <w:rFonts w:ascii="Palatino Linotype" w:hAnsi="Palatino Linotype" w:cs="Palatino Linotype"/>
        </w:rPr>
        <w:t xml:space="preserve">VIGÉSIMA </w:t>
      </w:r>
      <w:r w:rsidRPr="003E2295">
        <w:rPr>
          <w:rFonts w:ascii="Palatino Linotype" w:hAnsi="Palatino Linotype" w:cs="Palatino Linotype"/>
        </w:rPr>
        <w:t>SESIÓN O</w:t>
      </w:r>
      <w:r>
        <w:rPr>
          <w:rFonts w:ascii="Palatino Linotype" w:hAnsi="Palatino Linotype" w:cs="Palatino Linotype"/>
        </w:rPr>
        <w:t>RDINARIA, CELEBRADA EL TRES (03</w:t>
      </w:r>
      <w:r w:rsidRPr="003E2295">
        <w:rPr>
          <w:rFonts w:ascii="Palatino Linotype" w:hAnsi="Palatino Linotype" w:cs="Palatino Linotype"/>
        </w:rPr>
        <w:t xml:space="preserve">) DE </w:t>
      </w:r>
      <w:r>
        <w:rPr>
          <w:rFonts w:ascii="Palatino Linotype" w:hAnsi="Palatino Linotype" w:cs="Palatino Linotype"/>
        </w:rPr>
        <w:t>JUNIO</w:t>
      </w:r>
      <w:r w:rsidRPr="003E2295">
        <w:rPr>
          <w:rFonts w:ascii="Palatino Linotype" w:hAnsi="Palatino Linotype" w:cs="Palatino Linotype"/>
        </w:rPr>
        <w:t xml:space="preserve"> DE DOS MIL VEINTISÉIS, ANTE EL SECRETARIO TÉCNICO DEL PLENO </w:t>
      </w:r>
      <w:r w:rsidRPr="003E2295">
        <w:rPr>
          <w:rFonts w:ascii="Palatino Linotype" w:hAnsi="Palatino Linotype" w:cs="Palatino Linotype"/>
          <w:color w:val="000000" w:themeColor="text1"/>
        </w:rPr>
        <w:t>ALEXIS TAPIA RAMÍREZ.</w:t>
      </w:r>
    </w:p>
    <w:bookmarkEnd w:id="11"/>
    <w:p w:rsidR="00986325" w:rsidRDefault="00986325">
      <w:pPr>
        <w:spacing w:line="360" w:lineRule="auto"/>
        <w:ind w:right="-697"/>
        <w:jc w:val="both"/>
        <w:rPr>
          <w:rFonts w:ascii="Palatino Linotype" w:eastAsia="Palatino Linotype" w:hAnsi="Palatino Linotype" w:cs="Palatino Linotype"/>
        </w:rPr>
      </w:pPr>
    </w:p>
    <w:p w:rsidR="00986325" w:rsidRDefault="00986325">
      <w:pPr>
        <w:spacing w:line="360" w:lineRule="auto"/>
        <w:ind w:right="-697"/>
        <w:jc w:val="both"/>
        <w:rPr>
          <w:rFonts w:ascii="Palatino Linotype" w:eastAsia="Palatino Linotype" w:hAnsi="Palatino Linotype" w:cs="Palatino Linotype"/>
        </w:rPr>
      </w:pPr>
    </w:p>
    <w:p w:rsidR="00986325" w:rsidRDefault="00986325">
      <w:pPr>
        <w:spacing w:line="360" w:lineRule="auto"/>
        <w:ind w:right="-697"/>
        <w:jc w:val="both"/>
        <w:rPr>
          <w:rFonts w:ascii="Palatino Linotype" w:eastAsia="Palatino Linotype" w:hAnsi="Palatino Linotype" w:cs="Palatino Linotype"/>
        </w:rPr>
      </w:pPr>
    </w:p>
    <w:p w:rsidR="00986325" w:rsidRDefault="00986325">
      <w:pPr>
        <w:spacing w:line="360" w:lineRule="auto"/>
        <w:ind w:right="-697"/>
        <w:jc w:val="both"/>
        <w:rPr>
          <w:rFonts w:ascii="Palatino Linotype" w:eastAsia="Palatino Linotype" w:hAnsi="Palatino Linotype" w:cs="Palatino Linotype"/>
        </w:rPr>
      </w:pPr>
    </w:p>
    <w:p w:rsidR="00986325" w:rsidRDefault="00986325">
      <w:pPr>
        <w:spacing w:line="360" w:lineRule="auto"/>
        <w:ind w:right="-697"/>
        <w:jc w:val="both"/>
        <w:rPr>
          <w:rFonts w:ascii="Palatino Linotype" w:eastAsia="Palatino Linotype" w:hAnsi="Palatino Linotype" w:cs="Palatino Linotype"/>
        </w:rPr>
      </w:pPr>
    </w:p>
    <w:p w:rsidR="00986325" w:rsidRDefault="00986325">
      <w:pPr>
        <w:spacing w:line="360" w:lineRule="auto"/>
        <w:ind w:right="-697"/>
        <w:jc w:val="both"/>
        <w:rPr>
          <w:rFonts w:ascii="Palatino Linotype" w:eastAsia="Palatino Linotype" w:hAnsi="Palatino Linotype" w:cs="Palatino Linotype"/>
        </w:rPr>
      </w:pPr>
    </w:p>
    <w:p w:rsidR="00986325" w:rsidRDefault="00986325">
      <w:pPr>
        <w:spacing w:line="360" w:lineRule="auto"/>
        <w:ind w:right="-697"/>
        <w:rPr>
          <w:rFonts w:ascii="Palatino Linotype" w:eastAsia="Palatino Linotype" w:hAnsi="Palatino Linotype" w:cs="Palatino Linotype"/>
        </w:rPr>
      </w:pPr>
    </w:p>
    <w:p w:rsidR="00986325" w:rsidRDefault="00986325">
      <w:pPr>
        <w:spacing w:line="360" w:lineRule="auto"/>
        <w:ind w:right="-697"/>
        <w:rPr>
          <w:rFonts w:ascii="Palatino Linotype" w:eastAsia="Palatino Linotype" w:hAnsi="Palatino Linotype" w:cs="Palatino Linotype"/>
        </w:rPr>
      </w:pPr>
    </w:p>
    <w:p w:rsidR="00986325" w:rsidRDefault="00986325">
      <w:pPr>
        <w:spacing w:line="360" w:lineRule="auto"/>
        <w:ind w:right="-697"/>
        <w:rPr>
          <w:rFonts w:ascii="Palatino Linotype" w:eastAsia="Palatino Linotype" w:hAnsi="Palatino Linotype" w:cs="Palatino Linotype"/>
        </w:rPr>
      </w:pPr>
    </w:p>
    <w:p w:rsidR="00986325" w:rsidRDefault="00986325">
      <w:pPr>
        <w:spacing w:line="360" w:lineRule="auto"/>
        <w:ind w:right="-697"/>
        <w:rPr>
          <w:rFonts w:ascii="Palatino Linotype" w:eastAsia="Palatino Linotype" w:hAnsi="Palatino Linotype" w:cs="Palatino Linotype"/>
        </w:rPr>
      </w:pPr>
    </w:p>
    <w:p w:rsidR="00986325" w:rsidRDefault="00986325">
      <w:pPr>
        <w:spacing w:line="360" w:lineRule="auto"/>
        <w:ind w:right="-697"/>
        <w:rPr>
          <w:rFonts w:ascii="Palatino Linotype" w:eastAsia="Palatino Linotype" w:hAnsi="Palatino Linotype" w:cs="Palatino Linotype"/>
        </w:rPr>
      </w:pPr>
    </w:p>
    <w:p w:rsidR="00986325" w:rsidRDefault="00986325">
      <w:pPr>
        <w:spacing w:line="360" w:lineRule="auto"/>
        <w:ind w:right="-697"/>
        <w:rPr>
          <w:rFonts w:ascii="Palatino Linotype" w:eastAsia="Palatino Linotype" w:hAnsi="Palatino Linotype" w:cs="Palatino Linotype"/>
        </w:rPr>
      </w:pPr>
    </w:p>
    <w:p w:rsidR="00986325" w:rsidRDefault="00986325">
      <w:pPr>
        <w:spacing w:line="360" w:lineRule="auto"/>
        <w:ind w:right="-697"/>
        <w:rPr>
          <w:rFonts w:ascii="Palatino Linotype" w:eastAsia="Palatino Linotype" w:hAnsi="Palatino Linotype" w:cs="Palatino Linotype"/>
        </w:rPr>
      </w:pPr>
    </w:p>
    <w:p w:rsidR="00986325" w:rsidRDefault="008068B7">
      <w:pPr>
        <w:tabs>
          <w:tab w:val="left" w:pos="3374"/>
        </w:tabs>
        <w:spacing w:line="360" w:lineRule="auto"/>
        <w:ind w:right="-697"/>
        <w:rPr>
          <w:rFonts w:ascii="Palatino Linotype" w:eastAsia="Palatino Linotype" w:hAnsi="Palatino Linotype" w:cs="Palatino Linotype"/>
        </w:rPr>
      </w:pPr>
      <w:r>
        <w:rPr>
          <w:rFonts w:ascii="Palatino Linotype" w:eastAsia="Palatino Linotype" w:hAnsi="Palatino Linotype" w:cs="Palatino Linotype"/>
        </w:rPr>
        <w:tab/>
      </w:r>
    </w:p>
    <w:p w:rsidR="00986325" w:rsidRDefault="00986325">
      <w:pPr>
        <w:tabs>
          <w:tab w:val="left" w:pos="3374"/>
        </w:tabs>
        <w:spacing w:line="360" w:lineRule="auto"/>
        <w:ind w:right="-697"/>
        <w:rPr>
          <w:rFonts w:ascii="Palatino Linotype" w:eastAsia="Palatino Linotype" w:hAnsi="Palatino Linotype" w:cs="Palatino Linotype"/>
        </w:rPr>
      </w:pPr>
    </w:p>
    <w:p w:rsidR="00986325" w:rsidRDefault="00986325">
      <w:pPr>
        <w:tabs>
          <w:tab w:val="left" w:pos="3374"/>
        </w:tabs>
        <w:spacing w:line="360" w:lineRule="auto"/>
        <w:ind w:right="-697"/>
        <w:rPr>
          <w:rFonts w:ascii="Palatino Linotype" w:eastAsia="Palatino Linotype" w:hAnsi="Palatino Linotype" w:cs="Palatino Linotype"/>
        </w:rPr>
      </w:pPr>
    </w:p>
    <w:p w:rsidR="00986325" w:rsidRDefault="00986325">
      <w:pPr>
        <w:tabs>
          <w:tab w:val="left" w:pos="3374"/>
        </w:tabs>
        <w:spacing w:line="360" w:lineRule="auto"/>
        <w:ind w:right="-697"/>
        <w:rPr>
          <w:rFonts w:ascii="Palatino Linotype" w:eastAsia="Palatino Linotype" w:hAnsi="Palatino Linotype" w:cs="Palatino Linotype"/>
        </w:rPr>
      </w:pPr>
    </w:p>
    <w:p w:rsidR="00986325" w:rsidRDefault="00986325">
      <w:pPr>
        <w:tabs>
          <w:tab w:val="left" w:pos="3374"/>
        </w:tabs>
        <w:spacing w:line="360" w:lineRule="auto"/>
        <w:ind w:right="-697"/>
        <w:rPr>
          <w:rFonts w:ascii="Palatino Linotype" w:eastAsia="Palatino Linotype" w:hAnsi="Palatino Linotype" w:cs="Palatino Linotype"/>
        </w:rPr>
      </w:pPr>
    </w:p>
    <w:p w:rsidR="00986325" w:rsidRDefault="00986325">
      <w:pPr>
        <w:tabs>
          <w:tab w:val="left" w:pos="3374"/>
        </w:tabs>
        <w:spacing w:line="360" w:lineRule="auto"/>
        <w:ind w:right="-697"/>
        <w:rPr>
          <w:rFonts w:ascii="Palatino Linotype" w:eastAsia="Palatino Linotype" w:hAnsi="Palatino Linotype" w:cs="Palatino Linotype"/>
        </w:rPr>
      </w:pPr>
    </w:p>
    <w:p w:rsidR="00986325" w:rsidRDefault="00986325">
      <w:pPr>
        <w:tabs>
          <w:tab w:val="left" w:pos="3374"/>
        </w:tabs>
        <w:spacing w:line="360" w:lineRule="auto"/>
        <w:ind w:right="-697"/>
        <w:rPr>
          <w:rFonts w:ascii="Palatino Linotype" w:eastAsia="Palatino Linotype" w:hAnsi="Palatino Linotype" w:cs="Palatino Linotype"/>
        </w:rPr>
      </w:pPr>
    </w:p>
    <w:p w:rsidR="00986325" w:rsidRDefault="00986325">
      <w:pPr>
        <w:tabs>
          <w:tab w:val="left" w:pos="3374"/>
        </w:tabs>
        <w:spacing w:line="360" w:lineRule="auto"/>
        <w:ind w:right="-697"/>
        <w:rPr>
          <w:rFonts w:ascii="Palatino Linotype" w:eastAsia="Palatino Linotype" w:hAnsi="Palatino Linotype" w:cs="Palatino Linotype"/>
        </w:rPr>
      </w:pPr>
    </w:p>
    <w:p w:rsidR="00986325" w:rsidRDefault="00986325">
      <w:pPr>
        <w:tabs>
          <w:tab w:val="left" w:pos="3374"/>
        </w:tabs>
        <w:spacing w:line="360" w:lineRule="auto"/>
        <w:ind w:right="-697"/>
        <w:rPr>
          <w:rFonts w:ascii="Palatino Linotype" w:eastAsia="Palatino Linotype" w:hAnsi="Palatino Linotype" w:cs="Palatino Linotype"/>
        </w:rPr>
      </w:pPr>
    </w:p>
    <w:p w:rsidR="00986325" w:rsidRDefault="00986325">
      <w:pPr>
        <w:tabs>
          <w:tab w:val="left" w:pos="3374"/>
        </w:tabs>
        <w:spacing w:line="360" w:lineRule="auto"/>
        <w:ind w:right="-697"/>
        <w:rPr>
          <w:rFonts w:ascii="Palatino Linotype" w:eastAsia="Palatino Linotype" w:hAnsi="Palatino Linotype" w:cs="Palatino Linotype"/>
        </w:rPr>
      </w:pPr>
    </w:p>
    <w:p w:rsidR="00986325" w:rsidRDefault="00986325">
      <w:pPr>
        <w:tabs>
          <w:tab w:val="left" w:pos="3374"/>
        </w:tabs>
        <w:spacing w:line="360" w:lineRule="auto"/>
        <w:ind w:right="-697"/>
        <w:rPr>
          <w:rFonts w:ascii="Palatino Linotype" w:eastAsia="Palatino Linotype" w:hAnsi="Palatino Linotype" w:cs="Palatino Linotype"/>
        </w:rPr>
      </w:pPr>
    </w:p>
    <w:p w:rsidR="00986325" w:rsidRDefault="00986325">
      <w:pPr>
        <w:tabs>
          <w:tab w:val="left" w:pos="3374"/>
        </w:tabs>
        <w:spacing w:line="360" w:lineRule="auto"/>
        <w:ind w:right="-697"/>
        <w:rPr>
          <w:rFonts w:ascii="Palatino Linotype" w:eastAsia="Palatino Linotype" w:hAnsi="Palatino Linotype" w:cs="Palatino Linotype"/>
        </w:rPr>
      </w:pPr>
    </w:p>
    <w:p w:rsidR="00986325" w:rsidRDefault="00986325">
      <w:pPr>
        <w:spacing w:line="360" w:lineRule="auto"/>
        <w:ind w:right="-697"/>
        <w:rPr>
          <w:rFonts w:ascii="Palatino Linotype" w:eastAsia="Palatino Linotype" w:hAnsi="Palatino Linotype" w:cs="Palatino Linotype"/>
        </w:rPr>
      </w:pPr>
    </w:p>
    <w:sectPr w:rsidR="00986325" w:rsidSect="00702D03">
      <w:headerReference w:type="even" r:id="rId10"/>
      <w:headerReference w:type="default" r:id="rId11"/>
      <w:footerReference w:type="default" r:id="rId12"/>
      <w:headerReference w:type="first" r:id="rId13"/>
      <w:footerReference w:type="first" r:id="rId14"/>
      <w:pgSz w:w="12240" w:h="15840"/>
      <w:pgMar w:top="1985" w:right="1608" w:bottom="1985" w:left="1701" w:header="709" w:footer="7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61B00" w:rsidRDefault="00D61B00">
      <w:r>
        <w:separator/>
      </w:r>
    </w:p>
  </w:endnote>
  <w:endnote w:type="continuationSeparator" w:id="0">
    <w:p w:rsidR="00D61B00" w:rsidRDefault="00D61B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Times New Roman"/>
    <w:charset w:val="00"/>
    <w:family w:val="auto"/>
    <w:pitch w:val="default"/>
    <w:embedRegular r:id="rId1" w:fontKey="{C4666287-B1B5-466F-AE6B-87A7E98789E9}"/>
  </w:font>
  <w:font w:name="Courier New">
    <w:panose1 w:val="02070309020205020404"/>
    <w:charset w:val="00"/>
    <w:family w:val="modern"/>
    <w:pitch w:val="fixed"/>
    <w:sig w:usb0="E0002E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embedRegular r:id="rId2" w:fontKey="{7D9D935F-CB20-42FA-B5B0-3EB547A07729}"/>
    <w:embedBold r:id="rId3" w:fontKey="{BF111489-67D9-4E18-A8E6-93EA2EE8E262}"/>
    <w:embedItalic r:id="rId4" w:fontKey="{0278D0D6-9460-4129-91EC-5943525B7936}"/>
    <w:embedBoldItalic r:id="rId5" w:fontKey="{CCDA1847-A7C2-4EE1-8EAA-C368078B398A}"/>
  </w:font>
  <w:font w:name="Calibri">
    <w:panose1 w:val="020F0502020204030204"/>
    <w:charset w:val="00"/>
    <w:family w:val="swiss"/>
    <w:pitch w:val="variable"/>
    <w:sig w:usb0="E4002EFF" w:usb1="C200247B" w:usb2="00000009" w:usb3="00000000" w:csb0="000001FF" w:csb1="00000000"/>
    <w:embedRegular r:id="rId6" w:fontKey="{A798A3B0-8ECB-4C10-94E3-86C00A3F6C2E}"/>
    <w:embedBold r:id="rId7" w:fontKey="{015CAFAA-DA44-4315-AF3B-5EFFD55B5B4E}"/>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8" w:fontKey="{DC3DD740-DBF2-4ACF-90BB-AC0C0FE53EF5}"/>
  </w:font>
  <w:font w:name="Cambria">
    <w:panose1 w:val="02040503050406030204"/>
    <w:charset w:val="00"/>
    <w:family w:val="roman"/>
    <w:pitch w:val="variable"/>
    <w:sig w:usb0="E00006FF" w:usb1="420024FF" w:usb2="02000000" w:usb3="00000000" w:csb0="0000019F" w:csb1="00000000"/>
    <w:embedRegular r:id="rId9" w:fontKey="{12E63AF0-BD10-459D-B675-1867C9075C22}"/>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68B7" w:rsidRDefault="008068B7">
    <w:pPr>
      <w:pBdr>
        <w:top w:val="nil"/>
        <w:left w:val="nil"/>
        <w:bottom w:val="nil"/>
        <w:right w:val="nil"/>
        <w:between w:val="nil"/>
      </w:pBdr>
      <w:tabs>
        <w:tab w:val="center" w:pos="4419"/>
        <w:tab w:val="right" w:pos="8838"/>
      </w:tabs>
      <w:jc w:val="right"/>
      <w:rPr>
        <w:rFonts w:ascii="Palatino Linotype" w:eastAsia="Palatino Linotype" w:hAnsi="Palatino Linotype" w:cs="Palatino Linotype"/>
        <w:color w:val="000000"/>
        <w:sz w:val="22"/>
        <w:szCs w:val="22"/>
      </w:rPr>
    </w:pPr>
    <w:r>
      <w:rPr>
        <w:rFonts w:ascii="Palatino Linotype" w:eastAsia="Palatino Linotype" w:hAnsi="Palatino Linotype" w:cs="Palatino Linotype"/>
        <w:color w:val="000000"/>
        <w:sz w:val="22"/>
        <w:szCs w:val="22"/>
      </w:rPr>
      <w:t xml:space="preserve">Página </w:t>
    </w:r>
    <w:r>
      <w:rPr>
        <w:rFonts w:ascii="Palatino Linotype" w:eastAsia="Palatino Linotype" w:hAnsi="Palatino Linotype" w:cs="Palatino Linotype"/>
        <w:color w:val="000000"/>
        <w:sz w:val="22"/>
        <w:szCs w:val="22"/>
      </w:rPr>
      <w:fldChar w:fldCharType="begin"/>
    </w:r>
    <w:r>
      <w:rPr>
        <w:rFonts w:ascii="Palatino Linotype" w:eastAsia="Palatino Linotype" w:hAnsi="Palatino Linotype" w:cs="Palatino Linotype"/>
        <w:color w:val="000000"/>
        <w:sz w:val="22"/>
        <w:szCs w:val="22"/>
      </w:rPr>
      <w:instrText>PAGE</w:instrText>
    </w:r>
    <w:r>
      <w:rPr>
        <w:rFonts w:ascii="Palatino Linotype" w:eastAsia="Palatino Linotype" w:hAnsi="Palatino Linotype" w:cs="Palatino Linotype"/>
        <w:color w:val="000000"/>
        <w:sz w:val="22"/>
        <w:szCs w:val="22"/>
      </w:rPr>
      <w:fldChar w:fldCharType="separate"/>
    </w:r>
    <w:r w:rsidR="006B3940">
      <w:rPr>
        <w:rFonts w:ascii="Palatino Linotype" w:eastAsia="Palatino Linotype" w:hAnsi="Palatino Linotype" w:cs="Palatino Linotype"/>
        <w:noProof/>
        <w:color w:val="000000"/>
        <w:sz w:val="22"/>
        <w:szCs w:val="22"/>
      </w:rPr>
      <w:t>28</w:t>
    </w:r>
    <w:r>
      <w:rPr>
        <w:rFonts w:ascii="Palatino Linotype" w:eastAsia="Palatino Linotype" w:hAnsi="Palatino Linotype" w:cs="Palatino Linotype"/>
        <w:color w:val="000000"/>
        <w:sz w:val="22"/>
        <w:szCs w:val="22"/>
      </w:rPr>
      <w:fldChar w:fldCharType="end"/>
    </w:r>
    <w:r>
      <w:rPr>
        <w:rFonts w:ascii="Palatino Linotype" w:eastAsia="Palatino Linotype" w:hAnsi="Palatino Linotype" w:cs="Palatino Linotype"/>
        <w:color w:val="000000"/>
        <w:sz w:val="22"/>
        <w:szCs w:val="22"/>
      </w:rPr>
      <w:t xml:space="preserve"> de </w:t>
    </w:r>
    <w:r>
      <w:rPr>
        <w:rFonts w:ascii="Palatino Linotype" w:eastAsia="Palatino Linotype" w:hAnsi="Palatino Linotype" w:cs="Palatino Linotype"/>
        <w:color w:val="000000"/>
        <w:sz w:val="22"/>
        <w:szCs w:val="22"/>
      </w:rPr>
      <w:fldChar w:fldCharType="begin"/>
    </w:r>
    <w:r>
      <w:rPr>
        <w:rFonts w:ascii="Palatino Linotype" w:eastAsia="Palatino Linotype" w:hAnsi="Palatino Linotype" w:cs="Palatino Linotype"/>
        <w:color w:val="000000"/>
        <w:sz w:val="22"/>
        <w:szCs w:val="22"/>
      </w:rPr>
      <w:instrText>NUMPAGES</w:instrText>
    </w:r>
    <w:r>
      <w:rPr>
        <w:rFonts w:ascii="Palatino Linotype" w:eastAsia="Palatino Linotype" w:hAnsi="Palatino Linotype" w:cs="Palatino Linotype"/>
        <w:color w:val="000000"/>
        <w:sz w:val="22"/>
        <w:szCs w:val="22"/>
      </w:rPr>
      <w:fldChar w:fldCharType="separate"/>
    </w:r>
    <w:r w:rsidR="006B3940">
      <w:rPr>
        <w:rFonts w:ascii="Palatino Linotype" w:eastAsia="Palatino Linotype" w:hAnsi="Palatino Linotype" w:cs="Palatino Linotype"/>
        <w:noProof/>
        <w:color w:val="000000"/>
        <w:sz w:val="22"/>
        <w:szCs w:val="22"/>
      </w:rPr>
      <w:t>70</w:t>
    </w:r>
    <w:r>
      <w:rPr>
        <w:rFonts w:ascii="Palatino Linotype" w:eastAsia="Palatino Linotype" w:hAnsi="Palatino Linotype" w:cs="Palatino Linotype"/>
        <w:color w:val="000000"/>
        <w:sz w:val="22"/>
        <w:szCs w:val="22"/>
      </w:rPr>
      <w:fldChar w:fldCharType="end"/>
    </w:r>
  </w:p>
  <w:p w:rsidR="008068B7" w:rsidRDefault="008068B7">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68B7" w:rsidRDefault="008068B7">
    <w:pPr>
      <w:pBdr>
        <w:top w:val="nil"/>
        <w:left w:val="nil"/>
        <w:bottom w:val="nil"/>
        <w:right w:val="nil"/>
        <w:between w:val="nil"/>
      </w:pBdr>
      <w:tabs>
        <w:tab w:val="center" w:pos="4419"/>
        <w:tab w:val="right" w:pos="8838"/>
      </w:tabs>
      <w:jc w:val="right"/>
      <w:rPr>
        <w:rFonts w:ascii="Palatino Linotype" w:eastAsia="Palatino Linotype" w:hAnsi="Palatino Linotype" w:cs="Palatino Linotype"/>
        <w:color w:val="000000"/>
        <w:sz w:val="22"/>
        <w:szCs w:val="22"/>
      </w:rPr>
    </w:pPr>
    <w:r>
      <w:rPr>
        <w:rFonts w:ascii="Palatino Linotype" w:eastAsia="Palatino Linotype" w:hAnsi="Palatino Linotype" w:cs="Palatino Linotype"/>
        <w:color w:val="000000"/>
        <w:sz w:val="22"/>
        <w:szCs w:val="22"/>
      </w:rPr>
      <w:t xml:space="preserve">Página </w:t>
    </w:r>
    <w:r>
      <w:rPr>
        <w:rFonts w:ascii="Palatino Linotype" w:eastAsia="Palatino Linotype" w:hAnsi="Palatino Linotype" w:cs="Palatino Linotype"/>
        <w:color w:val="000000"/>
        <w:sz w:val="22"/>
        <w:szCs w:val="22"/>
      </w:rPr>
      <w:fldChar w:fldCharType="begin"/>
    </w:r>
    <w:r>
      <w:rPr>
        <w:rFonts w:ascii="Palatino Linotype" w:eastAsia="Palatino Linotype" w:hAnsi="Palatino Linotype" w:cs="Palatino Linotype"/>
        <w:color w:val="000000"/>
        <w:sz w:val="22"/>
        <w:szCs w:val="22"/>
      </w:rPr>
      <w:instrText>PAGE</w:instrText>
    </w:r>
    <w:r>
      <w:rPr>
        <w:rFonts w:ascii="Palatino Linotype" w:eastAsia="Palatino Linotype" w:hAnsi="Palatino Linotype" w:cs="Palatino Linotype"/>
        <w:color w:val="000000"/>
        <w:sz w:val="22"/>
        <w:szCs w:val="22"/>
      </w:rPr>
      <w:fldChar w:fldCharType="separate"/>
    </w:r>
    <w:r w:rsidR="006B3940">
      <w:rPr>
        <w:rFonts w:ascii="Palatino Linotype" w:eastAsia="Palatino Linotype" w:hAnsi="Palatino Linotype" w:cs="Palatino Linotype"/>
        <w:noProof/>
        <w:color w:val="000000"/>
        <w:sz w:val="22"/>
        <w:szCs w:val="22"/>
      </w:rPr>
      <w:t>1</w:t>
    </w:r>
    <w:r>
      <w:rPr>
        <w:rFonts w:ascii="Palatino Linotype" w:eastAsia="Palatino Linotype" w:hAnsi="Palatino Linotype" w:cs="Palatino Linotype"/>
        <w:color w:val="000000"/>
        <w:sz w:val="22"/>
        <w:szCs w:val="22"/>
      </w:rPr>
      <w:fldChar w:fldCharType="end"/>
    </w:r>
    <w:r>
      <w:rPr>
        <w:rFonts w:ascii="Palatino Linotype" w:eastAsia="Palatino Linotype" w:hAnsi="Palatino Linotype" w:cs="Palatino Linotype"/>
        <w:color w:val="000000"/>
        <w:sz w:val="22"/>
        <w:szCs w:val="22"/>
      </w:rPr>
      <w:t xml:space="preserve"> de </w:t>
    </w:r>
    <w:r>
      <w:rPr>
        <w:rFonts w:ascii="Palatino Linotype" w:eastAsia="Palatino Linotype" w:hAnsi="Palatino Linotype" w:cs="Palatino Linotype"/>
        <w:color w:val="000000"/>
        <w:sz w:val="22"/>
        <w:szCs w:val="22"/>
      </w:rPr>
      <w:fldChar w:fldCharType="begin"/>
    </w:r>
    <w:r>
      <w:rPr>
        <w:rFonts w:ascii="Palatino Linotype" w:eastAsia="Palatino Linotype" w:hAnsi="Palatino Linotype" w:cs="Palatino Linotype"/>
        <w:color w:val="000000"/>
        <w:sz w:val="22"/>
        <w:szCs w:val="22"/>
      </w:rPr>
      <w:instrText>NUMPAGES</w:instrText>
    </w:r>
    <w:r>
      <w:rPr>
        <w:rFonts w:ascii="Palatino Linotype" w:eastAsia="Palatino Linotype" w:hAnsi="Palatino Linotype" w:cs="Palatino Linotype"/>
        <w:color w:val="000000"/>
        <w:sz w:val="22"/>
        <w:szCs w:val="22"/>
      </w:rPr>
      <w:fldChar w:fldCharType="separate"/>
    </w:r>
    <w:r w:rsidR="006B3940">
      <w:rPr>
        <w:rFonts w:ascii="Palatino Linotype" w:eastAsia="Palatino Linotype" w:hAnsi="Palatino Linotype" w:cs="Palatino Linotype"/>
        <w:noProof/>
        <w:color w:val="000000"/>
        <w:sz w:val="22"/>
        <w:szCs w:val="22"/>
      </w:rPr>
      <w:t>70</w:t>
    </w:r>
    <w:r>
      <w:rPr>
        <w:rFonts w:ascii="Palatino Linotype" w:eastAsia="Palatino Linotype" w:hAnsi="Palatino Linotype" w:cs="Palatino Linotype"/>
        <w:color w:val="000000"/>
        <w:sz w:val="22"/>
        <w:szCs w:val="22"/>
      </w:rPr>
      <w:fldChar w:fldCharType="end"/>
    </w:r>
  </w:p>
  <w:p w:rsidR="008068B7" w:rsidRDefault="008068B7">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61B00" w:rsidRDefault="00D61B00">
      <w:r>
        <w:separator/>
      </w:r>
    </w:p>
  </w:footnote>
  <w:footnote w:type="continuationSeparator" w:id="0">
    <w:p w:rsidR="00D61B00" w:rsidRDefault="00D61B00">
      <w:r>
        <w:continuationSeparator/>
      </w:r>
    </w:p>
  </w:footnote>
  <w:footnote w:id="1">
    <w:p w:rsidR="008068B7" w:rsidRDefault="008068B7">
      <w:pPr>
        <w:pBdr>
          <w:top w:val="nil"/>
          <w:left w:val="nil"/>
          <w:bottom w:val="nil"/>
          <w:right w:val="nil"/>
          <w:between w:val="nil"/>
        </w:pBdr>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6"/>
          <w:szCs w:val="16"/>
        </w:rPr>
        <w:t xml:space="preserve"> Artículo 3ro, fracción XXXIII, de la Ley de Transparencia y Acceso a la Información Pública del Estado de México y Municipios. De manera análoga, el Lineamiento Segundo fracción XIV, de los Lineamientos Generales en Materia de Clasificación y Desclasificación de la Información, así como para la elaboración de la versiones públicas, definen a la prueba de daño como la argumentación fundada y motivada, que deben realizar los Sujetos Obligados, tendiente a acreditar, que la divulgación de la información lesiona el interés jurídicamente protegido por la norma aplicable y que el daño que puede producirse con la publicidad de la información es mayor que de conocerla.</w:t>
      </w:r>
    </w:p>
  </w:footnote>
  <w:footnote w:id="2">
    <w:p w:rsidR="008068B7" w:rsidRDefault="008068B7">
      <w:pPr>
        <w:pBdr>
          <w:top w:val="nil"/>
          <w:left w:val="nil"/>
          <w:bottom w:val="nil"/>
          <w:right w:val="nil"/>
          <w:between w:val="nil"/>
        </w:pBdr>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6"/>
          <w:szCs w:val="16"/>
        </w:rPr>
        <w:t xml:space="preserve"> Artículo 132 de la Ley de Transparencia y Acceso a la Información Pública del Estado de México y Municipios.</w:t>
      </w:r>
    </w:p>
  </w:footnote>
  <w:footnote w:id="3">
    <w:p w:rsidR="008068B7" w:rsidRDefault="008068B7">
      <w:pPr>
        <w:pBdr>
          <w:top w:val="nil"/>
          <w:left w:val="nil"/>
          <w:bottom w:val="nil"/>
          <w:right w:val="nil"/>
          <w:between w:val="nil"/>
        </w:pBdr>
        <w:jc w:val="both"/>
        <w:rPr>
          <w:color w:val="000000"/>
          <w:sz w:val="20"/>
          <w:szCs w:val="20"/>
        </w:rPr>
      </w:pPr>
      <w:r>
        <w:rPr>
          <w:vertAlign w:val="superscript"/>
        </w:rPr>
        <w:footnoteRef/>
      </w:r>
      <w:r>
        <w:rPr>
          <w:rFonts w:ascii="Palatino Linotype" w:eastAsia="Palatino Linotype" w:hAnsi="Palatino Linotype" w:cs="Palatino Linotype"/>
          <w:color w:val="000000"/>
          <w:sz w:val="16"/>
          <w:szCs w:val="16"/>
        </w:rPr>
        <w:t xml:space="preserve"> Exposición de Motivos de la Iniciativa con Proyecto de Decreto por el que se expide la Ley General de Transparencia y Acceso a la Información Pública, p.32, consultada en </w:t>
      </w:r>
      <w:hyperlink r:id="rId1">
        <w:r>
          <w:rPr>
            <w:rFonts w:ascii="Palatino Linotype" w:eastAsia="Palatino Linotype" w:hAnsi="Palatino Linotype" w:cs="Palatino Linotype"/>
            <w:color w:val="0563C1"/>
            <w:sz w:val="16"/>
            <w:szCs w:val="16"/>
            <w:u w:val="single"/>
          </w:rPr>
          <w:t>http://www.senado.gob.mx/comisiones/anticorrupcion/docs/transparencia/Iniciativa_LGTAIP.pdf</w:t>
        </w:r>
      </w:hyperlink>
      <w:r>
        <w:rPr>
          <w:rFonts w:ascii="Palatino Linotype" w:eastAsia="Palatino Linotype" w:hAnsi="Palatino Linotype" w:cs="Palatino Linotype"/>
          <w:color w:val="000000"/>
          <w:sz w:val="16"/>
          <w:szCs w:val="16"/>
        </w:rPr>
        <w:t xml:space="preserve"> </w:t>
      </w:r>
    </w:p>
  </w:footnote>
  <w:footnote w:id="4">
    <w:p w:rsidR="008068B7" w:rsidRDefault="008068B7">
      <w:pPr>
        <w:pBdr>
          <w:top w:val="nil"/>
          <w:left w:val="nil"/>
          <w:bottom w:val="nil"/>
          <w:right w:val="nil"/>
          <w:between w:val="nil"/>
        </w:pBdr>
        <w:jc w:val="both"/>
        <w:rPr>
          <w:color w:val="000000"/>
          <w:sz w:val="20"/>
          <w:szCs w:val="20"/>
        </w:rPr>
      </w:pPr>
      <w:r>
        <w:rPr>
          <w:vertAlign w:val="superscript"/>
        </w:rPr>
        <w:footnoteRef/>
      </w:r>
      <w:r>
        <w:rPr>
          <w:color w:val="000000"/>
          <w:sz w:val="20"/>
          <w:szCs w:val="20"/>
        </w:rPr>
        <w:t xml:space="preserve"> </w:t>
      </w:r>
      <w:r>
        <w:rPr>
          <w:rFonts w:ascii="Palatino Linotype" w:eastAsia="Palatino Linotype" w:hAnsi="Palatino Linotype" w:cs="Palatino Linotype"/>
          <w:color w:val="000000"/>
          <w:sz w:val="16"/>
          <w:szCs w:val="16"/>
        </w:rPr>
        <w:t>Artículo 134 de la Ley de Transparencia y Acceso a la Información Pública del Estado de México y Municipios.</w:t>
      </w:r>
    </w:p>
  </w:footnote>
  <w:footnote w:id="5">
    <w:p w:rsidR="008068B7" w:rsidRDefault="008068B7">
      <w:pPr>
        <w:pBdr>
          <w:top w:val="nil"/>
          <w:left w:val="nil"/>
          <w:bottom w:val="nil"/>
          <w:right w:val="nil"/>
          <w:between w:val="nil"/>
        </w:pBdr>
        <w:jc w:val="both"/>
        <w:rPr>
          <w:color w:val="000000"/>
          <w:sz w:val="20"/>
          <w:szCs w:val="20"/>
        </w:rPr>
      </w:pPr>
      <w:r>
        <w:rPr>
          <w:vertAlign w:val="superscript"/>
        </w:rPr>
        <w:footnoteRef/>
      </w:r>
      <w:r>
        <w:rPr>
          <w:color w:val="000000"/>
          <w:sz w:val="20"/>
          <w:szCs w:val="20"/>
        </w:rPr>
        <w:t xml:space="preserve"> </w:t>
      </w:r>
      <w:r>
        <w:rPr>
          <w:rFonts w:ascii="Palatino Linotype" w:eastAsia="Palatino Linotype" w:hAnsi="Palatino Linotype" w:cs="Palatino Linotype"/>
          <w:color w:val="000000"/>
          <w:sz w:val="16"/>
          <w:szCs w:val="16"/>
        </w:rPr>
        <w:t>Lineamiento Octavo de los Lineamientos General en materia de Clasificación y Desclasificación de la Información, así como para la elaboración de versiones públicas.</w:t>
      </w:r>
    </w:p>
  </w:footnote>
  <w:footnote w:id="6">
    <w:p w:rsidR="008068B7" w:rsidRDefault="008068B7">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Convención Americana sobre Derechos Humanos. Artículo 13.</w:t>
      </w:r>
    </w:p>
  </w:footnote>
  <w:footnote w:id="7">
    <w:p w:rsidR="008068B7" w:rsidRDefault="008068B7">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Constitución Política de los Estados Unidos Mexicanos. Artículo sexto, sección A, Fracción I.</w:t>
      </w:r>
    </w:p>
  </w:footnote>
  <w:footnote w:id="8">
    <w:p w:rsidR="008068B7" w:rsidRDefault="008068B7">
      <w:pPr>
        <w:pBdr>
          <w:top w:val="nil"/>
          <w:left w:val="nil"/>
          <w:bottom w:val="nil"/>
          <w:right w:val="nil"/>
          <w:between w:val="nil"/>
        </w:pBdr>
        <w:rPr>
          <w:rFonts w:ascii="Palatino Linotype" w:eastAsia="Palatino Linotype" w:hAnsi="Palatino Linotype" w:cs="Palatino Linotype"/>
          <w:color w:val="000000"/>
          <w:sz w:val="18"/>
          <w:szCs w:val="18"/>
        </w:rPr>
      </w:pPr>
      <w:r>
        <w:rPr>
          <w:vertAlign w:val="superscript"/>
        </w:rPr>
        <w:footnoteRef/>
      </w:r>
      <w:r>
        <w:rPr>
          <w:rFonts w:ascii="Palatino Linotype" w:eastAsia="Palatino Linotype" w:hAnsi="Palatino Linotype" w:cs="Palatino Linotype"/>
          <w:color w:val="000000"/>
          <w:sz w:val="18"/>
          <w:szCs w:val="18"/>
        </w:rPr>
        <w:t xml:space="preserve"> Corte Interamericana de Derechos Humanos. Caso Claude Reyes y otros vs Chile. Sentencia de 19 de septiembre de 2006. Serie C. No. 151. Párr. 86.</w:t>
      </w:r>
    </w:p>
  </w:footnote>
  <w:footnote w:id="9">
    <w:p w:rsidR="008068B7" w:rsidRDefault="008068B7">
      <w:pPr>
        <w:pBdr>
          <w:top w:val="nil"/>
          <w:left w:val="nil"/>
          <w:bottom w:val="nil"/>
          <w:right w:val="nil"/>
          <w:between w:val="nil"/>
        </w:pBdr>
        <w:rPr>
          <w:rFonts w:ascii="Palatino Linotype" w:eastAsia="Palatino Linotype" w:hAnsi="Palatino Linotype" w:cs="Palatino Linotype"/>
          <w:color w:val="000000"/>
          <w:sz w:val="18"/>
          <w:szCs w:val="18"/>
        </w:rPr>
      </w:pPr>
      <w:r>
        <w:rPr>
          <w:vertAlign w:val="superscript"/>
        </w:rPr>
        <w:footnoteRef/>
      </w:r>
      <w:r>
        <w:rPr>
          <w:rFonts w:ascii="Palatino Linotype" w:eastAsia="Palatino Linotype" w:hAnsi="Palatino Linotype" w:cs="Palatino Linotype"/>
          <w:color w:val="000000"/>
          <w:sz w:val="18"/>
          <w:szCs w:val="18"/>
        </w:rPr>
        <w:t xml:space="preserve"> Ibídem. Párr. 87.</w:t>
      </w:r>
    </w:p>
  </w:footnote>
  <w:footnote w:id="10">
    <w:p w:rsidR="008068B7" w:rsidRDefault="008068B7">
      <w:pPr>
        <w:pBdr>
          <w:top w:val="nil"/>
          <w:left w:val="nil"/>
          <w:bottom w:val="nil"/>
          <w:right w:val="nil"/>
          <w:between w:val="nil"/>
        </w:pBdr>
        <w:rPr>
          <w:color w:val="000000"/>
          <w:sz w:val="20"/>
          <w:szCs w:val="20"/>
        </w:rPr>
      </w:pPr>
      <w:r>
        <w:rPr>
          <w:vertAlign w:val="superscript"/>
        </w:rPr>
        <w:footnoteRef/>
      </w:r>
      <w:r>
        <w:rPr>
          <w:rFonts w:ascii="Palatino Linotype" w:eastAsia="Palatino Linotype" w:hAnsi="Palatino Linotype" w:cs="Palatino Linotype"/>
          <w:color w:val="000000"/>
          <w:sz w:val="18"/>
          <w:szCs w:val="18"/>
        </w:rPr>
        <w:t xml:space="preserve"> Declaración conjunta del Relator Especial de las Naciones Unidas (ONU) para la Libertad de Opinión y de Expresión, el Representante para la Libertad de los Medios de Comunicación de la Organización para la Seguridad y la Cooperación en Europa (OSCE) y el Relator Especial de la Organización de los Estados Americanos (OEA) para la Libertad de Expresión (2004), disponible en </w:t>
      </w:r>
      <w:hyperlink r:id="rId2">
        <w:r>
          <w:rPr>
            <w:rFonts w:ascii="Palatino Linotype" w:eastAsia="Palatino Linotype" w:hAnsi="Palatino Linotype" w:cs="Palatino Linotype"/>
            <w:color w:val="0000FF"/>
            <w:sz w:val="18"/>
            <w:szCs w:val="18"/>
            <w:u w:val="single"/>
          </w:rPr>
          <w:t>http://www.oas.org/es/cidh/expresion/documentos_basicos/declaraciones.asp</w:t>
        </w:r>
      </w:hyperlink>
      <w:r>
        <w:rPr>
          <w:rFonts w:ascii="Palatino Linotype" w:eastAsia="Palatino Linotype" w:hAnsi="Palatino Linotype" w:cs="Palatino Linotype"/>
          <w:color w:val="000000"/>
          <w:sz w:val="18"/>
          <w:szCs w:val="18"/>
        </w:rPr>
        <w:t>.</w:t>
      </w:r>
    </w:p>
  </w:footnote>
  <w:footnote w:id="11">
    <w:p w:rsidR="008068B7" w:rsidRDefault="008068B7">
      <w:pPr>
        <w:pBdr>
          <w:top w:val="nil"/>
          <w:left w:val="nil"/>
          <w:bottom w:val="nil"/>
          <w:right w:val="nil"/>
          <w:between w:val="nil"/>
        </w:pBdr>
        <w:rPr>
          <w:rFonts w:ascii="Palatino Linotype" w:eastAsia="Palatino Linotype" w:hAnsi="Palatino Linotype" w:cs="Palatino Linotype"/>
          <w:color w:val="000000"/>
          <w:sz w:val="18"/>
          <w:szCs w:val="18"/>
        </w:rPr>
      </w:pPr>
      <w:r>
        <w:rPr>
          <w:vertAlign w:val="superscript"/>
        </w:rPr>
        <w:footnoteRef/>
      </w:r>
      <w:r>
        <w:rPr>
          <w:rFonts w:ascii="Palatino Linotype" w:eastAsia="Palatino Linotype" w:hAnsi="Palatino Linotype" w:cs="Palatino Linotype"/>
          <w:color w:val="000000"/>
          <w:sz w:val="18"/>
          <w:szCs w:val="18"/>
        </w:rPr>
        <w:t xml:space="preserve"> Ley de Transparencia y Acceso a la Información Pública del Estado de México y Municipios. Artículo 9. …</w:t>
      </w:r>
    </w:p>
    <w:p w:rsidR="008068B7" w:rsidRDefault="008068B7">
      <w:pPr>
        <w:pBdr>
          <w:top w:val="nil"/>
          <w:left w:val="nil"/>
          <w:bottom w:val="nil"/>
          <w:right w:val="nil"/>
          <w:between w:val="nil"/>
        </w:pBdr>
        <w:rPr>
          <w:rFonts w:ascii="Palatino Linotype" w:eastAsia="Palatino Linotype" w:hAnsi="Palatino Linotype" w:cs="Palatino Linotype"/>
          <w:color w:val="000000"/>
          <w:sz w:val="18"/>
          <w:szCs w:val="18"/>
        </w:rPr>
      </w:pPr>
      <w:r>
        <w:rPr>
          <w:rFonts w:ascii="Palatino Linotype" w:eastAsia="Palatino Linotype" w:hAnsi="Palatino Linotype" w:cs="Palatino Linotype"/>
          <w:color w:val="000000"/>
          <w:sz w:val="18"/>
          <w:szCs w:val="18"/>
        </w:rPr>
        <w:t>II. Eficacia: Obligación del Instituto para tutelar, de manera efectiva, el derecho de acceso a la información;</w:t>
      </w:r>
    </w:p>
    <w:p w:rsidR="008068B7" w:rsidRDefault="008068B7">
      <w:pPr>
        <w:pBdr>
          <w:top w:val="nil"/>
          <w:left w:val="nil"/>
          <w:bottom w:val="nil"/>
          <w:right w:val="nil"/>
          <w:between w:val="nil"/>
        </w:pBdr>
        <w:rPr>
          <w:color w:val="000000"/>
          <w:sz w:val="20"/>
          <w:szCs w:val="20"/>
        </w:rPr>
      </w:pPr>
      <w:r>
        <w:rPr>
          <w:color w:val="000000"/>
          <w:sz w:val="20"/>
          <w:szCs w:val="20"/>
        </w:rPr>
        <w:t xml:space="preserve">… </w:t>
      </w:r>
    </w:p>
  </w:footnote>
  <w:footnote w:id="12">
    <w:p w:rsidR="008068B7" w:rsidRDefault="008068B7">
      <w:pPr>
        <w:pBdr>
          <w:top w:val="nil"/>
          <w:left w:val="nil"/>
          <w:bottom w:val="nil"/>
          <w:right w:val="nil"/>
          <w:between w:val="nil"/>
        </w:pBdr>
        <w:jc w:val="both"/>
        <w:rPr>
          <w:color w:val="000000"/>
          <w:sz w:val="18"/>
          <w:szCs w:val="18"/>
        </w:rPr>
      </w:pPr>
      <w:r>
        <w:rPr>
          <w:vertAlign w:val="superscript"/>
        </w:rPr>
        <w:footnoteRef/>
      </w:r>
      <w:r>
        <w:rPr>
          <w:color w:val="000000"/>
          <w:sz w:val="20"/>
          <w:szCs w:val="20"/>
        </w:rPr>
        <w:t xml:space="preserve"> </w:t>
      </w:r>
      <w:r>
        <w:rPr>
          <w:rFonts w:ascii="Palatino Linotype" w:eastAsia="Palatino Linotype" w:hAnsi="Palatino Linotype" w:cs="Palatino Linotype"/>
          <w:color w:val="000000"/>
          <w:sz w:val="18"/>
          <w:szCs w:val="18"/>
        </w:rPr>
        <w:t>En atención al TRANSITORIO CUARTO de la Ley de Transparencia y Acceso a la Información Pública del Estado de México y Municipios, en el cual se menciona que se derogan las disposiciones de igual o menor jerarquía que se opongan a la misma, en consecuencia los lineamientos que se trascriben al no oponerse a la Ley de la materia seguirán vigentes.</w:t>
      </w:r>
      <w:r>
        <w:rPr>
          <w:color w:val="000000"/>
          <w:sz w:val="18"/>
          <w:szCs w:val="18"/>
        </w:rPr>
        <w:t xml:space="preserve"> </w:t>
      </w:r>
    </w:p>
  </w:footnote>
  <w:footnote w:id="13">
    <w:p w:rsidR="008068B7" w:rsidRDefault="008068B7">
      <w:pPr>
        <w:pBdr>
          <w:top w:val="nil"/>
          <w:left w:val="nil"/>
          <w:bottom w:val="nil"/>
          <w:right w:val="nil"/>
          <w:between w:val="nil"/>
        </w:pBdr>
        <w:jc w:val="both"/>
        <w:rPr>
          <w:rFonts w:ascii="Palatino Linotype" w:eastAsia="Palatino Linotype" w:hAnsi="Palatino Linotype" w:cs="Palatino Linotype"/>
          <w:color w:val="000000"/>
          <w:sz w:val="19"/>
          <w:szCs w:val="19"/>
        </w:rPr>
      </w:pPr>
      <w:r>
        <w:rPr>
          <w:vertAlign w:val="superscript"/>
        </w:rPr>
        <w:footnoteRef/>
      </w:r>
      <w:r>
        <w:rPr>
          <w:color w:val="000000"/>
          <w:sz w:val="20"/>
          <w:szCs w:val="20"/>
        </w:rPr>
        <w:t xml:space="preserve"> </w:t>
      </w:r>
      <w:r>
        <w:rPr>
          <w:rFonts w:ascii="Palatino Linotype" w:eastAsia="Palatino Linotype" w:hAnsi="Palatino Linotype" w:cs="Palatino Linotype"/>
          <w:color w:val="000000"/>
          <w:sz w:val="19"/>
          <w:szCs w:val="19"/>
        </w:rPr>
        <w:t>De acuerdo a la fracción XLIV del artículo 3 de la Ley de Transparencia vigente en la entidad: “Artículo 3. Para los efectos de la presente Ley se entenderá por: XLIV. Unidad de transparencia: La establecida por los sujetos obligados para ingresar, actualizar y mantener vigente las obligaciones de información pública en sus respectivos portales de transparencia; tramitar las solicitudes de acceso a la información pública…”</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68B7" w:rsidRDefault="00D61B00">
    <w:pPr>
      <w:pBdr>
        <w:top w:val="nil"/>
        <w:left w:val="nil"/>
        <w:bottom w:val="nil"/>
        <w:right w:val="nil"/>
        <w:between w:val="nil"/>
      </w:pBdr>
      <w:tabs>
        <w:tab w:val="center" w:pos="4419"/>
        <w:tab w:val="right" w:pos="8838"/>
      </w:tabs>
      <w:rPr>
        <w:color w:val="000000"/>
      </w:rPr>
    </w:pPr>
    <w:r>
      <w:rPr>
        <w:color w:val="00000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margin-left:0;margin-top:0;width:609.4pt;height:793.75pt;z-index:-251657728;mso-position-horizontal:center;mso-position-horizontal-relative:margin;mso-position-vertical:center;mso-position-vertical-relative:margin">
          <v:imagedata r:id="rId1" o:title="image3"/>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0"/>
      <w:tblW w:w="6519" w:type="dxa"/>
      <w:tblInd w:w="3402" w:type="dxa"/>
      <w:tblLayout w:type="fixed"/>
      <w:tblLook w:val="0400" w:firstRow="0" w:lastRow="0" w:firstColumn="0" w:lastColumn="0" w:noHBand="0" w:noVBand="1"/>
    </w:tblPr>
    <w:tblGrid>
      <w:gridCol w:w="2976"/>
      <w:gridCol w:w="3543"/>
    </w:tblGrid>
    <w:tr w:rsidR="008068B7" w:rsidTr="00702D03">
      <w:trPr>
        <w:trHeight w:val="227"/>
      </w:trPr>
      <w:tc>
        <w:tcPr>
          <w:tcW w:w="2976" w:type="dxa"/>
          <w:vAlign w:val="center"/>
        </w:tcPr>
        <w:p w:rsidR="008068B7" w:rsidRDefault="008068B7">
          <w:pPr>
            <w:ind w:right="34"/>
            <w:jc w:val="right"/>
            <w:rPr>
              <w:rFonts w:ascii="Palatino Linotype" w:eastAsia="Palatino Linotype" w:hAnsi="Palatino Linotype" w:cs="Palatino Linotype"/>
              <w:b/>
              <w:bCs/>
            </w:rPr>
          </w:pPr>
          <w:r>
            <w:rPr>
              <w:rFonts w:ascii="Palatino Linotype" w:eastAsia="Palatino Linotype" w:hAnsi="Palatino Linotype" w:cs="Palatino Linotype"/>
              <w:b/>
              <w:bCs/>
            </w:rPr>
            <w:t>Recurso de Revisión:</w:t>
          </w:r>
        </w:p>
      </w:tc>
      <w:tc>
        <w:tcPr>
          <w:tcW w:w="3543" w:type="dxa"/>
          <w:vAlign w:val="center"/>
        </w:tcPr>
        <w:p w:rsidR="008068B7" w:rsidRDefault="008068B7">
          <w:pPr>
            <w:pBdr>
              <w:top w:val="nil"/>
              <w:left w:val="nil"/>
              <w:bottom w:val="nil"/>
              <w:right w:val="nil"/>
              <w:between w:val="nil"/>
            </w:pBdr>
            <w:tabs>
              <w:tab w:val="center" w:pos="4419"/>
              <w:tab w:val="right" w:pos="8838"/>
            </w:tabs>
            <w:rPr>
              <w:rFonts w:ascii="Palatino Linotype" w:eastAsia="Palatino Linotype" w:hAnsi="Palatino Linotype" w:cs="Palatino Linotype"/>
              <w:color w:val="000000"/>
              <w:highlight w:val="green"/>
            </w:rPr>
          </w:pPr>
          <w:r>
            <w:rPr>
              <w:rFonts w:ascii="Palatino Linotype" w:eastAsia="Palatino Linotype" w:hAnsi="Palatino Linotype" w:cs="Palatino Linotype"/>
              <w:color w:val="000000"/>
            </w:rPr>
            <w:t>10953/INFOEM/IP/RR/2025</w:t>
          </w:r>
        </w:p>
      </w:tc>
    </w:tr>
    <w:tr w:rsidR="008068B7" w:rsidTr="00702D03">
      <w:trPr>
        <w:trHeight w:val="242"/>
      </w:trPr>
      <w:tc>
        <w:tcPr>
          <w:tcW w:w="2976" w:type="dxa"/>
          <w:vAlign w:val="center"/>
        </w:tcPr>
        <w:p w:rsidR="008068B7" w:rsidRDefault="008068B7">
          <w:pPr>
            <w:ind w:right="34"/>
            <w:jc w:val="right"/>
            <w:rPr>
              <w:rFonts w:ascii="Palatino Linotype" w:eastAsia="Palatino Linotype" w:hAnsi="Palatino Linotype" w:cs="Palatino Linotype"/>
              <w:b/>
              <w:bCs/>
            </w:rPr>
          </w:pPr>
          <w:r>
            <w:rPr>
              <w:rFonts w:ascii="Palatino Linotype" w:eastAsia="Palatino Linotype" w:hAnsi="Palatino Linotype" w:cs="Palatino Linotype"/>
              <w:b/>
              <w:bCs/>
            </w:rPr>
            <w:t>Sujeto Obligado:</w:t>
          </w:r>
        </w:p>
      </w:tc>
      <w:tc>
        <w:tcPr>
          <w:tcW w:w="3543" w:type="dxa"/>
          <w:vAlign w:val="center"/>
        </w:tcPr>
        <w:p w:rsidR="008068B7" w:rsidRDefault="008068B7">
          <w:pPr>
            <w:pBdr>
              <w:top w:val="nil"/>
              <w:left w:val="nil"/>
              <w:bottom w:val="nil"/>
              <w:right w:val="nil"/>
              <w:between w:val="nil"/>
            </w:pBdr>
            <w:tabs>
              <w:tab w:val="center" w:pos="4419"/>
              <w:tab w:val="right" w:pos="8838"/>
            </w:tabs>
            <w:jc w:val="both"/>
            <w:rPr>
              <w:rFonts w:ascii="Palatino Linotype" w:eastAsia="Palatino Linotype" w:hAnsi="Palatino Linotype" w:cs="Palatino Linotype"/>
              <w:color w:val="000000"/>
              <w:highlight w:val="green"/>
            </w:rPr>
          </w:pPr>
          <w:r>
            <w:rPr>
              <w:rFonts w:ascii="Palatino Linotype" w:eastAsia="Palatino Linotype" w:hAnsi="Palatino Linotype" w:cs="Palatino Linotype"/>
              <w:color w:val="000000"/>
            </w:rPr>
            <w:t>Ayuntamiento de Lerma</w:t>
          </w:r>
        </w:p>
      </w:tc>
    </w:tr>
    <w:tr w:rsidR="008068B7" w:rsidTr="00702D03">
      <w:trPr>
        <w:trHeight w:val="342"/>
      </w:trPr>
      <w:tc>
        <w:tcPr>
          <w:tcW w:w="2976" w:type="dxa"/>
          <w:vAlign w:val="center"/>
        </w:tcPr>
        <w:p w:rsidR="008068B7" w:rsidRDefault="008068B7">
          <w:pPr>
            <w:ind w:right="34"/>
            <w:jc w:val="right"/>
            <w:rPr>
              <w:rFonts w:ascii="Palatino Linotype" w:eastAsia="Palatino Linotype" w:hAnsi="Palatino Linotype" w:cs="Palatino Linotype"/>
              <w:b/>
              <w:bCs/>
            </w:rPr>
          </w:pPr>
          <w:r>
            <w:rPr>
              <w:rFonts w:ascii="Palatino Linotype" w:eastAsia="Palatino Linotype" w:hAnsi="Palatino Linotype" w:cs="Palatino Linotype"/>
              <w:b/>
              <w:bCs/>
            </w:rPr>
            <w:t>Comisionada Ponente:</w:t>
          </w:r>
        </w:p>
      </w:tc>
      <w:tc>
        <w:tcPr>
          <w:tcW w:w="3543" w:type="dxa"/>
          <w:vAlign w:val="center"/>
        </w:tcPr>
        <w:p w:rsidR="008068B7" w:rsidRDefault="008068B7">
          <w:pPr>
            <w:pBdr>
              <w:top w:val="nil"/>
              <w:left w:val="nil"/>
              <w:bottom w:val="nil"/>
              <w:right w:val="nil"/>
              <w:between w:val="nil"/>
            </w:pBdr>
            <w:tabs>
              <w:tab w:val="center" w:pos="4419"/>
              <w:tab w:val="right" w:pos="8838"/>
            </w:tabs>
            <w:rPr>
              <w:rFonts w:ascii="Palatino Linotype" w:eastAsia="Palatino Linotype" w:hAnsi="Palatino Linotype" w:cs="Palatino Linotype"/>
              <w:color w:val="000000"/>
            </w:rPr>
          </w:pPr>
          <w:r>
            <w:rPr>
              <w:rFonts w:ascii="Palatino Linotype" w:eastAsia="Palatino Linotype" w:hAnsi="Palatino Linotype" w:cs="Palatino Linotype"/>
              <w:color w:val="000000"/>
            </w:rPr>
            <w:t>María del Rosario Mejía Ayala</w:t>
          </w:r>
        </w:p>
      </w:tc>
    </w:tr>
  </w:tbl>
  <w:p w:rsidR="008068B7" w:rsidRDefault="00D61B00">
    <w:pPr>
      <w:pBdr>
        <w:top w:val="nil"/>
        <w:left w:val="nil"/>
        <w:bottom w:val="nil"/>
        <w:right w:val="nil"/>
        <w:between w:val="nil"/>
      </w:pBdr>
      <w:tabs>
        <w:tab w:val="center" w:pos="4419"/>
        <w:tab w:val="right" w:pos="8838"/>
        <w:tab w:val="left" w:pos="6005"/>
      </w:tabs>
      <w:rPr>
        <w:color w:val="000000"/>
        <w:sz w:val="14"/>
        <w:szCs w:val="14"/>
      </w:rPr>
    </w:pPr>
    <w:r>
      <w:rPr>
        <w:color w:val="000000"/>
        <w:sz w:val="14"/>
        <w:szCs w:val="1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1" type="#_x0000_t75" alt="" style="position:absolute;margin-left:-45.25pt;margin-top:-117.5pt;width:609.4pt;height:793.75pt;z-index:-251659776;mso-position-horizontal-relative:margin;mso-position-vertical-relative:margin">
          <v:imagedata r:id="rId1" o:title="image3"/>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1"/>
      <w:tblW w:w="7371" w:type="dxa"/>
      <w:tblInd w:w="3402" w:type="dxa"/>
      <w:tblLayout w:type="fixed"/>
      <w:tblLook w:val="0400" w:firstRow="0" w:lastRow="0" w:firstColumn="0" w:lastColumn="0" w:noHBand="0" w:noVBand="1"/>
    </w:tblPr>
    <w:tblGrid>
      <w:gridCol w:w="2977"/>
      <w:gridCol w:w="4394"/>
    </w:tblGrid>
    <w:tr w:rsidR="008068B7" w:rsidTr="00702D03">
      <w:trPr>
        <w:trHeight w:val="227"/>
      </w:trPr>
      <w:tc>
        <w:tcPr>
          <w:tcW w:w="2977" w:type="dxa"/>
          <w:vAlign w:val="center"/>
        </w:tcPr>
        <w:p w:rsidR="008068B7" w:rsidRDefault="008068B7">
          <w:pPr>
            <w:jc w:val="right"/>
            <w:rPr>
              <w:rFonts w:ascii="Palatino Linotype" w:eastAsia="Palatino Linotype" w:hAnsi="Palatino Linotype" w:cs="Palatino Linotype"/>
              <w:b/>
              <w:bCs/>
            </w:rPr>
          </w:pPr>
          <w:r>
            <w:rPr>
              <w:rFonts w:ascii="Palatino Linotype" w:eastAsia="Palatino Linotype" w:hAnsi="Palatino Linotype" w:cs="Palatino Linotype"/>
              <w:b/>
              <w:bCs/>
            </w:rPr>
            <w:t>Recurso de Revisión:</w:t>
          </w:r>
        </w:p>
      </w:tc>
      <w:tc>
        <w:tcPr>
          <w:tcW w:w="4394" w:type="dxa"/>
          <w:vAlign w:val="center"/>
        </w:tcPr>
        <w:p w:rsidR="008068B7" w:rsidRDefault="008068B7">
          <w:pPr>
            <w:pBdr>
              <w:top w:val="nil"/>
              <w:left w:val="nil"/>
              <w:bottom w:val="nil"/>
              <w:right w:val="nil"/>
              <w:between w:val="nil"/>
            </w:pBdr>
            <w:tabs>
              <w:tab w:val="center" w:pos="4419"/>
              <w:tab w:val="right" w:pos="8838"/>
            </w:tabs>
            <w:rPr>
              <w:rFonts w:ascii="Palatino Linotype" w:eastAsia="Palatino Linotype" w:hAnsi="Palatino Linotype" w:cs="Palatino Linotype"/>
              <w:color w:val="000000"/>
              <w:highlight w:val="green"/>
            </w:rPr>
          </w:pPr>
          <w:r>
            <w:rPr>
              <w:rFonts w:ascii="Palatino Linotype" w:eastAsia="Palatino Linotype" w:hAnsi="Palatino Linotype" w:cs="Palatino Linotype"/>
              <w:color w:val="000000"/>
            </w:rPr>
            <w:t>10953/INFOEM/IP/RR/2025</w:t>
          </w:r>
        </w:p>
      </w:tc>
    </w:tr>
    <w:tr w:rsidR="008068B7" w:rsidTr="00702D03">
      <w:trPr>
        <w:trHeight w:val="242"/>
      </w:trPr>
      <w:tc>
        <w:tcPr>
          <w:tcW w:w="2977" w:type="dxa"/>
          <w:vAlign w:val="center"/>
        </w:tcPr>
        <w:p w:rsidR="008068B7" w:rsidRDefault="008068B7">
          <w:pPr>
            <w:jc w:val="right"/>
            <w:rPr>
              <w:rFonts w:ascii="Palatino Linotype" w:eastAsia="Palatino Linotype" w:hAnsi="Palatino Linotype" w:cs="Palatino Linotype"/>
              <w:b/>
              <w:bCs/>
            </w:rPr>
          </w:pPr>
          <w:r>
            <w:rPr>
              <w:rFonts w:ascii="Palatino Linotype" w:eastAsia="Palatino Linotype" w:hAnsi="Palatino Linotype" w:cs="Palatino Linotype"/>
              <w:b/>
              <w:bCs/>
            </w:rPr>
            <w:t>Recurrente:</w:t>
          </w:r>
        </w:p>
      </w:tc>
      <w:tc>
        <w:tcPr>
          <w:tcW w:w="4394" w:type="dxa"/>
        </w:tcPr>
        <w:p w:rsidR="008068B7" w:rsidRDefault="006B3940">
          <w:pPr>
            <w:pBdr>
              <w:top w:val="nil"/>
              <w:left w:val="nil"/>
              <w:bottom w:val="nil"/>
              <w:right w:val="nil"/>
              <w:between w:val="nil"/>
            </w:pBdr>
            <w:tabs>
              <w:tab w:val="center" w:pos="4419"/>
              <w:tab w:val="right" w:pos="8838"/>
              <w:tab w:val="left" w:pos="521"/>
            </w:tabs>
            <w:rPr>
              <w:rFonts w:ascii="Palatino Linotype" w:eastAsia="Palatino Linotype" w:hAnsi="Palatino Linotype" w:cs="Palatino Linotype"/>
              <w:highlight w:val="green"/>
            </w:rPr>
          </w:pPr>
          <w:r>
            <w:rPr>
              <w:rFonts w:ascii="Palatino Linotype" w:eastAsia="Palatino Linotype" w:hAnsi="Palatino Linotype" w:cs="Palatino Linotype"/>
            </w:rPr>
            <w:t>XXXX</w:t>
          </w:r>
        </w:p>
      </w:tc>
    </w:tr>
    <w:tr w:rsidR="008068B7" w:rsidTr="00702D03">
      <w:trPr>
        <w:trHeight w:val="342"/>
      </w:trPr>
      <w:tc>
        <w:tcPr>
          <w:tcW w:w="2977" w:type="dxa"/>
          <w:vAlign w:val="center"/>
        </w:tcPr>
        <w:p w:rsidR="008068B7" w:rsidRDefault="008068B7">
          <w:pPr>
            <w:jc w:val="right"/>
            <w:rPr>
              <w:rFonts w:ascii="Palatino Linotype" w:eastAsia="Palatino Linotype" w:hAnsi="Palatino Linotype" w:cs="Palatino Linotype"/>
              <w:b/>
              <w:bCs/>
            </w:rPr>
          </w:pPr>
          <w:r>
            <w:rPr>
              <w:rFonts w:ascii="Palatino Linotype" w:eastAsia="Palatino Linotype" w:hAnsi="Palatino Linotype" w:cs="Palatino Linotype"/>
              <w:b/>
              <w:bCs/>
            </w:rPr>
            <w:t>Sujeto Obligado:</w:t>
          </w:r>
        </w:p>
      </w:tc>
      <w:tc>
        <w:tcPr>
          <w:tcW w:w="4394" w:type="dxa"/>
          <w:vAlign w:val="center"/>
        </w:tcPr>
        <w:p w:rsidR="008068B7" w:rsidRDefault="008068B7">
          <w:pPr>
            <w:pBdr>
              <w:top w:val="nil"/>
              <w:left w:val="nil"/>
              <w:bottom w:val="nil"/>
              <w:right w:val="nil"/>
              <w:between w:val="nil"/>
            </w:pBdr>
            <w:tabs>
              <w:tab w:val="center" w:pos="4419"/>
              <w:tab w:val="right" w:pos="8838"/>
            </w:tabs>
            <w:jc w:val="both"/>
            <w:rPr>
              <w:rFonts w:ascii="Palatino Linotype" w:eastAsia="Palatino Linotype" w:hAnsi="Palatino Linotype" w:cs="Palatino Linotype"/>
              <w:color w:val="000000"/>
              <w:highlight w:val="green"/>
            </w:rPr>
          </w:pPr>
          <w:r>
            <w:rPr>
              <w:rFonts w:ascii="Palatino Linotype" w:eastAsia="Palatino Linotype" w:hAnsi="Palatino Linotype" w:cs="Palatino Linotype"/>
              <w:color w:val="000000"/>
            </w:rPr>
            <w:t>Ayuntamiento de Lerma</w:t>
          </w:r>
        </w:p>
      </w:tc>
    </w:tr>
    <w:tr w:rsidR="008068B7" w:rsidTr="00702D03">
      <w:trPr>
        <w:trHeight w:val="342"/>
      </w:trPr>
      <w:tc>
        <w:tcPr>
          <w:tcW w:w="2977" w:type="dxa"/>
          <w:vAlign w:val="center"/>
        </w:tcPr>
        <w:p w:rsidR="008068B7" w:rsidRDefault="008068B7">
          <w:pPr>
            <w:jc w:val="right"/>
            <w:rPr>
              <w:rFonts w:ascii="Palatino Linotype" w:eastAsia="Palatino Linotype" w:hAnsi="Palatino Linotype" w:cs="Palatino Linotype"/>
              <w:b/>
              <w:bCs/>
            </w:rPr>
          </w:pPr>
          <w:r>
            <w:rPr>
              <w:rFonts w:ascii="Palatino Linotype" w:eastAsia="Palatino Linotype" w:hAnsi="Palatino Linotype" w:cs="Palatino Linotype"/>
              <w:b/>
              <w:bCs/>
            </w:rPr>
            <w:t>Comisionada Ponente:</w:t>
          </w:r>
        </w:p>
      </w:tc>
      <w:tc>
        <w:tcPr>
          <w:tcW w:w="4394" w:type="dxa"/>
          <w:vAlign w:val="center"/>
        </w:tcPr>
        <w:p w:rsidR="008068B7" w:rsidRDefault="008068B7">
          <w:pPr>
            <w:pBdr>
              <w:top w:val="nil"/>
              <w:left w:val="nil"/>
              <w:bottom w:val="nil"/>
              <w:right w:val="nil"/>
              <w:between w:val="nil"/>
            </w:pBdr>
            <w:tabs>
              <w:tab w:val="center" w:pos="4419"/>
              <w:tab w:val="right" w:pos="8838"/>
            </w:tabs>
            <w:rPr>
              <w:rFonts w:ascii="Palatino Linotype" w:eastAsia="Palatino Linotype" w:hAnsi="Palatino Linotype" w:cs="Palatino Linotype"/>
              <w:color w:val="000000"/>
            </w:rPr>
          </w:pPr>
          <w:r>
            <w:rPr>
              <w:rFonts w:ascii="Palatino Linotype" w:eastAsia="Palatino Linotype" w:hAnsi="Palatino Linotype" w:cs="Palatino Linotype"/>
              <w:color w:val="000000"/>
            </w:rPr>
            <w:t>María del Rosario Mejía Ayala</w:t>
          </w:r>
        </w:p>
      </w:tc>
    </w:tr>
  </w:tbl>
  <w:p w:rsidR="008068B7" w:rsidRDefault="006B3940">
    <w:pPr>
      <w:pBdr>
        <w:top w:val="nil"/>
        <w:left w:val="nil"/>
        <w:bottom w:val="nil"/>
        <w:right w:val="nil"/>
        <w:between w:val="nil"/>
      </w:pBdr>
      <w:tabs>
        <w:tab w:val="center" w:pos="4419"/>
        <w:tab w:val="right" w:pos="8838"/>
      </w:tabs>
      <w:rPr>
        <w:color w:val="000000"/>
        <w:sz w:val="16"/>
        <w:szCs w:val="16"/>
      </w:rPr>
    </w:pPr>
    <w:r>
      <w:rPr>
        <w:color w:val="000000"/>
        <w:sz w:val="16"/>
        <w:szCs w:val="1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0" type="#_x0000_t75" alt="" style="position:absolute;margin-left:-61pt;margin-top:-115.1pt;width:609.4pt;height:793.75pt;z-index:-251658752;mso-position-horizontal-relative:margin;mso-position-vertical-relative:margin">
          <v:imagedata r:id="rId1" o:title="image3"/>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182DC6"/>
    <w:multiLevelType w:val="multilevel"/>
    <w:tmpl w:val="941A28CC"/>
    <w:lvl w:ilvl="0">
      <w:start w:val="1"/>
      <w:numFmt w:val="bullet"/>
      <w:lvlText w:val="●"/>
      <w:lvlJc w:val="left"/>
      <w:pPr>
        <w:ind w:left="1724" w:hanging="360"/>
      </w:pPr>
      <w:rPr>
        <w:rFonts w:ascii="Noto Sans Symbols" w:eastAsia="Noto Sans Symbols" w:hAnsi="Noto Sans Symbols" w:cs="Noto Sans Symbols"/>
      </w:rPr>
    </w:lvl>
    <w:lvl w:ilvl="1">
      <w:start w:val="1"/>
      <w:numFmt w:val="bullet"/>
      <w:lvlText w:val="o"/>
      <w:lvlJc w:val="left"/>
      <w:pPr>
        <w:ind w:left="2444" w:hanging="360"/>
      </w:pPr>
      <w:rPr>
        <w:rFonts w:ascii="Courier New" w:eastAsia="Courier New" w:hAnsi="Courier New" w:cs="Courier New"/>
      </w:rPr>
    </w:lvl>
    <w:lvl w:ilvl="2">
      <w:start w:val="1"/>
      <w:numFmt w:val="bullet"/>
      <w:lvlText w:val="▪"/>
      <w:lvlJc w:val="left"/>
      <w:pPr>
        <w:ind w:left="3164" w:hanging="360"/>
      </w:pPr>
      <w:rPr>
        <w:rFonts w:ascii="Noto Sans Symbols" w:eastAsia="Noto Sans Symbols" w:hAnsi="Noto Sans Symbols" w:cs="Noto Sans Symbols"/>
      </w:rPr>
    </w:lvl>
    <w:lvl w:ilvl="3">
      <w:start w:val="1"/>
      <w:numFmt w:val="bullet"/>
      <w:lvlText w:val="●"/>
      <w:lvlJc w:val="left"/>
      <w:pPr>
        <w:ind w:left="3884" w:hanging="360"/>
      </w:pPr>
      <w:rPr>
        <w:rFonts w:ascii="Noto Sans Symbols" w:eastAsia="Noto Sans Symbols" w:hAnsi="Noto Sans Symbols" w:cs="Noto Sans Symbols"/>
      </w:rPr>
    </w:lvl>
    <w:lvl w:ilvl="4">
      <w:start w:val="1"/>
      <w:numFmt w:val="bullet"/>
      <w:lvlText w:val="o"/>
      <w:lvlJc w:val="left"/>
      <w:pPr>
        <w:ind w:left="4604" w:hanging="360"/>
      </w:pPr>
      <w:rPr>
        <w:rFonts w:ascii="Courier New" w:eastAsia="Courier New" w:hAnsi="Courier New" w:cs="Courier New"/>
      </w:rPr>
    </w:lvl>
    <w:lvl w:ilvl="5">
      <w:start w:val="1"/>
      <w:numFmt w:val="bullet"/>
      <w:lvlText w:val="▪"/>
      <w:lvlJc w:val="left"/>
      <w:pPr>
        <w:ind w:left="5324" w:hanging="360"/>
      </w:pPr>
      <w:rPr>
        <w:rFonts w:ascii="Noto Sans Symbols" w:eastAsia="Noto Sans Symbols" w:hAnsi="Noto Sans Symbols" w:cs="Noto Sans Symbols"/>
      </w:rPr>
    </w:lvl>
    <w:lvl w:ilvl="6">
      <w:start w:val="1"/>
      <w:numFmt w:val="bullet"/>
      <w:lvlText w:val="●"/>
      <w:lvlJc w:val="left"/>
      <w:pPr>
        <w:ind w:left="6044" w:hanging="360"/>
      </w:pPr>
      <w:rPr>
        <w:rFonts w:ascii="Noto Sans Symbols" w:eastAsia="Noto Sans Symbols" w:hAnsi="Noto Sans Symbols" w:cs="Noto Sans Symbols"/>
      </w:rPr>
    </w:lvl>
    <w:lvl w:ilvl="7">
      <w:start w:val="1"/>
      <w:numFmt w:val="bullet"/>
      <w:lvlText w:val="o"/>
      <w:lvlJc w:val="left"/>
      <w:pPr>
        <w:ind w:left="6764" w:hanging="360"/>
      </w:pPr>
      <w:rPr>
        <w:rFonts w:ascii="Courier New" w:eastAsia="Courier New" w:hAnsi="Courier New" w:cs="Courier New"/>
      </w:rPr>
    </w:lvl>
    <w:lvl w:ilvl="8">
      <w:start w:val="1"/>
      <w:numFmt w:val="bullet"/>
      <w:lvlText w:val="▪"/>
      <w:lvlJc w:val="left"/>
      <w:pPr>
        <w:ind w:left="7484" w:hanging="360"/>
      </w:pPr>
      <w:rPr>
        <w:rFonts w:ascii="Noto Sans Symbols" w:eastAsia="Noto Sans Symbols" w:hAnsi="Noto Sans Symbols" w:cs="Noto Sans Symbols"/>
      </w:rPr>
    </w:lvl>
  </w:abstractNum>
  <w:abstractNum w:abstractNumId="1" w15:restartNumberingAfterBreak="0">
    <w:nsid w:val="02E2345F"/>
    <w:multiLevelType w:val="multilevel"/>
    <w:tmpl w:val="B788616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6A101DF"/>
    <w:multiLevelType w:val="multilevel"/>
    <w:tmpl w:val="DEC01B5E"/>
    <w:lvl w:ilvl="0">
      <w:start w:val="1"/>
      <w:numFmt w:val="upperRoman"/>
      <w:lvlText w:val="%1"/>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 w15:restartNumberingAfterBreak="0">
    <w:nsid w:val="10CF15D4"/>
    <w:multiLevelType w:val="multilevel"/>
    <w:tmpl w:val="3F32CA38"/>
    <w:lvl w:ilvl="0">
      <w:start w:val="1"/>
      <w:numFmt w:val="bullet"/>
      <w:lvlText w:val="●"/>
      <w:lvlJc w:val="left"/>
      <w:pPr>
        <w:ind w:left="720" w:hanging="360"/>
      </w:pPr>
      <w:rPr>
        <w:rFonts w:ascii="Noto Sans Symbols" w:eastAsia="Noto Sans Symbols" w:hAnsi="Noto Sans Symbols" w:cs="Noto Sans Symbol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A2B25CB"/>
    <w:multiLevelType w:val="multilevel"/>
    <w:tmpl w:val="10C470B2"/>
    <w:lvl w:ilvl="0">
      <w:start w:val="1"/>
      <w:numFmt w:val="upperRoman"/>
      <w:lvlText w:val="%1"/>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 w15:restartNumberingAfterBreak="0">
    <w:nsid w:val="2AD14787"/>
    <w:multiLevelType w:val="multilevel"/>
    <w:tmpl w:val="AB04618E"/>
    <w:lvl w:ilvl="0">
      <w:start w:val="1"/>
      <w:numFmt w:val="upperRoman"/>
      <w:lvlText w:val="%1"/>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 w15:restartNumberingAfterBreak="0">
    <w:nsid w:val="2CB849B5"/>
    <w:multiLevelType w:val="multilevel"/>
    <w:tmpl w:val="F54E576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30CD5647"/>
    <w:multiLevelType w:val="multilevel"/>
    <w:tmpl w:val="4120E206"/>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 w15:restartNumberingAfterBreak="0">
    <w:nsid w:val="380A1078"/>
    <w:multiLevelType w:val="multilevel"/>
    <w:tmpl w:val="F8767DA4"/>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 w15:restartNumberingAfterBreak="0">
    <w:nsid w:val="408F7231"/>
    <w:multiLevelType w:val="multilevel"/>
    <w:tmpl w:val="02F4AE5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453F47E3"/>
    <w:multiLevelType w:val="multilevel"/>
    <w:tmpl w:val="4286715E"/>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1" w15:restartNumberingAfterBreak="0">
    <w:nsid w:val="490625DF"/>
    <w:multiLevelType w:val="multilevel"/>
    <w:tmpl w:val="381C0DDE"/>
    <w:lvl w:ilvl="0">
      <w:start w:val="1"/>
      <w:numFmt w:val="upperRoman"/>
      <w:lvlText w:val="%1"/>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2" w15:restartNumberingAfterBreak="0">
    <w:nsid w:val="52233D4E"/>
    <w:multiLevelType w:val="multilevel"/>
    <w:tmpl w:val="4F5262B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59234F8E"/>
    <w:multiLevelType w:val="multilevel"/>
    <w:tmpl w:val="A1DE5310"/>
    <w:lvl w:ilvl="0">
      <w:start w:val="1"/>
      <w:numFmt w:val="upperRoman"/>
      <w:lvlText w:val="%1"/>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4" w15:restartNumberingAfterBreak="0">
    <w:nsid w:val="614A10F4"/>
    <w:multiLevelType w:val="multilevel"/>
    <w:tmpl w:val="1D686366"/>
    <w:lvl w:ilvl="0">
      <w:start w:val="1"/>
      <w:numFmt w:val="upperRoman"/>
      <w:lvlText w:val="%1"/>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5" w15:restartNumberingAfterBreak="0">
    <w:nsid w:val="625C2746"/>
    <w:multiLevelType w:val="multilevel"/>
    <w:tmpl w:val="DAD49326"/>
    <w:lvl w:ilvl="0">
      <w:start w:val="1"/>
      <w:numFmt w:val="decimal"/>
      <w:lvlText w:val="%1."/>
      <w:lvlJc w:val="left"/>
      <w:pPr>
        <w:ind w:left="644" w:hanging="359"/>
      </w:pPr>
      <w:rPr>
        <w:rFonts w:ascii="Palatino Linotype" w:eastAsia="Palatino Linotype" w:hAnsi="Palatino Linotype" w:cs="Palatino Linotype"/>
        <w:b/>
        <w:bCs/>
        <w:i w:val="0"/>
        <w:iCs w:val="0"/>
        <w:color w:val="000000"/>
        <w:sz w:val="26"/>
        <w:szCs w:val="2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65EC697E"/>
    <w:multiLevelType w:val="multilevel"/>
    <w:tmpl w:val="92A8C968"/>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7" w15:restartNumberingAfterBreak="0">
    <w:nsid w:val="70E83DAF"/>
    <w:multiLevelType w:val="multilevel"/>
    <w:tmpl w:val="40D0EF62"/>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8" w15:restartNumberingAfterBreak="0">
    <w:nsid w:val="76586544"/>
    <w:multiLevelType w:val="multilevel"/>
    <w:tmpl w:val="475AA132"/>
    <w:lvl w:ilvl="0">
      <w:start w:val="1"/>
      <w:numFmt w:val="upperRoman"/>
      <w:lvlText w:val="%1"/>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9" w15:restartNumberingAfterBreak="0">
    <w:nsid w:val="7DB902E1"/>
    <w:multiLevelType w:val="multilevel"/>
    <w:tmpl w:val="48FEBB9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7EBD66E3"/>
    <w:multiLevelType w:val="multilevel"/>
    <w:tmpl w:val="E34EA31C"/>
    <w:lvl w:ilvl="0">
      <w:start w:val="1"/>
      <w:numFmt w:val="upperRoman"/>
      <w:lvlText w:val="%1"/>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num w:numId="1">
    <w:abstractNumId w:val="9"/>
  </w:num>
  <w:num w:numId="2">
    <w:abstractNumId w:val="15"/>
  </w:num>
  <w:num w:numId="3">
    <w:abstractNumId w:val="14"/>
  </w:num>
  <w:num w:numId="4">
    <w:abstractNumId w:val="16"/>
  </w:num>
  <w:num w:numId="5">
    <w:abstractNumId w:val="4"/>
  </w:num>
  <w:num w:numId="6">
    <w:abstractNumId w:val="17"/>
  </w:num>
  <w:num w:numId="7">
    <w:abstractNumId w:val="2"/>
  </w:num>
  <w:num w:numId="8">
    <w:abstractNumId w:val="7"/>
  </w:num>
  <w:num w:numId="9">
    <w:abstractNumId w:val="10"/>
  </w:num>
  <w:num w:numId="10">
    <w:abstractNumId w:val="13"/>
  </w:num>
  <w:num w:numId="11">
    <w:abstractNumId w:val="0"/>
  </w:num>
  <w:num w:numId="12">
    <w:abstractNumId w:val="8"/>
  </w:num>
  <w:num w:numId="13">
    <w:abstractNumId w:val="11"/>
  </w:num>
  <w:num w:numId="14">
    <w:abstractNumId w:val="5"/>
  </w:num>
  <w:num w:numId="15">
    <w:abstractNumId w:val="20"/>
  </w:num>
  <w:num w:numId="16">
    <w:abstractNumId w:val="18"/>
  </w:num>
  <w:num w:numId="17">
    <w:abstractNumId w:val="12"/>
  </w:num>
  <w:num w:numId="18">
    <w:abstractNumId w:val="1"/>
  </w:num>
  <w:num w:numId="19">
    <w:abstractNumId w:val="3"/>
  </w:num>
  <w:num w:numId="20">
    <w:abstractNumId w:val="6"/>
  </w:num>
  <w:num w:numId="2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TrueTypeFonts/>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6325"/>
    <w:rsid w:val="000F0F99"/>
    <w:rsid w:val="0022637E"/>
    <w:rsid w:val="003035A6"/>
    <w:rsid w:val="00307A26"/>
    <w:rsid w:val="00363A8C"/>
    <w:rsid w:val="004C3A02"/>
    <w:rsid w:val="00522A92"/>
    <w:rsid w:val="00583259"/>
    <w:rsid w:val="006118CB"/>
    <w:rsid w:val="006B3940"/>
    <w:rsid w:val="00702D03"/>
    <w:rsid w:val="00766041"/>
    <w:rsid w:val="008068B7"/>
    <w:rsid w:val="00986325"/>
    <w:rsid w:val="00A83638"/>
    <w:rsid w:val="00B95CD9"/>
    <w:rsid w:val="00D0538A"/>
    <w:rsid w:val="00D61B00"/>
    <w:rsid w:val="00DF2114"/>
    <w:rsid w:val="00FC4A9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C58E7D79-44FF-4B09-A246-006AEA279F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4"/>
        <w:szCs w:val="24"/>
        <w:lang w:val="es-ES_tradnl"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240"/>
      <w:outlineLvl w:val="0"/>
    </w:pPr>
    <w:rPr>
      <w:color w:val="2F5496"/>
      <w:sz w:val="32"/>
      <w:szCs w:val="32"/>
    </w:rPr>
  </w:style>
  <w:style w:type="paragraph" w:styleId="Ttulo2">
    <w:name w:val="heading 2"/>
    <w:basedOn w:val="Normal"/>
    <w:next w:val="Normal"/>
    <w:pPr>
      <w:keepNext/>
      <w:keepLines/>
      <w:spacing w:before="40"/>
      <w:outlineLvl w:val="1"/>
    </w:pPr>
    <w:rPr>
      <w:color w:val="2F5496"/>
      <w:sz w:val="26"/>
      <w:szCs w:val="26"/>
    </w:rPr>
  </w:style>
  <w:style w:type="paragraph" w:styleId="Ttulo3">
    <w:name w:val="heading 3"/>
    <w:basedOn w:val="Normal"/>
    <w:next w:val="Normal"/>
    <w:pPr>
      <w:keepNext/>
      <w:keepLines/>
      <w:spacing w:before="280" w:after="80"/>
      <w:outlineLvl w:val="2"/>
    </w:pPr>
    <w:rPr>
      <w:b/>
      <w:bCs/>
      <w:sz w:val="28"/>
      <w:szCs w:val="28"/>
    </w:rPr>
  </w:style>
  <w:style w:type="paragraph" w:styleId="Ttulo4">
    <w:name w:val="heading 4"/>
    <w:basedOn w:val="Normal"/>
    <w:next w:val="Normal"/>
    <w:pPr>
      <w:keepNext/>
      <w:keepLines/>
      <w:spacing w:before="240" w:after="40"/>
      <w:outlineLvl w:val="3"/>
    </w:pPr>
    <w:rPr>
      <w:b/>
      <w:bCs/>
    </w:rPr>
  </w:style>
  <w:style w:type="paragraph" w:styleId="Ttulo5">
    <w:name w:val="heading 5"/>
    <w:basedOn w:val="Normal"/>
    <w:next w:val="Normal"/>
    <w:pPr>
      <w:keepNext/>
      <w:keepLines/>
      <w:spacing w:before="220" w:after="40"/>
      <w:outlineLvl w:val="4"/>
    </w:pPr>
    <w:rPr>
      <w:b/>
      <w:bCs/>
      <w:sz w:val="22"/>
      <w:szCs w:val="22"/>
    </w:rPr>
  </w:style>
  <w:style w:type="paragraph" w:styleId="Ttulo6">
    <w:name w:val="heading 6"/>
    <w:basedOn w:val="Normal"/>
    <w:next w:val="Normal"/>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uesto">
    <w:name w:val="Title"/>
    <w:basedOn w:val="Normal"/>
    <w:next w:val="Normal"/>
    <w:pPr>
      <w:keepNext/>
      <w:keepLines/>
      <w:spacing w:before="480" w:after="120"/>
    </w:pPr>
    <w:rPr>
      <w:b/>
      <w:bCs/>
      <w:sz w:val="72"/>
      <w:szCs w:val="72"/>
    </w:rPr>
  </w:style>
  <w:style w:type="paragraph" w:styleId="Subttulo">
    <w:name w:val="Subtitle"/>
    <w:basedOn w:val="Normal"/>
    <w:next w:val="Normal"/>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115" w:type="dxa"/>
        <w:bottom w:w="0" w:type="dxa"/>
        <w:right w:w="115" w:type="dxa"/>
      </w:tblCellMar>
    </w:tblPr>
  </w:style>
  <w:style w:type="table" w:customStyle="1" w:styleId="a0">
    <w:basedOn w:val="TableNormal"/>
    <w:tblPr>
      <w:tblStyleRowBandSize w:val="1"/>
      <w:tblStyleColBandSize w:val="1"/>
      <w:tblCellMar>
        <w:top w:w="0" w:type="dxa"/>
        <w:left w:w="70" w:type="dxa"/>
        <w:bottom w:w="0" w:type="dxa"/>
        <w:right w:w="70" w:type="dxa"/>
      </w:tblCellMar>
    </w:tblPr>
  </w:style>
  <w:style w:type="table" w:customStyle="1" w:styleId="a1">
    <w:basedOn w:val="TableNormal"/>
    <w:tblPr>
      <w:tblStyleRowBandSize w:val="1"/>
      <w:tblStyleColBandSize w:val="1"/>
      <w:tblCellMar>
        <w:top w:w="0" w:type="dxa"/>
        <w:left w:w="70" w:type="dxa"/>
        <w:bottom w:w="0" w:type="dxa"/>
        <w:right w:w="70" w:type="dxa"/>
      </w:tblCellMar>
    </w:tblPr>
  </w:style>
  <w:style w:type="paragraph" w:styleId="Prrafodelista">
    <w:name w:val="List Paragraph"/>
    <w:basedOn w:val="Normal"/>
    <w:uiPriority w:val="34"/>
    <w:qFormat/>
    <w:rsid w:val="008068B7"/>
    <w:pPr>
      <w:ind w:left="720"/>
      <w:contextualSpacing/>
    </w:pPr>
  </w:style>
  <w:style w:type="paragraph" w:styleId="Piedepgina">
    <w:name w:val="footer"/>
    <w:basedOn w:val="Normal"/>
    <w:link w:val="PiedepginaCar"/>
    <w:uiPriority w:val="99"/>
    <w:unhideWhenUsed/>
    <w:rsid w:val="00702D03"/>
    <w:pPr>
      <w:tabs>
        <w:tab w:val="center" w:pos="4419"/>
        <w:tab w:val="right" w:pos="8838"/>
      </w:tabs>
    </w:pPr>
  </w:style>
  <w:style w:type="character" w:customStyle="1" w:styleId="PiedepginaCar">
    <w:name w:val="Pie de página Car"/>
    <w:basedOn w:val="Fuentedeprrafopredeter"/>
    <w:link w:val="Piedepgina"/>
    <w:uiPriority w:val="99"/>
    <w:rsid w:val="00702D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footnotes.xml.rels><?xml version="1.0" encoding="UTF-8" standalone="yes"?>
<Relationships xmlns="http://schemas.openxmlformats.org/package/2006/relationships"><Relationship Id="rId2" Type="http://schemas.openxmlformats.org/officeDocument/2006/relationships/hyperlink" Target="http://www.oas.org/es/cidh/expresion/documentos_basicos/declaraciones.asp" TargetMode="External"/><Relationship Id="rId1" Type="http://schemas.openxmlformats.org/officeDocument/2006/relationships/hyperlink" Target="http://www.senado.gob.mx/comisiones/anticorrupcion/docs/transparencia/Iniciativa_LGTAIP.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33JipaoUpw2yfHJW8Ubdx0/WayQ==">CgMxLjAyDmgua3diZGZpZHg5eGZvMghoLmdqZGd4czIJaC4zMGowemxsMgloLjFmb2I5dGUyCWguM3pueXNoNzIOaC4xcjJuY3U4NmRpcmIyCWguMmV0OTJwMDIIaC50eWpjd3QyCWguM2R5NnZrbTIIaC5sbnhiejk4AHIhMVBMN1NBX1g1NktZWEcyU1hIZExIZ0ZtUnpNcVV1enI3</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70</Pages>
  <Words>19665</Words>
  <Characters>108158</Characters>
  <Application>Microsoft Office Word</Application>
  <DocSecurity>0</DocSecurity>
  <Lines>901</Lines>
  <Paragraphs>255</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127568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Cuenta Microsoft</cp:lastModifiedBy>
  <cp:revision>12</cp:revision>
  <cp:lastPrinted>2026-06-05T16:47:00Z</cp:lastPrinted>
  <dcterms:created xsi:type="dcterms:W3CDTF">2026-06-01T18:17:00Z</dcterms:created>
  <dcterms:modified xsi:type="dcterms:W3CDTF">2026-06-10T00:00:00Z</dcterms:modified>
</cp:coreProperties>
</file>