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0C1" w:rsidRPr="00036C4F" w:rsidRDefault="00C92E09">
      <w:pPr>
        <w:tabs>
          <w:tab w:val="left" w:pos="3465"/>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00036C4F">
        <w:rPr>
          <w:rFonts w:ascii="Palatino Linotype" w:eastAsia="Palatino Linotype" w:hAnsi="Palatino Linotype" w:cs="Palatino Linotype"/>
          <w:color w:val="000000"/>
        </w:rPr>
        <w:t>de fecha</w:t>
      </w:r>
      <w:r w:rsidR="00E5630F" w:rsidRPr="00036C4F">
        <w:rPr>
          <w:rFonts w:ascii="Palatino Linotype" w:eastAsia="Palatino Linotype" w:hAnsi="Palatino Linotype" w:cs="Palatino Linotype"/>
          <w:b/>
          <w:bCs/>
          <w:color w:val="000000"/>
        </w:rPr>
        <w:t xml:space="preserve"> veintiocho</w:t>
      </w:r>
      <w:r w:rsidRPr="00036C4F">
        <w:rPr>
          <w:rFonts w:ascii="Palatino Linotype" w:eastAsia="Palatino Linotype" w:hAnsi="Palatino Linotype" w:cs="Palatino Linotype"/>
          <w:b/>
          <w:bCs/>
          <w:color w:val="000000"/>
        </w:rPr>
        <w:t xml:space="preserve"> </w:t>
      </w:r>
      <w:r w:rsidR="00036C4F">
        <w:rPr>
          <w:rFonts w:ascii="Palatino Linotype" w:eastAsia="Palatino Linotype" w:hAnsi="Palatino Linotype" w:cs="Palatino Linotype"/>
          <w:b/>
          <w:bCs/>
          <w:color w:val="000000"/>
        </w:rPr>
        <w:t xml:space="preserve">(28) </w:t>
      </w:r>
      <w:r w:rsidRPr="00036C4F">
        <w:rPr>
          <w:rFonts w:ascii="Palatino Linotype" w:eastAsia="Palatino Linotype" w:hAnsi="Palatino Linotype" w:cs="Palatino Linotype"/>
          <w:b/>
          <w:bCs/>
          <w:color w:val="000000"/>
        </w:rPr>
        <w:t>de abril de dos mil veintiséis.</w:t>
      </w:r>
    </w:p>
    <w:p w:rsidR="001920C1" w:rsidRPr="00036C4F" w:rsidRDefault="001920C1">
      <w:pPr>
        <w:tabs>
          <w:tab w:val="left" w:pos="3465"/>
        </w:tabs>
        <w:spacing w:line="360" w:lineRule="auto"/>
        <w:jc w:val="both"/>
        <w:rPr>
          <w:rFonts w:ascii="Palatino Linotype" w:eastAsia="Palatino Linotype" w:hAnsi="Palatino Linotype" w:cs="Palatino Linotype"/>
          <w:color w:val="000000"/>
        </w:rPr>
      </w:pPr>
    </w:p>
    <w:p w:rsidR="001920C1" w:rsidRPr="00036C4F" w:rsidRDefault="00C92E09">
      <w:pPr>
        <w:spacing w:line="360" w:lineRule="auto"/>
        <w:jc w:val="both"/>
        <w:rPr>
          <w:rFonts w:ascii="Palatino Linotype" w:eastAsia="Palatino Linotype" w:hAnsi="Palatino Linotype" w:cs="Palatino Linotype"/>
          <w:b/>
          <w:bCs/>
        </w:rPr>
      </w:pPr>
      <w:r w:rsidRPr="00036C4F">
        <w:rPr>
          <w:rFonts w:ascii="Palatino Linotype" w:eastAsia="Palatino Linotype" w:hAnsi="Palatino Linotype" w:cs="Palatino Linotype"/>
          <w:b/>
          <w:bCs/>
          <w:color w:val="000000"/>
        </w:rPr>
        <w:t>VISTO</w:t>
      </w:r>
      <w:r w:rsidRPr="00036C4F">
        <w:rPr>
          <w:rFonts w:ascii="Palatino Linotype" w:eastAsia="Palatino Linotype" w:hAnsi="Palatino Linotype" w:cs="Palatino Linotype"/>
          <w:color w:val="000000"/>
        </w:rPr>
        <w:t xml:space="preserve"> el expediente electrónico formado con motivo del recurso de revisión </w:t>
      </w:r>
      <w:r w:rsidRPr="00036C4F">
        <w:rPr>
          <w:rFonts w:ascii="Palatino Linotype" w:eastAsia="Palatino Linotype" w:hAnsi="Palatino Linotype" w:cs="Palatino Linotype"/>
          <w:b/>
          <w:bCs/>
        </w:rPr>
        <w:t>1943/INFOEM/IP/RR/2026</w:t>
      </w:r>
      <w:r w:rsidRPr="00036C4F">
        <w:rPr>
          <w:rFonts w:ascii="Palatino Linotype" w:eastAsia="Palatino Linotype" w:hAnsi="Palatino Linotype" w:cs="Palatino Linotype"/>
          <w:color w:val="000000"/>
        </w:rPr>
        <w:t xml:space="preserve">, interpuesto por </w:t>
      </w:r>
      <w:r w:rsidR="00E2038B">
        <w:rPr>
          <w:rFonts w:ascii="Palatino Linotype" w:eastAsia="Palatino Linotype" w:hAnsi="Palatino Linotype" w:cs="Palatino Linotype"/>
          <w:b/>
          <w:bCs/>
          <w:color w:val="000000"/>
        </w:rPr>
        <w:t>XXXX</w:t>
      </w:r>
      <w:r w:rsidRPr="00036C4F">
        <w:rPr>
          <w:rFonts w:ascii="Palatino Linotype" w:eastAsia="Palatino Linotype" w:hAnsi="Palatino Linotype" w:cs="Palatino Linotype"/>
          <w:b/>
          <w:bCs/>
          <w:color w:val="000000"/>
        </w:rPr>
        <w:t xml:space="preserve">, </w:t>
      </w:r>
      <w:r w:rsidRPr="00036C4F">
        <w:rPr>
          <w:rFonts w:ascii="Palatino Linotype" w:eastAsia="Palatino Linotype" w:hAnsi="Palatino Linotype" w:cs="Palatino Linotype"/>
          <w:color w:val="000000"/>
        </w:rPr>
        <w:t xml:space="preserve">en su calidad de </w:t>
      </w:r>
      <w:r w:rsidRPr="00036C4F">
        <w:rPr>
          <w:rFonts w:ascii="Palatino Linotype" w:eastAsia="Palatino Linotype" w:hAnsi="Palatino Linotype" w:cs="Palatino Linotype"/>
          <w:b/>
          <w:bCs/>
          <w:color w:val="000000"/>
        </w:rPr>
        <w:t>RECURRENTE</w:t>
      </w:r>
      <w:r w:rsidRPr="00036C4F">
        <w:rPr>
          <w:rFonts w:ascii="Palatino Linotype" w:eastAsia="Palatino Linotype" w:hAnsi="Palatino Linotype" w:cs="Palatino Linotype"/>
          <w:color w:val="000000"/>
        </w:rPr>
        <w:t xml:space="preserve">; en contra de la respuesta del </w:t>
      </w:r>
      <w:r w:rsidRPr="00036C4F">
        <w:rPr>
          <w:rFonts w:ascii="Palatino Linotype" w:eastAsia="Palatino Linotype" w:hAnsi="Palatino Linotype" w:cs="Palatino Linotype"/>
          <w:b/>
          <w:bCs/>
          <w:color w:val="000000"/>
        </w:rPr>
        <w:t>Ayuntamiento de Tepotzotlán</w:t>
      </w:r>
      <w:r w:rsidRPr="00036C4F">
        <w:rPr>
          <w:rFonts w:ascii="Palatino Linotype" w:eastAsia="Palatino Linotype" w:hAnsi="Palatino Linotype" w:cs="Palatino Linotype"/>
          <w:color w:val="000000"/>
        </w:rPr>
        <w:t>, en lo sucesivo el</w:t>
      </w:r>
      <w:r w:rsidRPr="00036C4F">
        <w:rPr>
          <w:rFonts w:ascii="Palatino Linotype" w:eastAsia="Palatino Linotype" w:hAnsi="Palatino Linotype" w:cs="Palatino Linotype"/>
          <w:b/>
          <w:bCs/>
          <w:color w:val="000000"/>
        </w:rPr>
        <w:t xml:space="preserve"> SUJETO OBLIGADO, </w:t>
      </w:r>
      <w:r w:rsidRPr="00036C4F">
        <w:rPr>
          <w:rFonts w:ascii="Palatino Linotype" w:eastAsia="Palatino Linotype" w:hAnsi="Palatino Linotype" w:cs="Palatino Linotype"/>
          <w:color w:val="000000"/>
        </w:rPr>
        <w:t>se procede a dictar la presente resolución, con base en los siguientes:</w:t>
      </w:r>
    </w:p>
    <w:p w:rsidR="001920C1" w:rsidRPr="00036C4F" w:rsidRDefault="001920C1">
      <w:pPr>
        <w:spacing w:line="360" w:lineRule="auto"/>
        <w:jc w:val="both"/>
        <w:rPr>
          <w:rFonts w:ascii="Palatino Linotype" w:eastAsia="Palatino Linotype" w:hAnsi="Palatino Linotype" w:cs="Palatino Linotype"/>
          <w:color w:val="000000"/>
        </w:rPr>
      </w:pPr>
      <w:bookmarkStart w:id="0" w:name="_GoBack"/>
      <w:bookmarkEnd w:id="0"/>
    </w:p>
    <w:p w:rsidR="001920C1" w:rsidRDefault="00C92E09">
      <w:pPr>
        <w:pStyle w:val="Ttulo1"/>
        <w:spacing w:before="0" w:line="360" w:lineRule="auto"/>
        <w:jc w:val="center"/>
        <w:rPr>
          <w:b/>
          <w:bCs/>
          <w:color w:val="000000"/>
        </w:rPr>
      </w:pPr>
      <w:bookmarkStart w:id="1" w:name="_heading=h.fdpnzqqevl7y" w:colFirst="0" w:colLast="0"/>
      <w:bookmarkEnd w:id="1"/>
      <w:r w:rsidRPr="00036C4F">
        <w:rPr>
          <w:b/>
          <w:bCs/>
          <w:color w:val="000000"/>
        </w:rPr>
        <w:t>A N T E C E D E N T E S</w:t>
      </w:r>
    </w:p>
    <w:p w:rsidR="00036C4F" w:rsidRPr="00036C4F" w:rsidRDefault="00036C4F" w:rsidP="00036C4F"/>
    <w:p w:rsidR="001920C1" w:rsidRPr="00036C4F" w:rsidRDefault="00C92E09">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color w:val="000000"/>
        </w:rPr>
        <w:t xml:space="preserve">El </w:t>
      </w:r>
      <w:r w:rsidRPr="00036C4F">
        <w:rPr>
          <w:rFonts w:ascii="Palatino Linotype" w:eastAsia="Palatino Linotype" w:hAnsi="Palatino Linotype" w:cs="Palatino Linotype"/>
          <w:b/>
          <w:bCs/>
          <w:color w:val="000000"/>
        </w:rPr>
        <w:t xml:space="preserve"> diecinueve de enero de dos mil veintiséis</w:t>
      </w:r>
      <w:r w:rsidRPr="00036C4F">
        <w:rPr>
          <w:rFonts w:ascii="Palatino Linotype" w:eastAsia="Palatino Linotype" w:hAnsi="Palatino Linotype" w:cs="Palatino Linotype"/>
          <w:color w:val="000000"/>
        </w:rPr>
        <w:t xml:space="preserve">, se </w:t>
      </w:r>
      <w:r w:rsidRPr="00036C4F">
        <w:rPr>
          <w:rFonts w:ascii="Palatino Linotype" w:eastAsia="Palatino Linotype" w:hAnsi="Palatino Linotype" w:cs="Palatino Linotype"/>
        </w:rPr>
        <w:t>presentó</w:t>
      </w:r>
      <w:r w:rsidRPr="00036C4F">
        <w:rPr>
          <w:rFonts w:ascii="Palatino Linotype" w:eastAsia="Palatino Linotype" w:hAnsi="Palatino Linotype" w:cs="Palatino Linotype"/>
          <w:color w:val="000000"/>
        </w:rPr>
        <w:t xml:space="preserve"> ante 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xml:space="preserve"> vía </w:t>
      </w:r>
      <w:r w:rsidRPr="00036C4F">
        <w:rPr>
          <w:rFonts w:ascii="Palatino Linotype" w:eastAsia="Palatino Linotype" w:hAnsi="Palatino Linotype" w:cs="Palatino Linotype"/>
          <w:b/>
          <w:bCs/>
          <w:color w:val="000000"/>
        </w:rPr>
        <w:t>SAIMEX,</w:t>
      </w:r>
      <w:r w:rsidRPr="00036C4F">
        <w:rPr>
          <w:rFonts w:ascii="Palatino Linotype" w:eastAsia="Palatino Linotype" w:hAnsi="Palatino Linotype" w:cs="Palatino Linotype"/>
          <w:color w:val="000000"/>
        </w:rPr>
        <w:t xml:space="preserve"> la solicitud de información pública registrada con el número </w:t>
      </w:r>
      <w:r w:rsidRPr="00036C4F">
        <w:rPr>
          <w:rFonts w:ascii="Palatino Linotype" w:eastAsia="Palatino Linotype" w:hAnsi="Palatino Linotype" w:cs="Palatino Linotype"/>
          <w:b/>
          <w:bCs/>
          <w:color w:val="000000"/>
        </w:rPr>
        <w:t>00258/TEPOTZOT/IP/2026,</w:t>
      </w:r>
      <w:r w:rsidRPr="00036C4F">
        <w:rPr>
          <w:rFonts w:ascii="Palatino Linotype" w:eastAsia="Palatino Linotype" w:hAnsi="Palatino Linotype" w:cs="Palatino Linotype"/>
          <w:color w:val="000000"/>
        </w:rPr>
        <w:t xml:space="preserve"> solicitando la siguiente información:</w:t>
      </w:r>
      <w:r w:rsidRPr="00036C4F">
        <w:rPr>
          <w:rFonts w:ascii="Palatino Linotype" w:eastAsia="Palatino Linotype" w:hAnsi="Palatino Linotype" w:cs="Palatino Linotype"/>
          <w:b/>
          <w:bCs/>
          <w:color w:val="000000"/>
        </w:rPr>
        <w:t xml:space="preserve"> </w:t>
      </w:r>
    </w:p>
    <w:p w:rsidR="001920C1" w:rsidRPr="00036C4F" w:rsidRDefault="001920C1">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p>
    <w:p w:rsidR="001920C1" w:rsidRPr="00036C4F" w:rsidRDefault="00C92E09">
      <w:pPr>
        <w:ind w:left="567"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 “Solicito informar respecto de qué espacios deportivos se ejercieron recursos públicos para operación o mantenimiento durante los ejercicios 2024 y 2025. (Sic)</w:t>
      </w:r>
    </w:p>
    <w:p w:rsidR="001920C1" w:rsidRPr="00036C4F" w:rsidRDefault="001920C1">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1920C1" w:rsidRPr="00036C4F" w:rsidRDefault="00C92E09">
      <w:pPr>
        <w:numPr>
          <w:ilvl w:val="0"/>
          <w:numId w:val="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Se eligió como modalidad de entrega: A través del </w:t>
      </w:r>
      <w:r w:rsidRPr="00036C4F">
        <w:rPr>
          <w:rFonts w:ascii="Palatino Linotype" w:eastAsia="Palatino Linotype" w:hAnsi="Palatino Linotype" w:cs="Palatino Linotype"/>
          <w:b/>
          <w:bCs/>
          <w:color w:val="000000"/>
        </w:rPr>
        <w:t>SAIMEX.</w:t>
      </w:r>
    </w:p>
    <w:p w:rsidR="001920C1" w:rsidRPr="00036C4F" w:rsidRDefault="001920C1">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De acuerdo a las constancias que obran en el </w:t>
      </w:r>
      <w:r w:rsidRPr="00036C4F">
        <w:rPr>
          <w:rFonts w:ascii="Palatino Linotype" w:eastAsia="Palatino Linotype" w:hAnsi="Palatino Linotype" w:cs="Palatino Linotype"/>
          <w:b/>
          <w:bCs/>
          <w:color w:val="000000"/>
        </w:rPr>
        <w:t xml:space="preserve">SAIMEX, </w:t>
      </w:r>
      <w:r w:rsidRPr="00036C4F">
        <w:rPr>
          <w:rFonts w:ascii="Palatino Linotype" w:eastAsia="Palatino Linotype" w:hAnsi="Palatino Linotype" w:cs="Palatino Linotype"/>
          <w:color w:val="000000"/>
        </w:rPr>
        <w:t xml:space="preserve">se observa que el </w:t>
      </w:r>
      <w:r w:rsidRPr="00036C4F">
        <w:rPr>
          <w:rFonts w:ascii="Palatino Linotype" w:eastAsia="Palatino Linotype" w:hAnsi="Palatino Linotype" w:cs="Palatino Linotype"/>
          <w:b/>
          <w:bCs/>
          <w:color w:val="000000"/>
        </w:rPr>
        <w:t xml:space="preserve">SUJETO OBLIGADO, </w:t>
      </w:r>
      <w:r w:rsidRPr="00036C4F">
        <w:rPr>
          <w:rFonts w:ascii="Palatino Linotype" w:eastAsia="Palatino Linotype" w:hAnsi="Palatino Linotype" w:cs="Palatino Linotype"/>
          <w:color w:val="000000"/>
        </w:rPr>
        <w:t>no dio respuesta.</w:t>
      </w:r>
    </w:p>
    <w:p w:rsidR="001920C1" w:rsidRPr="00036C4F" w:rsidRDefault="001920C1">
      <w:pPr>
        <w:pBdr>
          <w:top w:val="nil"/>
          <w:left w:val="nil"/>
          <w:bottom w:val="nil"/>
          <w:right w:val="nil"/>
          <w:between w:val="nil"/>
        </w:pBdr>
        <w:ind w:right="616"/>
        <w:jc w:val="both"/>
        <w:rPr>
          <w:rFonts w:ascii="Palatino Linotype" w:eastAsia="Palatino Linotype" w:hAnsi="Palatino Linotype" w:cs="Palatino Linotype"/>
          <w:i/>
          <w:iCs/>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036C4F">
        <w:rPr>
          <w:rFonts w:ascii="Palatino Linotype" w:eastAsia="Palatino Linotype" w:hAnsi="Palatino Linotype" w:cs="Palatino Linotype"/>
          <w:b/>
          <w:bCs/>
          <w:color w:val="000000"/>
        </w:rPr>
        <w:t>EL PARTICULAR</w:t>
      </w:r>
      <w:r w:rsidRPr="00036C4F">
        <w:rPr>
          <w:rFonts w:ascii="Palatino Linotype" w:eastAsia="Palatino Linotype" w:hAnsi="Palatino Linotype" w:cs="Palatino Linotype"/>
          <w:color w:val="000000"/>
        </w:rPr>
        <w:t xml:space="preserve">, en fecha </w:t>
      </w:r>
      <w:r w:rsidRPr="00036C4F">
        <w:rPr>
          <w:rFonts w:ascii="Palatino Linotype" w:eastAsia="Palatino Linotype" w:hAnsi="Palatino Linotype" w:cs="Palatino Linotype"/>
          <w:b/>
          <w:bCs/>
          <w:color w:val="000000"/>
        </w:rPr>
        <w:t>dieciséis de febrero de dos mil veintiséis,</w:t>
      </w:r>
      <w:r w:rsidRPr="00036C4F">
        <w:rPr>
          <w:rFonts w:ascii="Palatino Linotype" w:eastAsia="Palatino Linotype" w:hAnsi="Palatino Linotype" w:cs="Palatino Linotype"/>
          <w:color w:val="000000"/>
        </w:rPr>
        <w:t xml:space="preserve"> interpuso el Recurso de Revisión </w:t>
      </w:r>
      <w:r w:rsidRPr="00036C4F">
        <w:rPr>
          <w:rFonts w:ascii="Palatino Linotype" w:eastAsia="Palatino Linotype" w:hAnsi="Palatino Linotype" w:cs="Palatino Linotype"/>
          <w:b/>
          <w:bCs/>
          <w:color w:val="000000"/>
        </w:rPr>
        <w:t xml:space="preserve">01943/INFOEM/IP/RR/2026, </w:t>
      </w:r>
      <w:r w:rsidRPr="00036C4F">
        <w:rPr>
          <w:rFonts w:ascii="Palatino Linotype" w:eastAsia="Palatino Linotype" w:hAnsi="Palatino Linotype" w:cs="Palatino Linotype"/>
          <w:color w:val="000000"/>
        </w:rPr>
        <w:t>señalando como:</w:t>
      </w:r>
    </w:p>
    <w:p w:rsidR="001920C1" w:rsidRPr="00036C4F" w:rsidRDefault="00C92E09">
      <w:pPr>
        <w:numPr>
          <w:ilvl w:val="0"/>
          <w:numId w:val="3"/>
        </w:numPr>
        <w:pBdr>
          <w:top w:val="nil"/>
          <w:left w:val="nil"/>
          <w:bottom w:val="nil"/>
          <w:right w:val="nil"/>
          <w:between w:val="nil"/>
        </w:pBdr>
        <w:ind w:right="1041"/>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b/>
          <w:bCs/>
          <w:color w:val="000000"/>
        </w:rPr>
        <w:lastRenderedPageBreak/>
        <w:t>Acto impugnado:</w:t>
      </w:r>
      <w:r w:rsidRPr="00036C4F">
        <w:rPr>
          <w:rFonts w:ascii="Palatino Linotype" w:eastAsia="Palatino Linotype" w:hAnsi="Palatino Linotype" w:cs="Palatino Linotype"/>
          <w:i/>
          <w:iCs/>
          <w:color w:val="000000"/>
        </w:rPr>
        <w:t xml:space="preserve"> “Solicito informar respecto de qué espacios deportivos se ejercieron recursos públicos para operación o mantenimiento durante los ejercicios 2024 y 2025.” (Sic).</w:t>
      </w:r>
    </w:p>
    <w:p w:rsidR="001920C1" w:rsidRPr="00036C4F" w:rsidRDefault="001920C1">
      <w:pPr>
        <w:ind w:left="567" w:right="1041" w:firstLine="708"/>
        <w:jc w:val="both"/>
        <w:rPr>
          <w:rFonts w:ascii="Palatino Linotype" w:eastAsia="Palatino Linotype" w:hAnsi="Palatino Linotype" w:cs="Palatino Linotype"/>
          <w:i/>
          <w:iCs/>
        </w:rPr>
      </w:pPr>
    </w:p>
    <w:p w:rsidR="001920C1" w:rsidRPr="00036C4F" w:rsidRDefault="00C92E09">
      <w:pPr>
        <w:numPr>
          <w:ilvl w:val="0"/>
          <w:numId w:val="3"/>
        </w:numPr>
        <w:pBdr>
          <w:top w:val="nil"/>
          <w:left w:val="nil"/>
          <w:bottom w:val="nil"/>
          <w:right w:val="nil"/>
          <w:between w:val="nil"/>
        </w:pBdr>
        <w:tabs>
          <w:tab w:val="left" w:pos="426"/>
        </w:tabs>
        <w:ind w:right="1041"/>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b/>
          <w:bCs/>
          <w:color w:val="000000"/>
        </w:rPr>
        <w:t>Motivos o razones de inconformidad</w:t>
      </w:r>
      <w:r w:rsidRPr="00036C4F">
        <w:rPr>
          <w:rFonts w:ascii="Palatino Linotype" w:eastAsia="Palatino Linotype" w:hAnsi="Palatino Linotype" w:cs="Palatino Linotype"/>
          <w:b/>
          <w:bCs/>
          <w:i/>
          <w:iCs/>
          <w:color w:val="000000"/>
        </w:rPr>
        <w:t>:</w:t>
      </w:r>
      <w:r w:rsidRPr="00036C4F">
        <w:rPr>
          <w:rFonts w:ascii="Palatino Linotype" w:eastAsia="Palatino Linotype" w:hAnsi="Palatino Linotype" w:cs="Palatino Linotype"/>
          <w:i/>
          <w:iCs/>
          <w:color w:val="000000"/>
        </w:rPr>
        <w:t xml:space="preserve"> “AGRAVIO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públicos requeridos. No orientar, turnar la solicitud ni emitir ampliación de plazo debidamente justificada. Dicha conducta constituye una obstrucción directa al derecho de 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del Sujeto Obligado, al no responder la solicitud de información dentro del plazo legal. Se ordene al H. 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artículos 194, 195, 196, 200, 213, </w:t>
      </w:r>
      <w:r w:rsidRPr="00036C4F">
        <w:rPr>
          <w:rFonts w:ascii="Palatino Linotype" w:eastAsia="Palatino Linotype" w:hAnsi="Palatino Linotype" w:cs="Palatino Linotype"/>
          <w:i/>
          <w:iCs/>
          <w:color w:val="000000"/>
        </w:rPr>
        <w:lastRenderedPageBreak/>
        <w:t>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RESERVA O DATOS PERSONALES En caso de que el sujeto obligado alegue inexistencia, solicito que se requiera al Comité de Transparencia seguir el procedimiento legal de verificación, debidamente fundado y motivado. En caso de que la información contenga datos personales, clasificados o confidenciales, solicito la elaboración y entrega de versión pública, aplicando un testado estricto, proporcional y debidamente justificado, acompañado del acta del Comité de Transparencia donde conste la determinación correspondiente.” (Sic)</w:t>
      </w:r>
    </w:p>
    <w:p w:rsidR="001920C1" w:rsidRPr="00036C4F" w:rsidRDefault="001920C1">
      <w:pPr>
        <w:tabs>
          <w:tab w:val="left" w:pos="426"/>
        </w:tabs>
        <w:ind w:left="567" w:right="616"/>
        <w:jc w:val="both"/>
        <w:rPr>
          <w:rFonts w:ascii="Palatino Linotype" w:eastAsia="Palatino Linotype" w:hAnsi="Palatino Linotype" w:cs="Palatino Linotype"/>
          <w:i/>
          <w:iCs/>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rPr>
        <w:t xml:space="preserve">Con fundamento en lo dispuesto por el artículo 185 fracción I de la </w:t>
      </w:r>
      <w:r w:rsidRPr="00036C4F">
        <w:rPr>
          <w:rFonts w:ascii="Palatino Linotype" w:eastAsia="Palatino Linotype" w:hAnsi="Palatino Linotype" w:cs="Palatino Linotype"/>
          <w:b/>
          <w:bCs/>
        </w:rPr>
        <w:t xml:space="preserve">Ley de Transparencia y Acceso a la Información Pública del Estado de México y Municipios, </w:t>
      </w:r>
      <w:r w:rsidRPr="00036C4F">
        <w:rPr>
          <w:rFonts w:ascii="Palatino Linotype" w:eastAsia="Palatino Linotype" w:hAnsi="Palatino Linotype" w:cs="Palatino Linotype"/>
        </w:rPr>
        <w:t xml:space="preserve">el presente recurso se turnó a la </w:t>
      </w:r>
      <w:r w:rsidRPr="00036C4F">
        <w:rPr>
          <w:rFonts w:ascii="Palatino Linotype" w:eastAsia="Palatino Linotype" w:hAnsi="Palatino Linotype" w:cs="Palatino Linotype"/>
          <w:b/>
          <w:bCs/>
        </w:rPr>
        <w:t>Comisionadas María del Rosario Mejía Ayala.</w:t>
      </w:r>
    </w:p>
    <w:p w:rsidR="001920C1" w:rsidRPr="00036C4F" w:rsidRDefault="001920C1">
      <w:pPr>
        <w:spacing w:line="360" w:lineRule="auto"/>
        <w:jc w:val="both"/>
        <w:rPr>
          <w:rFonts w:ascii="Palatino Linotype" w:eastAsia="Palatino Linotype" w:hAnsi="Palatino Linotype" w:cs="Palatino Linotype"/>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La Comisionada Ponente, con fundamento en lo dispuesto por el artículo 185 fracción II de la Ley de Transparencia y Acceso a la Información Pública del Estado de México y Municipios, a través del acuerdo de admisión de fecha </w:t>
      </w:r>
      <w:r w:rsidRPr="00036C4F">
        <w:rPr>
          <w:rFonts w:ascii="Palatino Linotype" w:eastAsia="Palatino Linotype" w:hAnsi="Palatino Linotype" w:cs="Palatino Linotype"/>
          <w:b/>
          <w:bCs/>
          <w:color w:val="000000"/>
        </w:rPr>
        <w:t>dieciocho de febrero de dos mil veintiséis</w:t>
      </w:r>
      <w:r w:rsidRPr="00036C4F">
        <w:rPr>
          <w:rFonts w:ascii="Palatino Linotype" w:eastAsia="Palatino Linotype" w:hAnsi="Palatino Linotype" w:cs="Palatino Linotype"/>
          <w:color w:val="000000"/>
        </w:rPr>
        <w:t>, puso a disposición de las partes el expediente electrónico vía Sistema de Acceso a la Información Mexiquense (</w:t>
      </w:r>
      <w:r w:rsidRPr="00036C4F">
        <w:rPr>
          <w:rFonts w:ascii="Palatino Linotype" w:eastAsia="Palatino Linotype" w:hAnsi="Palatino Linotype" w:cs="Palatino Linotype"/>
          <w:b/>
          <w:bCs/>
          <w:i/>
          <w:iCs/>
          <w:color w:val="000000"/>
        </w:rPr>
        <w:t>SAIMEX)</w:t>
      </w:r>
      <w:r w:rsidRPr="00036C4F">
        <w:rPr>
          <w:rFonts w:ascii="Palatino Linotype" w:eastAsia="Palatino Linotype" w:hAnsi="Palatino Linotype" w:cs="Palatino Linotype"/>
          <w:b/>
          <w:bCs/>
          <w:color w:val="000000"/>
        </w:rPr>
        <w:t xml:space="preserve"> </w:t>
      </w:r>
      <w:r w:rsidRPr="00036C4F">
        <w:rPr>
          <w:rFonts w:ascii="Palatino Linotype" w:eastAsia="Palatino Linotype" w:hAnsi="Palatino Linotype" w:cs="Palatino Linotype"/>
          <w:color w:val="000000"/>
        </w:rPr>
        <w:t xml:space="preserve">a efecto de que en un plazo máximo de siete días manifestaran lo que a su derecho convinieran, ofrecieran pruebas y alegatos según corresponda a los casos concretos, de esta forma para que 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xml:space="preserve"> presentara el informe justificado procedente.</w:t>
      </w:r>
    </w:p>
    <w:p w:rsidR="001920C1" w:rsidRPr="00036C4F" w:rsidRDefault="001920C1">
      <w:pPr>
        <w:spacing w:line="360" w:lineRule="auto"/>
        <w:rPr>
          <w:rFonts w:ascii="Palatino Linotype" w:eastAsia="Palatino Linotype" w:hAnsi="Palatino Linotype" w:cs="Palatino Linotype"/>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color w:val="000000"/>
        </w:rPr>
        <w:lastRenderedPageBreak/>
        <w:t xml:space="preserve">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xml:space="preserve"> en fecha </w:t>
      </w:r>
      <w:r w:rsidRPr="00036C4F">
        <w:rPr>
          <w:rFonts w:ascii="Palatino Linotype" w:eastAsia="Palatino Linotype" w:hAnsi="Palatino Linotype" w:cs="Palatino Linotype"/>
          <w:b/>
          <w:bCs/>
          <w:color w:val="000000"/>
        </w:rPr>
        <w:t>veinticuatro de febrero de dos mil veintiséis</w:t>
      </w:r>
      <w:r w:rsidRPr="00036C4F">
        <w:rPr>
          <w:rFonts w:ascii="Palatino Linotype" w:eastAsia="Palatino Linotype" w:hAnsi="Palatino Linotype" w:cs="Palatino Linotype"/>
          <w:color w:val="000000"/>
        </w:rPr>
        <w:t xml:space="preserve">, rindió el </w:t>
      </w:r>
      <w:r w:rsidRPr="00036C4F">
        <w:rPr>
          <w:rFonts w:ascii="Palatino Linotype" w:eastAsia="Palatino Linotype" w:hAnsi="Palatino Linotype" w:cs="Palatino Linotype"/>
          <w:b/>
          <w:bCs/>
          <w:color w:val="000000"/>
        </w:rPr>
        <w:t xml:space="preserve">INFORME JUSTIFICADO, </w:t>
      </w:r>
      <w:r w:rsidRPr="00036C4F">
        <w:rPr>
          <w:rFonts w:ascii="Palatino Linotype" w:eastAsia="Palatino Linotype" w:hAnsi="Palatino Linotype" w:cs="Palatino Linotype"/>
          <w:color w:val="000000"/>
        </w:rPr>
        <w:t xml:space="preserve">mismo que fue puesto a la vista el </w:t>
      </w:r>
      <w:r w:rsidRPr="00036C4F">
        <w:rPr>
          <w:rFonts w:ascii="Palatino Linotype" w:eastAsia="Palatino Linotype" w:hAnsi="Palatino Linotype" w:cs="Palatino Linotype"/>
          <w:b/>
          <w:bCs/>
          <w:color w:val="000000"/>
        </w:rPr>
        <w:t>veintiuno de abril de dos mil veintiséis,</w:t>
      </w:r>
      <w:r w:rsidRPr="00036C4F">
        <w:rPr>
          <w:rFonts w:ascii="Palatino Linotype" w:eastAsia="Palatino Linotype" w:hAnsi="Palatino Linotype" w:cs="Palatino Linotype"/>
          <w:color w:val="000000"/>
        </w:rPr>
        <w:t xml:space="preserve"> a través de los siguientes archivos: </w:t>
      </w:r>
    </w:p>
    <w:p w:rsidR="001920C1" w:rsidRPr="00036C4F" w:rsidRDefault="001920C1">
      <w:pPr>
        <w:pBdr>
          <w:top w:val="nil"/>
          <w:left w:val="nil"/>
          <w:bottom w:val="nil"/>
          <w:right w:val="nil"/>
          <w:between w:val="nil"/>
        </w:pBdr>
        <w:spacing w:line="276" w:lineRule="auto"/>
        <w:ind w:left="720"/>
        <w:rPr>
          <w:rFonts w:ascii="Palatino Linotype" w:eastAsia="Palatino Linotype" w:hAnsi="Palatino Linotype" w:cs="Palatino Linotype"/>
          <w:b/>
          <w:bCs/>
          <w:color w:val="000000"/>
        </w:rPr>
      </w:pPr>
    </w:p>
    <w:p w:rsidR="001920C1" w:rsidRPr="00036C4F" w:rsidRDefault="00C92E09">
      <w:pPr>
        <w:numPr>
          <w:ilvl w:val="0"/>
          <w:numId w:val="4"/>
        </w:numPr>
        <w:pBdr>
          <w:top w:val="nil"/>
          <w:left w:val="nil"/>
          <w:bottom w:val="nil"/>
          <w:right w:val="nil"/>
          <w:between w:val="nil"/>
        </w:pBdr>
        <w:tabs>
          <w:tab w:val="left" w:pos="426"/>
        </w:tabs>
        <w:spacing w:line="276" w:lineRule="auto"/>
        <w:ind w:right="758"/>
        <w:jc w:val="both"/>
        <w:rPr>
          <w:rFonts w:ascii="Palatino Linotype" w:eastAsia="Palatino Linotype" w:hAnsi="Palatino Linotype" w:cs="Palatino Linotype"/>
          <w:i/>
          <w:iCs/>
          <w:color w:val="000000"/>
        </w:rPr>
      </w:pPr>
      <w:bookmarkStart w:id="2" w:name="_heading=h.jdey4t1cvkx7" w:colFirst="0" w:colLast="0"/>
      <w:bookmarkEnd w:id="2"/>
      <w:r w:rsidRPr="00036C4F">
        <w:rPr>
          <w:rFonts w:ascii="Palatino Linotype" w:eastAsia="Palatino Linotype" w:hAnsi="Palatino Linotype" w:cs="Palatino Linotype"/>
          <w:b/>
          <w:bCs/>
          <w:color w:val="000000"/>
        </w:rPr>
        <w:t xml:space="preserve">HAT-UTAIP-2026-179 incompetencia.pdf: </w:t>
      </w:r>
      <w:r w:rsidRPr="00036C4F">
        <w:rPr>
          <w:rFonts w:ascii="Palatino Linotype" w:eastAsia="Palatino Linotype" w:hAnsi="Palatino Linotype" w:cs="Palatino Linotype"/>
          <w:color w:val="000000"/>
        </w:rPr>
        <w:t>Oficio firmado por la Titular de la Unidad de Transparencia, por el que informó que lo solicitado es competencia del “Instituto Municipal de Cultura Física y Deporte de Tepotzotlán".</w:t>
      </w:r>
    </w:p>
    <w:p w:rsidR="001920C1" w:rsidRPr="00036C4F" w:rsidRDefault="001920C1">
      <w:pPr>
        <w:tabs>
          <w:tab w:val="left" w:pos="426"/>
        </w:tabs>
        <w:spacing w:line="360" w:lineRule="auto"/>
        <w:jc w:val="both"/>
        <w:rPr>
          <w:rFonts w:ascii="Palatino Linotype" w:eastAsia="Palatino Linotype" w:hAnsi="Palatino Linotype" w:cs="Palatino Linotype"/>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Por su parte, el </w:t>
      </w:r>
      <w:r w:rsidRPr="00036C4F">
        <w:rPr>
          <w:rFonts w:ascii="Palatino Linotype" w:eastAsia="Palatino Linotype" w:hAnsi="Palatino Linotype" w:cs="Palatino Linotype"/>
          <w:b/>
          <w:bCs/>
          <w:color w:val="000000"/>
        </w:rPr>
        <w:t>RECURRENTE</w:t>
      </w:r>
      <w:r w:rsidRPr="00036C4F">
        <w:rPr>
          <w:rFonts w:ascii="Palatino Linotype" w:eastAsia="Palatino Linotype" w:hAnsi="Palatino Linotype" w:cs="Palatino Linotype"/>
          <w:color w:val="000000"/>
        </w:rPr>
        <w:t xml:space="preserve"> fue omiso en realizar manifestaciones o presentar alegatos que a su derecho convinieran.</w:t>
      </w:r>
    </w:p>
    <w:p w:rsidR="001920C1" w:rsidRPr="00036C4F" w:rsidRDefault="001920C1">
      <w:pPr>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 xml:space="preserve">En fecha </w:t>
      </w:r>
      <w:r w:rsidRPr="00036C4F">
        <w:rPr>
          <w:rFonts w:ascii="Palatino Linotype" w:eastAsia="Palatino Linotype" w:hAnsi="Palatino Linotype" w:cs="Palatino Linotype"/>
          <w:b/>
          <w:bCs/>
        </w:rPr>
        <w:t>veintiuno de abril de dos mil veintiséis,</w:t>
      </w:r>
      <w:r w:rsidRPr="00036C4F">
        <w:rPr>
          <w:rFonts w:ascii="Palatino Linotype" w:eastAsia="Palatino Linotype" w:hAnsi="Palatino Linotype" w:cs="Palatino Linotype"/>
        </w:rPr>
        <w:t xml:space="preserve"> se notificó el acuerdo mediante el cual se aprobó la ampliación de plazo para emitir resolución, dentro del recurso de revisión que nos ocupa.</w:t>
      </w:r>
    </w:p>
    <w:p w:rsidR="001920C1" w:rsidRPr="00036C4F" w:rsidRDefault="001920C1">
      <w:pPr>
        <w:rPr>
          <w:rFonts w:ascii="Palatino Linotype" w:eastAsia="Palatino Linotype" w:hAnsi="Palatino Linotype" w:cs="Palatino Linotype"/>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El día </w:t>
      </w:r>
      <w:r w:rsidRPr="00036C4F">
        <w:rPr>
          <w:rFonts w:ascii="Palatino Linotype" w:eastAsia="Palatino Linotype" w:hAnsi="Palatino Linotype" w:cs="Palatino Linotype"/>
          <w:b/>
          <w:bCs/>
          <w:color w:val="000000"/>
        </w:rPr>
        <w:t>veintisiete de abril de dos mil veintiséis</w:t>
      </w:r>
      <w:r w:rsidRPr="00036C4F">
        <w:rPr>
          <w:rFonts w:ascii="Palatino Linotype" w:eastAsia="Palatino Linotype" w:hAnsi="Palatino Linotype" w:cs="Palatino Linotype"/>
          <w:color w:val="000000"/>
        </w:rPr>
        <w:t xml:space="preserve">, la Comisionada Ponente decretó el </w:t>
      </w:r>
      <w:r w:rsidRPr="00036C4F">
        <w:rPr>
          <w:rFonts w:ascii="Palatino Linotype" w:eastAsia="Palatino Linotype" w:hAnsi="Palatino Linotype" w:cs="Palatino Linotype"/>
          <w:b/>
          <w:bCs/>
          <w:color w:val="000000"/>
        </w:rPr>
        <w:t>cierre del periodo de instrucción</w:t>
      </w:r>
      <w:r w:rsidRPr="00036C4F">
        <w:rPr>
          <w:rFonts w:ascii="Palatino Linotype" w:eastAsia="Palatino Linotype" w:hAnsi="Palatino Linotype" w:cs="Palatino Linotype"/>
          <w:color w:val="000000"/>
        </w:rPr>
        <w:t xml:space="preserve"> del Recurso, ordenando turnar el expediente para su resolución, por lo que no más habiendo más que hacer constar, y </w:t>
      </w:r>
    </w:p>
    <w:p w:rsidR="001920C1" w:rsidRPr="00036C4F" w:rsidRDefault="001920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1920C1" w:rsidRPr="00036C4F" w:rsidRDefault="00C92E09">
      <w:pPr>
        <w:pStyle w:val="Ttulo1"/>
        <w:spacing w:before="0" w:line="360" w:lineRule="auto"/>
        <w:jc w:val="center"/>
        <w:rPr>
          <w:b/>
          <w:bCs/>
          <w:color w:val="000000"/>
        </w:rPr>
      </w:pPr>
      <w:bookmarkStart w:id="3" w:name="_heading=h.9izlly42vg8j" w:colFirst="0" w:colLast="0"/>
      <w:bookmarkEnd w:id="3"/>
      <w:r w:rsidRPr="00036C4F">
        <w:rPr>
          <w:b/>
          <w:bCs/>
          <w:color w:val="000000"/>
        </w:rPr>
        <w:t>C</w:t>
      </w:r>
      <w:r w:rsidR="00036C4F">
        <w:rPr>
          <w:b/>
          <w:bCs/>
          <w:color w:val="000000"/>
        </w:rPr>
        <w:t xml:space="preserve"> </w:t>
      </w:r>
      <w:r w:rsidRPr="00036C4F">
        <w:rPr>
          <w:b/>
          <w:bCs/>
          <w:color w:val="000000"/>
        </w:rPr>
        <w:t>O</w:t>
      </w:r>
      <w:r w:rsidR="00036C4F">
        <w:rPr>
          <w:b/>
          <w:bCs/>
          <w:color w:val="000000"/>
        </w:rPr>
        <w:t xml:space="preserve"> </w:t>
      </w:r>
      <w:r w:rsidRPr="00036C4F">
        <w:rPr>
          <w:b/>
          <w:bCs/>
          <w:color w:val="000000"/>
        </w:rPr>
        <w:t>N</w:t>
      </w:r>
      <w:r w:rsidR="00036C4F">
        <w:rPr>
          <w:b/>
          <w:bCs/>
          <w:color w:val="000000"/>
        </w:rPr>
        <w:t xml:space="preserve"> </w:t>
      </w:r>
      <w:r w:rsidRPr="00036C4F">
        <w:rPr>
          <w:b/>
          <w:bCs/>
          <w:color w:val="000000"/>
        </w:rPr>
        <w:t>S</w:t>
      </w:r>
      <w:r w:rsidR="00036C4F">
        <w:rPr>
          <w:b/>
          <w:bCs/>
          <w:color w:val="000000"/>
        </w:rPr>
        <w:t xml:space="preserve"> </w:t>
      </w:r>
      <w:r w:rsidRPr="00036C4F">
        <w:rPr>
          <w:b/>
          <w:bCs/>
          <w:color w:val="000000"/>
        </w:rPr>
        <w:t>I</w:t>
      </w:r>
      <w:r w:rsidR="00036C4F">
        <w:rPr>
          <w:b/>
          <w:bCs/>
          <w:color w:val="000000"/>
        </w:rPr>
        <w:t xml:space="preserve"> </w:t>
      </w:r>
      <w:r w:rsidRPr="00036C4F">
        <w:rPr>
          <w:b/>
          <w:bCs/>
          <w:color w:val="000000"/>
        </w:rPr>
        <w:t>D</w:t>
      </w:r>
      <w:r w:rsidR="00036C4F">
        <w:rPr>
          <w:b/>
          <w:bCs/>
          <w:color w:val="000000"/>
        </w:rPr>
        <w:t xml:space="preserve"> </w:t>
      </w:r>
      <w:r w:rsidRPr="00036C4F">
        <w:rPr>
          <w:b/>
          <w:bCs/>
          <w:color w:val="000000"/>
        </w:rPr>
        <w:t>E</w:t>
      </w:r>
      <w:r w:rsidR="00036C4F">
        <w:rPr>
          <w:b/>
          <w:bCs/>
          <w:color w:val="000000"/>
        </w:rPr>
        <w:t xml:space="preserve"> </w:t>
      </w:r>
      <w:r w:rsidRPr="00036C4F">
        <w:rPr>
          <w:b/>
          <w:bCs/>
          <w:color w:val="000000"/>
        </w:rPr>
        <w:t>R</w:t>
      </w:r>
      <w:r w:rsidR="00036C4F">
        <w:rPr>
          <w:b/>
          <w:bCs/>
          <w:color w:val="000000"/>
        </w:rPr>
        <w:t xml:space="preserve"> </w:t>
      </w:r>
      <w:r w:rsidRPr="00036C4F">
        <w:rPr>
          <w:b/>
          <w:bCs/>
          <w:color w:val="000000"/>
        </w:rPr>
        <w:t>A</w:t>
      </w:r>
      <w:r w:rsidR="00036C4F">
        <w:rPr>
          <w:b/>
          <w:bCs/>
          <w:color w:val="000000"/>
        </w:rPr>
        <w:t xml:space="preserve"> </w:t>
      </w:r>
      <w:r w:rsidRPr="00036C4F">
        <w:rPr>
          <w:b/>
          <w:bCs/>
          <w:color w:val="000000"/>
        </w:rPr>
        <w:t>N</w:t>
      </w:r>
      <w:r w:rsidR="00036C4F">
        <w:rPr>
          <w:b/>
          <w:bCs/>
          <w:color w:val="000000"/>
        </w:rPr>
        <w:t xml:space="preserve"> </w:t>
      </w:r>
      <w:r w:rsidRPr="00036C4F">
        <w:rPr>
          <w:b/>
          <w:bCs/>
          <w:color w:val="000000"/>
        </w:rPr>
        <w:t>D</w:t>
      </w:r>
      <w:r w:rsidR="00036C4F">
        <w:rPr>
          <w:b/>
          <w:bCs/>
          <w:color w:val="000000"/>
        </w:rPr>
        <w:t xml:space="preserve"> </w:t>
      </w:r>
      <w:r w:rsidRPr="00036C4F">
        <w:rPr>
          <w:b/>
          <w:bCs/>
          <w:color w:val="000000"/>
        </w:rPr>
        <w:t>O</w:t>
      </w:r>
      <w:r w:rsidR="00036C4F">
        <w:rPr>
          <w:b/>
          <w:bCs/>
          <w:color w:val="000000"/>
        </w:rPr>
        <w:t xml:space="preserve"> </w:t>
      </w:r>
    </w:p>
    <w:p w:rsidR="001920C1" w:rsidRPr="00036C4F" w:rsidRDefault="001920C1">
      <w:pPr>
        <w:spacing w:line="360" w:lineRule="auto"/>
        <w:rPr>
          <w:rFonts w:ascii="Palatino Linotype" w:eastAsia="Palatino Linotype" w:hAnsi="Palatino Linotype" w:cs="Palatino Linotype"/>
          <w:color w:val="000000"/>
        </w:rPr>
      </w:pPr>
    </w:p>
    <w:p w:rsidR="001920C1" w:rsidRPr="00036C4F" w:rsidRDefault="00C92E09">
      <w:pPr>
        <w:pStyle w:val="Ttulo2"/>
        <w:spacing w:before="0" w:line="360" w:lineRule="auto"/>
        <w:rPr>
          <w:rFonts w:ascii="Palatino Linotype" w:eastAsia="Palatino Linotype" w:hAnsi="Palatino Linotype" w:cs="Palatino Linotype"/>
          <w:b/>
          <w:bCs/>
          <w:color w:val="000000"/>
          <w:sz w:val="24"/>
          <w:szCs w:val="24"/>
        </w:rPr>
      </w:pPr>
      <w:bookmarkStart w:id="4" w:name="_heading=h.77zqxws4befe" w:colFirst="0" w:colLast="0"/>
      <w:bookmarkEnd w:id="4"/>
      <w:r w:rsidRPr="00036C4F">
        <w:rPr>
          <w:rFonts w:ascii="Palatino Linotype" w:eastAsia="Palatino Linotype" w:hAnsi="Palatino Linotype" w:cs="Palatino Linotype"/>
          <w:b/>
          <w:bCs/>
          <w:color w:val="000000"/>
          <w:sz w:val="24"/>
          <w:szCs w:val="24"/>
        </w:rPr>
        <w:t>PRIMERO. De la competencia</w:t>
      </w: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w:t>
      </w:r>
      <w:r w:rsidRPr="00036C4F">
        <w:rPr>
          <w:rFonts w:ascii="Palatino Linotype" w:eastAsia="Palatino Linotype" w:hAnsi="Palatino Linotype" w:cs="Palatino Linotype"/>
          <w:color w:val="000000"/>
        </w:rPr>
        <w:lastRenderedPageBreak/>
        <w:t>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1920C1" w:rsidRPr="00036C4F" w:rsidRDefault="001920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p>
    <w:p w:rsidR="001920C1" w:rsidRPr="00036C4F" w:rsidRDefault="00C92E09">
      <w:pPr>
        <w:pStyle w:val="Ttulo2"/>
        <w:tabs>
          <w:tab w:val="left" w:pos="426"/>
        </w:tabs>
        <w:spacing w:before="0" w:line="360" w:lineRule="auto"/>
        <w:rPr>
          <w:rFonts w:ascii="Palatino Linotype" w:eastAsia="Palatino Linotype" w:hAnsi="Palatino Linotype" w:cs="Palatino Linotype"/>
          <w:b/>
          <w:bCs/>
          <w:color w:val="000000"/>
          <w:sz w:val="24"/>
          <w:szCs w:val="24"/>
        </w:rPr>
      </w:pPr>
      <w:bookmarkStart w:id="5" w:name="_heading=h.klfo0lgk9n6t" w:colFirst="0" w:colLast="0"/>
      <w:bookmarkEnd w:id="5"/>
      <w:r w:rsidRPr="00036C4F">
        <w:rPr>
          <w:rFonts w:ascii="Palatino Linotype" w:eastAsia="Palatino Linotype" w:hAnsi="Palatino Linotype" w:cs="Palatino Linotype"/>
          <w:b/>
          <w:bCs/>
          <w:color w:val="000000"/>
          <w:sz w:val="24"/>
          <w:szCs w:val="24"/>
        </w:rPr>
        <w:t>SEGUNDO. De la oportunidad y procedencia.</w:t>
      </w: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bookmarkStart w:id="6" w:name="_heading=h.fhg46bwsyqsv" w:colFirst="0" w:colLast="0"/>
      <w:bookmarkEnd w:id="6"/>
      <w:r w:rsidRPr="00036C4F">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sidRPr="00036C4F">
        <w:rPr>
          <w:rFonts w:ascii="Palatino Linotype" w:eastAsia="Palatino Linotype" w:hAnsi="Palatino Linotype" w:cs="Palatino Linotype"/>
          <w:b/>
          <w:bCs/>
        </w:rPr>
        <w:t>SUJETO OBLIGADO</w:t>
      </w:r>
      <w:r w:rsidRPr="00036C4F">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1920C1" w:rsidRPr="00036C4F" w:rsidRDefault="001920C1">
      <w:pPr>
        <w:tabs>
          <w:tab w:val="left" w:pos="284"/>
        </w:tabs>
        <w:spacing w:line="360" w:lineRule="auto"/>
        <w:jc w:val="both"/>
        <w:rPr>
          <w:rFonts w:ascii="Palatino Linotype" w:eastAsia="Palatino Linotype" w:hAnsi="Palatino Linotype" w:cs="Palatino Linotype"/>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rPr>
        <w:t xml:space="preserve">Por ende, se constituye la figura jurídica de la </w:t>
      </w:r>
      <w:r w:rsidRPr="00036C4F">
        <w:rPr>
          <w:rFonts w:ascii="Palatino Linotype" w:eastAsia="Palatino Linotype" w:hAnsi="Palatino Linotype" w:cs="Palatino Linotype"/>
          <w:i/>
          <w:iCs/>
        </w:rPr>
        <w:t>negativa ficta</w:t>
      </w:r>
      <w:r w:rsidRPr="00036C4F">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sidRPr="00036C4F">
        <w:rPr>
          <w:rFonts w:ascii="Palatino Linotype" w:eastAsia="Palatino Linotype" w:hAnsi="Palatino Linotype" w:cs="Palatino Linotype"/>
          <w:b/>
          <w:bCs/>
        </w:rPr>
        <w:t>178</w:t>
      </w:r>
      <w:r w:rsidRPr="00036C4F">
        <w:rPr>
          <w:rFonts w:ascii="Palatino Linotype" w:eastAsia="Palatino Linotype" w:hAnsi="Palatino Linotype" w:cs="Palatino Linotype"/>
        </w:rPr>
        <w:t xml:space="preserve"> segundo párrafo de </w:t>
      </w:r>
      <w:r w:rsidRPr="00036C4F">
        <w:rPr>
          <w:rFonts w:ascii="Palatino Linotype" w:eastAsia="Palatino Linotype" w:hAnsi="Palatino Linotype" w:cs="Palatino Linotype"/>
          <w:b/>
          <w:bCs/>
        </w:rPr>
        <w:t>Ley de Transparencia y Acceso a la Información Pública del Estado de México y Municipios</w:t>
      </w:r>
      <w:r w:rsidRPr="00036C4F">
        <w:rPr>
          <w:rFonts w:ascii="Palatino Linotype" w:eastAsia="Palatino Linotype" w:hAnsi="Palatino Linotype" w:cs="Palatino Linotype"/>
          <w:color w:val="000000"/>
        </w:rPr>
        <w:t xml:space="preserve">, que dispone; ante la falta de respuesta del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xml:space="preserve"> dentro de los plazos establecidos en esta Ley, a una solicitud de acceso a la información pública, el recurso </w:t>
      </w:r>
      <w:r w:rsidRPr="00036C4F">
        <w:rPr>
          <w:rFonts w:ascii="Palatino Linotype" w:eastAsia="Palatino Linotype" w:hAnsi="Palatino Linotype" w:cs="Palatino Linotype"/>
          <w:b/>
          <w:bCs/>
          <w:color w:val="000000"/>
        </w:rPr>
        <w:t xml:space="preserve">podrá ser interpuesto en cualquier momento. </w:t>
      </w:r>
    </w:p>
    <w:p w:rsidR="001920C1" w:rsidRPr="00036C4F" w:rsidRDefault="001920C1">
      <w:pPr>
        <w:tabs>
          <w:tab w:val="left" w:pos="284"/>
        </w:tabs>
        <w:spacing w:line="360" w:lineRule="auto"/>
        <w:jc w:val="both"/>
        <w:rPr>
          <w:rFonts w:ascii="Palatino Linotype" w:eastAsia="Palatino Linotype" w:hAnsi="Palatino Linotype" w:cs="Palatino Linotype"/>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rPr>
        <w:lastRenderedPageBreak/>
        <w:t xml:space="preserve">Por lo que, tratándose de la </w:t>
      </w:r>
      <w:r w:rsidRPr="00036C4F">
        <w:rPr>
          <w:rFonts w:ascii="Palatino Linotype" w:eastAsia="Palatino Linotype" w:hAnsi="Palatino Linotype" w:cs="Palatino Linotype"/>
          <w:i/>
          <w:iCs/>
        </w:rPr>
        <w:t>negativa ficta</w:t>
      </w:r>
      <w:r w:rsidRPr="00036C4F">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36C4F">
        <w:rPr>
          <w:rFonts w:ascii="Palatino Linotype" w:eastAsia="Palatino Linotype" w:hAnsi="Palatino Linotype" w:cs="Palatino Linotype"/>
          <w:i/>
          <w:iCs/>
        </w:rPr>
        <w:t>negativa ficta</w:t>
      </w:r>
      <w:r w:rsidRPr="00036C4F">
        <w:rPr>
          <w:rFonts w:ascii="Palatino Linotype" w:eastAsia="Palatino Linotype" w:hAnsi="Palatino Linotype" w:cs="Palatino Linotype"/>
        </w:rPr>
        <w:t>, que señala:</w:t>
      </w:r>
    </w:p>
    <w:p w:rsidR="001920C1" w:rsidRPr="00036C4F" w:rsidRDefault="00C92E09">
      <w:pPr>
        <w:tabs>
          <w:tab w:val="left" w:pos="284"/>
          <w:tab w:val="left" w:pos="7655"/>
        </w:tabs>
        <w:spacing w:after="240"/>
        <w:ind w:left="709" w:right="1041" w:firstLine="425"/>
        <w:jc w:val="center"/>
        <w:rPr>
          <w:rFonts w:ascii="Palatino Linotype" w:eastAsia="Palatino Linotype" w:hAnsi="Palatino Linotype" w:cs="Palatino Linotype"/>
          <w:b/>
          <w:bCs/>
        </w:rPr>
      </w:pPr>
      <w:r w:rsidRPr="00036C4F">
        <w:rPr>
          <w:rFonts w:ascii="Palatino Linotype" w:eastAsia="Palatino Linotype" w:hAnsi="Palatino Linotype" w:cs="Palatino Linotype"/>
          <w:b/>
          <w:bCs/>
        </w:rPr>
        <w:t>Criterio 0001-15</w:t>
      </w:r>
    </w:p>
    <w:p w:rsidR="001920C1" w:rsidRPr="00036C4F" w:rsidRDefault="00C92E09">
      <w:pPr>
        <w:tabs>
          <w:tab w:val="left" w:pos="284"/>
          <w:tab w:val="left" w:pos="7655"/>
        </w:tabs>
        <w:spacing w:before="240" w:after="240"/>
        <w:ind w:left="709" w:right="1041" w:firstLine="425"/>
        <w:jc w:val="both"/>
        <w:rPr>
          <w:rFonts w:ascii="Palatino Linotype" w:eastAsia="Palatino Linotype" w:hAnsi="Palatino Linotype" w:cs="Palatino Linotype"/>
          <w:i/>
          <w:iCs/>
        </w:rPr>
      </w:pPr>
      <w:r w:rsidRPr="00036C4F">
        <w:rPr>
          <w:rFonts w:ascii="Palatino Linotype" w:eastAsia="Palatino Linotype" w:hAnsi="Palatino Linotype" w:cs="Palatino Linotype"/>
          <w:b/>
          <w:bCs/>
          <w:i/>
          <w:iCs/>
        </w:rPr>
        <w:t>NEGATIVA FICTA. PLAZO PARA INTERPONER EL RECURSO DE REVISIÓN TRATÁNDOSE DE.</w:t>
      </w:r>
      <w:r w:rsidRPr="00036C4F">
        <w:rPr>
          <w:rFonts w:ascii="Palatino Linotype" w:eastAsia="Palatino Linotype" w:hAnsi="Palatino Linotype" w:cs="Palatino Linotype"/>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1920C1" w:rsidRPr="00036C4F" w:rsidRDefault="001920C1">
      <w:pPr>
        <w:tabs>
          <w:tab w:val="left" w:pos="284"/>
          <w:tab w:val="left" w:pos="7655"/>
        </w:tabs>
        <w:spacing w:before="240" w:after="240"/>
        <w:ind w:right="822"/>
        <w:jc w:val="both"/>
        <w:rPr>
          <w:rFonts w:ascii="Palatino Linotype" w:eastAsia="Palatino Linotype" w:hAnsi="Palatino Linotype" w:cs="Palatino Linotype"/>
          <w:i/>
          <w:iCs/>
        </w:rPr>
      </w:pPr>
    </w:p>
    <w:p w:rsidR="001920C1" w:rsidRPr="00036C4F" w:rsidRDefault="00C92E09">
      <w:pPr>
        <w:numPr>
          <w:ilvl w:val="0"/>
          <w:numId w:val="1"/>
        </w:numPr>
        <w:spacing w:line="360" w:lineRule="auto"/>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lastRenderedPageBreak/>
        <w:t xml:space="preserve">Lo anterior, se explica porque la </w:t>
      </w:r>
      <w:r w:rsidRPr="00036C4F">
        <w:rPr>
          <w:rFonts w:ascii="Palatino Linotype" w:eastAsia="Palatino Linotype" w:hAnsi="Palatino Linotype" w:cs="Palatino Linotype"/>
          <w:b/>
          <w:bCs/>
          <w:color w:val="000000"/>
          <w:u w:val="single"/>
        </w:rPr>
        <w:t>posible ausencia</w:t>
      </w:r>
      <w:r w:rsidRPr="00036C4F">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w:t>
      </w:r>
    </w:p>
    <w:p w:rsidR="001920C1" w:rsidRPr="00036C4F" w:rsidRDefault="001920C1">
      <w:pPr>
        <w:spacing w:line="360" w:lineRule="auto"/>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b/>
          <w:bCs/>
        </w:rPr>
      </w:pPr>
      <w:r w:rsidRPr="00036C4F">
        <w:rPr>
          <w:rFonts w:ascii="Palatino Linotype" w:eastAsia="Palatino Linotype" w:hAnsi="Palatino Linotype" w:cs="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920C1" w:rsidRPr="00036C4F" w:rsidRDefault="001920C1">
      <w:pPr>
        <w:spacing w:line="360" w:lineRule="auto"/>
        <w:ind w:right="49"/>
        <w:jc w:val="both"/>
        <w:rPr>
          <w:rFonts w:ascii="Palatino Linotype" w:eastAsia="Palatino Linotype" w:hAnsi="Palatino Linotype" w:cs="Palatino Linotype"/>
          <w:b/>
          <w:bCs/>
        </w:rPr>
      </w:pPr>
    </w:p>
    <w:p w:rsidR="001920C1" w:rsidRPr="00036C4F" w:rsidRDefault="00C92E09">
      <w:pPr>
        <w:pStyle w:val="Ttulo2"/>
        <w:rPr>
          <w:rFonts w:ascii="Palatino Linotype" w:eastAsia="Palatino Linotype" w:hAnsi="Palatino Linotype" w:cs="Palatino Linotype"/>
          <w:b/>
          <w:bCs/>
          <w:color w:val="000000"/>
          <w:sz w:val="24"/>
          <w:szCs w:val="24"/>
        </w:rPr>
      </w:pPr>
      <w:bookmarkStart w:id="7" w:name="_heading=h.dn5jabr0az4k" w:colFirst="0" w:colLast="0"/>
      <w:bookmarkEnd w:id="7"/>
      <w:r w:rsidRPr="00036C4F">
        <w:rPr>
          <w:rFonts w:ascii="Palatino Linotype" w:eastAsia="Palatino Linotype" w:hAnsi="Palatino Linotype" w:cs="Palatino Linotype"/>
          <w:b/>
          <w:bCs/>
          <w:color w:val="000000"/>
          <w:sz w:val="24"/>
          <w:szCs w:val="24"/>
        </w:rPr>
        <w:t xml:space="preserve">TERCERO. De las causales del sobreseimiento </w:t>
      </w:r>
    </w:p>
    <w:p w:rsidR="001920C1" w:rsidRPr="00036C4F" w:rsidRDefault="001920C1"/>
    <w:p w:rsidR="001920C1" w:rsidRPr="00036C4F" w:rsidRDefault="00C92E09">
      <w:pPr>
        <w:numPr>
          <w:ilvl w:val="0"/>
          <w:numId w:val="1"/>
        </w:numPr>
        <w:pBdr>
          <w:top w:val="nil"/>
          <w:left w:val="nil"/>
          <w:bottom w:val="nil"/>
          <w:right w:val="nil"/>
          <w:between w:val="nil"/>
        </w:pBdr>
        <w:tabs>
          <w:tab w:val="left" w:pos="426"/>
        </w:tabs>
        <w:spacing w:line="360" w:lineRule="auto"/>
        <w:ind w:right="49"/>
        <w:jc w:val="both"/>
        <w:rPr>
          <w:b/>
          <w:bCs/>
          <w:color w:val="000000"/>
        </w:rPr>
      </w:pPr>
      <w:r w:rsidRPr="00036C4F">
        <w:rPr>
          <w:rFonts w:ascii="Palatino Linotype" w:eastAsia="Palatino Linotype" w:hAnsi="Palatino Linotype" w:cs="Palatino Linotype"/>
          <w:color w:val="000000"/>
        </w:rPr>
        <w:t>Este Instituto, realiza el estudio preferente y oficioso de las cuales de improcedencia, en el entendido de que las mismas deben ser analizadas sea que las hayan hecho valer o no las partes, por tratarse de una cuestión de orden público y de estudio preferente.</w:t>
      </w:r>
    </w:p>
    <w:p w:rsidR="001920C1" w:rsidRPr="00036C4F" w:rsidRDefault="001920C1">
      <w:pPr>
        <w:spacing w:line="360" w:lineRule="auto"/>
        <w:ind w:right="49"/>
        <w:jc w:val="both"/>
        <w:rPr>
          <w:rFonts w:ascii="Palatino Linotype" w:eastAsia="Palatino Linotype" w:hAnsi="Palatino Linotype" w:cs="Palatino Linotype"/>
        </w:rPr>
      </w:pPr>
    </w:p>
    <w:p w:rsidR="001920C1" w:rsidRPr="00036C4F" w:rsidRDefault="00C92E09">
      <w:pPr>
        <w:numPr>
          <w:ilvl w:val="0"/>
          <w:numId w:val="1"/>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En primer término es necesario recordar que el particular solicitó lo siguiente:</w:t>
      </w:r>
    </w:p>
    <w:p w:rsidR="001920C1" w:rsidRPr="00036C4F" w:rsidRDefault="001920C1">
      <w:pPr>
        <w:spacing w:line="360" w:lineRule="auto"/>
        <w:ind w:right="49"/>
        <w:jc w:val="both"/>
        <w:rPr>
          <w:rFonts w:ascii="Palatino Linotype" w:eastAsia="Palatino Linotype" w:hAnsi="Palatino Linotype" w:cs="Palatino Linotype"/>
        </w:rPr>
      </w:pPr>
    </w:p>
    <w:p w:rsidR="001920C1" w:rsidRPr="00036C4F" w:rsidRDefault="00C92E09">
      <w:pPr>
        <w:pBdr>
          <w:top w:val="nil"/>
          <w:left w:val="nil"/>
          <w:bottom w:val="nil"/>
          <w:right w:val="nil"/>
          <w:between w:val="nil"/>
        </w:pBdr>
        <w:ind w:left="644" w:right="899"/>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“Solicito informar respecto de qué espacios deportivos se ejercieron recursos públicos para operación o mantenimiento durante los ejercicios 2024 y 2025. (Sic)</w:t>
      </w:r>
    </w:p>
    <w:p w:rsidR="001920C1" w:rsidRPr="00036C4F" w:rsidRDefault="001920C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rsidR="001920C1" w:rsidRPr="00036C4F" w:rsidRDefault="00C92E09">
      <w:pPr>
        <w:numPr>
          <w:ilvl w:val="0"/>
          <w:numId w:val="1"/>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Inconforme por no haber proporcionado respuesta el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el particular interpuso recurso de revisión con número</w:t>
      </w:r>
      <w:r w:rsidRPr="00036C4F">
        <w:rPr>
          <w:rFonts w:ascii="Palatino Linotype" w:eastAsia="Palatino Linotype" w:hAnsi="Palatino Linotype" w:cs="Palatino Linotype"/>
          <w:b/>
          <w:bCs/>
          <w:color w:val="000000"/>
        </w:rPr>
        <w:t xml:space="preserve">  01943/INFOEM/IP/RR/2026, </w:t>
      </w:r>
      <w:r w:rsidRPr="00036C4F">
        <w:rPr>
          <w:rFonts w:ascii="Palatino Linotype" w:eastAsia="Palatino Linotype" w:hAnsi="Palatino Linotype" w:cs="Palatino Linotype"/>
          <w:color w:val="000000"/>
        </w:rPr>
        <w:t>señalando como:</w:t>
      </w:r>
    </w:p>
    <w:p w:rsidR="001920C1" w:rsidRPr="00036C4F" w:rsidRDefault="001920C1">
      <w:pPr>
        <w:pBdr>
          <w:top w:val="nil"/>
          <w:left w:val="nil"/>
          <w:bottom w:val="nil"/>
          <w:right w:val="nil"/>
          <w:between w:val="nil"/>
        </w:pBdr>
        <w:ind w:left="720"/>
        <w:rPr>
          <w:rFonts w:ascii="Palatino Linotype" w:eastAsia="Palatino Linotype" w:hAnsi="Palatino Linotype" w:cs="Palatino Linotype"/>
          <w:color w:val="000000"/>
        </w:rPr>
      </w:pPr>
    </w:p>
    <w:p w:rsidR="001920C1" w:rsidRPr="00036C4F" w:rsidRDefault="00C92E09">
      <w:pPr>
        <w:ind w:left="567" w:right="616"/>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b/>
          <w:bCs/>
          <w:color w:val="000000"/>
        </w:rPr>
        <w:t>Acto impugnado:</w:t>
      </w:r>
      <w:r w:rsidRPr="00036C4F">
        <w:rPr>
          <w:rFonts w:ascii="Palatino Linotype" w:eastAsia="Palatino Linotype" w:hAnsi="Palatino Linotype" w:cs="Palatino Linotype"/>
          <w:i/>
          <w:iCs/>
          <w:color w:val="000000"/>
        </w:rPr>
        <w:t xml:space="preserve"> “Solicito informar respecto de qué espacios deportivos se ejercieron recursos públicos para operación o mantenimiento durante los ejercicios 2024 y 2025.?” (Sic).</w:t>
      </w:r>
    </w:p>
    <w:p w:rsidR="001920C1" w:rsidRPr="00036C4F" w:rsidRDefault="001920C1">
      <w:pPr>
        <w:ind w:left="567" w:right="616" w:firstLine="708"/>
        <w:jc w:val="both"/>
        <w:rPr>
          <w:rFonts w:ascii="Palatino Linotype" w:eastAsia="Palatino Linotype" w:hAnsi="Palatino Linotype" w:cs="Palatino Linotype"/>
          <w:i/>
          <w:iCs/>
        </w:rPr>
      </w:pPr>
    </w:p>
    <w:p w:rsidR="001920C1" w:rsidRPr="00036C4F" w:rsidRDefault="00C92E09">
      <w:pPr>
        <w:tabs>
          <w:tab w:val="left" w:pos="426"/>
        </w:tabs>
        <w:ind w:left="567" w:right="616"/>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b/>
          <w:bCs/>
          <w:color w:val="000000"/>
        </w:rPr>
        <w:t>Motivos o razones de inconformidad</w:t>
      </w:r>
      <w:r w:rsidRPr="00036C4F">
        <w:rPr>
          <w:rFonts w:ascii="Palatino Linotype" w:eastAsia="Palatino Linotype" w:hAnsi="Palatino Linotype" w:cs="Palatino Linotype"/>
          <w:b/>
          <w:bCs/>
          <w:i/>
          <w:iCs/>
          <w:color w:val="000000"/>
        </w:rPr>
        <w:t>:</w:t>
      </w:r>
      <w:r w:rsidRPr="00036C4F">
        <w:rPr>
          <w:rFonts w:ascii="Palatino Linotype" w:eastAsia="Palatino Linotype" w:hAnsi="Palatino Linotype" w:cs="Palatino Linotype"/>
          <w:i/>
          <w:iCs/>
          <w:color w:val="000000"/>
        </w:rPr>
        <w:t xml:space="preserve"> “AGRAVIO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públicos requeridos. No orientar, turnar la solicitud ni emitir ampliación de plazo debidamente justificada. Dicha conducta constituye una obstrucción directa al derecho de 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del Sujeto Obligado, al no responder la solicitud de información dentro del plazo legal. Se ordene al H. 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artículos 194, 195, 196, 200, 213, 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w:t>
      </w:r>
      <w:r w:rsidRPr="00036C4F">
        <w:rPr>
          <w:rFonts w:ascii="Palatino Linotype" w:eastAsia="Palatino Linotype" w:hAnsi="Palatino Linotype" w:cs="Palatino Linotype"/>
          <w:i/>
          <w:iCs/>
          <w:color w:val="000000"/>
        </w:rPr>
        <w:lastRenderedPageBreak/>
        <w:t>RESERVA O DATOS PERSONALES En caso de que el sujeto obligado alegue inexistencia, solicito que se requiera al Comité de Transparencia seguir el procedimiento legal de verificación, debidamente fundado y motivado. En caso de que la información contenga datos personales, clasificados o confidenciales, solicito la elaboración y entrega de versión pública, aplicando un testado estricto, proporcional y debidamente justificado, acompañado del acta del Comité de Transparencia donde conste la determinación correspondiente. (Sic)</w:t>
      </w:r>
    </w:p>
    <w:p w:rsidR="001920C1" w:rsidRPr="00036C4F" w:rsidRDefault="001920C1">
      <w:pPr>
        <w:pBdr>
          <w:top w:val="nil"/>
          <w:left w:val="nil"/>
          <w:bottom w:val="nil"/>
          <w:right w:val="nil"/>
          <w:between w:val="nil"/>
        </w:pBdr>
        <w:spacing w:before="240" w:line="360" w:lineRule="auto"/>
        <w:ind w:right="49"/>
        <w:jc w:val="both"/>
        <w:rPr>
          <w:rFonts w:ascii="Palatino Linotype" w:eastAsia="Palatino Linotype" w:hAnsi="Palatino Linotype" w:cs="Palatino Linotype"/>
          <w:b/>
          <w:bCs/>
          <w:color w:val="000000"/>
        </w:rPr>
      </w:pPr>
      <w:bookmarkStart w:id="8" w:name="_heading=h.8xplxrid01tl" w:colFirst="0" w:colLast="0"/>
      <w:bookmarkEnd w:id="8"/>
    </w:p>
    <w:p w:rsidR="001920C1" w:rsidRPr="00036C4F" w:rsidRDefault="00C92E09">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r w:rsidRPr="00036C4F">
        <w:rPr>
          <w:rFonts w:ascii="Palatino Linotype" w:eastAsia="Palatino Linotype" w:hAnsi="Palatino Linotype" w:cs="Palatino Linotype"/>
          <w:color w:val="000000"/>
        </w:rPr>
        <w:t>No obstante,</w:t>
      </w:r>
      <w:r w:rsidRPr="00036C4F">
        <w:rPr>
          <w:rFonts w:ascii="Palatino Linotype" w:eastAsia="Palatino Linotype" w:hAnsi="Palatino Linotype" w:cs="Palatino Linotype"/>
          <w:b/>
          <w:bCs/>
          <w:color w:val="000000"/>
        </w:rPr>
        <w:t xml:space="preserve"> EL</w:t>
      </w:r>
      <w:r w:rsidRPr="00036C4F">
        <w:rPr>
          <w:rFonts w:ascii="Palatino Linotype" w:eastAsia="Palatino Linotype" w:hAnsi="Palatino Linotype" w:cs="Palatino Linotype"/>
          <w:color w:val="000000"/>
        </w:rPr>
        <w:t xml:space="preserve"> </w:t>
      </w:r>
      <w:r w:rsidRPr="00036C4F">
        <w:rPr>
          <w:rFonts w:ascii="Palatino Linotype" w:eastAsia="Palatino Linotype" w:hAnsi="Palatino Linotype" w:cs="Palatino Linotype"/>
          <w:b/>
          <w:bCs/>
          <w:color w:val="000000"/>
        </w:rPr>
        <w:t>SUJETO OBLIGADO</w:t>
      </w:r>
      <w:r w:rsidRPr="00036C4F">
        <w:rPr>
          <w:rFonts w:ascii="Palatino Linotype" w:eastAsia="Palatino Linotype" w:hAnsi="Palatino Linotype" w:cs="Palatino Linotype"/>
          <w:color w:val="000000"/>
        </w:rPr>
        <w:t xml:space="preserve"> en aras de satisfacer el derecho de acceso a la información pública que le asiste al ahora </w:t>
      </w:r>
      <w:r w:rsidRPr="00036C4F">
        <w:rPr>
          <w:rFonts w:ascii="Palatino Linotype" w:eastAsia="Palatino Linotype" w:hAnsi="Palatino Linotype" w:cs="Palatino Linotype"/>
          <w:b/>
          <w:bCs/>
          <w:color w:val="000000"/>
        </w:rPr>
        <w:t>RECURRENTE,</w:t>
      </w:r>
      <w:r w:rsidRPr="00036C4F">
        <w:rPr>
          <w:rFonts w:ascii="Palatino Linotype" w:eastAsia="Palatino Linotype" w:hAnsi="Palatino Linotype" w:cs="Palatino Linotype"/>
          <w:color w:val="000000"/>
        </w:rPr>
        <w:t xml:space="preserve"> busco colmar el acceso de derecho a la información </w:t>
      </w:r>
      <w:r w:rsidRPr="00036C4F">
        <w:rPr>
          <w:rFonts w:ascii="Palatino Linotype" w:eastAsia="Palatino Linotype" w:hAnsi="Palatino Linotype" w:cs="Palatino Linotype"/>
          <w:b/>
          <w:bCs/>
          <w:color w:val="000000"/>
        </w:rPr>
        <w:t xml:space="preserve">01332/TEPOTZOT/IP/2025, </w:t>
      </w:r>
      <w:r w:rsidRPr="00036C4F">
        <w:rPr>
          <w:rFonts w:ascii="Palatino Linotype" w:eastAsia="Palatino Linotype" w:hAnsi="Palatino Linotype" w:cs="Palatino Linotype"/>
          <w:color w:val="000000"/>
        </w:rPr>
        <w:t>vía Informe Justificado, informo que lo solicitado es competencia del IMCUFIDE, por lo que resulta necesario referir, lo señalado en la Ley de Transparencia y Acceso a la Información Pública del Estado de México y Municipios, en su artículo 167, respecto de la incompetencia refiere lo siguiente:</w:t>
      </w:r>
    </w:p>
    <w:p w:rsidR="001920C1" w:rsidRPr="00036C4F" w:rsidRDefault="001920C1">
      <w:pPr>
        <w:spacing w:line="360" w:lineRule="auto"/>
        <w:ind w:left="567" w:right="900" w:firstLine="142"/>
        <w:jc w:val="both"/>
        <w:rPr>
          <w:rFonts w:ascii="Palatino Linotype" w:eastAsia="Palatino Linotype" w:hAnsi="Palatino Linotype" w:cs="Palatino Linotype"/>
        </w:rPr>
      </w:pPr>
    </w:p>
    <w:p w:rsidR="001920C1" w:rsidRPr="00036C4F" w:rsidRDefault="00C92E09">
      <w:pPr>
        <w:spacing w:line="276" w:lineRule="auto"/>
        <w:ind w:left="567" w:right="900"/>
        <w:jc w:val="both"/>
        <w:rPr>
          <w:rFonts w:ascii="Times New Roman" w:eastAsia="Times New Roman" w:hAnsi="Times New Roman" w:cs="Times New Roman"/>
          <w:b/>
          <w:bCs/>
          <w:i/>
          <w:iCs/>
        </w:rPr>
      </w:pPr>
      <w:r w:rsidRPr="00036C4F">
        <w:rPr>
          <w:rFonts w:ascii="Times New Roman" w:eastAsia="Times New Roman" w:hAnsi="Times New Roman" w:cs="Times New Roman"/>
          <w:b/>
          <w:bCs/>
          <w:i/>
          <w:iCs/>
        </w:rPr>
        <w:t>Artículo 167.</w:t>
      </w:r>
    </w:p>
    <w:p w:rsidR="001920C1" w:rsidRPr="00036C4F" w:rsidRDefault="00C92E09">
      <w:pPr>
        <w:spacing w:line="276" w:lineRule="auto"/>
        <w:ind w:left="567" w:right="900"/>
        <w:jc w:val="both"/>
        <w:rPr>
          <w:rFonts w:ascii="Palatino Linotype" w:eastAsia="Palatino Linotype" w:hAnsi="Palatino Linotype" w:cs="Palatino Linotype"/>
          <w:i/>
          <w:iCs/>
        </w:rPr>
      </w:pPr>
      <w:r w:rsidRPr="00036C4F">
        <w:rPr>
          <w:rFonts w:ascii="Times New Roman" w:eastAsia="Times New Roman" w:hAnsi="Times New Roman" w:cs="Times New Roman"/>
          <w:i/>
          <w:iCs/>
        </w:rPr>
        <w:t xml:space="preserve"> “Cuando las unidades de transparencia determinen la notoria incompetencia por parte de los sujetos obligados, dentro del ámbito de aplicación, para atender la solicitud de acceso a la información, </w:t>
      </w:r>
      <w:r w:rsidRPr="00036C4F">
        <w:rPr>
          <w:rFonts w:ascii="Times New Roman" w:eastAsia="Times New Roman" w:hAnsi="Times New Roman" w:cs="Times New Roman"/>
          <w:i/>
          <w:iCs/>
          <w:u w:val="single"/>
        </w:rPr>
        <w:t>deberán comunicarlo al solicitante, dentro de los tres días hábiles posteriores a la recepción de la solicitud</w:t>
      </w:r>
      <w:r w:rsidRPr="00036C4F">
        <w:rPr>
          <w:rFonts w:ascii="Times New Roman" w:eastAsia="Times New Roman" w:hAnsi="Times New Roman" w:cs="Times New Roman"/>
          <w:i/>
          <w:iCs/>
        </w:rPr>
        <w:t xml:space="preserve"> y, </w:t>
      </w:r>
      <w:r w:rsidRPr="00036C4F">
        <w:rPr>
          <w:rFonts w:ascii="Times New Roman" w:eastAsia="Times New Roman" w:hAnsi="Times New Roman" w:cs="Times New Roman"/>
          <w:i/>
          <w:iCs/>
          <w:u w:val="single"/>
        </w:rPr>
        <w:t>en su caso orientar al solicitante, el o los sujetos obligados competentes.</w:t>
      </w:r>
      <w:r w:rsidRPr="00036C4F">
        <w:rPr>
          <w:rFonts w:ascii="Times New Roman" w:eastAsia="Times New Roman" w:hAnsi="Times New Roman" w:cs="Times New Roman"/>
          <w:i/>
          <w:iCs/>
        </w:rPr>
        <w:t xml:space="preserve">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(sic)</w:t>
      </w:r>
    </w:p>
    <w:p w:rsidR="001920C1" w:rsidRPr="00036C4F" w:rsidRDefault="001920C1">
      <w:pPr>
        <w:spacing w:line="360" w:lineRule="auto"/>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i/>
          <w:iCs/>
        </w:rPr>
      </w:pPr>
      <w:r w:rsidRPr="00036C4F">
        <w:rPr>
          <w:rFonts w:ascii="Palatino Linotype" w:eastAsia="Palatino Linotype" w:hAnsi="Palatino Linotype" w:cs="Palatino Linotype"/>
        </w:rPr>
        <w:t>Es así como, este Órgano Resolutor, respecto de la incompetencia hecha valer, refiere lo que establece la Ley de Transparencia y Acceso a la Información Pública del Estado de México y Municipios</w:t>
      </w:r>
    </w:p>
    <w:p w:rsidR="001920C1" w:rsidRPr="00036C4F" w:rsidRDefault="001920C1">
      <w:pPr>
        <w:pBdr>
          <w:top w:val="nil"/>
          <w:left w:val="nil"/>
          <w:bottom w:val="nil"/>
          <w:right w:val="nil"/>
          <w:between w:val="nil"/>
        </w:pBdr>
        <w:ind w:left="720"/>
        <w:rPr>
          <w:rFonts w:ascii="Palatino Linotype" w:eastAsia="Palatino Linotype" w:hAnsi="Palatino Linotype" w:cs="Palatino Linotype"/>
          <w:i/>
          <w:iCs/>
          <w:color w:val="000000"/>
        </w:rPr>
      </w:pPr>
    </w:p>
    <w:p w:rsidR="001920C1" w:rsidRPr="00036C4F" w:rsidRDefault="00C92E09">
      <w:pPr>
        <w:spacing w:line="276" w:lineRule="auto"/>
        <w:ind w:left="993" w:right="758"/>
        <w:jc w:val="both"/>
        <w:rPr>
          <w:rFonts w:ascii="Palatino Linotype" w:eastAsia="Palatino Linotype" w:hAnsi="Palatino Linotype" w:cs="Palatino Linotype"/>
          <w:i/>
          <w:iCs/>
        </w:rPr>
      </w:pPr>
      <w:r w:rsidRPr="00036C4F">
        <w:rPr>
          <w:rFonts w:ascii="Palatino Linotype" w:eastAsia="Palatino Linotype" w:hAnsi="Palatino Linotype" w:cs="Palatino Linotype"/>
          <w:b/>
          <w:bCs/>
          <w:i/>
          <w:iCs/>
        </w:rPr>
        <w:t>Artículo 23.</w:t>
      </w:r>
      <w:r w:rsidRPr="00036C4F">
        <w:rPr>
          <w:rFonts w:ascii="Palatino Linotype" w:eastAsia="Palatino Linotype" w:hAnsi="Palatino Linotype" w:cs="Palatino Linotype"/>
          <w:i/>
          <w:iCs/>
        </w:rPr>
        <w:t xml:space="preserve"> Son sujetos obligados a transparentar y permitir el acceso a su información y proteger los datos personales que obren en su poder:</w:t>
      </w:r>
    </w:p>
    <w:p w:rsidR="001920C1" w:rsidRPr="00036C4F" w:rsidRDefault="001920C1">
      <w:pPr>
        <w:spacing w:line="276" w:lineRule="auto"/>
        <w:ind w:left="993" w:right="758"/>
        <w:jc w:val="both"/>
        <w:rPr>
          <w:rFonts w:ascii="Palatino Linotype" w:eastAsia="Palatino Linotype" w:hAnsi="Palatino Linotype" w:cs="Palatino Linotype"/>
          <w:i/>
          <w:iCs/>
        </w:rPr>
      </w:pP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El Poder Ejecutivo del Estado de México, las dependencias, organismos auxiliares, órganos, entidades, fideicomisos y fondos públicos, así como la Fiscalía General de Justicia del Estado de México;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El Poder Legislativo del Estado, los organismos, órganos y entidades de la Legislatura y sus dependencias;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El Poder Judicial, sus organismos, órganos y entidades, así como el Consejo de la Judicatura del Estado;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Los ayuntamientos y las dependencias, organismos, órganos y entidades de la administración municipal;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Los órganos autónomos;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Los tribunales administrativos y autoridades jurisdiccionales en materia laboral;</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Los partidos políticos y agrupaciones políticas, en los términos de las disposiciones aplicables;</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Los fideicomisos y fondos públicos que cuenten con financiamiento público, parcial o total, o con participación de entidades de gobierno;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Los sindicatos que reciban y/o ejerzan recursos públicos en el ámbito estatal y municipal;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Cualquier persona física o jurídico colectiva que reciba y ejerza recursos públicos en el ámbito estatal o municipal; y </w:t>
      </w:r>
    </w:p>
    <w:p w:rsidR="001920C1" w:rsidRPr="00036C4F" w:rsidRDefault="00C92E09">
      <w:pPr>
        <w:numPr>
          <w:ilvl w:val="0"/>
          <w:numId w:val="5"/>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Cualquier otra autoridad, entidad, órgano u organismo de los poderes estatal o municipal, que reciba recursos públicos. </w:t>
      </w:r>
    </w:p>
    <w:p w:rsidR="001920C1" w:rsidRPr="00036C4F" w:rsidRDefault="001920C1">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p>
    <w:p w:rsidR="001920C1" w:rsidRPr="00036C4F" w:rsidRDefault="00C92E09">
      <w:pPr>
        <w:spacing w:line="276" w:lineRule="auto"/>
        <w:ind w:left="1053" w:right="758"/>
        <w:jc w:val="both"/>
        <w:rPr>
          <w:rFonts w:ascii="Palatino Linotype" w:eastAsia="Palatino Linotype" w:hAnsi="Palatino Linotype" w:cs="Palatino Linotype"/>
          <w:i/>
          <w:iCs/>
        </w:rPr>
      </w:pPr>
      <w:r w:rsidRPr="00036C4F">
        <w:rPr>
          <w:rFonts w:ascii="Palatino Linotype" w:eastAsia="Palatino Linotype" w:hAnsi="Palatino Linotype" w:cs="Palatino Linotype"/>
          <w:i/>
          <w:iC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w:t>
      </w:r>
      <w:r w:rsidRPr="00036C4F">
        <w:rPr>
          <w:rFonts w:ascii="Palatino Linotype" w:eastAsia="Palatino Linotype" w:hAnsi="Palatino Linotype" w:cs="Palatino Linotype"/>
          <w:i/>
          <w:iCs/>
        </w:rPr>
        <w:lastRenderedPageBreak/>
        <w:t>acciones así como garantizar y respetar el derecho de acceso a la información pública.</w:t>
      </w:r>
    </w:p>
    <w:p w:rsidR="001920C1" w:rsidRPr="00036C4F" w:rsidRDefault="001920C1">
      <w:pPr>
        <w:spacing w:line="276" w:lineRule="auto"/>
        <w:ind w:left="1053" w:right="758"/>
        <w:jc w:val="both"/>
        <w:rPr>
          <w:rFonts w:ascii="Palatino Linotype" w:eastAsia="Palatino Linotype" w:hAnsi="Palatino Linotype" w:cs="Palatino Linotype"/>
          <w:i/>
          <w:iCs/>
        </w:rPr>
      </w:pPr>
    </w:p>
    <w:p w:rsidR="001920C1" w:rsidRPr="00036C4F" w:rsidRDefault="00C92E09">
      <w:pPr>
        <w:spacing w:line="276" w:lineRule="auto"/>
        <w:ind w:left="1053" w:right="758"/>
        <w:jc w:val="both"/>
        <w:rPr>
          <w:rFonts w:ascii="Palatino Linotype" w:eastAsia="Palatino Linotype" w:hAnsi="Palatino Linotype" w:cs="Palatino Linotype"/>
          <w:i/>
          <w:iCs/>
        </w:rPr>
      </w:pPr>
      <w:r w:rsidRPr="00036C4F">
        <w:rPr>
          <w:rFonts w:ascii="Palatino Linotype" w:eastAsia="Palatino Linotype" w:hAnsi="Palatino Linotype" w:cs="Palatino Linotype"/>
          <w:b/>
          <w:bCs/>
          <w:i/>
          <w:iCs/>
        </w:rPr>
        <w:t>Artículo 53</w:t>
      </w:r>
      <w:r w:rsidRPr="00036C4F">
        <w:rPr>
          <w:rFonts w:ascii="Palatino Linotype" w:eastAsia="Palatino Linotype" w:hAnsi="Palatino Linotype" w:cs="Palatino Linotype"/>
          <w:i/>
          <w:iCs/>
        </w:rPr>
        <w:t>. Las Unidades de Transparencia tendrán las siguientes funciones:</w:t>
      </w:r>
    </w:p>
    <w:p w:rsidR="001920C1" w:rsidRPr="00036C4F" w:rsidRDefault="00C92E09">
      <w:pPr>
        <w:numPr>
          <w:ilvl w:val="0"/>
          <w:numId w:val="6"/>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1920C1" w:rsidRPr="00036C4F" w:rsidRDefault="00C92E09">
      <w:pPr>
        <w:numPr>
          <w:ilvl w:val="0"/>
          <w:numId w:val="6"/>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 Recibir, tramitar y dar respuesta a las solicitudes de acceso a la información;</w:t>
      </w:r>
    </w:p>
    <w:p w:rsidR="001920C1" w:rsidRPr="00036C4F" w:rsidRDefault="00C92E09">
      <w:pPr>
        <w:numPr>
          <w:ilvl w:val="0"/>
          <w:numId w:val="6"/>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w:t>
      </w:r>
    </w:p>
    <w:p w:rsidR="001920C1" w:rsidRPr="00036C4F" w:rsidRDefault="00C92E09">
      <w:pPr>
        <w:numPr>
          <w:ilvl w:val="0"/>
          <w:numId w:val="6"/>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 Realizar, con efectividad, los trámites internos necesarios para la atención de las solicitudes de acceso a la información;</w:t>
      </w:r>
    </w:p>
    <w:p w:rsidR="001920C1" w:rsidRPr="00036C4F" w:rsidRDefault="00C92E09">
      <w:pPr>
        <w:numPr>
          <w:ilvl w:val="0"/>
          <w:numId w:val="6"/>
        </w:numPr>
        <w:pBdr>
          <w:top w:val="nil"/>
          <w:left w:val="nil"/>
          <w:bottom w:val="nil"/>
          <w:right w:val="nil"/>
          <w:between w:val="nil"/>
        </w:pBdr>
        <w:spacing w:line="276" w:lineRule="auto"/>
        <w:ind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Entregar, en su caso, a los particulares la información solicitada;</w:t>
      </w:r>
    </w:p>
    <w:p w:rsidR="001920C1" w:rsidRPr="00036C4F" w:rsidRDefault="001920C1">
      <w:pPr>
        <w:pBdr>
          <w:top w:val="nil"/>
          <w:left w:val="nil"/>
          <w:bottom w:val="nil"/>
          <w:right w:val="nil"/>
          <w:between w:val="nil"/>
        </w:pBdr>
        <w:ind w:left="720"/>
        <w:rPr>
          <w:rFonts w:ascii="Palatino Linotype" w:eastAsia="Palatino Linotype" w:hAnsi="Palatino Linotype" w:cs="Palatino Linotype"/>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 xml:space="preserve">Aunado a lo anterior, la Ley General de Transparencia y Acceso a la Información Pública al caso concreto refiere lo siguiente: </w:t>
      </w:r>
    </w:p>
    <w:p w:rsidR="001920C1" w:rsidRPr="00036C4F" w:rsidRDefault="001920C1">
      <w:pPr>
        <w:pBdr>
          <w:top w:val="nil"/>
          <w:left w:val="nil"/>
          <w:bottom w:val="nil"/>
          <w:right w:val="nil"/>
          <w:between w:val="nil"/>
        </w:pBdr>
        <w:spacing w:line="360" w:lineRule="auto"/>
        <w:ind w:left="1773" w:right="758"/>
        <w:jc w:val="both"/>
        <w:rPr>
          <w:rFonts w:ascii="Palatino Linotype" w:eastAsia="Palatino Linotype" w:hAnsi="Palatino Linotype" w:cs="Palatino Linotype"/>
          <w:i/>
          <w:iCs/>
          <w:color w:val="000000"/>
        </w:rPr>
      </w:pPr>
    </w:p>
    <w:p w:rsidR="001920C1" w:rsidRPr="00036C4F" w:rsidRDefault="00C92E09">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b/>
          <w:bCs/>
          <w:i/>
          <w:iCs/>
          <w:color w:val="000000"/>
        </w:rPr>
        <w:t>Artículo 45</w:t>
      </w:r>
      <w:r w:rsidRPr="00036C4F">
        <w:rPr>
          <w:rFonts w:ascii="Palatino Linotype" w:eastAsia="Palatino Linotype" w:hAnsi="Palatino Linotype" w:cs="Palatino Linotype"/>
          <w:i/>
          <w:iCs/>
          <w:color w:val="000000"/>
        </w:rPr>
        <w:t>. Los sujetos obligados designarán al responsable de la Unidad de Transparencia que tendrá las siguientes funciones:</w:t>
      </w:r>
    </w:p>
    <w:p w:rsidR="001920C1" w:rsidRPr="00036C4F" w:rsidRDefault="00C92E09">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II. Recibir y dar trámite a las solicitudes de acceso a la información; </w:t>
      </w:r>
    </w:p>
    <w:p w:rsidR="001920C1" w:rsidRPr="00036C4F" w:rsidRDefault="00C92E09">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w:t>
      </w:r>
    </w:p>
    <w:p w:rsidR="001920C1" w:rsidRPr="00036C4F" w:rsidRDefault="00C92E09">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IV. Realizar los trámites internos necesarios para la atención de las solicitudes de acceso a la información;</w:t>
      </w:r>
    </w:p>
    <w:p w:rsidR="001920C1" w:rsidRPr="00036C4F" w:rsidRDefault="00C92E09">
      <w:pPr>
        <w:pBdr>
          <w:top w:val="nil"/>
          <w:left w:val="nil"/>
          <w:bottom w:val="nil"/>
          <w:right w:val="nil"/>
          <w:between w:val="nil"/>
        </w:pBdr>
        <w:spacing w:line="276" w:lineRule="auto"/>
        <w:ind w:left="1773" w:right="758"/>
        <w:jc w:val="both"/>
        <w:rPr>
          <w:rFonts w:ascii="Palatino Linotype" w:eastAsia="Palatino Linotype" w:hAnsi="Palatino Linotype" w:cs="Palatino Linotype"/>
          <w:i/>
          <w:iCs/>
          <w:color w:val="000000"/>
        </w:rPr>
      </w:pPr>
      <w:r w:rsidRPr="00036C4F">
        <w:rPr>
          <w:rFonts w:ascii="Palatino Linotype" w:eastAsia="Palatino Linotype" w:hAnsi="Palatino Linotype" w:cs="Palatino Linotype"/>
          <w:i/>
          <w:iCs/>
          <w:color w:val="000000"/>
        </w:rPr>
        <w:t xml:space="preserve"> V. Efectuar las notificaciones a los solicitantes;</w:t>
      </w:r>
    </w:p>
    <w:p w:rsidR="001920C1" w:rsidRPr="00036C4F" w:rsidRDefault="001920C1">
      <w:pPr>
        <w:pBdr>
          <w:top w:val="nil"/>
          <w:left w:val="nil"/>
          <w:bottom w:val="nil"/>
          <w:right w:val="nil"/>
          <w:between w:val="nil"/>
        </w:pBdr>
        <w:spacing w:line="360" w:lineRule="auto"/>
        <w:ind w:left="1773" w:right="758"/>
        <w:jc w:val="both"/>
        <w:rPr>
          <w:rFonts w:ascii="Palatino Linotype" w:eastAsia="Palatino Linotype" w:hAnsi="Palatino Linotype" w:cs="Palatino Linotype"/>
          <w:i/>
          <w:iCs/>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i/>
          <w:iCs/>
        </w:rPr>
      </w:pPr>
      <w:r w:rsidRPr="00036C4F">
        <w:rPr>
          <w:rFonts w:ascii="Palatino Linotype" w:eastAsia="Palatino Linotype" w:hAnsi="Palatino Linotype" w:cs="Palatino Linotype"/>
        </w:rPr>
        <w:t xml:space="preserve">Ahora bien, se advierte que dada la naturaleza de la información solicitada, versa respecto los espacios deportivos que forman parte del patrimonio municipal de Tepotzotlán, por lo que al respecto, resulta necesario referir que, el objetivo principal del </w:t>
      </w:r>
      <w:hyperlink r:id="rId8">
        <w:r w:rsidRPr="00036C4F">
          <w:rPr>
            <w:rFonts w:ascii="Palatino Linotype" w:eastAsia="Palatino Linotype" w:hAnsi="Palatino Linotype" w:cs="Palatino Linotype"/>
            <w:color w:val="0563C1"/>
            <w:u w:val="single"/>
          </w:rPr>
          <w:t>IMCUFIDE Tepotzotlán</w:t>
        </w:r>
      </w:hyperlink>
      <w:r w:rsidRPr="00036C4F">
        <w:rPr>
          <w:rFonts w:ascii="Palatino Linotype" w:eastAsia="Palatino Linotype" w:hAnsi="Palatino Linotype" w:cs="Palatino Linotype"/>
        </w:rPr>
        <w:t xml:space="preserve"> (Instituto Municipal de Cultura Física y Deporte) es establecer, desarrollar y difundir políticas integrales e incluyentes de cultura física y deporte. Busca incrementar la práctica deportiva, fomentar la integración social y familiar, y garantizar el acceso a beneficios deportivos para toda la población del municipio.</w:t>
      </w:r>
    </w:p>
    <w:p w:rsidR="001920C1" w:rsidRPr="00036C4F" w:rsidRDefault="001920C1">
      <w:pPr>
        <w:spacing w:line="360" w:lineRule="auto"/>
        <w:jc w:val="both"/>
        <w:rPr>
          <w:rFonts w:ascii="Palatino Linotype" w:eastAsia="Palatino Linotype" w:hAnsi="Palatino Linotype" w:cs="Palatino Linotype"/>
          <w:i/>
          <w:iCs/>
        </w:rPr>
      </w:pPr>
    </w:p>
    <w:p w:rsidR="001920C1" w:rsidRPr="00036C4F" w:rsidRDefault="00C92E09">
      <w:pPr>
        <w:numPr>
          <w:ilvl w:val="0"/>
          <w:numId w:val="1"/>
        </w:numPr>
        <w:spacing w:line="360" w:lineRule="auto"/>
        <w:jc w:val="both"/>
        <w:rPr>
          <w:rFonts w:ascii="Palatino Linotype" w:eastAsia="Palatino Linotype" w:hAnsi="Palatino Linotype" w:cs="Palatino Linotype"/>
          <w:i/>
          <w:iCs/>
        </w:rPr>
      </w:pPr>
      <w:r w:rsidRPr="00036C4F">
        <w:rPr>
          <w:rFonts w:ascii="Palatino Linotype" w:eastAsia="Palatino Linotype" w:hAnsi="Palatino Linotype" w:cs="Palatino Linotype"/>
        </w:rPr>
        <w:t xml:space="preserve">Es así que, los espacios deportivos que forman parte del patrimonio municipal de Tepotzotlán son gestionados y administrados por el </w:t>
      </w:r>
      <w:r w:rsidRPr="00036C4F">
        <w:rPr>
          <w:rFonts w:ascii="Palatino Linotype" w:eastAsia="Palatino Linotype" w:hAnsi="Palatino Linotype" w:cs="Palatino Linotype"/>
          <w:b/>
          <w:bCs/>
        </w:rPr>
        <w:t xml:space="preserve">Instituto Municipal de Cultura Física y Deporte de Tepotzotlán (IMCUFIDE), </w:t>
      </w:r>
      <w:r w:rsidRPr="00036C4F">
        <w:rPr>
          <w:rFonts w:ascii="Palatino Linotype" w:eastAsia="Palatino Linotype" w:hAnsi="Palatino Linotype" w:cs="Palatino Linotype"/>
        </w:rPr>
        <w:t xml:space="preserve">ello de acuerdo a lo establecido por la LEY QUE CREA EL ORGANISMO PÚBLICO DESCENTRALIZADO DENOMINADO INSTITUTO MUNICIPAL DE CULTURA FÍSICA Y DEPORTE DE TEPOTZOTLÁN, dicha ley, prevé que, el IMCUFIDE, es un Organismo Público Descentralizado denominado “Instituto Municipal de Cultura Física y Deporte de Tepotzotlán ”, como un organismo público con personalidad jurídica y </w:t>
      </w:r>
      <w:r w:rsidRPr="00036C4F">
        <w:rPr>
          <w:rFonts w:ascii="Palatino Linotype" w:eastAsia="Palatino Linotype" w:hAnsi="Palatino Linotype" w:cs="Palatino Linotype"/>
          <w:b/>
          <w:bCs/>
        </w:rPr>
        <w:t xml:space="preserve">patrimonios propios; </w:t>
      </w:r>
      <w:r w:rsidRPr="00036C4F">
        <w:rPr>
          <w:rFonts w:ascii="Palatino Linotype" w:eastAsia="Palatino Linotype" w:hAnsi="Palatino Linotype" w:cs="Palatino Linotype"/>
        </w:rPr>
        <w:t xml:space="preserve">por lo que se advierte, se trata de un </w:t>
      </w:r>
      <w:r w:rsidRPr="00036C4F">
        <w:rPr>
          <w:rFonts w:ascii="Palatino Linotype" w:eastAsia="Palatino Linotype" w:hAnsi="Palatino Linotype" w:cs="Palatino Linotype"/>
          <w:b/>
          <w:bCs/>
        </w:rPr>
        <w:t xml:space="preserve">SUJETO OBLIGADO </w:t>
      </w:r>
      <w:r w:rsidRPr="00036C4F">
        <w:rPr>
          <w:rFonts w:ascii="Palatino Linotype" w:eastAsia="Palatino Linotype" w:hAnsi="Palatino Linotype" w:cs="Palatino Linotype"/>
        </w:rPr>
        <w:t>diverso, como se advierte a continuación:</w:t>
      </w:r>
    </w:p>
    <w:p w:rsidR="001920C1" w:rsidRPr="00036C4F" w:rsidRDefault="001920C1">
      <w:pPr>
        <w:spacing w:line="360" w:lineRule="auto"/>
        <w:jc w:val="both"/>
        <w:rPr>
          <w:rFonts w:ascii="Palatino Linotype" w:eastAsia="Palatino Linotype" w:hAnsi="Palatino Linotype" w:cs="Palatino Linotype"/>
        </w:rPr>
      </w:pPr>
    </w:p>
    <w:p w:rsidR="001920C1" w:rsidRPr="00036C4F" w:rsidRDefault="001920C1">
      <w:pPr>
        <w:spacing w:line="360" w:lineRule="auto"/>
        <w:jc w:val="both"/>
        <w:rPr>
          <w:rFonts w:ascii="Palatino Linotype" w:eastAsia="Palatino Linotype" w:hAnsi="Palatino Linotype" w:cs="Palatino Linotype"/>
        </w:rPr>
      </w:pPr>
    </w:p>
    <w:p w:rsidR="001920C1" w:rsidRPr="00036C4F" w:rsidRDefault="00C92E09">
      <w:pPr>
        <w:spacing w:line="360" w:lineRule="auto"/>
        <w:jc w:val="both"/>
        <w:rPr>
          <w:rFonts w:ascii="Palatino Linotype" w:eastAsia="Palatino Linotype" w:hAnsi="Palatino Linotype" w:cs="Palatino Linotype"/>
          <w:i/>
          <w:iCs/>
        </w:rPr>
      </w:pPr>
      <w:r w:rsidRPr="00036C4F">
        <w:rPr>
          <w:rFonts w:ascii="Palatino Linotype" w:eastAsia="Palatino Linotype" w:hAnsi="Palatino Linotype" w:cs="Palatino Linotype"/>
          <w:i/>
          <w:iCs/>
          <w:noProof/>
        </w:rPr>
        <w:lastRenderedPageBreak/>
        <w:drawing>
          <wp:inline distT="0" distB="0" distL="0" distR="0">
            <wp:extent cx="5612130" cy="321373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3213735"/>
                    </a:xfrm>
                    <a:prstGeom prst="rect">
                      <a:avLst/>
                    </a:prstGeom>
                    <a:ln/>
                  </pic:spPr>
                </pic:pic>
              </a:graphicData>
            </a:graphic>
          </wp:inline>
        </w:drawing>
      </w:r>
    </w:p>
    <w:p w:rsidR="001920C1" w:rsidRPr="00036C4F" w:rsidRDefault="001920C1">
      <w:pPr>
        <w:spacing w:line="360" w:lineRule="auto"/>
        <w:jc w:val="both"/>
        <w:rPr>
          <w:rFonts w:ascii="Palatino Linotype" w:eastAsia="Palatino Linotype" w:hAnsi="Palatino Linotype" w:cs="Palatino Linotype"/>
          <w:i/>
          <w:iCs/>
        </w:rPr>
      </w:pPr>
    </w:p>
    <w:p w:rsidR="001920C1" w:rsidRPr="00036C4F" w:rsidRDefault="00C92E09">
      <w:pPr>
        <w:numPr>
          <w:ilvl w:val="0"/>
          <w:numId w:val="1"/>
        </w:numPr>
        <w:spacing w:line="360" w:lineRule="auto"/>
        <w:jc w:val="both"/>
        <w:rPr>
          <w:rFonts w:ascii="Palatino Linotype" w:eastAsia="Palatino Linotype" w:hAnsi="Palatino Linotype" w:cs="Palatino Linotype"/>
          <w:i/>
          <w:iCs/>
        </w:rPr>
      </w:pPr>
      <w:r w:rsidRPr="00036C4F">
        <w:rPr>
          <w:rFonts w:ascii="Palatino Linotype" w:eastAsia="Palatino Linotype" w:hAnsi="Palatino Linotype" w:cs="Palatino Linotype"/>
        </w:rPr>
        <w:t xml:space="preserve">De lo anterior, al tratarse de un </w:t>
      </w:r>
      <w:r w:rsidRPr="00036C4F">
        <w:rPr>
          <w:rFonts w:ascii="Palatino Linotype" w:eastAsia="Palatino Linotype" w:hAnsi="Palatino Linotype" w:cs="Palatino Linotype"/>
          <w:b/>
          <w:bCs/>
        </w:rPr>
        <w:t xml:space="preserve">SUJETO OBLIGADO </w:t>
      </w:r>
      <w:r w:rsidRPr="00036C4F">
        <w:rPr>
          <w:rFonts w:ascii="Palatino Linotype" w:eastAsia="Palatino Linotype" w:hAnsi="Palatino Linotype" w:cs="Palatino Linotype"/>
        </w:rPr>
        <w:t xml:space="preserve">diverso, </w:t>
      </w:r>
      <w:r w:rsidRPr="00036C4F">
        <w:rPr>
          <w:rFonts w:ascii="Palatino Linotype" w:eastAsia="Palatino Linotype" w:hAnsi="Palatino Linotype" w:cs="Palatino Linotype"/>
          <w:b/>
          <w:bCs/>
        </w:rPr>
        <w:t xml:space="preserve">no </w:t>
      </w:r>
      <w:r w:rsidRPr="00036C4F">
        <w:rPr>
          <w:rFonts w:ascii="Palatino Linotype" w:eastAsia="Palatino Linotype" w:hAnsi="Palatino Linotype" w:cs="Palatino Linotype"/>
        </w:rPr>
        <w:t xml:space="preserve">se advierte la fuente obligacional del </w:t>
      </w:r>
      <w:r w:rsidRPr="00036C4F">
        <w:rPr>
          <w:rFonts w:ascii="Palatino Linotype" w:eastAsia="Palatino Linotype" w:hAnsi="Palatino Linotype" w:cs="Palatino Linotype"/>
          <w:b/>
          <w:bCs/>
        </w:rPr>
        <w:t xml:space="preserve">SUJETO OBLIGADO, </w:t>
      </w:r>
      <w:r w:rsidRPr="00036C4F">
        <w:rPr>
          <w:rFonts w:ascii="Palatino Linotype" w:eastAsia="Palatino Linotype" w:hAnsi="Palatino Linotype" w:cs="Palatino Linotype"/>
        </w:rPr>
        <w:t>para generar, poseer y/o administrar la información solicitada</w:t>
      </w:r>
      <w:r w:rsidRPr="00036C4F">
        <w:rPr>
          <w:rFonts w:ascii="Palatino Linotype" w:eastAsia="Palatino Linotype" w:hAnsi="Palatino Linotype" w:cs="Palatino Linotype"/>
          <w:b/>
          <w:bCs/>
        </w:rPr>
        <w:t xml:space="preserve">, </w:t>
      </w:r>
      <w:r w:rsidRPr="00036C4F">
        <w:rPr>
          <w:rFonts w:ascii="Palatino Linotype" w:eastAsia="Palatino Linotype" w:hAnsi="Palatino Linotype" w:cs="Palatino Linotype"/>
        </w:rPr>
        <w:t xml:space="preserve">resultando procedente la incompetencia hecha valer por el </w:t>
      </w:r>
      <w:r w:rsidRPr="00036C4F">
        <w:rPr>
          <w:rFonts w:ascii="Palatino Linotype" w:eastAsia="Palatino Linotype" w:hAnsi="Palatino Linotype" w:cs="Palatino Linotype"/>
          <w:b/>
          <w:bCs/>
        </w:rPr>
        <w:t>SUJETO OBLIGADO.</w:t>
      </w:r>
    </w:p>
    <w:p w:rsidR="001920C1" w:rsidRPr="00036C4F" w:rsidRDefault="00C92E09">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color w:val="000000"/>
        </w:rPr>
        <w:t xml:space="preserve">Es por lo anterior que, ante la notoria incompetencia, se considera que con la información remitida a través del informe justificado correspondiente, se subsanó la omisión del </w:t>
      </w:r>
      <w:r w:rsidRPr="00036C4F">
        <w:rPr>
          <w:rFonts w:ascii="Palatino Linotype" w:eastAsia="Palatino Linotype" w:hAnsi="Palatino Linotype" w:cs="Palatino Linotype"/>
          <w:b/>
          <w:bCs/>
          <w:color w:val="000000"/>
        </w:rPr>
        <w:t xml:space="preserve">SUJETO OBLIGADO, </w:t>
      </w:r>
      <w:r w:rsidRPr="00036C4F">
        <w:rPr>
          <w:rFonts w:ascii="Palatino Linotype" w:eastAsia="Palatino Linotype" w:hAnsi="Palatino Linotype" w:cs="Palatino Linotype"/>
          <w:color w:val="000000"/>
        </w:rPr>
        <w:t xml:space="preserve">quedando </w:t>
      </w:r>
      <w:r w:rsidRPr="00036C4F">
        <w:rPr>
          <w:rFonts w:ascii="Palatino Linotype" w:eastAsia="Palatino Linotype" w:hAnsi="Palatino Linotype" w:cs="Palatino Linotype"/>
        </w:rPr>
        <w:t>sin materia</w:t>
      </w:r>
      <w:r w:rsidRPr="00036C4F">
        <w:rPr>
          <w:rFonts w:ascii="Palatino Linotype" w:eastAsia="Palatino Linotype" w:hAnsi="Palatino Linotype" w:cs="Palatino Linotype"/>
          <w:color w:val="000000"/>
        </w:rPr>
        <w:t xml:space="preserve"> el recurso de revisión que nos ocupa.</w:t>
      </w:r>
    </w:p>
    <w:p w:rsidR="001920C1" w:rsidRPr="00036C4F" w:rsidRDefault="001920C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 xml:space="preserve">Es así que la ley prevé que cuando el </w:t>
      </w:r>
      <w:r w:rsidRPr="00036C4F">
        <w:rPr>
          <w:rFonts w:ascii="Palatino Linotype" w:eastAsia="Palatino Linotype" w:hAnsi="Palatino Linotype" w:cs="Palatino Linotype"/>
          <w:b/>
          <w:bCs/>
        </w:rPr>
        <w:t xml:space="preserve">SUJETO OBLIGADO, </w:t>
      </w:r>
      <w:r w:rsidRPr="00036C4F">
        <w:rPr>
          <w:rFonts w:ascii="Palatino Linotype" w:eastAsia="Palatino Linotype" w:hAnsi="Palatino Linotype" w:cs="Palatino Linotype"/>
        </w:rPr>
        <w:t xml:space="preserve">antes de que se dicte resolución definitiva, haga entrega la información solicitada como aconteció en el caso que nos ocupa; el recurso de revisión que al efecto se haya interpuesto queda sin materia lo que </w:t>
      </w:r>
      <w:r w:rsidRPr="00036C4F">
        <w:rPr>
          <w:rFonts w:ascii="Palatino Linotype" w:eastAsia="Palatino Linotype" w:hAnsi="Palatino Linotype" w:cs="Palatino Linotype"/>
        </w:rPr>
        <w:lastRenderedPageBreak/>
        <w:t xml:space="preserve">imposibilita el estudio de fondo de la </w:t>
      </w:r>
      <w:r w:rsidRPr="00036C4F">
        <w:rPr>
          <w:rFonts w:ascii="Palatino Linotype" w:eastAsia="Palatino Linotype" w:hAnsi="Palatino Linotype" w:cs="Palatino Linotype"/>
          <w:i/>
          <w:iCs/>
        </w:rPr>
        <w:t>Litis</w:t>
      </w:r>
      <w:r w:rsidRPr="00036C4F">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1920C1" w:rsidRPr="00036C4F" w:rsidRDefault="001920C1">
      <w:pPr>
        <w:spacing w:line="360" w:lineRule="auto"/>
        <w:ind w:left="360" w:right="-646"/>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Sirve de sustento a lo anterior la siguiente jurisprudencia por contradicción, cuyo rubro, texto y datos de identificación son los siguientes:</w:t>
      </w:r>
    </w:p>
    <w:p w:rsidR="001920C1" w:rsidRPr="00036C4F" w:rsidRDefault="001920C1">
      <w:pPr>
        <w:spacing w:line="360" w:lineRule="auto"/>
        <w:jc w:val="both"/>
        <w:rPr>
          <w:rFonts w:ascii="Palatino Linotype" w:eastAsia="Palatino Linotype" w:hAnsi="Palatino Linotype" w:cs="Palatino Linotype"/>
        </w:rPr>
      </w:pPr>
    </w:p>
    <w:p w:rsidR="001920C1" w:rsidRPr="00036C4F" w:rsidRDefault="00C92E09">
      <w:pPr>
        <w:spacing w:line="276" w:lineRule="auto"/>
        <w:ind w:left="426" w:right="539"/>
        <w:jc w:val="both"/>
        <w:rPr>
          <w:rFonts w:ascii="Palatino Linotype" w:eastAsia="Palatino Linotype" w:hAnsi="Palatino Linotype" w:cs="Palatino Linotype"/>
          <w:i/>
          <w:iCs/>
        </w:rPr>
      </w:pPr>
      <w:r w:rsidRPr="00036C4F">
        <w:rPr>
          <w:rFonts w:ascii="Palatino Linotype" w:eastAsia="Palatino Linotype" w:hAnsi="Palatino Linotype" w:cs="Palatino Linotype"/>
          <w:b/>
          <w:bCs/>
          <w:i/>
          <w:iC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36C4F">
        <w:rPr>
          <w:rFonts w:ascii="Palatino Linotype" w:eastAsia="Palatino Linotype" w:hAnsi="Palatino Linotype" w:cs="Palatino Linotype"/>
          <w:i/>
          <w:iC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1920C1" w:rsidRPr="00036C4F" w:rsidRDefault="001920C1">
      <w:pPr>
        <w:spacing w:line="360" w:lineRule="auto"/>
        <w:ind w:left="708" w:right="-646"/>
        <w:jc w:val="both"/>
        <w:rPr>
          <w:rFonts w:ascii="Palatino Linotype" w:eastAsia="Palatino Linotype" w:hAnsi="Palatino Linotype" w:cs="Palatino Linotype"/>
          <w:i/>
          <w:iCs/>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La anterior jurisprudencia resulta aplicable al presente asunto, en dos aspectos:</w:t>
      </w:r>
    </w:p>
    <w:p w:rsidR="001920C1" w:rsidRPr="00036C4F" w:rsidRDefault="00C92E09">
      <w:pPr>
        <w:numPr>
          <w:ilvl w:val="0"/>
          <w:numId w:val="2"/>
        </w:numPr>
        <w:spacing w:line="360" w:lineRule="auto"/>
        <w:ind w:left="709" w:right="539" w:hanging="283"/>
        <w:jc w:val="both"/>
        <w:rPr>
          <w:rFonts w:ascii="Palatino Linotype" w:eastAsia="Palatino Linotype" w:hAnsi="Palatino Linotype" w:cs="Palatino Linotype"/>
        </w:rPr>
      </w:pPr>
      <w:r w:rsidRPr="00036C4F">
        <w:rPr>
          <w:rFonts w:ascii="Palatino Linotype" w:eastAsia="Palatino Linotype" w:hAnsi="Palatino Linotype" w:cs="Palatino Linotype"/>
          <w:b/>
          <w:bCs/>
        </w:rPr>
        <w:lastRenderedPageBreak/>
        <w:t>La cesación de los efectos perniciosos del acto de autoridad:</w:t>
      </w:r>
      <w:r w:rsidRPr="00036C4F">
        <w:rPr>
          <w:rFonts w:ascii="Palatino Linotype" w:eastAsia="Palatino Linotype" w:hAnsi="Palatino Linotype" w:cs="Palatino Linotype"/>
        </w:rPr>
        <w:t xml:space="preserve"> Al respecto, la Ley de Transparencia contempla la figura jurídica del sobreseimiento cuando el </w:t>
      </w:r>
      <w:r w:rsidRPr="00036C4F">
        <w:rPr>
          <w:rFonts w:ascii="Palatino Linotype" w:eastAsia="Palatino Linotype" w:hAnsi="Palatino Linotype" w:cs="Palatino Linotype"/>
          <w:b/>
          <w:bCs/>
        </w:rPr>
        <w:t>SUJETO OBLIGADO</w:t>
      </w:r>
      <w:r w:rsidRPr="00036C4F">
        <w:rPr>
          <w:rFonts w:ascii="Palatino Linotype" w:eastAsia="Palatino Linotype" w:hAnsi="Palatino Linotype" w:cs="Palatino Linotype"/>
        </w:rPr>
        <w:t xml:space="preserve"> de </w:t>
      </w:r>
      <w:r w:rsidRPr="00036C4F">
        <w:rPr>
          <w:rFonts w:ascii="Palatino Linotype" w:eastAsia="Palatino Linotype" w:hAnsi="Palatino Linotype" w:cs="Palatino Linotype"/>
          <w:i/>
          <w:iCs/>
        </w:rPr>
        <w:t>motu proprio</w:t>
      </w:r>
      <w:r w:rsidRPr="00036C4F">
        <w:rPr>
          <w:rFonts w:ascii="Palatino Linotype" w:eastAsia="Palatino Linotype" w:hAnsi="Palatino Linotype" w:cs="Palatino Linotype"/>
        </w:rPr>
        <w:t xml:space="preserve"> modifica o revoca de tal manera el acto motivo de la impugnación que lo deja sin materia; es decir, cesan los efectos de éste y el derecho de acceso a la información pública se encuentra satisfecho.</w:t>
      </w:r>
    </w:p>
    <w:p w:rsidR="001920C1" w:rsidRPr="00036C4F" w:rsidRDefault="001920C1">
      <w:pPr>
        <w:spacing w:line="360" w:lineRule="auto"/>
        <w:ind w:left="709" w:right="539" w:hanging="283"/>
        <w:jc w:val="both"/>
        <w:rPr>
          <w:rFonts w:ascii="Palatino Linotype" w:eastAsia="Palatino Linotype" w:hAnsi="Palatino Linotype" w:cs="Palatino Linotype"/>
        </w:rPr>
      </w:pPr>
    </w:p>
    <w:p w:rsidR="001920C1" w:rsidRPr="00036C4F" w:rsidRDefault="00C92E09">
      <w:pPr>
        <w:numPr>
          <w:ilvl w:val="0"/>
          <w:numId w:val="2"/>
        </w:numPr>
        <w:spacing w:line="360" w:lineRule="auto"/>
        <w:ind w:left="709" w:right="539" w:hanging="283"/>
        <w:jc w:val="both"/>
        <w:rPr>
          <w:rFonts w:ascii="Palatino Linotype" w:eastAsia="Palatino Linotype" w:hAnsi="Palatino Linotype" w:cs="Palatino Linotype"/>
        </w:rPr>
      </w:pPr>
      <w:r w:rsidRPr="00036C4F">
        <w:rPr>
          <w:rFonts w:ascii="Palatino Linotype" w:eastAsia="Palatino Linotype" w:hAnsi="Palatino Linotype" w:cs="Palatino Linotype"/>
          <w:b/>
          <w:bCs/>
        </w:rPr>
        <w:t>El momento procesal para modificar el acto impugnado:</w:t>
      </w:r>
      <w:r w:rsidRPr="00036C4F">
        <w:rPr>
          <w:rFonts w:ascii="Palatino Linotype" w:eastAsia="Palatino Linotype" w:hAnsi="Palatino Linotype" w:cs="Palatino Linotype"/>
        </w:rPr>
        <w:t xml:space="preserve"> Para que se actualice el sobreseimiento de un recurso de revisión, el </w:t>
      </w:r>
      <w:r w:rsidRPr="00036C4F">
        <w:rPr>
          <w:rFonts w:ascii="Palatino Linotype" w:eastAsia="Palatino Linotype" w:hAnsi="Palatino Linotype" w:cs="Palatino Linotype"/>
          <w:b/>
          <w:bCs/>
        </w:rPr>
        <w:t>SUJETO OBLIGADO</w:t>
      </w:r>
      <w:r w:rsidRPr="00036C4F">
        <w:rPr>
          <w:rFonts w:ascii="Palatino Linotype" w:eastAsia="Palatino Linotype" w:hAnsi="Palatino Linotype" w:cs="Palatino Linotype"/>
        </w:rPr>
        <w:t xml:space="preserve"> puede entregar o completar la información al momento de rendir su informe de justificación o </w:t>
      </w:r>
      <w:r w:rsidRPr="00036C4F">
        <w:rPr>
          <w:rFonts w:ascii="Palatino Linotype" w:eastAsia="Palatino Linotype" w:hAnsi="Palatino Linotype" w:cs="Palatino Linotype"/>
          <w:b/>
          <w:bCs/>
          <w:u w:val="single"/>
        </w:rPr>
        <w:t>posteriormente</w:t>
      </w:r>
      <w:r w:rsidRPr="00036C4F">
        <w:rPr>
          <w:rFonts w:ascii="Palatino Linotype" w:eastAsia="Palatino Linotype" w:hAnsi="Palatino Linotype" w:cs="Palatino Linotype"/>
        </w:rPr>
        <w:t xml:space="preserve"> a éste, siempre y cuando el Pleno del Instituto no haya dictado resolución definitiva.</w:t>
      </w:r>
    </w:p>
    <w:p w:rsidR="001920C1" w:rsidRPr="00036C4F" w:rsidRDefault="001920C1">
      <w:pPr>
        <w:spacing w:line="360" w:lineRule="auto"/>
        <w:ind w:right="-646"/>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 xml:space="preserve">Eduardo Pallares, en su artículo </w:t>
      </w:r>
      <w:r w:rsidRPr="00036C4F">
        <w:rPr>
          <w:rFonts w:ascii="Palatino Linotype" w:eastAsia="Palatino Linotype" w:hAnsi="Palatino Linotype" w:cs="Palatino Linotype"/>
          <w:i/>
          <w:iCs/>
        </w:rPr>
        <w:t>“La caducidad y el sobreseimiento en el amparo”</w:t>
      </w:r>
      <w:r w:rsidRPr="00036C4F">
        <w:rPr>
          <w:rFonts w:ascii="Palatino Linotype" w:eastAsia="Palatino Linotype" w:hAnsi="Palatino Linotype" w:cs="Palatino Linotype"/>
        </w:rPr>
        <w:t xml:space="preserve">, cita la definición de Aguilera Paz, aduciendo que se </w:t>
      </w:r>
      <w:r w:rsidRPr="00036C4F">
        <w:rPr>
          <w:rFonts w:ascii="Palatino Linotype" w:eastAsia="Palatino Linotype" w:hAnsi="Palatino Linotype" w:cs="Palatino Linotype"/>
          <w:i/>
          <w:iCs/>
        </w:rPr>
        <w:t>“...entiende por sobreseimiento en el tecnicismo forense, el hecho de cesar en el procedimiento o curso de la causa, por no existir méritos bastantes para entrar en un juicio o para entablar la contienda judicial que debe ser objeto del mismo...”</w:t>
      </w:r>
      <w:r w:rsidRPr="00036C4F">
        <w:rPr>
          <w:rFonts w:ascii="Palatino Linotype" w:eastAsia="Palatino Linotype" w:hAnsi="Palatino Linotype" w:cs="Palatino Linotype"/>
        </w:rPr>
        <w:t>. Asimismo señala que existe el sobreseimiento provisional y el definitivo</w:t>
      </w:r>
      <w:r w:rsidRPr="00036C4F">
        <w:rPr>
          <w:rFonts w:ascii="Palatino Linotype" w:eastAsia="Palatino Linotype" w:hAnsi="Palatino Linotype" w:cs="Palatino Linotype"/>
          <w:i/>
          <w:iCs/>
        </w:rPr>
        <w:t>: “...el definitivo es una verdadera sentencia que pone fin al juicio, y que una vez dictada, produce cosa juzgada, mientras que el provisorio tiene por efectos suspender la prosecución de la causa...”</w:t>
      </w:r>
    </w:p>
    <w:p w:rsidR="001920C1" w:rsidRPr="00036C4F" w:rsidRDefault="001920C1">
      <w:pPr>
        <w:spacing w:line="360" w:lineRule="auto"/>
        <w:ind w:left="360" w:right="-646"/>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rPr>
      </w:pPr>
      <w:r w:rsidRPr="00036C4F">
        <w:rPr>
          <w:rFonts w:ascii="Palatino Linotype" w:eastAsia="Palatino Linotype" w:hAnsi="Palatino Linotype" w:cs="Palatino Linotype"/>
        </w:rPr>
        <w:t xml:space="preserve">Asimismo, para que se actualice el sobreseimiento de un recurso de revisión, el </w:t>
      </w:r>
      <w:r w:rsidRPr="00036C4F">
        <w:rPr>
          <w:rFonts w:ascii="Palatino Linotype" w:eastAsia="Palatino Linotype" w:hAnsi="Palatino Linotype" w:cs="Palatino Linotype"/>
          <w:b/>
          <w:bCs/>
        </w:rPr>
        <w:t>SUJETO OBLIGADO</w:t>
      </w:r>
      <w:r w:rsidRPr="00036C4F">
        <w:rPr>
          <w:rFonts w:ascii="Palatino Linotype" w:eastAsia="Palatino Linotype" w:hAnsi="Palatino Linotype" w:cs="Palatino Linotype"/>
        </w:rPr>
        <w:t xml:space="preserve"> puede </w:t>
      </w:r>
      <w:r w:rsidRPr="00036C4F">
        <w:rPr>
          <w:rFonts w:ascii="Palatino Linotype" w:eastAsia="Palatino Linotype" w:hAnsi="Palatino Linotype" w:cs="Palatino Linotype"/>
          <w:u w:val="single"/>
        </w:rPr>
        <w:t>entregar,</w:t>
      </w:r>
      <w:r w:rsidRPr="00036C4F">
        <w:rPr>
          <w:rFonts w:ascii="Palatino Linotype" w:eastAsia="Palatino Linotype" w:hAnsi="Palatino Linotype" w:cs="Palatino Linotype"/>
        </w:rPr>
        <w:t xml:space="preserve"> completar o precisar la información al momento de rendir su informe justificado o dentro de los siete días previstos para manifestar lo que a su </w:t>
      </w:r>
      <w:r w:rsidRPr="00036C4F">
        <w:rPr>
          <w:rFonts w:ascii="Palatino Linotype" w:eastAsia="Palatino Linotype" w:hAnsi="Palatino Linotype" w:cs="Palatino Linotype"/>
        </w:rPr>
        <w:lastRenderedPageBreak/>
        <w:t>derecho convenga, lo anterior también puede ocurrir si entrega la información después de ese lapso pero antes del cierre de instrucción, tal como aconteció en el presente recurso.</w:t>
      </w:r>
    </w:p>
    <w:p w:rsidR="001920C1" w:rsidRPr="00036C4F" w:rsidRDefault="001920C1">
      <w:pPr>
        <w:spacing w:line="360" w:lineRule="auto"/>
        <w:ind w:left="360" w:right="-646"/>
        <w:jc w:val="both"/>
        <w:rPr>
          <w:rFonts w:ascii="Palatino Linotype" w:eastAsia="Palatino Linotype" w:hAnsi="Palatino Linotype" w:cs="Palatino Linotype"/>
        </w:rPr>
      </w:pPr>
    </w:p>
    <w:p w:rsidR="001920C1" w:rsidRPr="00036C4F" w:rsidRDefault="00C92E09">
      <w:pPr>
        <w:numPr>
          <w:ilvl w:val="0"/>
          <w:numId w:val="1"/>
        </w:numPr>
        <w:spacing w:line="360" w:lineRule="auto"/>
        <w:jc w:val="both"/>
        <w:rPr>
          <w:rFonts w:ascii="Palatino Linotype" w:eastAsia="Palatino Linotype" w:hAnsi="Palatino Linotype" w:cs="Palatino Linotype"/>
          <w:b/>
          <w:bCs/>
        </w:rPr>
      </w:pPr>
      <w:r w:rsidRPr="00036C4F">
        <w:rPr>
          <w:rFonts w:ascii="Palatino Linotype" w:eastAsia="Palatino Linotype" w:hAnsi="Palatino Linotype" w:cs="Palatino Linotype"/>
        </w:rPr>
        <w:t xml:space="preserve">Bajo ese tenor, se colige que con la información remitida por el </w:t>
      </w:r>
      <w:r w:rsidRPr="00036C4F">
        <w:rPr>
          <w:rFonts w:ascii="Palatino Linotype" w:eastAsia="Palatino Linotype" w:hAnsi="Palatino Linotype" w:cs="Palatino Linotype"/>
          <w:b/>
          <w:bCs/>
        </w:rPr>
        <w:t xml:space="preserve">SUJETO OBLIGADO, </w:t>
      </w:r>
      <w:r w:rsidRPr="00036C4F">
        <w:rPr>
          <w:rFonts w:ascii="Palatino Linotype" w:eastAsia="Palatino Linotype" w:hAnsi="Palatino Linotype" w:cs="Palatino Linotype"/>
        </w:rPr>
        <w:t>vía Informe Justificado, se colma la solicitud de información</w:t>
      </w:r>
      <w:r w:rsidRPr="00036C4F">
        <w:rPr>
          <w:rFonts w:ascii="Palatino Linotype" w:eastAsia="Palatino Linotype" w:hAnsi="Palatino Linotype" w:cs="Palatino Linotype"/>
          <w:b/>
          <w:bCs/>
        </w:rPr>
        <w:t xml:space="preserve"> 00258/TEPOTZOT/IP/2026, </w:t>
      </w:r>
      <w:r w:rsidRPr="00036C4F">
        <w:rPr>
          <w:rFonts w:ascii="Palatino Linotype" w:eastAsia="Palatino Linotype" w:hAnsi="Palatino Linotype" w:cs="Palatino Linotype"/>
        </w:rPr>
        <w:t xml:space="preserve">y consecuentemente, los motivos de inconformidad hechos valer por </w:t>
      </w:r>
      <w:r w:rsidRPr="00036C4F">
        <w:rPr>
          <w:rFonts w:ascii="Palatino Linotype" w:eastAsia="Palatino Linotype" w:hAnsi="Palatino Linotype" w:cs="Palatino Linotype"/>
          <w:b/>
          <w:bCs/>
        </w:rPr>
        <w:t>EL RECURRENTE,</w:t>
      </w:r>
      <w:r w:rsidRPr="00036C4F">
        <w:rPr>
          <w:rFonts w:ascii="Palatino Linotype" w:eastAsia="Palatino Linotype" w:hAnsi="Palatino Linotype" w:cs="Palatino Linotype"/>
        </w:rPr>
        <w:t xml:space="preserve"> devienen inatendibles por actualizarse la figura del sobreseimiento, al cumplimentarse su derecho de acceso a la información y al quedarse sin materia el presente recurso, por lo que, en términos del artículo 186 fracción I este Pleno determina el </w:t>
      </w:r>
      <w:r w:rsidRPr="00036C4F">
        <w:rPr>
          <w:rFonts w:ascii="Palatino Linotype" w:eastAsia="Palatino Linotype" w:hAnsi="Palatino Linotype" w:cs="Palatino Linotype"/>
          <w:b/>
          <w:bCs/>
        </w:rPr>
        <w:t xml:space="preserve">SOBRESEIMIENTO </w:t>
      </w:r>
      <w:r w:rsidRPr="00036C4F">
        <w:rPr>
          <w:rFonts w:ascii="Palatino Linotype" w:eastAsia="Palatino Linotype" w:hAnsi="Palatino Linotype" w:cs="Palatino Linotype"/>
        </w:rPr>
        <w:t>de los presentes recursos de revisión, toda vez que la afectación al derecho de acceso a la información pública establecido constitucionalmente a favor del particular, ha sido resarcida.</w:t>
      </w:r>
    </w:p>
    <w:p w:rsidR="001920C1" w:rsidRPr="00036C4F" w:rsidRDefault="001920C1">
      <w:pPr>
        <w:pBdr>
          <w:top w:val="nil"/>
          <w:left w:val="nil"/>
          <w:bottom w:val="nil"/>
          <w:right w:val="nil"/>
          <w:between w:val="nil"/>
        </w:pBdr>
        <w:ind w:left="720"/>
        <w:rPr>
          <w:rFonts w:ascii="Palatino Linotype" w:eastAsia="Palatino Linotype" w:hAnsi="Palatino Linotype" w:cs="Palatino Linotype"/>
          <w:color w:val="000000"/>
        </w:rPr>
      </w:pPr>
    </w:p>
    <w:p w:rsidR="001920C1" w:rsidRPr="00036C4F" w:rsidRDefault="00C92E09">
      <w:pPr>
        <w:numPr>
          <w:ilvl w:val="0"/>
          <w:numId w:val="1"/>
        </w:numPr>
        <w:spacing w:line="360" w:lineRule="auto"/>
        <w:jc w:val="both"/>
        <w:rPr>
          <w:rFonts w:ascii="Palatino Linotype" w:eastAsia="Palatino Linotype" w:hAnsi="Palatino Linotype" w:cs="Palatino Linotype"/>
          <w:b/>
          <w:bCs/>
        </w:rPr>
      </w:pPr>
      <w:r w:rsidRPr="00036C4F">
        <w:rPr>
          <w:rFonts w:ascii="Palatino Linotype" w:eastAsia="Palatino Linotype" w:hAnsi="Palatino Linotype" w:cs="Palatino Linotype"/>
          <w:color w:val="000000"/>
        </w:rPr>
        <w:t xml:space="preserve">Por lo anteriormente expuesto y fundado, este </w:t>
      </w:r>
      <w:r w:rsidRPr="00036C4F">
        <w:rPr>
          <w:rFonts w:ascii="Palatino Linotype" w:eastAsia="Palatino Linotype" w:hAnsi="Palatino Linotype" w:cs="Palatino Linotype"/>
          <w:b/>
          <w:bCs/>
          <w:color w:val="000000"/>
        </w:rPr>
        <w:t>ÓRGANO GARANTE</w:t>
      </w:r>
      <w:r w:rsidRPr="00036C4F">
        <w:rPr>
          <w:rFonts w:ascii="Palatino Linotype" w:eastAsia="Palatino Linotype" w:hAnsi="Palatino Linotype" w:cs="Palatino Linotype"/>
          <w:color w:val="000000"/>
        </w:rPr>
        <w:t xml:space="preserve"> emite los siguientes:</w:t>
      </w:r>
    </w:p>
    <w:p w:rsidR="001920C1" w:rsidRPr="00036C4F" w:rsidRDefault="001920C1">
      <w:pPr>
        <w:spacing w:line="360" w:lineRule="auto"/>
        <w:ind w:right="-646"/>
        <w:jc w:val="both"/>
        <w:rPr>
          <w:rFonts w:ascii="Palatino Linotype" w:eastAsia="Palatino Linotype" w:hAnsi="Palatino Linotype" w:cs="Palatino Linotype"/>
        </w:rPr>
      </w:pPr>
    </w:p>
    <w:p w:rsidR="001920C1" w:rsidRDefault="00C92E09">
      <w:pPr>
        <w:keepNext/>
        <w:keepLines/>
        <w:spacing w:line="360" w:lineRule="auto"/>
        <w:ind w:right="-646"/>
        <w:jc w:val="center"/>
        <w:rPr>
          <w:rFonts w:ascii="Palatino Linotype" w:eastAsia="Palatino Linotype" w:hAnsi="Palatino Linotype" w:cs="Palatino Linotype"/>
          <w:b/>
          <w:bCs/>
        </w:rPr>
      </w:pPr>
      <w:bookmarkStart w:id="9" w:name="_heading=h.lnxbz9" w:colFirst="0" w:colLast="0"/>
      <w:bookmarkEnd w:id="9"/>
      <w:r w:rsidRPr="00036C4F">
        <w:rPr>
          <w:rFonts w:ascii="Palatino Linotype" w:eastAsia="Palatino Linotype" w:hAnsi="Palatino Linotype" w:cs="Palatino Linotype"/>
          <w:b/>
          <w:bCs/>
        </w:rPr>
        <w:t>R E S O L U T I V O S</w:t>
      </w:r>
    </w:p>
    <w:p w:rsidR="00036C4F" w:rsidRPr="00036C4F" w:rsidRDefault="00036C4F">
      <w:pPr>
        <w:keepNext/>
        <w:keepLines/>
        <w:spacing w:line="360" w:lineRule="auto"/>
        <w:ind w:right="-646"/>
        <w:jc w:val="center"/>
        <w:rPr>
          <w:rFonts w:ascii="Palatino Linotype" w:eastAsia="Palatino Linotype" w:hAnsi="Palatino Linotype" w:cs="Palatino Linotype"/>
          <w:b/>
          <w:bCs/>
        </w:rPr>
      </w:pPr>
    </w:p>
    <w:p w:rsidR="001920C1" w:rsidRPr="00036C4F" w:rsidRDefault="00C92E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b/>
          <w:bCs/>
          <w:color w:val="000000"/>
        </w:rPr>
        <w:t xml:space="preserve">PRIMERO. </w:t>
      </w:r>
      <w:r w:rsidRPr="00036C4F">
        <w:rPr>
          <w:rFonts w:ascii="Palatino Linotype" w:eastAsia="Palatino Linotype" w:hAnsi="Palatino Linotype" w:cs="Palatino Linotype"/>
          <w:color w:val="000000"/>
        </w:rPr>
        <w:t xml:space="preserve">Se </w:t>
      </w:r>
      <w:r w:rsidRPr="00036C4F">
        <w:rPr>
          <w:rFonts w:ascii="Palatino Linotype" w:eastAsia="Palatino Linotype" w:hAnsi="Palatino Linotype" w:cs="Palatino Linotype"/>
          <w:b/>
          <w:bCs/>
          <w:color w:val="000000"/>
        </w:rPr>
        <w:t>SOBRESEE</w:t>
      </w:r>
      <w:r w:rsidRPr="00036C4F">
        <w:rPr>
          <w:rFonts w:ascii="Palatino Linotype" w:eastAsia="Palatino Linotype" w:hAnsi="Palatino Linotype" w:cs="Palatino Linotype"/>
          <w:color w:val="000000"/>
        </w:rPr>
        <w:t xml:space="preserve"> el Recurso de Revisión número</w:t>
      </w:r>
      <w:r w:rsidR="00E5630F" w:rsidRPr="00036C4F">
        <w:rPr>
          <w:rFonts w:ascii="Palatino Linotype" w:eastAsia="Palatino Linotype" w:hAnsi="Palatino Linotype" w:cs="Palatino Linotype"/>
          <w:b/>
          <w:bCs/>
          <w:color w:val="000000"/>
        </w:rPr>
        <w:t xml:space="preserve"> </w:t>
      </w:r>
      <w:r w:rsidRPr="00036C4F">
        <w:rPr>
          <w:rFonts w:ascii="Palatino Linotype" w:eastAsia="Palatino Linotype" w:hAnsi="Palatino Linotype" w:cs="Palatino Linotype"/>
          <w:b/>
          <w:bCs/>
          <w:color w:val="000000"/>
        </w:rPr>
        <w:t>1943/INFOEM/IP/RR/2026</w:t>
      </w:r>
      <w:r w:rsidRPr="00036C4F">
        <w:rPr>
          <w:rFonts w:ascii="Palatino Linotype" w:eastAsia="Palatino Linotype" w:hAnsi="Palatino Linotype" w:cs="Palatino Linotype"/>
          <w:b/>
          <w:bCs/>
        </w:rPr>
        <w:t xml:space="preserve">, </w:t>
      </w:r>
      <w:r w:rsidRPr="00036C4F">
        <w:rPr>
          <w:rFonts w:ascii="Palatino Linotype" w:eastAsia="Palatino Linotype" w:hAnsi="Palatino Linotype" w:cs="Palatino Linotype"/>
          <w:color w:val="000000"/>
        </w:rPr>
        <w:t xml:space="preserve">conforme al artículo 192 fracción V, al quedarse sin materia en términos del  Considerando </w:t>
      </w:r>
      <w:r w:rsidRPr="00036C4F">
        <w:rPr>
          <w:rFonts w:ascii="Palatino Linotype" w:eastAsia="Palatino Linotype" w:hAnsi="Palatino Linotype" w:cs="Palatino Linotype"/>
          <w:b/>
          <w:bCs/>
          <w:color w:val="000000"/>
        </w:rPr>
        <w:t>TERCERO</w:t>
      </w:r>
      <w:r w:rsidRPr="00036C4F">
        <w:rPr>
          <w:rFonts w:ascii="Palatino Linotype" w:eastAsia="Palatino Linotype" w:hAnsi="Palatino Linotype" w:cs="Palatino Linotype"/>
          <w:color w:val="000000"/>
        </w:rPr>
        <w:t xml:space="preserve"> de la presente resolución.</w:t>
      </w:r>
    </w:p>
    <w:p w:rsidR="001920C1" w:rsidRPr="00036C4F" w:rsidRDefault="001920C1">
      <w:pPr>
        <w:spacing w:line="360" w:lineRule="auto"/>
        <w:ind w:right="-28"/>
        <w:jc w:val="both"/>
        <w:rPr>
          <w:rFonts w:ascii="Palatino Linotype" w:eastAsia="Palatino Linotype" w:hAnsi="Palatino Linotype" w:cs="Palatino Linotype"/>
          <w:b/>
          <w:bCs/>
        </w:rPr>
      </w:pPr>
    </w:p>
    <w:p w:rsidR="001920C1" w:rsidRPr="00036C4F" w:rsidRDefault="00C92E09">
      <w:p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rPr>
      </w:pPr>
      <w:bookmarkStart w:id="10" w:name="_heading=h.35nkun2" w:colFirst="0" w:colLast="0"/>
      <w:bookmarkEnd w:id="10"/>
      <w:r w:rsidRPr="00036C4F">
        <w:rPr>
          <w:rFonts w:ascii="Palatino Linotype" w:eastAsia="Palatino Linotype" w:hAnsi="Palatino Linotype" w:cs="Palatino Linotype"/>
          <w:b/>
          <w:bCs/>
          <w:color w:val="000000"/>
        </w:rPr>
        <w:t xml:space="preserve">SEGUNDO. Notifíquese </w:t>
      </w:r>
      <w:r w:rsidRPr="00036C4F">
        <w:rPr>
          <w:rFonts w:ascii="Palatino Linotype" w:eastAsia="Palatino Linotype" w:hAnsi="Palatino Linotype" w:cs="Palatino Linotype"/>
          <w:color w:val="000000"/>
        </w:rPr>
        <w:t xml:space="preserve">a través del Sistema de Acceso a la Información Mexiquense </w:t>
      </w:r>
      <w:r w:rsidRPr="00036C4F">
        <w:rPr>
          <w:rFonts w:ascii="Palatino Linotype" w:eastAsia="Palatino Linotype" w:hAnsi="Palatino Linotype" w:cs="Palatino Linotype"/>
          <w:b/>
          <w:bCs/>
          <w:color w:val="000000"/>
        </w:rPr>
        <w:t xml:space="preserve">(SAIMEX) </w:t>
      </w:r>
      <w:r w:rsidRPr="00036C4F">
        <w:rPr>
          <w:rFonts w:ascii="Palatino Linotype" w:eastAsia="Palatino Linotype" w:hAnsi="Palatino Linotype" w:cs="Palatino Linotype"/>
          <w:color w:val="000000"/>
        </w:rPr>
        <w:t>la presente resolución al Titular de la Unidad de Transparencia del</w:t>
      </w:r>
      <w:r w:rsidRPr="00036C4F">
        <w:rPr>
          <w:rFonts w:ascii="Palatino Linotype" w:eastAsia="Palatino Linotype" w:hAnsi="Palatino Linotype" w:cs="Palatino Linotype"/>
          <w:b/>
          <w:bCs/>
          <w:color w:val="000000"/>
        </w:rPr>
        <w:t xml:space="preserve"> SUJETO OBLIGADO. </w:t>
      </w:r>
    </w:p>
    <w:p w:rsidR="001920C1" w:rsidRPr="00036C4F" w:rsidRDefault="00C92E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036C4F">
        <w:rPr>
          <w:rFonts w:ascii="Palatino Linotype" w:eastAsia="Palatino Linotype" w:hAnsi="Palatino Linotype" w:cs="Palatino Linotype"/>
          <w:b/>
          <w:bCs/>
          <w:color w:val="000000"/>
        </w:rPr>
        <w:lastRenderedPageBreak/>
        <w:t xml:space="preserve">TERCERO. Notifíquese </w:t>
      </w:r>
      <w:r w:rsidRPr="00036C4F">
        <w:rPr>
          <w:rFonts w:ascii="Palatino Linotype" w:eastAsia="Palatino Linotype" w:hAnsi="Palatino Linotype" w:cs="Palatino Linotype"/>
          <w:color w:val="000000"/>
        </w:rPr>
        <w:t xml:space="preserve">al </w:t>
      </w:r>
      <w:r w:rsidRPr="00036C4F">
        <w:rPr>
          <w:rFonts w:ascii="Palatino Linotype" w:eastAsia="Palatino Linotype" w:hAnsi="Palatino Linotype" w:cs="Palatino Linotype"/>
          <w:b/>
          <w:bCs/>
          <w:color w:val="000000"/>
        </w:rPr>
        <w:t xml:space="preserve">RECURRENTE </w:t>
      </w:r>
      <w:r w:rsidRPr="00036C4F">
        <w:rPr>
          <w:rFonts w:ascii="Palatino Linotype" w:eastAsia="Palatino Linotype" w:hAnsi="Palatino Linotype" w:cs="Palatino Linotype"/>
          <w:color w:val="000000"/>
        </w:rPr>
        <w:t>la presente resolución, vía SAIMEX.</w:t>
      </w:r>
    </w:p>
    <w:p w:rsidR="001920C1" w:rsidRPr="00036C4F" w:rsidRDefault="001920C1">
      <w:pPr>
        <w:tabs>
          <w:tab w:val="left" w:pos="8080"/>
        </w:tabs>
        <w:spacing w:line="360" w:lineRule="auto"/>
        <w:ind w:right="-28"/>
        <w:jc w:val="both"/>
        <w:rPr>
          <w:rFonts w:ascii="Palatino Linotype" w:eastAsia="Palatino Linotype" w:hAnsi="Palatino Linotype" w:cs="Palatino Linotype"/>
          <w:b/>
          <w:bCs/>
        </w:rPr>
      </w:pPr>
    </w:p>
    <w:p w:rsidR="001920C1" w:rsidRPr="00036C4F" w:rsidRDefault="00C92E09">
      <w:pPr>
        <w:spacing w:line="360" w:lineRule="auto"/>
        <w:ind w:right="-28"/>
        <w:jc w:val="both"/>
        <w:rPr>
          <w:rFonts w:ascii="Palatino Linotype" w:eastAsia="Palatino Linotype" w:hAnsi="Palatino Linotype" w:cs="Palatino Linotype"/>
        </w:rPr>
      </w:pPr>
      <w:r w:rsidRPr="00036C4F">
        <w:rPr>
          <w:rFonts w:ascii="Palatino Linotype" w:eastAsia="Palatino Linotype" w:hAnsi="Palatino Linotype" w:cs="Palatino Linotype"/>
          <w:b/>
          <w:bCs/>
        </w:rPr>
        <w:t>CUARTO.</w:t>
      </w:r>
      <w:r w:rsidRPr="00036C4F">
        <w:rPr>
          <w:rFonts w:ascii="Palatino Linotype" w:eastAsia="Palatino Linotype" w:hAnsi="Palatino Linotype" w:cs="Palatino Linotype"/>
        </w:rPr>
        <w:t xml:space="preserve"> Se hace del conocimiento del </w:t>
      </w:r>
      <w:r w:rsidRPr="00036C4F">
        <w:rPr>
          <w:rFonts w:ascii="Palatino Linotype" w:eastAsia="Palatino Linotype" w:hAnsi="Palatino Linotype" w:cs="Palatino Linotype"/>
          <w:b/>
          <w:bCs/>
        </w:rPr>
        <w:t xml:space="preserve">RECURRENTE </w:t>
      </w:r>
      <w:r w:rsidRPr="00036C4F">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E5630F" w:rsidRPr="00036C4F" w:rsidRDefault="00E5630F">
      <w:pPr>
        <w:spacing w:line="360" w:lineRule="auto"/>
        <w:ind w:right="-28"/>
        <w:jc w:val="both"/>
        <w:rPr>
          <w:rFonts w:ascii="Palatino Linotype" w:eastAsia="Palatino Linotype" w:hAnsi="Palatino Linotype" w:cs="Palatino Linotype"/>
        </w:rPr>
      </w:pPr>
    </w:p>
    <w:p w:rsidR="00E5630F" w:rsidRPr="00036C4F" w:rsidRDefault="00E5630F" w:rsidP="00E5630F">
      <w:pPr>
        <w:spacing w:before="240" w:after="240" w:line="360" w:lineRule="auto"/>
        <w:ind w:firstLine="1"/>
        <w:jc w:val="both"/>
        <w:rPr>
          <w:rFonts w:ascii="Palatino Linotype" w:hAnsi="Palatino Linotype"/>
        </w:rPr>
      </w:pPr>
      <w:bookmarkStart w:id="11" w:name="_heading=h.trtx2xjjbqgx" w:colFirst="0" w:colLast="0"/>
      <w:bookmarkStart w:id="12" w:name="_Hlk99014733"/>
      <w:bookmarkEnd w:id="11"/>
      <w:r w:rsidRPr="00036C4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036C4F">
        <w:rPr>
          <w:rFonts w:ascii="Palatino Linotype" w:hAnsi="Palatino Linotype" w:cs="Palatino Linotype"/>
          <w:color w:val="000000" w:themeColor="text1"/>
        </w:rPr>
        <w:t>ALEXIS TAPIA RAMÍREZ.</w:t>
      </w:r>
    </w:p>
    <w:bookmarkEnd w:id="12"/>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color w:val="000000"/>
        </w:rPr>
      </w:pPr>
    </w:p>
    <w:p w:rsidR="001920C1" w:rsidRPr="00036C4F" w:rsidRDefault="001920C1">
      <w:pPr>
        <w:spacing w:before="240" w:after="240" w:line="360" w:lineRule="auto"/>
        <w:ind w:right="-646" w:firstLine="1"/>
        <w:jc w:val="both"/>
        <w:rPr>
          <w:rFonts w:ascii="Palatino Linotype" w:eastAsia="Palatino Linotype" w:hAnsi="Palatino Linotype" w:cs="Palatino Linotype"/>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20C1" w:rsidRPr="00036C4F" w:rsidRDefault="001920C1">
      <w:pPr>
        <w:pBdr>
          <w:top w:val="nil"/>
          <w:left w:val="nil"/>
          <w:bottom w:val="nil"/>
          <w:right w:val="nil"/>
          <w:between w:val="nil"/>
        </w:pBdr>
        <w:tabs>
          <w:tab w:val="left" w:pos="567"/>
        </w:tabs>
        <w:spacing w:line="360" w:lineRule="auto"/>
        <w:jc w:val="both"/>
        <w:rPr>
          <w:color w:val="000000"/>
        </w:rPr>
      </w:pPr>
    </w:p>
    <w:p w:rsidR="001920C1" w:rsidRPr="00036C4F" w:rsidRDefault="001920C1"/>
    <w:p w:rsidR="001920C1" w:rsidRPr="00036C4F" w:rsidRDefault="001920C1"/>
    <w:sectPr w:rsidR="001920C1" w:rsidRPr="00036C4F" w:rsidSect="00036C4F">
      <w:headerReference w:type="default" r:id="rId10"/>
      <w:footerReference w:type="default" r:id="rId11"/>
      <w:headerReference w:type="first" r:id="rId12"/>
      <w:footerReference w:type="first" r:id="rId13"/>
      <w:pgSz w:w="12240" w:h="15840"/>
      <w:pgMar w:top="2268" w:right="900" w:bottom="1560"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804" w:rsidRDefault="00963804">
      <w:r>
        <w:separator/>
      </w:r>
    </w:p>
  </w:endnote>
  <w:endnote w:type="continuationSeparator" w:id="0">
    <w:p w:rsidR="00963804" w:rsidRDefault="0096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BE83135-B2E5-4CD0-9848-D187EE51F874}"/>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0A9C2D1D-4FC8-4E54-A49A-CD7E6D5954A4}"/>
    <w:embedBold r:id="rId3" w:fontKey="{02F7CA9C-F1A2-47B3-B113-77E279B19B24}"/>
    <w:embedItalic r:id="rId4" w:fontKey="{8C787DE4-5D78-43A6-B8EA-3AB508EBE45B}"/>
    <w:embedBoldItalic r:id="rId5" w:fontKey="{9398DDE2-C8D2-4744-959C-AB8D7833C44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8263687-C1BA-41A2-B13C-5B07FE98212B}"/>
    <w:embedBold r:id="rId7" w:fontKey="{83E19573-8FEA-4962-9611-AC6B9462A6CA}"/>
  </w:font>
  <w:font w:name="Georgia">
    <w:panose1 w:val="02040502050405020303"/>
    <w:charset w:val="00"/>
    <w:family w:val="roman"/>
    <w:pitch w:val="variable"/>
    <w:sig w:usb0="00000287" w:usb1="00000000" w:usb2="00000000" w:usb3="00000000" w:csb0="0000009F" w:csb1="00000000"/>
    <w:embedItalic r:id="rId8" w:fontKey="{AEED75CC-BAC3-4C8F-9BF6-6C0E1A133EBB}"/>
  </w:font>
  <w:font w:name="Cambria">
    <w:panose1 w:val="02040503050406030204"/>
    <w:charset w:val="00"/>
    <w:family w:val="roman"/>
    <w:pitch w:val="variable"/>
    <w:sig w:usb0="E00006FF" w:usb1="420024FF" w:usb2="02000000" w:usb3="00000000" w:csb0="0000019F" w:csb1="00000000"/>
    <w:embedRegular r:id="rId9" w:fontKey="{2441A652-7D3C-4F31-8064-3ECCA939A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0C1" w:rsidRPr="00036C4F" w:rsidRDefault="00C92E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sidRPr="00036C4F">
      <w:rPr>
        <w:rFonts w:ascii="Palatino Linotype" w:eastAsia="Palatino Linotype" w:hAnsi="Palatino Linotype" w:cs="Palatino Linotype"/>
        <w:color w:val="000000"/>
        <w:sz w:val="22"/>
        <w:szCs w:val="22"/>
      </w:rPr>
      <w:t xml:space="preserve">Página </w:t>
    </w:r>
    <w:r w:rsidRPr="00036C4F">
      <w:rPr>
        <w:rFonts w:ascii="Palatino Linotype" w:eastAsia="Palatino Linotype" w:hAnsi="Palatino Linotype" w:cs="Palatino Linotype"/>
        <w:b/>
        <w:bCs/>
        <w:color w:val="000000"/>
        <w:sz w:val="22"/>
        <w:szCs w:val="22"/>
      </w:rPr>
      <w:fldChar w:fldCharType="begin"/>
    </w:r>
    <w:r w:rsidRPr="00036C4F">
      <w:rPr>
        <w:rFonts w:ascii="Palatino Linotype" w:eastAsia="Palatino Linotype" w:hAnsi="Palatino Linotype" w:cs="Palatino Linotype"/>
        <w:b/>
        <w:bCs/>
        <w:color w:val="000000"/>
        <w:sz w:val="22"/>
        <w:szCs w:val="22"/>
      </w:rPr>
      <w:instrText>PAGE</w:instrText>
    </w:r>
    <w:r w:rsidRPr="00036C4F">
      <w:rPr>
        <w:rFonts w:ascii="Palatino Linotype" w:eastAsia="Palatino Linotype" w:hAnsi="Palatino Linotype" w:cs="Palatino Linotype"/>
        <w:b/>
        <w:bCs/>
        <w:color w:val="000000"/>
        <w:sz w:val="22"/>
        <w:szCs w:val="22"/>
      </w:rPr>
      <w:fldChar w:fldCharType="separate"/>
    </w:r>
    <w:r w:rsidR="00E2038B">
      <w:rPr>
        <w:rFonts w:ascii="Palatino Linotype" w:eastAsia="Palatino Linotype" w:hAnsi="Palatino Linotype" w:cs="Palatino Linotype"/>
        <w:b/>
        <w:bCs/>
        <w:noProof/>
        <w:color w:val="000000"/>
        <w:sz w:val="22"/>
        <w:szCs w:val="22"/>
      </w:rPr>
      <w:t>18</w:t>
    </w:r>
    <w:r w:rsidRPr="00036C4F">
      <w:rPr>
        <w:rFonts w:ascii="Palatino Linotype" w:eastAsia="Palatino Linotype" w:hAnsi="Palatino Linotype" w:cs="Palatino Linotype"/>
        <w:b/>
        <w:bCs/>
        <w:color w:val="000000"/>
        <w:sz w:val="22"/>
        <w:szCs w:val="22"/>
      </w:rPr>
      <w:fldChar w:fldCharType="end"/>
    </w:r>
    <w:r w:rsidRPr="00036C4F">
      <w:rPr>
        <w:rFonts w:ascii="Palatino Linotype" w:eastAsia="Palatino Linotype" w:hAnsi="Palatino Linotype" w:cs="Palatino Linotype"/>
        <w:color w:val="000000"/>
        <w:sz w:val="22"/>
        <w:szCs w:val="22"/>
      </w:rPr>
      <w:t xml:space="preserve"> de </w:t>
    </w:r>
    <w:r w:rsidRPr="00036C4F">
      <w:rPr>
        <w:rFonts w:ascii="Palatino Linotype" w:eastAsia="Palatino Linotype" w:hAnsi="Palatino Linotype" w:cs="Palatino Linotype"/>
        <w:b/>
        <w:bCs/>
        <w:color w:val="000000"/>
        <w:sz w:val="22"/>
        <w:szCs w:val="22"/>
      </w:rPr>
      <w:fldChar w:fldCharType="begin"/>
    </w:r>
    <w:r w:rsidRPr="00036C4F">
      <w:rPr>
        <w:rFonts w:ascii="Palatino Linotype" w:eastAsia="Palatino Linotype" w:hAnsi="Palatino Linotype" w:cs="Palatino Linotype"/>
        <w:b/>
        <w:bCs/>
        <w:color w:val="000000"/>
        <w:sz w:val="22"/>
        <w:szCs w:val="22"/>
      </w:rPr>
      <w:instrText>NUMPAGES</w:instrText>
    </w:r>
    <w:r w:rsidRPr="00036C4F">
      <w:rPr>
        <w:rFonts w:ascii="Palatino Linotype" w:eastAsia="Palatino Linotype" w:hAnsi="Palatino Linotype" w:cs="Palatino Linotype"/>
        <w:b/>
        <w:bCs/>
        <w:color w:val="000000"/>
        <w:sz w:val="22"/>
        <w:szCs w:val="22"/>
      </w:rPr>
      <w:fldChar w:fldCharType="separate"/>
    </w:r>
    <w:r w:rsidR="00E2038B">
      <w:rPr>
        <w:rFonts w:ascii="Palatino Linotype" w:eastAsia="Palatino Linotype" w:hAnsi="Palatino Linotype" w:cs="Palatino Linotype"/>
        <w:b/>
        <w:bCs/>
        <w:noProof/>
        <w:color w:val="000000"/>
        <w:sz w:val="22"/>
        <w:szCs w:val="22"/>
      </w:rPr>
      <w:t>18</w:t>
    </w:r>
    <w:r w:rsidRPr="00036C4F">
      <w:rPr>
        <w:rFonts w:ascii="Palatino Linotype" w:eastAsia="Palatino Linotype" w:hAnsi="Palatino Linotype" w:cs="Palatino Linotype"/>
        <w:b/>
        <w:bCs/>
        <w:color w:val="000000"/>
        <w:sz w:val="22"/>
        <w:szCs w:val="22"/>
      </w:rPr>
      <w:fldChar w:fldCharType="end"/>
    </w:r>
  </w:p>
  <w:p w:rsidR="001920C1" w:rsidRDefault="001920C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0C1" w:rsidRDefault="00C92E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sidRPr="00036C4F">
      <w:rPr>
        <w:rFonts w:ascii="Palatino Linotype" w:eastAsia="Palatino Linotype" w:hAnsi="Palatino Linotype" w:cs="Palatino Linotype"/>
        <w:color w:val="000000"/>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2038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2038B">
      <w:rPr>
        <w:rFonts w:ascii="Palatino Linotype" w:eastAsia="Palatino Linotype" w:hAnsi="Palatino Linotype" w:cs="Palatino Linotype"/>
        <w:noProof/>
        <w:color w:val="000000"/>
        <w:sz w:val="22"/>
        <w:szCs w:val="22"/>
      </w:rPr>
      <w:t>18</w:t>
    </w:r>
    <w:r>
      <w:rPr>
        <w:rFonts w:ascii="Palatino Linotype" w:eastAsia="Palatino Linotype" w:hAnsi="Palatino Linotype" w:cs="Palatino Linotype"/>
        <w:color w:val="000000"/>
        <w:sz w:val="22"/>
        <w:szCs w:val="22"/>
      </w:rPr>
      <w:fldChar w:fldCharType="end"/>
    </w:r>
  </w:p>
  <w:p w:rsidR="001920C1" w:rsidRDefault="001920C1">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804" w:rsidRDefault="00963804">
      <w:r>
        <w:separator/>
      </w:r>
    </w:p>
  </w:footnote>
  <w:footnote w:type="continuationSeparator" w:id="0">
    <w:p w:rsidR="00963804" w:rsidRDefault="00963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7376" w:type="dxa"/>
      <w:tblInd w:w="2755" w:type="dxa"/>
      <w:tblBorders>
        <w:top w:val="nil"/>
        <w:left w:val="nil"/>
        <w:bottom w:val="nil"/>
        <w:right w:val="nil"/>
        <w:insideH w:val="nil"/>
        <w:insideV w:val="nil"/>
      </w:tblBorders>
      <w:tblLayout w:type="fixed"/>
      <w:tblLook w:val="0400" w:firstRow="0" w:lastRow="0" w:firstColumn="0" w:lastColumn="0" w:noHBand="0" w:noVBand="1"/>
    </w:tblPr>
    <w:tblGrid>
      <w:gridCol w:w="3686"/>
      <w:gridCol w:w="3690"/>
    </w:tblGrid>
    <w:tr w:rsidR="001920C1" w:rsidTr="00036C4F">
      <w:trPr>
        <w:trHeight w:val="138"/>
      </w:trPr>
      <w:tc>
        <w:tcPr>
          <w:tcW w:w="3686" w:type="dxa"/>
          <w:vAlign w:val="center"/>
        </w:tcPr>
        <w:p w:rsidR="001920C1" w:rsidRPr="00036C4F" w:rsidRDefault="00C92E09">
          <w:pPr>
            <w:ind w:right="34"/>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RECURSO DE REVISIÓN:</w:t>
          </w:r>
        </w:p>
      </w:tc>
      <w:tc>
        <w:tcPr>
          <w:tcW w:w="3690" w:type="dxa"/>
          <w:vAlign w:val="center"/>
        </w:tcPr>
        <w:p w:rsidR="001920C1" w:rsidRPr="00036C4F" w:rsidRDefault="00E5630F" w:rsidP="00036C4F">
          <w:pPr>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1943/INFOEM/IP/RR/2026</w:t>
          </w:r>
        </w:p>
      </w:tc>
    </w:tr>
    <w:tr w:rsidR="001920C1" w:rsidTr="00036C4F">
      <w:trPr>
        <w:trHeight w:val="233"/>
      </w:trPr>
      <w:tc>
        <w:tcPr>
          <w:tcW w:w="3686" w:type="dxa"/>
          <w:vAlign w:val="center"/>
        </w:tcPr>
        <w:p w:rsidR="001920C1" w:rsidRPr="00036C4F" w:rsidRDefault="00C92E09">
          <w:pPr>
            <w:ind w:right="34"/>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SUJETO OBLIGADO:</w:t>
          </w:r>
        </w:p>
      </w:tc>
      <w:tc>
        <w:tcPr>
          <w:tcW w:w="3690" w:type="dxa"/>
          <w:vAlign w:val="center"/>
        </w:tcPr>
        <w:p w:rsidR="001920C1" w:rsidRPr="00036C4F" w:rsidRDefault="00C92E09" w:rsidP="00036C4F">
          <w:pPr>
            <w:pBdr>
              <w:top w:val="nil"/>
              <w:left w:val="nil"/>
              <w:bottom w:val="nil"/>
              <w:right w:val="nil"/>
              <w:between w:val="nil"/>
            </w:pBdr>
            <w:tabs>
              <w:tab w:val="center" w:pos="4252"/>
              <w:tab w:val="right" w:pos="8504"/>
            </w:tabs>
            <w:rPr>
              <w:rFonts w:ascii="Palatino Linotype" w:eastAsia="Palatino Linotype" w:hAnsi="Palatino Linotype" w:cs="Palatino Linotype"/>
              <w:b/>
              <w:bCs/>
              <w:color w:val="000000"/>
              <w:szCs w:val="22"/>
            </w:rPr>
          </w:pPr>
          <w:r w:rsidRPr="00036C4F">
            <w:rPr>
              <w:rFonts w:ascii="Palatino Linotype" w:eastAsia="Palatino Linotype" w:hAnsi="Palatino Linotype" w:cs="Palatino Linotype"/>
              <w:b/>
              <w:bCs/>
              <w:color w:val="000000"/>
              <w:szCs w:val="22"/>
            </w:rPr>
            <w:t>Ayuntamiento de Tepotzotlán</w:t>
          </w:r>
        </w:p>
      </w:tc>
    </w:tr>
    <w:tr w:rsidR="001920C1" w:rsidTr="00036C4F">
      <w:trPr>
        <w:trHeight w:val="321"/>
      </w:trPr>
      <w:tc>
        <w:tcPr>
          <w:tcW w:w="3686" w:type="dxa"/>
          <w:vAlign w:val="center"/>
        </w:tcPr>
        <w:p w:rsidR="001920C1" w:rsidRPr="00036C4F" w:rsidRDefault="00C92E09">
          <w:pPr>
            <w:ind w:right="34"/>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COMISIONADA PONENTE:</w:t>
          </w:r>
        </w:p>
      </w:tc>
      <w:tc>
        <w:tcPr>
          <w:tcW w:w="3690" w:type="dxa"/>
          <w:vAlign w:val="center"/>
        </w:tcPr>
        <w:p w:rsidR="001920C1" w:rsidRPr="00036C4F" w:rsidRDefault="00C92E09" w:rsidP="00036C4F">
          <w:pPr>
            <w:pBdr>
              <w:top w:val="nil"/>
              <w:left w:val="nil"/>
              <w:bottom w:val="nil"/>
              <w:right w:val="nil"/>
              <w:between w:val="nil"/>
            </w:pBdr>
            <w:tabs>
              <w:tab w:val="center" w:pos="4252"/>
              <w:tab w:val="right" w:pos="8504"/>
            </w:tabs>
            <w:rPr>
              <w:rFonts w:ascii="Palatino Linotype" w:eastAsia="Palatino Linotype" w:hAnsi="Palatino Linotype" w:cs="Palatino Linotype"/>
              <w:b/>
              <w:bCs/>
              <w:color w:val="000000"/>
              <w:szCs w:val="22"/>
            </w:rPr>
          </w:pPr>
          <w:r w:rsidRPr="00036C4F">
            <w:rPr>
              <w:rFonts w:ascii="Palatino Linotype" w:eastAsia="Palatino Linotype" w:hAnsi="Palatino Linotype" w:cs="Palatino Linotype"/>
              <w:b/>
              <w:bCs/>
              <w:color w:val="000000"/>
              <w:szCs w:val="22"/>
            </w:rPr>
            <w:t>María del Rosario Mejía Ayala</w:t>
          </w:r>
        </w:p>
      </w:tc>
    </w:tr>
  </w:tbl>
  <w:p w:rsidR="001920C1" w:rsidRDefault="00C92E09">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simplePos x="0" y="0"/>
          <wp:positionH relativeFrom="margin">
            <wp:align>center</wp:align>
          </wp:positionH>
          <wp:positionV relativeFrom="page">
            <wp:align>bottom</wp:align>
          </wp:positionV>
          <wp:extent cx="7695210" cy="10020839"/>
          <wp:effectExtent l="0" t="0" r="127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655" w:type="dxa"/>
      <w:tblInd w:w="2606" w:type="dxa"/>
      <w:tblBorders>
        <w:top w:val="nil"/>
        <w:left w:val="nil"/>
        <w:bottom w:val="nil"/>
        <w:right w:val="nil"/>
        <w:insideH w:val="nil"/>
        <w:insideV w:val="nil"/>
      </w:tblBorders>
      <w:tblLayout w:type="fixed"/>
      <w:tblLook w:val="0400" w:firstRow="0" w:lastRow="0" w:firstColumn="0" w:lastColumn="0" w:noHBand="0" w:noVBand="1"/>
    </w:tblPr>
    <w:tblGrid>
      <w:gridCol w:w="3544"/>
      <w:gridCol w:w="4111"/>
    </w:tblGrid>
    <w:tr w:rsidR="001920C1" w:rsidTr="00036C4F">
      <w:trPr>
        <w:trHeight w:val="138"/>
      </w:trPr>
      <w:tc>
        <w:tcPr>
          <w:tcW w:w="3544" w:type="dxa"/>
          <w:vAlign w:val="center"/>
        </w:tcPr>
        <w:p w:rsidR="001920C1" w:rsidRPr="00036C4F" w:rsidRDefault="00C92E09">
          <w:pPr>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RECURSO DE REVISIÓN:</w:t>
          </w:r>
        </w:p>
      </w:tc>
      <w:tc>
        <w:tcPr>
          <w:tcW w:w="4111" w:type="dxa"/>
          <w:vAlign w:val="center"/>
        </w:tcPr>
        <w:p w:rsidR="001920C1" w:rsidRPr="00036C4F" w:rsidRDefault="00C92E09" w:rsidP="00036C4F">
          <w:pPr>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1943/INFOEM/IP/RR/2026</w:t>
          </w:r>
        </w:p>
      </w:tc>
    </w:tr>
    <w:tr w:rsidR="001920C1" w:rsidTr="00036C4F">
      <w:trPr>
        <w:trHeight w:val="233"/>
      </w:trPr>
      <w:tc>
        <w:tcPr>
          <w:tcW w:w="3544" w:type="dxa"/>
          <w:vAlign w:val="center"/>
        </w:tcPr>
        <w:p w:rsidR="001920C1" w:rsidRPr="00036C4F" w:rsidRDefault="00C92E09">
          <w:pPr>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RECURRENTE:</w:t>
          </w:r>
        </w:p>
      </w:tc>
      <w:tc>
        <w:tcPr>
          <w:tcW w:w="4111" w:type="dxa"/>
        </w:tcPr>
        <w:p w:rsidR="001920C1" w:rsidRPr="00036C4F" w:rsidRDefault="00C92E09" w:rsidP="00E2038B">
          <w:pPr>
            <w:pBdr>
              <w:top w:val="nil"/>
              <w:left w:val="nil"/>
              <w:bottom w:val="nil"/>
              <w:right w:val="nil"/>
              <w:between w:val="nil"/>
            </w:pBdr>
            <w:tabs>
              <w:tab w:val="center" w:pos="4252"/>
              <w:tab w:val="right" w:pos="8504"/>
            </w:tabs>
            <w:rPr>
              <w:rFonts w:ascii="Palatino Linotype" w:eastAsia="Palatino Linotype" w:hAnsi="Palatino Linotype" w:cs="Palatino Linotype"/>
              <w:b/>
              <w:bCs/>
              <w:color w:val="FF0000"/>
              <w:szCs w:val="22"/>
            </w:rPr>
          </w:pPr>
          <w:r w:rsidRPr="00036C4F">
            <w:rPr>
              <w:rFonts w:ascii="Palatino Linotype" w:eastAsia="Palatino Linotype" w:hAnsi="Palatino Linotype" w:cs="Palatino Linotype"/>
              <w:b/>
              <w:bCs/>
              <w:color w:val="000000"/>
              <w:szCs w:val="22"/>
            </w:rPr>
            <w:t> </w:t>
          </w:r>
          <w:r w:rsidR="00E2038B">
            <w:rPr>
              <w:rFonts w:ascii="Palatino Linotype" w:eastAsia="Palatino Linotype" w:hAnsi="Palatino Linotype" w:cs="Palatino Linotype"/>
              <w:b/>
              <w:bCs/>
              <w:color w:val="000000"/>
              <w:szCs w:val="22"/>
            </w:rPr>
            <w:t>XXXX</w:t>
          </w:r>
        </w:p>
      </w:tc>
    </w:tr>
    <w:tr w:rsidR="001920C1" w:rsidTr="00036C4F">
      <w:trPr>
        <w:trHeight w:val="321"/>
      </w:trPr>
      <w:tc>
        <w:tcPr>
          <w:tcW w:w="3544" w:type="dxa"/>
          <w:vAlign w:val="center"/>
        </w:tcPr>
        <w:p w:rsidR="001920C1" w:rsidRPr="00036C4F" w:rsidRDefault="00C92E09">
          <w:pPr>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SUJETO OBLIGADO:</w:t>
          </w:r>
        </w:p>
      </w:tc>
      <w:tc>
        <w:tcPr>
          <w:tcW w:w="4111" w:type="dxa"/>
          <w:vAlign w:val="center"/>
        </w:tcPr>
        <w:p w:rsidR="001920C1" w:rsidRPr="00036C4F" w:rsidRDefault="00C92E09" w:rsidP="00036C4F">
          <w:pPr>
            <w:pBdr>
              <w:top w:val="nil"/>
              <w:left w:val="nil"/>
              <w:bottom w:val="nil"/>
              <w:right w:val="nil"/>
              <w:between w:val="nil"/>
            </w:pBdr>
            <w:tabs>
              <w:tab w:val="center" w:pos="4252"/>
              <w:tab w:val="right" w:pos="8504"/>
            </w:tabs>
            <w:rPr>
              <w:rFonts w:ascii="Palatino Linotype" w:eastAsia="Palatino Linotype" w:hAnsi="Palatino Linotype" w:cs="Palatino Linotype"/>
              <w:b/>
              <w:bCs/>
              <w:color w:val="000000"/>
              <w:szCs w:val="22"/>
            </w:rPr>
          </w:pPr>
          <w:r w:rsidRPr="00036C4F">
            <w:rPr>
              <w:rFonts w:ascii="Palatino Linotype" w:eastAsia="Palatino Linotype" w:hAnsi="Palatino Linotype" w:cs="Palatino Linotype"/>
              <w:b/>
              <w:bCs/>
              <w:color w:val="000000"/>
              <w:szCs w:val="22"/>
            </w:rPr>
            <w:t>Ayuntamiento de Tepotzotlán</w:t>
          </w:r>
        </w:p>
      </w:tc>
    </w:tr>
    <w:tr w:rsidR="001920C1" w:rsidTr="00036C4F">
      <w:trPr>
        <w:trHeight w:val="321"/>
      </w:trPr>
      <w:tc>
        <w:tcPr>
          <w:tcW w:w="3544" w:type="dxa"/>
          <w:vAlign w:val="center"/>
        </w:tcPr>
        <w:p w:rsidR="001920C1" w:rsidRPr="00036C4F" w:rsidRDefault="00C92E09">
          <w:pPr>
            <w:jc w:val="right"/>
            <w:rPr>
              <w:rFonts w:ascii="Palatino Linotype" w:eastAsia="Palatino Linotype" w:hAnsi="Palatino Linotype" w:cs="Palatino Linotype"/>
              <w:b/>
              <w:bCs/>
              <w:szCs w:val="22"/>
            </w:rPr>
          </w:pPr>
          <w:r w:rsidRPr="00036C4F">
            <w:rPr>
              <w:rFonts w:ascii="Palatino Linotype" w:eastAsia="Palatino Linotype" w:hAnsi="Palatino Linotype" w:cs="Palatino Linotype"/>
              <w:b/>
              <w:bCs/>
              <w:szCs w:val="22"/>
            </w:rPr>
            <w:t>COMISIONADA PONENTE:</w:t>
          </w:r>
        </w:p>
      </w:tc>
      <w:tc>
        <w:tcPr>
          <w:tcW w:w="4111" w:type="dxa"/>
          <w:vAlign w:val="center"/>
        </w:tcPr>
        <w:p w:rsidR="001920C1" w:rsidRPr="00036C4F" w:rsidRDefault="00C92E09" w:rsidP="00036C4F">
          <w:pPr>
            <w:pBdr>
              <w:top w:val="nil"/>
              <w:left w:val="nil"/>
              <w:bottom w:val="nil"/>
              <w:right w:val="nil"/>
              <w:between w:val="nil"/>
            </w:pBdr>
            <w:tabs>
              <w:tab w:val="center" w:pos="4252"/>
              <w:tab w:val="right" w:pos="8504"/>
            </w:tabs>
            <w:ind w:left="33"/>
            <w:rPr>
              <w:rFonts w:ascii="Palatino Linotype" w:eastAsia="Palatino Linotype" w:hAnsi="Palatino Linotype" w:cs="Palatino Linotype"/>
              <w:b/>
              <w:bCs/>
              <w:color w:val="000000"/>
              <w:szCs w:val="22"/>
            </w:rPr>
          </w:pPr>
          <w:r w:rsidRPr="00036C4F">
            <w:rPr>
              <w:rFonts w:ascii="Palatino Linotype" w:eastAsia="Palatino Linotype" w:hAnsi="Palatino Linotype" w:cs="Palatino Linotype"/>
              <w:b/>
              <w:bCs/>
              <w:color w:val="000000"/>
              <w:szCs w:val="22"/>
            </w:rPr>
            <w:t>María del Rosario Mejía Ayala</w:t>
          </w:r>
        </w:p>
      </w:tc>
    </w:tr>
  </w:tbl>
  <w:p w:rsidR="001920C1" w:rsidRPr="00036C4F" w:rsidRDefault="00963804">
    <w:pPr>
      <w:pBdr>
        <w:top w:val="nil"/>
        <w:left w:val="nil"/>
        <w:bottom w:val="nil"/>
        <w:right w:val="nil"/>
        <w:between w:val="nil"/>
      </w:pBdr>
      <w:tabs>
        <w:tab w:val="center" w:pos="4252"/>
        <w:tab w:val="right" w:pos="8504"/>
        <w:tab w:val="left" w:pos="3103"/>
      </w:tabs>
      <w:rPr>
        <w:color w:val="000000"/>
        <w:sz w:val="28"/>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7.05pt;margin-top:-124.25pt;width:663.5pt;height:12in;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A1A85"/>
    <w:multiLevelType w:val="multilevel"/>
    <w:tmpl w:val="07442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034ED7"/>
    <w:multiLevelType w:val="multilevel"/>
    <w:tmpl w:val="C2828F3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F064813"/>
    <w:multiLevelType w:val="multilevel"/>
    <w:tmpl w:val="A4246086"/>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EC2FAF"/>
    <w:multiLevelType w:val="multilevel"/>
    <w:tmpl w:val="F6468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9C1B76"/>
    <w:multiLevelType w:val="multilevel"/>
    <w:tmpl w:val="84E0F7D2"/>
    <w:lvl w:ilvl="0">
      <w:start w:val="1"/>
      <w:numFmt w:val="upperRoman"/>
      <w:lvlText w:val="%1."/>
      <w:lvlJc w:val="left"/>
      <w:pPr>
        <w:ind w:left="1773" w:hanging="720"/>
      </w:pPr>
    </w:lvl>
    <w:lvl w:ilvl="1">
      <w:start w:val="1"/>
      <w:numFmt w:val="lowerLetter"/>
      <w:lvlText w:val="%2."/>
      <w:lvlJc w:val="left"/>
      <w:pPr>
        <w:ind w:left="2133" w:hanging="360"/>
      </w:pPr>
    </w:lvl>
    <w:lvl w:ilvl="2">
      <w:start w:val="1"/>
      <w:numFmt w:val="lowerRoman"/>
      <w:lvlText w:val="%3."/>
      <w:lvlJc w:val="right"/>
      <w:pPr>
        <w:ind w:left="2853" w:hanging="180"/>
      </w:pPr>
    </w:lvl>
    <w:lvl w:ilvl="3">
      <w:start w:val="1"/>
      <w:numFmt w:val="decimal"/>
      <w:lvlText w:val="%4."/>
      <w:lvlJc w:val="left"/>
      <w:pPr>
        <w:ind w:left="3573" w:hanging="360"/>
      </w:pPr>
    </w:lvl>
    <w:lvl w:ilvl="4">
      <w:start w:val="1"/>
      <w:numFmt w:val="lowerLetter"/>
      <w:lvlText w:val="%5."/>
      <w:lvlJc w:val="left"/>
      <w:pPr>
        <w:ind w:left="4293" w:hanging="360"/>
      </w:pPr>
    </w:lvl>
    <w:lvl w:ilvl="5">
      <w:start w:val="1"/>
      <w:numFmt w:val="lowerRoman"/>
      <w:lvlText w:val="%6."/>
      <w:lvlJc w:val="right"/>
      <w:pPr>
        <w:ind w:left="5013" w:hanging="180"/>
      </w:pPr>
    </w:lvl>
    <w:lvl w:ilvl="6">
      <w:start w:val="1"/>
      <w:numFmt w:val="decimal"/>
      <w:lvlText w:val="%7."/>
      <w:lvlJc w:val="left"/>
      <w:pPr>
        <w:ind w:left="5733" w:hanging="360"/>
      </w:pPr>
    </w:lvl>
    <w:lvl w:ilvl="7">
      <w:start w:val="1"/>
      <w:numFmt w:val="lowerLetter"/>
      <w:lvlText w:val="%8."/>
      <w:lvlJc w:val="left"/>
      <w:pPr>
        <w:ind w:left="6453" w:hanging="360"/>
      </w:pPr>
    </w:lvl>
    <w:lvl w:ilvl="8">
      <w:start w:val="1"/>
      <w:numFmt w:val="lowerRoman"/>
      <w:lvlText w:val="%9."/>
      <w:lvlJc w:val="right"/>
      <w:pPr>
        <w:ind w:left="7173" w:hanging="180"/>
      </w:pPr>
    </w:lvl>
  </w:abstractNum>
  <w:abstractNum w:abstractNumId="5" w15:restartNumberingAfterBreak="0">
    <w:nsid w:val="6A700B69"/>
    <w:multiLevelType w:val="multilevel"/>
    <w:tmpl w:val="B9CAEED0"/>
    <w:lvl w:ilvl="0">
      <w:start w:val="1"/>
      <w:numFmt w:val="upperRoman"/>
      <w:lvlText w:val="%1."/>
      <w:lvlJc w:val="left"/>
      <w:pPr>
        <w:ind w:left="1818" w:hanging="720"/>
      </w:pPr>
    </w:lvl>
    <w:lvl w:ilvl="1">
      <w:start w:val="1"/>
      <w:numFmt w:val="lowerLetter"/>
      <w:lvlText w:val="%2."/>
      <w:lvlJc w:val="left"/>
      <w:pPr>
        <w:ind w:left="2178" w:hanging="360"/>
      </w:pPr>
    </w:lvl>
    <w:lvl w:ilvl="2">
      <w:start w:val="1"/>
      <w:numFmt w:val="lowerRoman"/>
      <w:lvlText w:val="%3."/>
      <w:lvlJc w:val="right"/>
      <w:pPr>
        <w:ind w:left="2898" w:hanging="180"/>
      </w:pPr>
    </w:lvl>
    <w:lvl w:ilvl="3">
      <w:start w:val="1"/>
      <w:numFmt w:val="decimal"/>
      <w:lvlText w:val="%4."/>
      <w:lvlJc w:val="left"/>
      <w:pPr>
        <w:ind w:left="3618" w:hanging="360"/>
      </w:pPr>
    </w:lvl>
    <w:lvl w:ilvl="4">
      <w:start w:val="1"/>
      <w:numFmt w:val="lowerLetter"/>
      <w:lvlText w:val="%5."/>
      <w:lvlJc w:val="left"/>
      <w:pPr>
        <w:ind w:left="4338" w:hanging="360"/>
      </w:pPr>
    </w:lvl>
    <w:lvl w:ilvl="5">
      <w:start w:val="1"/>
      <w:numFmt w:val="lowerRoman"/>
      <w:lvlText w:val="%6."/>
      <w:lvlJc w:val="right"/>
      <w:pPr>
        <w:ind w:left="5058" w:hanging="180"/>
      </w:pPr>
    </w:lvl>
    <w:lvl w:ilvl="6">
      <w:start w:val="1"/>
      <w:numFmt w:val="decimal"/>
      <w:lvlText w:val="%7."/>
      <w:lvlJc w:val="left"/>
      <w:pPr>
        <w:ind w:left="5778" w:hanging="360"/>
      </w:pPr>
    </w:lvl>
    <w:lvl w:ilvl="7">
      <w:start w:val="1"/>
      <w:numFmt w:val="lowerLetter"/>
      <w:lvlText w:val="%8."/>
      <w:lvlJc w:val="left"/>
      <w:pPr>
        <w:ind w:left="6498" w:hanging="360"/>
      </w:pPr>
    </w:lvl>
    <w:lvl w:ilvl="8">
      <w:start w:val="1"/>
      <w:numFmt w:val="lowerRoman"/>
      <w:lvlText w:val="%9."/>
      <w:lvlJc w:val="right"/>
      <w:pPr>
        <w:ind w:left="7218" w:hanging="18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0C1"/>
    <w:rsid w:val="00036C4F"/>
    <w:rsid w:val="001920C1"/>
    <w:rsid w:val="006A0927"/>
    <w:rsid w:val="00963804"/>
    <w:rsid w:val="00B54DE0"/>
    <w:rsid w:val="00B6439F"/>
    <w:rsid w:val="00C92E09"/>
    <w:rsid w:val="00E2038B"/>
    <w:rsid w:val="00E563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436FC58-EB55-4475-AACB-DFC4E8F7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rPr>
  </w:style>
  <w:style w:type="paragraph" w:styleId="Ttulo2">
    <w:name w:val="heading 2"/>
    <w:basedOn w:val="Normal"/>
    <w:next w:val="Normal"/>
    <w:pPr>
      <w:keepNext/>
      <w:keepLines/>
      <w:spacing w:before="40" w:line="259"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E5630F"/>
    <w:pPr>
      <w:tabs>
        <w:tab w:val="center" w:pos="4419"/>
        <w:tab w:val="right" w:pos="8838"/>
      </w:tabs>
    </w:pPr>
  </w:style>
  <w:style w:type="character" w:customStyle="1" w:styleId="EncabezadoCar">
    <w:name w:val="Encabezado Car"/>
    <w:basedOn w:val="Fuentedeprrafopredeter"/>
    <w:link w:val="Encabezado"/>
    <w:uiPriority w:val="99"/>
    <w:rsid w:val="00E5630F"/>
  </w:style>
  <w:style w:type="paragraph" w:styleId="Piedepgina">
    <w:name w:val="footer"/>
    <w:basedOn w:val="Normal"/>
    <w:link w:val="PiedepginaCar"/>
    <w:uiPriority w:val="99"/>
    <w:unhideWhenUsed/>
    <w:rsid w:val="00E5630F"/>
    <w:pPr>
      <w:tabs>
        <w:tab w:val="center" w:pos="4419"/>
        <w:tab w:val="right" w:pos="8838"/>
      </w:tabs>
    </w:pPr>
  </w:style>
  <w:style w:type="character" w:customStyle="1" w:styleId="PiedepginaCar">
    <w:name w:val="Pie de página Car"/>
    <w:basedOn w:val="Fuentedeprrafopredeter"/>
    <w:link w:val="Piedepgina"/>
    <w:uiPriority w:val="99"/>
    <w:rsid w:val="00E56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IMCUFIDE+Tepotzotl%C3%A1n&amp;sca_esv=cd246a25237b15d7&amp;sxsrf=ANbL-n5vWdYvJfXpVB8Xw2qq8TTy7nIF6g%3A1776364706056&amp;ei=oizhadCJA4fJkPIP49jFwAs&amp;biw=871&amp;bih=827&amp;ved=2ahUKEwj6ma-cgvOTAxVBJEQIHc1iC_QQgK4QegQIARAB&amp;uact=5&amp;oq=objetivo+del+imcufide+tepotzotlan&amp;gs_lp=Egxnd3Mtd2l6LXNlcnAiIW9iamV0aXZvIGRlbCBpbWN1ZmlkZSB0ZXBvdHpvdGxhbjIIEAAYgAQYogQyCBAAGIAEGKIEMgUQABjvBTIFEAAY7wUyCBAAGIAEGKIESLUVULYJWL4ScAF4AZABAJgB2AGgAYIMqgEFMC40LjS4AQPIAQD4AQGYAgSgAsgEwgIKEAAYRxjWBBiwA5gDAIgGAZAGCJIHBTEuMS4yoAfSGrIHBTAuMS4yuAfFBMIHAzAuNMgHBoAIAQ&amp;sclient=gws-wiz-serp&amp;mstk=AUtExfAc8r3iR1aUJqAFE6G1bylox0INOYAhYRVAjMIuWd8cJDz4DpxL0a_PkpEw_hhVvIot-IWNf-nlj42rU2m7muMkqbL_Ey3urTaHngugVEIx1eGl5eZLG5a3_oBZRi-9eoXOcHn6Vwhhk3iS0dIbAhAjZzgUFf2dQdglC4xixIyIK6fg_DvuJ4LpNbp-s8ILwVdcjeH5Q_I_1AiUyiUSFDiwhqlE7kTMC9vwAkzgOVzByg3JGxgInn_mllonUGn8BiClTAposSx1vgqQlev2klNWj8-wDVRY0OCyOE_24u7J5w&amp;csui=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ZZIv21z9kiQ+73k+x7qQrN3PA==">CgMxLjAyDmguZmRwbnpxcWV2bDd5Mg5oLmpkZXk0dDFjdmt4NzIOaC45aXpsbHk0MnZnOGoyDmguNzd6cXh3czRiZWZlMg5oLmtsZm8wbGdrOW42dDIOaC5maGc0NmJ3c3lxc3YyDmguZG41amFicjBhejRrMg5oLjh4cGx4cmlkMDF0bDIIaC5sbnhiejkyCWguMzVua3VuMjIOaC50cnR4MnhqamJxZ3g4AHIhMXBiYzFUREUyZHFJWWxhRUg4aTdUTmszX21KbFVBNnI0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4518</Words>
  <Characters>24852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2026-04-29T18:01:00Z</cp:lastPrinted>
  <dcterms:created xsi:type="dcterms:W3CDTF">2026-04-28T21:18:00Z</dcterms:created>
  <dcterms:modified xsi:type="dcterms:W3CDTF">2026-05-08T00:11:00Z</dcterms:modified>
</cp:coreProperties>
</file>