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774" w:rsidRPr="00890BD0" w:rsidRDefault="00AF5774" w:rsidP="00AF5774">
      <w:pPr>
        <w:spacing w:line="360" w:lineRule="auto"/>
        <w:jc w:val="both"/>
        <w:rPr>
          <w:rFonts w:ascii="Palatino Linotype" w:eastAsia="Palatino Linotype" w:hAnsi="Palatino Linotype" w:cs="Palatino Linotype"/>
          <w:sz w:val="24"/>
          <w:szCs w:val="24"/>
        </w:rPr>
      </w:pPr>
      <w:bookmarkStart w:id="0" w:name="_Toc87549675"/>
      <w:r w:rsidRPr="00890BD0">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890BD0">
        <w:rPr>
          <w:rFonts w:ascii="Palatino Linotype" w:eastAsia="Palatino Linotype" w:hAnsi="Palatino Linotype" w:cs="Palatino Linotype"/>
          <w:b/>
          <w:sz w:val="24"/>
          <w:szCs w:val="24"/>
        </w:rPr>
        <w:t>de</w:t>
      </w:r>
      <w:r w:rsidR="003B7DA6" w:rsidRPr="00890BD0">
        <w:rPr>
          <w:rFonts w:ascii="Palatino Linotype" w:eastAsia="Palatino Linotype" w:hAnsi="Palatino Linotype" w:cs="Palatino Linotype"/>
          <w:b/>
          <w:sz w:val="24"/>
          <w:szCs w:val="24"/>
        </w:rPr>
        <w:t xml:space="preserve"> fecha</w:t>
      </w:r>
      <w:r w:rsidRPr="00890BD0">
        <w:rPr>
          <w:rFonts w:ascii="Palatino Linotype" w:eastAsia="Palatino Linotype" w:hAnsi="Palatino Linotype" w:cs="Palatino Linotype"/>
          <w:b/>
          <w:sz w:val="24"/>
          <w:szCs w:val="24"/>
        </w:rPr>
        <w:t xml:space="preserve"> </w:t>
      </w:r>
      <w:r w:rsidR="008D2F61" w:rsidRPr="00890BD0">
        <w:rPr>
          <w:rFonts w:ascii="Palatino Linotype" w:eastAsia="Palatino Linotype" w:hAnsi="Palatino Linotype" w:cs="Palatino Linotype"/>
          <w:b/>
          <w:sz w:val="24"/>
          <w:szCs w:val="24"/>
        </w:rPr>
        <w:t xml:space="preserve">dieciocho </w:t>
      </w:r>
      <w:r w:rsidR="003B7DA6" w:rsidRPr="00890BD0">
        <w:rPr>
          <w:rFonts w:ascii="Palatino Linotype" w:eastAsia="Palatino Linotype" w:hAnsi="Palatino Linotype" w:cs="Palatino Linotype"/>
          <w:b/>
          <w:sz w:val="24"/>
          <w:szCs w:val="24"/>
        </w:rPr>
        <w:t xml:space="preserve">(18) </w:t>
      </w:r>
      <w:r w:rsidR="008D2F61" w:rsidRPr="00890BD0">
        <w:rPr>
          <w:rFonts w:ascii="Palatino Linotype" w:eastAsia="Palatino Linotype" w:hAnsi="Palatino Linotype" w:cs="Palatino Linotype"/>
          <w:b/>
          <w:sz w:val="24"/>
          <w:szCs w:val="24"/>
        </w:rPr>
        <w:t>de febrero</w:t>
      </w:r>
      <w:r w:rsidRPr="00890BD0">
        <w:rPr>
          <w:rFonts w:ascii="Palatino Linotype" w:eastAsia="Palatino Linotype" w:hAnsi="Palatino Linotype" w:cs="Palatino Linotype"/>
          <w:b/>
          <w:sz w:val="24"/>
          <w:szCs w:val="24"/>
        </w:rPr>
        <w:t xml:space="preserve"> de dos mil veintiséis.</w:t>
      </w:r>
    </w:p>
    <w:p w:rsidR="00AF5774" w:rsidRPr="00890BD0" w:rsidRDefault="00AF5774" w:rsidP="00AF5774">
      <w:pPr>
        <w:spacing w:line="360" w:lineRule="auto"/>
        <w:jc w:val="both"/>
        <w:rPr>
          <w:rFonts w:ascii="Palatino Linotype" w:eastAsia="Palatino Linotype" w:hAnsi="Palatino Linotype" w:cs="Palatino Linotype"/>
          <w:sz w:val="24"/>
          <w:szCs w:val="24"/>
        </w:rPr>
      </w:pPr>
    </w:p>
    <w:p w:rsidR="00AF5774" w:rsidRPr="00890BD0" w:rsidRDefault="00AF5774" w:rsidP="00AF5774">
      <w:pPr>
        <w:spacing w:line="360" w:lineRule="auto"/>
        <w:jc w:val="both"/>
        <w:rPr>
          <w:rFonts w:ascii="Palatino Linotype" w:eastAsia="Palatino Linotype" w:hAnsi="Palatino Linotype" w:cs="Palatino Linotype"/>
          <w:b/>
          <w:sz w:val="24"/>
          <w:szCs w:val="24"/>
        </w:rPr>
      </w:pPr>
      <w:r w:rsidRPr="00890BD0">
        <w:rPr>
          <w:rFonts w:ascii="Palatino Linotype" w:eastAsia="Palatino Linotype" w:hAnsi="Palatino Linotype" w:cs="Palatino Linotype"/>
          <w:b/>
          <w:sz w:val="24"/>
          <w:szCs w:val="24"/>
        </w:rPr>
        <w:t>VISTO</w:t>
      </w:r>
      <w:r w:rsidRPr="00890BD0">
        <w:rPr>
          <w:rFonts w:ascii="Palatino Linotype" w:eastAsia="Palatino Linotype" w:hAnsi="Palatino Linotype" w:cs="Palatino Linotype"/>
          <w:sz w:val="24"/>
          <w:szCs w:val="24"/>
        </w:rPr>
        <w:t xml:space="preserve"> el expediente electrónico formado con motivo del recurso de revisión</w:t>
      </w:r>
      <w:r w:rsidRPr="00890BD0">
        <w:rPr>
          <w:rFonts w:ascii="Palatino Linotype" w:eastAsia="Palatino Linotype" w:hAnsi="Palatino Linotype" w:cs="Palatino Linotype"/>
          <w:b/>
          <w:bCs/>
          <w:sz w:val="24"/>
          <w:szCs w:val="24"/>
        </w:rPr>
        <w:t xml:space="preserve"> </w:t>
      </w:r>
      <w:r w:rsidR="008D2F61" w:rsidRPr="00890BD0">
        <w:rPr>
          <w:rFonts w:ascii="Palatino Linotype" w:eastAsia="Palatino Linotype" w:hAnsi="Palatino Linotype" w:cs="Palatino Linotype"/>
          <w:b/>
          <w:bCs/>
          <w:sz w:val="24"/>
          <w:szCs w:val="24"/>
        </w:rPr>
        <w:t>13908/INFOEM/IP/RR/2025</w:t>
      </w:r>
      <w:r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sz w:val="24"/>
          <w:szCs w:val="24"/>
        </w:rPr>
        <w:t>promovido por</w:t>
      </w:r>
      <w:r w:rsidRPr="00890BD0">
        <w:rPr>
          <w:rFonts w:ascii="Palatino Linotype" w:eastAsia="Palatino Linotype" w:hAnsi="Palatino Linotype" w:cs="Palatino Linotype"/>
          <w:b/>
          <w:color w:val="FF0000"/>
          <w:sz w:val="24"/>
          <w:szCs w:val="24"/>
        </w:rPr>
        <w:t xml:space="preserve"> </w:t>
      </w:r>
      <w:r w:rsidR="00FA1902">
        <w:rPr>
          <w:rFonts w:ascii="Palatino Linotype" w:eastAsia="Palatino Linotype" w:hAnsi="Palatino Linotype" w:cs="Palatino Linotype"/>
          <w:b/>
          <w:bCs/>
          <w:sz w:val="24"/>
          <w:szCs w:val="24"/>
        </w:rPr>
        <w:t>XXXX</w:t>
      </w:r>
      <w:r w:rsidR="003B7DA6" w:rsidRPr="00890BD0">
        <w:rPr>
          <w:rFonts w:ascii="Palatino Linotype" w:eastAsia="Palatino Linotype" w:hAnsi="Palatino Linotype" w:cs="Palatino Linotype"/>
          <w:b/>
          <w:bCs/>
          <w:sz w:val="24"/>
          <w:szCs w:val="24"/>
        </w:rPr>
        <w:t>,</w:t>
      </w:r>
      <w:r w:rsidRPr="00890BD0">
        <w:rPr>
          <w:rFonts w:ascii="Palatino Linotype" w:eastAsia="Palatino Linotype" w:hAnsi="Palatino Linotype" w:cs="Palatino Linotype"/>
          <w:sz w:val="24"/>
          <w:szCs w:val="24"/>
        </w:rPr>
        <w:t xml:space="preserve"> a quien en lo sucesivo se identificará como </w:t>
      </w:r>
      <w:r w:rsidRPr="00890BD0">
        <w:rPr>
          <w:rFonts w:ascii="Palatino Linotype" w:eastAsia="Palatino Linotype" w:hAnsi="Palatino Linotype" w:cs="Palatino Linotype"/>
          <w:b/>
          <w:sz w:val="24"/>
          <w:szCs w:val="24"/>
        </w:rPr>
        <w:t>EL RECURRENTE</w:t>
      </w:r>
      <w:r w:rsidRPr="00890BD0">
        <w:rPr>
          <w:rFonts w:ascii="Palatino Linotype" w:eastAsia="Palatino Linotype" w:hAnsi="Palatino Linotype" w:cs="Palatino Linotype"/>
          <w:sz w:val="24"/>
          <w:szCs w:val="24"/>
        </w:rPr>
        <w:t xml:space="preserve">, en contra de la respuesta del </w:t>
      </w:r>
      <w:r w:rsidR="008D2F61" w:rsidRPr="00890BD0">
        <w:rPr>
          <w:rFonts w:ascii="Palatino Linotype" w:eastAsia="Palatino Linotype" w:hAnsi="Palatino Linotype" w:cs="Palatino Linotype"/>
          <w:b/>
          <w:bCs/>
          <w:sz w:val="24"/>
          <w:szCs w:val="24"/>
        </w:rPr>
        <w:t>Ayuntamiento de Cuautitlán Izcalli</w:t>
      </w:r>
      <w:r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sz w:val="24"/>
          <w:szCs w:val="24"/>
        </w:rPr>
        <w:t xml:space="preserve">en </w:t>
      </w:r>
      <w:r w:rsidR="003B7DA6" w:rsidRPr="00890BD0">
        <w:rPr>
          <w:rFonts w:ascii="Palatino Linotype" w:eastAsia="Palatino Linotype" w:hAnsi="Palatino Linotype" w:cs="Palatino Linotype"/>
          <w:sz w:val="24"/>
          <w:szCs w:val="24"/>
        </w:rPr>
        <w:t>adelante</w:t>
      </w:r>
      <w:r w:rsidRPr="00890BD0">
        <w:rPr>
          <w:rFonts w:ascii="Palatino Linotype" w:eastAsia="Palatino Linotype" w:hAnsi="Palatino Linotype" w:cs="Palatino Linotype"/>
          <w:sz w:val="24"/>
          <w:szCs w:val="24"/>
        </w:rPr>
        <w:t xml:space="preserve"> el</w:t>
      </w:r>
      <w:r w:rsidRPr="00890BD0">
        <w:rPr>
          <w:rFonts w:ascii="Palatino Linotype" w:eastAsia="Palatino Linotype" w:hAnsi="Palatino Linotype" w:cs="Palatino Linotype"/>
          <w:b/>
          <w:sz w:val="24"/>
          <w:szCs w:val="24"/>
        </w:rPr>
        <w:t xml:space="preserve"> SUJETO OBLIGADO</w:t>
      </w:r>
      <w:r w:rsidRPr="00890BD0">
        <w:rPr>
          <w:rFonts w:ascii="Palatino Linotype" w:eastAsia="Palatino Linotype" w:hAnsi="Palatino Linotype" w:cs="Palatino Linotype"/>
          <w:sz w:val="24"/>
          <w:szCs w:val="24"/>
        </w:rPr>
        <w:t>, por lo que se procede a dictar la presente resolución, con base en los siguientes:</w:t>
      </w:r>
      <w:bookmarkStart w:id="1" w:name="_GoBack"/>
      <w:bookmarkEnd w:id="1"/>
    </w:p>
    <w:p w:rsidR="00AF5774" w:rsidRPr="00890BD0" w:rsidRDefault="00AF5774" w:rsidP="00AF5774">
      <w:pPr>
        <w:spacing w:line="360" w:lineRule="auto"/>
        <w:jc w:val="both"/>
        <w:rPr>
          <w:rFonts w:ascii="Palatino Linotype" w:eastAsia="Palatino Linotype" w:hAnsi="Palatino Linotype" w:cs="Palatino Linotype"/>
          <w:b/>
          <w:sz w:val="24"/>
          <w:szCs w:val="24"/>
        </w:rPr>
      </w:pPr>
    </w:p>
    <w:p w:rsidR="00AF5774" w:rsidRPr="00890BD0" w:rsidRDefault="00AF5774" w:rsidP="00AF5774">
      <w:pPr>
        <w:keepNext/>
        <w:keepLines/>
        <w:spacing w:line="360" w:lineRule="auto"/>
        <w:jc w:val="center"/>
        <w:rPr>
          <w:rFonts w:ascii="Palatino Linotype" w:eastAsia="Palatino Linotype" w:hAnsi="Palatino Linotype" w:cs="Palatino Linotype"/>
          <w:b/>
          <w:sz w:val="24"/>
          <w:szCs w:val="24"/>
        </w:rPr>
      </w:pPr>
      <w:bookmarkStart w:id="2" w:name="_heading=h.gjdgxs" w:colFirst="0" w:colLast="0"/>
      <w:bookmarkEnd w:id="2"/>
      <w:r w:rsidRPr="00890BD0">
        <w:rPr>
          <w:rFonts w:ascii="Palatino Linotype" w:eastAsia="Palatino Linotype" w:hAnsi="Palatino Linotype" w:cs="Palatino Linotype"/>
          <w:b/>
          <w:sz w:val="24"/>
          <w:szCs w:val="24"/>
        </w:rPr>
        <w:t>A</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N</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T</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E</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C</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E</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D</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E</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N</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T</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E</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S</w:t>
      </w:r>
    </w:p>
    <w:p w:rsidR="003B7DA6" w:rsidRPr="00890BD0" w:rsidRDefault="003B7DA6" w:rsidP="00AF5774">
      <w:pPr>
        <w:keepNext/>
        <w:keepLines/>
        <w:spacing w:line="360" w:lineRule="auto"/>
        <w:jc w:val="center"/>
        <w:rPr>
          <w:rFonts w:ascii="Palatino Linotype" w:eastAsia="Palatino Linotype" w:hAnsi="Palatino Linotype" w:cs="Palatino Linotype"/>
          <w:b/>
          <w:sz w:val="24"/>
          <w:szCs w:val="24"/>
        </w:rPr>
      </w:pPr>
    </w:p>
    <w:p w:rsidR="00AF5774" w:rsidRPr="00890BD0" w:rsidRDefault="00AF5774" w:rsidP="00AF5774">
      <w:pPr>
        <w:numPr>
          <w:ilvl w:val="0"/>
          <w:numId w:val="2"/>
        </w:numPr>
        <w:spacing w:line="360" w:lineRule="auto"/>
        <w:ind w:left="0"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t xml:space="preserve">El </w:t>
      </w:r>
      <w:r w:rsidR="008D2F61" w:rsidRPr="00890BD0">
        <w:rPr>
          <w:rFonts w:ascii="Palatino Linotype" w:eastAsia="Palatino Linotype" w:hAnsi="Palatino Linotype" w:cs="Palatino Linotype"/>
          <w:b/>
          <w:sz w:val="24"/>
          <w:szCs w:val="24"/>
        </w:rPr>
        <w:t>once de noviembre</w:t>
      </w:r>
      <w:r w:rsidRPr="00890BD0">
        <w:rPr>
          <w:rFonts w:ascii="Palatino Linotype" w:eastAsia="Palatino Linotype" w:hAnsi="Palatino Linotype" w:cs="Palatino Linotype"/>
          <w:b/>
          <w:sz w:val="24"/>
          <w:szCs w:val="24"/>
        </w:rPr>
        <w:t xml:space="preserve"> de dos mil veinticinco</w:t>
      </w:r>
      <w:r w:rsidRPr="00890BD0">
        <w:rPr>
          <w:rFonts w:ascii="Palatino Linotype" w:eastAsia="Palatino Linotype" w:hAnsi="Palatino Linotype" w:cs="Palatino Linotype"/>
          <w:sz w:val="24"/>
          <w:szCs w:val="24"/>
        </w:rPr>
        <w:t xml:space="preserve">, </w:t>
      </w:r>
      <w:r w:rsidRPr="00890BD0">
        <w:rPr>
          <w:rFonts w:ascii="Palatino Linotype" w:eastAsia="Palatino Linotype" w:hAnsi="Palatino Linotype" w:cs="Palatino Linotype"/>
          <w:b/>
          <w:sz w:val="24"/>
          <w:szCs w:val="24"/>
        </w:rPr>
        <w:t>EL RECURRENTE,</w:t>
      </w:r>
      <w:r w:rsidRPr="00890BD0">
        <w:rPr>
          <w:rFonts w:ascii="Palatino Linotype" w:eastAsia="Palatino Linotype" w:hAnsi="Palatino Linotype" w:cs="Palatino Linotype"/>
          <w:sz w:val="24"/>
          <w:szCs w:val="24"/>
        </w:rPr>
        <w:t xml:space="preserve"> ante el </w:t>
      </w:r>
      <w:r w:rsidRPr="00890BD0">
        <w:rPr>
          <w:rFonts w:ascii="Palatino Linotype" w:eastAsia="Palatino Linotype" w:hAnsi="Palatino Linotype" w:cs="Palatino Linotype"/>
          <w:b/>
          <w:sz w:val="24"/>
          <w:szCs w:val="24"/>
        </w:rPr>
        <w:t>SUJETO OBLIGADO</w:t>
      </w:r>
      <w:r w:rsidRPr="00890BD0">
        <w:rPr>
          <w:rFonts w:ascii="Palatino Linotype" w:eastAsia="Palatino Linotype" w:hAnsi="Palatino Linotype" w:cs="Palatino Linotype"/>
          <w:sz w:val="24"/>
          <w:szCs w:val="24"/>
        </w:rPr>
        <w:t xml:space="preserve"> vía Sistema de Acceso a la Información Mexiquense (</w:t>
      </w:r>
      <w:r w:rsidRPr="00890BD0">
        <w:rPr>
          <w:rFonts w:ascii="Palatino Linotype" w:eastAsia="Palatino Linotype" w:hAnsi="Palatino Linotype" w:cs="Palatino Linotype"/>
          <w:b/>
          <w:sz w:val="24"/>
          <w:szCs w:val="24"/>
        </w:rPr>
        <w:t>SAIMEX)</w:t>
      </w:r>
      <w:r w:rsidRPr="00890BD0">
        <w:rPr>
          <w:rFonts w:ascii="Palatino Linotype" w:eastAsia="Palatino Linotype" w:hAnsi="Palatino Linotype" w:cs="Palatino Linotype"/>
          <w:sz w:val="24"/>
          <w:szCs w:val="24"/>
        </w:rPr>
        <w:t>,presentó la solicitud de información registrada con el número</w:t>
      </w:r>
      <w:r w:rsidRPr="00890BD0">
        <w:rPr>
          <w:rFonts w:ascii="Palatino Linotype" w:eastAsia="Palatino Linotype" w:hAnsi="Palatino Linotype" w:cs="Palatino Linotype"/>
          <w:b/>
          <w:bCs/>
          <w:sz w:val="24"/>
          <w:szCs w:val="24"/>
        </w:rPr>
        <w:t xml:space="preserve"> </w:t>
      </w:r>
      <w:r w:rsidR="008D2F61" w:rsidRPr="00890BD0">
        <w:rPr>
          <w:rFonts w:ascii="Palatino Linotype" w:eastAsia="Palatino Linotype" w:hAnsi="Palatino Linotype" w:cs="Palatino Linotype"/>
          <w:b/>
          <w:bCs/>
          <w:sz w:val="24"/>
          <w:szCs w:val="24"/>
        </w:rPr>
        <w:t> 01556/CUAUTIZC/IP/2025</w:t>
      </w:r>
      <w:r w:rsidRPr="00890BD0">
        <w:rPr>
          <w:rFonts w:ascii="Palatino Linotype" w:eastAsia="Palatino Linotype" w:hAnsi="Palatino Linotype" w:cs="Palatino Linotype"/>
          <w:b/>
          <w:bCs/>
          <w:sz w:val="24"/>
          <w:szCs w:val="24"/>
        </w:rPr>
        <w:t>,</w:t>
      </w:r>
      <w:r w:rsidRPr="00890BD0">
        <w:rPr>
          <w:rFonts w:ascii="Palatino Linotype" w:eastAsia="Palatino Linotype" w:hAnsi="Palatino Linotype" w:cs="Palatino Linotype"/>
          <w:b/>
          <w:sz w:val="24"/>
          <w:szCs w:val="24"/>
        </w:rPr>
        <w:t xml:space="preserve"> </w:t>
      </w:r>
      <w:r w:rsidR="003B7DA6" w:rsidRPr="00890BD0">
        <w:rPr>
          <w:rFonts w:ascii="Palatino Linotype" w:eastAsia="Palatino Linotype" w:hAnsi="Palatino Linotype" w:cs="Palatino Linotype"/>
          <w:sz w:val="24"/>
          <w:szCs w:val="24"/>
        </w:rPr>
        <w:t>en la que se</w:t>
      </w:r>
      <w:r w:rsidRPr="00890BD0">
        <w:rPr>
          <w:rFonts w:ascii="Palatino Linotype" w:eastAsia="Palatino Linotype" w:hAnsi="Palatino Linotype" w:cs="Palatino Linotype"/>
          <w:sz w:val="24"/>
          <w:szCs w:val="24"/>
        </w:rPr>
        <w:t xml:space="preserve"> solicitó lo siguiente:</w:t>
      </w:r>
    </w:p>
    <w:p w:rsidR="00AF5774" w:rsidRPr="00890BD0" w:rsidRDefault="00AF5774" w:rsidP="00AF5774">
      <w:pPr>
        <w:pBdr>
          <w:top w:val="nil"/>
          <w:left w:val="nil"/>
          <w:bottom w:val="nil"/>
          <w:right w:val="nil"/>
          <w:between w:val="nil"/>
        </w:pBdr>
        <w:spacing w:line="360" w:lineRule="auto"/>
        <w:ind w:left="1069" w:right="567"/>
        <w:jc w:val="both"/>
        <w:rPr>
          <w:rFonts w:ascii="Palatino Linotype" w:eastAsia="Palatino Linotype" w:hAnsi="Palatino Linotype" w:cs="Palatino Linotype"/>
          <w:i/>
          <w:color w:val="000000"/>
          <w:sz w:val="24"/>
          <w:szCs w:val="24"/>
        </w:rPr>
      </w:pPr>
    </w:p>
    <w:p w:rsidR="00AF5774" w:rsidRPr="00890BD0" w:rsidRDefault="00AF5774" w:rsidP="00AF5774">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r w:rsidRPr="00890BD0">
        <w:rPr>
          <w:rFonts w:ascii="Palatino Linotype" w:eastAsia="Palatino Linotype" w:hAnsi="Palatino Linotype" w:cs="Palatino Linotype"/>
          <w:i/>
          <w:color w:val="000000"/>
          <w:sz w:val="24"/>
          <w:szCs w:val="24"/>
        </w:rPr>
        <w:t>“</w:t>
      </w:r>
      <w:r w:rsidR="008D2F61" w:rsidRPr="00890BD0">
        <w:rPr>
          <w:rFonts w:ascii="Palatino Linotype" w:eastAsia="Palatino Linotype" w:hAnsi="Palatino Linotype" w:cs="Palatino Linotype"/>
          <w:i/>
          <w:color w:val="000000"/>
          <w:sz w:val="24"/>
          <w:szCs w:val="24"/>
        </w:rPr>
        <w:t>Solicito el contrato que el gobierno municipal de Cuautitlán Izcalli celebró para la actuación del cantante Fernando Delgadillo, en el Festival del Arte, Queso y Vino, en este año 2025</w:t>
      </w:r>
      <w:r w:rsidRPr="00890BD0">
        <w:rPr>
          <w:rFonts w:ascii="Palatino Linotype" w:eastAsia="Palatino Linotype" w:hAnsi="Palatino Linotype" w:cs="Palatino Linotype"/>
          <w:i/>
          <w:color w:val="000000"/>
          <w:sz w:val="24"/>
          <w:szCs w:val="24"/>
        </w:rPr>
        <w:t xml:space="preserve">.” (Sic) </w:t>
      </w:r>
    </w:p>
    <w:p w:rsidR="00AF5774" w:rsidRPr="00890BD0" w:rsidRDefault="00AF5774" w:rsidP="00AF5774">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3B7DA6" w:rsidRPr="00890BD0" w:rsidRDefault="003B7DA6" w:rsidP="00AF5774">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AF5774" w:rsidRPr="00890BD0" w:rsidRDefault="00AF5774" w:rsidP="003B7DA6">
      <w:pPr>
        <w:numPr>
          <w:ilvl w:val="0"/>
          <w:numId w:val="3"/>
        </w:numPr>
        <w:spacing w:line="360" w:lineRule="auto"/>
        <w:ind w:left="0" w:right="567"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t xml:space="preserve">Modalidad de entrega: </w:t>
      </w:r>
      <w:r w:rsidRPr="00890BD0">
        <w:rPr>
          <w:rFonts w:ascii="Palatino Linotype" w:eastAsia="Palatino Linotype" w:hAnsi="Palatino Linotype" w:cs="Palatino Linotype"/>
          <w:b/>
          <w:sz w:val="24"/>
          <w:szCs w:val="24"/>
        </w:rPr>
        <w:t>Vía SAIMEX.</w:t>
      </w:r>
    </w:p>
    <w:p w:rsidR="00890BD0" w:rsidRPr="00890BD0" w:rsidRDefault="00890BD0" w:rsidP="00890BD0">
      <w:pPr>
        <w:spacing w:line="360" w:lineRule="auto"/>
        <w:ind w:right="567"/>
        <w:jc w:val="both"/>
        <w:rPr>
          <w:rFonts w:ascii="Palatino Linotype" w:eastAsia="Palatino Linotype" w:hAnsi="Palatino Linotype" w:cs="Palatino Linotype"/>
          <w:sz w:val="24"/>
          <w:szCs w:val="24"/>
        </w:rPr>
      </w:pPr>
    </w:p>
    <w:p w:rsidR="00AF5774" w:rsidRPr="00890BD0" w:rsidRDefault="00AF5774" w:rsidP="00AF5774">
      <w:pPr>
        <w:numPr>
          <w:ilvl w:val="0"/>
          <w:numId w:val="2"/>
        </w:numPr>
        <w:spacing w:line="360" w:lineRule="auto"/>
        <w:ind w:left="0" w:firstLine="0"/>
        <w:jc w:val="both"/>
        <w:rPr>
          <w:rFonts w:ascii="Palatino Linotype" w:eastAsia="Palatino Linotype" w:hAnsi="Palatino Linotype" w:cs="Palatino Linotype"/>
          <w:i/>
          <w:sz w:val="24"/>
          <w:szCs w:val="24"/>
        </w:rPr>
      </w:pPr>
      <w:r w:rsidRPr="00890BD0">
        <w:rPr>
          <w:rFonts w:ascii="Palatino Linotype" w:eastAsia="Palatino Linotype" w:hAnsi="Palatino Linotype" w:cs="Palatino Linotype"/>
          <w:sz w:val="24"/>
          <w:szCs w:val="24"/>
        </w:rPr>
        <w:lastRenderedPageBreak/>
        <w:t xml:space="preserve">El </w:t>
      </w:r>
      <w:r w:rsidR="008D2F61" w:rsidRPr="00890BD0">
        <w:rPr>
          <w:rFonts w:ascii="Palatino Linotype" w:eastAsia="Palatino Linotype" w:hAnsi="Palatino Linotype" w:cs="Palatino Linotype"/>
          <w:b/>
          <w:sz w:val="24"/>
          <w:szCs w:val="24"/>
        </w:rPr>
        <w:t>tres de diciembre</w:t>
      </w:r>
      <w:r w:rsidRPr="00890BD0">
        <w:rPr>
          <w:rFonts w:ascii="Palatino Linotype" w:eastAsia="Palatino Linotype" w:hAnsi="Palatino Linotype" w:cs="Palatino Linotype"/>
          <w:b/>
          <w:sz w:val="24"/>
          <w:szCs w:val="24"/>
        </w:rPr>
        <w:t xml:space="preserve"> de dos mil veinticinco, </w:t>
      </w:r>
      <w:r w:rsidRPr="00890BD0">
        <w:rPr>
          <w:rFonts w:ascii="Palatino Linotype" w:eastAsia="Palatino Linotype" w:hAnsi="Palatino Linotype" w:cs="Palatino Linotype"/>
          <w:sz w:val="24"/>
          <w:szCs w:val="24"/>
        </w:rPr>
        <w:t xml:space="preserve">el </w:t>
      </w:r>
      <w:r w:rsidRPr="00890BD0">
        <w:rPr>
          <w:rFonts w:ascii="Palatino Linotype" w:eastAsia="Palatino Linotype" w:hAnsi="Palatino Linotype" w:cs="Palatino Linotype"/>
          <w:b/>
          <w:sz w:val="24"/>
          <w:szCs w:val="24"/>
        </w:rPr>
        <w:t>SUJETO O</w:t>
      </w:r>
      <w:r w:rsidRPr="00890BD0">
        <w:rPr>
          <w:rFonts w:ascii="Palatino Linotype" w:eastAsia="Palatino Linotype" w:hAnsi="Palatino Linotype" w:cs="Palatino Linotype"/>
          <w:sz w:val="24"/>
          <w:szCs w:val="24"/>
        </w:rPr>
        <w:t>B</w:t>
      </w:r>
      <w:r w:rsidRPr="00890BD0">
        <w:rPr>
          <w:rFonts w:ascii="Palatino Linotype" w:eastAsia="Palatino Linotype" w:hAnsi="Palatino Linotype" w:cs="Palatino Linotype"/>
          <w:b/>
          <w:sz w:val="24"/>
          <w:szCs w:val="24"/>
        </w:rPr>
        <w:t xml:space="preserve">LIGADO </w:t>
      </w:r>
      <w:r w:rsidRPr="00890BD0">
        <w:rPr>
          <w:rFonts w:ascii="Palatino Linotype" w:eastAsia="Palatino Linotype" w:hAnsi="Palatino Linotype" w:cs="Palatino Linotype"/>
          <w:sz w:val="24"/>
          <w:szCs w:val="24"/>
        </w:rPr>
        <w:t xml:space="preserve">dio </w:t>
      </w:r>
      <w:r w:rsidRPr="00890BD0">
        <w:rPr>
          <w:rFonts w:ascii="Palatino Linotype" w:eastAsia="Palatino Linotype" w:hAnsi="Palatino Linotype" w:cs="Palatino Linotype"/>
          <w:b/>
          <w:sz w:val="24"/>
          <w:szCs w:val="24"/>
        </w:rPr>
        <w:t>RESPUESTA</w:t>
      </w:r>
      <w:r w:rsidRPr="00890BD0">
        <w:rPr>
          <w:rFonts w:ascii="Palatino Linotype" w:eastAsia="Palatino Linotype" w:hAnsi="Palatino Linotype" w:cs="Palatino Linotype"/>
          <w:sz w:val="24"/>
          <w:szCs w:val="24"/>
        </w:rPr>
        <w:t xml:space="preserve"> a través delos archivos siguientes:</w:t>
      </w:r>
    </w:p>
    <w:p w:rsidR="00AF5774" w:rsidRPr="00890BD0" w:rsidRDefault="00AF5774" w:rsidP="00AF5774">
      <w:pPr>
        <w:pStyle w:val="Prrafodelista"/>
        <w:jc w:val="both"/>
        <w:rPr>
          <w:rFonts w:ascii="Palatino Linotype" w:hAnsi="Palatino Linotype"/>
          <w:sz w:val="24"/>
        </w:rPr>
      </w:pPr>
    </w:p>
    <w:p w:rsidR="008D2F61" w:rsidRPr="00890BD0" w:rsidRDefault="008D2F61" w:rsidP="008D2F61">
      <w:pPr>
        <w:pStyle w:val="Prrafodelista"/>
        <w:numPr>
          <w:ilvl w:val="0"/>
          <w:numId w:val="12"/>
        </w:numPr>
        <w:spacing w:line="360" w:lineRule="auto"/>
        <w:jc w:val="both"/>
        <w:rPr>
          <w:rFonts w:ascii="Palatino Linotype" w:hAnsi="Palatino Linotype"/>
          <w:b/>
          <w:sz w:val="24"/>
        </w:rPr>
      </w:pPr>
      <w:r w:rsidRPr="00890BD0">
        <w:rPr>
          <w:rFonts w:ascii="Palatino Linotype" w:hAnsi="Palatino Linotype"/>
          <w:b/>
          <w:sz w:val="24"/>
        </w:rPr>
        <w:t xml:space="preserve">RESPUESTA 1556.pdf: </w:t>
      </w:r>
      <w:r w:rsidRPr="00890BD0">
        <w:rPr>
          <w:rFonts w:ascii="Palatino Linotype" w:hAnsi="Palatino Linotype"/>
          <w:sz w:val="24"/>
        </w:rPr>
        <w:t xml:space="preserve">Oficio firmado por el Servidor Público Habilitado, por el que se informó que se anexa formato PDF el contrato numero MCI/DA/IRD/AD/013/2025 respecto de la Contratación del Servicio Integral para el “Primer Festival Internacional Arte, Queso y Vino”. </w:t>
      </w:r>
    </w:p>
    <w:p w:rsidR="008D2F61" w:rsidRPr="00890BD0" w:rsidRDefault="008D2F61" w:rsidP="008D2F61">
      <w:pPr>
        <w:pStyle w:val="Prrafodelista"/>
        <w:spacing w:line="360" w:lineRule="auto"/>
        <w:jc w:val="both"/>
        <w:rPr>
          <w:rFonts w:ascii="Palatino Linotype" w:hAnsi="Palatino Linotype"/>
          <w:b/>
          <w:sz w:val="24"/>
        </w:rPr>
      </w:pPr>
    </w:p>
    <w:p w:rsidR="00AF5774" w:rsidRPr="00890BD0" w:rsidRDefault="008D2F61" w:rsidP="008D2F61">
      <w:pPr>
        <w:pStyle w:val="Prrafodelista"/>
        <w:numPr>
          <w:ilvl w:val="0"/>
          <w:numId w:val="12"/>
        </w:numPr>
        <w:spacing w:line="360" w:lineRule="auto"/>
        <w:jc w:val="both"/>
        <w:rPr>
          <w:rFonts w:ascii="Palatino Linotype" w:eastAsia="Palatino Linotype" w:hAnsi="Palatino Linotype" w:cs="Palatino Linotype"/>
          <w:b/>
          <w:i/>
          <w:sz w:val="24"/>
        </w:rPr>
      </w:pPr>
      <w:r w:rsidRPr="00890BD0">
        <w:rPr>
          <w:rFonts w:ascii="Palatino Linotype" w:hAnsi="Palatino Linotype"/>
          <w:b/>
          <w:sz w:val="24"/>
        </w:rPr>
        <w:t>CONTRATO MCI-DA-IRD-AD-013-2025.pdf:</w:t>
      </w:r>
      <w:r w:rsidRPr="00890BD0">
        <w:rPr>
          <w:rFonts w:ascii="Palatino Linotype" w:eastAsia="Palatino Linotype" w:hAnsi="Palatino Linotype" w:cs="Palatino Linotype"/>
          <w:b/>
          <w:i/>
          <w:sz w:val="24"/>
        </w:rPr>
        <w:t xml:space="preserve"> </w:t>
      </w:r>
      <w:r w:rsidRPr="00890BD0">
        <w:rPr>
          <w:rFonts w:ascii="Palatino Linotype" w:eastAsia="Palatino Linotype" w:hAnsi="Palatino Linotype" w:cs="Palatino Linotype"/>
          <w:sz w:val="24"/>
        </w:rPr>
        <w:t>Contrato Ilegible.</w:t>
      </w:r>
    </w:p>
    <w:p w:rsidR="00AF5774" w:rsidRPr="00890BD0" w:rsidRDefault="00AF5774" w:rsidP="00AF5774">
      <w:pPr>
        <w:spacing w:line="360" w:lineRule="auto"/>
        <w:jc w:val="both"/>
        <w:rPr>
          <w:rFonts w:ascii="Palatino Linotype" w:eastAsia="Palatino Linotype" w:hAnsi="Palatino Linotype" w:cs="Palatino Linotype"/>
          <w:sz w:val="24"/>
          <w:szCs w:val="24"/>
        </w:rPr>
      </w:pPr>
    </w:p>
    <w:p w:rsidR="00AF5774" w:rsidRPr="00890BD0" w:rsidRDefault="00AF5774" w:rsidP="00AF5774">
      <w:pPr>
        <w:numPr>
          <w:ilvl w:val="0"/>
          <w:numId w:val="2"/>
        </w:numPr>
        <w:spacing w:line="360" w:lineRule="auto"/>
        <w:ind w:left="0"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t xml:space="preserve">Inconforme con lo anterior, el </w:t>
      </w:r>
      <w:r w:rsidR="008D2F61" w:rsidRPr="00890BD0">
        <w:rPr>
          <w:rFonts w:ascii="Palatino Linotype" w:eastAsia="Palatino Linotype" w:hAnsi="Palatino Linotype" w:cs="Palatino Linotype"/>
          <w:b/>
          <w:sz w:val="24"/>
          <w:szCs w:val="24"/>
        </w:rPr>
        <w:t>ocho de diciembre</w:t>
      </w:r>
      <w:r w:rsidRPr="00890BD0">
        <w:rPr>
          <w:rFonts w:ascii="Palatino Linotype" w:eastAsia="Palatino Linotype" w:hAnsi="Palatino Linotype" w:cs="Palatino Linotype"/>
          <w:b/>
          <w:sz w:val="24"/>
          <w:szCs w:val="24"/>
        </w:rPr>
        <w:t xml:space="preserve"> de dos mil veinticinco</w:t>
      </w:r>
      <w:r w:rsidRPr="00890BD0">
        <w:rPr>
          <w:rFonts w:ascii="Palatino Linotype" w:eastAsia="Palatino Linotype" w:hAnsi="Palatino Linotype" w:cs="Palatino Linotype"/>
          <w:sz w:val="24"/>
          <w:szCs w:val="24"/>
        </w:rPr>
        <w:t xml:space="preserve">,  el </w:t>
      </w:r>
      <w:r w:rsidRPr="00890BD0">
        <w:rPr>
          <w:rFonts w:ascii="Palatino Linotype" w:eastAsia="Palatino Linotype" w:hAnsi="Palatino Linotype" w:cs="Palatino Linotype"/>
          <w:b/>
          <w:sz w:val="24"/>
          <w:szCs w:val="24"/>
        </w:rPr>
        <w:t xml:space="preserve">SUJETO OBLIGADO </w:t>
      </w:r>
      <w:r w:rsidRPr="00890BD0">
        <w:rPr>
          <w:rFonts w:ascii="Palatino Linotype" w:eastAsia="Palatino Linotype" w:hAnsi="Palatino Linotype" w:cs="Palatino Linotype"/>
          <w:sz w:val="24"/>
          <w:szCs w:val="24"/>
        </w:rPr>
        <w:t xml:space="preserve">interpuso recurso de revisión, arguyendo como </w:t>
      </w:r>
    </w:p>
    <w:p w:rsidR="00AF5774" w:rsidRPr="00890BD0" w:rsidRDefault="00AF5774" w:rsidP="00AF5774">
      <w:pPr>
        <w:spacing w:line="360" w:lineRule="auto"/>
        <w:jc w:val="both"/>
        <w:rPr>
          <w:rFonts w:ascii="Palatino Linotype" w:eastAsia="Palatino Linotype" w:hAnsi="Palatino Linotype" w:cs="Palatino Linotype"/>
          <w:sz w:val="24"/>
          <w:szCs w:val="24"/>
        </w:rPr>
      </w:pPr>
    </w:p>
    <w:p w:rsidR="00AF5774" w:rsidRPr="00890BD0" w:rsidRDefault="003B7DA6" w:rsidP="003B7DA6">
      <w:pPr>
        <w:numPr>
          <w:ilvl w:val="0"/>
          <w:numId w:val="17"/>
        </w:numPr>
        <w:pBdr>
          <w:top w:val="nil"/>
          <w:left w:val="nil"/>
          <w:bottom w:val="nil"/>
          <w:right w:val="nil"/>
          <w:between w:val="nil"/>
        </w:pBdr>
        <w:ind w:right="539"/>
        <w:jc w:val="both"/>
        <w:rPr>
          <w:rFonts w:ascii="Palatino Linotype" w:eastAsia="Palatino Linotype" w:hAnsi="Palatino Linotype" w:cs="Palatino Linotype"/>
          <w:i/>
          <w:color w:val="000000"/>
          <w:sz w:val="24"/>
          <w:szCs w:val="24"/>
        </w:rPr>
      </w:pPr>
      <w:r w:rsidRPr="00890BD0">
        <w:rPr>
          <w:rFonts w:ascii="Palatino Linotype" w:eastAsia="Palatino Linotype" w:hAnsi="Palatino Linotype" w:cs="Palatino Linotype"/>
          <w:b/>
          <w:color w:val="000000"/>
          <w:sz w:val="24"/>
          <w:szCs w:val="24"/>
        </w:rPr>
        <w:t>ACTO IMPUGNADO</w:t>
      </w:r>
      <w:r w:rsidR="00AF5774" w:rsidRPr="00890BD0">
        <w:rPr>
          <w:rFonts w:ascii="Palatino Linotype" w:eastAsia="Palatino Linotype" w:hAnsi="Palatino Linotype" w:cs="Palatino Linotype"/>
          <w:b/>
          <w:i/>
          <w:color w:val="000000"/>
          <w:sz w:val="24"/>
          <w:szCs w:val="24"/>
        </w:rPr>
        <w:t>:</w:t>
      </w:r>
      <w:r w:rsidR="00AF5774" w:rsidRPr="00890BD0">
        <w:rPr>
          <w:rFonts w:ascii="Palatino Linotype" w:eastAsia="Palatino Linotype" w:hAnsi="Palatino Linotype" w:cs="Palatino Linotype"/>
          <w:color w:val="000000"/>
          <w:sz w:val="24"/>
          <w:szCs w:val="24"/>
        </w:rPr>
        <w:t xml:space="preserve"> </w:t>
      </w:r>
      <w:r w:rsidR="00AF5774" w:rsidRPr="00890BD0">
        <w:rPr>
          <w:rFonts w:ascii="Palatino Linotype" w:eastAsia="Palatino Linotype" w:hAnsi="Palatino Linotype" w:cs="Palatino Linotype"/>
          <w:i/>
          <w:color w:val="000000"/>
          <w:sz w:val="24"/>
          <w:szCs w:val="24"/>
        </w:rPr>
        <w:t>“</w:t>
      </w:r>
      <w:r w:rsidR="008D2F61" w:rsidRPr="00890BD0">
        <w:rPr>
          <w:rFonts w:ascii="Palatino Linotype" w:eastAsia="Palatino Linotype" w:hAnsi="Palatino Linotype" w:cs="Palatino Linotype"/>
          <w:i/>
          <w:color w:val="000000"/>
          <w:sz w:val="24"/>
          <w:szCs w:val="24"/>
        </w:rPr>
        <w:t>Solicitud de Información</w:t>
      </w:r>
      <w:r w:rsidR="00AF5774" w:rsidRPr="00890BD0">
        <w:rPr>
          <w:rFonts w:ascii="Palatino Linotype" w:eastAsia="Palatino Linotype" w:hAnsi="Palatino Linotype" w:cs="Palatino Linotype"/>
          <w:i/>
          <w:color w:val="000000"/>
          <w:sz w:val="24"/>
          <w:szCs w:val="24"/>
        </w:rPr>
        <w:t>” (sic)</w:t>
      </w:r>
    </w:p>
    <w:p w:rsidR="00AF5774" w:rsidRPr="00890BD0" w:rsidRDefault="00AF5774" w:rsidP="00AF5774">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AF5774" w:rsidRPr="00890BD0" w:rsidRDefault="003B7DA6" w:rsidP="003B7DA6">
      <w:pPr>
        <w:pStyle w:val="Listaconvietas2"/>
        <w:numPr>
          <w:ilvl w:val="0"/>
          <w:numId w:val="17"/>
        </w:numPr>
        <w:tabs>
          <w:tab w:val="clear" w:pos="643"/>
        </w:tabs>
        <w:ind w:right="539"/>
        <w:jc w:val="both"/>
        <w:rPr>
          <w:rFonts w:ascii="Palatino Linotype" w:eastAsia="Palatino Linotype" w:hAnsi="Palatino Linotype" w:cs="Palatino Linotype"/>
          <w:color w:val="000000"/>
          <w:sz w:val="24"/>
          <w:szCs w:val="24"/>
        </w:rPr>
      </w:pPr>
      <w:r w:rsidRPr="00890BD0">
        <w:rPr>
          <w:rFonts w:ascii="Palatino Linotype" w:eastAsia="Palatino Linotype" w:hAnsi="Palatino Linotype" w:cs="Palatino Linotype"/>
          <w:b/>
          <w:color w:val="000000"/>
          <w:sz w:val="24"/>
          <w:szCs w:val="24"/>
        </w:rPr>
        <w:t>RAZONES O MOTIVOS DE INCONFORMIDAD</w:t>
      </w:r>
      <w:r w:rsidR="00AF5774" w:rsidRPr="00890BD0">
        <w:rPr>
          <w:rFonts w:ascii="Palatino Linotype" w:eastAsia="Palatino Linotype" w:hAnsi="Palatino Linotype" w:cs="Palatino Linotype"/>
          <w:b/>
          <w:color w:val="000000"/>
          <w:sz w:val="24"/>
          <w:szCs w:val="24"/>
        </w:rPr>
        <w:t>: “</w:t>
      </w:r>
      <w:r w:rsidR="008D2F61" w:rsidRPr="00890BD0">
        <w:rPr>
          <w:rFonts w:ascii="Palatino Linotype" w:eastAsia="Palatino Linotype" w:hAnsi="Palatino Linotype" w:cs="Palatino Linotype"/>
          <w:i/>
          <w:color w:val="000000"/>
          <w:sz w:val="24"/>
          <w:szCs w:val="24"/>
        </w:rPr>
        <w:t xml:space="preserve">Se entregó un contrato ilegible, sobre todo y con mayor problema, en el apartado en donde se describen los servicios contratados. </w:t>
      </w:r>
      <w:r w:rsidR="00AF5774" w:rsidRPr="00890BD0">
        <w:rPr>
          <w:rFonts w:ascii="Palatino Linotype" w:eastAsia="Palatino Linotype" w:hAnsi="Palatino Linotype" w:cs="Palatino Linotype"/>
          <w:i/>
          <w:color w:val="000000"/>
          <w:sz w:val="24"/>
          <w:szCs w:val="24"/>
        </w:rPr>
        <w:t>“(Sic)</w:t>
      </w:r>
    </w:p>
    <w:p w:rsidR="00AF5774" w:rsidRPr="00890BD0" w:rsidRDefault="00AF5774" w:rsidP="00AF5774">
      <w:pPr>
        <w:pStyle w:val="Prrafodelista"/>
        <w:rPr>
          <w:rFonts w:ascii="Palatino Linotype" w:eastAsia="Palatino Linotype" w:hAnsi="Palatino Linotype" w:cs="Palatino Linotype"/>
          <w:color w:val="000000"/>
          <w:sz w:val="24"/>
        </w:rPr>
      </w:pPr>
    </w:p>
    <w:p w:rsidR="003B7DA6" w:rsidRPr="00890BD0" w:rsidRDefault="008D2F61" w:rsidP="003B7DA6">
      <w:pPr>
        <w:pStyle w:val="Listaconvietas2"/>
        <w:numPr>
          <w:ilvl w:val="0"/>
          <w:numId w:val="0"/>
        </w:numPr>
        <w:tabs>
          <w:tab w:val="clear" w:pos="643"/>
        </w:tabs>
        <w:ind w:right="539"/>
        <w:jc w:val="both"/>
        <w:rPr>
          <w:rFonts w:ascii="Palatino Linotype" w:eastAsia="Palatino Linotype" w:hAnsi="Palatino Linotype" w:cs="Palatino Linotype"/>
          <w:color w:val="000000"/>
          <w:sz w:val="24"/>
          <w:szCs w:val="24"/>
        </w:rPr>
      </w:pPr>
      <w:r w:rsidRPr="00890BD0">
        <w:rPr>
          <w:rFonts w:ascii="Palatino Linotype" w:eastAsia="Palatino Linotype" w:hAnsi="Palatino Linotype" w:cs="Palatino Linotype"/>
          <w:color w:val="000000"/>
          <w:sz w:val="24"/>
          <w:szCs w:val="24"/>
        </w:rPr>
        <w:t>Al recurso adjunto el contrato ilegible remitido en respuesta.</w:t>
      </w:r>
    </w:p>
    <w:p w:rsidR="00AF5774" w:rsidRDefault="008D2F61" w:rsidP="00AF5774">
      <w:pPr>
        <w:pStyle w:val="Listaconvietas2"/>
        <w:numPr>
          <w:ilvl w:val="0"/>
          <w:numId w:val="0"/>
        </w:numPr>
        <w:tabs>
          <w:tab w:val="clear" w:pos="643"/>
        </w:tabs>
        <w:ind w:left="720" w:right="539"/>
        <w:jc w:val="both"/>
        <w:rPr>
          <w:rFonts w:ascii="Palatino Linotype" w:eastAsia="Palatino Linotype" w:hAnsi="Palatino Linotype" w:cs="Palatino Linotype"/>
          <w:color w:val="000000"/>
          <w:sz w:val="24"/>
          <w:szCs w:val="24"/>
        </w:rPr>
      </w:pPr>
      <w:r w:rsidRPr="00890BD0">
        <w:rPr>
          <w:rFonts w:ascii="Palatino Linotype" w:eastAsia="Palatino Linotype" w:hAnsi="Palatino Linotype" w:cs="Palatino Linotype"/>
          <w:color w:val="000000"/>
          <w:sz w:val="24"/>
          <w:szCs w:val="24"/>
        </w:rPr>
        <w:t xml:space="preserve"> </w:t>
      </w:r>
    </w:p>
    <w:p w:rsidR="00890BD0" w:rsidRPr="00890BD0" w:rsidRDefault="00890BD0" w:rsidP="00AF5774">
      <w:pPr>
        <w:pStyle w:val="Listaconvietas2"/>
        <w:numPr>
          <w:ilvl w:val="0"/>
          <w:numId w:val="0"/>
        </w:numPr>
        <w:tabs>
          <w:tab w:val="clear" w:pos="643"/>
        </w:tabs>
        <w:ind w:left="720" w:right="539"/>
        <w:jc w:val="both"/>
        <w:rPr>
          <w:rFonts w:ascii="Palatino Linotype" w:eastAsia="Palatino Linotype" w:hAnsi="Palatino Linotype" w:cs="Palatino Linotype"/>
          <w:color w:val="000000"/>
          <w:sz w:val="24"/>
          <w:szCs w:val="24"/>
        </w:rPr>
      </w:pPr>
    </w:p>
    <w:p w:rsidR="00AF5774" w:rsidRPr="00890BD0" w:rsidRDefault="00AF5774" w:rsidP="00AF5774">
      <w:pPr>
        <w:numPr>
          <w:ilvl w:val="0"/>
          <w:numId w:val="2"/>
        </w:numPr>
        <w:spacing w:line="360" w:lineRule="auto"/>
        <w:ind w:left="0"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890BD0">
        <w:rPr>
          <w:rFonts w:ascii="Palatino Linotype" w:eastAsia="Palatino Linotype" w:hAnsi="Palatino Linotype" w:cs="Palatino Linotype"/>
          <w:b/>
          <w:sz w:val="24"/>
          <w:szCs w:val="24"/>
        </w:rPr>
        <w:t xml:space="preserve">Ley de Transparencia y Acceso a la Información Pública del Estado de México y Municipios </w:t>
      </w:r>
      <w:r w:rsidRPr="00890BD0">
        <w:rPr>
          <w:rFonts w:ascii="Palatino Linotype" w:eastAsia="Palatino Linotype" w:hAnsi="Palatino Linotype" w:cs="Palatino Linotype"/>
          <w:sz w:val="24"/>
          <w:szCs w:val="24"/>
        </w:rPr>
        <w:t xml:space="preserve">se turnó a la </w:t>
      </w:r>
      <w:r w:rsidRPr="00890BD0">
        <w:rPr>
          <w:rFonts w:ascii="Palatino Linotype" w:eastAsia="Palatino Linotype" w:hAnsi="Palatino Linotype" w:cs="Palatino Linotype"/>
          <w:b/>
          <w:sz w:val="24"/>
          <w:szCs w:val="24"/>
        </w:rPr>
        <w:t xml:space="preserve">Comisionada María del Rosario Mejía Ayala, </w:t>
      </w:r>
      <w:r w:rsidR="003B7DA6" w:rsidRPr="00890BD0">
        <w:rPr>
          <w:rFonts w:ascii="Palatino Linotype" w:eastAsia="Palatino Linotype" w:hAnsi="Palatino Linotype" w:cs="Palatino Linotype"/>
          <w:sz w:val="24"/>
          <w:szCs w:val="24"/>
        </w:rPr>
        <w:t xml:space="preserve">para </w:t>
      </w:r>
      <w:r w:rsidRPr="00890BD0">
        <w:rPr>
          <w:rFonts w:ascii="Palatino Linotype" w:eastAsia="Palatino Linotype" w:hAnsi="Palatino Linotype" w:cs="Palatino Linotype"/>
          <w:sz w:val="24"/>
          <w:szCs w:val="24"/>
        </w:rPr>
        <w:t xml:space="preserve">su análisis. </w:t>
      </w:r>
    </w:p>
    <w:p w:rsidR="00AF5774" w:rsidRPr="00890BD0" w:rsidRDefault="003B7DA6" w:rsidP="00AF5774">
      <w:pPr>
        <w:numPr>
          <w:ilvl w:val="0"/>
          <w:numId w:val="2"/>
        </w:numPr>
        <w:spacing w:line="360" w:lineRule="auto"/>
        <w:ind w:left="0" w:firstLine="0"/>
        <w:jc w:val="both"/>
        <w:rPr>
          <w:rFonts w:ascii="Palatino Linotype" w:eastAsia="Palatino Linotype" w:hAnsi="Palatino Linotype" w:cs="Palatino Linotype"/>
          <w:i/>
          <w:sz w:val="24"/>
          <w:szCs w:val="24"/>
        </w:rPr>
      </w:pPr>
      <w:r w:rsidRPr="00890BD0">
        <w:rPr>
          <w:rFonts w:ascii="Palatino Linotype" w:eastAsia="Palatino Linotype" w:hAnsi="Palatino Linotype" w:cs="Palatino Linotype"/>
          <w:sz w:val="24"/>
          <w:szCs w:val="24"/>
        </w:rPr>
        <w:lastRenderedPageBreak/>
        <w:t>La Comisionada p</w:t>
      </w:r>
      <w:r w:rsidR="00AF5774" w:rsidRPr="00890BD0">
        <w:rPr>
          <w:rFonts w:ascii="Palatino Linotype" w:eastAsia="Palatino Linotype" w:hAnsi="Palatino Linotype" w:cs="Palatino Linotype"/>
          <w:sz w:val="24"/>
          <w:szCs w:val="24"/>
        </w:rPr>
        <w:t xml:space="preserve">onente con fundamento en lo dispuesto por el artículo 18 fracción II de la ley de la materia, a través del acuerdo de admisión notificado el </w:t>
      </w:r>
      <w:r w:rsidR="008D2F61" w:rsidRPr="00890BD0">
        <w:rPr>
          <w:rFonts w:ascii="Palatino Linotype" w:eastAsia="Palatino Linotype" w:hAnsi="Palatino Linotype" w:cs="Palatino Linotype"/>
          <w:b/>
          <w:sz w:val="24"/>
          <w:szCs w:val="24"/>
        </w:rPr>
        <w:t>diez de diciembre</w:t>
      </w:r>
      <w:r w:rsidR="00AF5774" w:rsidRPr="00890BD0">
        <w:rPr>
          <w:rFonts w:ascii="Palatino Linotype" w:eastAsia="Palatino Linotype" w:hAnsi="Palatino Linotype" w:cs="Palatino Linotype"/>
          <w:b/>
          <w:sz w:val="24"/>
          <w:szCs w:val="24"/>
        </w:rPr>
        <w:t xml:space="preserve"> de dos mil veinticinco,</w:t>
      </w:r>
      <w:r w:rsidR="00AF5774" w:rsidRPr="00890BD0">
        <w:rPr>
          <w:rFonts w:ascii="Palatino Linotype" w:eastAsia="Palatino Linotype" w:hAnsi="Palatino Linotype" w:cs="Palatino Linotype"/>
          <w:sz w:val="24"/>
          <w:szCs w:val="24"/>
        </w:rPr>
        <w:t xml:space="preserve"> se puso a disposición de las partes el expediente electrónico vía </w:t>
      </w:r>
      <w:r w:rsidR="00AF5774" w:rsidRPr="00890BD0">
        <w:rPr>
          <w:rFonts w:ascii="Palatino Linotype" w:eastAsia="Palatino Linotype" w:hAnsi="Palatino Linotype" w:cs="Palatino Linotype"/>
          <w:b/>
          <w:sz w:val="24"/>
          <w:szCs w:val="24"/>
        </w:rPr>
        <w:t xml:space="preserve">SAIMEX </w:t>
      </w:r>
      <w:r w:rsidR="00AF5774" w:rsidRPr="00890BD0">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00AF5774" w:rsidRPr="00890BD0">
        <w:rPr>
          <w:rFonts w:ascii="Palatino Linotype" w:eastAsia="Palatino Linotype" w:hAnsi="Palatino Linotype" w:cs="Palatino Linotype"/>
          <w:b/>
          <w:sz w:val="24"/>
          <w:szCs w:val="24"/>
        </w:rPr>
        <w:t>SUJETO OBLIGADO</w:t>
      </w:r>
      <w:r w:rsidR="00AF5774" w:rsidRPr="00890BD0">
        <w:rPr>
          <w:rFonts w:ascii="Palatino Linotype" w:eastAsia="Palatino Linotype" w:hAnsi="Palatino Linotype" w:cs="Palatino Linotype"/>
          <w:sz w:val="24"/>
          <w:szCs w:val="24"/>
        </w:rPr>
        <w:t xml:space="preserve"> presentara el informe justificado procedente. </w:t>
      </w:r>
    </w:p>
    <w:p w:rsidR="00AF5774" w:rsidRPr="00890BD0" w:rsidRDefault="00AF5774" w:rsidP="00AF5774">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AF5774" w:rsidRPr="00890BD0" w:rsidRDefault="00AF5774" w:rsidP="00913F26">
      <w:pPr>
        <w:numPr>
          <w:ilvl w:val="0"/>
          <w:numId w:val="2"/>
        </w:numPr>
        <w:spacing w:line="360" w:lineRule="auto"/>
        <w:ind w:left="0" w:firstLine="0"/>
        <w:jc w:val="both"/>
        <w:rPr>
          <w:rFonts w:ascii="Palatino Linotype" w:eastAsia="Palatino Linotype" w:hAnsi="Palatino Linotype" w:cs="Palatino Linotype"/>
          <w:i/>
          <w:sz w:val="24"/>
          <w:szCs w:val="24"/>
        </w:rPr>
      </w:pPr>
      <w:r w:rsidRPr="00890BD0">
        <w:rPr>
          <w:rFonts w:ascii="Palatino Linotype" w:eastAsia="Palatino Linotype" w:hAnsi="Palatino Linotype" w:cs="Palatino Linotype"/>
          <w:sz w:val="24"/>
          <w:szCs w:val="24"/>
        </w:rPr>
        <w:t xml:space="preserve">De las constancias que obran en el expediente electrónico SAIMEX, se advierte que el </w:t>
      </w:r>
      <w:r w:rsidRPr="00890BD0">
        <w:rPr>
          <w:rFonts w:ascii="Palatino Linotype" w:eastAsia="Palatino Linotype" w:hAnsi="Palatino Linotype" w:cs="Palatino Linotype"/>
          <w:b/>
          <w:sz w:val="24"/>
          <w:szCs w:val="24"/>
        </w:rPr>
        <w:t>PARTICULAR,</w:t>
      </w:r>
      <w:r w:rsidRPr="00890BD0">
        <w:rPr>
          <w:rFonts w:ascii="Palatino Linotype" w:eastAsia="Palatino Linotype" w:hAnsi="Palatino Linotype" w:cs="Palatino Linotype"/>
          <w:sz w:val="24"/>
          <w:szCs w:val="24"/>
        </w:rPr>
        <w:t xml:space="preserve"> </w:t>
      </w:r>
      <w:r w:rsidR="00913F26" w:rsidRPr="00890BD0">
        <w:rPr>
          <w:rFonts w:ascii="Palatino Linotype" w:eastAsia="Palatino Linotype" w:hAnsi="Palatino Linotype" w:cs="Palatino Linotype"/>
          <w:sz w:val="24"/>
          <w:szCs w:val="24"/>
        </w:rPr>
        <w:t>remitió el contrato ilegible remitido en respuesta.</w:t>
      </w:r>
    </w:p>
    <w:p w:rsidR="00913F26" w:rsidRPr="00890BD0" w:rsidRDefault="00913F26" w:rsidP="00913F26">
      <w:pPr>
        <w:spacing w:line="360" w:lineRule="auto"/>
        <w:jc w:val="both"/>
        <w:rPr>
          <w:rFonts w:ascii="Palatino Linotype" w:eastAsia="Palatino Linotype" w:hAnsi="Palatino Linotype" w:cs="Palatino Linotype"/>
          <w:i/>
          <w:sz w:val="24"/>
          <w:szCs w:val="24"/>
        </w:rPr>
      </w:pPr>
    </w:p>
    <w:p w:rsidR="00AF5774" w:rsidRPr="00890BD0" w:rsidRDefault="00AF5774" w:rsidP="00AF5774">
      <w:pPr>
        <w:numPr>
          <w:ilvl w:val="0"/>
          <w:numId w:val="2"/>
        </w:numPr>
        <w:spacing w:line="360" w:lineRule="auto"/>
        <w:ind w:left="0" w:firstLine="0"/>
        <w:jc w:val="both"/>
        <w:rPr>
          <w:rFonts w:ascii="Palatino Linotype" w:eastAsia="Palatino Linotype" w:hAnsi="Palatino Linotype" w:cs="Palatino Linotype"/>
          <w:color w:val="FF0000"/>
          <w:sz w:val="24"/>
          <w:szCs w:val="24"/>
        </w:rPr>
      </w:pPr>
      <w:r w:rsidRPr="00890BD0">
        <w:rPr>
          <w:rFonts w:ascii="Palatino Linotype" w:eastAsia="Palatino Linotype" w:hAnsi="Palatino Linotype" w:cs="Palatino Linotype"/>
          <w:sz w:val="24"/>
          <w:szCs w:val="24"/>
        </w:rPr>
        <w:t xml:space="preserve">El </w:t>
      </w:r>
      <w:r w:rsidRPr="00890BD0">
        <w:rPr>
          <w:rFonts w:ascii="Palatino Linotype" w:eastAsia="Palatino Linotype" w:hAnsi="Palatino Linotype" w:cs="Palatino Linotype"/>
          <w:b/>
          <w:sz w:val="24"/>
          <w:szCs w:val="24"/>
        </w:rPr>
        <w:t xml:space="preserve">SUJETO OBLIGADO, </w:t>
      </w:r>
      <w:r w:rsidR="008D2F61" w:rsidRPr="00890BD0">
        <w:rPr>
          <w:rFonts w:ascii="Palatino Linotype" w:eastAsia="Palatino Linotype" w:hAnsi="Palatino Linotype" w:cs="Palatino Linotype"/>
          <w:sz w:val="24"/>
          <w:szCs w:val="24"/>
        </w:rPr>
        <w:t>diecinueve de diciembre</w:t>
      </w:r>
      <w:r w:rsidRPr="00890BD0">
        <w:rPr>
          <w:rFonts w:ascii="Palatino Linotype" w:eastAsia="Palatino Linotype" w:hAnsi="Palatino Linotype" w:cs="Palatino Linotype"/>
          <w:sz w:val="24"/>
          <w:szCs w:val="24"/>
        </w:rPr>
        <w:t xml:space="preserve"> de dos mil veinticinco, rindió el Informe Justificado a través </w:t>
      </w:r>
      <w:r w:rsidR="00913F26" w:rsidRPr="00890BD0">
        <w:rPr>
          <w:rFonts w:ascii="Palatino Linotype" w:eastAsia="Palatino Linotype" w:hAnsi="Palatino Linotype" w:cs="Palatino Linotype"/>
          <w:sz w:val="24"/>
          <w:szCs w:val="24"/>
        </w:rPr>
        <w:t>del archivo siguiente:</w:t>
      </w:r>
    </w:p>
    <w:p w:rsidR="00913F26" w:rsidRPr="00890BD0" w:rsidRDefault="00913F26" w:rsidP="00913F26">
      <w:pPr>
        <w:pStyle w:val="Prrafodelista"/>
        <w:numPr>
          <w:ilvl w:val="0"/>
          <w:numId w:val="5"/>
        </w:numPr>
        <w:ind w:right="680"/>
        <w:jc w:val="both"/>
        <w:rPr>
          <w:rFonts w:ascii="Palatino Linotype" w:hAnsi="Palatino Linotype"/>
          <w:sz w:val="24"/>
        </w:rPr>
      </w:pPr>
      <w:r w:rsidRPr="00890BD0">
        <w:rPr>
          <w:rFonts w:ascii="Palatino Linotype" w:hAnsi="Palatino Linotype"/>
          <w:b/>
          <w:sz w:val="24"/>
        </w:rPr>
        <w:t xml:space="preserve">Informe Justificado RR 13908.pdf: </w:t>
      </w:r>
      <w:r w:rsidRPr="00890BD0">
        <w:rPr>
          <w:rFonts w:ascii="Palatino Linotype" w:hAnsi="Palatino Linotype"/>
          <w:sz w:val="24"/>
        </w:rPr>
        <w:t>Informe Justificado por el que se confirma la respuesta primigenia y se informa que en atención a los motivos de inconformidad, se remite nuevamente el contrato remitido en respuesta.</w:t>
      </w:r>
    </w:p>
    <w:p w:rsidR="00AF5774" w:rsidRPr="00890BD0" w:rsidRDefault="00AF5774" w:rsidP="00AF5774">
      <w:pPr>
        <w:pStyle w:val="Prrafodelista"/>
        <w:jc w:val="both"/>
        <w:rPr>
          <w:rFonts w:ascii="Palatino Linotype" w:hAnsi="Palatino Linotype"/>
          <w:sz w:val="24"/>
        </w:rPr>
      </w:pPr>
    </w:p>
    <w:p w:rsidR="00AF5774" w:rsidRPr="00890BD0" w:rsidRDefault="00AF5774" w:rsidP="00AF5774">
      <w:pPr>
        <w:jc w:val="both"/>
        <w:rPr>
          <w:rFonts w:ascii="Palatino Linotype" w:hAnsi="Palatino Linotype"/>
          <w:sz w:val="24"/>
          <w:szCs w:val="24"/>
        </w:rPr>
      </w:pPr>
    </w:p>
    <w:p w:rsidR="00AF5774" w:rsidRPr="00890BD0" w:rsidRDefault="00AF5774" w:rsidP="00AF5774">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890BD0">
        <w:rPr>
          <w:rFonts w:ascii="Palatino Linotype" w:eastAsia="Palatino Linotype" w:hAnsi="Palatino Linotype" w:cs="Palatino Linotype"/>
          <w:sz w:val="24"/>
          <w:szCs w:val="24"/>
        </w:rPr>
        <w:t xml:space="preserve">El </w:t>
      </w:r>
      <w:r w:rsidR="00913F26" w:rsidRPr="00890BD0">
        <w:rPr>
          <w:rFonts w:ascii="Palatino Linotype" w:eastAsia="Palatino Linotype" w:hAnsi="Palatino Linotype" w:cs="Palatino Linotype"/>
          <w:b/>
          <w:sz w:val="24"/>
          <w:szCs w:val="24"/>
        </w:rPr>
        <w:t>diez de febrero</w:t>
      </w:r>
      <w:r w:rsidRPr="00890BD0">
        <w:rPr>
          <w:rFonts w:ascii="Palatino Linotype" w:eastAsia="Palatino Linotype" w:hAnsi="Palatino Linotype" w:cs="Palatino Linotype"/>
          <w:b/>
          <w:sz w:val="24"/>
          <w:szCs w:val="24"/>
        </w:rPr>
        <w:t xml:space="preserve"> de dos mil veintiséis, </w:t>
      </w:r>
      <w:r w:rsidRPr="00890BD0">
        <w:rPr>
          <w:rFonts w:ascii="Palatino Linotype" w:eastAsia="Palatino Linotype" w:hAnsi="Palatino Linotype" w:cs="Palatino Linotype"/>
          <w:sz w:val="24"/>
          <w:szCs w:val="24"/>
        </w:rPr>
        <w:t>se notificó el acuerdo por el que se amplió el plazo para resolver el recurso de revisión que nos ocupa.</w:t>
      </w:r>
    </w:p>
    <w:p w:rsidR="00890BD0" w:rsidRPr="00890BD0" w:rsidRDefault="00890BD0" w:rsidP="00890BD0">
      <w:pPr>
        <w:tabs>
          <w:tab w:val="left" w:pos="426"/>
        </w:tabs>
        <w:spacing w:line="360" w:lineRule="auto"/>
        <w:jc w:val="both"/>
        <w:rPr>
          <w:rFonts w:ascii="Palatino Linotype" w:eastAsia="Palatino Linotype" w:hAnsi="Palatino Linotype" w:cs="Palatino Linotype"/>
          <w:b/>
          <w:sz w:val="24"/>
          <w:szCs w:val="24"/>
          <w:u w:val="single"/>
        </w:rPr>
      </w:pPr>
    </w:p>
    <w:p w:rsidR="00AF5774" w:rsidRPr="00890BD0" w:rsidRDefault="00AF5774" w:rsidP="00AF5774">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890BD0">
        <w:rPr>
          <w:rFonts w:ascii="Palatino Linotype" w:eastAsia="Palatino Linotype" w:hAnsi="Palatino Linotype" w:cs="Palatino Linotype"/>
          <w:sz w:val="24"/>
          <w:szCs w:val="24"/>
        </w:rPr>
        <w:t>El</w:t>
      </w:r>
      <w:r w:rsidRPr="00890BD0">
        <w:rPr>
          <w:rFonts w:ascii="Palatino Linotype" w:eastAsia="Palatino Linotype" w:hAnsi="Palatino Linotype" w:cs="Palatino Linotype"/>
          <w:b/>
          <w:sz w:val="24"/>
          <w:szCs w:val="24"/>
        </w:rPr>
        <w:t xml:space="preserve"> </w:t>
      </w:r>
      <w:r w:rsidR="00913F26" w:rsidRPr="00890BD0">
        <w:rPr>
          <w:rFonts w:ascii="Palatino Linotype" w:eastAsia="Palatino Linotype" w:hAnsi="Palatino Linotype" w:cs="Palatino Linotype"/>
          <w:b/>
          <w:sz w:val="24"/>
          <w:szCs w:val="24"/>
        </w:rPr>
        <w:t>dieciocho de febrero</w:t>
      </w:r>
      <w:r w:rsidRPr="00890BD0">
        <w:rPr>
          <w:rFonts w:ascii="Palatino Linotype" w:eastAsia="Palatino Linotype" w:hAnsi="Palatino Linotype" w:cs="Palatino Linotype"/>
          <w:b/>
          <w:sz w:val="24"/>
          <w:szCs w:val="24"/>
        </w:rPr>
        <w:t xml:space="preserve"> de dos mil veintiséis</w:t>
      </w:r>
      <w:r w:rsidRPr="00890BD0">
        <w:rPr>
          <w:rFonts w:ascii="Palatino Linotype" w:eastAsia="Palatino Linotype" w:hAnsi="Palatino Linotype" w:cs="Palatino Linotype"/>
          <w:sz w:val="24"/>
          <w:szCs w:val="24"/>
        </w:rPr>
        <w:t xml:space="preserve">, la Comisionada Ponente decretó el cierre de instrucción y al no existir diligencias por realizar y se turnó el expediente a resolución correspondiente, por lo que no habiendo más que hacer constar, y </w:t>
      </w:r>
      <w:r w:rsidR="00890BD0">
        <w:rPr>
          <w:rFonts w:ascii="Palatino Linotype" w:eastAsia="Palatino Linotype" w:hAnsi="Palatino Linotype" w:cs="Palatino Linotype"/>
          <w:sz w:val="24"/>
          <w:szCs w:val="24"/>
        </w:rPr>
        <w:t>-------------------------------------</w:t>
      </w:r>
    </w:p>
    <w:p w:rsidR="00AF5774" w:rsidRPr="00890BD0" w:rsidRDefault="00AF5774" w:rsidP="00AF5774">
      <w:pPr>
        <w:tabs>
          <w:tab w:val="left" w:pos="426"/>
        </w:tabs>
        <w:spacing w:line="360" w:lineRule="auto"/>
        <w:jc w:val="both"/>
        <w:rPr>
          <w:rFonts w:ascii="Palatino Linotype" w:eastAsia="Palatino Linotype" w:hAnsi="Palatino Linotype" w:cs="Palatino Linotype"/>
          <w:b/>
          <w:sz w:val="24"/>
          <w:szCs w:val="24"/>
          <w:u w:val="single"/>
        </w:rPr>
      </w:pPr>
    </w:p>
    <w:p w:rsidR="00AF5774" w:rsidRPr="00890BD0" w:rsidRDefault="00AF5774" w:rsidP="00AF5774">
      <w:pPr>
        <w:keepNext/>
        <w:keepLines/>
        <w:spacing w:line="360" w:lineRule="auto"/>
        <w:jc w:val="center"/>
        <w:rPr>
          <w:rFonts w:ascii="Palatino Linotype" w:eastAsia="Palatino Linotype" w:hAnsi="Palatino Linotype" w:cs="Palatino Linotype"/>
          <w:b/>
          <w:sz w:val="24"/>
          <w:szCs w:val="24"/>
        </w:rPr>
      </w:pPr>
      <w:bookmarkStart w:id="3" w:name="_heading=h.30j0zll" w:colFirst="0" w:colLast="0"/>
      <w:bookmarkEnd w:id="3"/>
      <w:r w:rsidRPr="00890BD0">
        <w:rPr>
          <w:rFonts w:ascii="Palatino Linotype" w:eastAsia="Palatino Linotype" w:hAnsi="Palatino Linotype" w:cs="Palatino Linotype"/>
          <w:b/>
          <w:sz w:val="24"/>
          <w:szCs w:val="24"/>
        </w:rPr>
        <w:lastRenderedPageBreak/>
        <w:t>C</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O</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N</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S</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I</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D</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E</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R</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A</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N</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D</w:t>
      </w:r>
      <w:r w:rsidR="003B7DA6"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b/>
          <w:sz w:val="24"/>
          <w:szCs w:val="24"/>
        </w:rPr>
        <w:t xml:space="preserve">O </w:t>
      </w:r>
    </w:p>
    <w:p w:rsidR="00AF5774" w:rsidRPr="00890BD0" w:rsidRDefault="00AF5774" w:rsidP="00AF5774">
      <w:pPr>
        <w:keepNext/>
        <w:keepLines/>
        <w:spacing w:line="360" w:lineRule="auto"/>
        <w:jc w:val="center"/>
        <w:rPr>
          <w:rFonts w:ascii="Palatino Linotype" w:eastAsia="Palatino Linotype" w:hAnsi="Palatino Linotype" w:cs="Palatino Linotype"/>
          <w:sz w:val="24"/>
          <w:szCs w:val="24"/>
        </w:rPr>
      </w:pPr>
    </w:p>
    <w:p w:rsidR="00AF5774" w:rsidRPr="00890BD0" w:rsidRDefault="00AF5774" w:rsidP="00AF5774">
      <w:pPr>
        <w:keepNext/>
        <w:keepLines/>
        <w:spacing w:line="360" w:lineRule="auto"/>
        <w:rPr>
          <w:rFonts w:ascii="Palatino Linotype" w:eastAsia="Palatino Linotype" w:hAnsi="Palatino Linotype" w:cs="Palatino Linotype"/>
          <w:b/>
          <w:sz w:val="24"/>
          <w:szCs w:val="24"/>
        </w:rPr>
      </w:pPr>
      <w:bookmarkStart w:id="4" w:name="_heading=h.1fob9te" w:colFirst="0" w:colLast="0"/>
      <w:bookmarkEnd w:id="4"/>
      <w:r w:rsidRPr="00890BD0">
        <w:rPr>
          <w:rFonts w:ascii="Palatino Linotype" w:eastAsia="Palatino Linotype" w:hAnsi="Palatino Linotype" w:cs="Palatino Linotype"/>
          <w:b/>
          <w:sz w:val="24"/>
          <w:szCs w:val="24"/>
        </w:rPr>
        <w:t>PRIMERO. De la competencia</w:t>
      </w:r>
    </w:p>
    <w:p w:rsidR="00AF5774" w:rsidRPr="00890BD0" w:rsidRDefault="00AF5774" w:rsidP="00AF5774">
      <w:pPr>
        <w:numPr>
          <w:ilvl w:val="0"/>
          <w:numId w:val="2"/>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890BD0">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AF5774" w:rsidRPr="00890BD0" w:rsidRDefault="00AF5774" w:rsidP="00AF5774">
      <w:pPr>
        <w:tabs>
          <w:tab w:val="left" w:pos="426"/>
        </w:tabs>
        <w:spacing w:line="360" w:lineRule="auto"/>
        <w:jc w:val="both"/>
        <w:rPr>
          <w:rFonts w:ascii="Palatino Linotype" w:eastAsia="Palatino Linotype" w:hAnsi="Palatino Linotype" w:cs="Palatino Linotype"/>
          <w:color w:val="000000"/>
          <w:sz w:val="24"/>
          <w:szCs w:val="24"/>
        </w:rPr>
      </w:pPr>
    </w:p>
    <w:p w:rsidR="00AF5774" w:rsidRPr="00890BD0" w:rsidRDefault="00AF5774" w:rsidP="00AF5774">
      <w:pPr>
        <w:keepNext/>
        <w:keepLines/>
        <w:spacing w:line="360" w:lineRule="auto"/>
        <w:rPr>
          <w:rFonts w:ascii="Palatino Linotype" w:eastAsia="Palatino Linotype" w:hAnsi="Palatino Linotype" w:cs="Palatino Linotype"/>
          <w:b/>
          <w:sz w:val="24"/>
          <w:szCs w:val="24"/>
        </w:rPr>
      </w:pPr>
      <w:bookmarkStart w:id="5" w:name="_heading=h.3znysh7" w:colFirst="0" w:colLast="0"/>
      <w:bookmarkEnd w:id="5"/>
      <w:r w:rsidRPr="00890BD0">
        <w:rPr>
          <w:rFonts w:ascii="Palatino Linotype" w:eastAsia="Palatino Linotype" w:hAnsi="Palatino Linotype" w:cs="Palatino Linotype"/>
          <w:b/>
          <w:sz w:val="24"/>
          <w:szCs w:val="24"/>
        </w:rPr>
        <w:t>SEGUNDO. De la oportunidad y procedencia.</w:t>
      </w:r>
    </w:p>
    <w:p w:rsidR="00AF5774" w:rsidRPr="00890BD0" w:rsidRDefault="00AF5774" w:rsidP="00AF5774">
      <w:pPr>
        <w:numPr>
          <w:ilvl w:val="0"/>
          <w:numId w:val="2"/>
        </w:numPr>
        <w:spacing w:line="360" w:lineRule="auto"/>
        <w:ind w:left="0" w:right="48"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t xml:space="preserve">El medio de impugnación fue presentado a través del </w:t>
      </w:r>
      <w:r w:rsidRPr="00890BD0">
        <w:rPr>
          <w:rFonts w:ascii="Palatino Linotype" w:eastAsia="Palatino Linotype" w:hAnsi="Palatino Linotype" w:cs="Palatino Linotype"/>
          <w:b/>
          <w:sz w:val="24"/>
          <w:szCs w:val="24"/>
        </w:rPr>
        <w:t>SAIMEX,</w:t>
      </w:r>
      <w:r w:rsidRPr="00890BD0">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890BD0">
        <w:rPr>
          <w:rFonts w:ascii="Palatino Linotype" w:eastAsia="Palatino Linotype" w:hAnsi="Palatino Linotype" w:cs="Palatino Linotype"/>
          <w:b/>
          <w:sz w:val="24"/>
          <w:szCs w:val="24"/>
        </w:rPr>
        <w:t>SUJETO OBLIGADO</w:t>
      </w:r>
      <w:r w:rsidRPr="00890BD0">
        <w:rPr>
          <w:rFonts w:ascii="Palatino Linotype" w:eastAsia="Palatino Linotype" w:hAnsi="Palatino Linotype" w:cs="Palatino Linotype"/>
          <w:sz w:val="24"/>
          <w:szCs w:val="24"/>
        </w:rPr>
        <w:t xml:space="preserve"> entregó respuesta el </w:t>
      </w:r>
      <w:r w:rsidR="00913F26" w:rsidRPr="00890BD0">
        <w:rPr>
          <w:rFonts w:ascii="Palatino Linotype" w:eastAsia="Palatino Linotype" w:hAnsi="Palatino Linotype" w:cs="Palatino Linotype"/>
          <w:b/>
          <w:sz w:val="24"/>
          <w:szCs w:val="24"/>
        </w:rPr>
        <w:t>tres de diciembre</w:t>
      </w:r>
      <w:r w:rsidRPr="00890BD0">
        <w:rPr>
          <w:rFonts w:ascii="Palatino Linotype" w:eastAsia="Palatino Linotype" w:hAnsi="Palatino Linotype" w:cs="Palatino Linotype"/>
          <w:b/>
          <w:sz w:val="24"/>
          <w:szCs w:val="24"/>
        </w:rPr>
        <w:t xml:space="preserve"> de dos mil veinticinco</w:t>
      </w:r>
      <w:r w:rsidRPr="00890BD0">
        <w:rPr>
          <w:rFonts w:ascii="Palatino Linotype" w:eastAsia="Palatino Linotype" w:hAnsi="Palatino Linotype" w:cs="Palatino Linotype"/>
          <w:sz w:val="24"/>
          <w:szCs w:val="24"/>
        </w:rPr>
        <w:t xml:space="preserve">, de tal forma que el plazo para interponer el recurso transcurrió del </w:t>
      </w:r>
      <w:r w:rsidR="00913F26" w:rsidRPr="00890BD0">
        <w:rPr>
          <w:rFonts w:ascii="Palatino Linotype" w:eastAsia="Palatino Linotype" w:hAnsi="Palatino Linotype" w:cs="Palatino Linotype"/>
          <w:b/>
          <w:sz w:val="24"/>
          <w:szCs w:val="24"/>
        </w:rPr>
        <w:t>cuatro al veinticuatro de febrero</w:t>
      </w:r>
      <w:r w:rsidRPr="00890BD0">
        <w:rPr>
          <w:rFonts w:ascii="Palatino Linotype" w:eastAsia="Palatino Linotype" w:hAnsi="Palatino Linotype" w:cs="Palatino Linotype"/>
          <w:b/>
          <w:sz w:val="24"/>
          <w:szCs w:val="24"/>
        </w:rPr>
        <w:t xml:space="preserve"> de dos mil veinticinco, </w:t>
      </w:r>
      <w:r w:rsidRPr="00890BD0">
        <w:rPr>
          <w:rFonts w:ascii="Palatino Linotype" w:eastAsia="Palatino Linotype" w:hAnsi="Palatino Linotype" w:cs="Palatino Linotype"/>
          <w:sz w:val="24"/>
          <w:szCs w:val="24"/>
        </w:rPr>
        <w:t xml:space="preserve">en consecuencia, si el </w:t>
      </w:r>
      <w:r w:rsidRPr="00890BD0">
        <w:rPr>
          <w:rFonts w:ascii="Palatino Linotype" w:eastAsia="Palatino Linotype" w:hAnsi="Palatino Linotype" w:cs="Palatino Linotype"/>
          <w:b/>
          <w:sz w:val="24"/>
          <w:szCs w:val="24"/>
        </w:rPr>
        <w:t>PARTICULAR</w:t>
      </w:r>
      <w:r w:rsidRPr="00890BD0">
        <w:rPr>
          <w:rFonts w:ascii="Palatino Linotype" w:eastAsia="Palatino Linotype" w:hAnsi="Palatino Linotype" w:cs="Palatino Linotype"/>
          <w:sz w:val="24"/>
          <w:szCs w:val="24"/>
        </w:rPr>
        <w:t xml:space="preserve"> presentó su inconformidad el </w:t>
      </w:r>
      <w:r w:rsidR="00913F26" w:rsidRPr="00890BD0">
        <w:rPr>
          <w:rFonts w:ascii="Palatino Linotype" w:eastAsia="Palatino Linotype" w:hAnsi="Palatino Linotype" w:cs="Palatino Linotype"/>
          <w:b/>
          <w:sz w:val="24"/>
          <w:szCs w:val="24"/>
        </w:rPr>
        <w:t xml:space="preserve">ocho de </w:t>
      </w:r>
      <w:r w:rsidR="00E47289" w:rsidRPr="00890BD0">
        <w:rPr>
          <w:rFonts w:ascii="Palatino Linotype" w:eastAsia="Palatino Linotype" w:hAnsi="Palatino Linotype" w:cs="Palatino Linotype"/>
          <w:b/>
          <w:sz w:val="24"/>
          <w:szCs w:val="24"/>
        </w:rPr>
        <w:t>diciembre</w:t>
      </w:r>
      <w:r w:rsidRPr="00890BD0">
        <w:rPr>
          <w:rFonts w:ascii="Palatino Linotype" w:eastAsia="Palatino Linotype" w:hAnsi="Palatino Linotype" w:cs="Palatino Linotype"/>
          <w:b/>
          <w:sz w:val="24"/>
          <w:szCs w:val="24"/>
        </w:rPr>
        <w:t xml:space="preserve"> de dos mil veinticinco</w:t>
      </w:r>
      <w:r w:rsidRPr="00890BD0">
        <w:rPr>
          <w:rFonts w:ascii="Palatino Linotype" w:eastAsia="Palatino Linotype" w:hAnsi="Palatino Linotype" w:cs="Palatino Linotype"/>
          <w:sz w:val="24"/>
          <w:szCs w:val="24"/>
        </w:rPr>
        <w:t xml:space="preserve">, este  se encuentra dentro de los márgenes temporales previstos en el artículo 178 de la </w:t>
      </w:r>
      <w:r w:rsidRPr="00890BD0">
        <w:rPr>
          <w:rFonts w:ascii="Palatino Linotype" w:eastAsia="Palatino Linotype" w:hAnsi="Palatino Linotype" w:cs="Palatino Linotype"/>
          <w:b/>
          <w:sz w:val="24"/>
          <w:szCs w:val="24"/>
        </w:rPr>
        <w:t xml:space="preserve">Ley de Transparencia y Acceso a la Información Pública del Estado de México y Municipios </w:t>
      </w:r>
      <w:r w:rsidRPr="00890BD0">
        <w:rPr>
          <w:rFonts w:ascii="Palatino Linotype" w:eastAsia="Palatino Linotype" w:hAnsi="Palatino Linotype" w:cs="Palatino Linotype"/>
          <w:sz w:val="24"/>
          <w:szCs w:val="24"/>
        </w:rPr>
        <w:t xml:space="preserve">vigente. </w:t>
      </w:r>
    </w:p>
    <w:p w:rsidR="00AF5774" w:rsidRPr="00890BD0" w:rsidRDefault="00AF5774" w:rsidP="00AF5774">
      <w:pPr>
        <w:pStyle w:val="Ttulo2"/>
        <w:rPr>
          <w:rFonts w:ascii="Palatino Linotype" w:eastAsia="Palatino Linotype" w:hAnsi="Palatino Linotype" w:cs="Palatino Linotype"/>
          <w:b/>
          <w:i/>
          <w:color w:val="000000"/>
          <w:sz w:val="24"/>
          <w:szCs w:val="24"/>
        </w:rPr>
      </w:pPr>
      <w:bookmarkStart w:id="6" w:name="_heading=h.2et92p0" w:colFirst="0" w:colLast="0"/>
      <w:bookmarkEnd w:id="6"/>
      <w:r w:rsidRPr="00890BD0">
        <w:rPr>
          <w:rFonts w:ascii="Palatino Linotype" w:eastAsia="Palatino Linotype" w:hAnsi="Palatino Linotype" w:cs="Palatino Linotype"/>
          <w:b/>
          <w:color w:val="000000"/>
          <w:sz w:val="24"/>
          <w:szCs w:val="24"/>
        </w:rPr>
        <w:lastRenderedPageBreak/>
        <w:t xml:space="preserve">TERCERO. Del planteamiento de la </w:t>
      </w:r>
      <w:r w:rsidRPr="00890BD0">
        <w:rPr>
          <w:rFonts w:ascii="Palatino Linotype" w:eastAsia="Palatino Linotype" w:hAnsi="Palatino Linotype" w:cs="Palatino Linotype"/>
          <w:b/>
          <w:i/>
          <w:color w:val="000000"/>
          <w:sz w:val="24"/>
          <w:szCs w:val="24"/>
        </w:rPr>
        <w:t>Litis.</w:t>
      </w:r>
    </w:p>
    <w:p w:rsidR="00AF5774" w:rsidRPr="00890BD0" w:rsidRDefault="00AF5774" w:rsidP="00AF5774">
      <w:pPr>
        <w:numPr>
          <w:ilvl w:val="0"/>
          <w:numId w:val="2"/>
        </w:numPr>
        <w:spacing w:line="360" w:lineRule="auto"/>
        <w:ind w:left="0" w:right="49"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t>Se solicitó la información que a continuación se desagrega:</w:t>
      </w:r>
    </w:p>
    <w:p w:rsidR="00AF5774" w:rsidRPr="00890BD0" w:rsidRDefault="00913F26" w:rsidP="00913F26">
      <w:pPr>
        <w:pStyle w:val="Prrafodelista"/>
        <w:numPr>
          <w:ilvl w:val="0"/>
          <w:numId w:val="5"/>
        </w:numPr>
        <w:spacing w:line="276" w:lineRule="auto"/>
        <w:ind w:right="680"/>
        <w:jc w:val="both"/>
        <w:rPr>
          <w:rFonts w:ascii="Palatino Linotype" w:eastAsia="Palatino Linotype" w:hAnsi="Palatino Linotype" w:cs="Palatino Linotype"/>
          <w:color w:val="000000"/>
          <w:sz w:val="24"/>
        </w:rPr>
      </w:pPr>
      <w:r w:rsidRPr="00890BD0">
        <w:rPr>
          <w:rFonts w:ascii="Palatino Linotype" w:eastAsia="Palatino Linotype" w:hAnsi="Palatino Linotype" w:cs="Palatino Linotype"/>
          <w:color w:val="000000"/>
          <w:sz w:val="24"/>
        </w:rPr>
        <w:t>El  contrato que el gobierno municipal de Cuautitlán Izcalli celebró para la actuación del cantante Fernando Delgadillo, en el Festival del Arte, Queso y Vino, en este año 2025.</w:t>
      </w:r>
    </w:p>
    <w:p w:rsidR="00AF5774" w:rsidRPr="00890BD0" w:rsidRDefault="00AF5774" w:rsidP="00AF5774">
      <w:pPr>
        <w:pStyle w:val="Prrafodelista"/>
        <w:spacing w:line="276" w:lineRule="auto"/>
        <w:ind w:right="680"/>
        <w:jc w:val="both"/>
        <w:rPr>
          <w:rFonts w:ascii="Palatino Linotype" w:eastAsia="Palatino Linotype" w:hAnsi="Palatino Linotype" w:cs="Palatino Linotype"/>
          <w:sz w:val="24"/>
        </w:rPr>
      </w:pPr>
    </w:p>
    <w:p w:rsidR="00AF5774" w:rsidRPr="00890BD0" w:rsidRDefault="00AF5774" w:rsidP="00AF5774">
      <w:pPr>
        <w:numPr>
          <w:ilvl w:val="0"/>
          <w:numId w:val="2"/>
        </w:numPr>
        <w:spacing w:line="360" w:lineRule="auto"/>
        <w:ind w:left="0" w:right="49" w:firstLine="0"/>
        <w:jc w:val="both"/>
        <w:rPr>
          <w:rFonts w:ascii="Palatino Linotype" w:eastAsia="Palatino Linotype" w:hAnsi="Palatino Linotype" w:cs="Palatino Linotype"/>
          <w:i/>
          <w:sz w:val="24"/>
          <w:szCs w:val="24"/>
        </w:rPr>
      </w:pPr>
      <w:r w:rsidRPr="00890BD0">
        <w:rPr>
          <w:rFonts w:ascii="Palatino Linotype" w:eastAsia="Palatino Linotype" w:hAnsi="Palatino Linotype" w:cs="Palatino Linotype"/>
          <w:sz w:val="24"/>
          <w:szCs w:val="24"/>
        </w:rPr>
        <w:t xml:space="preserve">El </w:t>
      </w:r>
      <w:r w:rsidRPr="00890BD0">
        <w:rPr>
          <w:rFonts w:ascii="Palatino Linotype" w:eastAsia="Palatino Linotype" w:hAnsi="Palatino Linotype" w:cs="Palatino Linotype"/>
          <w:b/>
          <w:sz w:val="24"/>
          <w:szCs w:val="24"/>
        </w:rPr>
        <w:t xml:space="preserve">SUJETO OBLIGADO, </w:t>
      </w:r>
      <w:r w:rsidR="00913F26" w:rsidRPr="00890BD0">
        <w:rPr>
          <w:rFonts w:ascii="Palatino Linotype" w:eastAsia="Palatino Linotype" w:hAnsi="Palatino Linotype" w:cs="Palatino Linotype"/>
          <w:sz w:val="24"/>
          <w:szCs w:val="24"/>
        </w:rPr>
        <w:t>remitió el contrato solicitado de manera ilegible.</w:t>
      </w:r>
    </w:p>
    <w:p w:rsidR="00AF5774" w:rsidRPr="00890BD0" w:rsidRDefault="00AF5774" w:rsidP="00AF5774">
      <w:pPr>
        <w:spacing w:line="360" w:lineRule="auto"/>
        <w:ind w:right="49"/>
        <w:jc w:val="both"/>
        <w:rPr>
          <w:rFonts w:ascii="Palatino Linotype" w:eastAsia="Palatino Linotype" w:hAnsi="Palatino Linotype" w:cs="Palatino Linotype"/>
          <w:sz w:val="24"/>
          <w:szCs w:val="24"/>
        </w:rPr>
      </w:pPr>
    </w:p>
    <w:p w:rsidR="00AF5774" w:rsidRPr="00890BD0" w:rsidRDefault="00AF5774" w:rsidP="00AF5774">
      <w:pPr>
        <w:numPr>
          <w:ilvl w:val="0"/>
          <w:numId w:val="2"/>
        </w:numPr>
        <w:spacing w:line="360" w:lineRule="auto"/>
        <w:ind w:left="0" w:right="49" w:firstLine="0"/>
        <w:jc w:val="both"/>
        <w:rPr>
          <w:rFonts w:ascii="Palatino Linotype" w:eastAsia="Palatino Linotype" w:hAnsi="Palatino Linotype" w:cs="Palatino Linotype"/>
          <w:i/>
          <w:sz w:val="24"/>
          <w:szCs w:val="24"/>
        </w:rPr>
      </w:pPr>
      <w:r w:rsidRPr="00890BD0">
        <w:rPr>
          <w:rFonts w:ascii="Palatino Linotype" w:eastAsia="Palatino Linotype" w:hAnsi="Palatino Linotype" w:cs="Palatino Linotype"/>
          <w:sz w:val="24"/>
          <w:szCs w:val="24"/>
        </w:rPr>
        <w:t xml:space="preserve">Inconforme con lo anterior, el ahora </w:t>
      </w:r>
      <w:r w:rsidRPr="00890BD0">
        <w:rPr>
          <w:rFonts w:ascii="Palatino Linotype" w:eastAsia="Palatino Linotype" w:hAnsi="Palatino Linotype" w:cs="Palatino Linotype"/>
          <w:b/>
          <w:sz w:val="24"/>
          <w:szCs w:val="24"/>
        </w:rPr>
        <w:t xml:space="preserve">RECURRENTE </w:t>
      </w:r>
      <w:r w:rsidRPr="00890BD0">
        <w:rPr>
          <w:rFonts w:ascii="Palatino Linotype" w:eastAsia="Palatino Linotype" w:hAnsi="Palatino Linotype" w:cs="Palatino Linotype"/>
          <w:sz w:val="24"/>
          <w:szCs w:val="24"/>
        </w:rPr>
        <w:t xml:space="preserve">interpuso Recurso de Revisión arguyendo medularmente la negativa de la entrega de la información </w:t>
      </w:r>
    </w:p>
    <w:p w:rsidR="00AF5774" w:rsidRPr="00890BD0" w:rsidRDefault="00AF5774" w:rsidP="00AF5774">
      <w:pPr>
        <w:spacing w:line="360" w:lineRule="auto"/>
        <w:ind w:right="49"/>
        <w:jc w:val="both"/>
        <w:rPr>
          <w:rFonts w:ascii="Palatino Linotype" w:eastAsia="Palatino Linotype" w:hAnsi="Palatino Linotype" w:cs="Palatino Linotype"/>
          <w:i/>
          <w:sz w:val="24"/>
          <w:szCs w:val="24"/>
        </w:rPr>
      </w:pPr>
    </w:p>
    <w:p w:rsidR="00AF5774" w:rsidRPr="00890BD0" w:rsidRDefault="00AF5774" w:rsidP="00AF5774">
      <w:pPr>
        <w:numPr>
          <w:ilvl w:val="0"/>
          <w:numId w:val="2"/>
        </w:numPr>
        <w:spacing w:line="360" w:lineRule="auto"/>
        <w:ind w:left="0" w:right="49"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t xml:space="preserve">En dichas condiciones, la </w:t>
      </w:r>
      <w:r w:rsidRPr="00890BD0">
        <w:rPr>
          <w:rFonts w:ascii="Palatino Linotype" w:eastAsia="Palatino Linotype" w:hAnsi="Palatino Linotype" w:cs="Palatino Linotype"/>
          <w:i/>
          <w:sz w:val="24"/>
          <w:szCs w:val="24"/>
        </w:rPr>
        <w:t>Litis</w:t>
      </w:r>
      <w:r w:rsidRPr="00890BD0">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fracción</w:t>
      </w:r>
      <w:r w:rsidRPr="00890BD0">
        <w:rPr>
          <w:rFonts w:ascii="Palatino Linotype" w:eastAsia="Palatino Linotype" w:hAnsi="Palatino Linotype" w:cs="Palatino Linotype"/>
          <w:b/>
          <w:sz w:val="24"/>
          <w:szCs w:val="24"/>
        </w:rPr>
        <w:t xml:space="preserve"> I</w:t>
      </w:r>
      <w:r w:rsidR="00913F26" w:rsidRPr="00890BD0">
        <w:rPr>
          <w:rFonts w:ascii="Palatino Linotype" w:eastAsia="Palatino Linotype" w:hAnsi="Palatino Linotype" w:cs="Palatino Linotype"/>
          <w:b/>
          <w:sz w:val="24"/>
          <w:szCs w:val="24"/>
        </w:rPr>
        <w:t>X</w:t>
      </w:r>
      <w:r w:rsidRPr="00890BD0">
        <w:rPr>
          <w:rFonts w:ascii="Palatino Linotype" w:eastAsia="Palatino Linotype" w:hAnsi="Palatino Linotype" w:cs="Palatino Linotype"/>
          <w:b/>
          <w:sz w:val="24"/>
          <w:szCs w:val="24"/>
        </w:rPr>
        <w:t xml:space="preserve"> </w:t>
      </w:r>
      <w:r w:rsidRPr="00890BD0">
        <w:rPr>
          <w:rFonts w:ascii="Palatino Linotype" w:eastAsia="Palatino Linotype" w:hAnsi="Palatino Linotype" w:cs="Palatino Linotype"/>
          <w:sz w:val="24"/>
          <w:szCs w:val="24"/>
        </w:rPr>
        <w:t xml:space="preserve">de la </w:t>
      </w:r>
      <w:r w:rsidRPr="00890BD0">
        <w:rPr>
          <w:rFonts w:ascii="Palatino Linotype" w:eastAsia="Palatino Linotype" w:hAnsi="Palatino Linotype" w:cs="Palatino Linotype"/>
          <w:b/>
          <w:sz w:val="24"/>
          <w:szCs w:val="24"/>
        </w:rPr>
        <w:t>Ley de Transparencia y Acceso a la Información Pública del Estado de México y Municipios</w:t>
      </w:r>
      <w:r w:rsidRPr="00890BD0">
        <w:rPr>
          <w:rFonts w:ascii="Palatino Linotype" w:eastAsia="Palatino Linotype" w:hAnsi="Palatino Linotype" w:cs="Palatino Linotype"/>
          <w:sz w:val="24"/>
          <w:szCs w:val="24"/>
        </w:rPr>
        <w:t xml:space="preserve">; </w:t>
      </w:r>
      <w:r w:rsidRPr="00890BD0">
        <w:rPr>
          <w:rFonts w:ascii="Palatino Linotype" w:eastAsia="Palatino Linotype" w:hAnsi="Palatino Linotype" w:cs="Palatino Linotype"/>
          <w:color w:val="000000"/>
          <w:sz w:val="24"/>
          <w:szCs w:val="24"/>
        </w:rPr>
        <w:t xml:space="preserve">fracción que determina las hipótesis jurídica relativa </w:t>
      </w:r>
      <w:r w:rsidR="00913F26" w:rsidRPr="00890BD0">
        <w:rPr>
          <w:rFonts w:ascii="Palatino Linotype" w:eastAsia="Palatino Linotype" w:hAnsi="Palatino Linotype" w:cs="Palatino Linotype"/>
          <w:color w:val="000000"/>
          <w:sz w:val="24"/>
          <w:szCs w:val="24"/>
        </w:rPr>
        <w:t>a la entrega o puesta a disposición de información en un formato incomprensible y/o no accesible para el solicitante;</w:t>
      </w:r>
      <w:r w:rsidRPr="00890BD0">
        <w:rPr>
          <w:rFonts w:ascii="Palatino Linotype" w:eastAsia="Palatino Linotype" w:hAnsi="Palatino Linotype" w:cs="Palatino Linotype"/>
          <w:color w:val="000000"/>
          <w:sz w:val="24"/>
          <w:szCs w:val="24"/>
        </w:rPr>
        <w:t xml:space="preserve"> </w:t>
      </w:r>
      <w:r w:rsidRPr="00890BD0">
        <w:rPr>
          <w:rFonts w:ascii="Palatino Linotype" w:eastAsia="Palatino Linotype" w:hAnsi="Palatino Linotype" w:cs="Palatino Linotype"/>
          <w:sz w:val="24"/>
          <w:szCs w:val="24"/>
        </w:rPr>
        <w:t xml:space="preserve">contexto del cual se dolió </w:t>
      </w:r>
      <w:r w:rsidRPr="00890BD0">
        <w:rPr>
          <w:rFonts w:ascii="Palatino Linotype" w:eastAsia="Palatino Linotype" w:hAnsi="Palatino Linotype" w:cs="Palatino Linotype"/>
          <w:b/>
          <w:sz w:val="24"/>
          <w:szCs w:val="24"/>
        </w:rPr>
        <w:t xml:space="preserve">EL RECURRENTE </w:t>
      </w:r>
      <w:r w:rsidRPr="00890BD0">
        <w:rPr>
          <w:rFonts w:ascii="Palatino Linotype" w:eastAsia="Palatino Linotype" w:hAnsi="Palatino Linotype" w:cs="Palatino Linotype"/>
          <w:sz w:val="24"/>
          <w:szCs w:val="24"/>
        </w:rPr>
        <w:t>al momento de interponer su inconformidad.</w:t>
      </w:r>
    </w:p>
    <w:p w:rsidR="00AF5774" w:rsidRPr="00890BD0" w:rsidRDefault="00AF5774" w:rsidP="00AF5774">
      <w:pPr>
        <w:spacing w:line="360" w:lineRule="auto"/>
        <w:ind w:right="49"/>
        <w:jc w:val="both"/>
        <w:rPr>
          <w:rFonts w:ascii="Palatino Linotype" w:eastAsia="Palatino Linotype" w:hAnsi="Palatino Linotype" w:cs="Palatino Linotype"/>
          <w:sz w:val="24"/>
          <w:szCs w:val="24"/>
        </w:rPr>
      </w:pPr>
    </w:p>
    <w:p w:rsidR="00AF5774" w:rsidRPr="00890BD0" w:rsidRDefault="00AF5774" w:rsidP="00AF5774">
      <w:pPr>
        <w:numPr>
          <w:ilvl w:val="0"/>
          <w:numId w:val="2"/>
        </w:numPr>
        <w:spacing w:line="360" w:lineRule="auto"/>
        <w:ind w:left="0" w:right="49" w:firstLine="0"/>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color w:val="000000"/>
          <w:sz w:val="24"/>
          <w:szCs w:val="24"/>
        </w:rPr>
        <w:t xml:space="preserve"> De modo tal que, el presente recurso de revisión se abocara en determinar si el </w:t>
      </w:r>
      <w:r w:rsidRPr="00890BD0">
        <w:rPr>
          <w:rFonts w:ascii="Palatino Linotype" w:eastAsia="Palatino Linotype" w:hAnsi="Palatino Linotype" w:cs="Palatino Linotype"/>
          <w:b/>
          <w:color w:val="000000"/>
          <w:sz w:val="24"/>
          <w:szCs w:val="24"/>
        </w:rPr>
        <w:t>SUJETO</w:t>
      </w:r>
      <w:r w:rsidRPr="00890BD0">
        <w:rPr>
          <w:rFonts w:ascii="Palatino Linotype" w:eastAsia="Palatino Linotype" w:hAnsi="Palatino Linotype" w:cs="Palatino Linotype"/>
          <w:color w:val="000000"/>
          <w:sz w:val="24"/>
          <w:szCs w:val="24"/>
        </w:rPr>
        <w:t xml:space="preserve"> </w:t>
      </w:r>
      <w:r w:rsidRPr="00890BD0">
        <w:rPr>
          <w:rFonts w:ascii="Palatino Linotype" w:eastAsia="Palatino Linotype" w:hAnsi="Palatino Linotype" w:cs="Palatino Linotype"/>
          <w:b/>
          <w:color w:val="000000"/>
          <w:sz w:val="24"/>
          <w:szCs w:val="24"/>
        </w:rPr>
        <w:t>OBLIGADO</w:t>
      </w:r>
      <w:r w:rsidRPr="00890BD0">
        <w:rPr>
          <w:rFonts w:ascii="Palatino Linotype" w:eastAsia="Palatino Linotype" w:hAnsi="Palatino Linotype" w:cs="Palatino Linotype"/>
          <w:color w:val="000000"/>
          <w:sz w:val="24"/>
          <w:szCs w:val="24"/>
        </w:rPr>
        <w:t xml:space="preserve"> con su respuesta ciertamente actualiza la causal de procedencia</w:t>
      </w:r>
      <w:r w:rsidRPr="00890BD0">
        <w:rPr>
          <w:rFonts w:ascii="Palatino Linotype" w:eastAsia="Palatino Linotype" w:hAnsi="Palatino Linotype" w:cs="Palatino Linotype"/>
          <w:b/>
          <w:color w:val="000000"/>
          <w:sz w:val="24"/>
          <w:szCs w:val="24"/>
        </w:rPr>
        <w:t xml:space="preserve"> </w:t>
      </w:r>
      <w:r w:rsidRPr="00890BD0">
        <w:rPr>
          <w:rFonts w:ascii="Palatino Linotype" w:eastAsia="Palatino Linotype" w:hAnsi="Palatino Linotype" w:cs="Palatino Linotype"/>
          <w:color w:val="000000"/>
          <w:sz w:val="24"/>
          <w:szCs w:val="24"/>
        </w:rPr>
        <w:t>antes señalada. Así como comprobar si la respuesta emitida resulta congruente e integral en términos del artículo 11 de la ley de la materia.</w:t>
      </w:r>
    </w:p>
    <w:p w:rsidR="00AF5774" w:rsidRPr="00890BD0" w:rsidRDefault="00AF5774" w:rsidP="00AF577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AF5774" w:rsidRPr="00890BD0" w:rsidRDefault="00AF5774" w:rsidP="00AF5774">
      <w:pPr>
        <w:pStyle w:val="Ttulo2"/>
        <w:rPr>
          <w:rFonts w:ascii="Palatino Linotype" w:eastAsia="Palatino Linotype" w:hAnsi="Palatino Linotype" w:cs="Palatino Linotype"/>
          <w:b/>
          <w:color w:val="000000"/>
          <w:sz w:val="24"/>
          <w:szCs w:val="24"/>
        </w:rPr>
      </w:pPr>
      <w:bookmarkStart w:id="7" w:name="_heading=h.3dy6vkm" w:colFirst="0" w:colLast="0"/>
      <w:bookmarkEnd w:id="7"/>
      <w:r w:rsidRPr="00890BD0">
        <w:rPr>
          <w:rFonts w:ascii="Palatino Linotype" w:eastAsia="Palatino Linotype" w:hAnsi="Palatino Linotype" w:cs="Palatino Linotype"/>
          <w:b/>
          <w:color w:val="000000"/>
          <w:sz w:val="24"/>
          <w:szCs w:val="24"/>
        </w:rPr>
        <w:lastRenderedPageBreak/>
        <w:t>CUARTO. Del estudio y resolución del asunto.</w:t>
      </w:r>
    </w:p>
    <w:p w:rsidR="00913F26" w:rsidRPr="00890BD0" w:rsidRDefault="00AF5774" w:rsidP="00AF5774">
      <w:pPr>
        <w:numPr>
          <w:ilvl w:val="0"/>
          <w:numId w:val="2"/>
        </w:numPr>
        <w:spacing w:line="360" w:lineRule="auto"/>
        <w:ind w:left="0" w:right="49" w:firstLine="0"/>
        <w:jc w:val="both"/>
        <w:rPr>
          <w:rFonts w:ascii="Palatino Linotype" w:eastAsia="Palatino Linotype" w:hAnsi="Palatino Linotype" w:cs="Palatino Linotype"/>
          <w:sz w:val="24"/>
          <w:szCs w:val="24"/>
        </w:rPr>
      </w:pPr>
      <w:bookmarkStart w:id="8" w:name="_Toc34911390"/>
      <w:bookmarkEnd w:id="0"/>
      <w:r w:rsidRPr="00890BD0">
        <w:rPr>
          <w:rFonts w:ascii="Palatino Linotype" w:hAnsi="Palatino Linotype"/>
          <w:bCs/>
          <w:sz w:val="24"/>
          <w:szCs w:val="24"/>
        </w:rPr>
        <w:t xml:space="preserve">Dicho lo anterior, este Órgano Resolutor se avocara a realizar el estudio en conjunto de todas las constancias que obran en el SAIMEX, con la finalidad de poder determinar si los motivos de inconformidad hechos valer por el ahora </w:t>
      </w:r>
      <w:r w:rsidRPr="00890BD0">
        <w:rPr>
          <w:rFonts w:ascii="Palatino Linotype" w:hAnsi="Palatino Linotype"/>
          <w:b/>
          <w:bCs/>
          <w:sz w:val="24"/>
          <w:szCs w:val="24"/>
        </w:rPr>
        <w:t xml:space="preserve">RECURRENTE, </w:t>
      </w:r>
      <w:r w:rsidR="00913F26" w:rsidRPr="00890BD0">
        <w:rPr>
          <w:rFonts w:ascii="Palatino Linotype" w:hAnsi="Palatino Linotype"/>
          <w:bCs/>
          <w:sz w:val="24"/>
          <w:szCs w:val="24"/>
        </w:rPr>
        <w:t>resultan fundados</w:t>
      </w:r>
    </w:p>
    <w:p w:rsidR="00913F26" w:rsidRPr="00890BD0" w:rsidRDefault="00913F26" w:rsidP="00913F26">
      <w:pPr>
        <w:spacing w:line="360" w:lineRule="auto"/>
        <w:ind w:right="49"/>
        <w:jc w:val="both"/>
        <w:rPr>
          <w:rFonts w:ascii="Palatino Linotype" w:eastAsia="Palatino Linotype" w:hAnsi="Palatino Linotype" w:cs="Palatino Linotype"/>
          <w:sz w:val="24"/>
          <w:szCs w:val="24"/>
        </w:rPr>
      </w:pPr>
    </w:p>
    <w:p w:rsidR="00AF5774" w:rsidRPr="00890BD0" w:rsidRDefault="00913F26" w:rsidP="00AF5774">
      <w:pPr>
        <w:numPr>
          <w:ilvl w:val="0"/>
          <w:numId w:val="2"/>
        </w:numPr>
        <w:spacing w:line="360" w:lineRule="auto"/>
        <w:ind w:left="0" w:right="49" w:firstLine="0"/>
        <w:jc w:val="both"/>
        <w:rPr>
          <w:rFonts w:ascii="Palatino Linotype" w:eastAsia="Palatino Linotype" w:hAnsi="Palatino Linotype" w:cs="Palatino Linotype"/>
          <w:sz w:val="24"/>
          <w:szCs w:val="24"/>
        </w:rPr>
      </w:pPr>
      <w:r w:rsidRPr="00890BD0">
        <w:rPr>
          <w:rFonts w:ascii="Palatino Linotype" w:hAnsi="Palatino Linotype"/>
          <w:bCs/>
          <w:sz w:val="24"/>
          <w:szCs w:val="24"/>
        </w:rPr>
        <w:t xml:space="preserve">Primeramente, por lo que hace a la fuente obligacional, se advierte que el </w:t>
      </w:r>
      <w:r w:rsidRPr="00890BD0">
        <w:rPr>
          <w:rFonts w:ascii="Palatino Linotype" w:hAnsi="Palatino Linotype"/>
          <w:b/>
          <w:bCs/>
          <w:sz w:val="24"/>
          <w:szCs w:val="24"/>
        </w:rPr>
        <w:t xml:space="preserve">SUJETO OBLIGADO </w:t>
      </w:r>
      <w:r w:rsidRPr="00890BD0">
        <w:rPr>
          <w:rFonts w:ascii="Palatino Linotype" w:hAnsi="Palatino Linotype"/>
          <w:bCs/>
          <w:sz w:val="24"/>
          <w:szCs w:val="24"/>
        </w:rPr>
        <w:t>asume que genera, posee y/o administra la información solicitada, tan es así que la pone a disposición del sol</w:t>
      </w:r>
      <w:r w:rsidR="00E47289" w:rsidRPr="00890BD0">
        <w:rPr>
          <w:rFonts w:ascii="Palatino Linotype" w:hAnsi="Palatino Linotype"/>
          <w:bCs/>
          <w:sz w:val="24"/>
          <w:szCs w:val="24"/>
        </w:rPr>
        <w:t xml:space="preserve">icitante en un formato ilegible, informando a la literalidad que remite en formato PDF </w:t>
      </w:r>
      <w:r w:rsidR="00E47289" w:rsidRPr="00890BD0">
        <w:rPr>
          <w:rFonts w:ascii="Palatino Linotype" w:hAnsi="Palatino Linotype"/>
          <w:bCs/>
          <w:i/>
          <w:sz w:val="24"/>
          <w:szCs w:val="24"/>
        </w:rPr>
        <w:t xml:space="preserve">el </w:t>
      </w:r>
      <w:r w:rsidR="00E47289" w:rsidRPr="00890BD0">
        <w:rPr>
          <w:rFonts w:ascii="Palatino Linotype" w:hAnsi="Palatino Linotype"/>
          <w:i/>
          <w:sz w:val="24"/>
          <w:szCs w:val="24"/>
        </w:rPr>
        <w:t>contrato numero MCI/DA/IRD/AD/013/2025 respecto de la Contratación del Servicio Integral para el “Primer Festival Internacional Arte, Queso y Vino”.</w:t>
      </w:r>
    </w:p>
    <w:p w:rsidR="00890BD0" w:rsidRPr="00890BD0" w:rsidRDefault="00890BD0" w:rsidP="00890BD0">
      <w:pPr>
        <w:spacing w:line="360" w:lineRule="auto"/>
        <w:ind w:right="49"/>
        <w:jc w:val="both"/>
        <w:rPr>
          <w:rFonts w:ascii="Palatino Linotype" w:eastAsia="Palatino Linotype" w:hAnsi="Palatino Linotype" w:cs="Palatino Linotype"/>
          <w:sz w:val="24"/>
          <w:szCs w:val="24"/>
        </w:rPr>
      </w:pPr>
    </w:p>
    <w:p w:rsidR="00AF5774" w:rsidRPr="00890BD0" w:rsidRDefault="00913F26" w:rsidP="00913F26">
      <w:pPr>
        <w:numPr>
          <w:ilvl w:val="0"/>
          <w:numId w:val="2"/>
        </w:numPr>
        <w:spacing w:line="360" w:lineRule="auto"/>
        <w:ind w:left="0" w:right="49" w:firstLine="0"/>
        <w:jc w:val="both"/>
        <w:rPr>
          <w:rFonts w:ascii="Palatino Linotype" w:hAnsi="Palatino Linotype" w:cs="Arial"/>
          <w:sz w:val="24"/>
          <w:szCs w:val="24"/>
        </w:rPr>
      </w:pPr>
      <w:r w:rsidRPr="00890BD0">
        <w:rPr>
          <w:rFonts w:ascii="Palatino Linotype" w:hAnsi="Palatino Linotype" w:cs="Arial"/>
          <w:sz w:val="24"/>
          <w:szCs w:val="24"/>
        </w:rPr>
        <w:t>Ahora bien, respecto los motivos de inconformidad, se advierte que los mismos devienen procedentes, derivado de que en respuesta se hizo entrega del c</w:t>
      </w:r>
      <w:r w:rsidR="00E47289" w:rsidRPr="00890BD0">
        <w:rPr>
          <w:rFonts w:ascii="Palatino Linotype" w:hAnsi="Palatino Linotype" w:cs="Arial"/>
          <w:sz w:val="24"/>
          <w:szCs w:val="24"/>
        </w:rPr>
        <w:t xml:space="preserve">ontrato solicitado, sin embargo, este Orgasmo Resolutor advierte que </w:t>
      </w:r>
      <w:r w:rsidRPr="00890BD0">
        <w:rPr>
          <w:rFonts w:ascii="Palatino Linotype" w:hAnsi="Palatino Linotype" w:cs="Arial"/>
          <w:sz w:val="24"/>
          <w:szCs w:val="24"/>
        </w:rPr>
        <w:t xml:space="preserve">este se observa ilegible. Posteriormente, en aras de salvaguardar el derecho de acceso a la información que le asiste al Particular, en etapa de manifestaciones, el </w:t>
      </w:r>
      <w:r w:rsidRPr="00890BD0">
        <w:rPr>
          <w:rFonts w:ascii="Palatino Linotype" w:hAnsi="Palatino Linotype" w:cs="Arial"/>
          <w:b/>
          <w:sz w:val="24"/>
          <w:szCs w:val="24"/>
        </w:rPr>
        <w:t xml:space="preserve">SUJETO OBLIGADO, </w:t>
      </w:r>
      <w:r w:rsidRPr="00890BD0">
        <w:rPr>
          <w:rFonts w:ascii="Palatino Linotype" w:hAnsi="Palatino Linotype" w:cs="Arial"/>
          <w:sz w:val="24"/>
          <w:szCs w:val="24"/>
        </w:rPr>
        <w:t>remitió nuevamente el contrato, sin embargo, nuevamente se observa ilegible.</w:t>
      </w:r>
    </w:p>
    <w:p w:rsidR="00913F26" w:rsidRPr="00890BD0" w:rsidRDefault="00913F26" w:rsidP="00913F26">
      <w:pPr>
        <w:spacing w:line="360" w:lineRule="auto"/>
        <w:ind w:right="49"/>
        <w:jc w:val="both"/>
        <w:rPr>
          <w:rFonts w:ascii="Palatino Linotype" w:hAnsi="Palatino Linotype" w:cs="Arial"/>
          <w:sz w:val="24"/>
          <w:szCs w:val="24"/>
        </w:rPr>
      </w:pPr>
    </w:p>
    <w:p w:rsidR="00913F26" w:rsidRPr="00890BD0" w:rsidRDefault="00913F26" w:rsidP="00913F26">
      <w:pPr>
        <w:numPr>
          <w:ilvl w:val="0"/>
          <w:numId w:val="2"/>
        </w:numPr>
        <w:spacing w:line="360" w:lineRule="auto"/>
        <w:ind w:left="0" w:right="49" w:firstLine="0"/>
        <w:jc w:val="both"/>
        <w:rPr>
          <w:rFonts w:ascii="Palatino Linotype" w:hAnsi="Palatino Linotype" w:cs="Arial"/>
          <w:sz w:val="24"/>
          <w:szCs w:val="24"/>
        </w:rPr>
      </w:pPr>
      <w:r w:rsidRPr="00890BD0">
        <w:rPr>
          <w:rFonts w:ascii="Palatino Linotype" w:hAnsi="Palatino Linotype" w:cs="Arial"/>
          <w:sz w:val="24"/>
          <w:szCs w:val="24"/>
        </w:rPr>
        <w:t xml:space="preserve">Consecuencia de lo anterior, no se puede tener por colmada en su totalidad la solicitud de información que nos ocupa, resultando dable ordenar el contrato </w:t>
      </w:r>
      <w:r w:rsidR="00A21DD2" w:rsidRPr="00890BD0">
        <w:rPr>
          <w:rFonts w:ascii="Palatino Linotype" w:hAnsi="Palatino Linotype" w:cs="Arial"/>
          <w:sz w:val="24"/>
          <w:szCs w:val="24"/>
        </w:rPr>
        <w:t>remitido en respuesta y en manifestaciones de manera legible</w:t>
      </w:r>
      <w:r w:rsidR="00E47289" w:rsidRPr="00890BD0">
        <w:rPr>
          <w:rFonts w:ascii="Palatino Linotype" w:hAnsi="Palatino Linotype" w:cs="Arial"/>
          <w:sz w:val="24"/>
          <w:szCs w:val="24"/>
        </w:rPr>
        <w:t xml:space="preserve">, de ser procedente en versión pública. </w:t>
      </w:r>
    </w:p>
    <w:p w:rsidR="00E47289" w:rsidRPr="00890BD0" w:rsidRDefault="00E47289" w:rsidP="00E47289">
      <w:pPr>
        <w:spacing w:line="360" w:lineRule="auto"/>
        <w:ind w:right="49"/>
        <w:jc w:val="both"/>
        <w:rPr>
          <w:rFonts w:ascii="Palatino Linotype" w:hAnsi="Palatino Linotype" w:cs="Arial"/>
          <w:sz w:val="24"/>
          <w:szCs w:val="24"/>
        </w:rPr>
      </w:pPr>
    </w:p>
    <w:p w:rsidR="00E47289" w:rsidRPr="00890BD0" w:rsidRDefault="00E47289" w:rsidP="00913F26">
      <w:pPr>
        <w:numPr>
          <w:ilvl w:val="0"/>
          <w:numId w:val="2"/>
        </w:numPr>
        <w:spacing w:line="360" w:lineRule="auto"/>
        <w:ind w:left="0" w:right="49" w:firstLine="0"/>
        <w:jc w:val="both"/>
        <w:rPr>
          <w:rFonts w:ascii="Palatino Linotype" w:hAnsi="Palatino Linotype" w:cs="Arial"/>
          <w:sz w:val="24"/>
          <w:szCs w:val="24"/>
        </w:rPr>
      </w:pPr>
      <w:r w:rsidRPr="00890BD0">
        <w:rPr>
          <w:rFonts w:ascii="Palatino Linotype" w:hAnsi="Palatino Linotype" w:cs="Arial"/>
          <w:sz w:val="24"/>
          <w:szCs w:val="24"/>
        </w:rPr>
        <w:lastRenderedPageBreak/>
        <w:t xml:space="preserve">Ahora bien, derivado de que se remitió el contrato de manera ilegible, no se puede colegir si dentro del mismo obran datos susceptibles de ser clasificados, por lo que al respecto </w:t>
      </w:r>
      <w:r w:rsidR="00353496" w:rsidRPr="00890BD0">
        <w:rPr>
          <w:rFonts w:ascii="Palatino Linotype" w:hAnsi="Palatino Linotype" w:cs="Arial"/>
          <w:sz w:val="24"/>
          <w:szCs w:val="24"/>
        </w:rPr>
        <w:t xml:space="preserve">de manera enunciativa mas no limitativa pudieran obrar los datos que a continuación se refieren: </w:t>
      </w:r>
    </w:p>
    <w:p w:rsidR="00E47289" w:rsidRPr="00890BD0" w:rsidRDefault="00E47289" w:rsidP="00E47289">
      <w:pPr>
        <w:spacing w:line="360" w:lineRule="auto"/>
        <w:ind w:right="49"/>
        <w:jc w:val="both"/>
        <w:rPr>
          <w:rFonts w:ascii="Palatino Linotype" w:hAnsi="Palatino Linotype" w:cs="Arial"/>
          <w:sz w:val="24"/>
          <w:szCs w:val="24"/>
        </w:rPr>
      </w:pPr>
    </w:p>
    <w:p w:rsidR="00E47289" w:rsidRPr="00890BD0" w:rsidRDefault="00E47289" w:rsidP="00353496">
      <w:pPr>
        <w:numPr>
          <w:ilvl w:val="0"/>
          <w:numId w:val="8"/>
        </w:numPr>
        <w:spacing w:line="360" w:lineRule="auto"/>
        <w:ind w:left="720"/>
        <w:contextualSpacing/>
        <w:jc w:val="both"/>
        <w:rPr>
          <w:rFonts w:ascii="Palatino Linotype" w:eastAsia="Calibri" w:hAnsi="Palatino Linotype" w:cs="Tahoma"/>
          <w:b/>
          <w:bCs/>
          <w:sz w:val="24"/>
          <w:szCs w:val="24"/>
        </w:rPr>
      </w:pPr>
      <w:r w:rsidRPr="00890BD0">
        <w:rPr>
          <w:rFonts w:ascii="Palatino Linotype" w:eastAsia="Calibri" w:hAnsi="Palatino Linotype" w:cs="Tahoma"/>
          <w:b/>
          <w:bCs/>
          <w:sz w:val="24"/>
          <w:szCs w:val="24"/>
        </w:rPr>
        <w:t>Nombre de personas físicas contratistas.</w:t>
      </w:r>
    </w:p>
    <w:p w:rsidR="00E47289" w:rsidRPr="00890BD0" w:rsidRDefault="00E47289" w:rsidP="003B7DA6">
      <w:pPr>
        <w:pStyle w:val="Prrafodelista"/>
        <w:numPr>
          <w:ilvl w:val="0"/>
          <w:numId w:val="2"/>
        </w:numPr>
        <w:spacing w:line="360" w:lineRule="auto"/>
        <w:ind w:left="0" w:right="-93" w:firstLine="0"/>
        <w:jc w:val="both"/>
        <w:rPr>
          <w:rFonts w:ascii="Palatino Linotype" w:eastAsia="Calibri" w:hAnsi="Palatino Linotype" w:cs="Tahoma"/>
          <w:bCs/>
          <w:sz w:val="24"/>
          <w:lang w:val="es-ES_tradnl"/>
        </w:rPr>
      </w:pPr>
      <w:r w:rsidRPr="00890BD0">
        <w:rPr>
          <w:rFonts w:ascii="Palatino Linotype" w:eastAsia="Calibri" w:hAnsi="Palatino Linotype" w:cs="Tahoma"/>
          <w:bCs/>
          <w:sz w:val="24"/>
        </w:rPr>
        <w:t xml:space="preserve">Al respecto, cabe precisar que el nombre se integra </w:t>
      </w:r>
      <w:r w:rsidRPr="00890BD0">
        <w:rPr>
          <w:rFonts w:ascii="Palatino Linotype" w:eastAsia="Calibri" w:hAnsi="Palatino Linotype" w:cs="Tahoma"/>
          <w:bCs/>
          <w:sz w:val="24"/>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890BD0">
        <w:rPr>
          <w:rFonts w:ascii="Palatino Linotype" w:eastAsia="Calibri" w:hAnsi="Palatino Linotype" w:cs="Tahoma"/>
          <w:bCs/>
          <w:i/>
          <w:sz w:val="24"/>
          <w:lang w:val="es-ES_tradnl"/>
        </w:rPr>
        <w:t>per se</w:t>
      </w:r>
      <w:r w:rsidRPr="00890BD0">
        <w:rPr>
          <w:rFonts w:ascii="Palatino Linotype" w:eastAsia="Calibri" w:hAnsi="Palatino Linotype" w:cs="Tahoma"/>
          <w:bCs/>
          <w:sz w:val="24"/>
          <w:lang w:val="es-ES_tradnl"/>
        </w:rPr>
        <w:t xml:space="preserve"> es un elemento que hace a una persona física identificada o identificable.</w:t>
      </w:r>
    </w:p>
    <w:p w:rsidR="00E47289" w:rsidRPr="00890BD0" w:rsidRDefault="00E47289" w:rsidP="00353496">
      <w:pPr>
        <w:spacing w:line="360" w:lineRule="auto"/>
        <w:ind w:right="-93"/>
        <w:jc w:val="both"/>
        <w:rPr>
          <w:rFonts w:ascii="Palatino Linotype" w:eastAsia="Calibri" w:hAnsi="Palatino Linotype" w:cs="Tahoma"/>
          <w:bCs/>
          <w:sz w:val="24"/>
          <w:szCs w:val="24"/>
          <w:lang w:val="es-ES_tradnl"/>
        </w:rPr>
      </w:pPr>
    </w:p>
    <w:p w:rsidR="00E47289" w:rsidRPr="00890BD0" w:rsidRDefault="00E47289" w:rsidP="003B7DA6">
      <w:pPr>
        <w:pStyle w:val="Prrafodelista"/>
        <w:numPr>
          <w:ilvl w:val="0"/>
          <w:numId w:val="2"/>
        </w:numPr>
        <w:spacing w:line="360" w:lineRule="auto"/>
        <w:ind w:left="0" w:right="-93" w:firstLine="0"/>
        <w:jc w:val="both"/>
        <w:rPr>
          <w:rFonts w:ascii="Palatino Linotype" w:eastAsia="Calibri" w:hAnsi="Palatino Linotype" w:cs="Tahoma"/>
          <w:bCs/>
          <w:sz w:val="24"/>
          <w:lang w:val="es-ES_tradnl"/>
        </w:rPr>
      </w:pPr>
      <w:r w:rsidRPr="00890BD0">
        <w:rPr>
          <w:rFonts w:ascii="Palatino Linotype" w:eastAsia="Calibri" w:hAnsi="Palatino Linotype" w:cs="Tahoma"/>
          <w:bCs/>
          <w:sz w:val="24"/>
          <w:lang w:val="es-ES_tradnl"/>
        </w:rPr>
        <w:t xml:space="preserve">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w:t>
      </w:r>
      <w:r w:rsidRPr="00890BD0">
        <w:rPr>
          <w:rFonts w:ascii="Palatino Linotype" w:eastAsia="Calibri" w:hAnsi="Palatino Linotype" w:cs="Tahoma"/>
          <w:b/>
          <w:bCs/>
          <w:sz w:val="24"/>
          <w:lang w:val="es-ES_tradnl"/>
        </w:rPr>
        <w:t>los nombres de aquellos que reciben recursos públicos (contratistas),</w:t>
      </w:r>
      <w:r w:rsidRPr="00890BD0">
        <w:rPr>
          <w:rFonts w:ascii="Palatino Linotype" w:eastAsia="Calibri" w:hAnsi="Palatino Linotype" w:cs="Tahoma"/>
          <w:bCs/>
          <w:sz w:val="24"/>
          <w:lang w:val="es-ES_tradnl"/>
        </w:rPr>
        <w:t xml:space="preserve"> ya que la difusión de dicho dato constituye una obligación de transparencia por parte de los sujetos obligados.</w:t>
      </w:r>
    </w:p>
    <w:p w:rsidR="00E47289" w:rsidRPr="00890BD0" w:rsidRDefault="00E47289" w:rsidP="00353496">
      <w:pPr>
        <w:spacing w:line="360" w:lineRule="auto"/>
        <w:ind w:right="-93"/>
        <w:jc w:val="both"/>
        <w:rPr>
          <w:rFonts w:ascii="Palatino Linotype" w:eastAsia="Calibri" w:hAnsi="Palatino Linotype" w:cs="Tahoma"/>
          <w:bCs/>
          <w:sz w:val="24"/>
          <w:szCs w:val="24"/>
          <w:lang w:val="es-ES_tradnl"/>
        </w:rPr>
      </w:pPr>
    </w:p>
    <w:p w:rsidR="00E47289" w:rsidRPr="00890BD0" w:rsidRDefault="00E47289" w:rsidP="003B7DA6">
      <w:pPr>
        <w:pStyle w:val="Prrafodelista"/>
        <w:numPr>
          <w:ilvl w:val="0"/>
          <w:numId w:val="2"/>
        </w:numPr>
        <w:spacing w:line="360" w:lineRule="auto"/>
        <w:ind w:left="0" w:right="-93" w:firstLine="0"/>
        <w:jc w:val="both"/>
        <w:rPr>
          <w:rFonts w:ascii="Palatino Linotype" w:eastAsia="Calibri" w:hAnsi="Palatino Linotype" w:cs="Tahoma"/>
          <w:b/>
          <w:bCs/>
          <w:sz w:val="24"/>
          <w:lang w:val="es-ES_tradnl"/>
        </w:rPr>
      </w:pPr>
      <w:r w:rsidRPr="00890BD0">
        <w:rPr>
          <w:rFonts w:ascii="Palatino Linotype" w:eastAsia="Calibri" w:hAnsi="Palatino Linotype" w:cs="Tahoma"/>
          <w:bCs/>
          <w:sz w:val="24"/>
          <w:lang w:val="es-ES_tradnl"/>
        </w:rPr>
        <w:t xml:space="preserve">Toma sustento con el artículo 92, fracciones XXXI, de la Ley de la materia, el cual establece que los sujetos obligados tienen la obligación de poner a disposición del público y mantener </w:t>
      </w:r>
      <w:r w:rsidRPr="00890BD0">
        <w:rPr>
          <w:rFonts w:ascii="Palatino Linotype" w:eastAsia="Calibri" w:hAnsi="Palatino Linotype" w:cs="Tahoma"/>
          <w:bCs/>
          <w:sz w:val="24"/>
          <w:lang w:val="es-ES_tradnl"/>
        </w:rPr>
        <w:lastRenderedPageBreak/>
        <w:t xml:space="preserve">actualizada de acuerdo con sus facultades, atribuciones, funciones u objeto social, según corresponda el </w:t>
      </w:r>
      <w:r w:rsidRPr="00890BD0">
        <w:rPr>
          <w:rFonts w:ascii="Palatino Linotype" w:eastAsia="Calibri" w:hAnsi="Palatino Linotype" w:cs="Tahoma"/>
          <w:b/>
          <w:bCs/>
          <w:sz w:val="24"/>
          <w:lang w:val="es-ES_tradnl"/>
        </w:rPr>
        <w:t>Padrón de proveedores y contratistas.</w:t>
      </w:r>
    </w:p>
    <w:p w:rsidR="00E47289" w:rsidRPr="00890BD0" w:rsidRDefault="00E47289" w:rsidP="00353496">
      <w:pPr>
        <w:spacing w:line="360" w:lineRule="auto"/>
        <w:ind w:right="-93"/>
        <w:jc w:val="both"/>
        <w:rPr>
          <w:rFonts w:ascii="Palatino Linotype" w:eastAsia="Calibri" w:hAnsi="Palatino Linotype" w:cs="Tahoma"/>
          <w:b/>
          <w:bCs/>
          <w:sz w:val="24"/>
          <w:szCs w:val="24"/>
          <w:lang w:val="es-ES_tradnl"/>
        </w:rPr>
      </w:pPr>
    </w:p>
    <w:p w:rsidR="00E47289" w:rsidRPr="00890BD0" w:rsidRDefault="00E47289" w:rsidP="003B7DA6">
      <w:pPr>
        <w:pStyle w:val="Prrafodelista"/>
        <w:numPr>
          <w:ilvl w:val="0"/>
          <w:numId w:val="2"/>
        </w:numPr>
        <w:spacing w:line="360" w:lineRule="auto"/>
        <w:ind w:left="0" w:right="-93" w:firstLine="0"/>
        <w:jc w:val="both"/>
        <w:rPr>
          <w:rFonts w:ascii="Palatino Linotype" w:eastAsia="Calibri" w:hAnsi="Palatino Linotype" w:cs="Tahoma"/>
          <w:bCs/>
          <w:sz w:val="24"/>
          <w:lang w:val="es-ES_tradnl"/>
        </w:rPr>
      </w:pPr>
      <w:r w:rsidRPr="00890BD0">
        <w:rPr>
          <w:rFonts w:ascii="Palatino Linotype" w:eastAsia="Calibri" w:hAnsi="Palatino Linotype" w:cs="Tahoma"/>
          <w:bCs/>
          <w:sz w:val="24"/>
          <w:lang w:val="es-ES_tradnl"/>
        </w:rPr>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rsidR="00E47289" w:rsidRPr="00890BD0" w:rsidRDefault="00E47289" w:rsidP="00353496">
      <w:pPr>
        <w:spacing w:line="360" w:lineRule="auto"/>
        <w:ind w:right="-93"/>
        <w:jc w:val="both"/>
        <w:rPr>
          <w:rFonts w:ascii="Palatino Linotype" w:eastAsia="Calibri" w:hAnsi="Palatino Linotype" w:cs="Tahoma"/>
          <w:bCs/>
          <w:sz w:val="24"/>
          <w:szCs w:val="24"/>
          <w:lang w:val="es-ES_tradnl"/>
        </w:rPr>
      </w:pPr>
    </w:p>
    <w:p w:rsidR="00E47289" w:rsidRPr="00890BD0" w:rsidRDefault="00E47289" w:rsidP="00353496">
      <w:pPr>
        <w:ind w:right="-93"/>
        <w:jc w:val="both"/>
        <w:rPr>
          <w:rFonts w:ascii="Palatino Linotype" w:eastAsia="Calibri" w:hAnsi="Palatino Linotype" w:cs="Tahoma"/>
          <w:b/>
          <w:bCs/>
          <w:sz w:val="24"/>
          <w:szCs w:val="24"/>
          <w:lang w:val="es-ES_tradnl"/>
        </w:rPr>
      </w:pPr>
      <w:r w:rsidRPr="00890BD0">
        <w:rPr>
          <w:rFonts w:ascii="Palatino Linotype" w:hAnsi="Palatino Linotype"/>
          <w:noProof/>
          <w:sz w:val="24"/>
          <w:szCs w:val="24"/>
          <w:lang w:eastAsia="es-MX"/>
        </w:rPr>
        <w:drawing>
          <wp:inline distT="0" distB="0" distL="0" distR="0" wp14:anchorId="7AB55F08" wp14:editId="1B0BAD92">
            <wp:extent cx="5743575" cy="752475"/>
            <wp:effectExtent l="0" t="0" r="9525" b="9525"/>
            <wp:docPr id="115905814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7">
                      <a:extLst>
                        <a:ext uri="{28A0092B-C50C-407E-A947-70E740481C1C}">
                          <a14:useLocalDpi xmlns:a14="http://schemas.microsoft.com/office/drawing/2010/main" val="0"/>
                        </a:ext>
                      </a:extLst>
                    </a:blip>
                    <a:srcRect b="84505"/>
                    <a:stretch>
                      <a:fillRect/>
                    </a:stretch>
                  </pic:blipFill>
                  <pic:spPr bwMode="auto">
                    <a:xfrm>
                      <a:off x="0" y="0"/>
                      <a:ext cx="5743575" cy="752475"/>
                    </a:xfrm>
                    <a:prstGeom prst="rect">
                      <a:avLst/>
                    </a:prstGeom>
                    <a:noFill/>
                    <a:ln>
                      <a:noFill/>
                    </a:ln>
                  </pic:spPr>
                </pic:pic>
              </a:graphicData>
            </a:graphic>
          </wp:inline>
        </w:drawing>
      </w:r>
    </w:p>
    <w:p w:rsidR="00E47289" w:rsidRPr="00890BD0" w:rsidRDefault="00E47289" w:rsidP="00353496">
      <w:pPr>
        <w:spacing w:line="360" w:lineRule="auto"/>
        <w:ind w:right="-93"/>
        <w:jc w:val="both"/>
        <w:rPr>
          <w:rFonts w:ascii="Palatino Linotype" w:eastAsia="Calibri" w:hAnsi="Palatino Linotype" w:cs="Tahoma"/>
          <w:b/>
          <w:bCs/>
          <w:sz w:val="24"/>
          <w:szCs w:val="24"/>
          <w:lang w:val="es-ES_tradnl"/>
        </w:rPr>
      </w:pPr>
      <w:r w:rsidRPr="00890BD0">
        <w:rPr>
          <w:rFonts w:ascii="Palatino Linotype" w:hAnsi="Palatino Linotype"/>
          <w:noProof/>
          <w:sz w:val="24"/>
          <w:szCs w:val="24"/>
          <w:lang w:eastAsia="es-MX"/>
        </w:rPr>
        <w:drawing>
          <wp:inline distT="0" distB="0" distL="0" distR="0" wp14:anchorId="2A0E70AA" wp14:editId="0704ED32">
            <wp:extent cx="5743575" cy="495300"/>
            <wp:effectExtent l="0" t="0" r="9525" b="0"/>
            <wp:docPr id="3459967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7">
                      <a:extLst>
                        <a:ext uri="{28A0092B-C50C-407E-A947-70E740481C1C}">
                          <a14:useLocalDpi xmlns:a14="http://schemas.microsoft.com/office/drawing/2010/main" val="0"/>
                        </a:ext>
                      </a:extLst>
                    </a:blip>
                    <a:srcRect t="89838" b="-38"/>
                    <a:stretch>
                      <a:fillRect/>
                    </a:stretch>
                  </pic:blipFill>
                  <pic:spPr bwMode="auto">
                    <a:xfrm>
                      <a:off x="0" y="0"/>
                      <a:ext cx="5743575" cy="495300"/>
                    </a:xfrm>
                    <a:prstGeom prst="rect">
                      <a:avLst/>
                    </a:prstGeom>
                    <a:noFill/>
                    <a:ln>
                      <a:noFill/>
                    </a:ln>
                  </pic:spPr>
                </pic:pic>
              </a:graphicData>
            </a:graphic>
          </wp:inline>
        </w:drawing>
      </w:r>
    </w:p>
    <w:p w:rsidR="00E47289" w:rsidRPr="00890BD0" w:rsidRDefault="00E47289" w:rsidP="00353496">
      <w:pPr>
        <w:spacing w:line="360" w:lineRule="auto"/>
        <w:ind w:right="-93"/>
        <w:jc w:val="both"/>
        <w:rPr>
          <w:rFonts w:ascii="Palatino Linotype" w:eastAsia="Calibri" w:hAnsi="Palatino Linotype" w:cs="Tahoma"/>
          <w:b/>
          <w:bCs/>
          <w:sz w:val="24"/>
          <w:szCs w:val="24"/>
          <w:lang w:val="es-ES_tradnl"/>
        </w:rPr>
      </w:pPr>
    </w:p>
    <w:p w:rsidR="00E47289" w:rsidRPr="00890BD0" w:rsidRDefault="00E47289" w:rsidP="003B7DA6">
      <w:pPr>
        <w:pStyle w:val="Prrafodelista"/>
        <w:numPr>
          <w:ilvl w:val="0"/>
          <w:numId w:val="2"/>
        </w:numPr>
        <w:spacing w:line="360" w:lineRule="auto"/>
        <w:ind w:left="0" w:right="-93" w:firstLine="0"/>
        <w:jc w:val="both"/>
        <w:rPr>
          <w:rFonts w:ascii="Palatino Linotype" w:eastAsia="Calibri" w:hAnsi="Palatino Linotype" w:cs="Tahoma"/>
          <w:b/>
          <w:bCs/>
          <w:sz w:val="24"/>
          <w:lang w:val="es-ES_tradnl"/>
        </w:rPr>
      </w:pPr>
      <w:r w:rsidRPr="00890BD0">
        <w:rPr>
          <w:rFonts w:ascii="Palatino Linotype" w:eastAsia="Calibri" w:hAnsi="Palatino Linotype" w:cs="Tahoma"/>
          <w:bCs/>
          <w:sz w:val="24"/>
          <w:lang w:val="es-ES_tradnl"/>
        </w:rPr>
        <w:t xml:space="preserve">Por lo tanto, la Ley de Transparencia y Acceso a la Información Pública del Estado de México y Municipios, considera que </w:t>
      </w:r>
      <w:r w:rsidRPr="00890BD0">
        <w:rPr>
          <w:rFonts w:ascii="Palatino Linotype" w:eastAsia="Calibri" w:hAnsi="Palatino Linotype" w:cs="Tahoma"/>
          <w:b/>
          <w:bCs/>
          <w:sz w:val="24"/>
          <w:lang w:val="es-ES_tradnl"/>
        </w:rPr>
        <w:t xml:space="preserve">los datos de aquellas personas que recibieron recursos públicos, por regla general, </w:t>
      </w:r>
      <w:r w:rsidRPr="00890BD0">
        <w:rPr>
          <w:rFonts w:ascii="Palatino Linotype" w:eastAsia="Calibri" w:hAnsi="Palatino Linotype" w:cs="Tahoma"/>
          <w:bCs/>
          <w:sz w:val="24"/>
          <w:lang w:val="es-ES_tradnl"/>
        </w:rPr>
        <w:t xml:space="preserve">son de naturaleza pública, ya que su publicidad orienta a cumplir los objetivos que persigue la Ley; toda vez, </w:t>
      </w:r>
      <w:r w:rsidRPr="00890BD0">
        <w:rPr>
          <w:rFonts w:ascii="Palatino Linotype" w:eastAsia="Calibri" w:hAnsi="Palatino Linotype" w:cs="Tahoma"/>
          <w:b/>
          <w:bCs/>
          <w:sz w:val="24"/>
          <w:lang w:val="es-ES_tradnl"/>
        </w:rPr>
        <w:t>que ayuda a transparentar a quienes se les han otorgado recursos públicos, así como, porque razones se les otorgaron dichos montos.</w:t>
      </w:r>
    </w:p>
    <w:p w:rsidR="00E47289" w:rsidRPr="00890BD0" w:rsidRDefault="00E47289" w:rsidP="00353496">
      <w:pPr>
        <w:spacing w:line="360" w:lineRule="auto"/>
        <w:jc w:val="both"/>
        <w:rPr>
          <w:rFonts w:ascii="Palatino Linotype" w:eastAsia="Calibri" w:hAnsi="Palatino Linotype" w:cs="Tahoma"/>
          <w:b/>
          <w:bCs/>
          <w:sz w:val="24"/>
          <w:szCs w:val="24"/>
        </w:rPr>
      </w:pPr>
    </w:p>
    <w:p w:rsidR="00E47289" w:rsidRPr="00890BD0" w:rsidRDefault="00E47289" w:rsidP="003B7DA6">
      <w:pPr>
        <w:pStyle w:val="Prrafodelista"/>
        <w:numPr>
          <w:ilvl w:val="0"/>
          <w:numId w:val="2"/>
        </w:numPr>
        <w:spacing w:line="360" w:lineRule="auto"/>
        <w:ind w:left="0" w:firstLine="0"/>
        <w:jc w:val="both"/>
        <w:rPr>
          <w:rFonts w:ascii="Palatino Linotype" w:eastAsia="Calibri" w:hAnsi="Palatino Linotype" w:cs="Tahoma"/>
          <w:bCs/>
          <w:sz w:val="24"/>
        </w:rPr>
      </w:pPr>
      <w:r w:rsidRPr="00890BD0">
        <w:rPr>
          <w:rFonts w:ascii="Palatino Linotype" w:eastAsia="Calibri" w:hAnsi="Palatino Linotype" w:cs="Tahoma"/>
          <w:bCs/>
          <w:sz w:val="24"/>
        </w:rPr>
        <w:t>Por lo que, se considera que no procede la clasificación del nombre de los contratistas, en términos del artículo 143, fracción I de la Ley de Transparencia y Acceso a la Información Pública del Estado de México y Municipios.</w:t>
      </w:r>
    </w:p>
    <w:p w:rsidR="00E47289" w:rsidRPr="00890BD0" w:rsidRDefault="00E47289" w:rsidP="00353496">
      <w:pPr>
        <w:numPr>
          <w:ilvl w:val="0"/>
          <w:numId w:val="8"/>
        </w:numPr>
        <w:spacing w:line="360" w:lineRule="auto"/>
        <w:ind w:left="720"/>
        <w:contextualSpacing/>
        <w:jc w:val="both"/>
        <w:rPr>
          <w:rFonts w:ascii="Palatino Linotype" w:eastAsia="Calibri" w:hAnsi="Palatino Linotype" w:cs="Tahoma"/>
          <w:b/>
          <w:bCs/>
          <w:sz w:val="24"/>
          <w:szCs w:val="24"/>
        </w:rPr>
      </w:pPr>
      <w:r w:rsidRPr="00890BD0">
        <w:rPr>
          <w:rFonts w:ascii="Palatino Linotype" w:eastAsia="Calibri" w:hAnsi="Palatino Linotype" w:cs="Tahoma"/>
          <w:b/>
          <w:bCs/>
          <w:sz w:val="24"/>
          <w:szCs w:val="24"/>
        </w:rPr>
        <w:lastRenderedPageBreak/>
        <w:t>Denominación o razón Social de contratistas personas morales.</w:t>
      </w:r>
    </w:p>
    <w:p w:rsidR="00E47289" w:rsidRPr="00890BD0" w:rsidRDefault="00E47289" w:rsidP="003B7DA6">
      <w:pPr>
        <w:pStyle w:val="Prrafodelista"/>
        <w:numPr>
          <w:ilvl w:val="0"/>
          <w:numId w:val="2"/>
        </w:numPr>
        <w:spacing w:line="360" w:lineRule="auto"/>
        <w:ind w:left="0" w:firstLine="0"/>
        <w:jc w:val="both"/>
        <w:rPr>
          <w:rFonts w:ascii="Palatino Linotype" w:eastAsia="Calibri" w:hAnsi="Palatino Linotype" w:cs="Tahoma"/>
          <w:bCs/>
          <w:sz w:val="24"/>
        </w:rPr>
      </w:pPr>
      <w:r w:rsidRPr="00890BD0">
        <w:rPr>
          <w:rFonts w:ascii="Palatino Linotype" w:eastAsia="Calibri" w:hAnsi="Palatino Linotype" w:cs="Tahoma"/>
          <w:bCs/>
          <w:sz w:val="24"/>
        </w:rPr>
        <w:t xml:space="preserve">Al respecto, se considera que la denominación o razón social de una persona moral, es pública, pues dichos datos se encuentran inscritos en el Registro Público del Comercio; lo anterior, toma sustento en el </w:t>
      </w:r>
      <w:r w:rsidRPr="00890BD0">
        <w:rPr>
          <w:rFonts w:ascii="Palatino Linotype" w:eastAsia="Calibri" w:hAnsi="Palatino Linotype" w:cs="Tahoma"/>
          <w:bCs/>
          <w:sz w:val="24"/>
          <w:lang w:val="es-ES"/>
        </w:rPr>
        <w:t xml:space="preserve">Criterio de Interpretación, de la Segunda Época, con número de registro </w:t>
      </w:r>
      <w:r w:rsidRPr="00890BD0">
        <w:rPr>
          <w:rFonts w:ascii="Palatino Linotype" w:eastAsia="Calibri" w:hAnsi="Palatino Linotype" w:cs="Tahoma"/>
          <w:bCs/>
          <w:sz w:val="24"/>
        </w:rPr>
        <w:t>SO/008/2019, emitido por el Instituto Nacional de Transparencia, Acceso a la Información y Protección de Datos Personales, que precisa lo siguiente:</w:t>
      </w:r>
    </w:p>
    <w:p w:rsidR="00E47289" w:rsidRPr="00890BD0" w:rsidRDefault="00E47289" w:rsidP="00353496">
      <w:pPr>
        <w:spacing w:line="360" w:lineRule="auto"/>
        <w:ind w:left="567" w:right="567"/>
        <w:jc w:val="both"/>
        <w:rPr>
          <w:rFonts w:ascii="Palatino Linotype" w:eastAsia="Calibri" w:hAnsi="Palatino Linotype" w:cs="Tahoma"/>
          <w:bCs/>
          <w:i/>
          <w:sz w:val="24"/>
          <w:szCs w:val="24"/>
        </w:rPr>
      </w:pPr>
      <w:r w:rsidRPr="00890BD0">
        <w:rPr>
          <w:rFonts w:ascii="Palatino Linotype" w:eastAsia="Calibri" w:hAnsi="Palatino Linotype" w:cs="Tahoma"/>
          <w:b/>
          <w:bCs/>
          <w:i/>
          <w:sz w:val="24"/>
          <w:szCs w:val="24"/>
        </w:rPr>
        <w:t xml:space="preserve">“Razón social y RFC de personas morales. </w:t>
      </w:r>
      <w:r w:rsidRPr="00890BD0">
        <w:rPr>
          <w:rFonts w:ascii="Palatino Linotype" w:eastAsia="Calibri" w:hAnsi="Palatino Linotype" w:cs="Tahoma"/>
          <w:i/>
          <w:sz w:val="24"/>
          <w:szCs w:val="24"/>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rsidR="00E47289" w:rsidRPr="00890BD0" w:rsidRDefault="00E47289" w:rsidP="00353496">
      <w:pPr>
        <w:spacing w:line="360" w:lineRule="auto"/>
        <w:jc w:val="both"/>
        <w:rPr>
          <w:rFonts w:ascii="Palatino Linotype" w:eastAsia="Calibri" w:hAnsi="Palatino Linotype" w:cs="Tahoma"/>
          <w:b/>
          <w:bCs/>
          <w:sz w:val="24"/>
          <w:szCs w:val="24"/>
        </w:rPr>
      </w:pPr>
    </w:p>
    <w:p w:rsidR="00E47289" w:rsidRPr="00890BD0" w:rsidRDefault="00E47289" w:rsidP="003B7DA6">
      <w:pPr>
        <w:pStyle w:val="Prrafodelista"/>
        <w:numPr>
          <w:ilvl w:val="0"/>
          <w:numId w:val="2"/>
        </w:numPr>
        <w:spacing w:line="360" w:lineRule="auto"/>
        <w:ind w:left="0" w:firstLine="0"/>
        <w:jc w:val="both"/>
        <w:rPr>
          <w:rFonts w:ascii="Palatino Linotype" w:eastAsia="Calibri" w:hAnsi="Palatino Linotype" w:cs="Tahoma"/>
          <w:bCs/>
          <w:sz w:val="24"/>
          <w:lang w:val="es-ES_tradnl"/>
        </w:rPr>
      </w:pPr>
      <w:r w:rsidRPr="00890BD0">
        <w:rPr>
          <w:rFonts w:ascii="Palatino Linotype" w:eastAsia="Calibri" w:hAnsi="Palatino Linotype" w:cs="Tahoma"/>
          <w:bCs/>
          <w:sz w:val="24"/>
        </w:rPr>
        <w:t xml:space="preserve">Lo anterior, se robustece con el hecho de que el Ente Recurrido tiene como obligación común de transparencia, poner a disposición del público el padrón de contratistas y contratistas, que como se advirtió en párrafos anteriores debe incluir la denominación o razón social del proveedor o contratista, de conformidad con los </w:t>
      </w:r>
      <w:r w:rsidRPr="00890BD0">
        <w:rPr>
          <w:rFonts w:ascii="Palatino Linotype" w:eastAsia="Calibri" w:hAnsi="Palatino Linotype" w:cs="Tahoma"/>
          <w:bCs/>
          <w:sz w:val="24"/>
          <w:lang w:val="es-ES_tradnl"/>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E47289" w:rsidRPr="00890BD0" w:rsidRDefault="00E47289" w:rsidP="00353496">
      <w:pPr>
        <w:spacing w:line="360" w:lineRule="auto"/>
        <w:jc w:val="both"/>
        <w:rPr>
          <w:rFonts w:ascii="Palatino Linotype" w:eastAsia="Calibri" w:hAnsi="Palatino Linotype" w:cs="Tahoma"/>
          <w:bCs/>
          <w:sz w:val="24"/>
          <w:szCs w:val="24"/>
          <w:lang w:val="es-ES_tradnl"/>
        </w:rPr>
      </w:pPr>
    </w:p>
    <w:p w:rsidR="00E47289" w:rsidRPr="00890BD0" w:rsidRDefault="00E47289" w:rsidP="003B7DA6">
      <w:pPr>
        <w:pStyle w:val="Prrafodelista"/>
        <w:numPr>
          <w:ilvl w:val="0"/>
          <w:numId w:val="2"/>
        </w:numPr>
        <w:spacing w:line="360" w:lineRule="auto"/>
        <w:ind w:left="0" w:firstLine="0"/>
        <w:jc w:val="both"/>
        <w:rPr>
          <w:rFonts w:ascii="Palatino Linotype" w:eastAsia="Calibri" w:hAnsi="Palatino Linotype" w:cs="Tahoma"/>
          <w:bCs/>
          <w:sz w:val="24"/>
        </w:rPr>
      </w:pPr>
      <w:r w:rsidRPr="00890BD0">
        <w:rPr>
          <w:rFonts w:ascii="Palatino Linotype" w:eastAsia="Calibri" w:hAnsi="Palatino Linotype" w:cs="Tahoma"/>
          <w:bCs/>
          <w:sz w:val="24"/>
          <w:lang w:val="es-ES_tradnl"/>
        </w:rPr>
        <w:lastRenderedPageBreak/>
        <w:t>Por lo tanto, no procede la clasificación de la denominación o razón social de los contratistas personas morales, en términos del artículo 143, fracción I de la Ley de Transparencia y Acceso a la Información Pública del Estado de México y Municipios.</w:t>
      </w:r>
    </w:p>
    <w:p w:rsidR="00E47289" w:rsidRPr="00890BD0" w:rsidRDefault="00E47289" w:rsidP="00353496">
      <w:pPr>
        <w:spacing w:line="360" w:lineRule="auto"/>
        <w:jc w:val="both"/>
        <w:rPr>
          <w:rFonts w:ascii="Palatino Linotype" w:hAnsi="Palatino Linotype"/>
          <w:b/>
          <w:color w:val="000000"/>
          <w:sz w:val="24"/>
          <w:szCs w:val="24"/>
        </w:rPr>
      </w:pPr>
    </w:p>
    <w:p w:rsidR="00E47289" w:rsidRPr="00890BD0" w:rsidRDefault="00E47289" w:rsidP="00353496">
      <w:pPr>
        <w:numPr>
          <w:ilvl w:val="0"/>
          <w:numId w:val="15"/>
        </w:numPr>
        <w:pBdr>
          <w:top w:val="nil"/>
          <w:left w:val="nil"/>
          <w:bottom w:val="nil"/>
          <w:right w:val="nil"/>
          <w:between w:val="nil"/>
        </w:pBdr>
        <w:spacing w:line="360" w:lineRule="auto"/>
        <w:jc w:val="both"/>
        <w:rPr>
          <w:rFonts w:ascii="Palatino Linotype" w:hAnsi="Palatino Linotype"/>
          <w:b/>
          <w:color w:val="000000"/>
          <w:sz w:val="24"/>
          <w:szCs w:val="24"/>
        </w:rPr>
      </w:pPr>
      <w:r w:rsidRPr="00890BD0">
        <w:rPr>
          <w:rFonts w:ascii="Palatino Linotype" w:hAnsi="Palatino Linotype"/>
          <w:b/>
          <w:color w:val="000000"/>
          <w:sz w:val="24"/>
          <w:szCs w:val="24"/>
        </w:rPr>
        <w:t>Registro Federal de Contribuyentes de contratista</w:t>
      </w:r>
    </w:p>
    <w:p w:rsidR="00E47289" w:rsidRPr="00890BD0" w:rsidRDefault="00E47289" w:rsidP="00353496">
      <w:pPr>
        <w:spacing w:line="360" w:lineRule="auto"/>
        <w:jc w:val="both"/>
        <w:rPr>
          <w:rFonts w:ascii="Palatino Linotype" w:hAnsi="Palatino Linotype"/>
          <w:b/>
          <w:color w:val="000000"/>
          <w:sz w:val="24"/>
          <w:szCs w:val="24"/>
        </w:rPr>
      </w:pPr>
      <w:r w:rsidRPr="00890BD0">
        <w:rPr>
          <w:rFonts w:ascii="Palatino Linotype" w:hAnsi="Palatino Linotype"/>
          <w:b/>
          <w:color w:val="000000"/>
          <w:sz w:val="24"/>
          <w:szCs w:val="24"/>
        </w:rPr>
        <w:t>Persona física</w:t>
      </w:r>
    </w:p>
    <w:p w:rsidR="00E47289" w:rsidRPr="00890BD0" w:rsidRDefault="00E47289" w:rsidP="003B7DA6">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rsidR="00E47289" w:rsidRPr="00890BD0" w:rsidRDefault="00E47289" w:rsidP="00353496">
      <w:pPr>
        <w:spacing w:line="360" w:lineRule="auto"/>
        <w:jc w:val="both"/>
        <w:rPr>
          <w:rFonts w:ascii="Palatino Linotype" w:hAnsi="Palatino Linotype"/>
          <w:color w:val="000000"/>
          <w:sz w:val="24"/>
          <w:szCs w:val="24"/>
        </w:rPr>
      </w:pPr>
    </w:p>
    <w:p w:rsidR="00E47289" w:rsidRPr="00890BD0" w:rsidRDefault="00E47289" w:rsidP="003B7DA6">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rsidR="00E47289" w:rsidRPr="00890BD0" w:rsidRDefault="00E47289" w:rsidP="00353496">
      <w:pPr>
        <w:spacing w:line="360" w:lineRule="auto"/>
        <w:jc w:val="both"/>
        <w:rPr>
          <w:rFonts w:ascii="Palatino Linotype" w:hAnsi="Palatino Linotype"/>
          <w:color w:val="000000"/>
          <w:sz w:val="24"/>
          <w:szCs w:val="24"/>
        </w:rPr>
      </w:pPr>
    </w:p>
    <w:p w:rsidR="00E47289" w:rsidRPr="00890BD0" w:rsidRDefault="00E47289" w:rsidP="003B7DA6">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 xml:space="preserve">En ese contexto, entregar el Registro Federal de Contribuyentes aún de personas físicas cuando son contratistas de instituciones públicas, propiciaría la rendición de cuentas, al </w:t>
      </w:r>
      <w:r w:rsidRPr="00890BD0">
        <w:rPr>
          <w:rFonts w:ascii="Palatino Linotype" w:hAnsi="Palatino Linotype"/>
          <w:color w:val="000000"/>
          <w:sz w:val="24"/>
        </w:rPr>
        <w:lastRenderedPageBreak/>
        <w:t>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E47289" w:rsidRPr="00890BD0" w:rsidRDefault="00E47289" w:rsidP="00353496">
      <w:pPr>
        <w:spacing w:line="360" w:lineRule="auto"/>
        <w:jc w:val="both"/>
        <w:rPr>
          <w:rFonts w:ascii="Palatino Linotype" w:hAnsi="Palatino Linotype"/>
          <w:color w:val="000000"/>
          <w:sz w:val="24"/>
          <w:szCs w:val="24"/>
        </w:rPr>
      </w:pPr>
    </w:p>
    <w:p w:rsidR="00E47289" w:rsidRPr="00890BD0" w:rsidRDefault="00E47289" w:rsidP="003B7DA6">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rsidR="00E47289" w:rsidRPr="00890BD0" w:rsidRDefault="00E47289" w:rsidP="00353496">
      <w:pPr>
        <w:tabs>
          <w:tab w:val="center" w:pos="4522"/>
        </w:tabs>
        <w:spacing w:line="360" w:lineRule="auto"/>
        <w:ind w:left="567" w:right="567"/>
        <w:jc w:val="both"/>
        <w:rPr>
          <w:rFonts w:ascii="Palatino Linotype" w:hAnsi="Palatino Linotype"/>
          <w:i/>
          <w:color w:val="000000"/>
          <w:sz w:val="24"/>
          <w:szCs w:val="24"/>
        </w:rPr>
      </w:pPr>
      <w:r w:rsidRPr="00890BD0">
        <w:rPr>
          <w:rFonts w:ascii="Palatino Linotype" w:hAnsi="Palatino Linotype"/>
          <w:b/>
          <w:i/>
          <w:color w:val="000000"/>
          <w:sz w:val="24"/>
          <w:szCs w:val="24"/>
        </w:rPr>
        <w:t xml:space="preserve">“Registro Federal de Contribuyentes (RFC) de personas físicas contratistas o contratistas. </w:t>
      </w:r>
      <w:r w:rsidRPr="00890BD0">
        <w:rPr>
          <w:rFonts w:ascii="Palatino Linotype" w:hAnsi="Palatino Linotype"/>
          <w:i/>
          <w:color w:val="000000"/>
          <w:sz w:val="24"/>
          <w:szCs w:val="24"/>
        </w:rPr>
        <w:t>El RFC de contratistas o contratistas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b/>
          <w:color w:val="000000"/>
          <w:sz w:val="24"/>
          <w:u w:val="single"/>
        </w:rPr>
      </w:pPr>
      <w:r w:rsidRPr="00890BD0">
        <w:rPr>
          <w:rFonts w:ascii="Palatino Linotype" w:hAnsi="Palatino Linotype"/>
          <w:color w:val="000000"/>
          <w:sz w:val="24"/>
        </w:rPr>
        <w:t>En conclusión, toda vez, que el Registro Federal de Contribuyentes de contratistas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rsidR="00E47289" w:rsidRDefault="00E47289" w:rsidP="00353496">
      <w:pPr>
        <w:tabs>
          <w:tab w:val="center" w:pos="4522"/>
        </w:tabs>
        <w:spacing w:line="360" w:lineRule="auto"/>
        <w:jc w:val="both"/>
        <w:rPr>
          <w:rFonts w:ascii="Palatino Linotype" w:hAnsi="Palatino Linotype"/>
          <w:b/>
          <w:color w:val="000000"/>
          <w:sz w:val="24"/>
          <w:szCs w:val="24"/>
        </w:rPr>
      </w:pPr>
    </w:p>
    <w:p w:rsidR="00890BD0" w:rsidRDefault="00890BD0" w:rsidP="00353496">
      <w:pPr>
        <w:tabs>
          <w:tab w:val="center" w:pos="4522"/>
        </w:tabs>
        <w:spacing w:line="360" w:lineRule="auto"/>
        <w:jc w:val="both"/>
        <w:rPr>
          <w:rFonts w:ascii="Palatino Linotype" w:hAnsi="Palatino Linotype"/>
          <w:b/>
          <w:color w:val="000000"/>
          <w:sz w:val="24"/>
          <w:szCs w:val="24"/>
        </w:rPr>
      </w:pPr>
    </w:p>
    <w:p w:rsidR="00890BD0" w:rsidRPr="00890BD0" w:rsidRDefault="00890BD0" w:rsidP="00353496">
      <w:pPr>
        <w:tabs>
          <w:tab w:val="center" w:pos="4522"/>
        </w:tabs>
        <w:spacing w:line="360" w:lineRule="auto"/>
        <w:jc w:val="both"/>
        <w:rPr>
          <w:rFonts w:ascii="Palatino Linotype" w:hAnsi="Palatino Linotype"/>
          <w:b/>
          <w:color w:val="000000"/>
          <w:sz w:val="24"/>
          <w:szCs w:val="24"/>
        </w:rPr>
      </w:pPr>
    </w:p>
    <w:p w:rsidR="00E47289" w:rsidRPr="00890BD0" w:rsidRDefault="00E47289" w:rsidP="00353496">
      <w:pPr>
        <w:tabs>
          <w:tab w:val="center" w:pos="4522"/>
        </w:tabs>
        <w:spacing w:line="360" w:lineRule="auto"/>
        <w:jc w:val="both"/>
        <w:rPr>
          <w:rFonts w:ascii="Palatino Linotype" w:hAnsi="Palatino Linotype"/>
          <w:b/>
          <w:color w:val="000000"/>
          <w:sz w:val="24"/>
          <w:szCs w:val="24"/>
        </w:rPr>
      </w:pPr>
      <w:r w:rsidRPr="00890BD0">
        <w:rPr>
          <w:rFonts w:ascii="Palatino Linotype" w:hAnsi="Palatino Linotype"/>
          <w:b/>
          <w:color w:val="000000"/>
          <w:sz w:val="24"/>
          <w:szCs w:val="24"/>
        </w:rPr>
        <w:lastRenderedPageBreak/>
        <w:t>Persona Moral</w:t>
      </w: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Por ende, la información correspondiente al Registro Federal de Contribuyentes de una persona moral da cuenta del cumplimiento o no en sus obligaciones fiscales; por tanto, no se actualiza su clasificación como confidencial.</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lastRenderedPageBreak/>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rsidR="00E47289" w:rsidRPr="00890BD0" w:rsidRDefault="00E47289" w:rsidP="00353496">
      <w:pPr>
        <w:spacing w:line="360" w:lineRule="auto"/>
        <w:jc w:val="both"/>
        <w:rPr>
          <w:rFonts w:ascii="Palatino Linotype" w:hAnsi="Palatino Linotype"/>
          <w:b/>
          <w:color w:val="000000"/>
          <w:sz w:val="24"/>
          <w:szCs w:val="24"/>
        </w:rPr>
      </w:pPr>
    </w:p>
    <w:p w:rsidR="00E47289" w:rsidRPr="00890BD0" w:rsidRDefault="00E47289" w:rsidP="00353496">
      <w:pPr>
        <w:numPr>
          <w:ilvl w:val="0"/>
          <w:numId w:val="15"/>
        </w:numPr>
        <w:pBdr>
          <w:top w:val="nil"/>
          <w:left w:val="nil"/>
          <w:bottom w:val="nil"/>
          <w:right w:val="nil"/>
          <w:between w:val="nil"/>
        </w:pBdr>
        <w:spacing w:line="360" w:lineRule="auto"/>
        <w:jc w:val="both"/>
        <w:rPr>
          <w:rFonts w:ascii="Palatino Linotype" w:hAnsi="Palatino Linotype"/>
          <w:b/>
          <w:color w:val="000000"/>
          <w:sz w:val="24"/>
          <w:szCs w:val="24"/>
        </w:rPr>
      </w:pPr>
      <w:r w:rsidRPr="00890BD0">
        <w:rPr>
          <w:rFonts w:ascii="Palatino Linotype" w:hAnsi="Palatino Linotype"/>
          <w:b/>
          <w:color w:val="000000"/>
          <w:sz w:val="24"/>
          <w:szCs w:val="24"/>
        </w:rPr>
        <w:t>Domicilio Fiscal o legal para recibir y oír notificaciones (contratista persona física o moral).</w:t>
      </w: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De la misma manera, lo establece los diversos 29 y 33 del Código Civil Federal, al precisar que el domicilio de personas físicas</w:t>
      </w:r>
      <w:r w:rsidRPr="00890BD0">
        <w:rPr>
          <w:rFonts w:ascii="Palatino Linotype" w:hAnsi="Palatino Linotype"/>
          <w:b/>
          <w:color w:val="000000"/>
          <w:sz w:val="24"/>
        </w:rPr>
        <w:t xml:space="preserve">, es el lugar donde residen habitualmente, el lugar del centro principal de sus negocios, donde residan o el lugar donde se encuentren; </w:t>
      </w:r>
      <w:r w:rsidRPr="00890BD0">
        <w:rPr>
          <w:rFonts w:ascii="Palatino Linotype" w:hAnsi="Palatino Linotype"/>
          <w:color w:val="000000"/>
          <w:sz w:val="24"/>
        </w:rPr>
        <w:t>mientras que, de las personas morales, aquel donde se halle su administración.</w:t>
      </w:r>
    </w:p>
    <w:p w:rsidR="00E47289" w:rsidRPr="00890BD0" w:rsidRDefault="00E47289" w:rsidP="00353496">
      <w:pPr>
        <w:tabs>
          <w:tab w:val="center" w:pos="4522"/>
        </w:tabs>
        <w:spacing w:line="360" w:lineRule="auto"/>
        <w:jc w:val="both"/>
        <w:rPr>
          <w:rFonts w:ascii="Palatino Linotype" w:hAnsi="Palatino Linotype"/>
          <w:b/>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Además, respecto al domicilio fiscal, resulta necesario traer el artículo 10 del Código Fiscal de la Federación, que establece que, tratándose de personas físicas, corresponderá dicho dato:</w:t>
      </w:r>
    </w:p>
    <w:p w:rsidR="00E47289" w:rsidRPr="00890BD0" w:rsidRDefault="00E47289" w:rsidP="00353496">
      <w:pPr>
        <w:numPr>
          <w:ilvl w:val="0"/>
          <w:numId w:val="16"/>
        </w:numPr>
        <w:pBdr>
          <w:top w:val="nil"/>
          <w:left w:val="nil"/>
          <w:bottom w:val="nil"/>
          <w:right w:val="nil"/>
          <w:between w:val="nil"/>
        </w:pBdr>
        <w:tabs>
          <w:tab w:val="center" w:pos="4522"/>
        </w:tabs>
        <w:spacing w:line="360" w:lineRule="auto"/>
        <w:jc w:val="both"/>
        <w:rPr>
          <w:rFonts w:ascii="Palatino Linotype" w:hAnsi="Palatino Linotype"/>
          <w:color w:val="000000"/>
          <w:sz w:val="24"/>
          <w:szCs w:val="24"/>
        </w:rPr>
      </w:pPr>
      <w:r w:rsidRPr="00890BD0">
        <w:rPr>
          <w:rFonts w:ascii="Palatino Linotype" w:hAnsi="Palatino Linotype"/>
          <w:color w:val="000000"/>
          <w:sz w:val="24"/>
          <w:szCs w:val="24"/>
        </w:rPr>
        <w:t>El lugar donde realizan actividades empresariales, el local, en que se encuentre el principal asiente de sus negocios, y</w:t>
      </w:r>
    </w:p>
    <w:p w:rsidR="00E47289" w:rsidRPr="00890BD0" w:rsidRDefault="00E47289" w:rsidP="00353496">
      <w:pPr>
        <w:numPr>
          <w:ilvl w:val="0"/>
          <w:numId w:val="16"/>
        </w:numPr>
        <w:pBdr>
          <w:top w:val="nil"/>
          <w:left w:val="nil"/>
          <w:bottom w:val="nil"/>
          <w:right w:val="nil"/>
          <w:between w:val="nil"/>
        </w:pBdr>
        <w:tabs>
          <w:tab w:val="center" w:pos="4522"/>
        </w:tabs>
        <w:spacing w:line="360" w:lineRule="auto"/>
        <w:jc w:val="both"/>
        <w:rPr>
          <w:rFonts w:ascii="Palatino Linotype" w:hAnsi="Palatino Linotype"/>
          <w:color w:val="000000"/>
          <w:sz w:val="24"/>
          <w:szCs w:val="24"/>
        </w:rPr>
      </w:pPr>
      <w:r w:rsidRPr="00890BD0">
        <w:rPr>
          <w:rFonts w:ascii="Palatino Linotype" w:hAnsi="Palatino Linotype"/>
          <w:color w:val="000000"/>
          <w:sz w:val="24"/>
          <w:szCs w:val="24"/>
        </w:rPr>
        <w:lastRenderedPageBreak/>
        <w:t>La casa habitación, cuando no cuenta con un local o lugar donde realice las acciones previamente señaladas.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Mientras que, en el caso de personas morales, el domicilio fiscal, corresponderá al local donde se encuentra la administración principal del negocio. Como se logra observar, el domicilio fiscal de los contratistas personas físicas, se encuentra en dos supuestos, por lo que, se procede a su análisis.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Como se logra observar, es obligación de transparencia proporcionar el domicilio fiscal de los contratistas, por lo que, se considera que, en el caso, de que dicho dato, corresponda a un local o lugar donde realice sus actividades empresariales, se debe entregar.</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lastRenderedPageBreak/>
        <w:t>De tal suerte que, tratándose de contratistas (personas físicas o jurídico-colectivas), el domicilio fiscal, no actualiza la causal de clasificación, establecida en el artículo 143, fracción I de la Ley de Transparencia y Acceso a la Información Pública del Estado de México y Municipios.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353496">
      <w:pPr>
        <w:numPr>
          <w:ilvl w:val="0"/>
          <w:numId w:val="14"/>
        </w:numPr>
        <w:pBdr>
          <w:top w:val="nil"/>
          <w:left w:val="nil"/>
          <w:bottom w:val="nil"/>
          <w:right w:val="nil"/>
          <w:between w:val="nil"/>
        </w:pBdr>
        <w:tabs>
          <w:tab w:val="center" w:pos="4522"/>
        </w:tabs>
        <w:spacing w:line="360" w:lineRule="auto"/>
        <w:jc w:val="both"/>
        <w:rPr>
          <w:rFonts w:ascii="Palatino Linotype" w:hAnsi="Palatino Linotype"/>
          <w:b/>
          <w:color w:val="000000"/>
          <w:sz w:val="24"/>
          <w:szCs w:val="24"/>
        </w:rPr>
      </w:pPr>
      <w:r w:rsidRPr="00890BD0">
        <w:rPr>
          <w:rFonts w:ascii="Palatino Linotype" w:hAnsi="Palatino Linotype"/>
          <w:b/>
          <w:color w:val="000000"/>
          <w:sz w:val="24"/>
          <w:szCs w:val="24"/>
        </w:rPr>
        <w:t>Cuenta bancaria y CLABE interbancaria de contratista</w:t>
      </w: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bancarios corresponden a información que se encuentra relacionada con el patrimonio de la persona titular de la cuenta.</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r w:rsidRPr="00890BD0">
        <w:rPr>
          <w:rFonts w:ascii="Palatino Linotype" w:hAnsi="Palatino Linotype"/>
          <w:color w:val="000000"/>
          <w:sz w:val="24"/>
          <w:szCs w:val="24"/>
        </w:rPr>
        <w:t> </w:t>
      </w: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rsidR="00E47289" w:rsidRPr="00890BD0" w:rsidRDefault="00E47289" w:rsidP="00890BD0">
      <w:pPr>
        <w:tabs>
          <w:tab w:val="center" w:pos="4522"/>
        </w:tabs>
        <w:spacing w:line="360" w:lineRule="auto"/>
        <w:ind w:left="426" w:right="538"/>
        <w:jc w:val="both"/>
        <w:rPr>
          <w:rFonts w:ascii="Palatino Linotype" w:hAnsi="Palatino Linotype"/>
          <w:i/>
          <w:color w:val="000000"/>
          <w:sz w:val="24"/>
          <w:szCs w:val="24"/>
        </w:rPr>
      </w:pPr>
      <w:r w:rsidRPr="00890BD0">
        <w:rPr>
          <w:rFonts w:ascii="Palatino Linotype" w:hAnsi="Palatino Linotype"/>
          <w:color w:val="000000"/>
          <w:sz w:val="24"/>
          <w:szCs w:val="24"/>
        </w:rPr>
        <w:t> </w:t>
      </w:r>
      <w:r w:rsidRPr="00890BD0">
        <w:rPr>
          <w:rFonts w:ascii="Palatino Linotype" w:hAnsi="Palatino Linotype"/>
          <w:i/>
          <w:color w:val="000000"/>
          <w:sz w:val="24"/>
          <w:szCs w:val="24"/>
        </w:rPr>
        <w:t>“</w:t>
      </w:r>
      <w:r w:rsidRPr="00890BD0">
        <w:rPr>
          <w:rFonts w:ascii="Palatino Linotype" w:hAnsi="Palatino Linotype"/>
          <w:b/>
          <w:i/>
          <w:color w:val="000000"/>
          <w:sz w:val="24"/>
          <w:szCs w:val="24"/>
        </w:rPr>
        <w:t>Cuentas bancarias y/o CLABE interbancaria de personas físicas y morales privadas.</w:t>
      </w:r>
      <w:r w:rsidRPr="00890BD0">
        <w:rPr>
          <w:rFonts w:ascii="Palatino Linotype" w:hAnsi="Palatino Linotype"/>
          <w:i/>
          <w:color w:val="000000"/>
          <w:sz w:val="24"/>
          <w:szCs w:val="24"/>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w:t>
      </w:r>
      <w:r w:rsidRPr="00890BD0">
        <w:rPr>
          <w:rFonts w:ascii="Palatino Linotype" w:hAnsi="Palatino Linotype"/>
          <w:i/>
          <w:color w:val="000000"/>
          <w:sz w:val="24"/>
          <w:szCs w:val="24"/>
        </w:rPr>
        <w:lastRenderedPageBreak/>
        <w:t>tanto, constituye información clasificada con fundamento en los artículos 116 de la Ley General de Transparencia y Acceso a la Información Pública y 113 de la Ley Federal de Transparencia y Acceso a la Información Pública.”</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r w:rsidRPr="00890BD0">
        <w:rPr>
          <w:rFonts w:ascii="Palatino Linotype" w:hAnsi="Palatino Linotype"/>
          <w:color w:val="000000"/>
          <w:sz w:val="24"/>
          <w:szCs w:val="24"/>
        </w:rPr>
        <w:t> </w:t>
      </w: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y procede su eliminación de conformidad con el artículo 143, fracción I, de la Ley de Transparencia y Acceso a la Información Pública del Estado de México y Municipios.  </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353496">
      <w:pPr>
        <w:numPr>
          <w:ilvl w:val="0"/>
          <w:numId w:val="14"/>
        </w:numPr>
        <w:pBdr>
          <w:top w:val="nil"/>
          <w:left w:val="nil"/>
          <w:bottom w:val="nil"/>
          <w:right w:val="nil"/>
          <w:between w:val="nil"/>
        </w:pBdr>
        <w:tabs>
          <w:tab w:val="center" w:pos="4522"/>
        </w:tabs>
        <w:spacing w:line="360" w:lineRule="auto"/>
        <w:jc w:val="both"/>
        <w:rPr>
          <w:rFonts w:ascii="Palatino Linotype" w:hAnsi="Palatino Linotype"/>
          <w:b/>
          <w:color w:val="000000"/>
          <w:sz w:val="24"/>
          <w:szCs w:val="24"/>
        </w:rPr>
      </w:pPr>
      <w:r w:rsidRPr="00890BD0">
        <w:rPr>
          <w:rFonts w:ascii="Palatino Linotype" w:hAnsi="Palatino Linotype"/>
          <w:b/>
          <w:color w:val="000000"/>
          <w:sz w:val="24"/>
          <w:szCs w:val="24"/>
        </w:rPr>
        <w:t>Nombre de institución bancaria</w:t>
      </w: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 xml:space="preserve">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w:t>
      </w:r>
      <w:r w:rsidRPr="00890BD0">
        <w:rPr>
          <w:rFonts w:ascii="Palatino Linotype" w:hAnsi="Palatino Linotype"/>
          <w:color w:val="000000"/>
          <w:sz w:val="24"/>
        </w:rPr>
        <w:lastRenderedPageBreak/>
        <w:t>las Comisiones Nacionales para constituirse y funcionar como tales y ofrecer un producto o servicio financiero a los usuarios. </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 xml:space="preserve">En ese orden de ideas, en el portal de la Comisión Nacional para la Protección y Defensa de los Usuarios de Servicios Financieros (consultadas el dieciocho de enero de dos mil veintitrés), en </w:t>
      </w:r>
      <w:hyperlink r:id="rId8">
        <w:r w:rsidRPr="00890BD0">
          <w:rPr>
            <w:rFonts w:ascii="Palatino Linotype" w:hAnsi="Palatino Linotype"/>
            <w:color w:val="0000FF"/>
            <w:sz w:val="24"/>
            <w:u w:val="single"/>
          </w:rPr>
          <w:t>https://www.condusef.gob.mx/Revista/index.php/usuario-inteligente/condusef-responde/777-la-condusef-te-puede-ayudar</w:t>
        </w:r>
      </w:hyperlink>
      <w:r w:rsidRPr="00890BD0">
        <w:rPr>
          <w:rFonts w:ascii="Palatino Linotype" w:hAnsi="Palatino Linotype"/>
          <w:color w:val="000000"/>
          <w:sz w:val="24"/>
        </w:rPr>
        <w:t>), se establece que los bancos son instituciones financieras; conforme a lo anterior, se puede advertir que las instituciones bancarias, son personas morales.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En ese orden de ideas,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entonces Instituto Nacional de Transparencia, Acceso a la Información y Protección de Datos Personales, previamente referido.</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 xml:space="preserve">Lo anterior, se robustece con el hecho de que existe el Sistema de Registro de Prestadores de Servicios Financieros (consultadas el dieciocho de enero de dos mil veintitrés), a las trece horas, en la liga </w:t>
      </w:r>
      <w:hyperlink r:id="rId9">
        <w:r w:rsidRPr="00890BD0">
          <w:rPr>
            <w:rFonts w:ascii="Palatino Linotype" w:hAnsi="Palatino Linotype"/>
            <w:color w:val="0000FF"/>
            <w:sz w:val="24"/>
            <w:u w:val="single"/>
          </w:rPr>
          <w:t>https://webapps.condusef.gob.mx/SIPRES/jsp/pub/index.jsp</w:t>
        </w:r>
      </w:hyperlink>
      <w:r w:rsidRPr="00890BD0">
        <w:rPr>
          <w:rFonts w:ascii="Palatino Linotype" w:hAnsi="Palatino Linotype"/>
          <w:color w:val="000000"/>
          <w:sz w:val="24"/>
        </w:rPr>
        <w:t xml:space="preserve">), que es un registro de </w:t>
      </w:r>
      <w:r w:rsidRPr="00890BD0">
        <w:rPr>
          <w:rFonts w:ascii="Palatino Linotype" w:hAnsi="Palatino Linotype"/>
          <w:b/>
          <w:color w:val="000000"/>
          <w:sz w:val="24"/>
        </w:rPr>
        <w:t xml:space="preserve">carácter público, </w:t>
      </w:r>
      <w:r w:rsidRPr="00890BD0">
        <w:rPr>
          <w:rFonts w:ascii="Palatino Linotype" w:hAnsi="Palatino Linotype"/>
          <w:color w:val="000000"/>
          <w:sz w:val="24"/>
        </w:rPr>
        <w:t>cuyo objetivo principal, consiste en proporcionar información corporativa y general de las instituciones financieras</w:t>
      </w:r>
      <w:r w:rsidRPr="00890BD0">
        <w:rPr>
          <w:rFonts w:ascii="Palatino Linotype" w:hAnsi="Palatino Linotype"/>
          <w:b/>
          <w:color w:val="000000"/>
          <w:sz w:val="24"/>
        </w:rPr>
        <w:t xml:space="preserve">; además, que permite conocer al público general, información de dichos entes, </w:t>
      </w:r>
      <w:r w:rsidRPr="00890BD0">
        <w:rPr>
          <w:rFonts w:ascii="Palatino Linotype" w:hAnsi="Palatino Linotype"/>
          <w:color w:val="000000"/>
          <w:sz w:val="24"/>
        </w:rPr>
        <w:t xml:space="preserve">se muestra un ejemplo a continuación: </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353496">
      <w:pPr>
        <w:tabs>
          <w:tab w:val="center" w:pos="4522"/>
        </w:tabs>
        <w:spacing w:line="360" w:lineRule="auto"/>
        <w:jc w:val="center"/>
        <w:rPr>
          <w:rFonts w:ascii="Palatino Linotype" w:hAnsi="Palatino Linotype"/>
          <w:color w:val="000000"/>
          <w:sz w:val="24"/>
          <w:szCs w:val="24"/>
        </w:rPr>
      </w:pPr>
      <w:r w:rsidRPr="00890BD0">
        <w:rPr>
          <w:rFonts w:ascii="Palatino Linotype" w:hAnsi="Palatino Linotype"/>
          <w:noProof/>
          <w:color w:val="000000"/>
          <w:sz w:val="24"/>
          <w:szCs w:val="24"/>
          <w:lang w:eastAsia="es-MX"/>
        </w:rPr>
        <w:lastRenderedPageBreak/>
        <w:drawing>
          <wp:inline distT="0" distB="0" distL="0" distR="0" wp14:anchorId="630C5CEC" wp14:editId="6C55A7B1">
            <wp:extent cx="4777740" cy="2476500"/>
            <wp:effectExtent l="0" t="0" r="0" b="0"/>
            <wp:docPr id="1432513720" name="image1.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Escala de tiempo&#10;&#10;Descripción generada automáticamente"/>
                    <pic:cNvPicPr preferRelativeResize="0"/>
                  </pic:nvPicPr>
                  <pic:blipFill>
                    <a:blip r:embed="rId10"/>
                    <a:srcRect t="2" b="379"/>
                    <a:stretch>
                      <a:fillRect/>
                    </a:stretch>
                  </pic:blipFill>
                  <pic:spPr>
                    <a:xfrm>
                      <a:off x="0" y="0"/>
                      <a:ext cx="4777740" cy="2476500"/>
                    </a:xfrm>
                    <a:prstGeom prst="rect">
                      <a:avLst/>
                    </a:prstGeom>
                    <a:ln/>
                  </pic:spPr>
                </pic:pic>
              </a:graphicData>
            </a:graphic>
          </wp:inline>
        </w:drawing>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Conforme a lo anterior, se logra vislumbrar que el nombre de las instituciones bancarias en primera instancia es de naturaleza pública; sin embargo, en el presente caso, se relacionada con el hecho de que corresponde al banco en el cual un proveedor o contratista decidió recibir el pago de sus servicios; es decir, daría cuenta de la decisión voluntaria de recibir el pago de sus servicios en una determinada institución; lo cual se relaciona con la cuenta y clave interbancaria, mismos que son confidenciales.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Además, revelaría el lugar en donde el proveedor recibió los recursos por prestar sus servicios, lo cual únicamente está relacionado a su vida íntima o privada de la persona moral; por lo que, este Instituto considera que el nombre de la institución bancaria, actualiza la causal de clasificación prevista en el artículo 143, fracción I, de la Ley de Transparencia y Acceso a la Información Pública del Estado de México y Municipios.</w:t>
      </w:r>
    </w:p>
    <w:p w:rsidR="00E47289" w:rsidRPr="00890BD0" w:rsidRDefault="00E47289" w:rsidP="00353496">
      <w:pPr>
        <w:tabs>
          <w:tab w:val="center" w:pos="4522"/>
        </w:tabs>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lastRenderedPageBreak/>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rsidR="00E47289" w:rsidRPr="00890BD0" w:rsidRDefault="00E47289" w:rsidP="00353496">
      <w:pPr>
        <w:spacing w:line="360" w:lineRule="auto"/>
        <w:jc w:val="both"/>
        <w:rPr>
          <w:rFonts w:ascii="Palatino Linotype" w:hAnsi="Palatino Linotype"/>
          <w:color w:val="000000"/>
          <w:sz w:val="24"/>
          <w:szCs w:val="24"/>
        </w:rPr>
      </w:pPr>
    </w:p>
    <w:p w:rsidR="00E47289" w:rsidRPr="00890BD0" w:rsidRDefault="00E47289" w:rsidP="00890BD0">
      <w:pPr>
        <w:pStyle w:val="Prrafodelista"/>
        <w:numPr>
          <w:ilvl w:val="0"/>
          <w:numId w:val="2"/>
        </w:numPr>
        <w:spacing w:line="360" w:lineRule="auto"/>
        <w:ind w:left="0" w:firstLine="0"/>
        <w:jc w:val="both"/>
        <w:rPr>
          <w:rFonts w:ascii="Palatino Linotype" w:hAnsi="Palatino Linotype"/>
          <w:color w:val="000000"/>
          <w:sz w:val="24"/>
        </w:rPr>
      </w:pPr>
      <w:r w:rsidRPr="00890BD0">
        <w:rPr>
          <w:rFonts w:ascii="Palatino Linotype" w:hAnsi="Palatino Linotype"/>
          <w:color w:val="000000"/>
          <w:sz w:val="24"/>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AF5774" w:rsidRPr="00890BD0" w:rsidRDefault="00AF5774" w:rsidP="00AF5774">
      <w:pPr>
        <w:spacing w:line="360" w:lineRule="auto"/>
        <w:ind w:right="49"/>
        <w:jc w:val="both"/>
        <w:rPr>
          <w:rFonts w:ascii="Palatino Linotype" w:hAnsi="Palatino Linotype" w:cs="Arial"/>
          <w:sz w:val="24"/>
          <w:szCs w:val="24"/>
        </w:rPr>
      </w:pPr>
    </w:p>
    <w:p w:rsidR="00AF5774" w:rsidRPr="00890BD0" w:rsidRDefault="00AF5774" w:rsidP="00AF577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rPr>
      </w:pPr>
      <w:r w:rsidRPr="00890BD0">
        <w:rPr>
          <w:rFonts w:ascii="Palatino Linotype" w:eastAsia="Palatino Linotype" w:hAnsi="Palatino Linotype" w:cs="Palatino Linotype"/>
          <w:b/>
          <w:color w:val="000000" w:themeColor="text1"/>
          <w:sz w:val="24"/>
          <w:szCs w:val="24"/>
        </w:rPr>
        <w:t>QUINTO. De la versión pública.</w:t>
      </w:r>
    </w:p>
    <w:p w:rsidR="00AF5774" w:rsidRPr="00890BD0" w:rsidRDefault="00AF5774" w:rsidP="00AF5774">
      <w:pPr>
        <w:numPr>
          <w:ilvl w:val="0"/>
          <w:numId w:val="6"/>
        </w:numPr>
        <w:pBdr>
          <w:top w:val="nil"/>
          <w:left w:val="nil"/>
          <w:bottom w:val="nil"/>
          <w:right w:val="nil"/>
          <w:between w:val="nil"/>
        </w:pBdr>
        <w:tabs>
          <w:tab w:val="left" w:pos="851"/>
        </w:tabs>
        <w:spacing w:after="160" w:line="360" w:lineRule="auto"/>
        <w:ind w:right="333"/>
        <w:jc w:val="both"/>
        <w:rPr>
          <w:rFonts w:ascii="Palatino Linotype" w:eastAsia="Palatino Linotype" w:hAnsi="Palatino Linotype" w:cs="Palatino Linotype"/>
          <w:color w:val="000000" w:themeColor="text1"/>
          <w:sz w:val="24"/>
          <w:szCs w:val="24"/>
        </w:rPr>
      </w:pPr>
      <w:r w:rsidRPr="00890BD0">
        <w:rPr>
          <w:rFonts w:ascii="Palatino Linotype" w:eastAsia="Palatino Linotype" w:hAnsi="Palatino Linotype" w:cs="Palatino Linotype"/>
          <w:b/>
          <w:color w:val="000000" w:themeColor="text1"/>
          <w:sz w:val="24"/>
          <w:szCs w:val="24"/>
        </w:rPr>
        <w:t xml:space="preserve">Nociones generales. </w:t>
      </w:r>
    </w:p>
    <w:p w:rsidR="00AF5774" w:rsidRPr="00890BD0" w:rsidRDefault="00AF5774" w:rsidP="00AF5774">
      <w:pPr>
        <w:numPr>
          <w:ilvl w:val="0"/>
          <w:numId w:val="2"/>
        </w:numPr>
        <w:spacing w:line="360" w:lineRule="auto"/>
        <w:ind w:left="0" w:right="113" w:firstLine="0"/>
        <w:jc w:val="both"/>
        <w:rPr>
          <w:rFonts w:ascii="Palatino Linotype" w:eastAsia="Palatino Linotype" w:hAnsi="Palatino Linotype" w:cs="Palatino Linotype"/>
          <w:color w:val="000000" w:themeColor="text1"/>
          <w:sz w:val="24"/>
          <w:szCs w:val="24"/>
        </w:rPr>
      </w:pPr>
      <w:r w:rsidRPr="00890BD0">
        <w:rPr>
          <w:rFonts w:ascii="Palatino Linotype" w:eastAsia="Palatino Linotype" w:hAnsi="Palatino Linotype" w:cs="Palatino Linotype"/>
          <w:color w:val="000000" w:themeColor="text1"/>
          <w:sz w:val="24"/>
          <w:szCs w:val="24"/>
        </w:rPr>
        <w:t>Debe destacarse que, debido a la naturaleza de la información solicitada</w:t>
      </w:r>
      <w:r w:rsidRPr="00890BD0">
        <w:rPr>
          <w:rFonts w:ascii="Palatino Linotype" w:eastAsia="Palatino Linotype" w:hAnsi="Palatino Linotype" w:cs="Palatino Linotype"/>
          <w:b/>
          <w:color w:val="000000" w:themeColor="text1"/>
          <w:sz w:val="24"/>
          <w:szCs w:val="24"/>
        </w:rPr>
        <w:t xml:space="preserve">, </w:t>
      </w:r>
      <w:r w:rsidRPr="00890BD0">
        <w:rPr>
          <w:rFonts w:ascii="Palatino Linotype" w:eastAsia="Palatino Linotype" w:hAnsi="Palatino Linotype" w:cs="Palatino Linotype"/>
          <w:color w:val="000000" w:themeColor="text1"/>
          <w:sz w:val="24"/>
          <w:szCs w:val="24"/>
        </w:rPr>
        <w:t xml:space="preserve">eventualmente pudiera obrar datos personales susceptibles de protegerse, el </w:t>
      </w:r>
      <w:r w:rsidRPr="00890BD0">
        <w:rPr>
          <w:rFonts w:ascii="Palatino Linotype" w:eastAsia="Palatino Linotype" w:hAnsi="Palatino Linotype" w:cs="Palatino Linotype"/>
          <w:b/>
          <w:color w:val="000000" w:themeColor="text1"/>
          <w:sz w:val="24"/>
          <w:szCs w:val="24"/>
        </w:rPr>
        <w:t xml:space="preserve">SUJETO OBLIGADO </w:t>
      </w:r>
      <w:r w:rsidRPr="00890BD0">
        <w:rPr>
          <w:rFonts w:ascii="Palatino Linotype" w:eastAsia="Palatino Linotype" w:hAnsi="Palatino Linotype" w:cs="Palatino Linotype"/>
          <w:color w:val="000000" w:themeColor="text1"/>
          <w:sz w:val="24"/>
          <w:szCs w:val="24"/>
        </w:rPr>
        <w:t xml:space="preserve">deberá de hacer la adecuada versión pública, protegiendo los datos que no son susceptibles de ser proporcionados. </w:t>
      </w:r>
    </w:p>
    <w:p w:rsidR="00AF5774" w:rsidRPr="00890BD0" w:rsidRDefault="00AF5774" w:rsidP="00AF5774">
      <w:pPr>
        <w:pStyle w:val="Prrafodelista"/>
        <w:spacing w:line="360" w:lineRule="auto"/>
        <w:ind w:left="0" w:right="113"/>
        <w:jc w:val="both"/>
        <w:rPr>
          <w:rFonts w:ascii="Palatino Linotype" w:eastAsia="Palatino Linotype" w:hAnsi="Palatino Linotype" w:cs="Palatino Linotype"/>
          <w:color w:val="000000" w:themeColor="text1"/>
          <w:sz w:val="24"/>
        </w:rPr>
      </w:pPr>
    </w:p>
    <w:p w:rsidR="00AF5774" w:rsidRPr="00890BD0" w:rsidRDefault="00AF5774" w:rsidP="00AF5774">
      <w:pPr>
        <w:numPr>
          <w:ilvl w:val="0"/>
          <w:numId w:val="2"/>
        </w:numPr>
        <w:spacing w:line="360" w:lineRule="auto"/>
        <w:ind w:left="0" w:right="113" w:firstLine="0"/>
        <w:jc w:val="both"/>
        <w:rPr>
          <w:rFonts w:ascii="Palatino Linotype" w:eastAsia="Palatino Linotype" w:hAnsi="Palatino Linotype" w:cs="Palatino Linotype"/>
          <w:color w:val="000000" w:themeColor="text1"/>
          <w:sz w:val="24"/>
          <w:szCs w:val="24"/>
        </w:rPr>
      </w:pPr>
      <w:r w:rsidRPr="00890BD0">
        <w:rPr>
          <w:rFonts w:ascii="Palatino Linotype" w:eastAsia="Palatino Linotype" w:hAnsi="Palatino Linotype" w:cs="Palatino Linotype"/>
          <w:color w:val="000000" w:themeColor="text1"/>
          <w:sz w:val="24"/>
          <w:szCs w:val="24"/>
        </w:rPr>
        <w:t xml:space="preserve">No pasa desapercibido para este Órgano Garante que los Sujetos Obligados serán responsables de los datos personales en su posesión y que, en caso de localizarse datos concernientes a terceros, éstos no podrán difundir, distribuir o comercializar los datos </w:t>
      </w:r>
      <w:r w:rsidRPr="00890BD0">
        <w:rPr>
          <w:rFonts w:ascii="Palatino Linotype" w:eastAsia="Palatino Linotype" w:hAnsi="Palatino Linotype" w:cs="Palatino Linotype"/>
          <w:color w:val="000000" w:themeColor="text1"/>
          <w:sz w:val="24"/>
          <w:szCs w:val="24"/>
        </w:rPr>
        <w:lastRenderedPageBreak/>
        <w:t>personales.  Cabe destacar que, para la realización de la clasificación de la información, se deben seguir una serie de pasos y procedimientos, por lo que es menester reiterar los mismos:</w:t>
      </w:r>
    </w:p>
    <w:p w:rsidR="00AF5774" w:rsidRPr="00890BD0" w:rsidRDefault="00AF5774" w:rsidP="00AF577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p>
    <w:tbl>
      <w:tblPr>
        <w:tblW w:w="101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9"/>
        <w:gridCol w:w="7371"/>
      </w:tblGrid>
      <w:tr w:rsidR="00AF5774" w:rsidRPr="00890BD0" w:rsidTr="00890BD0">
        <w:tc>
          <w:tcPr>
            <w:tcW w:w="2809"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a) Requisitos previos.</w:t>
            </w:r>
          </w:p>
        </w:tc>
        <w:tc>
          <w:tcPr>
            <w:tcW w:w="7371"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Al hacerlo tienen que precisar de qué información se trata, señalando el supuesto de clasificación (confidencialidad o reserva).</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Además, se debe señalar el procedimiento, de los tres que establecen los artículos 132 y 106 de la Ley Estatal y General vigente al momento de interponer la solicitud de información, respectivamente.</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El último de estos requisitos previos consiste en que no se pueden emitir acuerdos de carácter general ni particular, esto es, </w:t>
            </w:r>
            <w:r w:rsidRPr="00890BD0">
              <w:rPr>
                <w:rFonts w:ascii="Palatino Linotype" w:eastAsia="Palatino Linotype" w:hAnsi="Palatino Linotype" w:cs="Palatino Linotype"/>
                <w:color w:val="000000" w:themeColor="text1"/>
                <w:sz w:val="24"/>
                <w:szCs w:val="24"/>
                <w:u w:val="single"/>
                <w:lang w:val="es-ES_tradnl"/>
              </w:rPr>
              <w:t>no se puede hacer un acuerdo para clasificar de manera general todos los documentos de un expediente o área, sin</w:t>
            </w:r>
            <w:r w:rsidRPr="00890BD0">
              <w:rPr>
                <w:rFonts w:ascii="Palatino Linotype" w:eastAsia="Palatino Linotype" w:hAnsi="Palatino Linotype" w:cs="Palatino Linotype"/>
                <w:color w:val="000000" w:themeColor="text1"/>
                <w:sz w:val="24"/>
                <w:szCs w:val="24"/>
                <w:lang w:val="es-ES_tradnl"/>
              </w:rPr>
              <w:t xml:space="preserve"> individualizar su análisis y tampoco se puede hacer un acuerdo por cada dato </w:t>
            </w:r>
            <w:r w:rsidRPr="00890BD0">
              <w:rPr>
                <w:rFonts w:ascii="Palatino Linotype" w:eastAsia="Palatino Linotype" w:hAnsi="Palatino Linotype" w:cs="Palatino Linotype"/>
                <w:color w:val="000000" w:themeColor="text1"/>
                <w:sz w:val="24"/>
                <w:szCs w:val="24"/>
                <w:lang w:val="es-ES_tradnl"/>
              </w:rPr>
              <w:lastRenderedPageBreak/>
              <w:t>que se vaya a clasificar dentro de un documento con diez datos, por ejemplo, susceptibles de ser clasificados.</w:t>
            </w:r>
          </w:p>
        </w:tc>
      </w:tr>
      <w:tr w:rsidR="00AF5774" w:rsidRPr="00890BD0" w:rsidTr="00890BD0">
        <w:tc>
          <w:tcPr>
            <w:tcW w:w="2809"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lastRenderedPageBreak/>
              <w:t>b) Supuestos de clasificación.</w:t>
            </w:r>
          </w:p>
        </w:tc>
        <w:tc>
          <w:tcPr>
            <w:tcW w:w="7371"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Las disposiciones constitucionales y legales en la materia establecen los dos supuestos generales para clasificar la información: por reserva y por confidencialidad.</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El </w:t>
            </w:r>
            <w:r w:rsidRPr="00890BD0">
              <w:rPr>
                <w:rFonts w:ascii="Palatino Linotype" w:eastAsia="Palatino Linotype" w:hAnsi="Palatino Linotype" w:cs="Palatino Linotype"/>
                <w:b/>
                <w:color w:val="000000" w:themeColor="text1"/>
                <w:sz w:val="24"/>
                <w:szCs w:val="24"/>
                <w:lang w:val="es-ES_tradnl"/>
              </w:rPr>
              <w:t>Sujeto Obligado</w:t>
            </w:r>
            <w:r w:rsidRPr="00890BD0">
              <w:rPr>
                <w:rFonts w:ascii="Palatino Linotype" w:eastAsia="Palatino Linotype" w:hAnsi="Palatino Linotype" w:cs="Palatino Linotype"/>
                <w:color w:val="000000" w:themeColor="text1"/>
                <w:sz w:val="24"/>
                <w:szCs w:val="24"/>
                <w:lang w:val="es-ES_tradnl"/>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F5774" w:rsidRPr="00890BD0" w:rsidTr="00890BD0">
        <w:tc>
          <w:tcPr>
            <w:tcW w:w="2809"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lastRenderedPageBreak/>
              <w:t>c) Formalidades para emitir el acuerdo de clasificación.</w:t>
            </w:r>
          </w:p>
        </w:tc>
        <w:tc>
          <w:tcPr>
            <w:tcW w:w="7371"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El Comité de Transparencia, según lo dispuesto en los artículos cuenta con las facultades para aprobar, modificar o revocar la clasificación de la información que haya propuesto. </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Es necesario que </w:t>
            </w:r>
            <w:r w:rsidRPr="00890BD0">
              <w:rPr>
                <w:rFonts w:ascii="Palatino Linotype" w:eastAsia="Palatino Linotype" w:hAnsi="Palatino Linotype" w:cs="Palatino Linotype"/>
                <w:b/>
                <w:color w:val="000000" w:themeColor="text1"/>
                <w:sz w:val="24"/>
                <w:szCs w:val="24"/>
                <w:u w:val="single"/>
                <w:lang w:val="es-ES_tradnl"/>
              </w:rPr>
              <w:t>el acto reúna con los requisitos elementales</w:t>
            </w:r>
            <w:r w:rsidRPr="00890BD0">
              <w:rPr>
                <w:rFonts w:ascii="Palatino Linotype" w:eastAsia="Palatino Linotype" w:hAnsi="Palatino Linotype" w:cs="Palatino Linotype"/>
                <w:color w:val="000000" w:themeColor="text1"/>
                <w:sz w:val="24"/>
                <w:szCs w:val="24"/>
                <w:lang w:val="es-ES_tradnl"/>
              </w:rPr>
              <w:t>, entre ellos, que la autoridad que va a emitir el acto de autoridad sea la legalmente facultada para ello.</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F5774" w:rsidRPr="00890BD0" w:rsidTr="00890BD0">
        <w:tc>
          <w:tcPr>
            <w:tcW w:w="2809"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d) Requisitos de fondo del acuerdo de clasificación. </w:t>
            </w:r>
          </w:p>
        </w:tc>
        <w:tc>
          <w:tcPr>
            <w:tcW w:w="7371"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90BD0">
              <w:rPr>
                <w:rFonts w:ascii="Palatino Linotype" w:eastAsia="Palatino Linotype" w:hAnsi="Palatino Linotype" w:cs="Palatino Linotype"/>
                <w:b/>
                <w:color w:val="000000" w:themeColor="text1"/>
                <w:sz w:val="24"/>
                <w:szCs w:val="24"/>
                <w:lang w:val="es-ES_tradnl"/>
              </w:rPr>
              <w:t>Sujetos Obligados</w:t>
            </w:r>
            <w:r w:rsidRPr="00890BD0">
              <w:rPr>
                <w:rFonts w:ascii="Palatino Linotype" w:eastAsia="Palatino Linotype" w:hAnsi="Palatino Linotype" w:cs="Palatino Linotype"/>
                <w:color w:val="000000" w:themeColor="text1"/>
                <w:sz w:val="24"/>
                <w:szCs w:val="24"/>
                <w:lang w:val="es-ES_tradnl"/>
              </w:rPr>
              <w:t xml:space="preserve">, por lo que deberán fundar y motivar debidamente la clasificación. </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lastRenderedPageBreak/>
              <w:t xml:space="preserve">De lo anterior, se desprende que para una correcta </w:t>
            </w:r>
            <w:r w:rsidRPr="00890BD0">
              <w:rPr>
                <w:rFonts w:ascii="Palatino Linotype" w:eastAsia="Palatino Linotype" w:hAnsi="Palatino Linotype" w:cs="Palatino Linotype"/>
                <w:b/>
                <w:color w:val="000000" w:themeColor="text1"/>
                <w:sz w:val="24"/>
                <w:szCs w:val="24"/>
                <w:lang w:val="es-ES_tradnl"/>
              </w:rPr>
              <w:t>clasificación total o parcial</w:t>
            </w:r>
            <w:r w:rsidRPr="00890BD0">
              <w:rPr>
                <w:rFonts w:ascii="Palatino Linotype" w:eastAsia="Palatino Linotype" w:hAnsi="Palatino Linotype" w:cs="Palatino Linotype"/>
                <w:color w:val="000000" w:themeColor="text1"/>
                <w:sz w:val="24"/>
                <w:szCs w:val="24"/>
                <w:lang w:val="es-ES_tradnl"/>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En ese mismo sentido, el numeral trigésimo tercero fracción V de los Lineamientos Generales, precisa que para motivar la clasificación se deben acreditar las circunstancias de tiempo, modo y lugar.</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Ahora bien, </w:t>
            </w:r>
            <w:r w:rsidRPr="00890BD0">
              <w:rPr>
                <w:rFonts w:ascii="Palatino Linotype" w:eastAsia="Palatino Linotype" w:hAnsi="Palatino Linotype" w:cs="Palatino Linotype"/>
                <w:b/>
                <w:color w:val="000000" w:themeColor="text1"/>
                <w:sz w:val="24"/>
                <w:szCs w:val="24"/>
                <w:u w:val="single"/>
                <w:lang w:val="es-ES_tradnl"/>
              </w:rPr>
              <w:t>para cada caso además de fundar y motivar</w:t>
            </w:r>
            <w:r w:rsidRPr="00890BD0">
              <w:rPr>
                <w:rFonts w:ascii="Palatino Linotype" w:eastAsia="Palatino Linotype" w:hAnsi="Palatino Linotype" w:cs="Palatino Linotype"/>
                <w:color w:val="000000" w:themeColor="text1"/>
                <w:sz w:val="24"/>
                <w:szCs w:val="24"/>
                <w:lang w:val="es-ES_tradnl"/>
              </w:rPr>
              <w:t xml:space="preserve">, se debe identificar con claridad que datos contenidos en las documentales que son susceptibles de suprimirse, por ejemplo; Clave Única de Registro de Población (CURP), Registro Federal de Contribuyentes (R.F.C.), claves de seguros, préstamos o </w:t>
            </w:r>
            <w:r w:rsidRPr="00890BD0">
              <w:rPr>
                <w:rFonts w:ascii="Palatino Linotype" w:eastAsia="Palatino Linotype" w:hAnsi="Palatino Linotype" w:cs="Palatino Linotype"/>
                <w:color w:val="000000" w:themeColor="text1"/>
                <w:sz w:val="24"/>
                <w:szCs w:val="24"/>
                <w:lang w:val="es-ES_tradnl"/>
              </w:rPr>
              <w:lastRenderedPageBreak/>
              <w:t>descuentos personales, secretos bancario, fiduciario, industrial, comercial, fiscal, bursátil y postal, cuya titularidad corresponda a particulares, entre otros.</w:t>
            </w:r>
          </w:p>
        </w:tc>
      </w:tr>
      <w:tr w:rsidR="00AF5774" w:rsidRPr="00890BD0" w:rsidTr="00890BD0">
        <w:tc>
          <w:tcPr>
            <w:tcW w:w="2809"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lastRenderedPageBreak/>
              <w:t xml:space="preserve">e) Condiciones especiales de la clasificación de la información como confidencial. </w:t>
            </w:r>
          </w:p>
        </w:tc>
        <w:tc>
          <w:tcPr>
            <w:tcW w:w="7371" w:type="dxa"/>
          </w:tcPr>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F5774" w:rsidRPr="00890BD0" w:rsidRDefault="00AF5774" w:rsidP="008D2F61">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r w:rsidRPr="00890BD0">
              <w:rPr>
                <w:rFonts w:ascii="Palatino Linotype" w:eastAsia="Palatino Linotype" w:hAnsi="Palatino Linotype" w:cs="Palatino Linotype"/>
                <w:color w:val="000000" w:themeColor="text1"/>
                <w:sz w:val="24"/>
                <w:szCs w:val="24"/>
                <w:lang w:val="es-ES_tradnl"/>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AF5774" w:rsidRPr="00890BD0" w:rsidRDefault="00AF5774" w:rsidP="00AF5774">
      <w:pPr>
        <w:spacing w:line="360" w:lineRule="auto"/>
        <w:ind w:right="49"/>
        <w:jc w:val="both"/>
        <w:rPr>
          <w:rFonts w:ascii="Palatino Linotype" w:hAnsi="Palatino Linotype"/>
          <w:color w:val="000000"/>
          <w:sz w:val="24"/>
          <w:szCs w:val="24"/>
        </w:rPr>
      </w:pPr>
      <w:bookmarkStart w:id="9" w:name="_heading=h.4d34og8" w:colFirst="0" w:colLast="0"/>
      <w:bookmarkEnd w:id="9"/>
    </w:p>
    <w:p w:rsidR="00A21DD2" w:rsidRPr="00890BD0" w:rsidRDefault="00A21DD2" w:rsidP="00A21DD2">
      <w:pPr>
        <w:numPr>
          <w:ilvl w:val="0"/>
          <w:numId w:val="2"/>
        </w:numPr>
        <w:spacing w:line="360" w:lineRule="auto"/>
        <w:ind w:left="0" w:right="48" w:firstLine="0"/>
        <w:jc w:val="both"/>
        <w:rPr>
          <w:rFonts w:ascii="Palatino Linotype" w:eastAsia="Palatino Linotype" w:hAnsi="Palatino Linotype" w:cs="Palatino Linotype"/>
          <w:color w:val="000000"/>
          <w:sz w:val="24"/>
          <w:szCs w:val="24"/>
        </w:rPr>
      </w:pPr>
      <w:r w:rsidRPr="00890BD0">
        <w:rPr>
          <w:rFonts w:ascii="Palatino Linotype" w:eastAsia="Palatino Linotype" w:hAnsi="Palatino Linotype" w:cs="Palatino Linotype"/>
          <w:color w:val="000000"/>
          <w:sz w:val="24"/>
          <w:szCs w:val="24"/>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A21DD2" w:rsidRPr="00890BD0" w:rsidRDefault="00A21DD2" w:rsidP="00A21DD2">
      <w:pPr>
        <w:numPr>
          <w:ilvl w:val="0"/>
          <w:numId w:val="2"/>
        </w:numPr>
        <w:spacing w:line="360" w:lineRule="auto"/>
        <w:ind w:left="0" w:right="48" w:firstLine="0"/>
        <w:jc w:val="both"/>
        <w:rPr>
          <w:rFonts w:ascii="Palatino Linotype" w:eastAsia="Palatino Linotype" w:hAnsi="Palatino Linotype" w:cs="Palatino Linotype"/>
          <w:color w:val="000000"/>
          <w:sz w:val="24"/>
          <w:szCs w:val="24"/>
        </w:rPr>
      </w:pPr>
      <w:r w:rsidRPr="00890BD0">
        <w:rPr>
          <w:rFonts w:ascii="Palatino Linotype" w:eastAsia="Palatino Linotype" w:hAnsi="Palatino Linotype" w:cs="Palatino Linotype"/>
          <w:sz w:val="24"/>
          <w:szCs w:val="24"/>
        </w:rPr>
        <w:lastRenderedPageBreak/>
        <w:t>Por lo anteriormente expuesto, este Órgano Garante considera fundadas las razones o motivos de inconformidad que plantea el</w:t>
      </w:r>
      <w:r w:rsidRPr="00890BD0">
        <w:rPr>
          <w:rFonts w:ascii="Palatino Linotype" w:eastAsia="Palatino Linotype" w:hAnsi="Palatino Linotype" w:cs="Palatino Linotype"/>
          <w:b/>
          <w:sz w:val="24"/>
          <w:szCs w:val="24"/>
        </w:rPr>
        <w:t xml:space="preserve"> RECURRENTE</w:t>
      </w:r>
      <w:r w:rsidRPr="00890BD0">
        <w:rPr>
          <w:rFonts w:ascii="Palatino Linotype" w:eastAsia="Palatino Linotype" w:hAnsi="Palatino Linotype" w:cs="Palatino Linotype"/>
          <w:sz w:val="24"/>
          <w:szCs w:val="24"/>
        </w:rPr>
        <w:t xml:space="preserve">, determinando </w:t>
      </w:r>
      <w:r w:rsidRPr="00890BD0">
        <w:rPr>
          <w:rFonts w:ascii="Palatino Linotype" w:eastAsia="Palatino Linotype" w:hAnsi="Palatino Linotype" w:cs="Palatino Linotype"/>
          <w:b/>
          <w:sz w:val="24"/>
          <w:szCs w:val="24"/>
        </w:rPr>
        <w:t>MODIFICAR</w:t>
      </w:r>
      <w:r w:rsidRPr="00890BD0">
        <w:rPr>
          <w:rFonts w:ascii="Palatino Linotype" w:eastAsia="Palatino Linotype" w:hAnsi="Palatino Linotype" w:cs="Palatino Linotype"/>
          <w:sz w:val="24"/>
          <w:szCs w:val="24"/>
        </w:rPr>
        <w:t xml:space="preserve"> la respuesta del </w:t>
      </w:r>
      <w:r w:rsidRPr="00890BD0">
        <w:rPr>
          <w:rFonts w:ascii="Palatino Linotype" w:eastAsia="Palatino Linotype" w:hAnsi="Palatino Linotype" w:cs="Palatino Linotype"/>
          <w:b/>
          <w:sz w:val="24"/>
          <w:szCs w:val="24"/>
        </w:rPr>
        <w:t>SUJETO OBLIGADO</w:t>
      </w:r>
      <w:r w:rsidRPr="00890BD0">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890BD0">
        <w:rPr>
          <w:rFonts w:ascii="Palatino Linotype" w:eastAsia="Palatino Linotype" w:hAnsi="Palatino Linotype" w:cs="Palatino Linotype"/>
          <w:color w:val="000000"/>
          <w:sz w:val="24"/>
          <w:szCs w:val="24"/>
        </w:rPr>
        <w:t xml:space="preserve">este </w:t>
      </w:r>
      <w:r w:rsidRPr="00890BD0">
        <w:rPr>
          <w:rFonts w:ascii="Palatino Linotype" w:eastAsia="Palatino Linotype" w:hAnsi="Palatino Linotype" w:cs="Palatino Linotype"/>
          <w:b/>
          <w:color w:val="000000"/>
          <w:sz w:val="24"/>
          <w:szCs w:val="24"/>
        </w:rPr>
        <w:t>ÓRGANO GARANTE</w:t>
      </w:r>
      <w:r w:rsidRPr="00890BD0">
        <w:rPr>
          <w:rFonts w:ascii="Palatino Linotype" w:eastAsia="Palatino Linotype" w:hAnsi="Palatino Linotype" w:cs="Palatino Linotype"/>
          <w:color w:val="000000"/>
          <w:sz w:val="24"/>
          <w:szCs w:val="24"/>
        </w:rPr>
        <w:t xml:space="preserve"> emite los siguientes.</w:t>
      </w:r>
    </w:p>
    <w:p w:rsidR="00A21DD2" w:rsidRPr="00890BD0" w:rsidRDefault="00A21DD2" w:rsidP="00A21DD2">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sz w:val="24"/>
          <w:szCs w:val="24"/>
        </w:rPr>
      </w:pPr>
    </w:p>
    <w:p w:rsidR="00A21DD2" w:rsidRPr="00890BD0" w:rsidRDefault="00A21DD2" w:rsidP="00A21DD2">
      <w:pPr>
        <w:pStyle w:val="Ttulo1"/>
        <w:spacing w:before="0" w:line="360" w:lineRule="auto"/>
        <w:jc w:val="center"/>
        <w:rPr>
          <w:rFonts w:ascii="Palatino Linotype" w:eastAsia="Palatino Linotype" w:hAnsi="Palatino Linotype" w:cs="Palatino Linotype"/>
          <w:b/>
          <w:color w:val="000000"/>
          <w:sz w:val="24"/>
          <w:szCs w:val="24"/>
        </w:rPr>
      </w:pPr>
      <w:r w:rsidRPr="00890BD0">
        <w:rPr>
          <w:rFonts w:ascii="Palatino Linotype" w:eastAsia="Palatino Linotype" w:hAnsi="Palatino Linotype" w:cs="Palatino Linotype"/>
          <w:b/>
          <w:color w:val="000000"/>
          <w:sz w:val="24"/>
          <w:szCs w:val="24"/>
        </w:rPr>
        <w:t>R E S O L U T I V O S</w:t>
      </w:r>
    </w:p>
    <w:p w:rsidR="00A21DD2" w:rsidRPr="00890BD0" w:rsidRDefault="00A21DD2" w:rsidP="00A21DD2">
      <w:pPr>
        <w:spacing w:line="360" w:lineRule="auto"/>
        <w:rPr>
          <w:rFonts w:ascii="Palatino Linotype" w:eastAsia="Palatino Linotype" w:hAnsi="Palatino Linotype" w:cs="Palatino Linotype"/>
          <w:sz w:val="24"/>
          <w:szCs w:val="24"/>
        </w:rPr>
      </w:pPr>
    </w:p>
    <w:p w:rsidR="00A21DD2" w:rsidRPr="00890BD0" w:rsidRDefault="00A21DD2" w:rsidP="00A21DD2">
      <w:pPr>
        <w:spacing w:line="360" w:lineRule="auto"/>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b/>
          <w:sz w:val="24"/>
          <w:szCs w:val="24"/>
        </w:rPr>
        <w:t>PRIMERO</w:t>
      </w:r>
      <w:r w:rsidRPr="00890BD0">
        <w:rPr>
          <w:rFonts w:ascii="Palatino Linotype" w:eastAsia="Palatino Linotype" w:hAnsi="Palatino Linotype" w:cs="Palatino Linotype"/>
          <w:sz w:val="24"/>
          <w:szCs w:val="24"/>
        </w:rPr>
        <w:t>. Resultan fundadas las razones o motivos de inconformidad hechos valer en el recurso de Revisión</w:t>
      </w:r>
      <w:r w:rsidR="00E47289" w:rsidRPr="00890BD0">
        <w:rPr>
          <w:rFonts w:ascii="Palatino Linotype" w:eastAsia="Palatino Linotype" w:hAnsi="Palatino Linotype" w:cs="Palatino Linotype"/>
          <w:b/>
          <w:sz w:val="24"/>
          <w:szCs w:val="24"/>
        </w:rPr>
        <w:t xml:space="preserve"> </w:t>
      </w:r>
      <w:r w:rsidR="00E47289" w:rsidRPr="00890BD0">
        <w:rPr>
          <w:rFonts w:ascii="Palatino Linotype" w:eastAsia="Palatino Linotype" w:hAnsi="Palatino Linotype" w:cs="Palatino Linotype"/>
          <w:b/>
          <w:bCs/>
          <w:sz w:val="24"/>
          <w:szCs w:val="24"/>
        </w:rPr>
        <w:t>13908/INFOEM/IP/RR/2025</w:t>
      </w:r>
      <w:r w:rsidRPr="00890BD0">
        <w:rPr>
          <w:rFonts w:ascii="Palatino Linotype" w:eastAsia="Palatino Linotype" w:hAnsi="Palatino Linotype" w:cs="Palatino Linotype"/>
          <w:b/>
          <w:bCs/>
          <w:sz w:val="24"/>
          <w:szCs w:val="24"/>
        </w:rPr>
        <w:t xml:space="preserve">, </w:t>
      </w:r>
      <w:r w:rsidRPr="00890BD0">
        <w:rPr>
          <w:rFonts w:ascii="Palatino Linotype" w:eastAsia="Palatino Linotype" w:hAnsi="Palatino Linotype" w:cs="Palatino Linotype"/>
          <w:bCs/>
          <w:sz w:val="24"/>
          <w:szCs w:val="24"/>
        </w:rPr>
        <w:t xml:space="preserve">en </w:t>
      </w:r>
      <w:r w:rsidRPr="00890BD0">
        <w:rPr>
          <w:rFonts w:ascii="Palatino Linotype" w:eastAsia="Palatino Linotype" w:hAnsi="Palatino Linotype" w:cs="Palatino Linotype"/>
          <w:sz w:val="24"/>
          <w:szCs w:val="24"/>
        </w:rPr>
        <w:t xml:space="preserve">términos de los Considerandos </w:t>
      </w:r>
      <w:r w:rsidRPr="00890BD0">
        <w:rPr>
          <w:rFonts w:ascii="Palatino Linotype" w:eastAsia="Palatino Linotype" w:hAnsi="Palatino Linotype" w:cs="Palatino Linotype"/>
          <w:b/>
          <w:sz w:val="24"/>
          <w:szCs w:val="24"/>
        </w:rPr>
        <w:t xml:space="preserve">Cuarto y Quinto </w:t>
      </w:r>
      <w:r w:rsidRPr="00890BD0">
        <w:rPr>
          <w:rFonts w:ascii="Palatino Linotype" w:eastAsia="Palatino Linotype" w:hAnsi="Palatino Linotype" w:cs="Palatino Linotype"/>
          <w:sz w:val="24"/>
          <w:szCs w:val="24"/>
        </w:rPr>
        <w:t xml:space="preserve">de la presente resolución. </w:t>
      </w:r>
    </w:p>
    <w:p w:rsidR="00A21DD2" w:rsidRPr="00890BD0" w:rsidRDefault="00A21DD2" w:rsidP="00A21DD2">
      <w:pPr>
        <w:spacing w:line="360" w:lineRule="auto"/>
        <w:jc w:val="both"/>
        <w:rPr>
          <w:rFonts w:ascii="Palatino Linotype" w:eastAsia="Palatino Linotype" w:hAnsi="Palatino Linotype" w:cs="Palatino Linotype"/>
          <w:sz w:val="24"/>
          <w:szCs w:val="24"/>
        </w:rPr>
      </w:pPr>
    </w:p>
    <w:p w:rsidR="00A21DD2" w:rsidRPr="00890BD0" w:rsidRDefault="00A21DD2" w:rsidP="00A21DD2">
      <w:pPr>
        <w:spacing w:line="360" w:lineRule="auto"/>
        <w:jc w:val="both"/>
        <w:rPr>
          <w:rFonts w:ascii="Palatino Linotype" w:eastAsia="Palatino Linotype" w:hAnsi="Palatino Linotype" w:cs="Palatino Linotype"/>
          <w:b/>
          <w:color w:val="000000"/>
          <w:sz w:val="24"/>
          <w:szCs w:val="24"/>
        </w:rPr>
      </w:pPr>
      <w:bookmarkStart w:id="10" w:name="_heading=h.ve9rqz5z63x" w:colFirst="0" w:colLast="0"/>
      <w:bookmarkEnd w:id="10"/>
      <w:r w:rsidRPr="00890BD0">
        <w:rPr>
          <w:rFonts w:ascii="Palatino Linotype" w:eastAsia="Palatino Linotype" w:hAnsi="Palatino Linotype" w:cs="Palatino Linotype"/>
          <w:b/>
          <w:sz w:val="24"/>
          <w:szCs w:val="24"/>
        </w:rPr>
        <w:t xml:space="preserve">SEGUNDO. </w:t>
      </w:r>
      <w:r w:rsidRPr="00890BD0">
        <w:rPr>
          <w:rFonts w:ascii="Palatino Linotype" w:eastAsia="Palatino Linotype" w:hAnsi="Palatino Linotype" w:cs="Palatino Linotype"/>
          <w:color w:val="000000"/>
          <w:sz w:val="24"/>
          <w:szCs w:val="24"/>
        </w:rPr>
        <w:t xml:space="preserve">Se </w:t>
      </w:r>
      <w:r w:rsidRPr="00890BD0">
        <w:rPr>
          <w:rFonts w:ascii="Palatino Linotype" w:eastAsia="Palatino Linotype" w:hAnsi="Palatino Linotype" w:cs="Palatino Linotype"/>
          <w:b/>
          <w:color w:val="000000"/>
          <w:sz w:val="24"/>
          <w:szCs w:val="24"/>
        </w:rPr>
        <w:t xml:space="preserve">MODIFICA </w:t>
      </w:r>
      <w:r w:rsidRPr="00890BD0">
        <w:rPr>
          <w:rFonts w:ascii="Palatino Linotype" w:eastAsia="Palatino Linotype" w:hAnsi="Palatino Linotype" w:cs="Palatino Linotype"/>
          <w:color w:val="000000"/>
          <w:sz w:val="24"/>
          <w:szCs w:val="24"/>
        </w:rPr>
        <w:t xml:space="preserve">la respuesta emitida por el </w:t>
      </w:r>
      <w:r w:rsidRPr="00890BD0">
        <w:rPr>
          <w:rFonts w:ascii="Palatino Linotype" w:eastAsia="Palatino Linotype" w:hAnsi="Palatino Linotype" w:cs="Palatino Linotype"/>
          <w:b/>
          <w:color w:val="000000"/>
          <w:sz w:val="24"/>
          <w:szCs w:val="24"/>
        </w:rPr>
        <w:t xml:space="preserve"> </w:t>
      </w:r>
      <w:r w:rsidR="00E47289" w:rsidRPr="00890BD0">
        <w:rPr>
          <w:rFonts w:ascii="Palatino Linotype" w:eastAsia="Palatino Linotype" w:hAnsi="Palatino Linotype" w:cs="Palatino Linotype"/>
          <w:b/>
          <w:bCs/>
          <w:color w:val="000000"/>
          <w:sz w:val="24"/>
          <w:szCs w:val="24"/>
        </w:rPr>
        <w:t>Ayuntamiento de Cuautitlán Izcalli</w:t>
      </w:r>
      <w:r w:rsidRPr="00890BD0">
        <w:rPr>
          <w:rFonts w:ascii="Palatino Linotype" w:eastAsia="Palatino Linotype" w:hAnsi="Palatino Linotype" w:cs="Palatino Linotype"/>
          <w:b/>
          <w:color w:val="000000"/>
          <w:sz w:val="24"/>
          <w:szCs w:val="24"/>
        </w:rPr>
        <w:t xml:space="preserve"> </w:t>
      </w:r>
      <w:r w:rsidRPr="00890BD0">
        <w:rPr>
          <w:rFonts w:ascii="Palatino Linotype" w:eastAsia="Palatino Linotype" w:hAnsi="Palatino Linotype" w:cs="Palatino Linotype"/>
          <w:color w:val="000000"/>
          <w:sz w:val="24"/>
          <w:szCs w:val="24"/>
        </w:rPr>
        <w:t xml:space="preserve">y se </w:t>
      </w:r>
      <w:r w:rsidRPr="00890BD0">
        <w:rPr>
          <w:rFonts w:ascii="Palatino Linotype" w:eastAsia="Palatino Linotype" w:hAnsi="Palatino Linotype" w:cs="Palatino Linotype"/>
          <w:b/>
          <w:color w:val="000000"/>
          <w:sz w:val="24"/>
          <w:szCs w:val="24"/>
        </w:rPr>
        <w:t>ORDENA</w:t>
      </w:r>
      <w:r w:rsidRPr="00890BD0">
        <w:rPr>
          <w:rFonts w:ascii="Palatino Linotype" w:eastAsia="Palatino Linotype" w:hAnsi="Palatino Linotype" w:cs="Palatino Linotype"/>
          <w:color w:val="000000"/>
          <w:sz w:val="24"/>
          <w:szCs w:val="24"/>
        </w:rPr>
        <w:t xml:space="preserve"> entregar vía Sistema de Acceso a la Información Mexiquense </w:t>
      </w:r>
      <w:r w:rsidRPr="00890BD0">
        <w:rPr>
          <w:rFonts w:ascii="Palatino Linotype" w:eastAsia="Palatino Linotype" w:hAnsi="Palatino Linotype" w:cs="Palatino Linotype"/>
          <w:b/>
          <w:color w:val="000000"/>
          <w:sz w:val="24"/>
          <w:szCs w:val="24"/>
        </w:rPr>
        <w:t>(SAIMEX)</w:t>
      </w:r>
      <w:r w:rsidRPr="00890BD0">
        <w:rPr>
          <w:rFonts w:ascii="Palatino Linotype" w:eastAsia="Palatino Linotype" w:hAnsi="Palatino Linotype" w:cs="Palatino Linotype"/>
          <w:color w:val="000000"/>
          <w:sz w:val="24"/>
          <w:szCs w:val="24"/>
        </w:rPr>
        <w:t>, de ser procedente en versión pública, la siguiente información:</w:t>
      </w:r>
    </w:p>
    <w:p w:rsidR="00A21DD2" w:rsidRPr="00890BD0" w:rsidRDefault="00A21DD2" w:rsidP="00A21DD2">
      <w:pPr>
        <w:spacing w:line="360" w:lineRule="auto"/>
        <w:jc w:val="both"/>
        <w:rPr>
          <w:rFonts w:ascii="Palatino Linotype" w:eastAsia="Palatino Linotype" w:hAnsi="Palatino Linotype" w:cs="Palatino Linotype"/>
          <w:b/>
          <w:color w:val="000000"/>
          <w:sz w:val="24"/>
          <w:szCs w:val="24"/>
        </w:rPr>
      </w:pPr>
    </w:p>
    <w:p w:rsidR="00A21DD2" w:rsidRPr="00890BD0" w:rsidRDefault="00E47289" w:rsidP="00A21DD2">
      <w:pPr>
        <w:pStyle w:val="Prrafodelista"/>
        <w:numPr>
          <w:ilvl w:val="0"/>
          <w:numId w:val="13"/>
        </w:numPr>
        <w:tabs>
          <w:tab w:val="left" w:pos="8222"/>
        </w:tabs>
        <w:spacing w:line="360" w:lineRule="auto"/>
        <w:ind w:right="567"/>
        <w:jc w:val="both"/>
        <w:rPr>
          <w:rFonts w:ascii="Palatino Linotype" w:eastAsia="Palatino Linotype" w:hAnsi="Palatino Linotype" w:cs="Palatino Linotype"/>
          <w:b/>
          <w:color w:val="000000"/>
          <w:sz w:val="24"/>
        </w:rPr>
      </w:pPr>
      <w:bookmarkStart w:id="11" w:name="_heading=h.gtwq8mhqueg3" w:colFirst="0" w:colLast="0"/>
      <w:bookmarkEnd w:id="11"/>
      <w:r w:rsidRPr="00890BD0">
        <w:rPr>
          <w:rFonts w:ascii="Palatino Linotype" w:eastAsia="Palatino Linotype" w:hAnsi="Palatino Linotype" w:cs="Palatino Linotype"/>
          <w:b/>
          <w:color w:val="000000"/>
          <w:sz w:val="24"/>
        </w:rPr>
        <w:t xml:space="preserve">Contrato número MCI/DA/IRD/AD/013/2025 relativo a la Contratación del Servicio Integral para el “Primer Festival Internacional Arte, Queso y Vino”, remitido en respuesta e informe justificado de manera legible. </w:t>
      </w:r>
    </w:p>
    <w:p w:rsidR="00A21DD2" w:rsidRPr="00890BD0" w:rsidRDefault="00A21DD2" w:rsidP="00A21DD2">
      <w:pPr>
        <w:pStyle w:val="Prrafodelista"/>
        <w:tabs>
          <w:tab w:val="left" w:pos="8222"/>
        </w:tabs>
        <w:spacing w:line="360" w:lineRule="auto"/>
        <w:ind w:right="567"/>
        <w:jc w:val="both"/>
        <w:rPr>
          <w:rFonts w:ascii="Palatino Linotype" w:eastAsia="Palatino Linotype" w:hAnsi="Palatino Linotype" w:cs="Palatino Linotype"/>
          <w:color w:val="000000"/>
          <w:sz w:val="24"/>
        </w:rPr>
      </w:pPr>
    </w:p>
    <w:p w:rsidR="00A21DD2" w:rsidRPr="00890BD0" w:rsidRDefault="00A21DD2" w:rsidP="00A21DD2">
      <w:pPr>
        <w:spacing w:line="360" w:lineRule="auto"/>
        <w:jc w:val="both"/>
        <w:rPr>
          <w:rFonts w:ascii="Palatino Linotype" w:eastAsia="Palatino Linotype" w:hAnsi="Palatino Linotype" w:cs="Palatino Linotype"/>
          <w:sz w:val="24"/>
          <w:szCs w:val="24"/>
        </w:rPr>
      </w:pPr>
      <w:r w:rsidRPr="00890BD0">
        <w:rPr>
          <w:rFonts w:ascii="Palatino Linotype" w:eastAsia="Palatino Linotype" w:hAnsi="Palatino Linotype" w:cs="Palatino Linotype"/>
          <w:sz w:val="24"/>
          <w:szCs w:val="24"/>
        </w:rPr>
        <w:lastRenderedPageBreak/>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A21DD2" w:rsidRPr="00890BD0" w:rsidRDefault="00A21DD2" w:rsidP="00A21DD2">
      <w:pPr>
        <w:spacing w:line="360" w:lineRule="auto"/>
        <w:jc w:val="both"/>
        <w:rPr>
          <w:rFonts w:ascii="Palatino Linotype" w:eastAsia="Palatino Linotype" w:hAnsi="Palatino Linotype" w:cs="Palatino Linotype"/>
          <w:sz w:val="24"/>
          <w:szCs w:val="24"/>
        </w:rPr>
      </w:pPr>
    </w:p>
    <w:p w:rsidR="00A21DD2" w:rsidRPr="00890BD0" w:rsidRDefault="00A21DD2" w:rsidP="00A21DD2">
      <w:pPr>
        <w:spacing w:line="360" w:lineRule="auto"/>
        <w:jc w:val="both"/>
        <w:rPr>
          <w:rFonts w:ascii="Palatino Linotype" w:hAnsi="Palatino Linotype"/>
          <w:sz w:val="24"/>
          <w:szCs w:val="24"/>
        </w:rPr>
      </w:pPr>
      <w:bookmarkStart w:id="12" w:name="_Toc511647758"/>
      <w:bookmarkStart w:id="13" w:name="_Toc511647819"/>
      <w:r w:rsidRPr="00890BD0">
        <w:rPr>
          <w:rFonts w:ascii="Palatino Linotype" w:hAnsi="Palatino Linotype"/>
          <w:b/>
          <w:sz w:val="24"/>
          <w:szCs w:val="24"/>
        </w:rPr>
        <w:t>TERCERO.</w:t>
      </w:r>
      <w:bookmarkEnd w:id="12"/>
      <w:bookmarkEnd w:id="13"/>
      <w:r w:rsidRPr="00890BD0">
        <w:rPr>
          <w:rFonts w:ascii="Palatino Linotype" w:hAnsi="Palatino Linotype"/>
          <w:b/>
          <w:sz w:val="24"/>
          <w:szCs w:val="24"/>
        </w:rPr>
        <w:t xml:space="preserve"> Notifíquese </w:t>
      </w:r>
      <w:r w:rsidRPr="00890BD0">
        <w:rPr>
          <w:rFonts w:ascii="Palatino Linotype" w:hAnsi="Palatino Linotype"/>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90BD0">
        <w:rPr>
          <w:rFonts w:ascii="Palatino Linotype" w:hAnsi="Palatino Linotype"/>
          <w:b/>
          <w:sz w:val="24"/>
          <w:szCs w:val="24"/>
        </w:rPr>
        <w:t>dé cumplimiento a lo ordenado dentro del plazo de diez días hábiles</w:t>
      </w:r>
      <w:r w:rsidRPr="00890BD0">
        <w:rPr>
          <w:rFonts w:ascii="Palatino Linotype" w:hAnsi="Palatino Linotype"/>
          <w:sz w:val="24"/>
          <w:szCs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21DD2" w:rsidRPr="00890BD0" w:rsidRDefault="00A21DD2" w:rsidP="00A21DD2">
      <w:pPr>
        <w:spacing w:line="360" w:lineRule="auto"/>
        <w:jc w:val="both"/>
        <w:rPr>
          <w:rFonts w:ascii="Palatino Linotype" w:hAnsi="Palatino Linotype" w:cs="Arial"/>
          <w:b/>
          <w:sz w:val="24"/>
          <w:szCs w:val="24"/>
        </w:rPr>
      </w:pPr>
    </w:p>
    <w:p w:rsidR="00A21DD2" w:rsidRPr="00890BD0" w:rsidRDefault="00A21DD2" w:rsidP="00A21DD2">
      <w:pPr>
        <w:spacing w:line="360" w:lineRule="auto"/>
        <w:jc w:val="both"/>
        <w:rPr>
          <w:rFonts w:ascii="Palatino Linotype" w:eastAsia="Calibri" w:hAnsi="Palatino Linotype" w:cs="Arial"/>
          <w:bCs/>
          <w:sz w:val="24"/>
          <w:szCs w:val="24"/>
        </w:rPr>
      </w:pPr>
      <w:r w:rsidRPr="00890BD0">
        <w:rPr>
          <w:rFonts w:ascii="Palatino Linotype" w:hAnsi="Palatino Linotype" w:cs="Arial"/>
          <w:b/>
          <w:sz w:val="24"/>
          <w:szCs w:val="24"/>
        </w:rPr>
        <w:t xml:space="preserve">CUARTO. </w:t>
      </w:r>
      <w:r w:rsidRPr="00890BD0">
        <w:rPr>
          <w:rFonts w:ascii="Palatino Linotype" w:eastAsia="Calibri" w:hAnsi="Palatino Linotype" w:cs="Arial"/>
          <w:bCs/>
          <w:sz w:val="24"/>
          <w:szCs w:val="24"/>
        </w:rPr>
        <w:t xml:space="preserve">De conformidad con el artículo 198 de la Ley de Transparencia y Acceso a la Información Pública del Estado de México y Municipios, de considerarlo procedente, el </w:t>
      </w:r>
      <w:r w:rsidRPr="00890BD0">
        <w:rPr>
          <w:rFonts w:ascii="Palatino Linotype" w:eastAsia="Calibri" w:hAnsi="Palatino Linotype" w:cs="Arial"/>
          <w:b/>
          <w:bCs/>
          <w:sz w:val="24"/>
          <w:szCs w:val="24"/>
        </w:rPr>
        <w:t>SUJETO OBLIGADO</w:t>
      </w:r>
      <w:r w:rsidRPr="00890BD0">
        <w:rPr>
          <w:rFonts w:ascii="Palatino Linotype" w:eastAsia="Calibri" w:hAnsi="Palatino Linotype" w:cs="Arial"/>
          <w:bCs/>
          <w:sz w:val="24"/>
          <w:szCs w:val="24"/>
        </w:rPr>
        <w:t xml:space="preserve"> de manera fundada y motivada, podrá solicitar una ampliación de plazo para el cumplimiento de la presente resolución.</w:t>
      </w:r>
    </w:p>
    <w:p w:rsidR="00A21DD2" w:rsidRPr="00890BD0" w:rsidRDefault="00A21DD2" w:rsidP="00A21DD2">
      <w:pPr>
        <w:spacing w:line="360" w:lineRule="auto"/>
        <w:jc w:val="both"/>
        <w:rPr>
          <w:rFonts w:ascii="Palatino Linotype" w:eastAsia="Calibri" w:hAnsi="Palatino Linotype" w:cs="Arial"/>
          <w:bCs/>
          <w:sz w:val="24"/>
          <w:szCs w:val="24"/>
        </w:rPr>
      </w:pPr>
    </w:p>
    <w:p w:rsidR="00A21DD2" w:rsidRPr="00890BD0" w:rsidRDefault="00A21DD2" w:rsidP="00A21DD2">
      <w:pPr>
        <w:tabs>
          <w:tab w:val="left" w:pos="8080"/>
        </w:tabs>
        <w:spacing w:line="360" w:lineRule="auto"/>
        <w:ind w:right="49"/>
        <w:jc w:val="both"/>
        <w:rPr>
          <w:rFonts w:ascii="Palatino Linotype" w:hAnsi="Palatino Linotype"/>
          <w:sz w:val="24"/>
          <w:szCs w:val="24"/>
          <w:lang w:val="es-ES"/>
        </w:rPr>
      </w:pPr>
      <w:bookmarkStart w:id="14" w:name="_Toc492590393"/>
      <w:bookmarkStart w:id="15" w:name="_Toc503891611"/>
      <w:bookmarkStart w:id="16" w:name="_Toc511647759"/>
      <w:bookmarkStart w:id="17" w:name="_Toc511647820"/>
      <w:r w:rsidRPr="00890BD0">
        <w:rPr>
          <w:rFonts w:ascii="Palatino Linotype" w:hAnsi="Palatino Linotype"/>
          <w:b/>
          <w:sz w:val="24"/>
          <w:szCs w:val="24"/>
        </w:rPr>
        <w:t xml:space="preserve">QUINTO. </w:t>
      </w:r>
      <w:r w:rsidRPr="00890BD0">
        <w:rPr>
          <w:rFonts w:ascii="Palatino Linotype" w:hAnsi="Palatino Linotype"/>
          <w:sz w:val="24"/>
          <w:szCs w:val="24"/>
        </w:rPr>
        <w:t>Notifíquese</w:t>
      </w:r>
      <w:bookmarkEnd w:id="14"/>
      <w:bookmarkEnd w:id="15"/>
      <w:bookmarkEnd w:id="16"/>
      <w:bookmarkEnd w:id="17"/>
      <w:r w:rsidRPr="00890BD0">
        <w:rPr>
          <w:rFonts w:ascii="Palatino Linotype" w:hAnsi="Palatino Linotype"/>
          <w:sz w:val="24"/>
          <w:szCs w:val="24"/>
        </w:rPr>
        <w:t xml:space="preserve"> a </w:t>
      </w:r>
      <w:r w:rsidRPr="00890BD0">
        <w:rPr>
          <w:rFonts w:ascii="Palatino Linotype" w:hAnsi="Palatino Linotype"/>
          <w:b/>
          <w:sz w:val="24"/>
          <w:szCs w:val="24"/>
        </w:rPr>
        <w:t>EL RECURRENTE</w:t>
      </w:r>
      <w:r w:rsidRPr="00890BD0">
        <w:rPr>
          <w:rFonts w:ascii="Palatino Linotype" w:hAnsi="Palatino Linotype"/>
          <w:sz w:val="24"/>
          <w:szCs w:val="24"/>
        </w:rPr>
        <w:t xml:space="preserve"> la presente</w:t>
      </w:r>
      <w:r w:rsidRPr="00890BD0">
        <w:rPr>
          <w:rFonts w:ascii="Palatino Linotype" w:hAnsi="Palatino Linotype"/>
          <w:sz w:val="24"/>
          <w:szCs w:val="24"/>
          <w:lang w:val="es-ES"/>
        </w:rPr>
        <w:t xml:space="preserve"> resolución, vía SAIMEX.</w:t>
      </w:r>
    </w:p>
    <w:p w:rsidR="00A21DD2" w:rsidRPr="00890BD0" w:rsidRDefault="00A21DD2" w:rsidP="00A21DD2">
      <w:pPr>
        <w:tabs>
          <w:tab w:val="left" w:pos="8080"/>
        </w:tabs>
        <w:spacing w:line="360" w:lineRule="auto"/>
        <w:ind w:right="49"/>
        <w:jc w:val="both"/>
        <w:rPr>
          <w:rFonts w:ascii="Palatino Linotype" w:hAnsi="Palatino Linotype"/>
          <w:sz w:val="24"/>
          <w:szCs w:val="24"/>
          <w:lang w:val="es-ES"/>
        </w:rPr>
      </w:pPr>
    </w:p>
    <w:p w:rsidR="00A21DD2" w:rsidRPr="00890BD0" w:rsidRDefault="00A21DD2" w:rsidP="00A21DD2">
      <w:pPr>
        <w:shd w:val="clear" w:color="auto" w:fill="FFFFFF"/>
        <w:spacing w:line="360" w:lineRule="auto"/>
        <w:jc w:val="both"/>
        <w:rPr>
          <w:rFonts w:ascii="Palatino Linotype" w:hAnsi="Palatino Linotype"/>
          <w:sz w:val="24"/>
          <w:szCs w:val="24"/>
          <w:lang w:val="es-ES"/>
        </w:rPr>
      </w:pPr>
      <w:r w:rsidRPr="00890BD0">
        <w:rPr>
          <w:rFonts w:ascii="Palatino Linotype" w:eastAsia="Calibri" w:hAnsi="Palatino Linotype"/>
          <w:b/>
          <w:sz w:val="24"/>
          <w:szCs w:val="24"/>
          <w:lang w:eastAsia="en-US"/>
        </w:rPr>
        <w:lastRenderedPageBreak/>
        <w:t>SEXTO.</w:t>
      </w:r>
      <w:r w:rsidRPr="00890BD0">
        <w:rPr>
          <w:rFonts w:ascii="Palatino Linotype" w:eastAsia="Calibri" w:hAnsi="Palatino Linotype"/>
          <w:sz w:val="24"/>
          <w:szCs w:val="24"/>
          <w:lang w:eastAsia="en-US"/>
        </w:rPr>
        <w:t xml:space="preserve"> </w:t>
      </w:r>
      <w:r w:rsidRPr="00890BD0">
        <w:rPr>
          <w:rFonts w:ascii="Palatino Linotype" w:hAnsi="Palatino Linotype"/>
          <w:sz w:val="24"/>
          <w:szCs w:val="24"/>
          <w:lang w:val="es-ES"/>
        </w:rPr>
        <w:t xml:space="preserve">Se hace del conocimiento de </w:t>
      </w:r>
      <w:r w:rsidRPr="00890BD0">
        <w:rPr>
          <w:rFonts w:ascii="Palatino Linotype" w:hAnsi="Palatino Linotype"/>
          <w:b/>
          <w:sz w:val="24"/>
          <w:szCs w:val="24"/>
          <w:lang w:val="es-ES"/>
        </w:rPr>
        <w:t>EL RECURRENTE</w:t>
      </w:r>
      <w:r w:rsidRPr="00890BD0">
        <w:rPr>
          <w:rFonts w:ascii="Palatino Linotype" w:hAnsi="Palatino Linotype"/>
          <w:sz w:val="24"/>
          <w:szCs w:val="24"/>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890BD0">
        <w:rPr>
          <w:rFonts w:ascii="Palatino Linotype" w:hAnsi="Palatino Linotype"/>
          <w:bCs/>
          <w:sz w:val="24"/>
          <w:szCs w:val="24"/>
          <w:lang w:val="es-ES"/>
        </w:rPr>
        <w:t>vía juicio de amparo</w:t>
      </w:r>
      <w:r w:rsidRPr="00890BD0">
        <w:rPr>
          <w:rFonts w:ascii="Palatino Linotype" w:hAnsi="Palatino Linotype"/>
          <w:sz w:val="24"/>
          <w:szCs w:val="24"/>
          <w:lang w:val="es-ES"/>
        </w:rPr>
        <w:t> en los términos de las leyes aplicables.</w:t>
      </w:r>
    </w:p>
    <w:p w:rsidR="00F82C28" w:rsidRPr="00890BD0" w:rsidRDefault="00F82C28" w:rsidP="00A21DD2">
      <w:pPr>
        <w:shd w:val="clear" w:color="auto" w:fill="FFFFFF"/>
        <w:spacing w:line="360" w:lineRule="auto"/>
        <w:jc w:val="both"/>
        <w:rPr>
          <w:rFonts w:ascii="Palatino Linotype" w:hAnsi="Palatino Linotype"/>
          <w:sz w:val="24"/>
          <w:szCs w:val="24"/>
          <w:lang w:val="es-ES"/>
        </w:rPr>
      </w:pPr>
    </w:p>
    <w:p w:rsidR="00F82C28" w:rsidRPr="00890BD0" w:rsidRDefault="00F82C28" w:rsidP="00F82C28">
      <w:pPr>
        <w:spacing w:before="240" w:after="240" w:line="360" w:lineRule="auto"/>
        <w:ind w:firstLine="1"/>
        <w:jc w:val="both"/>
        <w:rPr>
          <w:rFonts w:ascii="Palatino Linotype" w:hAnsi="Palatino Linotype"/>
          <w:sz w:val="24"/>
          <w:szCs w:val="24"/>
        </w:rPr>
      </w:pPr>
      <w:bookmarkStart w:id="18" w:name="_Hlk99014733"/>
      <w:bookmarkEnd w:id="8"/>
      <w:r w:rsidRPr="00890BD0">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890BD0">
        <w:rPr>
          <w:rFonts w:ascii="Palatino Linotype" w:hAnsi="Palatino Linotype" w:cs="Palatino Linotype"/>
          <w:color w:val="000000" w:themeColor="text1"/>
          <w:sz w:val="24"/>
          <w:szCs w:val="24"/>
        </w:rPr>
        <w:t>ALEXIS TAPIA RAMÍREZ.</w:t>
      </w:r>
    </w:p>
    <w:bookmarkEnd w:id="18"/>
    <w:p w:rsidR="008D2F61" w:rsidRPr="00890BD0" w:rsidRDefault="008D2F61">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p w:rsidR="009A178C" w:rsidRPr="00890BD0" w:rsidRDefault="009A178C">
      <w:pPr>
        <w:rPr>
          <w:sz w:val="24"/>
          <w:szCs w:val="24"/>
        </w:rPr>
      </w:pPr>
    </w:p>
    <w:sectPr w:rsidR="009A178C" w:rsidRPr="00890BD0" w:rsidSect="00890BD0">
      <w:headerReference w:type="even" r:id="rId11"/>
      <w:headerReference w:type="default" r:id="rId12"/>
      <w:footerReference w:type="default" r:id="rId13"/>
      <w:headerReference w:type="first" r:id="rId14"/>
      <w:footerReference w:type="first" r:id="rId15"/>
      <w:pgSz w:w="12240" w:h="15840"/>
      <w:pgMar w:top="80" w:right="616"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492" w:rsidRDefault="00124492" w:rsidP="008D2F61">
      <w:r>
        <w:separator/>
      </w:r>
    </w:p>
  </w:endnote>
  <w:endnote w:type="continuationSeparator" w:id="0">
    <w:p w:rsidR="00124492" w:rsidRDefault="00124492" w:rsidP="008D2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37653"/>
      <w:docPartObj>
        <w:docPartGallery w:val="AutoText"/>
      </w:docPartObj>
    </w:sdtPr>
    <w:sdtEndPr>
      <w:rPr>
        <w:rFonts w:ascii="Palatino Linotype" w:hAnsi="Palatino Linotype"/>
        <w:b/>
        <w:sz w:val="22"/>
        <w:szCs w:val="22"/>
      </w:rPr>
    </w:sdtEndPr>
    <w:sdtContent>
      <w:sdt>
        <w:sdtPr>
          <w:rPr>
            <w:rFonts w:ascii="Palatino Linotype" w:hAnsi="Palatino Linotype"/>
            <w:b/>
            <w:sz w:val="22"/>
            <w:szCs w:val="22"/>
          </w:rPr>
          <w:id w:val="944424824"/>
          <w:docPartObj>
            <w:docPartGallery w:val="AutoText"/>
          </w:docPartObj>
        </w:sdtPr>
        <w:sdtEndPr/>
        <w:sdtContent>
          <w:p w:rsidR="00913F26" w:rsidRPr="00890BD0" w:rsidRDefault="00913F26">
            <w:pPr>
              <w:pStyle w:val="Piedepgina"/>
              <w:jc w:val="right"/>
              <w:rPr>
                <w:rFonts w:ascii="Palatino Linotype" w:hAnsi="Palatino Linotype"/>
                <w:b/>
                <w:sz w:val="22"/>
                <w:szCs w:val="22"/>
              </w:rPr>
            </w:pPr>
          </w:p>
          <w:p w:rsidR="00913F26" w:rsidRPr="00890BD0" w:rsidRDefault="00913F26">
            <w:pPr>
              <w:pStyle w:val="Piedepgina"/>
              <w:jc w:val="right"/>
              <w:rPr>
                <w:rFonts w:ascii="Palatino Linotype" w:hAnsi="Palatino Linotype"/>
                <w:b/>
                <w:sz w:val="22"/>
                <w:szCs w:val="22"/>
              </w:rPr>
            </w:pPr>
            <w:r w:rsidRPr="00890BD0">
              <w:rPr>
                <w:rFonts w:ascii="Palatino Linotype" w:hAnsi="Palatino Linotype"/>
                <w:b/>
                <w:sz w:val="22"/>
                <w:szCs w:val="22"/>
                <w:lang w:val="es-ES"/>
              </w:rPr>
              <w:t xml:space="preserve">Página </w:t>
            </w:r>
            <w:r w:rsidRPr="00890BD0">
              <w:rPr>
                <w:rFonts w:ascii="Palatino Linotype" w:hAnsi="Palatino Linotype"/>
                <w:b/>
                <w:bCs/>
                <w:sz w:val="22"/>
                <w:szCs w:val="22"/>
              </w:rPr>
              <w:fldChar w:fldCharType="begin"/>
            </w:r>
            <w:r w:rsidRPr="00890BD0">
              <w:rPr>
                <w:rFonts w:ascii="Palatino Linotype" w:hAnsi="Palatino Linotype"/>
                <w:b/>
                <w:bCs/>
                <w:sz w:val="22"/>
                <w:szCs w:val="22"/>
              </w:rPr>
              <w:instrText>PAGE</w:instrText>
            </w:r>
            <w:r w:rsidRPr="00890BD0">
              <w:rPr>
                <w:rFonts w:ascii="Palatino Linotype" w:hAnsi="Palatino Linotype"/>
                <w:b/>
                <w:bCs/>
                <w:sz w:val="22"/>
                <w:szCs w:val="22"/>
              </w:rPr>
              <w:fldChar w:fldCharType="separate"/>
            </w:r>
            <w:r w:rsidR="00FA1902">
              <w:rPr>
                <w:rFonts w:ascii="Palatino Linotype" w:hAnsi="Palatino Linotype"/>
                <w:b/>
                <w:bCs/>
                <w:noProof/>
                <w:sz w:val="22"/>
                <w:szCs w:val="22"/>
              </w:rPr>
              <w:t>21</w:t>
            </w:r>
            <w:r w:rsidRPr="00890BD0">
              <w:rPr>
                <w:rFonts w:ascii="Palatino Linotype" w:hAnsi="Palatino Linotype"/>
                <w:b/>
                <w:bCs/>
                <w:sz w:val="22"/>
                <w:szCs w:val="22"/>
              </w:rPr>
              <w:fldChar w:fldCharType="end"/>
            </w:r>
            <w:r w:rsidRPr="00890BD0">
              <w:rPr>
                <w:rFonts w:ascii="Palatino Linotype" w:hAnsi="Palatino Linotype"/>
                <w:b/>
                <w:sz w:val="22"/>
                <w:szCs w:val="22"/>
                <w:lang w:val="es-ES"/>
              </w:rPr>
              <w:t xml:space="preserve"> de </w:t>
            </w:r>
            <w:r w:rsidRPr="00890BD0">
              <w:rPr>
                <w:rFonts w:ascii="Palatino Linotype" w:hAnsi="Palatino Linotype"/>
                <w:b/>
                <w:bCs/>
                <w:sz w:val="22"/>
                <w:szCs w:val="22"/>
              </w:rPr>
              <w:fldChar w:fldCharType="begin"/>
            </w:r>
            <w:r w:rsidRPr="00890BD0">
              <w:rPr>
                <w:rFonts w:ascii="Palatino Linotype" w:hAnsi="Palatino Linotype"/>
                <w:b/>
                <w:bCs/>
                <w:sz w:val="22"/>
                <w:szCs w:val="22"/>
              </w:rPr>
              <w:instrText>NUMPAGES</w:instrText>
            </w:r>
            <w:r w:rsidRPr="00890BD0">
              <w:rPr>
                <w:rFonts w:ascii="Palatino Linotype" w:hAnsi="Palatino Linotype"/>
                <w:b/>
                <w:bCs/>
                <w:sz w:val="22"/>
                <w:szCs w:val="22"/>
              </w:rPr>
              <w:fldChar w:fldCharType="separate"/>
            </w:r>
            <w:r w:rsidR="00FA1902">
              <w:rPr>
                <w:rFonts w:ascii="Palatino Linotype" w:hAnsi="Palatino Linotype"/>
                <w:b/>
                <w:bCs/>
                <w:noProof/>
                <w:sz w:val="22"/>
                <w:szCs w:val="22"/>
              </w:rPr>
              <w:t>28</w:t>
            </w:r>
            <w:r w:rsidRPr="00890BD0">
              <w:rPr>
                <w:rFonts w:ascii="Palatino Linotype" w:hAnsi="Palatino Linotype"/>
                <w:b/>
                <w:bCs/>
                <w:sz w:val="22"/>
                <w:szCs w:val="22"/>
              </w:rPr>
              <w:fldChar w:fldCharType="end"/>
            </w:r>
          </w:p>
        </w:sdtContent>
      </w:sdt>
    </w:sdtContent>
  </w:sdt>
  <w:p w:rsidR="00913F26" w:rsidRPr="00890BD0" w:rsidRDefault="00913F26">
    <w:pPr>
      <w:pStyle w:val="Piedepgina"/>
      <w:rPr>
        <w:rFonts w:ascii="Palatino Linotype" w:hAnsi="Palatino Linotype"/>
        <w:b/>
        <w:sz w:val="22"/>
        <w:szCs w:val="22"/>
      </w:rPr>
    </w:pPr>
  </w:p>
  <w:p w:rsidR="00913F26" w:rsidRDefault="00913F26"/>
  <w:p w:rsidR="00913F26" w:rsidRDefault="00913F26"/>
  <w:p w:rsidR="00913F26" w:rsidRDefault="00913F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b/>
        <w:sz w:val="22"/>
        <w:szCs w:val="22"/>
      </w:rPr>
      <w:id w:val="-1161694856"/>
      <w:docPartObj>
        <w:docPartGallery w:val="AutoText"/>
      </w:docPartObj>
    </w:sdtPr>
    <w:sdtEndPr/>
    <w:sdtContent>
      <w:sdt>
        <w:sdtPr>
          <w:rPr>
            <w:rFonts w:ascii="Palatino Linotype" w:hAnsi="Palatino Linotype"/>
            <w:b/>
            <w:sz w:val="22"/>
            <w:szCs w:val="22"/>
          </w:rPr>
          <w:id w:val="-399209190"/>
          <w:docPartObj>
            <w:docPartGallery w:val="AutoText"/>
          </w:docPartObj>
        </w:sdtPr>
        <w:sdtEndPr/>
        <w:sdtContent>
          <w:p w:rsidR="00913F26" w:rsidRPr="00890BD0" w:rsidRDefault="00913F26">
            <w:pPr>
              <w:pStyle w:val="Piedepgina"/>
              <w:jc w:val="right"/>
              <w:rPr>
                <w:rFonts w:ascii="Palatino Linotype" w:hAnsi="Palatino Linotype"/>
                <w:b/>
                <w:sz w:val="22"/>
                <w:szCs w:val="22"/>
              </w:rPr>
            </w:pPr>
            <w:r w:rsidRPr="00890BD0">
              <w:rPr>
                <w:rFonts w:ascii="Palatino Linotype" w:hAnsi="Palatino Linotype"/>
                <w:b/>
                <w:sz w:val="22"/>
                <w:szCs w:val="22"/>
                <w:lang w:val="es-ES"/>
              </w:rPr>
              <w:t xml:space="preserve">Página </w:t>
            </w:r>
            <w:r w:rsidRPr="00890BD0">
              <w:rPr>
                <w:rFonts w:ascii="Palatino Linotype" w:hAnsi="Palatino Linotype"/>
                <w:b/>
                <w:bCs/>
                <w:sz w:val="22"/>
                <w:szCs w:val="22"/>
              </w:rPr>
              <w:fldChar w:fldCharType="begin"/>
            </w:r>
            <w:r w:rsidRPr="00890BD0">
              <w:rPr>
                <w:rFonts w:ascii="Palatino Linotype" w:hAnsi="Palatino Linotype"/>
                <w:b/>
                <w:bCs/>
                <w:sz w:val="22"/>
                <w:szCs w:val="22"/>
              </w:rPr>
              <w:instrText>PAGE</w:instrText>
            </w:r>
            <w:r w:rsidRPr="00890BD0">
              <w:rPr>
                <w:rFonts w:ascii="Palatino Linotype" w:hAnsi="Palatino Linotype"/>
                <w:b/>
                <w:bCs/>
                <w:sz w:val="22"/>
                <w:szCs w:val="22"/>
              </w:rPr>
              <w:fldChar w:fldCharType="separate"/>
            </w:r>
            <w:r w:rsidR="00FA1902">
              <w:rPr>
                <w:rFonts w:ascii="Palatino Linotype" w:hAnsi="Palatino Linotype"/>
                <w:b/>
                <w:bCs/>
                <w:noProof/>
                <w:sz w:val="22"/>
                <w:szCs w:val="22"/>
              </w:rPr>
              <w:t>1</w:t>
            </w:r>
            <w:r w:rsidRPr="00890BD0">
              <w:rPr>
                <w:rFonts w:ascii="Palatino Linotype" w:hAnsi="Palatino Linotype"/>
                <w:b/>
                <w:bCs/>
                <w:sz w:val="22"/>
                <w:szCs w:val="22"/>
              </w:rPr>
              <w:fldChar w:fldCharType="end"/>
            </w:r>
            <w:r w:rsidRPr="00890BD0">
              <w:rPr>
                <w:rFonts w:ascii="Palatino Linotype" w:hAnsi="Palatino Linotype"/>
                <w:b/>
                <w:sz w:val="22"/>
                <w:szCs w:val="22"/>
                <w:lang w:val="es-ES"/>
              </w:rPr>
              <w:t xml:space="preserve"> de </w:t>
            </w:r>
            <w:r w:rsidRPr="00890BD0">
              <w:rPr>
                <w:rFonts w:ascii="Palatino Linotype" w:hAnsi="Palatino Linotype"/>
                <w:b/>
                <w:bCs/>
                <w:sz w:val="22"/>
                <w:szCs w:val="22"/>
              </w:rPr>
              <w:fldChar w:fldCharType="begin"/>
            </w:r>
            <w:r w:rsidRPr="00890BD0">
              <w:rPr>
                <w:rFonts w:ascii="Palatino Linotype" w:hAnsi="Palatino Linotype"/>
                <w:b/>
                <w:bCs/>
                <w:sz w:val="22"/>
                <w:szCs w:val="22"/>
              </w:rPr>
              <w:instrText>NUMPAGES</w:instrText>
            </w:r>
            <w:r w:rsidRPr="00890BD0">
              <w:rPr>
                <w:rFonts w:ascii="Palatino Linotype" w:hAnsi="Palatino Linotype"/>
                <w:b/>
                <w:bCs/>
                <w:sz w:val="22"/>
                <w:szCs w:val="22"/>
              </w:rPr>
              <w:fldChar w:fldCharType="separate"/>
            </w:r>
            <w:r w:rsidR="00FA1902">
              <w:rPr>
                <w:rFonts w:ascii="Palatino Linotype" w:hAnsi="Palatino Linotype"/>
                <w:b/>
                <w:bCs/>
                <w:noProof/>
                <w:sz w:val="22"/>
                <w:szCs w:val="22"/>
              </w:rPr>
              <w:t>28</w:t>
            </w:r>
            <w:r w:rsidRPr="00890BD0">
              <w:rPr>
                <w:rFonts w:ascii="Palatino Linotype" w:hAnsi="Palatino Linotype"/>
                <w:b/>
                <w:bCs/>
                <w:sz w:val="22"/>
                <w:szCs w:val="22"/>
              </w:rPr>
              <w:fldChar w:fldCharType="end"/>
            </w:r>
          </w:p>
        </w:sdtContent>
      </w:sdt>
    </w:sdtContent>
  </w:sdt>
  <w:p w:rsidR="00913F26" w:rsidRDefault="00913F26">
    <w:pPr>
      <w:pStyle w:val="Piedepgina"/>
    </w:pPr>
  </w:p>
  <w:p w:rsidR="00913F26" w:rsidRDefault="00913F26"/>
  <w:p w:rsidR="00913F26" w:rsidRDefault="00913F26"/>
  <w:p w:rsidR="00913F26" w:rsidRDefault="00913F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492" w:rsidRDefault="00124492" w:rsidP="008D2F61">
      <w:r>
        <w:separator/>
      </w:r>
    </w:p>
  </w:footnote>
  <w:footnote w:type="continuationSeparator" w:id="0">
    <w:p w:rsidR="00124492" w:rsidRDefault="00124492" w:rsidP="008D2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26" w:rsidRDefault="00124492">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alt="" style="position:absolute;margin-left:0;margin-top:0;width:663.5pt;height:12in;z-index:-251657216;mso-wrap-edited:f;mso-width-percent:0;mso-height-percent:0;mso-position-horizontal:center;mso-position-horizontal-relative:margin;mso-position-vertical:center;mso-position-vertical-relative:margin;mso-width-percent:0;mso-height-percent:0" o:allowincell="f">
          <v:imagedata r:id="rId1" o:title="marcaaguaINFOEM"/>
          <w10:wrap anchorx="margin" anchory="margin"/>
        </v:shape>
      </w:pict>
    </w:r>
  </w:p>
  <w:p w:rsidR="00913F26" w:rsidRDefault="00913F26"/>
  <w:p w:rsidR="00913F26" w:rsidRDefault="00913F26"/>
  <w:p w:rsidR="00913F26" w:rsidRDefault="00913F2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843"/>
      <w:gridCol w:w="8647"/>
    </w:tblGrid>
    <w:tr w:rsidR="00913F26" w:rsidTr="00890BD0">
      <w:trPr>
        <w:trHeight w:val="1435"/>
      </w:trPr>
      <w:tc>
        <w:tcPr>
          <w:tcW w:w="1843" w:type="dxa"/>
          <w:shd w:val="clear" w:color="auto" w:fill="auto"/>
        </w:tcPr>
        <w:p w:rsidR="00913F26" w:rsidRDefault="00913F26">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8647" w:type="dxa"/>
          <w:shd w:val="clear" w:color="auto" w:fill="auto"/>
        </w:tcPr>
        <w:tbl>
          <w:tblPr>
            <w:tblStyle w:val="Tablaconcuadrcula"/>
            <w:tblW w:w="6803"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2"/>
            <w:gridCol w:w="4111"/>
          </w:tblGrid>
          <w:tr w:rsidR="00913F26" w:rsidRPr="007E6F52" w:rsidTr="00890BD0">
            <w:trPr>
              <w:trHeight w:val="338"/>
            </w:trPr>
            <w:tc>
              <w:tcPr>
                <w:tcW w:w="2692" w:type="dxa"/>
              </w:tcPr>
              <w:p w:rsidR="00913F26" w:rsidRPr="00890BD0" w:rsidRDefault="00913F26">
                <w:pPr>
                  <w:tabs>
                    <w:tab w:val="right" w:pos="8838"/>
                  </w:tabs>
                  <w:ind w:right="-105"/>
                  <w:rPr>
                    <w:rFonts w:ascii="Palatino Linotype" w:eastAsia="Calibri" w:hAnsi="Palatino Linotype" w:cs="Tahoma"/>
                    <w:b/>
                    <w:sz w:val="24"/>
                    <w:lang w:eastAsia="en-US"/>
                  </w:rPr>
                </w:pPr>
                <w:r w:rsidRPr="00890BD0">
                  <w:rPr>
                    <w:rFonts w:ascii="Palatino Linotype" w:eastAsia="Calibri" w:hAnsi="Palatino Linotype" w:cs="Tahoma"/>
                    <w:b/>
                    <w:sz w:val="24"/>
                    <w:lang w:eastAsia="en-US"/>
                  </w:rPr>
                  <w:t>Recurso de Revisión:</w:t>
                </w:r>
              </w:p>
            </w:tc>
            <w:tc>
              <w:tcPr>
                <w:tcW w:w="4111" w:type="dxa"/>
              </w:tcPr>
              <w:p w:rsidR="00913F26" w:rsidRPr="00890BD0" w:rsidRDefault="00913F26" w:rsidP="00890BD0">
                <w:pPr>
                  <w:tabs>
                    <w:tab w:val="right" w:pos="8838"/>
                  </w:tabs>
                  <w:ind w:left="34" w:right="-105"/>
                  <w:jc w:val="both"/>
                  <w:rPr>
                    <w:rFonts w:ascii="Palatino Linotype" w:eastAsia="Calibri" w:hAnsi="Palatino Linotype" w:cs="Tahoma"/>
                    <w:sz w:val="24"/>
                    <w:lang w:eastAsia="en-US"/>
                  </w:rPr>
                </w:pPr>
                <w:r w:rsidRPr="00890BD0">
                  <w:rPr>
                    <w:rFonts w:ascii="Palatino Linotype" w:eastAsia="Calibri" w:hAnsi="Palatino Linotype" w:cs="Tahoma"/>
                    <w:sz w:val="24"/>
                    <w:lang w:eastAsia="en-US"/>
                  </w:rPr>
                  <w:t>13908/INFOEM/IP/RR/2025</w:t>
                </w:r>
              </w:p>
            </w:tc>
          </w:tr>
          <w:tr w:rsidR="00913F26" w:rsidRPr="007E6F52" w:rsidTr="00890BD0">
            <w:trPr>
              <w:trHeight w:val="283"/>
            </w:trPr>
            <w:tc>
              <w:tcPr>
                <w:tcW w:w="2692" w:type="dxa"/>
              </w:tcPr>
              <w:p w:rsidR="00913F26" w:rsidRPr="00890BD0" w:rsidRDefault="00913F26">
                <w:pPr>
                  <w:tabs>
                    <w:tab w:val="right" w:pos="8838"/>
                  </w:tabs>
                  <w:ind w:right="-105"/>
                  <w:rPr>
                    <w:rFonts w:ascii="Palatino Linotype" w:eastAsia="Calibri" w:hAnsi="Palatino Linotype" w:cs="Tahoma"/>
                    <w:b/>
                    <w:sz w:val="24"/>
                    <w:lang w:eastAsia="en-US"/>
                  </w:rPr>
                </w:pPr>
                <w:bookmarkStart w:id="19" w:name="_Hlk33010189"/>
                <w:r w:rsidRPr="00890BD0">
                  <w:rPr>
                    <w:rFonts w:ascii="Palatino Linotype" w:eastAsia="Calibri" w:hAnsi="Palatino Linotype" w:cs="Tahoma"/>
                    <w:b/>
                    <w:sz w:val="24"/>
                    <w:lang w:eastAsia="en-US"/>
                  </w:rPr>
                  <w:t>Sujeto Obligado:</w:t>
                </w:r>
              </w:p>
            </w:tc>
            <w:tc>
              <w:tcPr>
                <w:tcW w:w="4111" w:type="dxa"/>
              </w:tcPr>
              <w:p w:rsidR="00913F26" w:rsidRPr="00890BD0" w:rsidRDefault="00913F26" w:rsidP="00890BD0">
                <w:pPr>
                  <w:tabs>
                    <w:tab w:val="left" w:pos="2834"/>
                    <w:tab w:val="right" w:pos="8838"/>
                  </w:tabs>
                  <w:ind w:left="34" w:right="-107"/>
                  <w:jc w:val="both"/>
                  <w:rPr>
                    <w:rFonts w:ascii="Palatino Linotype" w:hAnsi="Palatino Linotype"/>
                    <w:bCs/>
                    <w:color w:val="000000"/>
                    <w:sz w:val="24"/>
                    <w:lang w:val="es-MX"/>
                  </w:rPr>
                </w:pPr>
                <w:r w:rsidRPr="00890BD0">
                  <w:rPr>
                    <w:rFonts w:ascii="Palatino Linotype" w:hAnsi="Palatino Linotype"/>
                    <w:bCs/>
                    <w:color w:val="000000"/>
                    <w:sz w:val="24"/>
                    <w:lang w:val="es-MX"/>
                  </w:rPr>
                  <w:t>Ayuntamiento de Cuautitlán Izcalli</w:t>
                </w:r>
              </w:p>
            </w:tc>
          </w:tr>
          <w:bookmarkEnd w:id="19"/>
          <w:tr w:rsidR="00913F26" w:rsidRPr="007E6F52" w:rsidTr="00890BD0">
            <w:trPr>
              <w:trHeight w:val="283"/>
            </w:trPr>
            <w:tc>
              <w:tcPr>
                <w:tcW w:w="2692" w:type="dxa"/>
              </w:tcPr>
              <w:p w:rsidR="00913F26" w:rsidRPr="00890BD0" w:rsidRDefault="00913F26">
                <w:pPr>
                  <w:tabs>
                    <w:tab w:val="right" w:pos="8838"/>
                  </w:tabs>
                  <w:ind w:right="-105"/>
                  <w:rPr>
                    <w:rFonts w:ascii="Palatino Linotype" w:eastAsia="Calibri" w:hAnsi="Palatino Linotype" w:cs="Tahoma"/>
                    <w:b/>
                    <w:sz w:val="24"/>
                    <w:lang w:eastAsia="en-US"/>
                  </w:rPr>
                </w:pPr>
                <w:r w:rsidRPr="00890BD0">
                  <w:rPr>
                    <w:rFonts w:ascii="Palatino Linotype" w:eastAsia="Calibri" w:hAnsi="Palatino Linotype" w:cs="Tahoma"/>
                    <w:b/>
                    <w:sz w:val="24"/>
                    <w:lang w:eastAsia="en-US"/>
                  </w:rPr>
                  <w:t>Comisionada Ponente:</w:t>
                </w:r>
              </w:p>
            </w:tc>
            <w:tc>
              <w:tcPr>
                <w:tcW w:w="4111" w:type="dxa"/>
              </w:tcPr>
              <w:p w:rsidR="00913F26" w:rsidRPr="00890BD0" w:rsidRDefault="00913F26" w:rsidP="00890BD0">
                <w:pPr>
                  <w:tabs>
                    <w:tab w:val="right" w:pos="8838"/>
                  </w:tabs>
                  <w:ind w:left="34" w:right="-105"/>
                  <w:jc w:val="both"/>
                  <w:rPr>
                    <w:rFonts w:ascii="Palatino Linotype" w:eastAsia="Calibri" w:hAnsi="Palatino Linotype" w:cs="Tahoma"/>
                    <w:sz w:val="24"/>
                    <w:lang w:eastAsia="en-US"/>
                  </w:rPr>
                </w:pPr>
                <w:r w:rsidRPr="00890BD0">
                  <w:rPr>
                    <w:rFonts w:ascii="Palatino Linotype" w:eastAsia="Calibri" w:hAnsi="Palatino Linotype" w:cs="Tahoma"/>
                    <w:sz w:val="24"/>
                    <w:lang w:eastAsia="en-US"/>
                  </w:rPr>
                  <w:t>María del Rosario Mejía Ayala</w:t>
                </w:r>
              </w:p>
            </w:tc>
          </w:tr>
        </w:tbl>
        <w:p w:rsidR="00913F26" w:rsidRDefault="00913F26">
          <w:pPr>
            <w:tabs>
              <w:tab w:val="right" w:pos="8838"/>
            </w:tabs>
            <w:ind w:left="-28"/>
            <w:jc w:val="both"/>
            <w:rPr>
              <w:rFonts w:ascii="Arial" w:eastAsia="Calibri" w:hAnsi="Arial" w:cs="Arial"/>
              <w:b/>
              <w:sz w:val="22"/>
              <w:szCs w:val="22"/>
              <w:lang w:eastAsia="en-US"/>
            </w:rPr>
          </w:pPr>
        </w:p>
      </w:tc>
    </w:tr>
  </w:tbl>
  <w:p w:rsidR="00913F26" w:rsidRPr="00890BD0" w:rsidRDefault="00124492" w:rsidP="00890BD0">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alt="" style="position:absolute;margin-left:-63.65pt;margin-top:-129pt;width:663.5pt;height:12in;z-index:-251656192;mso-wrap-edited:f;mso-width-percent:0;mso-height-percent:0;mso-position-horizontal-relative:margin;mso-position-vertical-relative:margin;mso-width-percent:0;mso-height-percent:0" o:allowincell="f">
          <v:imagedata r:id="rId1" o:title="marcaagua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560"/>
      <w:gridCol w:w="8930"/>
    </w:tblGrid>
    <w:tr w:rsidR="00913F26" w:rsidTr="00890BD0">
      <w:trPr>
        <w:trHeight w:val="1435"/>
      </w:trPr>
      <w:tc>
        <w:tcPr>
          <w:tcW w:w="1560" w:type="dxa"/>
          <w:shd w:val="clear" w:color="auto" w:fill="auto"/>
        </w:tcPr>
        <w:p w:rsidR="00913F26" w:rsidRDefault="00913F26">
          <w:pPr>
            <w:tabs>
              <w:tab w:val="right" w:pos="4273"/>
            </w:tabs>
            <w:rPr>
              <w:rFonts w:ascii="Garamond" w:eastAsia="Calibri" w:hAnsi="Garamond"/>
              <w:sz w:val="22"/>
              <w:szCs w:val="22"/>
              <w:lang w:eastAsia="en-US"/>
            </w:rPr>
          </w:pPr>
        </w:p>
      </w:tc>
      <w:tc>
        <w:tcPr>
          <w:tcW w:w="8930" w:type="dxa"/>
          <w:shd w:val="clear" w:color="auto" w:fill="auto"/>
        </w:tcPr>
        <w:tbl>
          <w:tblPr>
            <w:tblStyle w:val="Tablaconcuadrcula"/>
            <w:tblW w:w="9780" w:type="dxa"/>
            <w:tblInd w:w="1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0"/>
            <w:gridCol w:w="4111"/>
            <w:gridCol w:w="2979"/>
          </w:tblGrid>
          <w:tr w:rsidR="00913F26" w:rsidTr="00890BD0">
            <w:trPr>
              <w:trHeight w:val="144"/>
            </w:trPr>
            <w:tc>
              <w:tcPr>
                <w:tcW w:w="2690" w:type="dxa"/>
              </w:tcPr>
              <w:p w:rsidR="00913F26" w:rsidRPr="00890BD0" w:rsidRDefault="00913F26" w:rsidP="008D2F61">
                <w:pPr>
                  <w:tabs>
                    <w:tab w:val="right" w:pos="8838"/>
                  </w:tabs>
                  <w:ind w:left="-74" w:right="-105"/>
                  <w:rPr>
                    <w:rFonts w:ascii="Palatino Linotype" w:eastAsia="Calibri" w:hAnsi="Palatino Linotype" w:cs="Tahoma"/>
                    <w:b/>
                    <w:sz w:val="24"/>
                    <w:szCs w:val="22"/>
                    <w:lang w:eastAsia="en-US"/>
                  </w:rPr>
                </w:pPr>
                <w:bookmarkStart w:id="20" w:name="_Hlk12526980"/>
                <w:r w:rsidRPr="00890BD0">
                  <w:rPr>
                    <w:rFonts w:ascii="Palatino Linotype" w:eastAsia="Calibri" w:hAnsi="Palatino Linotype" w:cs="Tahoma"/>
                    <w:b/>
                    <w:sz w:val="24"/>
                    <w:szCs w:val="22"/>
                    <w:lang w:eastAsia="en-US"/>
                  </w:rPr>
                  <w:t>Recurso de Revisión:</w:t>
                </w:r>
              </w:p>
            </w:tc>
            <w:tc>
              <w:tcPr>
                <w:tcW w:w="4111" w:type="dxa"/>
              </w:tcPr>
              <w:p w:rsidR="00913F26" w:rsidRPr="00890BD0" w:rsidRDefault="00913F26" w:rsidP="00274976">
                <w:pPr>
                  <w:tabs>
                    <w:tab w:val="right" w:pos="8838"/>
                  </w:tabs>
                  <w:ind w:right="-105"/>
                  <w:jc w:val="both"/>
                  <w:rPr>
                    <w:rFonts w:ascii="Palatino Linotype" w:eastAsia="Calibri" w:hAnsi="Palatino Linotype" w:cs="Tahoma"/>
                    <w:sz w:val="24"/>
                    <w:szCs w:val="22"/>
                    <w:lang w:eastAsia="en-US"/>
                  </w:rPr>
                </w:pPr>
                <w:r w:rsidRPr="00890BD0">
                  <w:rPr>
                    <w:rFonts w:ascii="Palatino Linotype" w:eastAsia="Calibri" w:hAnsi="Palatino Linotype" w:cs="Tahoma"/>
                    <w:bCs/>
                    <w:sz w:val="24"/>
                    <w:szCs w:val="22"/>
                    <w:lang w:val="es-MX" w:eastAsia="en-US"/>
                  </w:rPr>
                  <w:t>13908/INFOEM/IP/RR/2025</w:t>
                </w:r>
              </w:p>
            </w:tc>
            <w:tc>
              <w:tcPr>
                <w:tcW w:w="2979" w:type="dxa"/>
              </w:tcPr>
              <w:p w:rsidR="00913F26" w:rsidRDefault="00913F26">
                <w:pPr>
                  <w:tabs>
                    <w:tab w:val="right" w:pos="8838"/>
                  </w:tabs>
                  <w:ind w:left="-74" w:right="-105"/>
                  <w:jc w:val="both"/>
                  <w:rPr>
                    <w:rFonts w:ascii="Palatino Linotype" w:eastAsia="Calibri" w:hAnsi="Palatino Linotype" w:cs="Tahoma"/>
                    <w:bCs/>
                    <w:sz w:val="22"/>
                    <w:szCs w:val="22"/>
                    <w:lang w:eastAsia="en-US"/>
                  </w:rPr>
                </w:pPr>
              </w:p>
            </w:tc>
          </w:tr>
          <w:tr w:rsidR="00913F26" w:rsidTr="00890BD0">
            <w:trPr>
              <w:trHeight w:val="144"/>
            </w:trPr>
            <w:tc>
              <w:tcPr>
                <w:tcW w:w="2690" w:type="dxa"/>
              </w:tcPr>
              <w:p w:rsidR="00913F26" w:rsidRPr="00890BD0" w:rsidRDefault="00913F26" w:rsidP="008D2F61">
                <w:pPr>
                  <w:tabs>
                    <w:tab w:val="right" w:pos="8838"/>
                  </w:tabs>
                  <w:ind w:left="-74" w:right="-105"/>
                  <w:rPr>
                    <w:rFonts w:ascii="Palatino Linotype" w:eastAsia="Calibri" w:hAnsi="Palatino Linotype" w:cs="Tahoma"/>
                    <w:b/>
                    <w:sz w:val="24"/>
                    <w:szCs w:val="22"/>
                    <w:lang w:eastAsia="en-US"/>
                  </w:rPr>
                </w:pPr>
                <w:bookmarkStart w:id="21" w:name="_Hlk10641523"/>
                <w:bookmarkEnd w:id="20"/>
                <w:r w:rsidRPr="00890BD0">
                  <w:rPr>
                    <w:rFonts w:ascii="Palatino Linotype" w:eastAsia="Calibri" w:hAnsi="Palatino Linotype" w:cs="Tahoma"/>
                    <w:b/>
                    <w:sz w:val="24"/>
                    <w:szCs w:val="22"/>
                    <w:lang w:eastAsia="en-US"/>
                  </w:rPr>
                  <w:t>Recurrente:</w:t>
                </w:r>
              </w:p>
            </w:tc>
            <w:tc>
              <w:tcPr>
                <w:tcW w:w="4111" w:type="dxa"/>
              </w:tcPr>
              <w:p w:rsidR="00913F26" w:rsidRPr="00890BD0" w:rsidRDefault="00FA1902" w:rsidP="008D2F61">
                <w:pPr>
                  <w:tabs>
                    <w:tab w:val="left" w:pos="3122"/>
                    <w:tab w:val="right" w:pos="8838"/>
                  </w:tabs>
                  <w:ind w:right="1457"/>
                  <w:jc w:val="both"/>
                  <w:rPr>
                    <w:rFonts w:ascii="Palatino Linotype" w:eastAsia="Calibri" w:hAnsi="Palatino Linotype" w:cs="Tahoma"/>
                    <w:sz w:val="24"/>
                    <w:szCs w:val="22"/>
                    <w:lang w:eastAsia="en-US"/>
                  </w:rPr>
                </w:pPr>
                <w:r>
                  <w:rPr>
                    <w:rFonts w:ascii="Palatino Linotype" w:eastAsia="Calibri" w:hAnsi="Palatino Linotype" w:cs="Tahoma"/>
                    <w:bCs/>
                    <w:sz w:val="24"/>
                    <w:szCs w:val="22"/>
                    <w:lang w:val="es-MX" w:eastAsia="en-US"/>
                  </w:rPr>
                  <w:t>XXXX</w:t>
                </w:r>
              </w:p>
            </w:tc>
            <w:tc>
              <w:tcPr>
                <w:tcW w:w="2979" w:type="dxa"/>
              </w:tcPr>
              <w:p w:rsidR="00913F26" w:rsidRDefault="00913F26" w:rsidP="008D2F61">
                <w:pPr>
                  <w:tabs>
                    <w:tab w:val="left" w:pos="3122"/>
                    <w:tab w:val="right" w:pos="8838"/>
                  </w:tabs>
                  <w:ind w:right="-105"/>
                  <w:jc w:val="both"/>
                  <w:rPr>
                    <w:rFonts w:ascii="Palatino Linotype" w:eastAsia="Calibri" w:hAnsi="Palatino Linotype" w:cs="Tahoma"/>
                    <w:sz w:val="22"/>
                    <w:szCs w:val="22"/>
                    <w:lang w:eastAsia="en-US"/>
                  </w:rPr>
                </w:pPr>
              </w:p>
            </w:tc>
          </w:tr>
          <w:bookmarkEnd w:id="21"/>
          <w:tr w:rsidR="00913F26" w:rsidTr="00890BD0">
            <w:trPr>
              <w:trHeight w:val="283"/>
            </w:trPr>
            <w:tc>
              <w:tcPr>
                <w:tcW w:w="2690" w:type="dxa"/>
              </w:tcPr>
              <w:p w:rsidR="00913F26" w:rsidRPr="00890BD0" w:rsidRDefault="00913F26" w:rsidP="008D2F61">
                <w:pPr>
                  <w:tabs>
                    <w:tab w:val="right" w:pos="8838"/>
                  </w:tabs>
                  <w:ind w:left="-74" w:right="-105"/>
                  <w:rPr>
                    <w:rFonts w:ascii="Palatino Linotype" w:eastAsia="Calibri" w:hAnsi="Palatino Linotype" w:cs="Tahoma"/>
                    <w:b/>
                    <w:sz w:val="24"/>
                    <w:szCs w:val="22"/>
                    <w:lang w:eastAsia="en-US"/>
                  </w:rPr>
                </w:pPr>
                <w:r w:rsidRPr="00890BD0">
                  <w:rPr>
                    <w:rFonts w:ascii="Palatino Linotype" w:eastAsia="Calibri" w:hAnsi="Palatino Linotype" w:cs="Tahoma"/>
                    <w:b/>
                    <w:sz w:val="24"/>
                    <w:szCs w:val="22"/>
                    <w:lang w:eastAsia="en-US"/>
                  </w:rPr>
                  <w:t>Sujeto Obligado:</w:t>
                </w:r>
              </w:p>
            </w:tc>
            <w:tc>
              <w:tcPr>
                <w:tcW w:w="4111" w:type="dxa"/>
              </w:tcPr>
              <w:p w:rsidR="00913F26" w:rsidRPr="00890BD0" w:rsidRDefault="00913F26" w:rsidP="008D2F61">
                <w:pPr>
                  <w:tabs>
                    <w:tab w:val="left" w:pos="2834"/>
                    <w:tab w:val="right" w:pos="8838"/>
                  </w:tabs>
                  <w:ind w:left="-3" w:right="-105"/>
                  <w:jc w:val="both"/>
                  <w:rPr>
                    <w:rFonts w:ascii="Palatino Linotype" w:eastAsia="Calibri" w:hAnsi="Palatino Linotype" w:cs="Tahoma"/>
                    <w:sz w:val="24"/>
                    <w:szCs w:val="22"/>
                    <w:lang w:eastAsia="en-US"/>
                  </w:rPr>
                </w:pPr>
                <w:r w:rsidRPr="00890BD0">
                  <w:rPr>
                    <w:rFonts w:ascii="Palatino Linotype" w:hAnsi="Palatino Linotype"/>
                    <w:bCs/>
                    <w:color w:val="000000"/>
                    <w:sz w:val="24"/>
                    <w:szCs w:val="22"/>
                    <w:lang w:val="es-MX"/>
                  </w:rPr>
                  <w:t>Ayuntamiento de Cuautitlán Izcalli</w:t>
                </w:r>
              </w:p>
            </w:tc>
            <w:tc>
              <w:tcPr>
                <w:tcW w:w="2979" w:type="dxa"/>
              </w:tcPr>
              <w:p w:rsidR="00913F26" w:rsidRPr="006751E8" w:rsidRDefault="00913F26">
                <w:pPr>
                  <w:tabs>
                    <w:tab w:val="left" w:pos="2834"/>
                    <w:tab w:val="right" w:pos="8838"/>
                  </w:tabs>
                  <w:ind w:left="-74" w:right="-105"/>
                  <w:jc w:val="both"/>
                  <w:rPr>
                    <w:rFonts w:ascii="Palatino Linotype" w:eastAsia="Calibri" w:hAnsi="Palatino Linotype" w:cs="Tahoma"/>
                    <w:b/>
                    <w:bCs/>
                    <w:lang w:eastAsia="en-US"/>
                  </w:rPr>
                </w:pPr>
              </w:p>
            </w:tc>
          </w:tr>
          <w:tr w:rsidR="00913F26" w:rsidTr="00890BD0">
            <w:trPr>
              <w:trHeight w:val="283"/>
            </w:trPr>
            <w:tc>
              <w:tcPr>
                <w:tcW w:w="2690" w:type="dxa"/>
              </w:tcPr>
              <w:p w:rsidR="00913F26" w:rsidRPr="00890BD0" w:rsidRDefault="00913F26" w:rsidP="008D2F61">
                <w:pPr>
                  <w:tabs>
                    <w:tab w:val="right" w:pos="8838"/>
                  </w:tabs>
                  <w:ind w:left="-74" w:right="-105"/>
                  <w:rPr>
                    <w:rFonts w:ascii="Palatino Linotype" w:eastAsia="Calibri" w:hAnsi="Palatino Linotype" w:cs="Tahoma"/>
                    <w:b/>
                    <w:sz w:val="24"/>
                    <w:szCs w:val="22"/>
                    <w:lang w:eastAsia="en-US"/>
                  </w:rPr>
                </w:pPr>
                <w:r w:rsidRPr="00890BD0">
                  <w:rPr>
                    <w:rFonts w:ascii="Palatino Linotype" w:eastAsia="Calibri" w:hAnsi="Palatino Linotype" w:cs="Tahoma"/>
                    <w:b/>
                    <w:sz w:val="24"/>
                    <w:szCs w:val="22"/>
                    <w:lang w:eastAsia="en-US"/>
                  </w:rPr>
                  <w:t>Comisionada Ponente:</w:t>
                </w:r>
              </w:p>
            </w:tc>
            <w:tc>
              <w:tcPr>
                <w:tcW w:w="4111" w:type="dxa"/>
              </w:tcPr>
              <w:p w:rsidR="00913F26" w:rsidRPr="00890BD0" w:rsidRDefault="00913F26" w:rsidP="008D2F61">
                <w:pPr>
                  <w:tabs>
                    <w:tab w:val="right" w:pos="8838"/>
                  </w:tabs>
                  <w:ind w:left="-3" w:right="-105"/>
                  <w:jc w:val="both"/>
                  <w:rPr>
                    <w:rFonts w:ascii="Palatino Linotype" w:eastAsia="Calibri" w:hAnsi="Palatino Linotype" w:cs="Tahoma"/>
                    <w:sz w:val="24"/>
                    <w:szCs w:val="22"/>
                    <w:lang w:eastAsia="en-US"/>
                  </w:rPr>
                </w:pPr>
                <w:r w:rsidRPr="00890BD0">
                  <w:rPr>
                    <w:rFonts w:ascii="Palatino Linotype" w:eastAsia="Calibri" w:hAnsi="Palatino Linotype" w:cs="Tahoma"/>
                    <w:sz w:val="24"/>
                    <w:szCs w:val="22"/>
                    <w:lang w:eastAsia="en-US"/>
                  </w:rPr>
                  <w:t>María del Rosario Mejía Ayala</w:t>
                </w:r>
              </w:p>
            </w:tc>
            <w:tc>
              <w:tcPr>
                <w:tcW w:w="2979" w:type="dxa"/>
              </w:tcPr>
              <w:p w:rsidR="00913F26" w:rsidRPr="006751E8" w:rsidRDefault="00913F26">
                <w:pPr>
                  <w:tabs>
                    <w:tab w:val="right" w:pos="8838"/>
                  </w:tabs>
                  <w:ind w:left="-74" w:right="-105"/>
                  <w:jc w:val="both"/>
                  <w:rPr>
                    <w:rFonts w:ascii="Palatino Linotype" w:eastAsia="Calibri" w:hAnsi="Palatino Linotype" w:cs="Tahoma"/>
                    <w:b/>
                    <w:bCs/>
                    <w:lang w:eastAsia="en-US"/>
                  </w:rPr>
                </w:pPr>
              </w:p>
            </w:tc>
          </w:tr>
        </w:tbl>
        <w:p w:rsidR="00913F26" w:rsidRDefault="00913F26">
          <w:pPr>
            <w:tabs>
              <w:tab w:val="right" w:pos="8838"/>
            </w:tabs>
            <w:ind w:left="-28"/>
            <w:jc w:val="both"/>
            <w:rPr>
              <w:rFonts w:ascii="Arial" w:eastAsia="Calibri" w:hAnsi="Arial" w:cs="Arial"/>
              <w:b/>
              <w:sz w:val="22"/>
              <w:szCs w:val="22"/>
              <w:lang w:eastAsia="en-US"/>
            </w:rPr>
          </w:pPr>
        </w:p>
      </w:tc>
    </w:tr>
  </w:tbl>
  <w:p w:rsidR="00913F26" w:rsidRDefault="00124492" w:rsidP="00890BD0">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alt="" style="position:absolute;margin-left:-75.8pt;margin-top:-134.3pt;width:663.5pt;height:12in;z-index:-251655168;mso-wrap-edited:f;mso-width-percent:0;mso-height-percent:0;mso-position-horizontal-relative:margin;mso-position-vertical-relative:margin;mso-width-percent:0;mso-height-percent:0" o:allowincell="f">
          <v:imagedata r:id="rId1" o:title="marcaagua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42404C6"/>
    <w:lvl w:ilvl="0">
      <w:start w:val="1"/>
      <w:numFmt w:val="bullet"/>
      <w:pStyle w:val="Listaconvietas2"/>
      <w:lvlText w:val=""/>
      <w:lvlJc w:val="left"/>
      <w:pPr>
        <w:tabs>
          <w:tab w:val="left" w:pos="643"/>
        </w:tabs>
        <w:ind w:left="643" w:hanging="360"/>
      </w:pPr>
      <w:rPr>
        <w:rFonts w:ascii="Symbol" w:hAnsi="Symbol" w:hint="default"/>
      </w:rPr>
    </w:lvl>
  </w:abstractNum>
  <w:abstractNum w:abstractNumId="1" w15:restartNumberingAfterBreak="0">
    <w:nsid w:val="030D312A"/>
    <w:multiLevelType w:val="hybridMultilevel"/>
    <w:tmpl w:val="87C4DA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B2002C"/>
    <w:multiLevelType w:val="multilevel"/>
    <w:tmpl w:val="0C0C87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1970176E"/>
    <w:multiLevelType w:val="multilevel"/>
    <w:tmpl w:val="3EBC4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CE2619"/>
    <w:multiLevelType w:val="hybridMultilevel"/>
    <w:tmpl w:val="9E9EC1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891CF8"/>
    <w:multiLevelType w:val="multilevel"/>
    <w:tmpl w:val="1DB62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C454567"/>
    <w:multiLevelType w:val="multilevel"/>
    <w:tmpl w:val="9F1C5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2345DF"/>
    <w:multiLevelType w:val="multilevel"/>
    <w:tmpl w:val="A148C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FBA60E1"/>
    <w:multiLevelType w:val="hybridMultilevel"/>
    <w:tmpl w:val="C4C8BC88"/>
    <w:lvl w:ilvl="0" w:tplc="3FE48A4A">
      <w:numFmt w:val="bullet"/>
      <w:lvlText w:val="-"/>
      <w:lvlJc w:val="left"/>
      <w:pPr>
        <w:ind w:left="928" w:hanging="360"/>
      </w:pPr>
      <w:rPr>
        <w:rFonts w:ascii="Palatino Linotype" w:eastAsia="Times New Roman" w:hAnsi="Palatino Linotype" w:cs="Tahoma" w:hint="default"/>
        <w:color w:val="auto"/>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10" w15:restartNumberingAfterBreak="0">
    <w:nsid w:val="41465758"/>
    <w:multiLevelType w:val="hybridMultilevel"/>
    <w:tmpl w:val="2FE24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AA3801"/>
    <w:multiLevelType w:val="multilevel"/>
    <w:tmpl w:val="54DCF6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FB10C37"/>
    <w:multiLevelType w:val="hybridMultilevel"/>
    <w:tmpl w:val="B5AAF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49943FD"/>
    <w:multiLevelType w:val="multilevel"/>
    <w:tmpl w:val="14DE07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3004D81"/>
    <w:multiLevelType w:val="hybridMultilevel"/>
    <w:tmpl w:val="4412CE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BB2662F"/>
    <w:multiLevelType w:val="hybridMultilevel"/>
    <w:tmpl w:val="A33EFAF8"/>
    <w:lvl w:ilvl="0" w:tplc="A110709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77375022"/>
    <w:multiLevelType w:val="multilevel"/>
    <w:tmpl w:val="C4404F38"/>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6"/>
  </w:num>
  <w:num w:numId="3">
    <w:abstractNumId w:val="3"/>
  </w:num>
  <w:num w:numId="4">
    <w:abstractNumId w:val="6"/>
  </w:num>
  <w:num w:numId="5">
    <w:abstractNumId w:val="5"/>
  </w:num>
  <w:num w:numId="6">
    <w:abstractNumId w:val="13"/>
  </w:num>
  <w:num w:numId="7">
    <w:abstractNumId w:val="15"/>
  </w:num>
  <w:num w:numId="8">
    <w:abstractNumId w:val="9"/>
  </w:num>
  <w:num w:numId="9">
    <w:abstractNumId w:val="1"/>
  </w:num>
  <w:num w:numId="10">
    <w:abstractNumId w:val="2"/>
  </w:num>
  <w:num w:numId="11">
    <w:abstractNumId w:val="12"/>
  </w:num>
  <w:num w:numId="12">
    <w:abstractNumId w:val="10"/>
  </w:num>
  <w:num w:numId="13">
    <w:abstractNumId w:val="14"/>
  </w:num>
  <w:num w:numId="14">
    <w:abstractNumId w:val="4"/>
  </w:num>
  <w:num w:numId="15">
    <w:abstractNumId w:val="7"/>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74"/>
    <w:rsid w:val="000F0359"/>
    <w:rsid w:val="00124492"/>
    <w:rsid w:val="00274976"/>
    <w:rsid w:val="002F7795"/>
    <w:rsid w:val="003167DA"/>
    <w:rsid w:val="003270BC"/>
    <w:rsid w:val="00353496"/>
    <w:rsid w:val="003B7DA6"/>
    <w:rsid w:val="00462DF3"/>
    <w:rsid w:val="005B361A"/>
    <w:rsid w:val="006C7FD8"/>
    <w:rsid w:val="00890BD0"/>
    <w:rsid w:val="008D2F61"/>
    <w:rsid w:val="00913F26"/>
    <w:rsid w:val="009A178C"/>
    <w:rsid w:val="00A21DD2"/>
    <w:rsid w:val="00AF5774"/>
    <w:rsid w:val="00BF097D"/>
    <w:rsid w:val="00D21B6C"/>
    <w:rsid w:val="00E47289"/>
    <w:rsid w:val="00F82C28"/>
    <w:rsid w:val="00FA19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FD8D2A5-0FC1-4F33-88AD-488E9C87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774"/>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AF577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F57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5774"/>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AF5774"/>
    <w:rPr>
      <w:rFonts w:asciiTheme="majorHAnsi" w:eastAsiaTheme="majorEastAsia" w:hAnsiTheme="majorHAnsi" w:cstheme="majorBidi"/>
      <w:color w:val="2E74B5" w:themeColor="accent1" w:themeShade="BF"/>
      <w:sz w:val="26"/>
      <w:szCs w:val="26"/>
      <w:lang w:eastAsia="es-ES"/>
    </w:rPr>
  </w:style>
  <w:style w:type="paragraph" w:styleId="Encabezado">
    <w:name w:val="header"/>
    <w:basedOn w:val="Normal"/>
    <w:link w:val="EncabezadoCar"/>
    <w:uiPriority w:val="99"/>
    <w:unhideWhenUsed/>
    <w:qFormat/>
    <w:rsid w:val="00AF5774"/>
    <w:pPr>
      <w:tabs>
        <w:tab w:val="center" w:pos="4419"/>
        <w:tab w:val="right" w:pos="8838"/>
      </w:tabs>
    </w:pPr>
  </w:style>
  <w:style w:type="character" w:customStyle="1" w:styleId="EncabezadoCar">
    <w:name w:val="Encabezado Car"/>
    <w:basedOn w:val="Fuentedeprrafopredeter"/>
    <w:link w:val="Encabezado"/>
    <w:uiPriority w:val="99"/>
    <w:qFormat/>
    <w:rsid w:val="00AF5774"/>
    <w:rPr>
      <w:rFonts w:ascii="Times New Roman" w:eastAsia="Times New Roman" w:hAnsi="Times New Roman" w:cs="Times New Roman"/>
      <w:sz w:val="20"/>
      <w:szCs w:val="20"/>
      <w:lang w:eastAsia="es-ES"/>
    </w:rPr>
  </w:style>
  <w:style w:type="paragraph" w:styleId="Listaconvietas2">
    <w:name w:val="List Bullet 2"/>
    <w:basedOn w:val="Normal"/>
    <w:uiPriority w:val="99"/>
    <w:unhideWhenUsed/>
    <w:qFormat/>
    <w:rsid w:val="00AF5774"/>
    <w:pPr>
      <w:numPr>
        <w:numId w:val="1"/>
      </w:numPr>
      <w:contextualSpacing/>
    </w:pPr>
  </w:style>
  <w:style w:type="paragraph" w:styleId="Piedepgina">
    <w:name w:val="footer"/>
    <w:basedOn w:val="Normal"/>
    <w:link w:val="PiedepginaCar"/>
    <w:uiPriority w:val="99"/>
    <w:unhideWhenUsed/>
    <w:qFormat/>
    <w:rsid w:val="00AF5774"/>
    <w:pPr>
      <w:tabs>
        <w:tab w:val="center" w:pos="4419"/>
        <w:tab w:val="right" w:pos="8838"/>
      </w:tabs>
    </w:pPr>
  </w:style>
  <w:style w:type="character" w:customStyle="1" w:styleId="PiedepginaCar">
    <w:name w:val="Pie de página Car"/>
    <w:basedOn w:val="Fuentedeprrafopredeter"/>
    <w:link w:val="Piedepgina"/>
    <w:uiPriority w:val="99"/>
    <w:qFormat/>
    <w:rsid w:val="00AF5774"/>
    <w:rPr>
      <w:rFonts w:ascii="Times New Roman" w:eastAsia="Times New Roman" w:hAnsi="Times New Roman" w:cs="Times New Roman"/>
      <w:sz w:val="20"/>
      <w:szCs w:val="20"/>
      <w:lang w:eastAsia="es-ES"/>
    </w:rPr>
  </w:style>
  <w:style w:type="table" w:styleId="Tablaconcuadrcula">
    <w:name w:val="Table Grid"/>
    <w:basedOn w:val="Tablanormal"/>
    <w:uiPriority w:val="39"/>
    <w:qFormat/>
    <w:rsid w:val="00AF5774"/>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F5774"/>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AF5774"/>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AF57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84905">
      <w:bodyDiv w:val="1"/>
      <w:marLeft w:val="0"/>
      <w:marRight w:val="0"/>
      <w:marTop w:val="0"/>
      <w:marBottom w:val="0"/>
      <w:divBdr>
        <w:top w:val="none" w:sz="0" w:space="0" w:color="auto"/>
        <w:left w:val="none" w:sz="0" w:space="0" w:color="auto"/>
        <w:bottom w:val="none" w:sz="0" w:space="0" w:color="auto"/>
        <w:right w:val="none" w:sz="0" w:space="0" w:color="auto"/>
      </w:divBdr>
    </w:div>
    <w:div w:id="326908225">
      <w:bodyDiv w:val="1"/>
      <w:marLeft w:val="0"/>
      <w:marRight w:val="0"/>
      <w:marTop w:val="0"/>
      <w:marBottom w:val="0"/>
      <w:divBdr>
        <w:top w:val="none" w:sz="0" w:space="0" w:color="auto"/>
        <w:left w:val="none" w:sz="0" w:space="0" w:color="auto"/>
        <w:bottom w:val="none" w:sz="0" w:space="0" w:color="auto"/>
        <w:right w:val="none" w:sz="0" w:space="0" w:color="auto"/>
      </w:divBdr>
    </w:div>
    <w:div w:id="200292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dusef.gob.mx/Revista/index.php/usuario-inteligente/condusef-responde/777-la-condusef-te-puede-ayud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ebapps.condusef.gob.mx/SIPRES/jsp/pub/index.jsp"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28</Pages>
  <Words>5952</Words>
  <Characters>32737</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2026-02-20T16:18:00Z</cp:lastPrinted>
  <dcterms:created xsi:type="dcterms:W3CDTF">2026-02-10T18:20:00Z</dcterms:created>
  <dcterms:modified xsi:type="dcterms:W3CDTF">2026-02-27T00:24:00Z</dcterms:modified>
</cp:coreProperties>
</file>