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FB3" w:rsidRDefault="00EA0645">
      <w:pPr>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Pr>
          <w:rFonts w:ascii="Palatino Linotype" w:eastAsia="Palatino Linotype" w:hAnsi="Palatino Linotype" w:cs="Palatino Linotype"/>
          <w:b/>
          <w:bCs/>
          <w:color w:val="000000"/>
        </w:rPr>
        <w:t xml:space="preserve">fecha </w:t>
      </w:r>
      <w:r w:rsidR="00C940CD">
        <w:rPr>
          <w:rFonts w:ascii="Palatino Linotype" w:eastAsia="Palatino Linotype" w:hAnsi="Palatino Linotype" w:cs="Palatino Linotype"/>
          <w:b/>
          <w:bCs/>
        </w:rPr>
        <w:t>uno</w:t>
      </w:r>
      <w:r w:rsidR="007A23C1">
        <w:rPr>
          <w:rFonts w:ascii="Palatino Linotype" w:eastAsia="Palatino Linotype" w:hAnsi="Palatino Linotype" w:cs="Palatino Linotype"/>
          <w:b/>
          <w:bCs/>
        </w:rPr>
        <w:t xml:space="preserve"> (01)</w:t>
      </w:r>
      <w:r w:rsidR="00C940CD">
        <w:rPr>
          <w:rFonts w:ascii="Palatino Linotype" w:eastAsia="Palatino Linotype" w:hAnsi="Palatino Linotype" w:cs="Palatino Linotype"/>
          <w:b/>
          <w:bCs/>
        </w:rPr>
        <w:t xml:space="preserve"> </w:t>
      </w:r>
      <w:r w:rsidR="00C940CD">
        <w:rPr>
          <w:rFonts w:ascii="Palatino Linotype" w:eastAsia="Palatino Linotype" w:hAnsi="Palatino Linotype" w:cs="Palatino Linotype"/>
          <w:b/>
          <w:bCs/>
          <w:color w:val="000000"/>
        </w:rPr>
        <w:t>de julio</w:t>
      </w:r>
      <w:r>
        <w:rPr>
          <w:rFonts w:ascii="Palatino Linotype" w:eastAsia="Palatino Linotype" w:hAnsi="Palatino Linotype" w:cs="Palatino Linotype"/>
          <w:b/>
          <w:bCs/>
          <w:color w:val="000000"/>
        </w:rPr>
        <w:t xml:space="preserve"> de dos mil veintiséis.</w:t>
      </w:r>
    </w:p>
    <w:p w:rsidR="00E12FB3" w:rsidRDefault="00E12FB3">
      <w:pPr>
        <w:spacing w:line="360" w:lineRule="auto"/>
        <w:ind w:right="-734"/>
        <w:jc w:val="both"/>
        <w:rPr>
          <w:rFonts w:ascii="Palatino Linotype" w:eastAsia="Palatino Linotype" w:hAnsi="Palatino Linotype" w:cs="Palatino Linotype"/>
          <w:color w:val="000000"/>
        </w:rPr>
      </w:pPr>
      <w:bookmarkStart w:id="0" w:name="_heading=h.gjdgxs" w:colFirst="0" w:colLast="0"/>
      <w:bookmarkEnd w:id="0"/>
    </w:p>
    <w:p w:rsidR="00E12FB3" w:rsidRDefault="00EA0645">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VISTOS </w:t>
      </w:r>
      <w:r>
        <w:rPr>
          <w:rFonts w:ascii="Palatino Linotype" w:eastAsia="Palatino Linotype" w:hAnsi="Palatino Linotype" w:cs="Palatino Linotype"/>
          <w:color w:val="000000"/>
        </w:rPr>
        <w:t>los expedientes elec</w:t>
      </w:r>
      <w:r w:rsidR="00C940CD">
        <w:rPr>
          <w:rFonts w:ascii="Palatino Linotype" w:eastAsia="Palatino Linotype" w:hAnsi="Palatino Linotype" w:cs="Palatino Linotype"/>
          <w:color w:val="000000"/>
        </w:rPr>
        <w:t>trónicos formados con motivo del recurso</w:t>
      </w:r>
      <w:r>
        <w:rPr>
          <w:rFonts w:ascii="Palatino Linotype" w:eastAsia="Palatino Linotype" w:hAnsi="Palatino Linotype" w:cs="Palatino Linotype"/>
          <w:color w:val="000000"/>
        </w:rPr>
        <w:t xml:space="preserve"> de revisión </w:t>
      </w:r>
      <w:r>
        <w:rPr>
          <w:rFonts w:ascii="Palatino Linotype" w:eastAsia="Palatino Linotype" w:hAnsi="Palatino Linotype" w:cs="Palatino Linotype"/>
          <w:b/>
          <w:bCs/>
          <w:color w:val="000000"/>
        </w:rPr>
        <w:t>03413/INFOEM/IP/RR/2026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sidR="00C940CD">
        <w:rPr>
          <w:rFonts w:ascii="Palatino Linotype" w:eastAsia="Palatino Linotype" w:hAnsi="Palatino Linotype" w:cs="Palatino Linotype"/>
          <w:color w:val="000000"/>
        </w:rPr>
        <w:t>promovido</w:t>
      </w:r>
      <w:r>
        <w:rPr>
          <w:rFonts w:ascii="Palatino Linotype" w:eastAsia="Palatino Linotype" w:hAnsi="Palatino Linotype" w:cs="Palatino Linotype"/>
          <w:color w:val="000000"/>
        </w:rPr>
        <w:t xml:space="preserve"> por </w:t>
      </w:r>
      <w:r w:rsidR="00992950">
        <w:rPr>
          <w:rFonts w:ascii="Palatino Linotype" w:eastAsia="Palatino Linotype" w:hAnsi="Palatino Linotype" w:cs="Palatino Linotype"/>
          <w:b/>
          <w:bCs/>
          <w:color w:val="000000"/>
        </w:rPr>
        <w:t>XXXX</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 quien en lo sucesivo se le identificara como el </w:t>
      </w:r>
      <w:r>
        <w:rPr>
          <w:rFonts w:ascii="Palatino Linotype" w:eastAsia="Palatino Linotype" w:hAnsi="Palatino Linotype" w:cs="Palatino Linotype"/>
          <w:b/>
          <w:bCs/>
          <w:color w:val="000000"/>
        </w:rPr>
        <w:t>RECURRENTE</w:t>
      </w:r>
      <w:r w:rsidR="00C940CD">
        <w:rPr>
          <w:rFonts w:ascii="Palatino Linotype" w:eastAsia="Palatino Linotype" w:hAnsi="Palatino Linotype" w:cs="Palatino Linotype"/>
          <w:color w:val="000000"/>
        </w:rPr>
        <w:t>, en contra de la respuesta</w:t>
      </w:r>
      <w:r>
        <w:rPr>
          <w:rFonts w:ascii="Palatino Linotype" w:eastAsia="Palatino Linotype" w:hAnsi="Palatino Linotype" w:cs="Palatino Linotype"/>
          <w:color w:val="000000"/>
        </w:rPr>
        <w:t xml:space="preserve"> del </w:t>
      </w:r>
      <w:r>
        <w:rPr>
          <w:rFonts w:ascii="Palatino Linotype" w:eastAsia="Palatino Linotype" w:hAnsi="Palatino Linotype" w:cs="Palatino Linotype"/>
          <w:b/>
          <w:bCs/>
          <w:color w:val="000000"/>
        </w:rPr>
        <w:t>Ayuntamiento de Ozumba</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adelante el</w:t>
      </w:r>
      <w:r>
        <w:rPr>
          <w:rFonts w:ascii="Palatino Linotype" w:eastAsia="Palatino Linotype" w:hAnsi="Palatino Linotype" w:cs="Palatino Linotype"/>
          <w:b/>
          <w:bCs/>
          <w:color w:val="000000"/>
        </w:rPr>
        <w:t xml:space="preserve"> SUJETO OBLIGADO, </w:t>
      </w:r>
      <w:r>
        <w:rPr>
          <w:rFonts w:ascii="Palatino Linotype" w:eastAsia="Palatino Linotype" w:hAnsi="Palatino Linotype" w:cs="Palatino Linotype"/>
          <w:color w:val="000000"/>
        </w:rPr>
        <w:t>se procede a dictar la presente Resolución, con base en los siguientes:</w:t>
      </w:r>
    </w:p>
    <w:p w:rsidR="00E12FB3" w:rsidRDefault="00E12FB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spacing w:line="360" w:lineRule="auto"/>
        <w:ind w:right="-734"/>
        <w:jc w:val="both"/>
        <w:rPr>
          <w:rFonts w:ascii="Palatino Linotype" w:eastAsia="Palatino Linotype" w:hAnsi="Palatino Linotype" w:cs="Palatino Linotype"/>
          <w:color w:val="000000"/>
        </w:rPr>
      </w:pPr>
    </w:p>
    <w:p w:rsidR="00E12FB3" w:rsidRDefault="00EA0645">
      <w:pPr>
        <w:keepNext/>
        <w:keepLines/>
        <w:pBdr>
          <w:top w:val="nil"/>
          <w:left w:val="nil"/>
          <w:bottom w:val="nil"/>
          <w:right w:val="nil"/>
          <w:between w:val="nil"/>
        </w:pBdr>
        <w:spacing w:line="360" w:lineRule="auto"/>
        <w:ind w:right="-73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E12FB3" w:rsidRDefault="00E12FB3">
      <w:pPr>
        <w:spacing w:line="360" w:lineRule="auto"/>
        <w:ind w:right="-734"/>
        <w:rPr>
          <w:rFonts w:ascii="Palatino Linotype" w:eastAsia="Palatino Linotype" w:hAnsi="Palatino Linotype" w:cs="Palatino Linotype"/>
          <w:color w:val="000000"/>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veinticuatro de febrero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presentó</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la solicitud de información pública registrada con el número </w:t>
      </w:r>
      <w:r>
        <w:rPr>
          <w:rFonts w:ascii="Palatino Linotype" w:eastAsia="Palatino Linotype" w:hAnsi="Palatino Linotype" w:cs="Palatino Linotype"/>
          <w:b/>
          <w:bCs/>
          <w:color w:val="000000"/>
        </w:rPr>
        <w:t xml:space="preserve">00026/OZUMBA/IP/2026, </w:t>
      </w:r>
      <w:r>
        <w:rPr>
          <w:rFonts w:ascii="Palatino Linotype" w:eastAsia="Palatino Linotype" w:hAnsi="Palatino Linotype" w:cs="Palatino Linotype"/>
          <w:color w:val="000000"/>
        </w:rPr>
        <w:t>en la que se solicitó lo siguiente:</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E12FB3" w:rsidRDefault="00EA0645">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“solicito de la sindico municipal, informe la totalidad de comités que tenga participación legal o por invitación, que trabajos a realizado y proporcione las actas de los comités de bienes, comité de limites territoriales, acta de instalación del comité de ética.”</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i/>
          <w:iCs/>
        </w:rPr>
      </w:pPr>
    </w:p>
    <w:p w:rsidR="00E12FB3" w:rsidRDefault="00EA0645">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Señaló como modalidad de entrega de la información a través del </w:t>
      </w:r>
      <w:r>
        <w:rPr>
          <w:rFonts w:ascii="Palatino Linotype" w:eastAsia="Palatino Linotype" w:hAnsi="Palatino Linotype" w:cs="Palatino Linotype"/>
          <w:b/>
          <w:bCs/>
          <w:color w:val="000000"/>
        </w:rPr>
        <w:t xml:space="preserve">SAIMEX </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color w:val="000000"/>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w:t>
      </w:r>
      <w:bookmarkStart w:id="1" w:name="_GoBack"/>
      <w:bookmarkEnd w:id="1"/>
      <w:r>
        <w:rPr>
          <w:rFonts w:ascii="Palatino Linotype" w:eastAsia="Palatino Linotype" w:hAnsi="Palatino Linotype" w:cs="Palatino Linotype"/>
          <w:color w:val="000000"/>
        </w:rPr>
        <w:t xml:space="preserv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emitió una respuesta, el </w:t>
      </w:r>
      <w:r>
        <w:rPr>
          <w:rFonts w:ascii="Palatino Linotype" w:eastAsia="Palatino Linotype" w:hAnsi="Palatino Linotype" w:cs="Palatino Linotype"/>
          <w:b/>
          <w:bCs/>
          <w:color w:val="000000"/>
        </w:rPr>
        <w:t>diecinueve de marzo dos mil veintiséis</w:t>
      </w:r>
      <w:r>
        <w:rPr>
          <w:rFonts w:ascii="Palatino Linotype" w:eastAsia="Palatino Linotype" w:hAnsi="Palatino Linotype" w:cs="Palatino Linotype"/>
          <w:color w:val="000000"/>
        </w:rPr>
        <w:t xml:space="preserve">, a través de un archivo denominado </w:t>
      </w:r>
      <w:r>
        <w:rPr>
          <w:rFonts w:ascii="Palatino Linotype" w:eastAsia="Palatino Linotype" w:hAnsi="Palatino Linotype" w:cs="Palatino Linotype"/>
          <w:b/>
          <w:bCs/>
          <w:i/>
          <w:iCs/>
          <w:color w:val="000000"/>
        </w:rPr>
        <w:t>00026 solicitud .pdf</w:t>
      </w:r>
      <w:r>
        <w:rPr>
          <w:rFonts w:ascii="Palatino Linotype" w:eastAsia="Palatino Linotype" w:hAnsi="Palatino Linotype" w:cs="Palatino Linotype"/>
          <w:color w:val="000000"/>
        </w:rPr>
        <w:t>, cuyo contenido corresponde a un oficio signado por el Síndico Municipal, a través del cual informa, que la Síndico Municipal forma parte del Comité de Bienes y del Comité de Límites Territoriales, de este último refiere que se remite un acta (que no obra en respuesta); asimismo refiere que no se cuentan con actas de sesiones del Comité de Ética ni del Comité de Bienes, derivado que esa área administrativa no funge como generadora, ni unidad responsable del resguardo de la documentación.</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respuesta, el solicitante interpuso recurso de revisión, el </w:t>
      </w:r>
      <w:r>
        <w:rPr>
          <w:rFonts w:ascii="Palatino Linotype" w:eastAsia="Palatino Linotype" w:hAnsi="Palatino Linotype" w:cs="Palatino Linotype"/>
          <w:b/>
          <w:bCs/>
          <w:color w:val="000000"/>
        </w:rPr>
        <w:t>veinte de marzo dos mil veintiséis</w:t>
      </w:r>
      <w:r>
        <w:rPr>
          <w:rFonts w:ascii="Palatino Linotype" w:eastAsia="Palatino Linotype" w:hAnsi="Palatino Linotype" w:cs="Palatino Linotype"/>
          <w:color w:val="000000"/>
        </w:rPr>
        <w:t>, en el cual hacen valer los siguientes motivos de inconformidad:</w:t>
      </w:r>
    </w:p>
    <w:p w:rsidR="00E12FB3" w:rsidRDefault="00E12FB3">
      <w:pPr>
        <w:pBdr>
          <w:top w:val="nil"/>
          <w:left w:val="nil"/>
          <w:bottom w:val="nil"/>
          <w:right w:val="nil"/>
          <w:between w:val="nil"/>
        </w:pBdr>
        <w:spacing w:line="360" w:lineRule="auto"/>
        <w:ind w:right="-734"/>
        <w:jc w:val="both"/>
        <w:rPr>
          <w:rFonts w:ascii="Palatino Linotype" w:eastAsia="Palatino Linotype" w:hAnsi="Palatino Linotype" w:cs="Palatino Linotype"/>
          <w:color w:val="000000"/>
        </w:rPr>
      </w:pPr>
    </w:p>
    <w:p w:rsidR="00E12FB3" w:rsidRDefault="00EA0645">
      <w:pPr>
        <w:numPr>
          <w:ilvl w:val="0"/>
          <w:numId w:val="2"/>
        </w:num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color w:val="000000"/>
        </w:rPr>
        <w:tab/>
      </w:r>
    </w:p>
    <w:p w:rsidR="00E12FB3" w:rsidRDefault="00EA0645">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acto impugando señalo que es la respuesta a la solicitud de trasparencia numero 26/ozumba/ip/2026”</w:t>
      </w:r>
    </w:p>
    <w:p w:rsidR="00E12FB3" w:rsidRDefault="00E12FB3">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color w:val="000000"/>
        </w:rPr>
      </w:pPr>
    </w:p>
    <w:p w:rsidR="00E12FB3" w:rsidRDefault="00EA0645">
      <w:pPr>
        <w:numPr>
          <w:ilvl w:val="0"/>
          <w:numId w:val="4"/>
        </w:numPr>
        <w:pBdr>
          <w:top w:val="nil"/>
          <w:left w:val="nil"/>
          <w:bottom w:val="nil"/>
          <w:right w:val="nil"/>
          <w:between w:val="nil"/>
        </w:pBdr>
        <w:tabs>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LA INCONFORMIDAD</w:t>
      </w:r>
      <w:r>
        <w:rPr>
          <w:rFonts w:ascii="Palatino Linotype" w:eastAsia="Palatino Linotype" w:hAnsi="Palatino Linotype" w:cs="Palatino Linotype"/>
          <w:b/>
          <w:bCs/>
          <w:color w:val="000000"/>
        </w:rPr>
        <w:tab/>
      </w:r>
    </w:p>
    <w:p w:rsidR="00E12FB3" w:rsidRDefault="00EA0645">
      <w:pPr>
        <w:pBdr>
          <w:top w:val="nil"/>
          <w:left w:val="nil"/>
          <w:bottom w:val="nil"/>
          <w:right w:val="nil"/>
          <w:between w:val="nil"/>
        </w:pBdr>
        <w:tabs>
          <w:tab w:val="left" w:pos="426"/>
        </w:tabs>
        <w:spacing w:line="360" w:lineRule="auto"/>
        <w:ind w:left="709"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sujeto obligado solo se limita a decir que no es la persona que posee la información, sin embargo no realiza actos administrativos tendientes a acreditar su dicho o requerimientos a las autoridades que poseen la información, máxime que en la misma respuesta refiere expresamente ser parte de las estructuras de los comités que les fuera solicitada la información,” </w:t>
      </w: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acuerdo de admisión de día </w:t>
      </w:r>
      <w:r>
        <w:rPr>
          <w:rFonts w:ascii="Palatino Linotype" w:eastAsia="Palatino Linotype" w:hAnsi="Palatino Linotype" w:cs="Palatino Linotype"/>
          <w:b/>
          <w:bCs/>
          <w:color w:val="000000"/>
        </w:rPr>
        <w:t>veintitrés de marzo de dos mil veintiséis</w:t>
      </w:r>
      <w:r>
        <w:rPr>
          <w:rFonts w:ascii="Palatino Linotype" w:eastAsia="Palatino Linotype" w:hAnsi="Palatino Linotype" w:cs="Palatino Linotype"/>
          <w:color w:val="000000"/>
        </w:rPr>
        <w:t xml:space="preserve">, puso a disposición de las partes los expedientes electrónicos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i/>
          <w:iCs/>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fue omiso en rendir su informe justificado. Por su parte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dejó de realizar manifestaciones que a su derecho conviniera y asistiera. </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rPr>
      </w:pPr>
    </w:p>
    <w:p w:rsidR="00E12FB3" w:rsidRPr="007A23C1"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Seguidamente, mediante acuerdo de fecha</w:t>
      </w:r>
      <w:r>
        <w:rPr>
          <w:rFonts w:ascii="Palatino Linotype" w:eastAsia="Palatino Linotype" w:hAnsi="Palatino Linotype" w:cs="Palatino Linotype"/>
          <w:b/>
          <w:bCs/>
          <w:color w:val="000000"/>
        </w:rPr>
        <w:t xml:space="preserve"> veintitrés de junio de dos mil veintiséis</w:t>
      </w:r>
      <w:r>
        <w:rPr>
          <w:rFonts w:ascii="Palatino Linotype" w:eastAsia="Palatino Linotype" w:hAnsi="Palatino Linotype" w:cs="Palatino Linotype"/>
          <w:color w:val="000000"/>
        </w:rPr>
        <w:t>, 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 seguidamente se decretó el cierre de instrucción mediante Acuerdo de misma fecha, por lo que no habiendo más que hacer constar, y</w:t>
      </w:r>
      <w:r>
        <w:rPr>
          <w:rFonts w:ascii="Palatino Linotype" w:eastAsia="Palatino Linotype" w:hAnsi="Palatino Linotype" w:cs="Palatino Linotype"/>
        </w:rPr>
        <w:t xml:space="preserve"> —----</w:t>
      </w:r>
      <w:r w:rsidR="007A23C1">
        <w:rPr>
          <w:rFonts w:ascii="Palatino Linotype" w:eastAsia="Palatino Linotype" w:hAnsi="Palatino Linotype" w:cs="Palatino Linotype"/>
        </w:rPr>
        <w:t>------------------------------</w:t>
      </w:r>
    </w:p>
    <w:p w:rsidR="007A23C1" w:rsidRDefault="007A23C1" w:rsidP="007A23C1">
      <w:pPr>
        <w:pStyle w:val="Prrafodelista"/>
        <w:rPr>
          <w:rFonts w:ascii="Palatino Linotype" w:eastAsia="Palatino Linotype" w:hAnsi="Palatino Linotype" w:cs="Palatino Linotype"/>
          <w:color w:val="000000"/>
        </w:rPr>
      </w:pPr>
    </w:p>
    <w:p w:rsidR="007A23C1" w:rsidRDefault="007A23C1" w:rsidP="007A23C1">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7A23C1" w:rsidRDefault="007A23C1" w:rsidP="007A23C1">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E12FB3" w:rsidRDefault="00EA0645">
      <w:pPr>
        <w:keepNext/>
        <w:keepLines/>
        <w:pBdr>
          <w:top w:val="nil"/>
          <w:left w:val="nil"/>
          <w:bottom w:val="nil"/>
          <w:right w:val="nil"/>
          <w:between w:val="nil"/>
        </w:pBdr>
        <w:spacing w:line="360" w:lineRule="auto"/>
        <w:ind w:right="-73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 xml:space="preserve">C O N S I D E R A N D O </w:t>
      </w:r>
    </w:p>
    <w:p w:rsidR="00E12FB3" w:rsidRDefault="00E12FB3">
      <w:pPr>
        <w:spacing w:line="360" w:lineRule="auto"/>
        <w:ind w:right="-734"/>
        <w:rPr>
          <w:rFonts w:ascii="Palatino Linotype" w:eastAsia="Palatino Linotype" w:hAnsi="Palatino Linotype" w:cs="Palatino Linotype"/>
          <w:color w:val="000000"/>
        </w:rPr>
      </w:pPr>
      <w:bookmarkStart w:id="2" w:name="_heading=h.2et92p0" w:colFirst="0" w:colLast="0"/>
      <w:bookmarkEnd w:id="2"/>
    </w:p>
    <w:p w:rsidR="00E12FB3" w:rsidRDefault="00EA0645">
      <w:pPr>
        <w:keepNext/>
        <w:keepLines/>
        <w:pBdr>
          <w:top w:val="nil"/>
          <w:left w:val="nil"/>
          <w:bottom w:val="nil"/>
          <w:right w:val="nil"/>
          <w:between w:val="nil"/>
        </w:pBdr>
        <w:spacing w:line="360" w:lineRule="auto"/>
        <w:ind w:right="-734"/>
        <w:rPr>
          <w:rFonts w:ascii="Palatino Linotype" w:eastAsia="Palatino Linotype" w:hAnsi="Palatino Linotype" w:cs="Palatino Linotype"/>
          <w:b/>
          <w:bCs/>
          <w:color w:val="000000"/>
        </w:rPr>
      </w:pPr>
      <w:bookmarkStart w:id="3" w:name="_heading=h.tyjcwt" w:colFirst="0" w:colLast="0"/>
      <w:bookmarkEnd w:id="3"/>
      <w:r>
        <w:rPr>
          <w:rFonts w:ascii="Palatino Linotype" w:eastAsia="Palatino Linotype" w:hAnsi="Palatino Linotype" w:cs="Palatino Linotype"/>
          <w:b/>
          <w:bCs/>
          <w:color w:val="000000"/>
        </w:rPr>
        <w:t>PRIMERO. De la competencia</w:t>
      </w: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E12FB3" w:rsidRDefault="00EA0645">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rsidR="00E12FB3" w:rsidRDefault="00EA0645">
      <w:pPr>
        <w:keepNext/>
        <w:keepLines/>
        <w:pBdr>
          <w:top w:val="nil"/>
          <w:left w:val="nil"/>
          <w:bottom w:val="nil"/>
          <w:right w:val="nil"/>
          <w:between w:val="nil"/>
        </w:pBdr>
        <w:spacing w:line="360" w:lineRule="auto"/>
        <w:ind w:right="-73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SEGUNDO. De la oportunidad y procedencia.</w:t>
      </w: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Órgano Garante considera que el medio de impugnación reúne los requisitos de procedencia 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 xml:space="preserve">Por otro </w:t>
      </w:r>
      <w:r>
        <w:rPr>
          <w:rFonts w:ascii="Palatino Linotype" w:eastAsia="Palatino Linotype" w:hAnsi="Palatino Linotype" w:cs="Palatino Linotype"/>
        </w:rPr>
        <w:t>lado</w:t>
      </w:r>
      <w:r>
        <w:rPr>
          <w:rFonts w:ascii="Palatino Linotype" w:eastAsia="Palatino Linotype" w:hAnsi="Palatino Linotype" w:cs="Palatino Linotype"/>
          <w:color w:val="000000"/>
        </w:rPr>
        <w:t xml:space="preserve">, es de suma importancia señalar que la parte recurrente no proporciona un </w:t>
      </w:r>
      <w:r>
        <w:rPr>
          <w:rFonts w:ascii="Palatino Linotype" w:eastAsia="Palatino Linotype" w:hAnsi="Palatino Linotype" w:cs="Palatino Linotype"/>
          <w:color w:val="000000"/>
          <w:u w:val="single"/>
        </w:rPr>
        <w:t>nombre completo</w:t>
      </w:r>
      <w:r>
        <w:rPr>
          <w:rFonts w:ascii="Palatino Linotype" w:eastAsia="Palatino Linotype" w:hAnsi="Palatino Linotype" w:cs="Palatino Linotype"/>
          <w:color w:val="000000"/>
        </w:rPr>
        <w:t xml:space="preserve">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E12FB3" w:rsidRDefault="00EA0645">
      <w:pP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Las solicitudes anónimas</w:t>
      </w:r>
      <w:r>
        <w:rPr>
          <w:rFonts w:ascii="Palatino Linotype" w:eastAsia="Palatino Linotype" w:hAnsi="Palatino Linotype" w:cs="Palatino Linotype"/>
          <w:i/>
          <w:iCs/>
          <w:color w:val="000000"/>
        </w:rPr>
        <w:t xml:space="preserve">, con nombre incompleto o seudónimo </w:t>
      </w:r>
      <w:r>
        <w:rPr>
          <w:rFonts w:ascii="Palatino Linotype" w:eastAsia="Palatino Linotype" w:hAnsi="Palatino Linotype" w:cs="Palatino Linotype"/>
          <w:b/>
          <w:bCs/>
          <w:i/>
          <w:iCs/>
          <w:color w:val="000000"/>
        </w:rPr>
        <w:t>serán procedentes para su trámite por parte del sujeto obligado ante quien se presente</w:t>
      </w:r>
      <w:r>
        <w:rPr>
          <w:rFonts w:ascii="Palatino Linotype" w:eastAsia="Palatino Linotype" w:hAnsi="Palatino Linotype" w:cs="Palatino Linotype"/>
          <w:i/>
          <w:iCs/>
          <w:color w:val="000000"/>
        </w:rPr>
        <w:t>. No podrá requerirse información adicional con motivo del nombre proporcionado por el solicitante."</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Consecuencia de lo anterior, este Órgano Garante advierte que el escrito contiene las </w:t>
      </w:r>
      <w:r>
        <w:rPr>
          <w:rFonts w:ascii="Palatino Linotype" w:eastAsia="Palatino Linotype" w:hAnsi="Palatino Linotype" w:cs="Palatino Linotype"/>
        </w:rPr>
        <w:t>formalidades</w:t>
      </w:r>
      <w:r>
        <w:rPr>
          <w:rFonts w:ascii="Palatino Linotype" w:eastAsia="Palatino Linotype" w:hAnsi="Palatino Linotype" w:cs="Palatino Linotype"/>
          <w:color w:val="000000"/>
        </w:rPr>
        <w:t xml:space="preserve"> previstas por el artículo 180 último párrafo de la Ley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Pública del Estado de México y Municipios, por lo que es procedente que este Instituto de Transparencia, Acceso a la Información Pública y Protección de Datos Personales del Estado de México y Municipios, conozca y resuelva el presente recurso.</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Finalmente, el escrito contiene las formalidades previstas por el artículo 180 último párrafo de la citada Ley de la materia, por lo que es procedente que este Instituto conozca y resuelva el presente recurso.</w:t>
      </w:r>
    </w:p>
    <w:p w:rsidR="00E12FB3" w:rsidRDefault="00E12FB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E12FB3" w:rsidRDefault="00EA0645">
      <w:pPr>
        <w:keepNext/>
        <w:keepLines/>
        <w:pBdr>
          <w:top w:val="nil"/>
          <w:left w:val="nil"/>
          <w:bottom w:val="nil"/>
          <w:right w:val="nil"/>
          <w:between w:val="nil"/>
        </w:pBdr>
        <w:spacing w:line="360" w:lineRule="auto"/>
        <w:ind w:right="-73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TERCERO. Planteamiento de la</w:t>
      </w:r>
      <w:r>
        <w:rPr>
          <w:rFonts w:ascii="Palatino Linotype" w:eastAsia="Palatino Linotype" w:hAnsi="Palatino Linotype" w:cs="Palatino Linotype"/>
          <w:b/>
          <w:bCs/>
          <w:i/>
          <w:iCs/>
          <w:color w:val="000000"/>
        </w:rPr>
        <w:t xml:space="preserve"> Litis</w:t>
      </w:r>
      <w:r>
        <w:rPr>
          <w:rFonts w:ascii="Palatino Linotype" w:eastAsia="Palatino Linotype" w:hAnsi="Palatino Linotype" w:cs="Palatino Linotype"/>
          <w:b/>
          <w:bCs/>
          <w:color w:val="000000"/>
        </w:rPr>
        <w:t xml:space="preserve"> </w:t>
      </w: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solicitó la siguiente información que se desagrega:</w:t>
      </w:r>
    </w:p>
    <w:p w:rsidR="00E12FB3" w:rsidRDefault="00EA0645">
      <w:pPr>
        <w:pBdr>
          <w:top w:val="nil"/>
          <w:left w:val="nil"/>
          <w:bottom w:val="nil"/>
          <w:right w:val="nil"/>
          <w:between w:val="nil"/>
        </w:pBdr>
        <w:spacing w:line="360" w:lineRule="auto"/>
        <w:ind w:left="851"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la Síndico Municipal: la totalidad de comités en que tenga participación, que trabajos a realizado; y</w:t>
      </w:r>
    </w:p>
    <w:p w:rsidR="00E12FB3" w:rsidRDefault="00EA0645">
      <w:pPr>
        <w:pBdr>
          <w:top w:val="nil"/>
          <w:left w:val="nil"/>
          <w:bottom w:val="nil"/>
          <w:right w:val="nil"/>
          <w:between w:val="nil"/>
        </w:pBdr>
        <w:spacing w:line="360" w:lineRule="auto"/>
        <w:ind w:left="851"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Actas de los comités de bienes, límites territoriales y el acta de instalación del Comité de Ética.</w:t>
      </w:r>
    </w:p>
    <w:p w:rsidR="00E12FB3" w:rsidRDefault="00E12FB3">
      <w:pPr>
        <w:pBdr>
          <w:top w:val="nil"/>
          <w:left w:val="nil"/>
          <w:bottom w:val="nil"/>
          <w:right w:val="nil"/>
          <w:between w:val="nil"/>
        </w:pBdr>
        <w:spacing w:line="360" w:lineRule="auto"/>
        <w:ind w:left="720" w:right="-734"/>
        <w:rPr>
          <w:rFonts w:ascii="Palatino Linotype" w:eastAsia="Palatino Linotype" w:hAnsi="Palatino Linotype" w:cs="Palatino Linotype"/>
          <w:b/>
          <w:bCs/>
          <w:color w:val="000000"/>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remitió la información ya descrita en el párrafo 2. Inconforme con la misma, se interpuso recurso de revisión de manera general en contra de la entrega de información incompleta.</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 la causal de procedencia prevista en el artículo 179, </w:t>
      </w:r>
      <w:r>
        <w:rPr>
          <w:rFonts w:ascii="Palatino Linotype" w:eastAsia="Palatino Linotype" w:hAnsi="Palatino Linotype" w:cs="Palatino Linotype"/>
          <w:b/>
          <w:bCs/>
          <w:color w:val="000000"/>
        </w:rPr>
        <w:t xml:space="preserve">fracción V </w:t>
      </w:r>
      <w:r>
        <w:rPr>
          <w:rFonts w:ascii="Palatino Linotype" w:eastAsia="Palatino Linotype" w:hAnsi="Palatino Linotype" w:cs="Palatino Linotype"/>
          <w:color w:val="000000"/>
        </w:rPr>
        <w:t xml:space="preserve">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fracción que determina la hipótesis jurídica relativa a la entrega de la información incompleta;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abocará en determinar si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 xml:space="preserve">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señalada. </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left="720" w:right="-734"/>
        <w:rPr>
          <w:rFonts w:ascii="Palatino Linotype" w:eastAsia="Palatino Linotype" w:hAnsi="Palatino Linotype" w:cs="Palatino Linotype"/>
          <w:color w:val="000000"/>
        </w:rPr>
      </w:pPr>
    </w:p>
    <w:p w:rsidR="00E12FB3" w:rsidRDefault="00EA0645">
      <w:pPr>
        <w:keepNext/>
        <w:keepLines/>
        <w:pBdr>
          <w:top w:val="nil"/>
          <w:left w:val="nil"/>
          <w:bottom w:val="nil"/>
          <w:right w:val="nil"/>
          <w:between w:val="nil"/>
        </w:pBdr>
        <w:spacing w:line="360" w:lineRule="auto"/>
        <w:ind w:right="-734"/>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CUARTO. Estudio y resolución</w:t>
      </w: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w:t>
      </w:r>
      <w:r>
        <w:rPr>
          <w:rFonts w:ascii="Palatino Linotype" w:eastAsia="Palatino Linotype" w:hAnsi="Palatino Linotype" w:cs="Palatino Linotype"/>
          <w:color w:val="000000"/>
        </w:rPr>
        <w:lastRenderedPageBreak/>
        <w:t>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Una vez sentado lo anterior, resulta oportuno traer a contexto los motivos de inconformidad; toda vez que estos son tendientes a impugnar únicamente lo relativo la información que se refirió no se cuenta con actas derivado que la Sindicatura Municipal no es el área generadora ni </w:t>
      </w:r>
      <w:r>
        <w:rPr>
          <w:rFonts w:ascii="Palatino Linotype" w:eastAsia="Palatino Linotype" w:hAnsi="Palatino Linotype" w:cs="Palatino Linotype"/>
        </w:rPr>
        <w:t>resguardará</w:t>
      </w:r>
      <w:r>
        <w:rPr>
          <w:rFonts w:ascii="Palatino Linotype" w:eastAsia="Palatino Linotype" w:hAnsi="Palatino Linotype" w:cs="Palatino Linotype"/>
          <w:color w:val="000000"/>
        </w:rPr>
        <w:t>, actualizándose con claridad la figura jurídica denominada actos consentidos.</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w:t>
      </w:r>
      <w:r>
        <w:rPr>
          <w:rFonts w:ascii="Palatino Linotype" w:eastAsia="Palatino Linotype" w:hAnsi="Palatino Linotype" w:cs="Palatino Linotype"/>
        </w:rPr>
        <w:t xml:space="preserve">e tal forma que, la parte de la solicitud que no fue impugnada (trabajos realizados) debe declararse consentida, toda vez que al no realizar manifestaciones de inconformidad; no pueden producirse </w:t>
      </w:r>
      <w:r>
        <w:rPr>
          <w:rFonts w:ascii="Palatino Linotype" w:eastAsia="Palatino Linotype" w:hAnsi="Palatino Linotype" w:cs="Palatino Linotype"/>
          <w:color w:val="000000"/>
        </w:rPr>
        <w:t>efectos</w:t>
      </w:r>
      <w:r>
        <w:rPr>
          <w:rFonts w:ascii="Palatino Linotype" w:eastAsia="Palatino Linotype" w:hAnsi="Palatino Linotype" w:cs="Palatino Linotype"/>
        </w:rPr>
        <w:t xml:space="preserve"> jurídicos tendentes a revocar, confirmar o modificar el acto reclamado, ya que no realizó manifestación alguna al respecto.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Sirve de </w:t>
      </w:r>
      <w:r>
        <w:rPr>
          <w:rFonts w:ascii="Palatino Linotype" w:eastAsia="Palatino Linotype" w:hAnsi="Palatino Linotype" w:cs="Palatino Linotype"/>
          <w:color w:val="000000"/>
        </w:rPr>
        <w:t>sustento</w:t>
      </w:r>
      <w:r>
        <w:rPr>
          <w:rFonts w:ascii="Palatino Linotype" w:eastAsia="Palatino Linotype" w:hAnsi="Palatino Linotype" w:cs="Palatino Linotype"/>
        </w:rPr>
        <w:t xml:space="preserve">, la tesis jurisprudencial número VI.3o.C. J/60, publicada en el </w:t>
      </w:r>
      <w:r>
        <w:rPr>
          <w:rFonts w:ascii="Palatino Linotype" w:eastAsia="Palatino Linotype" w:hAnsi="Palatino Linotype" w:cs="Palatino Linotype"/>
          <w:color w:val="000000"/>
        </w:rPr>
        <w:t>Semanario</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Judicial</w:t>
      </w:r>
      <w:r>
        <w:rPr>
          <w:rFonts w:ascii="Palatino Linotype" w:eastAsia="Palatino Linotype" w:hAnsi="Palatino Linotype" w:cs="Palatino Linotype"/>
        </w:rPr>
        <w:t xml:space="preserve"> de la Federación y su Gaceta bajo el número de registro 176,608 que a la letra dice:</w:t>
      </w:r>
    </w:p>
    <w:p w:rsidR="00E12FB3" w:rsidRDefault="00E12FB3">
      <w:pPr>
        <w:spacing w:line="360" w:lineRule="auto"/>
        <w:ind w:right="-734"/>
        <w:jc w:val="both"/>
        <w:rPr>
          <w:rFonts w:ascii="Palatino Linotype" w:eastAsia="Palatino Linotype" w:hAnsi="Palatino Linotype" w:cs="Palatino Linotype"/>
        </w:rPr>
      </w:pPr>
    </w:p>
    <w:p w:rsidR="00E12FB3" w:rsidRDefault="00EA0645">
      <w:pPr>
        <w:tabs>
          <w:tab w:val="left" w:pos="851"/>
        </w:tabs>
        <w:spacing w:line="360"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“ACTOS CONSENTIDOS. SON LOS QUE NO SE IMPUGNAN MEDIANTE EL RECURSO IDÓNEO. </w:t>
      </w:r>
      <w:r>
        <w:rPr>
          <w:rFonts w:ascii="Palatino Linotype" w:eastAsia="Palatino Linotype" w:hAnsi="Palatino Linotype" w:cs="Palatino Linotype"/>
          <w:i/>
          <w:iC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E12FB3" w:rsidRDefault="00E12FB3">
      <w:pPr>
        <w:tabs>
          <w:tab w:val="left" w:pos="851"/>
        </w:tabs>
        <w:spacing w:line="360" w:lineRule="auto"/>
        <w:ind w:left="851" w:right="-734"/>
        <w:jc w:val="both"/>
        <w:rPr>
          <w:rFonts w:ascii="Palatino Linotype" w:eastAsia="Palatino Linotype" w:hAnsi="Palatino Linotype" w:cs="Palatino Linotype"/>
          <w:i/>
          <w:iCs/>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la interpretación del Criterio antes citado, se advierte que cuando el particular impugnó 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no expresó razón o motivo de inconformidad en contra de todos los rubros solicitados, estos deben declararse atendidos, pues se entiende que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está conforme con la respuesta proporcionada por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al no contravenir la misma.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E12FB3" w:rsidRDefault="00EA0645">
      <w:pPr>
        <w:tabs>
          <w:tab w:val="left" w:pos="7937"/>
          <w:tab w:val="left" w:pos="8222"/>
        </w:tabs>
        <w:spacing w:line="360" w:lineRule="auto"/>
        <w:ind w:left="851" w:right="-73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“REVISIÓN EN AMPARO. LOS RESOLUTIVOS NO COMBATIDOS DEBEN DECLARARSE FIRMES. </w:t>
      </w:r>
      <w:r>
        <w:rPr>
          <w:rFonts w:ascii="Palatino Linotype" w:eastAsia="Palatino Linotype" w:hAnsi="Palatino Linotype" w:cs="Palatino Linotype"/>
          <w:i/>
          <w:iCs/>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w:t>
      </w:r>
      <w:r>
        <w:rPr>
          <w:rFonts w:ascii="Palatino Linotype" w:eastAsia="Palatino Linotype" w:hAnsi="Palatino Linotype" w:cs="Palatino Linotype"/>
          <w:i/>
          <w:iCs/>
        </w:rPr>
        <w:lastRenderedPageBreak/>
        <w:t>debe reflejarse en la parte considerativa y en los resolutivos debe confirmarse la sentencia recurrida en la parte correspondiente.”</w:t>
      </w:r>
    </w:p>
    <w:p w:rsidR="00E12FB3" w:rsidRDefault="00E12FB3">
      <w:pPr>
        <w:tabs>
          <w:tab w:val="left" w:pos="7937"/>
          <w:tab w:val="left" w:pos="8222"/>
        </w:tabs>
        <w:spacing w:line="360" w:lineRule="auto"/>
        <w:ind w:left="851" w:right="-734"/>
        <w:jc w:val="both"/>
        <w:rPr>
          <w:rFonts w:ascii="Palatino Linotype" w:eastAsia="Palatino Linotype" w:hAnsi="Palatino Linotype" w:cs="Palatino Linotype"/>
          <w:i/>
          <w:iCs/>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 los rubros no impugnados por las razones hasta aquí expuestas.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por cuanto hace a la respuesta emitida, la persona servidora pública habilitada manifestó que la Síndica Municipal participa al 10 de marzo del año en curso a un total de 2 comisiones, por tanto se tiene por colmado el rubro en comento¸ ya que se le informa totalmente de lo solicitado (número total), pronunciamiento </w:t>
      </w:r>
      <w:r>
        <w:rPr>
          <w:rFonts w:ascii="Palatino Linotype" w:eastAsia="Palatino Linotype" w:hAnsi="Palatino Linotype" w:cs="Palatino Linotype"/>
          <w:color w:val="000000"/>
        </w:rPr>
        <w:t xml:space="preserve">este Instituto no se encuentra facultado para dudar de su veracidad de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que le fue entregada al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Pr>
          <w:rFonts w:ascii="Palatino Linotype" w:eastAsia="Palatino Linotype" w:hAnsi="Palatino Linotype" w:cs="Palatino Linotype"/>
        </w:rPr>
        <w:t xml:space="preserve">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Sirviendo de apoyo a lo anterior por analogía, el criterio 31-10 emitido por el ahora Instituto </w:t>
      </w:r>
      <w:r>
        <w:rPr>
          <w:rFonts w:ascii="Palatino Linotype" w:eastAsia="Palatino Linotype" w:hAnsi="Palatino Linotype" w:cs="Palatino Linotype"/>
          <w:color w:val="000000"/>
        </w:rPr>
        <w:t>Nacio</w:t>
      </w:r>
      <w:r>
        <w:rPr>
          <w:rFonts w:ascii="Palatino Linotype" w:eastAsia="Palatino Linotype" w:hAnsi="Palatino Linotype" w:cs="Palatino Linotype"/>
        </w:rPr>
        <w:t>n</w:t>
      </w:r>
      <w:r>
        <w:rPr>
          <w:rFonts w:ascii="Palatino Linotype" w:eastAsia="Palatino Linotype" w:hAnsi="Palatino Linotype" w:cs="Palatino Linotype"/>
          <w:color w:val="000000"/>
        </w:rPr>
        <w:t>al</w:t>
      </w:r>
      <w:r>
        <w:rPr>
          <w:rFonts w:ascii="Palatino Linotype" w:eastAsia="Palatino Linotype" w:hAnsi="Palatino Linotype" w:cs="Palatino Linotype"/>
        </w:rPr>
        <w:t xml:space="preserve"> de Transparencia, Acceso a la Información y Protección de Datos Personales, que a la letra dice:</w:t>
      </w:r>
    </w:p>
    <w:p w:rsidR="00E12FB3" w:rsidRDefault="00E12FB3">
      <w:pPr>
        <w:pBdr>
          <w:top w:val="nil"/>
          <w:left w:val="nil"/>
          <w:bottom w:val="nil"/>
          <w:right w:val="nil"/>
          <w:between w:val="nil"/>
        </w:pBdr>
        <w:spacing w:line="360" w:lineRule="auto"/>
        <w:ind w:left="720" w:right="-734"/>
        <w:rPr>
          <w:rFonts w:ascii="Palatino Linotype" w:eastAsia="Palatino Linotype" w:hAnsi="Palatino Linotype" w:cs="Palatino Linotype"/>
          <w:color w:val="000000"/>
        </w:rPr>
      </w:pPr>
    </w:p>
    <w:p w:rsidR="00E12FB3" w:rsidRDefault="00EA0645">
      <w:pPr>
        <w:pBdr>
          <w:top w:val="nil"/>
          <w:left w:val="nil"/>
          <w:bottom w:val="nil"/>
          <w:right w:val="nil"/>
          <w:between w:val="nil"/>
        </w:pBdr>
        <w:spacing w:line="360" w:lineRule="auto"/>
        <w:ind w:left="567"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E12FB3" w:rsidRDefault="00E12FB3">
      <w:pPr>
        <w:pBdr>
          <w:top w:val="nil"/>
          <w:left w:val="nil"/>
          <w:bottom w:val="nil"/>
          <w:right w:val="nil"/>
          <w:between w:val="nil"/>
        </w:pBdr>
        <w:spacing w:line="360" w:lineRule="auto"/>
        <w:ind w:left="851" w:right="-734"/>
        <w:jc w:val="both"/>
        <w:rPr>
          <w:rFonts w:ascii="Palatino Linotype" w:eastAsia="Palatino Linotype" w:hAnsi="Palatino Linotype" w:cs="Palatino Linotype"/>
          <w:i/>
          <w:iCs/>
          <w:color w:val="000000"/>
        </w:rPr>
      </w:pPr>
    </w:p>
    <w:p w:rsidR="00E12FB3" w:rsidRDefault="00EA0645">
      <w:pPr>
        <w:numPr>
          <w:ilvl w:val="0"/>
          <w:numId w:val="3"/>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E12FB3" w:rsidRDefault="00E12FB3">
      <w:pPr>
        <w:pBdr>
          <w:top w:val="nil"/>
          <w:left w:val="nil"/>
          <w:bottom w:val="nil"/>
          <w:right w:val="nil"/>
          <w:between w:val="nil"/>
        </w:pBdr>
        <w:spacing w:line="360" w:lineRule="auto"/>
        <w:ind w:right="-734"/>
        <w:jc w:val="both"/>
        <w:rPr>
          <w:rFonts w:ascii="Palatino Linotype" w:eastAsia="Palatino Linotype" w:hAnsi="Palatino Linotype" w:cs="Palatino Linotype"/>
          <w:i/>
          <w:iCs/>
          <w:color w:val="000000"/>
        </w:rPr>
      </w:pPr>
    </w:p>
    <w:p w:rsidR="00E12FB3" w:rsidRDefault="00EA0645">
      <w:pPr>
        <w:pBdr>
          <w:top w:val="nil"/>
          <w:left w:val="nil"/>
          <w:bottom w:val="nil"/>
          <w:right w:val="nil"/>
          <w:between w:val="nil"/>
        </w:pBdr>
        <w:spacing w:line="360" w:lineRule="auto"/>
        <w:ind w:left="567"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E12FB3" w:rsidRDefault="00E12FB3">
      <w:pPr>
        <w:pBdr>
          <w:top w:val="nil"/>
          <w:left w:val="nil"/>
          <w:bottom w:val="nil"/>
          <w:right w:val="nil"/>
          <w:between w:val="nil"/>
        </w:pBdr>
        <w:spacing w:line="360" w:lineRule="auto"/>
        <w:ind w:left="567" w:right="-734"/>
        <w:jc w:val="both"/>
        <w:rPr>
          <w:rFonts w:ascii="Palatino Linotype" w:eastAsia="Palatino Linotype" w:hAnsi="Palatino Linotype" w:cs="Palatino Linotype"/>
          <w:b/>
          <w:bCs/>
          <w:i/>
          <w:iCs/>
          <w:color w:val="000000"/>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E12FB3" w:rsidRDefault="00E12FB3">
      <w:pPr>
        <w:pBdr>
          <w:top w:val="nil"/>
          <w:left w:val="nil"/>
          <w:bottom w:val="nil"/>
          <w:right w:val="nil"/>
          <w:between w:val="nil"/>
        </w:pBdr>
        <w:ind w:left="720" w:right="-734"/>
        <w:rPr>
          <w:rFonts w:ascii="Palatino Linotype" w:eastAsia="Palatino Linotype" w:hAnsi="Palatino Linotype" w:cs="Palatino Linotype"/>
          <w:color w:val="000000"/>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lado, informa  encontrarse imposibilitada para proporcionar el soporte documental relativo a las actas de los Comités de Ética y de Bienes, bajo el argumento de que dicha información no obra bajo el resguardo de esa Unidad Administrativa.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No obstante, tal circunstancia no implica, por sí misma, una negativa de acceso a la información requerida, sino que evidencia que no se agotó una búsqueda exhaustiva, razonable y congruente en aquellas áreas administrativas que, de conformidad con sus atribuciones y funciones, pudieran poseer, generar, administrar o resguardar la información solicitada, toda vez que la solicitud únicamente fue turnada a la Sindicatura Municipal del Ayuntamiento de Ozumba, sin que exista constancia de que se hubiera requerido la intervención de las demás unidades administrativas que de acuerdo a sus funciones y atribuciones, pudieran contar con la documentación de interés.</w:t>
      </w: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Luego entonces, resulta procedente ordenar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que lleve a cabo una búsqueda exhaustiva, razonable y congruente de la información requerida en todas aquellas unidades administrativas que, en ejercicio de sus atribuciones, pudieran poseer, generar, administrar o resguardar la documentación de interés.</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toda vez que de las constancias que integran el expediente no se advierte que la búsqueda se haya realizado en la totalidad de las áreas que razonablemente pudieran contar con las actas del Comité de Ética, particularmente aquellas que, de conformidad con los </w:t>
      </w:r>
      <w:r>
        <w:rPr>
          <w:rFonts w:ascii="Palatino Linotype" w:eastAsia="Palatino Linotype" w:hAnsi="Palatino Linotype" w:cs="Palatino Linotype"/>
          <w:b/>
          <w:bCs/>
        </w:rPr>
        <w:t>Lineamientos para la Integración, Organización y Funcionamiento del Comité de Ética</w:t>
      </w:r>
      <w:r>
        <w:rPr>
          <w:rFonts w:ascii="Palatino Linotype" w:eastAsia="Palatino Linotype" w:hAnsi="Palatino Linotype" w:cs="Palatino Linotype"/>
        </w:rPr>
        <w:t>, forman parte de dicho órgano colegiado.</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En ese sentido, de manera enunciativa más no limitativa, la búsqueda deberá realizarse en las unidades administrativas correspondientes a los integrantes del referido Comité, entre las que se encuentran:</w:t>
      </w:r>
    </w:p>
    <w:p w:rsidR="00E12FB3" w:rsidRDefault="00EA0645">
      <w:pPr>
        <w:pBdr>
          <w:top w:val="nil"/>
          <w:left w:val="nil"/>
          <w:bottom w:val="nil"/>
          <w:right w:val="nil"/>
          <w:between w:val="nil"/>
        </w:pBdr>
        <w:spacing w:line="360" w:lineRule="auto"/>
        <w:ind w:left="567" w:right="-734" w:hanging="284"/>
        <w:rPr>
          <w:rFonts w:ascii="Palatino Linotype" w:eastAsia="Palatino Linotype" w:hAnsi="Palatino Linotype" w:cs="Palatino Linotype"/>
          <w:color w:val="000000"/>
        </w:rPr>
      </w:pPr>
      <w:r>
        <w:rPr>
          <w:rFonts w:ascii="Palatino Linotype" w:eastAsia="Palatino Linotype" w:hAnsi="Palatino Linotype" w:cs="Palatino Linotype"/>
          <w:color w:val="000000"/>
        </w:rPr>
        <w:t>• Presidencia Municipal Constitucional del H. Ayuntamiento de Ozumba, en su carácter de Presidencia del Comité;</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Sindicatura Municipal, en su carácter de Vicepresidencia;</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Secretaría del Ayuntamiento, en su carácter de Secretaría;</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Regidurías integrantes del Ayuntamiento, en su carácter de Vocales;</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Contraloría Interna Municipal, en su carácter de Vocal;</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Área de Recursos Humanos, en su carácter de Vocal;</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Defensoría Municipal de Derechos Humanos, en su carácter de Vocal;</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Autoridades Auxiliares, a través de las Delegaciones Municipales, en su carácter de Vocales; y</w:t>
      </w:r>
    </w:p>
    <w:p w:rsidR="00E12FB3" w:rsidRDefault="00EA0645">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r>
        <w:rPr>
          <w:rFonts w:ascii="Palatino Linotype" w:eastAsia="Palatino Linotype" w:hAnsi="Palatino Linotype" w:cs="Palatino Linotype"/>
          <w:color w:val="000000"/>
        </w:rPr>
        <w:t>• Dirección Jurídica Municipal, en su carácter de Vocal.</w:t>
      </w:r>
    </w:p>
    <w:p w:rsidR="00E12FB3" w:rsidRDefault="00E12FB3">
      <w:pPr>
        <w:pBdr>
          <w:top w:val="nil"/>
          <w:left w:val="nil"/>
          <w:bottom w:val="nil"/>
          <w:right w:val="nil"/>
          <w:between w:val="nil"/>
        </w:pBdr>
        <w:spacing w:line="360" w:lineRule="auto"/>
        <w:ind w:left="851" w:right="-734" w:hanging="425"/>
        <w:rPr>
          <w:rFonts w:ascii="Palatino Linotype" w:eastAsia="Palatino Linotype" w:hAnsi="Palatino Linotype" w:cs="Palatino Linotype"/>
          <w:color w:val="000000"/>
        </w:rPr>
      </w:pPr>
    </w:p>
    <w:p w:rsidR="00E12FB3" w:rsidRDefault="00EA0645">
      <w:pPr>
        <w:numPr>
          <w:ilvl w:val="0"/>
          <w:numId w:val="3"/>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Lo anterior, sin perjuicio de que la búsqueda se extienda a cualquier otra unidad administrativa que, derivado de sus atribuciones, participación en el Comité o resguardo documental, pudiera contar con la información solicitada.</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141" w:right="-734" w:firstLine="0"/>
        <w:jc w:val="both"/>
        <w:rPr>
          <w:rFonts w:ascii="Palatino Linotype" w:eastAsia="Palatino Linotype" w:hAnsi="Palatino Linotype" w:cs="Palatino Linotype"/>
        </w:rPr>
      </w:pPr>
      <w:r>
        <w:rPr>
          <w:rFonts w:ascii="Palatino Linotype" w:eastAsia="Palatino Linotype" w:hAnsi="Palatino Linotype" w:cs="Palatino Linotype"/>
        </w:rPr>
        <w:t>Por cuanto hace al Comité de Bienes, el Reglamento Para el Control de los Bienes Patrimoniales del Municipio de Ozumba Estado de México, establece en su Glosario y Capítulo V lo siguiente:</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COMITÉ: Al Comité de Bienes Muebles e Inmuebles, el cual estará integrado por aquellos que la ley determine como responsables del registro y control de los bienes muebles e inmuebles, su función es realizar, el análisis, adopción de criterios, medidas eficaces, y oportunas para mantener la conciliación de los inventarios con los registros contables.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CAPÍTULO V  DE LAS FUNCIONES DEL COMITÉ DÉCIMO TERCERO: El Comité tendrá las funciones siguientes: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Sesionar por lo menos una vez al bimestre (ordinarias), se convocará a asuntos urgentes o especiales que requieran atención inmediata (extraordinarias).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Determinar la fecha de inicio y término de los dos levantamientos físicos anuales de los inventarios de bienes muebles e inmuebles.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 Analizar y validar los resultados finales de los trabajos relacionados con los levantamientos físicos.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Presentar ante el órgano máximo de gobierno los movimientos propuestos derivados de los levantamientos físicos y de la conciliación de los bienes muebles.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Implementar acciones que se consideren necesarias en apoyo al procedimiento para la conciliación del inventario de bienes muebles patrimoniales con los registros contables. </w:t>
      </w:r>
    </w:p>
    <w:p w:rsidR="00E12FB3" w:rsidRDefault="00E12FB3">
      <w:pPr>
        <w:spacing w:line="360" w:lineRule="auto"/>
        <w:ind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Atento a lo anterior, se colige que debe ser turnada la solicitud de manera enunciativa más no limitativa a las siguientes área que integran dicho Comité de conformidad a los Lineamientos ya citados:</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DÉCIMO SEGUNDO: El Comité estará integrado por: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Secretario o director general según sea el caso, quien fungirá como presidente;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Titular del órgano de control interno, quien fungirá como secretario ejecutivo;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Síndico, quien fungirá como vocal;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Tesorero, quien fungirá como vocal; y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Un representante del área jurídica, con función de vocal, quien será designado por el representante legal de las unidades administrativas fiscales.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Todos los miembros tendrán derecho a voz y voto, a excepción del titular del órgano de control interno, que tendrá únicamente voz; correspondiendo el voto de calidad al presidente del Comité. </w:t>
      </w:r>
    </w:p>
    <w:p w:rsidR="00E12FB3" w:rsidRDefault="00EA0645">
      <w:pPr>
        <w:spacing w:line="360" w:lineRule="auto"/>
        <w:ind w:left="567" w:right="-73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Presidente y los Vocales con excepción del representante de las unidades administrativas fiscalizable podrán designar a sus representantes quienes tendrán la facultad de valorar y tomar </w:t>
      </w:r>
      <w:r>
        <w:rPr>
          <w:rFonts w:ascii="Palatino Linotype" w:eastAsia="Palatino Linotype" w:hAnsi="Palatino Linotype" w:cs="Palatino Linotype"/>
          <w:i/>
          <w:iCs/>
        </w:rPr>
        <w:lastRenderedPageBreak/>
        <w:t xml:space="preserve">decisiones con respecto a los asuntos tratados al interior del Comité y en su caso ratificada por los titulares, dicha designación deberá estar plasmada en acta del propio Comité.  </w:t>
      </w:r>
    </w:p>
    <w:p w:rsidR="00E12FB3" w:rsidRDefault="00E12FB3">
      <w:pPr>
        <w:spacing w:line="360" w:lineRule="auto"/>
        <w:ind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Al respecto, el procedimiento de acceso a la información pública, previsto en el Título Séptimo de la Ley de Transparencia y Acceso a la Información Pública del Estado de México y Municipios, establece las actuaciones que deben observar los sujetos obligados para la debida atención de las solicitudes de información presentadas por las personas en ejercicio de este derecho fundamental. Entre dichas obligaciones destaca la correspondiente a las Unidades de Transparencia de turnar las solicitudes a todas aquellas áreas administrativas que cuenten con la información requerida o que deban poseerla en atención a sus atribuciones, competencias y funciones, a efecto de que lleven a cabo una búsqueda exhaustiva, razonable y congruente de la información solicitada, en términos de lo dispuesto por el artículo 162 de la citada Ley, que establece:</w:t>
      </w:r>
    </w:p>
    <w:p w:rsidR="00E12FB3" w:rsidRDefault="00EA0645">
      <w:pPr>
        <w:pBdr>
          <w:top w:val="nil"/>
          <w:left w:val="nil"/>
          <w:bottom w:val="nil"/>
          <w:right w:val="nil"/>
          <w:between w:val="nil"/>
        </w:pBd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E12FB3" w:rsidRDefault="00E12FB3">
      <w:pPr>
        <w:spacing w:line="360" w:lineRule="auto"/>
        <w:ind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la obligación de realizar una búsqueda exhaustiva en los archivos institucionales no se satisface con una indagación limitada o meramente formal, sino que implica identificar y requerir a todas aquellas unidades administrativas que, conforme a sus atribuciones, competencias, funciones o actividades sustantivas, pudieran generar, poseer, </w:t>
      </w:r>
      <w:r>
        <w:rPr>
          <w:rFonts w:ascii="Palatino Linotype" w:eastAsia="Palatino Linotype" w:hAnsi="Palatino Linotype" w:cs="Palatino Linotype"/>
        </w:rPr>
        <w:lastRenderedPageBreak/>
        <w:t>administrar o resguardar la información solicitada. Lo anterior guarda estrecha relación con una adecuada gestión documental, entendida como el conjunto de acciones destinadas a la organización, conservación, localización y recuperación de los documentos que obran en poder del sujeto obligado, permitiendo con ello garantizar el acceso efectivo a la información pública, de conformidad con lo previsto en el artículo 159 de la Ley de Transparencia y Acceso a la Información Pública del Estado de México y Municipios.</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pasa desapercibido para este Instituto que la Síndica Municipal, al rendir su pronunciamiento, no manifestó formar parte del Comité de Ética, como lo sostiene la persona recurrente en su motivo de inconformidad.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Por el contrario, señaló que no contaba con las actas correspondientes a dicho órgano colegiado, precisando tal circunstancia en atención a que dichas documentales también fueron requeridas de manera expresa en la solicitud de información que dio origen al presente recurso de revisión. En consecuencia, tal manifestación no constituye un pronunciamiento respecto de su integración al referido Comité, sino únicamente una declaración relativa a la ausencia de las actas en el ámbito de su resguardo o posesión.</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Distinta situación acontece respecto del Comité de Bienes y Límites Territoriales. En relación con este último Comité, la Síndica Municipal manifestó formar parte de éstos y adicional señaló haber remitido un acta correspondiente; sin embargo, del análisis de las </w:t>
      </w:r>
      <w:r>
        <w:rPr>
          <w:rFonts w:ascii="Palatino Linotype" w:eastAsia="Palatino Linotype" w:hAnsi="Palatino Linotype" w:cs="Palatino Linotype"/>
          <w:color w:val="000000"/>
        </w:rPr>
        <w:lastRenderedPageBreak/>
        <w:t>constancias que integran el expediente electrónico en que se actúa, no se advierte la remisión de documento alguno que permita tener por atendido ese extremo de la solicitud</w:t>
      </w:r>
      <w:r>
        <w:rPr>
          <w:rFonts w:ascii="Palatino Linotype" w:eastAsia="Palatino Linotype" w:hAnsi="Palatino Linotype" w:cs="Palatino Linotype"/>
        </w:rPr>
        <w:t xml:space="preserve">.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Asimismo, de los pronunciamientos emitidos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se desprende si el acta a la que se hace referencia corresponde a una sesión ordinaria o extraordinaria, ni se precisa si dicha documental constituye la totalidad de las actas generadas por el Comité o únicamente una de aquellas que obran en los archivos de la Sindicatura Municipal.</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ese contexto, y a fin de garantizar una búsqueda acorde con los principios de exhaustividad y máxima publicidad, resulta procedente ordenar al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que realice una nueva búsqueda exhaustiva, razonable y congruente en todas las unidades administrativas competentes que, de conformidad con sus atribuciones, pudieran generar, poseer, administrar o resguardar las actas del Comité de Límites Territoriales, tanto ordinarias como, en su caso, extraordinarias.</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de manera enunciativa más no limitativa, la solicitud de información deberá ser turnada a la </w:t>
      </w:r>
      <w:r>
        <w:rPr>
          <w:rFonts w:ascii="Palatino Linotype" w:eastAsia="Palatino Linotype" w:hAnsi="Palatino Linotype" w:cs="Palatino Linotype"/>
          <w:b/>
          <w:bCs/>
        </w:rPr>
        <w:t>Jefatura de Catastro</w:t>
      </w:r>
      <w:r>
        <w:rPr>
          <w:rFonts w:ascii="Palatino Linotype" w:eastAsia="Palatino Linotype" w:hAnsi="Palatino Linotype" w:cs="Palatino Linotype"/>
        </w:rPr>
        <w:t xml:space="preserve">, en atención a diversos indicios identificados en </w:t>
      </w:r>
      <w:r>
        <w:rPr>
          <w:rFonts w:ascii="Palatino Linotype" w:eastAsia="Palatino Linotype" w:hAnsi="Palatino Linotype" w:cs="Palatino Linotype"/>
          <w:color w:val="000000"/>
        </w:rPr>
        <w:t>fuentes</w:t>
      </w:r>
      <w:r>
        <w:rPr>
          <w:rFonts w:ascii="Palatino Linotype" w:eastAsia="Palatino Linotype" w:hAnsi="Palatino Linotype" w:cs="Palatino Linotype"/>
        </w:rPr>
        <w:t xml:space="preserve"> de acceso público, tales como internet, de los cuales se desprende que la persona titular de dicha área funge como Secretaría Técnica del Comité de referencia.</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tal virtud, dicha unidad administrativa podría tener bajo su resguardo la información solicitada, en atención a las funciones inherentes a la Secretaría Técnica, entre las que ordinariamente se encuentran la emisión de las convocatorias, la elaboración de actas o minutas de sesión, la integración de expedientes y el seguimiento de los acuerdos adoptados por la Comisión correspondiente.</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rPr>
        <w:t>Por tanto, resulta procedente que la Unidad de Transparencia garantice el turno de la solicitud a dicha área, a efecto de que realice una búsqueda exhaustiva, razonable y congruente de la información requerida, en los términos anteriormente expuestos.</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corresponde a la  </w:t>
      </w:r>
      <w:r>
        <w:rPr>
          <w:rFonts w:ascii="Palatino Linotype" w:eastAsia="Palatino Linotype" w:hAnsi="Palatino Linotype" w:cs="Palatino Linotype"/>
          <w:i/>
          <w:iCs/>
          <w:color w:val="000000"/>
        </w:rPr>
        <w:t>igualdad de oportunidades para recibir, buscar e impartir información</w:t>
      </w:r>
      <w:r>
        <w:rPr>
          <w:rFonts w:ascii="Palatino Linotype" w:eastAsia="Palatino Linotype" w:hAnsi="Palatino Linotype" w:cs="Palatino Linotype"/>
          <w:i/>
          <w:iCs/>
          <w:color w:val="000000"/>
          <w:vertAlign w:val="superscript"/>
        </w:rPr>
        <w:footnoteReference w:id="1"/>
      </w:r>
      <w:r>
        <w:rPr>
          <w:rFonts w:ascii="Palatino Linotype" w:eastAsia="Palatino Linotype" w:hAnsi="Palatino Linotype" w:cs="Palatino Linotype"/>
          <w:i/>
          <w:iCs/>
          <w:color w:val="000000"/>
        </w:rPr>
        <w:t xml:space="preserve"> en posesión de cualquier autoridad, entidad, órgano y organismo de los </w:t>
      </w:r>
      <w:r>
        <w:rPr>
          <w:rFonts w:ascii="Palatino Linotype" w:eastAsia="Palatino Linotype" w:hAnsi="Palatino Linotype" w:cs="Palatino Linotype"/>
          <w:color w:val="000000"/>
        </w:rPr>
        <w:t>poderes</w:t>
      </w:r>
      <w:r>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color w:val="000000"/>
          <w:vertAlign w:val="superscript"/>
        </w:rPr>
        <w:footnoteReference w:id="2"/>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 xml:space="preserve">que se constituye como una herramienta fundamental para </w:t>
      </w:r>
      <w:r>
        <w:rPr>
          <w:rFonts w:ascii="Palatino Linotype" w:eastAsia="Palatino Linotype" w:hAnsi="Palatino Linotype" w:cs="Palatino Linotype"/>
          <w:i/>
          <w:iCs/>
          <w:color w:val="000000"/>
        </w:rPr>
        <w:t>ejercer control democrático de las gestiones estatales, de forma tal que puedan cuestionar, indagar y considerar si se está dando un adecuado cumplimiento de las funciones públicas,</w:t>
      </w:r>
      <w:r>
        <w:rPr>
          <w:rFonts w:ascii="Palatino Linotype" w:eastAsia="Palatino Linotype" w:hAnsi="Palatino Linotype" w:cs="Palatino Linotype"/>
          <w:i/>
          <w:iCs/>
          <w:color w:val="000000"/>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w:t>
      </w:r>
      <w:r>
        <w:rPr>
          <w:rFonts w:ascii="Palatino Linotype" w:eastAsia="Palatino Linotype" w:hAnsi="Palatino Linotype" w:cs="Palatino Linotype"/>
          <w:i/>
          <w:iCs/>
          <w:color w:val="000000"/>
        </w:rPr>
        <w:lastRenderedPageBreak/>
        <w:t>transparencia de las actividades estatales y</w:t>
      </w:r>
      <w:r>
        <w:rPr>
          <w:rFonts w:ascii="Palatino Linotype" w:eastAsia="Palatino Linotype" w:hAnsi="Palatino Linotype" w:cs="Palatino Linotype"/>
          <w:color w:val="000000"/>
        </w:rPr>
        <w:t xml:space="preserve"> 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color w:val="000000"/>
          <w:vertAlign w:val="superscript"/>
        </w:rPr>
        <w:footnoteReference w:id="4"/>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Pr>
          <w:rFonts w:ascii="Palatino Linotype" w:eastAsia="Palatino Linotype" w:hAnsi="Palatino Linotype" w:cs="Palatino Linotype"/>
          <w:i/>
          <w:iCs/>
          <w:color w:val="000000"/>
          <w:vertAlign w:val="superscript"/>
        </w:rPr>
        <w:footnoteReference w:id="5"/>
      </w:r>
      <w:r>
        <w:rPr>
          <w:rFonts w:ascii="Palatino Linotype" w:eastAsia="Palatino Linotype" w:hAnsi="Palatino Linotype" w:cs="Palatino Linotype"/>
          <w:color w:val="000000"/>
        </w:rPr>
        <w:t xml:space="preserve"> ” </w:t>
      </w:r>
    </w:p>
    <w:p w:rsidR="00E12FB3" w:rsidRDefault="00E12FB3">
      <w:pPr>
        <w:spacing w:line="360" w:lineRule="auto"/>
        <w:ind w:left="720" w:right="-734"/>
        <w:jc w:val="both"/>
        <w:rPr>
          <w:rFonts w:ascii="Palatino Linotype" w:eastAsia="Palatino Linotype" w:hAnsi="Palatino Linotype" w:cs="Palatino Linotype"/>
        </w:rPr>
      </w:pPr>
    </w:p>
    <w:p w:rsidR="00E12FB3" w:rsidRDefault="00EA0645">
      <w:pPr>
        <w:numPr>
          <w:ilvl w:val="0"/>
          <w:numId w:val="3"/>
        </w:numPr>
        <w:spacing w:line="360" w:lineRule="auto"/>
        <w:ind w:left="0" w:right="-734"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E12FB3" w:rsidRDefault="00EA0645">
      <w:pPr>
        <w:spacing w:line="360" w:lineRule="auto"/>
        <w:ind w:left="426" w:right="-73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“CRITERIO 0002-11</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En consecuencia el acceso a la información se refiere a que se cumplan cualquiera de los siguientes tres supuestos:</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rsidR="00E12FB3" w:rsidRDefault="00E12FB3">
      <w:pPr>
        <w:spacing w:line="360" w:lineRule="auto"/>
        <w:ind w:left="567" w:right="-734"/>
        <w:jc w:val="both"/>
        <w:rPr>
          <w:rFonts w:ascii="Palatino Linotype" w:eastAsia="Palatino Linotype" w:hAnsi="Palatino Linotype" w:cs="Palatino Linotype"/>
          <w:i/>
          <w:iCs/>
          <w:color w:val="000000"/>
        </w:rPr>
      </w:pPr>
    </w:p>
    <w:p w:rsidR="00E12FB3" w:rsidRDefault="00EA0645">
      <w:pPr>
        <w:numPr>
          <w:ilvl w:val="0"/>
          <w:numId w:val="3"/>
        </w:numPr>
        <w:pBdr>
          <w:top w:val="nil"/>
          <w:left w:val="nil"/>
          <w:bottom w:val="nil"/>
          <w:right w:val="nil"/>
          <w:between w:val="nil"/>
        </w:pBdr>
        <w:shd w:val="clear" w:color="auto" w:fill="FFFFFF"/>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XI. Documento: </w:t>
      </w:r>
      <w:r>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Pr>
          <w:rFonts w:ascii="Palatino Linotype" w:eastAsia="Palatino Linotype" w:hAnsi="Palatino Linotype" w:cs="Palatino Linotype"/>
          <w:b/>
          <w:bCs/>
          <w:i/>
          <w:iCs/>
          <w:color w:val="000000"/>
        </w:rPr>
        <w:t>cualquier otro registro</w:t>
      </w:r>
      <w:r>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E12FB3" w:rsidRDefault="00E12FB3">
      <w:pPr>
        <w:spacing w:line="360" w:lineRule="auto"/>
        <w:ind w:left="567" w:right="-734"/>
        <w:jc w:val="both"/>
        <w:rPr>
          <w:rFonts w:ascii="Palatino Linotype" w:eastAsia="Palatino Linotype" w:hAnsi="Palatino Linotype" w:cs="Palatino Linotype"/>
          <w:i/>
          <w:iCs/>
          <w:color w:val="000000"/>
        </w:rPr>
      </w:pPr>
    </w:p>
    <w:p w:rsidR="00E12FB3" w:rsidRDefault="00EA0645">
      <w:pPr>
        <w:numPr>
          <w:ilvl w:val="0"/>
          <w:numId w:val="3"/>
        </w:numPr>
        <w:pBdr>
          <w:top w:val="nil"/>
          <w:left w:val="nil"/>
          <w:bottom w:val="nil"/>
          <w:right w:val="nil"/>
          <w:between w:val="nil"/>
        </w:pBdr>
        <w:shd w:val="clear" w:color="auto" w:fill="FFFFFF"/>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todos los actos de autoridad que realicen los Sujetos Obligados </w:t>
      </w:r>
      <w:r>
        <w:rPr>
          <w:rFonts w:ascii="Palatino Linotype" w:eastAsia="Palatino Linotype" w:hAnsi="Palatino Linotype" w:cs="Palatino Linotype"/>
          <w:b/>
          <w:bCs/>
          <w:color w:val="000000"/>
        </w:rPr>
        <w:t xml:space="preserve">deben estar </w:t>
      </w:r>
      <w:r>
        <w:rPr>
          <w:rFonts w:ascii="Palatino Linotype" w:eastAsia="Palatino Linotype" w:hAnsi="Palatino Linotype" w:cs="Palatino Linotype"/>
          <w:color w:val="000000"/>
        </w:rPr>
        <w:t xml:space="preserve">documentados y, bajo el más alto estándar de transparencia deberán poner toda la </w:t>
      </w:r>
      <w:r>
        <w:rPr>
          <w:rFonts w:ascii="Palatino Linotype" w:eastAsia="Palatino Linotype" w:hAnsi="Palatino Linotype" w:cs="Palatino Linotype"/>
          <w:color w:val="000000"/>
        </w:rPr>
        <w:lastRenderedPageBreak/>
        <w:t>información que se encuentre en su posesión, a disposición de los particulares que la soliciten.</w:t>
      </w:r>
    </w:p>
    <w:p w:rsidR="00E12FB3" w:rsidRDefault="00E12FB3">
      <w:pPr>
        <w:pBdr>
          <w:top w:val="nil"/>
          <w:left w:val="nil"/>
          <w:bottom w:val="nil"/>
          <w:right w:val="nil"/>
          <w:between w:val="nil"/>
        </w:pBdr>
        <w:shd w:val="clear" w:color="auto" w:fill="FFFFFF"/>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hd w:val="clear" w:color="auto" w:fill="FFFFFF"/>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“Artículo 4. </w:t>
      </w:r>
      <w:r>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Toda la información</w:t>
      </w:r>
      <w:r>
        <w:rPr>
          <w:rFonts w:ascii="Palatino Linotype" w:eastAsia="Palatino Linotype" w:hAnsi="Palatino Linotype" w:cs="Palatino Linotype"/>
          <w:i/>
          <w:iCs/>
          <w:color w:val="000000"/>
        </w:rPr>
        <w:t xml:space="preserve"> generada, obtenida, adquirida, transformada, administrada o </w:t>
      </w:r>
      <w:r>
        <w:rPr>
          <w:rFonts w:ascii="Palatino Linotype" w:eastAsia="Palatino Linotype" w:hAnsi="Palatino Linotype" w:cs="Palatino Linotype"/>
          <w:b/>
          <w:bCs/>
          <w:i/>
          <w:iCs/>
          <w:color w:val="000000"/>
        </w:rPr>
        <w:t>en posesión de los sujetos obligados es pública</w:t>
      </w:r>
      <w:r>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E12FB3" w:rsidRDefault="00EA0645">
      <w:pPr>
        <w:spacing w:line="360" w:lineRule="auto"/>
        <w:ind w:left="426"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rsidR="00E12FB3" w:rsidRDefault="00E12FB3">
      <w:pPr>
        <w:spacing w:line="360" w:lineRule="auto"/>
        <w:ind w:left="567" w:right="-734"/>
        <w:jc w:val="both"/>
        <w:rPr>
          <w:rFonts w:ascii="Palatino Linotype" w:eastAsia="Palatino Linotype" w:hAnsi="Palatino Linotype" w:cs="Palatino Linotype"/>
          <w:i/>
          <w:iCs/>
          <w:color w:val="000000"/>
        </w:rPr>
      </w:pPr>
    </w:p>
    <w:p w:rsidR="00E12FB3" w:rsidRDefault="00EA0645">
      <w:pPr>
        <w:numPr>
          <w:ilvl w:val="0"/>
          <w:numId w:val="3"/>
        </w:numPr>
        <w:pBdr>
          <w:top w:val="nil"/>
          <w:left w:val="nil"/>
          <w:bottom w:val="nil"/>
          <w:right w:val="nil"/>
          <w:between w:val="nil"/>
        </w:pBdr>
        <w:shd w:val="clear" w:color="auto" w:fill="FFFFFF"/>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Pr>
          <w:rFonts w:ascii="Palatino Linotype" w:eastAsia="Palatino Linotype" w:hAnsi="Palatino Linotype" w:cs="Palatino Linotype"/>
          <w:color w:val="000000"/>
          <w:vertAlign w:val="superscript"/>
        </w:rPr>
        <w:footnoteReference w:id="6"/>
      </w:r>
      <w:r>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E12FB3" w:rsidRDefault="00E12FB3">
      <w:pPr>
        <w:pBdr>
          <w:top w:val="nil"/>
          <w:left w:val="nil"/>
          <w:bottom w:val="nil"/>
          <w:right w:val="nil"/>
          <w:between w:val="nil"/>
        </w:pBdr>
        <w:shd w:val="clear" w:color="auto" w:fill="FFFFFF"/>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hd w:val="clear" w:color="auto" w:fill="FFFFFF"/>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E12FB3" w:rsidRDefault="00EA0645">
      <w:pPr>
        <w:pBdr>
          <w:top w:val="none" w:sz="0" w:space="0" w:color="000000"/>
          <w:left w:val="none" w:sz="0" w:space="0" w:color="000000"/>
          <w:bottom w:val="none" w:sz="0" w:space="0" w:color="000000"/>
          <w:right w:val="none" w:sz="0" w:space="0" w:color="000000"/>
          <w:between w:val="none" w:sz="0" w:space="0" w:color="000000"/>
        </w:pBdr>
        <w:tabs>
          <w:tab w:val="left" w:pos="851"/>
        </w:tabs>
        <w:spacing w:line="360" w:lineRule="auto"/>
        <w:ind w:left="425"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ACCESO A LA INFORMACIÓN. IMPLICACIÓN DEL PRINCIPIO DE MÁXIMA PUBLICIDAD EN EL DERECHO FUNDAMENTAL RELATIVO.</w:t>
      </w:r>
      <w:r>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w:t>
      </w:r>
      <w:r>
        <w:rPr>
          <w:rFonts w:ascii="Palatino Linotype" w:eastAsia="Palatino Linotype" w:hAnsi="Palatino Linotype" w:cs="Palatino Linotype"/>
          <w:i/>
          <w:iCs/>
          <w:color w:val="000000"/>
        </w:rPr>
        <w:lastRenderedPageBreak/>
        <w:t>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E12FB3" w:rsidRDefault="00E12FB3">
      <w:pPr>
        <w:spacing w:line="360" w:lineRule="auto"/>
        <w:ind w:right="-734"/>
        <w:jc w:val="both"/>
        <w:rPr>
          <w:rFonts w:ascii="Palatino Linotype" w:eastAsia="Palatino Linotype" w:hAnsi="Palatino Linotype" w:cs="Palatino Linotype"/>
          <w:color w:val="000000"/>
        </w:rPr>
      </w:pPr>
    </w:p>
    <w:p w:rsidR="00E12FB3" w:rsidRDefault="00EA0645">
      <w:pPr>
        <w:numPr>
          <w:ilvl w:val="0"/>
          <w:numId w:val="3"/>
        </w:numPr>
        <w:pBdr>
          <w:top w:val="nil"/>
          <w:left w:val="nil"/>
          <w:bottom w:val="nil"/>
          <w:right w:val="nil"/>
          <w:between w:val="nil"/>
        </w:pBdr>
        <w:spacing w:line="360" w:lineRule="auto"/>
        <w:ind w:left="141"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Finalmente, no pasa desapercibido para este Órgano Garante que, respecto del acta de instalación del Comité de Ética, en caso de que, derivado de la nueva búsqueda exhaustiva, razonable realizada al diez de marzo de dos mil veintiséis, no se localice la referida documental, bastará con que dicha circunstancia sea debidamente comunicada al particular, en términos de lo dispuesto por el artículo 19, párrafo segundo, de la Ley de Transparencia y Acceso a la Información Pública del Estado de México y Municipios.</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141"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encuentra sustento en que, por regla general, los comités municipales se instalan al inicio del ejercicio anual o del periodo de gobierno del ayuntamiento, </w:t>
      </w:r>
      <w:r>
        <w:rPr>
          <w:rFonts w:ascii="Palatino Linotype" w:eastAsia="Palatino Linotype" w:hAnsi="Palatino Linotype" w:cs="Palatino Linotype"/>
          <w:color w:val="000000"/>
        </w:rPr>
        <w:lastRenderedPageBreak/>
        <w:t>usualmente dentro del primer trimestre del año (enero–marzo), sin que la normativa aplicable establezca una fecha única y específica para su instalación.</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141"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este sentido, la Ley Orgánica Municipal del Estado de México únicamente dispone que los ayuntamientos se instalan el día primero de enero del año correspondiente, y que en sus primeras sesiones deben integrar su estructura interna, incluyendo comisiones y órganos auxiliares, entre los cuales pueden ubicarse los comités administrativos, como el Comité de Ética.</w:t>
      </w:r>
    </w:p>
    <w:p w:rsidR="00E12FB3" w:rsidRDefault="00E12FB3">
      <w:pPr>
        <w:spacing w:line="360" w:lineRule="auto"/>
        <w:ind w:right="-734"/>
        <w:jc w:val="both"/>
        <w:rPr>
          <w:rFonts w:ascii="Palatino Linotype" w:eastAsia="Palatino Linotype" w:hAnsi="Palatino Linotype" w:cs="Palatino Linotype"/>
          <w:color w:val="000000"/>
        </w:rPr>
      </w:pPr>
    </w:p>
    <w:p w:rsidR="00E12FB3" w:rsidRDefault="00EA0645">
      <w:pPr>
        <w:pBdr>
          <w:top w:val="nil"/>
          <w:left w:val="nil"/>
          <w:bottom w:val="nil"/>
          <w:right w:val="nil"/>
          <w:between w:val="nil"/>
        </w:pBdr>
        <w:tabs>
          <w:tab w:val="left" w:pos="284"/>
          <w:tab w:val="left" w:pos="426"/>
        </w:tabs>
        <w:spacing w:line="360" w:lineRule="auto"/>
        <w:ind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E12FB3" w:rsidRDefault="00EA0645">
      <w:pPr>
        <w:numPr>
          <w:ilvl w:val="0"/>
          <w:numId w:val="3"/>
        </w:numPr>
        <w:pBdr>
          <w:top w:val="nil"/>
          <w:left w:val="nil"/>
          <w:bottom w:val="nil"/>
          <w:right w:val="nil"/>
          <w:between w:val="nil"/>
        </w:pBdr>
        <w:spacing w:line="360" w:lineRule="auto"/>
        <w:ind w:left="141"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Precisado lo anterior, y toda vez que la información materia de estudio, atendiendo a su naturaleza y contenido, </w:t>
      </w:r>
      <w:r>
        <w:rPr>
          <w:rFonts w:ascii="Palatino Linotype" w:eastAsia="Palatino Linotype" w:hAnsi="Palatino Linotype" w:cs="Palatino Linotype"/>
          <w:color w:val="000000"/>
          <w:u w:val="single"/>
        </w:rPr>
        <w:t>eventualmente</w:t>
      </w:r>
      <w:r>
        <w:rPr>
          <w:rFonts w:ascii="Palatino Linotype" w:eastAsia="Palatino Linotype" w:hAnsi="Palatino Linotype" w:cs="Palatino Linotype"/>
          <w:color w:val="000000"/>
        </w:rPr>
        <w:t xml:space="preserve"> pudiera contener datos personales susceptibles de protección,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en su caso, elaborar las versiones públicas correspondientes y hacer entrega de la información requerida.</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141"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términos de lo expuesto, la documentación y aquellos datos que se consideren confidenciales, serán una limitante del derecho de acceso a la información, siempre y cuando:</w:t>
      </w:r>
    </w:p>
    <w:p w:rsidR="00E12FB3" w:rsidRDefault="00EA0645">
      <w:pPr>
        <w:numPr>
          <w:ilvl w:val="0"/>
          <w:numId w:val="1"/>
        </w:num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Se trate de datos personales o información privada; esto es, información concerniente a una persona física o </w:t>
      </w:r>
      <w:r>
        <w:rPr>
          <w:rFonts w:ascii="Palatino Linotype" w:eastAsia="Palatino Linotype" w:hAnsi="Palatino Linotype" w:cs="Palatino Linotype"/>
        </w:rPr>
        <w:t>jurídica</w:t>
      </w:r>
      <w:r>
        <w:rPr>
          <w:rFonts w:ascii="Palatino Linotype" w:eastAsia="Palatino Linotype" w:hAnsi="Palatino Linotype" w:cs="Palatino Linotype"/>
          <w:color w:val="000000"/>
        </w:rPr>
        <w:t xml:space="preserve"> colectiva y que ésta sea identificada o identificable. </w:t>
      </w:r>
    </w:p>
    <w:p w:rsidR="00E12FB3" w:rsidRDefault="00EA0645">
      <w:pPr>
        <w:numPr>
          <w:ilvl w:val="0"/>
          <w:numId w:val="1"/>
        </w:num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Para la difusión de los datos, se </w:t>
      </w:r>
      <w:r>
        <w:rPr>
          <w:rFonts w:ascii="Palatino Linotype" w:eastAsia="Palatino Linotype" w:hAnsi="Palatino Linotype" w:cs="Palatino Linotype"/>
        </w:rPr>
        <w:t>requiere</w:t>
      </w:r>
      <w:r>
        <w:rPr>
          <w:rFonts w:ascii="Palatino Linotype" w:eastAsia="Palatino Linotype" w:hAnsi="Palatino Linotype" w:cs="Palatino Linotype"/>
          <w:color w:val="000000"/>
        </w:rPr>
        <w:t xml:space="preserve"> el consentimiento del titular. </w:t>
      </w:r>
    </w:p>
    <w:p w:rsidR="00E12FB3" w:rsidRDefault="00E12FB3">
      <w:pPr>
        <w:pBdr>
          <w:top w:val="nil"/>
          <w:left w:val="nil"/>
          <w:bottom w:val="nil"/>
          <w:right w:val="nil"/>
          <w:between w:val="nil"/>
        </w:pBdr>
        <w:spacing w:line="360" w:lineRule="auto"/>
        <w:ind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identificada o identificable (cuando su identidad pueda determinarse directa o indirectamente a través de cualquier documento informativo físico o electrónico), establecida en cualquier formato o modalidad. </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en el artículo 5° de dicho ordenamiento jurídico, establece que es la Ley aplicable para todo tratamiento de datos personales. 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tales situaciones,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w:t>
      </w:r>
      <w:r>
        <w:rPr>
          <w:rFonts w:ascii="Palatino Linotype" w:eastAsia="Palatino Linotype" w:hAnsi="Palatino Linotype" w:cs="Palatino Linotype"/>
          <w:color w:val="000000"/>
        </w:rPr>
        <w:lastRenderedPageBreak/>
        <w:t>personales. En este sentido, cualquier información que por sí sola o relacionada con otra permita hacer identificable a una persona, es un dato personal, susceptible de ser clasificado.</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este contexto, la confidencialidad de los datos personales, tiene por objetivo establecer el límite del derecho de acceso a la información a partir del derecho a la intimidad y la vida privada de los individuos. Sobre la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Luego entonces, 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Artículo 3</w:t>
      </w:r>
      <w:r>
        <w:rPr>
          <w:rFonts w:ascii="Palatino Linotype" w:eastAsia="Palatino Linotype" w:hAnsi="Palatino Linotype" w:cs="Palatino Linotype"/>
          <w:i/>
          <w:iCs/>
          <w:color w:val="000000"/>
        </w:rPr>
        <w:t>. Para los efectos de la presente Ley se entenderá por:</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IX. Datos personales</w:t>
      </w:r>
      <w:r>
        <w:rPr>
          <w:rFonts w:ascii="Palatino Linotype" w:eastAsia="Palatino Linotype" w:hAnsi="Palatino Linotype" w:cs="Palatino Linotype"/>
          <w:i/>
          <w:iCs/>
          <w:color w:val="000000"/>
        </w:rPr>
        <w:t xml:space="preserve">: La información concerniente a una persona, identificada o identificable según lo dispuesto por la Ley de Protección de Datos Personales del Estado de México; </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 Información clasificada</w:t>
      </w:r>
      <w:r>
        <w:rPr>
          <w:rFonts w:ascii="Palatino Linotype" w:eastAsia="Palatino Linotype" w:hAnsi="Palatino Linotype" w:cs="Palatino Linotype"/>
          <w:i/>
          <w:iCs/>
          <w:color w:val="000000"/>
        </w:rPr>
        <w:t>: Aquella considerada por la presente Ley como reservada o confidencial;</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XXI. Información confidencial</w:t>
      </w:r>
      <w:r>
        <w:rPr>
          <w:rFonts w:ascii="Palatino Linotype" w:eastAsia="Palatino Linotype" w:hAnsi="Palatino Linotype" w:cs="Palatino Linotype"/>
          <w:i/>
          <w:iCs/>
          <w:color w:val="000000"/>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XLV. Versión pública</w:t>
      </w:r>
      <w:r>
        <w:rPr>
          <w:rFonts w:ascii="Palatino Linotype" w:eastAsia="Palatino Linotype" w:hAnsi="Palatino Linotype" w:cs="Palatino Linotype"/>
          <w:i/>
          <w:iCs/>
          <w:color w:val="000000"/>
        </w:rPr>
        <w:t>: Documento en el que se elimine, suprime o borra la información clasificada como reservada o confidencial para permitir su acceso.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91.</w:t>
      </w:r>
      <w:r>
        <w:rPr>
          <w:rFonts w:ascii="Palatino Linotype" w:eastAsia="Palatino Linotype" w:hAnsi="Palatino Linotype" w:cs="Palatino Linotype"/>
          <w:i/>
          <w:iCs/>
          <w:color w:val="000000"/>
        </w:rPr>
        <w:t xml:space="preserve"> El acceso a la información pública será restringido excepcionalmente, cuando ésta sea clasificada como reservada o confidencial.</w:t>
      </w:r>
    </w:p>
    <w:p w:rsidR="00E12FB3" w:rsidRDefault="00E12FB3">
      <w:pPr>
        <w:spacing w:line="360" w:lineRule="auto"/>
        <w:ind w:left="850" w:right="-734"/>
        <w:jc w:val="both"/>
        <w:rPr>
          <w:rFonts w:ascii="Palatino Linotype" w:eastAsia="Palatino Linotype" w:hAnsi="Palatino Linotype" w:cs="Palatino Linotype"/>
          <w:i/>
          <w:iCs/>
          <w:color w:val="000000"/>
        </w:rPr>
      </w:pP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132</w:t>
      </w:r>
      <w:r>
        <w:rPr>
          <w:rFonts w:ascii="Palatino Linotype" w:eastAsia="Palatino Linotype" w:hAnsi="Palatino Linotype" w:cs="Palatino Linotype"/>
          <w:i/>
          <w:iCs/>
          <w:color w:val="000000"/>
        </w:rPr>
        <w:t>. La clasificación de la información se llevará a cabo en el momento en que:</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 reciba una solicitud de acceso a la información;</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w:t>
      </w:r>
      <w:r>
        <w:rPr>
          <w:rFonts w:ascii="Palatino Linotype" w:eastAsia="Palatino Linotype" w:hAnsi="Palatino Linotype" w:cs="Palatino Linotype"/>
          <w:i/>
          <w:iCs/>
          <w:color w:val="000000"/>
        </w:rPr>
        <w:t xml:space="preserve"> Se determine mediante resolución de autoridad competente; 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III.</w:t>
      </w:r>
      <w:r>
        <w:rPr>
          <w:rFonts w:ascii="Palatino Linotype" w:eastAsia="Palatino Linotype" w:hAnsi="Palatino Linotype" w:cs="Palatino Linotype"/>
          <w:i/>
          <w:iCs/>
          <w:color w:val="000000"/>
        </w:rPr>
        <w:t xml:space="preserve"> Se generen versiones públicas para dar cumplimiento a las obligaciones de transparencia previstas en esta Ley.</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E12FB3" w:rsidRDefault="00E12FB3">
      <w:pPr>
        <w:spacing w:line="360" w:lineRule="auto"/>
        <w:ind w:left="850" w:right="-734"/>
        <w:jc w:val="both"/>
        <w:rPr>
          <w:rFonts w:ascii="Palatino Linotype" w:eastAsia="Palatino Linotype" w:hAnsi="Palatino Linotype" w:cs="Palatino Linotype"/>
          <w:i/>
          <w:iCs/>
          <w:color w:val="000000"/>
        </w:rPr>
      </w:pP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143.</w:t>
      </w:r>
      <w:r>
        <w:rPr>
          <w:rFonts w:ascii="Palatino Linotype" w:eastAsia="Palatino Linotype" w:hAnsi="Palatino Linotype" w:cs="Palatino Linotype"/>
          <w:i/>
          <w:iCs/>
          <w:color w:val="000000"/>
        </w:rPr>
        <w:t xml:space="preserve"> Para los efectos de esta Ley se considera información confidencial, la clasificada como tal, de manera permanente, por su naturaleza, cuando: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 refiera a la información privada y los datos personales concernientes a una persona física o jurídico colectiva identificada o identificable;</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II.</w:t>
      </w:r>
      <w:r>
        <w:rPr>
          <w:rFonts w:ascii="Palatino Linotype" w:eastAsia="Palatino Linotype" w:hAnsi="Palatino Linotype" w:cs="Palatino Linotype"/>
          <w:i/>
          <w:iCs/>
          <w:color w:val="000000"/>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III.</w:t>
      </w:r>
      <w:r>
        <w:rPr>
          <w:rFonts w:ascii="Palatino Linotype" w:eastAsia="Palatino Linotype" w:hAnsi="Palatino Linotype" w:cs="Palatino Linotype"/>
          <w:i/>
          <w:iCs/>
          <w:color w:val="000000"/>
        </w:rPr>
        <w:t xml:space="preserve"> La que presenten los particulares a los sujetos obligados, de conformidad con lo dispuesto por las leyes o los tratados internacionales.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 información confidencial no estará sujeta a temporalidad alguna y sólo podrán tener acceso a ella los titulares de la misma, sus representantes y los servidores públicos facultados para ello.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se considerará confidencial la información que se encuentre en los registros públicos o en fuentes de acceso público, ni tampoco la que sea considerada por la presente ley como información pública.”</w:t>
      </w:r>
    </w:p>
    <w:p w:rsidR="00E12FB3" w:rsidRDefault="00E12FB3">
      <w:pPr>
        <w:spacing w:line="360" w:lineRule="auto"/>
        <w:ind w:left="850" w:right="-734"/>
        <w:jc w:val="both"/>
        <w:rPr>
          <w:rFonts w:ascii="Palatino Linotype" w:eastAsia="Palatino Linotype" w:hAnsi="Palatino Linotype" w:cs="Palatino Linotype"/>
          <w:i/>
          <w:iCs/>
          <w:color w:val="000000"/>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w:t>
      </w:r>
      <w:r>
        <w:rPr>
          <w:rFonts w:ascii="Palatino Linotype" w:eastAsia="Palatino Linotype" w:hAnsi="Palatino Linotype" w:cs="Palatino Linotype"/>
        </w:rPr>
        <w:t>clasificará</w:t>
      </w:r>
      <w:r>
        <w:rPr>
          <w:rFonts w:ascii="Palatino Linotype" w:eastAsia="Palatino Linotype" w:hAnsi="Palatino Linotype" w:cs="Palatino Linotype"/>
          <w:color w:val="000000"/>
        </w:rPr>
        <w:t xml:space="preserve"> como reservada o confidencial la información que posean, </w:t>
      </w:r>
      <w:r>
        <w:rPr>
          <w:rFonts w:ascii="Palatino Linotype" w:eastAsia="Palatino Linotype" w:hAnsi="Palatino Linotype" w:cs="Palatino Linotype"/>
        </w:rPr>
        <w:t>desclasificará</w:t>
      </w:r>
      <w:r>
        <w:rPr>
          <w:rFonts w:ascii="Palatino Linotype" w:eastAsia="Palatino Linotype" w:hAnsi="Palatino Linotype" w:cs="Palatino Linotype"/>
          <w:color w:val="000000"/>
        </w:rPr>
        <w:t xml:space="preserve"> y generarán, en su caso, versiones públicas de expedientes o documentos que contengan partes o secciones clasificadas.</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específico, la información solicitada puede contener datos susceptibles de clasificarse, que de hacerse públicos afectarían la intimidad y vida privada de particulares; </w:t>
      </w:r>
      <w:r>
        <w:rPr>
          <w:rFonts w:ascii="Palatino Linotype" w:eastAsia="Palatino Linotype" w:hAnsi="Palatino Linotype" w:cs="Palatino Linotype"/>
          <w:color w:val="000000"/>
        </w:rPr>
        <w:lastRenderedPageBreak/>
        <w:t>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Asimismo, se destaca que la versión pública que elabore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el que se expongan los fundamentos y razonamientos que le llevaron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w:t>
      </w:r>
      <w:r>
        <w:rPr>
          <w:rFonts w:ascii="Palatino Linotype" w:eastAsia="Palatino Linotype" w:hAnsi="Palatino Linotype" w:cs="Palatino Linotype"/>
          <w:color w:val="000000"/>
        </w:rPr>
        <w:lastRenderedPageBreak/>
        <w:t>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E12FB3" w:rsidRDefault="00EA0645">
      <w:pPr>
        <w:spacing w:line="360" w:lineRule="auto"/>
        <w:ind w:left="850" w:right="-734"/>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Ley de Transparencia y Acceso a la Información Pública del Estado de México y Municipios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49.</w:t>
      </w:r>
      <w:r>
        <w:rPr>
          <w:rFonts w:ascii="Palatino Linotype" w:eastAsia="Palatino Linotype" w:hAnsi="Palatino Linotype" w:cs="Palatino Linotype"/>
          <w:i/>
          <w:iCs/>
          <w:color w:val="000000"/>
        </w:rPr>
        <w:t xml:space="preserve"> Los Comités de Transparencia tendrán las siguientes atribuciones: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w:t>
      </w:r>
      <w:r>
        <w:rPr>
          <w:rFonts w:ascii="Palatino Linotype" w:eastAsia="Palatino Linotype" w:hAnsi="Palatino Linotype" w:cs="Palatino Linotype"/>
          <w:i/>
          <w:iCs/>
          <w:color w:val="000000"/>
        </w:rPr>
        <w:t>. Aprobar, modificar o revocar la clasificación de la información;</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132.</w:t>
      </w:r>
      <w:r>
        <w:rPr>
          <w:rFonts w:ascii="Palatino Linotype" w:eastAsia="Palatino Linotype" w:hAnsi="Palatino Linotype" w:cs="Palatino Linotype"/>
          <w:i/>
          <w:iCs/>
          <w:color w:val="000000"/>
        </w:rPr>
        <w:t xml:space="preserve"> La clasificación de la información se llevará a cabo en el momento en que:</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 reciba una solicitud de acceso a la información;</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w:t>
      </w:r>
      <w:r>
        <w:rPr>
          <w:rFonts w:ascii="Palatino Linotype" w:eastAsia="Palatino Linotype" w:hAnsi="Palatino Linotype" w:cs="Palatino Linotype"/>
          <w:i/>
          <w:iCs/>
          <w:color w:val="000000"/>
        </w:rPr>
        <w:t xml:space="preserve"> Se determine mediante resolución de autoridad competente; 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III</w:t>
      </w:r>
      <w:r>
        <w:rPr>
          <w:rFonts w:ascii="Palatino Linotype" w:eastAsia="Palatino Linotype" w:hAnsi="Palatino Linotype" w:cs="Palatino Linotype"/>
          <w:i/>
          <w:iCs/>
          <w:color w:val="000000"/>
        </w:rPr>
        <w:t>. Se generen versiones públicas para dar cumplimiento a las obligaciones de transparencia previstas en esta Ley.”</w:t>
      </w:r>
    </w:p>
    <w:p w:rsidR="00E12FB3" w:rsidRDefault="00EA0645">
      <w:pPr>
        <w:spacing w:line="360" w:lineRule="auto"/>
        <w:ind w:left="850" w:right="-734"/>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Lineamientos Generales en materia de Clasificación y Desclasificación de la Información, así como para la elaboración de Versiones Públicas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Segundo.-</w:t>
      </w:r>
      <w:r>
        <w:rPr>
          <w:rFonts w:ascii="Palatino Linotype" w:eastAsia="Palatino Linotype" w:hAnsi="Palatino Linotype" w:cs="Palatino Linotype"/>
          <w:i/>
          <w:iCs/>
          <w:color w:val="000000"/>
        </w:rPr>
        <w:t xml:space="preserve"> Para efectos de los presentes Lineamientos Generales, se entenderá por:</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XVIII.</w:t>
      </w:r>
      <w:r>
        <w:rPr>
          <w:rFonts w:ascii="Palatino Linotype" w:eastAsia="Palatino Linotype" w:hAnsi="Palatino Linotype" w:cs="Palatino Linotype"/>
          <w:i/>
          <w:iCs/>
          <w:color w:val="000000"/>
        </w:rPr>
        <w:t xml:space="preserve">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Cuarto.</w:t>
      </w:r>
      <w:r>
        <w:rPr>
          <w:rFonts w:ascii="Palatino Linotype" w:eastAsia="Palatino Linotype" w:hAnsi="Palatino Linotype" w:cs="Palatino Linotype"/>
          <w:i/>
          <w:iCs/>
          <w:color w:val="000000"/>
        </w:rPr>
        <w:t xml:space="preserve"> Para clasificar la información como reservada o confidencial, de manera total o parcial, el titular del área del sujeto obligado deberá atender lo dispuesto por el Título Sexto </w:t>
      </w:r>
      <w:r>
        <w:rPr>
          <w:rFonts w:ascii="Palatino Linotype" w:eastAsia="Palatino Linotype" w:hAnsi="Palatino Linotype" w:cs="Palatino Linotype"/>
          <w:i/>
          <w:iCs/>
          <w:color w:val="000000"/>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deberán aplicar, de manera estricta, las excepciones al derecho de acceso a la información y sólo podrán invocarlas cuando acrediten su procedencia.</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Quinto.</w:t>
      </w:r>
      <w:r>
        <w:rPr>
          <w:rFonts w:ascii="Palatino Linotype" w:eastAsia="Palatino Linotype" w:hAnsi="Palatino Linotype" w:cs="Palatino Linotype"/>
          <w:i/>
          <w:iCs/>
          <w:color w:val="00000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Séptimo</w:t>
      </w:r>
      <w:r>
        <w:rPr>
          <w:rFonts w:ascii="Palatino Linotype" w:eastAsia="Palatino Linotype" w:hAnsi="Palatino Linotype" w:cs="Palatino Linotype"/>
          <w:i/>
          <w:iCs/>
          <w:color w:val="000000"/>
        </w:rPr>
        <w:t>. La clasificaci6n de la informaci6n se llevara a cabo en el momento en que:</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w:t>
      </w:r>
      <w:r>
        <w:rPr>
          <w:rFonts w:ascii="Palatino Linotype" w:eastAsia="Palatino Linotype" w:hAnsi="Palatino Linotype" w:cs="Palatino Linotype"/>
          <w:i/>
          <w:iCs/>
          <w:color w:val="000000"/>
        </w:rPr>
        <w:t xml:space="preserve"> Se reciba una solicitud de acceso a la información;</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w:t>
      </w:r>
      <w:r>
        <w:rPr>
          <w:rFonts w:ascii="Palatino Linotype" w:eastAsia="Palatino Linotype" w:hAnsi="Palatino Linotype" w:cs="Palatino Linotype"/>
          <w:i/>
          <w:iCs/>
          <w:color w:val="000000"/>
        </w:rPr>
        <w:t xml:space="preserve">. Se determine mediante resolución del Comité de Transparencia, el Órgano Garante competente, o en cumplimiento a una sentencia del Poder Judicial; </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III.</w:t>
      </w:r>
      <w:r>
        <w:rPr>
          <w:rFonts w:ascii="Palatino Linotype" w:eastAsia="Palatino Linotype" w:hAnsi="Palatino Linotype" w:cs="Palatino Linotype"/>
          <w:i/>
          <w:iCs/>
          <w:color w:val="000000"/>
        </w:rPr>
        <w:t xml:space="preserve"> Se generen versiones públicas para dar cumplimiento a las obligaciones de transparencia previstas en la Ley General, la Ley Federal y las correspondientes de las entidades federativas.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titulares de las áreas deberán revisar la informaci6n requerida al momento de la recepci6n de una solicitud de acceso, para verificar, conforme a su naturaleza, si encuadra en una causal de reserva o de confidencialidad </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lastRenderedPageBreak/>
        <w:t xml:space="preserve"> </w:t>
      </w:r>
      <w:r>
        <w:rPr>
          <w:rFonts w:ascii="Palatino Linotype" w:eastAsia="Palatino Linotype" w:hAnsi="Palatino Linotype" w:cs="Palatino Linotype"/>
          <w:b/>
          <w:bCs/>
          <w:i/>
          <w:iCs/>
          <w:color w:val="000000"/>
        </w:rPr>
        <w:t>Octavo.</w:t>
      </w:r>
      <w:r>
        <w:rPr>
          <w:rFonts w:ascii="Palatino Linotype" w:eastAsia="Palatino Linotype" w:hAnsi="Palatino Linotype" w:cs="Palatino Linotype"/>
          <w:i/>
          <w:iCs/>
          <w:color w:val="000000"/>
        </w:rPr>
        <w:t xml:space="preserve"> Para fundar la clasificaci6n de la información se debe señalar el artículo, fracci6n, inciso, párrafo o numeral de la ley o tratado internacional suscrito por el Estado mexicano que expresamente le otorga el carácter de reservada o confidencial.</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Para motivar la clasificaci6n se deberán señalar las razones o circunstancias especiales que lo llevaron a concluir que el caso particular se ajusta al supuesto previsto por la norma legal invocada como fundamento.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caso de referirse a informaci6n reservada, la motivaci6n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Noveno.</w:t>
      </w:r>
      <w:r>
        <w:rPr>
          <w:rFonts w:ascii="Palatino Linotype" w:eastAsia="Palatino Linotype" w:hAnsi="Palatino Linotype" w:cs="Palatino Linotype"/>
          <w:i/>
          <w:iCs/>
          <w:color w:val="00000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Decimo.</w:t>
      </w:r>
      <w:r>
        <w:rPr>
          <w:rFonts w:ascii="Palatino Linotype" w:eastAsia="Palatino Linotype" w:hAnsi="Palatino Linotype" w:cs="Palatino Linotype"/>
          <w:i/>
          <w:iCs/>
          <w:color w:val="00000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ausencia de los titulares de las áreas, la información será clasificada o desclasificada por la persona que lo supla, en términos de la normativa que rija la actuación del sujeto obligado.</w:t>
      </w:r>
    </w:p>
    <w:p w:rsidR="00E12FB3" w:rsidRDefault="00EA0645">
      <w:pPr>
        <w:spacing w:line="360" w:lineRule="auto"/>
        <w:ind w:left="850" w:right="-73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Décimo primero.</w:t>
      </w:r>
      <w:r>
        <w:rPr>
          <w:rFonts w:ascii="Palatino Linotype" w:eastAsia="Palatino Linotype" w:hAnsi="Palatino Linotype" w:cs="Palatino Linotype"/>
          <w:i/>
          <w:iCs/>
          <w:color w:val="00000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E12FB3" w:rsidRDefault="00E12FB3">
      <w:pPr>
        <w:spacing w:line="360" w:lineRule="auto"/>
        <w:ind w:left="850" w:right="-734"/>
        <w:jc w:val="both"/>
        <w:rPr>
          <w:rFonts w:ascii="Palatino Linotype" w:eastAsia="Palatino Linotype" w:hAnsi="Palatino Linotype" w:cs="Palatino Linotype"/>
          <w:i/>
          <w:iCs/>
          <w:color w:val="000000"/>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tanto, es importante referir que </w:t>
      </w:r>
      <w:r>
        <w:rPr>
          <w:rFonts w:ascii="Palatino Linotype" w:eastAsia="Palatino Linotype" w:hAnsi="Palatino Linotype" w:cs="Palatino Linotype"/>
          <w:b/>
          <w:bCs/>
          <w:color w:val="000000"/>
        </w:rPr>
        <w:t>EL SUJETO OBLIGADO</w:t>
      </w:r>
      <w:r>
        <w:rPr>
          <w:rFonts w:ascii="Palatino Linotype" w:eastAsia="Palatino Linotype" w:hAnsi="Palatino Linotype" w:cs="Palatino Linotype"/>
          <w:color w:val="000000"/>
        </w:rPr>
        <w:t xml:space="preserve"> deberá seguir el procedimiento legal establecido para su clasificación, esto es, que su Comité de Transparencia emita un Acuerdo de Clasificación que cumpla con las formalidades previstas, antes citadas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tanto, la</w:t>
      </w:r>
      <w:r>
        <w:rPr>
          <w:rFonts w:ascii="Palatino Linotype" w:eastAsia="Palatino Linotype" w:hAnsi="Palatino Linotype" w:cs="Palatino Linotype"/>
          <w:b/>
          <w:bCs/>
          <w:color w:val="000000"/>
        </w:rPr>
        <w:t xml:space="preserve"> entrega de documentos en su versión pública debe acompañarse </w:t>
      </w:r>
      <w:r>
        <w:rPr>
          <w:rFonts w:ascii="Palatino Linotype" w:eastAsia="Palatino Linotype" w:hAnsi="Palatino Linotype" w:cs="Palatino Linotype"/>
          <w:color w:val="000000"/>
        </w:rPr>
        <w:t>necesariamente</w:t>
      </w:r>
      <w:r>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w:t>
      </w:r>
      <w:r>
        <w:rPr>
          <w:rFonts w:ascii="Palatino Linotype" w:eastAsia="Palatino Linotype" w:hAnsi="Palatino Linotype" w:cs="Palatino Linotype"/>
          <w:color w:val="000000"/>
        </w:rPr>
        <w:t>fundamentos</w:t>
      </w:r>
      <w:r>
        <w:rPr>
          <w:rFonts w:ascii="Palatino Linotype" w:eastAsia="Palatino Linotype" w:hAnsi="Palatino Linotype" w:cs="Palatino Linotype"/>
          <w:b/>
          <w:bCs/>
          <w:color w:val="000000"/>
        </w:rPr>
        <w:t xml:space="preserve"> y razonamientos que llevaron al Sujeto Obligado a testar, suprimir o eliminar datos de </w:t>
      </w:r>
      <w:r>
        <w:rPr>
          <w:rFonts w:ascii="Palatino Linotype" w:eastAsia="Palatino Linotype" w:hAnsi="Palatino Linotype" w:cs="Palatino Linotype"/>
          <w:b/>
          <w:bCs/>
          <w:color w:val="000000"/>
        </w:rPr>
        <w:lastRenderedPageBreak/>
        <w:t>dicho soporte documental</w:t>
      </w:r>
      <w:r>
        <w:rPr>
          <w:rFonts w:ascii="Palatino Linotype" w:eastAsia="Palatino Linotype" w:hAnsi="Palatino Linotype" w:cs="Palatino Linotype"/>
          <w:color w:val="000000"/>
        </w:rPr>
        <w:t>,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E12FB3" w:rsidRDefault="00E12FB3">
      <w:pPr>
        <w:pBdr>
          <w:top w:val="nil"/>
          <w:left w:val="nil"/>
          <w:bottom w:val="nil"/>
          <w:right w:val="nil"/>
          <w:between w:val="nil"/>
        </w:pBdr>
        <w:spacing w:line="360" w:lineRule="auto"/>
        <w:ind w:left="720" w:right="-734"/>
        <w:jc w:val="both"/>
        <w:rPr>
          <w:rFonts w:ascii="Palatino Linotype" w:eastAsia="Palatino Linotype" w:hAnsi="Palatino Linotype" w:cs="Palatino Linotype"/>
        </w:rPr>
      </w:pPr>
    </w:p>
    <w:p w:rsidR="00E12FB3" w:rsidRDefault="00EA0645">
      <w:pPr>
        <w:numPr>
          <w:ilvl w:val="0"/>
          <w:numId w:val="3"/>
        </w:numPr>
        <w:pBdr>
          <w:top w:val="nil"/>
          <w:left w:val="nil"/>
          <w:bottom w:val="nil"/>
          <w:right w:val="nil"/>
          <w:between w:val="nil"/>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930"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940"/>
        <w:gridCol w:w="6990"/>
      </w:tblGrid>
      <w:tr w:rsidR="00E12FB3">
        <w:tc>
          <w:tcPr>
            <w:tcW w:w="294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rPr>
                <w:rFonts w:ascii="Palatino Linotype" w:eastAsia="Palatino Linotype" w:hAnsi="Palatino Linotype" w:cs="Palatino Linotype"/>
                <w:color w:val="000000"/>
              </w:rPr>
            </w:pPr>
            <w:r>
              <w:rPr>
                <w:rFonts w:ascii="Palatino Linotype" w:eastAsia="Palatino Linotype" w:hAnsi="Palatino Linotype" w:cs="Palatino Linotype"/>
                <w:color w:val="000000"/>
              </w:rPr>
              <w:t>a) Requisitos previos.</w:t>
            </w:r>
          </w:p>
        </w:tc>
        <w:tc>
          <w:tcPr>
            <w:tcW w:w="699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w:t>
            </w:r>
            <w:r>
              <w:rPr>
                <w:rFonts w:ascii="Palatino Linotype" w:eastAsia="Palatino Linotype" w:hAnsi="Palatino Linotype" w:cs="Palatino Linotype"/>
                <w:color w:val="000000"/>
              </w:rPr>
              <w:lastRenderedPageBreak/>
              <w:t>análisis y tampoco se puede hacer un acuerdo por cada dato que se vaya a clasificar dentro de un documento con diez datos, por ejemplo, susceptibles de ser clasificados.</w:t>
            </w:r>
          </w:p>
          <w:p w:rsidR="00E12FB3" w:rsidRDefault="00E12FB3">
            <w:pPr>
              <w:tabs>
                <w:tab w:val="left" w:pos="284"/>
              </w:tabs>
              <w:ind w:right="-76"/>
              <w:jc w:val="both"/>
              <w:rPr>
                <w:rFonts w:ascii="Palatino Linotype" w:eastAsia="Palatino Linotype" w:hAnsi="Palatino Linotype" w:cs="Palatino Linotype"/>
                <w:color w:val="000000"/>
              </w:rPr>
            </w:pPr>
          </w:p>
        </w:tc>
      </w:tr>
      <w:tr w:rsidR="00E12FB3">
        <w:tc>
          <w:tcPr>
            <w:tcW w:w="294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b) Supuestos de clasificación.</w:t>
            </w:r>
          </w:p>
        </w:tc>
        <w:tc>
          <w:tcPr>
            <w:tcW w:w="699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E12FB3" w:rsidRDefault="00E12FB3">
            <w:pPr>
              <w:tabs>
                <w:tab w:val="left" w:pos="284"/>
              </w:tabs>
              <w:ind w:right="-76"/>
              <w:jc w:val="both"/>
              <w:rPr>
                <w:rFonts w:ascii="Palatino Linotype" w:eastAsia="Palatino Linotype" w:hAnsi="Palatino Linotype" w:cs="Palatino Linotype"/>
                <w:color w:val="000000"/>
              </w:rPr>
            </w:pPr>
          </w:p>
        </w:tc>
      </w:tr>
      <w:tr w:rsidR="00E12FB3">
        <w:tc>
          <w:tcPr>
            <w:tcW w:w="294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rPr>
                <w:rFonts w:ascii="Palatino Linotype" w:eastAsia="Palatino Linotype" w:hAnsi="Palatino Linotype" w:cs="Palatino Linotype"/>
                <w:color w:val="000000"/>
              </w:rPr>
            </w:pPr>
            <w:r>
              <w:rPr>
                <w:rFonts w:ascii="Palatino Linotype" w:eastAsia="Palatino Linotype" w:hAnsi="Palatino Linotype" w:cs="Palatino Linotype"/>
                <w:color w:val="000000"/>
              </w:rPr>
              <w:t>c) Formalidades para emitir el acuerdo de clasificación.</w:t>
            </w:r>
          </w:p>
        </w:tc>
        <w:tc>
          <w:tcPr>
            <w:tcW w:w="699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color w:val="000000"/>
              </w:rPr>
              <w:lastRenderedPageBreak/>
              <w:t>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E12FB3" w:rsidRDefault="00E12FB3">
            <w:pPr>
              <w:tabs>
                <w:tab w:val="left" w:pos="284"/>
              </w:tabs>
              <w:ind w:right="-76"/>
              <w:jc w:val="both"/>
              <w:rPr>
                <w:rFonts w:ascii="Palatino Linotype" w:eastAsia="Palatino Linotype" w:hAnsi="Palatino Linotype" w:cs="Palatino Linotype"/>
                <w:color w:val="000000"/>
              </w:rPr>
            </w:pPr>
          </w:p>
        </w:tc>
      </w:tr>
      <w:tr w:rsidR="00E12FB3">
        <w:tc>
          <w:tcPr>
            <w:tcW w:w="2940" w:type="dxa"/>
            <w:tcBorders>
              <w:top w:val="single" w:sz="4" w:space="0" w:color="BFBFBF"/>
              <w:left w:val="single" w:sz="4" w:space="0" w:color="BFBFBF"/>
              <w:bottom w:val="single" w:sz="4" w:space="0" w:color="BFBFBF"/>
              <w:right w:val="single" w:sz="4" w:space="0" w:color="BFBFBF"/>
            </w:tcBorders>
          </w:tcPr>
          <w:p w:rsidR="00E12FB3" w:rsidRDefault="00E12FB3">
            <w:pPr>
              <w:tabs>
                <w:tab w:val="left" w:pos="284"/>
              </w:tabs>
              <w:ind w:right="-76"/>
              <w:rPr>
                <w:rFonts w:ascii="Palatino Linotype" w:eastAsia="Palatino Linotype" w:hAnsi="Palatino Linotype" w:cs="Palatino Linotype"/>
                <w:color w:val="000000"/>
              </w:rPr>
            </w:pP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 Requisitos de fondo del acuerdo de clasificación. </w:t>
            </w:r>
          </w:p>
        </w:tc>
        <w:tc>
          <w:tcPr>
            <w:tcW w:w="699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E12FB3" w:rsidRDefault="00E12FB3">
            <w:pPr>
              <w:tabs>
                <w:tab w:val="left" w:pos="284"/>
              </w:tabs>
              <w:ind w:right="-76"/>
              <w:jc w:val="both"/>
              <w:rPr>
                <w:rFonts w:ascii="Palatino Linotype" w:eastAsia="Palatino Linotype" w:hAnsi="Palatino Linotype" w:cs="Palatino Linotype"/>
                <w:color w:val="000000"/>
              </w:rPr>
            </w:pPr>
          </w:p>
        </w:tc>
      </w:tr>
      <w:tr w:rsidR="00E12FB3">
        <w:tc>
          <w:tcPr>
            <w:tcW w:w="294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 Condiciones especiales de la clasificación de la información como confidencial. </w:t>
            </w:r>
          </w:p>
        </w:tc>
        <w:tc>
          <w:tcPr>
            <w:tcW w:w="6990" w:type="dxa"/>
            <w:tcBorders>
              <w:top w:val="single" w:sz="4" w:space="0" w:color="BFBFBF"/>
              <w:left w:val="single" w:sz="4" w:space="0" w:color="BFBFBF"/>
              <w:bottom w:val="single" w:sz="4" w:space="0" w:color="BFBFBF"/>
              <w:right w:val="single" w:sz="4" w:space="0" w:color="BFBFBF"/>
            </w:tcBorders>
          </w:tcPr>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E12FB3" w:rsidRDefault="00EA0645">
            <w:pPr>
              <w:tabs>
                <w:tab w:val="left" w:pos="284"/>
              </w:tabs>
              <w:ind w:right="-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12FB3" w:rsidRDefault="00EA0645">
            <w:pPr>
              <w:tabs>
                <w:tab w:val="left" w:pos="284"/>
              </w:tabs>
              <w:ind w:right="-76"/>
              <w:rPr>
                <w:rFonts w:ascii="Palatino Linotype" w:eastAsia="Palatino Linotype" w:hAnsi="Palatino Linotype" w:cs="Palatino Linotype"/>
                <w:color w:val="000000"/>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E12FB3" w:rsidRDefault="00E12FB3">
            <w:pPr>
              <w:tabs>
                <w:tab w:val="left" w:pos="284"/>
              </w:tabs>
              <w:ind w:right="-76"/>
              <w:rPr>
                <w:rFonts w:ascii="Palatino Linotype" w:eastAsia="Palatino Linotype" w:hAnsi="Palatino Linotype" w:cs="Palatino Linotype"/>
                <w:color w:val="000000"/>
              </w:rPr>
            </w:pPr>
          </w:p>
        </w:tc>
      </w:tr>
    </w:tbl>
    <w:p w:rsidR="00E12FB3" w:rsidRDefault="00E12FB3">
      <w:pPr>
        <w:tabs>
          <w:tab w:val="left" w:pos="284"/>
        </w:tabs>
        <w:spacing w:line="360" w:lineRule="auto"/>
        <w:ind w:right="-734"/>
        <w:rPr>
          <w:rFonts w:ascii="Palatino Linotype" w:eastAsia="Palatino Linotype" w:hAnsi="Palatino Linotype" w:cs="Palatino Linotype"/>
          <w:color w:val="000000"/>
        </w:rPr>
      </w:pPr>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color w:val="000000"/>
        </w:rPr>
      </w:pPr>
      <w:bookmarkStart w:id="4" w:name="_heading=h.4d34og8" w:colFirst="0" w:colLast="0"/>
      <w:bookmarkEnd w:id="4"/>
    </w:p>
    <w:p w:rsidR="00E12FB3" w:rsidRDefault="00EA0645">
      <w:pPr>
        <w:numPr>
          <w:ilvl w:val="0"/>
          <w:numId w:val="3"/>
        </w:numPr>
        <w:pBdr>
          <w:top w:val="none" w:sz="0" w:space="0" w:color="000000"/>
          <w:left w:val="none" w:sz="0" w:space="0" w:color="000000"/>
          <w:bottom w:val="none" w:sz="0" w:space="0" w:color="000000"/>
          <w:right w:val="none" w:sz="0" w:space="0" w:color="000000"/>
          <w:between w:val="none" w:sz="0" w:space="0" w:color="000000"/>
        </w:pBdr>
        <w:spacing w:line="360" w:lineRule="auto"/>
        <w:ind w:left="0" w:right="-7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 </w:t>
      </w:r>
    </w:p>
    <w:p w:rsidR="00E12FB3" w:rsidRDefault="00EA0645">
      <w:pPr>
        <w:keepNext/>
        <w:keepLines/>
        <w:pBdr>
          <w:top w:val="nil"/>
          <w:left w:val="nil"/>
          <w:bottom w:val="nil"/>
          <w:right w:val="nil"/>
          <w:between w:val="nil"/>
        </w:pBdr>
        <w:spacing w:line="360" w:lineRule="auto"/>
        <w:ind w:right="-734"/>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E12FB3" w:rsidRDefault="00E12FB3">
      <w:pPr>
        <w:spacing w:line="360" w:lineRule="auto"/>
        <w:ind w:right="-734"/>
        <w:jc w:val="both"/>
        <w:rPr>
          <w:rFonts w:ascii="Palatino Linotype" w:eastAsia="Palatino Linotype" w:hAnsi="Palatino Linotype" w:cs="Palatino Linotype"/>
          <w:b/>
          <w:bCs/>
          <w:color w:val="000000"/>
        </w:rPr>
      </w:pPr>
      <w:bookmarkStart w:id="5" w:name="_heading=h.30j0zll" w:colFirst="0" w:colLast="0"/>
      <w:bookmarkEnd w:id="5"/>
    </w:p>
    <w:p w:rsidR="00E12FB3" w:rsidRDefault="00EA0645">
      <w:pP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PRIMERO. </w:t>
      </w:r>
      <w:r>
        <w:rPr>
          <w:rFonts w:ascii="Palatino Linotype" w:eastAsia="Palatino Linotype" w:hAnsi="Palatino Linotype" w:cs="Palatino Linotype"/>
          <w:color w:val="000000"/>
        </w:rPr>
        <w:t>Resultan fundadas las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razones o motivos de inconformidad hechos valer en el Recurso de Revisión </w:t>
      </w:r>
      <w:r>
        <w:rPr>
          <w:rFonts w:ascii="Palatino Linotype" w:eastAsia="Palatino Linotype" w:hAnsi="Palatino Linotype" w:cs="Palatino Linotype"/>
          <w:b/>
          <w:bCs/>
          <w:color w:val="000000"/>
        </w:rPr>
        <w:t>03413/INFOEM/IP/RR/2026</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términos de los</w:t>
      </w:r>
      <w:r>
        <w:rPr>
          <w:rFonts w:ascii="Palatino Linotype" w:eastAsia="Palatino Linotype" w:hAnsi="Palatino Linotype" w:cs="Palatino Linotype"/>
          <w:b/>
          <w:bCs/>
          <w:color w:val="000000"/>
        </w:rPr>
        <w:t xml:space="preserve"> Considerandos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Cuarto y Quinto </w:t>
      </w:r>
      <w:r>
        <w:rPr>
          <w:rFonts w:ascii="Palatino Linotype" w:eastAsia="Palatino Linotype" w:hAnsi="Palatino Linotype" w:cs="Palatino Linotype"/>
          <w:color w:val="000000"/>
        </w:rPr>
        <w:t>de la presente Resolución.</w:t>
      </w:r>
    </w:p>
    <w:p w:rsidR="00C940CD" w:rsidRDefault="00C940CD">
      <w:pPr>
        <w:spacing w:line="360" w:lineRule="auto"/>
        <w:ind w:right="-734"/>
        <w:jc w:val="both"/>
        <w:rPr>
          <w:rFonts w:ascii="Palatino Linotype" w:eastAsia="Palatino Linotype" w:hAnsi="Palatino Linotype" w:cs="Palatino Linotype"/>
          <w:color w:val="000000"/>
        </w:rPr>
      </w:pPr>
    </w:p>
    <w:p w:rsidR="00E12FB3" w:rsidRDefault="00EA0645">
      <w:pP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SEGUNDO.</w:t>
      </w:r>
      <w:r>
        <w:rPr>
          <w:rFonts w:ascii="Palatino Linotype" w:eastAsia="Palatino Linotype" w:hAnsi="Palatino Linotype" w:cs="Palatino Linotype"/>
          <w:color w:val="000000"/>
        </w:rPr>
        <w:t xml:space="preserve"> 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color w:val="000000"/>
        </w:rPr>
        <w:t>Ayuntamiento de Ozumba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entregar vía Sistema de Accesos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de ser el caso en versión pública, la siguiente información:</w:t>
      </w:r>
    </w:p>
    <w:p w:rsidR="00E12FB3" w:rsidRDefault="00E12FB3">
      <w:pPr>
        <w:spacing w:line="360" w:lineRule="auto"/>
        <w:ind w:right="-734"/>
        <w:jc w:val="both"/>
        <w:rPr>
          <w:rFonts w:ascii="Palatino Linotype" w:eastAsia="Palatino Linotype" w:hAnsi="Palatino Linotype" w:cs="Palatino Linotype"/>
          <w:b/>
          <w:bCs/>
          <w:color w:val="000000"/>
        </w:rPr>
      </w:pPr>
    </w:p>
    <w:p w:rsidR="00E12FB3" w:rsidRPr="00C940CD" w:rsidRDefault="00C940CD" w:rsidP="00C940CD">
      <w:pPr>
        <w:pBdr>
          <w:top w:val="nil"/>
          <w:left w:val="nil"/>
          <w:bottom w:val="nil"/>
          <w:right w:val="nil"/>
          <w:between w:val="nil"/>
        </w:pBdr>
        <w:tabs>
          <w:tab w:val="left" w:pos="8080"/>
        </w:tabs>
        <w:spacing w:line="360" w:lineRule="auto"/>
        <w:ind w:left="720"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w:t>
      </w:r>
      <w:r w:rsidR="00EA0645">
        <w:rPr>
          <w:rFonts w:ascii="Palatino Linotype" w:eastAsia="Palatino Linotype" w:hAnsi="Palatino Linotype" w:cs="Palatino Linotype"/>
          <w:b/>
          <w:bCs/>
          <w:color w:val="000000"/>
        </w:rPr>
        <w:t>Acta de Instalación del Comité de Ética, generada al 10 de marzo de 2026; y</w:t>
      </w:r>
    </w:p>
    <w:p w:rsidR="00E12FB3" w:rsidRDefault="00C940CD">
      <w:pPr>
        <w:pBdr>
          <w:top w:val="nil"/>
          <w:left w:val="nil"/>
          <w:bottom w:val="nil"/>
          <w:right w:val="nil"/>
          <w:between w:val="nil"/>
        </w:pBdr>
        <w:tabs>
          <w:tab w:val="left" w:pos="8080"/>
        </w:tabs>
        <w:spacing w:line="360" w:lineRule="auto"/>
        <w:ind w:left="720" w:right="-73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w:t>
      </w:r>
      <w:r w:rsidR="00EA0645">
        <w:rPr>
          <w:rFonts w:ascii="Palatino Linotype" w:eastAsia="Palatino Linotype" w:hAnsi="Palatino Linotype" w:cs="Palatino Linotype"/>
          <w:b/>
          <w:bCs/>
          <w:color w:val="000000"/>
        </w:rPr>
        <w:t>Actas de sesiones ordinarias y extraordinarias de los Comités de Bienes Muebles e Inmuebles y de Límites Territoriales, generadas del 01 de enero al 10 de marzo de 2026.</w:t>
      </w:r>
    </w:p>
    <w:p w:rsidR="00E12FB3" w:rsidRDefault="00E12FB3">
      <w:pPr>
        <w:pBdr>
          <w:top w:val="nil"/>
          <w:left w:val="nil"/>
          <w:bottom w:val="nil"/>
          <w:right w:val="nil"/>
          <w:between w:val="nil"/>
        </w:pBdr>
        <w:tabs>
          <w:tab w:val="left" w:pos="8080"/>
        </w:tabs>
        <w:spacing w:line="360" w:lineRule="auto"/>
        <w:ind w:left="720" w:right="-734"/>
        <w:jc w:val="both"/>
        <w:rPr>
          <w:rFonts w:ascii="Palatino Linotype" w:eastAsia="Palatino Linotype" w:hAnsi="Palatino Linotype" w:cs="Palatino Linotype"/>
          <w:color w:val="000000"/>
        </w:rPr>
      </w:pPr>
    </w:p>
    <w:p w:rsidR="00E12FB3" w:rsidRDefault="00EA0645">
      <w:pPr>
        <w:tabs>
          <w:tab w:val="left" w:pos="8080"/>
        </w:tabs>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ser el caso la elaboración de una versión pública, se deberá emitir el Acuerdo del Comité de Transparencia en términos de los artículos 49, fracciones II y VIII, 132, fracción II y 143 de la Ley de Transparencia y Acceso a la Información Pública del Estado de México y Municipios, en el que funde y motive las razones sobre la eliminación de los datos y </w:t>
      </w:r>
      <w:r>
        <w:rPr>
          <w:rFonts w:ascii="Palatino Linotype" w:eastAsia="Palatino Linotype" w:hAnsi="Palatino Linotype" w:cs="Palatino Linotype"/>
          <w:color w:val="000000"/>
        </w:rPr>
        <w:lastRenderedPageBreak/>
        <w:t xml:space="preserve">documentos confidenciales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b/>
          <w:bCs/>
          <w:color w:val="000000"/>
        </w:rPr>
      </w:pPr>
    </w:p>
    <w:p w:rsidR="00E12FB3" w:rsidRDefault="00EA0645">
      <w:pPr>
        <w:spacing w:line="360" w:lineRule="auto"/>
        <w:ind w:right="-734"/>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Para el caso de no contar con lo ordenado en el </w:t>
      </w:r>
      <w:r>
        <w:rPr>
          <w:rFonts w:ascii="Palatino Linotype" w:eastAsia="Palatino Linotype" w:hAnsi="Palatino Linotype" w:cs="Palatino Linotype"/>
          <w:b/>
          <w:bCs/>
          <w:color w:val="000000"/>
        </w:rPr>
        <w:t>inciso a)</w:t>
      </w:r>
      <w:r>
        <w:rPr>
          <w:rFonts w:ascii="Palatino Linotype" w:eastAsia="Palatino Linotype" w:hAnsi="Palatino Linotype" w:cs="Palatino Linotype"/>
          <w:color w:val="000000"/>
        </w:rPr>
        <w:t xml:space="preserve">, así como del </w:t>
      </w:r>
      <w:r>
        <w:rPr>
          <w:rFonts w:ascii="Palatino Linotype" w:eastAsia="Palatino Linotype" w:hAnsi="Palatino Linotype" w:cs="Palatino Linotype"/>
          <w:b/>
          <w:bCs/>
          <w:color w:val="000000"/>
        </w:rPr>
        <w:t>inciso b)</w:t>
      </w:r>
      <w:r>
        <w:rPr>
          <w:rFonts w:ascii="Palatino Linotype" w:eastAsia="Palatino Linotype" w:hAnsi="Palatino Linotype" w:cs="Palatino Linotype"/>
          <w:color w:val="000000"/>
        </w:rPr>
        <w:t xml:space="preserve"> en su parte relativa a las actas extraordinarias por no haberse generado a la fecha en que se ordena</w:t>
      </w:r>
      <w:r>
        <w:rPr>
          <w:rFonts w:ascii="Palatino Linotype" w:eastAsia="Palatino Linotype" w:hAnsi="Palatino Linotype" w:cs="Palatino Linotype"/>
        </w:rPr>
        <w:t>,</w:t>
      </w:r>
      <w:r>
        <w:rPr>
          <w:rFonts w:ascii="Palatino Linotype" w:eastAsia="Palatino Linotype" w:hAnsi="Palatino Linotype" w:cs="Palatino Linotype"/>
          <w:color w:val="000000"/>
        </w:rPr>
        <w:t xml:space="preserve"> bastará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lo haga del conocimiento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al momento de dar cumplimiento a la presente Resolución en términos del artículo 19 párrafo segundo de la</w:t>
      </w:r>
      <w:r>
        <w:rPr>
          <w:rFonts w:ascii="Palatino Linotype" w:eastAsia="Palatino Linotype" w:hAnsi="Palatino Linotype" w:cs="Palatino Linotype"/>
        </w:rPr>
        <w:t xml:space="preserve"> Ley de Transparencia y Acceso a la Información Pública del Estado de México y Municipios.</w:t>
      </w:r>
    </w:p>
    <w:p w:rsidR="00E12FB3" w:rsidRDefault="00E12FB3">
      <w:pPr>
        <w:pBdr>
          <w:top w:val="none" w:sz="0" w:space="0" w:color="000000"/>
          <w:left w:val="none" w:sz="0" w:space="0" w:color="000000"/>
          <w:bottom w:val="none" w:sz="0" w:space="0" w:color="000000"/>
          <w:right w:val="none" w:sz="0" w:space="0" w:color="000000"/>
          <w:between w:val="none" w:sz="0" w:space="0" w:color="000000"/>
        </w:pBdr>
        <w:spacing w:line="360" w:lineRule="auto"/>
        <w:ind w:right="-734"/>
        <w:jc w:val="both"/>
        <w:rPr>
          <w:rFonts w:ascii="Palatino Linotype" w:eastAsia="Palatino Linotype" w:hAnsi="Palatino Linotype" w:cs="Palatino Linotype"/>
          <w:b/>
          <w:bCs/>
          <w:color w:val="000000"/>
        </w:rPr>
      </w:pPr>
    </w:p>
    <w:p w:rsidR="00E12FB3" w:rsidRDefault="00EA0645">
      <w:pPr>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TERCERO. Notifíquese </w:t>
      </w:r>
      <w:r>
        <w:rPr>
          <w:rFonts w:ascii="Palatino Linotype" w:eastAsia="Palatino Linotype" w:hAnsi="Palatino Linotype" w:cs="Palatino Linotype"/>
          <w:color w:val="000000"/>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000000"/>
        </w:rPr>
        <w:t>dé cumplimiento a lo ordenado dentro del plazo de diez días hábiles,</w:t>
      </w:r>
      <w:r>
        <w:rPr>
          <w:rFonts w:ascii="Palatino Linotype" w:eastAsia="Palatino Linotype" w:hAnsi="Palatino Linotype" w:cs="Palatino Linotype"/>
          <w:color w:val="000000"/>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A23C1" w:rsidRDefault="007A23C1">
      <w:pPr>
        <w:spacing w:line="360" w:lineRule="auto"/>
        <w:ind w:right="-734"/>
        <w:jc w:val="both"/>
        <w:rPr>
          <w:rFonts w:ascii="Palatino Linotype" w:eastAsia="Palatino Linotype" w:hAnsi="Palatino Linotype" w:cs="Palatino Linotype"/>
          <w:color w:val="000000"/>
        </w:rPr>
      </w:pPr>
    </w:p>
    <w:p w:rsidR="00E12FB3" w:rsidRDefault="00EA0645">
      <w:pPr>
        <w:tabs>
          <w:tab w:val="left" w:pos="2756"/>
        </w:tabs>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color w:val="000000"/>
        </w:rPr>
        <w:lastRenderedPageBreak/>
        <w:t>SUJETO OBLIGADO</w:t>
      </w:r>
      <w:r>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E12FB3" w:rsidRDefault="00E12FB3">
      <w:pPr>
        <w:tabs>
          <w:tab w:val="left" w:pos="2756"/>
        </w:tabs>
        <w:spacing w:line="360" w:lineRule="auto"/>
        <w:ind w:right="-734"/>
        <w:jc w:val="both"/>
        <w:rPr>
          <w:rFonts w:ascii="Palatino Linotype" w:eastAsia="Palatino Linotype" w:hAnsi="Palatino Linotype" w:cs="Palatino Linotype"/>
          <w:color w:val="000000"/>
        </w:rPr>
      </w:pPr>
      <w:bookmarkStart w:id="6" w:name="_heading=h.1ksv4uv" w:colFirst="0" w:colLast="0"/>
      <w:bookmarkEnd w:id="6"/>
    </w:p>
    <w:p w:rsidR="00E12FB3" w:rsidRDefault="00EA0645">
      <w:pPr>
        <w:tabs>
          <w:tab w:val="left" w:pos="8080"/>
        </w:tabs>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QUINTO. </w:t>
      </w:r>
      <w:r>
        <w:rPr>
          <w:rFonts w:ascii="Palatino Linotype" w:eastAsia="Palatino Linotype" w:hAnsi="Palatino Linotype" w:cs="Palatino Linotype"/>
          <w:color w:val="000000"/>
        </w:rPr>
        <w:t xml:space="preserve">Notifíquese al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la presente Resolución, vía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w:t>
      </w:r>
    </w:p>
    <w:p w:rsidR="00E12FB3" w:rsidRDefault="00E12FB3">
      <w:pPr>
        <w:tabs>
          <w:tab w:val="left" w:pos="8080"/>
        </w:tabs>
        <w:spacing w:line="360" w:lineRule="auto"/>
        <w:ind w:right="-734"/>
        <w:jc w:val="both"/>
        <w:rPr>
          <w:rFonts w:ascii="Palatino Linotype" w:eastAsia="Palatino Linotype" w:hAnsi="Palatino Linotype" w:cs="Palatino Linotype"/>
          <w:color w:val="000000"/>
        </w:rPr>
      </w:pPr>
    </w:p>
    <w:p w:rsidR="00E12FB3" w:rsidRDefault="00EA0645">
      <w:pPr>
        <w:shd w:val="clear" w:color="auto" w:fill="FFFFFF"/>
        <w:spacing w:line="360" w:lineRule="auto"/>
        <w:ind w:right="-734"/>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SEXTO. </w:t>
      </w:r>
      <w:r>
        <w:rPr>
          <w:rFonts w:ascii="Palatino Linotype" w:eastAsia="Palatino Linotype" w:hAnsi="Palatino Linotype" w:cs="Palatino Linotype"/>
          <w:color w:val="000000"/>
        </w:rPr>
        <w:t>Se hace del conocimiento del</w:t>
      </w:r>
      <w:r>
        <w:rPr>
          <w:rFonts w:ascii="Palatino Linotype" w:eastAsia="Palatino Linotype" w:hAnsi="Palatino Linotype" w:cs="Palatino Linotype"/>
          <w:b/>
          <w:bCs/>
          <w:color w:val="000000"/>
        </w:rPr>
        <w:t xml:space="preserve"> RECURRENTE </w:t>
      </w:r>
      <w:r>
        <w:rPr>
          <w:rFonts w:ascii="Palatino Linotype" w:eastAsia="Palatino Linotype" w:hAnsi="Palatino Linotype" w:cs="Palatino Linotype"/>
          <w:color w:val="000000"/>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E12FB3" w:rsidRDefault="00E12FB3">
      <w:pPr>
        <w:shd w:val="clear" w:color="auto" w:fill="FFFFFF"/>
        <w:spacing w:line="360" w:lineRule="auto"/>
        <w:ind w:right="-734"/>
        <w:jc w:val="both"/>
        <w:rPr>
          <w:rFonts w:ascii="Palatino Linotype" w:eastAsia="Palatino Linotype" w:hAnsi="Palatino Linotype" w:cs="Palatino Linotype"/>
          <w:color w:val="000000"/>
        </w:rPr>
      </w:pPr>
    </w:p>
    <w:p w:rsidR="00C940CD" w:rsidRPr="003E2295" w:rsidRDefault="00C940CD" w:rsidP="00C940CD">
      <w:pPr>
        <w:spacing w:before="240" w:after="240" w:line="360" w:lineRule="auto"/>
        <w:ind w:right="-707" w:firstLine="1"/>
        <w:jc w:val="both"/>
        <w:rPr>
          <w:rFonts w:ascii="Palatino Linotype" w:hAnsi="Palatino Linotype"/>
        </w:rPr>
      </w:pPr>
      <w:bookmarkStart w:id="7"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7"/>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rPr>
      </w:pPr>
    </w:p>
    <w:p w:rsidR="00E12FB3" w:rsidRDefault="00E12FB3">
      <w:pPr>
        <w:spacing w:line="360" w:lineRule="auto"/>
        <w:ind w:right="-734"/>
        <w:jc w:val="both"/>
        <w:rPr>
          <w:rFonts w:ascii="Palatino Linotype" w:eastAsia="Palatino Linotype" w:hAnsi="Palatino Linotype" w:cs="Palatino Linotype"/>
          <w:color w:val="000000"/>
        </w:rPr>
      </w:pPr>
    </w:p>
    <w:p w:rsidR="00E12FB3" w:rsidRDefault="00E12FB3">
      <w:pPr>
        <w:spacing w:line="360" w:lineRule="auto"/>
        <w:ind w:right="-734"/>
        <w:jc w:val="both"/>
        <w:rPr>
          <w:rFonts w:ascii="Palatino Linotype" w:eastAsia="Palatino Linotype" w:hAnsi="Palatino Linotype" w:cs="Palatino Linotype"/>
          <w:color w:val="000000"/>
        </w:rPr>
      </w:pPr>
    </w:p>
    <w:p w:rsidR="00E12FB3" w:rsidRDefault="00E12FB3">
      <w:pPr>
        <w:spacing w:line="360" w:lineRule="auto"/>
        <w:ind w:right="-734"/>
        <w:jc w:val="both"/>
        <w:rPr>
          <w:rFonts w:ascii="Palatino Linotype" w:eastAsia="Palatino Linotype" w:hAnsi="Palatino Linotype" w:cs="Palatino Linotype"/>
          <w:color w:val="000000"/>
        </w:rPr>
      </w:pPr>
    </w:p>
    <w:p w:rsidR="00E12FB3" w:rsidRDefault="00E12FB3">
      <w:pPr>
        <w:spacing w:line="360" w:lineRule="auto"/>
        <w:ind w:right="-734"/>
        <w:rPr>
          <w:rFonts w:ascii="Palatino Linotype" w:eastAsia="Palatino Linotype" w:hAnsi="Palatino Linotype" w:cs="Palatino Linotype"/>
          <w:color w:val="000000"/>
        </w:rPr>
      </w:pPr>
    </w:p>
    <w:sectPr w:rsidR="00E12FB3">
      <w:headerReference w:type="even" r:id="rId8"/>
      <w:headerReference w:type="default" r:id="rId9"/>
      <w:footerReference w:type="default" r:id="rId10"/>
      <w:headerReference w:type="first" r:id="rId11"/>
      <w:footerReference w:type="first" r:id="rId12"/>
      <w:pgSz w:w="12240" w:h="15840"/>
      <w:pgMar w:top="80" w:right="1608" w:bottom="2269" w:left="1700"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AB2" w:rsidRDefault="00A95AB2">
      <w:r>
        <w:separator/>
      </w:r>
    </w:p>
  </w:endnote>
  <w:endnote w:type="continuationSeparator" w:id="0">
    <w:p w:rsidR="00A95AB2" w:rsidRDefault="00A9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F36498A3-8AA0-4B4E-94DA-09FBC8C57E37}"/>
    <w:embedBold r:id="rId2" w:fontKey="{E5B2AE1B-EF08-4FC3-AE81-24889EF4A53F}"/>
    <w:embedItalic r:id="rId3" w:fontKey="{A998BC06-7A58-46E0-886A-283FDFE19AA8}"/>
    <w:embedBoldItalic r:id="rId4" w:fontKey="{515AFDAF-984D-4E29-9C93-B35E298807B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05A6A7CB-BC4E-4421-A30A-02CF9DC382CD}"/>
  </w:font>
  <w:font w:name="Garamond">
    <w:panose1 w:val="02020404030301010803"/>
    <w:charset w:val="00"/>
    <w:family w:val="roman"/>
    <w:pitch w:val="variable"/>
    <w:sig w:usb0="00000287" w:usb1="00000000" w:usb2="00000000" w:usb3="00000000" w:csb0="0000009F" w:csb1="00000000"/>
    <w:embedRegular r:id="rId6" w:fontKey="{E565E564-B2B1-4B0E-A1D1-05ACA11366DD}"/>
  </w:font>
  <w:font w:name="Calibri">
    <w:panose1 w:val="020F0502020204030204"/>
    <w:charset w:val="00"/>
    <w:family w:val="swiss"/>
    <w:pitch w:val="variable"/>
    <w:sig w:usb0="E4002EFF" w:usb1="C200247B" w:usb2="00000009" w:usb3="00000000" w:csb0="000001FF" w:csb1="00000000"/>
    <w:embedRegular r:id="rId7" w:fontKey="{8681B60B-4632-4DCE-A27B-99FD61ECC2B9}"/>
  </w:font>
  <w:font w:name="Cambria">
    <w:panose1 w:val="02040503050406030204"/>
    <w:charset w:val="00"/>
    <w:family w:val="roman"/>
    <w:pitch w:val="variable"/>
    <w:sig w:usb0="E00006FF" w:usb1="420024FF" w:usb2="02000000" w:usb3="00000000" w:csb0="0000019F" w:csb1="00000000"/>
    <w:embedRegular r:id="rId8" w:fontKey="{A7576006-0ED2-48DD-B639-0A49789303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FB3" w:rsidRDefault="00E12FB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color w:val="000000"/>
      </w:rPr>
    </w:pPr>
  </w:p>
  <w:p w:rsidR="00E12FB3" w:rsidRDefault="00EA0645">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92950">
      <w:rPr>
        <w:rFonts w:ascii="Palatino Linotype" w:eastAsia="Palatino Linotype" w:hAnsi="Palatino Linotype" w:cs="Palatino Linotype"/>
        <w:b/>
        <w:bCs/>
        <w:noProof/>
        <w:color w:val="000000"/>
        <w:sz w:val="22"/>
        <w:szCs w:val="22"/>
      </w:rPr>
      <w:t>6</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92950">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E12FB3" w:rsidRDefault="00E12FB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p w:rsidR="00E12FB3" w:rsidRDefault="00E12FB3"/>
  <w:p w:rsidR="00E12FB3" w:rsidRDefault="00E12FB3"/>
  <w:p w:rsidR="00E12FB3" w:rsidRDefault="00E12F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FB3" w:rsidRDefault="00EA0645">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92950">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92950">
      <w:rPr>
        <w:rFonts w:ascii="Palatino Linotype" w:eastAsia="Palatino Linotype" w:hAnsi="Palatino Linotype" w:cs="Palatino Linotype"/>
        <w:b/>
        <w:bCs/>
        <w:noProof/>
        <w:color w:val="000000"/>
        <w:sz w:val="22"/>
        <w:szCs w:val="22"/>
      </w:rPr>
      <w:t>42</w:t>
    </w:r>
    <w:r>
      <w:rPr>
        <w:rFonts w:ascii="Palatino Linotype" w:eastAsia="Palatino Linotype" w:hAnsi="Palatino Linotype" w:cs="Palatino Linotype"/>
        <w:b/>
        <w:bCs/>
        <w:color w:val="000000"/>
        <w:sz w:val="22"/>
        <w:szCs w:val="22"/>
      </w:rPr>
      <w:fldChar w:fldCharType="end"/>
    </w:r>
  </w:p>
  <w:p w:rsidR="00E12FB3" w:rsidRDefault="00E12FB3">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p w:rsidR="00E12FB3" w:rsidRDefault="00E12FB3"/>
  <w:p w:rsidR="00E12FB3" w:rsidRDefault="00E12FB3"/>
  <w:p w:rsidR="00E12FB3" w:rsidRDefault="00E12F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AB2" w:rsidRDefault="00A95AB2">
      <w:r>
        <w:separator/>
      </w:r>
    </w:p>
  </w:footnote>
  <w:footnote w:type="continuationSeparator" w:id="0">
    <w:p w:rsidR="00A95AB2" w:rsidRDefault="00A95AB2">
      <w:r>
        <w:continuationSeparator/>
      </w:r>
    </w:p>
  </w:footnote>
  <w:footnote w:id="1">
    <w:p w:rsidR="00E12FB3" w:rsidRDefault="00EA0645">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E12FB3" w:rsidRDefault="00EA0645">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E12FB3" w:rsidRDefault="00EA0645">
      <w:pPr>
        <w:pBdr>
          <w:top w:val="none" w:sz="0" w:space="0" w:color="000000"/>
          <w:left w:val="none" w:sz="0" w:space="0" w:color="000000"/>
          <w:bottom w:val="none" w:sz="0" w:space="0" w:color="000000"/>
          <w:right w:val="none" w:sz="0" w:space="0" w:color="000000"/>
          <w:between w:val="none" w:sz="0" w:space="0" w:color="000000"/>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E12FB3" w:rsidRDefault="00EA0645">
      <w:pPr>
        <w:pBdr>
          <w:top w:val="none" w:sz="0" w:space="0" w:color="000000"/>
          <w:left w:val="none" w:sz="0" w:space="0" w:color="000000"/>
          <w:bottom w:val="none" w:sz="0" w:space="0" w:color="000000"/>
          <w:right w:val="none" w:sz="0" w:space="0" w:color="000000"/>
          <w:between w:val="none" w:sz="0" w:space="0" w:color="000000"/>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E12FB3" w:rsidRDefault="00EA0645">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E12FB3" w:rsidRDefault="00EA0645">
      <w:pPr>
        <w:pBdr>
          <w:top w:val="none" w:sz="0" w:space="0" w:color="000000"/>
          <w:left w:val="none" w:sz="0" w:space="0" w:color="000000"/>
          <w:bottom w:val="none" w:sz="0" w:space="0" w:color="000000"/>
          <w:right w:val="none" w:sz="0" w:space="0" w:color="000000"/>
          <w:between w:val="none" w:sz="0" w:space="0" w:color="000000"/>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E12FB3" w:rsidRDefault="00EA0645">
      <w:pPr>
        <w:pBdr>
          <w:top w:val="none" w:sz="0" w:space="0" w:color="000000"/>
          <w:left w:val="none" w:sz="0" w:space="0" w:color="000000"/>
          <w:bottom w:val="none" w:sz="0" w:space="0" w:color="000000"/>
          <w:right w:val="none" w:sz="0" w:space="0" w:color="000000"/>
          <w:between w:val="none" w:sz="0" w:space="0" w:color="000000"/>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E12FB3" w:rsidRDefault="00EA0645">
      <w:pPr>
        <w:pBdr>
          <w:top w:val="none" w:sz="0" w:space="0" w:color="000000"/>
          <w:left w:val="none" w:sz="0" w:space="0" w:color="000000"/>
          <w:bottom w:val="none" w:sz="0" w:space="0" w:color="000000"/>
          <w:right w:val="none" w:sz="0" w:space="0" w:color="000000"/>
          <w:between w:val="none" w:sz="0" w:space="0" w:color="000000"/>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FB3" w:rsidRDefault="00A95AB2">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63pt;height:12in;z-index:-251657728;mso-position-horizontal:center;mso-position-horizontal-relative:left-margin-area;mso-position-vertical:center;mso-position-vertical-relative:top-margin-area">
          <v:imagedata r:id="rId1" o:title="image1"/>
        </v:shape>
      </w:pict>
    </w:r>
  </w:p>
  <w:p w:rsidR="00E12FB3" w:rsidRDefault="00E12FB3"/>
  <w:p w:rsidR="00E12FB3" w:rsidRDefault="00E12FB3"/>
  <w:p w:rsidR="00E12FB3" w:rsidRDefault="00E12FB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321" w:type="dxa"/>
      <w:tblInd w:w="-115" w:type="dxa"/>
      <w:tblLayout w:type="fixed"/>
      <w:tblLook w:val="0000" w:firstRow="0" w:lastRow="0" w:firstColumn="0" w:lastColumn="0" w:noHBand="0" w:noVBand="0"/>
    </w:tblPr>
    <w:tblGrid>
      <w:gridCol w:w="1843"/>
      <w:gridCol w:w="8478"/>
    </w:tblGrid>
    <w:tr w:rsidR="00E12FB3" w:rsidTr="007A23C1">
      <w:trPr>
        <w:trHeight w:val="1435"/>
      </w:trPr>
      <w:tc>
        <w:tcPr>
          <w:tcW w:w="1843" w:type="dxa"/>
        </w:tcPr>
        <w:p w:rsidR="00E12FB3" w:rsidRDefault="00EA0645">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478" w:type="dxa"/>
        </w:tcPr>
        <w:tbl>
          <w:tblPr>
            <w:tblStyle w:val="a3"/>
            <w:tblW w:w="7087" w:type="dxa"/>
            <w:tblInd w:w="1843" w:type="dxa"/>
            <w:tblBorders>
              <w:top w:val="nil"/>
              <w:left w:val="nil"/>
              <w:bottom w:val="nil"/>
              <w:right w:val="nil"/>
              <w:insideH w:val="nil"/>
              <w:insideV w:val="nil"/>
            </w:tblBorders>
            <w:tblLayout w:type="fixed"/>
            <w:tblLook w:val="0000" w:firstRow="0" w:lastRow="0" w:firstColumn="0" w:lastColumn="0" w:noHBand="0" w:noVBand="0"/>
          </w:tblPr>
          <w:tblGrid>
            <w:gridCol w:w="2693"/>
            <w:gridCol w:w="4394"/>
          </w:tblGrid>
          <w:tr w:rsidR="00E12FB3" w:rsidTr="007A23C1">
            <w:trPr>
              <w:trHeight w:val="338"/>
            </w:trPr>
            <w:tc>
              <w:tcPr>
                <w:tcW w:w="2693" w:type="dxa"/>
              </w:tcPr>
              <w:p w:rsidR="00E12FB3" w:rsidRDefault="00EA064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94" w:type="dxa"/>
              </w:tcPr>
              <w:p w:rsidR="00E12FB3" w:rsidRDefault="00EA0645">
                <w:pPr>
                  <w:tabs>
                    <w:tab w:val="right" w:pos="8838"/>
                  </w:tabs>
                  <w:ind w:right="-493"/>
                  <w:rPr>
                    <w:rFonts w:ascii="Palatino Linotype" w:eastAsia="Palatino Linotype" w:hAnsi="Palatino Linotype" w:cs="Palatino Linotype"/>
                  </w:rPr>
                </w:pPr>
                <w:r>
                  <w:rPr>
                    <w:rFonts w:ascii="Palatino Linotype" w:eastAsia="Palatino Linotype" w:hAnsi="Palatino Linotype" w:cs="Palatino Linotype"/>
                  </w:rPr>
                  <w:t>03413/INFOEM/IP/RR/2026</w:t>
                </w:r>
              </w:p>
            </w:tc>
          </w:tr>
          <w:tr w:rsidR="00E12FB3" w:rsidTr="007A23C1">
            <w:trPr>
              <w:trHeight w:val="283"/>
            </w:trPr>
            <w:tc>
              <w:tcPr>
                <w:tcW w:w="2693" w:type="dxa"/>
              </w:tcPr>
              <w:p w:rsidR="00E12FB3" w:rsidRDefault="00EA0645">
                <w:pPr>
                  <w:tabs>
                    <w:tab w:val="right" w:pos="8838"/>
                  </w:tabs>
                  <w:ind w:right="-105"/>
                  <w:rPr>
                    <w:rFonts w:ascii="Palatino Linotype" w:eastAsia="Palatino Linotype" w:hAnsi="Palatino Linotype" w:cs="Palatino Linotype"/>
                    <w:b/>
                    <w:bCs/>
                  </w:rPr>
                </w:pPr>
                <w:bookmarkStart w:id="8" w:name="_heading=h.2s8eyo1" w:colFirst="0" w:colLast="0"/>
                <w:bookmarkEnd w:id="8"/>
                <w:r>
                  <w:rPr>
                    <w:rFonts w:ascii="Palatino Linotype" w:eastAsia="Palatino Linotype" w:hAnsi="Palatino Linotype" w:cs="Palatino Linotype"/>
                    <w:b/>
                    <w:bCs/>
                  </w:rPr>
                  <w:t>Sujeto Obligado:</w:t>
                </w:r>
              </w:p>
            </w:tc>
            <w:tc>
              <w:tcPr>
                <w:tcW w:w="4394" w:type="dxa"/>
              </w:tcPr>
              <w:p w:rsidR="00E12FB3" w:rsidRDefault="00EA0645">
                <w:pPr>
                  <w:ind w:left="-115" w:right="-17"/>
                  <w:jc w:val="both"/>
                  <w:rPr>
                    <w:rFonts w:ascii="Palatino Linotype" w:eastAsia="Palatino Linotype" w:hAnsi="Palatino Linotype" w:cs="Palatino Linotype"/>
                  </w:rPr>
                </w:pPr>
                <w:r>
                  <w:rPr>
                    <w:rFonts w:ascii="Palatino Linotype" w:eastAsia="Palatino Linotype" w:hAnsi="Palatino Linotype" w:cs="Palatino Linotype"/>
                  </w:rPr>
                  <w:t>Ayuntamiento de Ozumba</w:t>
                </w:r>
              </w:p>
            </w:tc>
          </w:tr>
          <w:tr w:rsidR="00E12FB3" w:rsidTr="007A23C1">
            <w:trPr>
              <w:trHeight w:val="283"/>
            </w:trPr>
            <w:tc>
              <w:tcPr>
                <w:tcW w:w="2693" w:type="dxa"/>
              </w:tcPr>
              <w:p w:rsidR="00E12FB3" w:rsidRDefault="00EA0645">
                <w:pPr>
                  <w:tabs>
                    <w:tab w:val="right" w:pos="8838"/>
                  </w:tabs>
                  <w:ind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94" w:type="dxa"/>
              </w:tcPr>
              <w:p w:rsidR="00E12FB3" w:rsidRDefault="00EA0645">
                <w:pPr>
                  <w:ind w:left="-113" w:right="-1545"/>
                  <w:rPr>
                    <w:rFonts w:ascii="Palatino Linotype" w:eastAsia="Palatino Linotype" w:hAnsi="Palatino Linotype" w:cs="Palatino Linotype"/>
                    <w:b/>
                    <w:bCs/>
                  </w:rPr>
                </w:pPr>
                <w:r>
                  <w:rPr>
                    <w:rFonts w:ascii="Palatino Linotype" w:eastAsia="Palatino Linotype" w:hAnsi="Palatino Linotype" w:cs="Palatino Linotype"/>
                  </w:rPr>
                  <w:t>María del Rosario Mejía Ayala</w:t>
                </w:r>
              </w:p>
            </w:tc>
          </w:tr>
        </w:tbl>
        <w:p w:rsidR="00E12FB3" w:rsidRDefault="00E12FB3">
          <w:pPr>
            <w:tabs>
              <w:tab w:val="right" w:pos="8838"/>
            </w:tabs>
            <w:ind w:left="-28"/>
            <w:jc w:val="both"/>
            <w:rPr>
              <w:rFonts w:ascii="Arial" w:eastAsia="Arial" w:hAnsi="Arial" w:cs="Arial"/>
              <w:b/>
              <w:bCs/>
              <w:sz w:val="22"/>
              <w:szCs w:val="22"/>
            </w:rPr>
          </w:pPr>
        </w:p>
      </w:tc>
    </w:tr>
  </w:tbl>
  <w:p w:rsidR="00E12FB3" w:rsidRDefault="00A95AB2">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13.55pt;margin-top:-12.5pt;width:663pt;height:12in;z-index:-251659776;mso-position-horizontal-relative:left-margin-area;mso-position-vertical-relative:top-margin-area">
          <v:imagedata r:id="rId1" o:title="image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60" w:type="dxa"/>
      <w:tblInd w:w="-115" w:type="dxa"/>
      <w:tblLayout w:type="fixed"/>
      <w:tblLook w:val="0000" w:firstRow="0" w:lastRow="0" w:firstColumn="0" w:lastColumn="0" w:noHBand="0" w:noVBand="0"/>
    </w:tblPr>
    <w:tblGrid>
      <w:gridCol w:w="1560"/>
      <w:gridCol w:w="9000"/>
    </w:tblGrid>
    <w:tr w:rsidR="00E12FB3">
      <w:trPr>
        <w:trHeight w:val="1435"/>
      </w:trPr>
      <w:tc>
        <w:tcPr>
          <w:tcW w:w="1560" w:type="dxa"/>
        </w:tcPr>
        <w:p w:rsidR="00E12FB3" w:rsidRDefault="00E12FB3">
          <w:pPr>
            <w:tabs>
              <w:tab w:val="right" w:pos="4273"/>
            </w:tabs>
            <w:rPr>
              <w:rFonts w:ascii="Garamond" w:eastAsia="Garamond" w:hAnsi="Garamond" w:cs="Garamond"/>
              <w:sz w:val="22"/>
              <w:szCs w:val="22"/>
            </w:rPr>
          </w:pPr>
        </w:p>
      </w:tc>
      <w:tc>
        <w:tcPr>
          <w:tcW w:w="9000" w:type="dxa"/>
        </w:tcPr>
        <w:tbl>
          <w:tblPr>
            <w:tblStyle w:val="a1"/>
            <w:tblW w:w="8940" w:type="dxa"/>
            <w:tblInd w:w="1842" w:type="dxa"/>
            <w:tblBorders>
              <w:top w:val="nil"/>
              <w:left w:val="nil"/>
              <w:bottom w:val="nil"/>
              <w:right w:val="nil"/>
              <w:insideH w:val="nil"/>
              <w:insideV w:val="nil"/>
            </w:tblBorders>
            <w:tblLayout w:type="fixed"/>
            <w:tblLook w:val="0000" w:firstRow="0" w:lastRow="0" w:firstColumn="0" w:lastColumn="0" w:noHBand="0" w:noVBand="0"/>
          </w:tblPr>
          <w:tblGrid>
            <w:gridCol w:w="2942"/>
            <w:gridCol w:w="3868"/>
            <w:gridCol w:w="2130"/>
          </w:tblGrid>
          <w:tr w:rsidR="00E12FB3" w:rsidTr="00C940CD">
            <w:trPr>
              <w:trHeight w:val="308"/>
            </w:trPr>
            <w:tc>
              <w:tcPr>
                <w:tcW w:w="2942" w:type="dxa"/>
              </w:tcPr>
              <w:p w:rsidR="00E12FB3" w:rsidRDefault="00EA0645">
                <w:pPr>
                  <w:tabs>
                    <w:tab w:val="right" w:pos="8838"/>
                  </w:tabs>
                  <w:ind w:left="-74" w:right="-105"/>
                  <w:rPr>
                    <w:rFonts w:ascii="Palatino Linotype" w:eastAsia="Palatino Linotype" w:hAnsi="Palatino Linotype" w:cs="Palatino Linotype"/>
                    <w:b/>
                    <w:bCs/>
                  </w:rPr>
                </w:pPr>
                <w:bookmarkStart w:id="9" w:name="_heading=h.17dp8vu" w:colFirst="0" w:colLast="0"/>
                <w:bookmarkEnd w:id="9"/>
                <w:r>
                  <w:rPr>
                    <w:rFonts w:ascii="Palatino Linotype" w:eastAsia="Palatino Linotype" w:hAnsi="Palatino Linotype" w:cs="Palatino Linotype"/>
                    <w:b/>
                    <w:bCs/>
                  </w:rPr>
                  <w:t>Recurso de Revisión:</w:t>
                </w:r>
              </w:p>
            </w:tc>
            <w:tc>
              <w:tcPr>
                <w:tcW w:w="3868" w:type="dxa"/>
              </w:tcPr>
              <w:p w:rsidR="00E12FB3" w:rsidRDefault="00EA0645">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03413/INFOEM/IP/RR/2026</w:t>
                </w:r>
              </w:p>
            </w:tc>
            <w:tc>
              <w:tcPr>
                <w:tcW w:w="2130" w:type="dxa"/>
              </w:tcPr>
              <w:p w:rsidR="00E12FB3" w:rsidRDefault="00E12FB3">
                <w:pPr>
                  <w:tabs>
                    <w:tab w:val="right" w:pos="8838"/>
                  </w:tabs>
                  <w:ind w:left="-74" w:right="-105"/>
                  <w:jc w:val="both"/>
                  <w:rPr>
                    <w:rFonts w:ascii="Palatino Linotype" w:eastAsia="Palatino Linotype" w:hAnsi="Palatino Linotype" w:cs="Palatino Linotype"/>
                    <w:sz w:val="22"/>
                    <w:szCs w:val="22"/>
                  </w:rPr>
                </w:pPr>
              </w:p>
            </w:tc>
          </w:tr>
          <w:tr w:rsidR="00E12FB3" w:rsidTr="00C940CD">
            <w:trPr>
              <w:trHeight w:val="308"/>
            </w:trPr>
            <w:tc>
              <w:tcPr>
                <w:tcW w:w="2942" w:type="dxa"/>
              </w:tcPr>
              <w:p w:rsidR="00E12FB3" w:rsidRDefault="00EA0645">
                <w:pPr>
                  <w:tabs>
                    <w:tab w:val="right" w:pos="8838"/>
                  </w:tabs>
                  <w:ind w:left="-74" w:right="-105"/>
                  <w:rPr>
                    <w:rFonts w:ascii="Palatino Linotype" w:eastAsia="Palatino Linotype" w:hAnsi="Palatino Linotype" w:cs="Palatino Linotype"/>
                    <w:b/>
                    <w:bCs/>
                  </w:rPr>
                </w:pPr>
                <w:bookmarkStart w:id="10" w:name="_heading=h.3rdcrjn" w:colFirst="0" w:colLast="0"/>
                <w:bookmarkEnd w:id="10"/>
                <w:r>
                  <w:rPr>
                    <w:rFonts w:ascii="Palatino Linotype" w:eastAsia="Palatino Linotype" w:hAnsi="Palatino Linotype" w:cs="Palatino Linotype"/>
                    <w:b/>
                    <w:bCs/>
                  </w:rPr>
                  <w:t>Recurrente:</w:t>
                </w:r>
              </w:p>
            </w:tc>
            <w:tc>
              <w:tcPr>
                <w:tcW w:w="3868" w:type="dxa"/>
              </w:tcPr>
              <w:p w:rsidR="00E12FB3" w:rsidRDefault="00992950">
                <w:pPr>
                  <w:tabs>
                    <w:tab w:val="left" w:pos="1515"/>
                  </w:tabs>
                  <w:ind w:right="-493"/>
                  <w:rPr>
                    <w:rFonts w:ascii="Palatino Linotype" w:eastAsia="Palatino Linotype" w:hAnsi="Palatino Linotype" w:cs="Palatino Linotype"/>
                  </w:rPr>
                </w:pPr>
                <w:r>
                  <w:rPr>
                    <w:rFonts w:ascii="Palatino Linotype" w:eastAsia="Palatino Linotype" w:hAnsi="Palatino Linotype" w:cs="Palatino Linotype"/>
                  </w:rPr>
                  <w:t>XXXX</w:t>
                </w:r>
              </w:p>
            </w:tc>
            <w:tc>
              <w:tcPr>
                <w:tcW w:w="2130" w:type="dxa"/>
              </w:tcPr>
              <w:p w:rsidR="00E12FB3" w:rsidRDefault="00E12FB3">
                <w:pPr>
                  <w:tabs>
                    <w:tab w:val="left" w:pos="3122"/>
                    <w:tab w:val="right" w:pos="8838"/>
                  </w:tabs>
                  <w:ind w:right="-105"/>
                  <w:jc w:val="both"/>
                  <w:rPr>
                    <w:rFonts w:ascii="Palatino Linotype" w:eastAsia="Palatino Linotype" w:hAnsi="Palatino Linotype" w:cs="Palatino Linotype"/>
                    <w:sz w:val="22"/>
                    <w:szCs w:val="22"/>
                  </w:rPr>
                </w:pPr>
              </w:p>
            </w:tc>
          </w:tr>
          <w:tr w:rsidR="00E12FB3" w:rsidTr="00C940CD">
            <w:trPr>
              <w:trHeight w:val="308"/>
            </w:trPr>
            <w:tc>
              <w:tcPr>
                <w:tcW w:w="2942" w:type="dxa"/>
              </w:tcPr>
              <w:p w:rsidR="00E12FB3" w:rsidRDefault="00EA064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8" w:type="dxa"/>
              </w:tcPr>
              <w:p w:rsidR="00E12FB3" w:rsidRDefault="00EA0645">
                <w:pPr>
                  <w:tabs>
                    <w:tab w:val="left" w:pos="2834"/>
                    <w:tab w:val="right" w:pos="8838"/>
                  </w:tabs>
                  <w:ind w:left="-3" w:right="468"/>
                  <w:jc w:val="both"/>
                  <w:rPr>
                    <w:rFonts w:ascii="Palatino Linotype" w:eastAsia="Palatino Linotype" w:hAnsi="Palatino Linotype" w:cs="Palatino Linotype"/>
                  </w:rPr>
                </w:pPr>
                <w:r>
                  <w:rPr>
                    <w:rFonts w:ascii="Palatino Linotype" w:eastAsia="Palatino Linotype" w:hAnsi="Palatino Linotype" w:cs="Palatino Linotype"/>
                  </w:rPr>
                  <w:t>Ayuntamiento de Ozumba</w:t>
                </w:r>
              </w:p>
            </w:tc>
            <w:tc>
              <w:tcPr>
                <w:tcW w:w="2130" w:type="dxa"/>
              </w:tcPr>
              <w:p w:rsidR="00E12FB3" w:rsidRDefault="00E12FB3">
                <w:pPr>
                  <w:tabs>
                    <w:tab w:val="left" w:pos="2834"/>
                    <w:tab w:val="right" w:pos="8838"/>
                  </w:tabs>
                  <w:ind w:left="-74" w:right="-105"/>
                  <w:jc w:val="both"/>
                  <w:rPr>
                    <w:rFonts w:ascii="Palatino Linotype" w:eastAsia="Palatino Linotype" w:hAnsi="Palatino Linotype" w:cs="Palatino Linotype"/>
                    <w:sz w:val="22"/>
                    <w:szCs w:val="22"/>
                  </w:rPr>
                </w:pPr>
              </w:p>
            </w:tc>
          </w:tr>
          <w:tr w:rsidR="00E12FB3" w:rsidTr="00C940CD">
            <w:trPr>
              <w:trHeight w:val="308"/>
            </w:trPr>
            <w:tc>
              <w:tcPr>
                <w:tcW w:w="2942" w:type="dxa"/>
              </w:tcPr>
              <w:p w:rsidR="00E12FB3" w:rsidRDefault="00EA0645">
                <w:pPr>
                  <w:tabs>
                    <w:tab w:val="right" w:pos="8838"/>
                  </w:tabs>
                  <w:ind w:left="-74"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8" w:type="dxa"/>
              </w:tcPr>
              <w:p w:rsidR="00E12FB3" w:rsidRDefault="00EA0645">
                <w:pPr>
                  <w:tabs>
                    <w:tab w:val="right" w:pos="8838"/>
                  </w:tabs>
                  <w:ind w:left="-3" w:right="-49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c>
              <w:tcPr>
                <w:tcW w:w="2130" w:type="dxa"/>
              </w:tcPr>
              <w:p w:rsidR="00E12FB3" w:rsidRDefault="00E12FB3">
                <w:pPr>
                  <w:tabs>
                    <w:tab w:val="right" w:pos="8838"/>
                  </w:tabs>
                  <w:ind w:left="-74" w:right="-105"/>
                  <w:jc w:val="both"/>
                  <w:rPr>
                    <w:rFonts w:ascii="Palatino Linotype" w:eastAsia="Palatino Linotype" w:hAnsi="Palatino Linotype" w:cs="Palatino Linotype"/>
                    <w:sz w:val="22"/>
                    <w:szCs w:val="22"/>
                  </w:rPr>
                </w:pPr>
              </w:p>
            </w:tc>
          </w:tr>
        </w:tbl>
        <w:p w:rsidR="00E12FB3" w:rsidRDefault="00E12FB3">
          <w:pPr>
            <w:tabs>
              <w:tab w:val="right" w:pos="8838"/>
            </w:tabs>
            <w:ind w:left="-28"/>
            <w:jc w:val="both"/>
            <w:rPr>
              <w:rFonts w:ascii="Arial" w:eastAsia="Arial" w:hAnsi="Arial" w:cs="Arial"/>
              <w:b/>
              <w:bCs/>
              <w:sz w:val="22"/>
              <w:szCs w:val="22"/>
            </w:rPr>
          </w:pPr>
        </w:p>
      </w:tc>
    </w:tr>
  </w:tbl>
  <w:p w:rsidR="00E12FB3" w:rsidRDefault="00A95A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25.85pt;margin-top:-15.8pt;width:663pt;height:12in;z-index:-251658752;mso-position-horizontal-relative:left-margin-area;mso-position-vertical-relative:top-margin-area">
          <v:imagedata r:id="rId1" o:title="image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1F19"/>
    <w:multiLevelType w:val="multilevel"/>
    <w:tmpl w:val="56B26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D76535"/>
    <w:multiLevelType w:val="multilevel"/>
    <w:tmpl w:val="EB501CAA"/>
    <w:lvl w:ilvl="0">
      <w:start w:val="1"/>
      <w:numFmt w:val="decimal"/>
      <w:lvlText w:val="%1."/>
      <w:lvlJc w:val="left"/>
      <w:pPr>
        <w:ind w:left="720" w:hanging="360"/>
      </w:pPr>
      <w:rPr>
        <w:rFonts w:ascii="Palatino Linotype" w:eastAsia="Arial" w:hAnsi="Palatino Linotype" w:cs="Arial" w:hint="default"/>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0F0AC8"/>
    <w:multiLevelType w:val="multilevel"/>
    <w:tmpl w:val="BBF66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F131F5"/>
    <w:multiLevelType w:val="multilevel"/>
    <w:tmpl w:val="A4863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FB3"/>
    <w:rsid w:val="00002A31"/>
    <w:rsid w:val="00300E58"/>
    <w:rsid w:val="007A23C1"/>
    <w:rsid w:val="007D7442"/>
    <w:rsid w:val="00992950"/>
    <w:rsid w:val="00A95AB2"/>
    <w:rsid w:val="00C940CD"/>
    <w:rsid w:val="00E12FB3"/>
    <w:rsid w:val="00EA06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EF052C4-B0D4-47C3-A5C0-95A2E041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C940CD"/>
    <w:pPr>
      <w:tabs>
        <w:tab w:val="center" w:pos="4419"/>
        <w:tab w:val="right" w:pos="8838"/>
      </w:tabs>
    </w:pPr>
  </w:style>
  <w:style w:type="character" w:customStyle="1" w:styleId="PiedepginaCar">
    <w:name w:val="Pie de página Car"/>
    <w:basedOn w:val="Fuentedeprrafopredeter"/>
    <w:link w:val="Piedepgina"/>
    <w:uiPriority w:val="99"/>
    <w:rsid w:val="00C940CD"/>
  </w:style>
  <w:style w:type="paragraph" w:styleId="Prrafodelista">
    <w:name w:val="List Paragraph"/>
    <w:basedOn w:val="Normal"/>
    <w:uiPriority w:val="34"/>
    <w:qFormat/>
    <w:rsid w:val="007A23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ZKuhz7DtE6qdHmIPE+VgN8hHgA==">CgMxLjAyCGguZ2pkZ3hzMgloLjJldDkycDAyCGgudHlqY3d0MgloLjRkMzRvZzgyCWguMzBqMHpsbDIJaC4xa3N2NHV2MgloLjE3ZHA4dnUyCWguM3JkY3JqbjIJaC4yczhleW8xOAByITFORGpxS0p3aWhLYWR0RHdib2xpV2VkWXZJY2M2R0FOYw==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9465</Words>
  <Characters>52060</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2026-07-03T16:01:00Z</cp:lastPrinted>
  <dcterms:created xsi:type="dcterms:W3CDTF">2026-07-01T20:50:00Z</dcterms:created>
  <dcterms:modified xsi:type="dcterms:W3CDTF">2026-07-07T23:24:00Z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1D0A7CC0F89C4B5B9682C8F624EA3E05_13</vt:lpwstr>
  </property>
</Properties>
</file>