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CC7" w:rsidRDefault="00EE048D">
      <w:pPr>
        <w:tabs>
          <w:tab w:val="left" w:pos="0"/>
        </w:tabs>
        <w:spacing w:line="360" w:lineRule="auto"/>
        <w:ind w:right="-704"/>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 xml:space="preserve">tres (03) de junio de dos mil veintiséis. </w:t>
      </w:r>
    </w:p>
    <w:p w:rsidR="00BD5CC7" w:rsidRDefault="00BD5CC7">
      <w:pPr>
        <w:tabs>
          <w:tab w:val="left" w:pos="0"/>
        </w:tabs>
        <w:spacing w:line="360" w:lineRule="auto"/>
        <w:ind w:right="-704"/>
        <w:jc w:val="both"/>
        <w:rPr>
          <w:rFonts w:ascii="Palatino Linotype" w:eastAsia="Palatino Linotype" w:hAnsi="Palatino Linotype" w:cs="Palatino Linotype"/>
        </w:rPr>
      </w:pPr>
    </w:p>
    <w:p w:rsidR="00BD5CC7" w:rsidRDefault="00EE048D">
      <w:pPr>
        <w:tabs>
          <w:tab w:val="left" w:pos="0"/>
        </w:tabs>
        <w:spacing w:line="360" w:lineRule="auto"/>
        <w:ind w:right="-704"/>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expediente</w:t>
      </w:r>
      <w:r>
        <w:rPr>
          <w:rFonts w:ascii="Palatino Linotype" w:eastAsia="Palatino Linotype" w:hAnsi="Palatino Linotype" w:cs="Palatino Linotype"/>
        </w:rPr>
        <w:t xml:space="preserve"> electrónico formado con motivo del recurso de revisión </w:t>
      </w:r>
      <w:r>
        <w:rPr>
          <w:rFonts w:ascii="Palatino Linotype" w:eastAsia="Palatino Linotype" w:hAnsi="Palatino Linotype" w:cs="Palatino Linotype"/>
          <w:b/>
          <w:bCs/>
        </w:rPr>
        <w:t>03473/INFOEM/IP/RR/2026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DE182A">
        <w:rPr>
          <w:rFonts w:ascii="Palatino Linotype" w:eastAsia="Palatino Linotype" w:hAnsi="Palatino Linotype" w:cs="Palatino Linotype"/>
          <w:b/>
          <w:color w:val="000000"/>
        </w:rPr>
        <w:t>XXXX</w:t>
      </w:r>
      <w:r>
        <w:rPr>
          <w:rFonts w:ascii="Palatino Linotype" w:eastAsia="Palatino Linotype" w:hAnsi="Palatino Linotype" w:cs="Palatino Linotype"/>
        </w:rPr>
        <w:t xml:space="preserve">, a quien en lo sucesivo denominaremos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Valle de Bravo,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se procede a dictar la presente resolución, con base en los siguientes:</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keepNext/>
        <w:keepLines/>
        <w:tabs>
          <w:tab w:val="left" w:pos="0"/>
        </w:tabs>
        <w:spacing w:before="240" w:after="240" w:line="360" w:lineRule="auto"/>
        <w:ind w:right="-704"/>
        <w:jc w:val="center"/>
        <w:rPr>
          <w:rFonts w:ascii="Palatino Linotype" w:eastAsia="Palatino Linotype" w:hAnsi="Palatino Linotype" w:cs="Palatino Linotype"/>
          <w:b/>
          <w:bCs/>
        </w:rPr>
      </w:pPr>
      <w:bookmarkStart w:id="0" w:name="_heading=h.gjdgxs" w:colFirst="0" w:colLast="0"/>
      <w:bookmarkEnd w:id="0"/>
      <w:r>
        <w:rPr>
          <w:rFonts w:ascii="Palatino Linotype" w:eastAsia="Palatino Linotype" w:hAnsi="Palatino Linotype" w:cs="Palatino Linotype"/>
          <w:b/>
          <w:bCs/>
        </w:rPr>
        <w:t>A N T E C E D E N T E S</w:t>
      </w:r>
    </w:p>
    <w:p w:rsidR="00BD5CC7" w:rsidRDefault="00EE048D">
      <w:pPr>
        <w:numPr>
          <w:ilvl w:val="0"/>
          <w:numId w:val="14"/>
        </w:numPr>
        <w:tabs>
          <w:tab w:val="left" w:pos="0"/>
        </w:tabs>
        <w:spacing w:line="360" w:lineRule="auto"/>
        <w:ind w:left="0" w:right="-70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veintiséis de febrero de dos mil veintiséis</w:t>
      </w:r>
      <w:r>
        <w:rPr>
          <w:rFonts w:ascii="Palatino Linotype" w:eastAsia="Palatino Linotype" w:hAnsi="Palatino Linotype" w:cs="Palatino Linotype"/>
        </w:rPr>
        <w:t>, 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 la Plataforma digital Sistema de Acceso a la Información Mexiquense (SAIMEX), la solicitud de información pública registrada con el número </w:t>
      </w:r>
      <w:r>
        <w:rPr>
          <w:rFonts w:ascii="Palatino Linotype" w:eastAsia="Palatino Linotype" w:hAnsi="Palatino Linotype" w:cs="Palatino Linotype"/>
          <w:b/>
          <w:bCs/>
        </w:rPr>
        <w:t>00043/VABRAVO/IP/202</w:t>
      </w:r>
      <w:r w:rsidR="00104752">
        <w:rPr>
          <w:rFonts w:ascii="Palatino Linotype" w:eastAsia="Palatino Linotype" w:hAnsi="Palatino Linotype" w:cs="Palatino Linotype"/>
          <w:b/>
          <w:bCs/>
        </w:rPr>
        <w:t>6</w:t>
      </w:r>
      <w:r>
        <w:rPr>
          <w:rFonts w:ascii="Palatino Linotype" w:eastAsia="Palatino Linotype" w:hAnsi="Palatino Linotype" w:cs="Palatino Linotype"/>
          <w:b/>
          <w:bCs/>
        </w:rPr>
        <w:t>,</w:t>
      </w:r>
      <w:r>
        <w:rPr>
          <w:rFonts w:ascii="Palatino Linotype" w:eastAsia="Palatino Linotype" w:hAnsi="Palatino Linotype" w:cs="Palatino Linotype"/>
        </w:rPr>
        <w:t xml:space="preserve"> en la que se solicitó:</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“Por medio del presente escrito, y con fundamento en mi derecho de acceso a la información pública, solicito se me informe de manera fundada y motivada cuál es la tarifa real en pesos mexicanos correspondiente al costo de la Licencia de Funcionamiento para el ejercicio fiscal 2026 en el Municipio de Valle de Bravo, Estado de México, aplicable a establecimientos dedicados a la venta de pinturas, especificando todos los giros comerciales relacionados, incluyendo pintura para el hogar o arquitectónica (vinílica, esmalte, acrílica, impermeabilizante), pintura automotriz, pintura industrial, recubrimientos y acabados, barnices, lacas, selladores, primarios, aerosoles, pinturas especiales, ecológicas o técnicas, así como pinturas artísticas y cualquier otro producto destinado al recubrimiento o protección de superficies, precisando el costo base, cuotas adicionales en su caso, criterios de clasificación del giro, forma de cálculo (por metros cuadrados, zona o actividad </w:t>
      </w:r>
      <w:r>
        <w:rPr>
          <w:rFonts w:ascii="Palatino Linotype" w:eastAsia="Palatino Linotype" w:hAnsi="Palatino Linotype" w:cs="Palatino Linotype"/>
          <w:i/>
          <w:iCs/>
          <w:color w:val="000000"/>
        </w:rPr>
        <w:lastRenderedPageBreak/>
        <w:t>específica) y el fundamento legal, reglamentario o acuerdo de cabildo que sustente dicha tarifa, a fin de contar con certeza jurídica respecto de la correcta clasificación del giro comercial y evitar interpretaciones restrictivas o erróneas sobre la naturaleza de la actividad económica a desarrollar.” (Sic)</w:t>
      </w:r>
    </w:p>
    <w:p w:rsidR="00BD5CC7" w:rsidRDefault="00BD5CC7">
      <w:pPr>
        <w:ind w:left="1134" w:right="-704"/>
        <w:jc w:val="both"/>
        <w:rPr>
          <w:rFonts w:ascii="Palatino Linotype" w:eastAsia="Palatino Linotype" w:hAnsi="Palatino Linotype" w:cs="Palatino Linotype"/>
          <w:i/>
          <w:iCs/>
          <w:color w:val="000000"/>
        </w:rPr>
      </w:pPr>
    </w:p>
    <w:p w:rsidR="00BD5CC7" w:rsidRDefault="00EE048D">
      <w:pPr>
        <w:numPr>
          <w:ilvl w:val="0"/>
          <w:numId w:val="15"/>
        </w:numPr>
        <w:pBdr>
          <w:top w:val="nil"/>
          <w:left w:val="nil"/>
          <w:bottom w:val="nil"/>
          <w:right w:val="nil"/>
          <w:between w:val="nil"/>
        </w:pBdr>
        <w:spacing w:line="360" w:lineRule="auto"/>
        <w:ind w:left="0"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Modalidad de entrega de la información</w:t>
      </w:r>
      <w:r>
        <w:rPr>
          <w:rFonts w:ascii="Palatino Linotype" w:eastAsia="Palatino Linotype" w:hAnsi="Palatino Linotype" w:cs="Palatino Linotype"/>
          <w:color w:val="000000"/>
        </w:rPr>
        <w:t xml:space="preserve">: a través de </w:t>
      </w:r>
      <w:r>
        <w:rPr>
          <w:rFonts w:ascii="Palatino Linotype" w:eastAsia="Palatino Linotype" w:hAnsi="Palatino Linotype" w:cs="Palatino Linotype"/>
          <w:b/>
          <w:bCs/>
          <w:color w:val="000000"/>
        </w:rPr>
        <w:t>SAIMEX.</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numPr>
          <w:ilvl w:val="0"/>
          <w:numId w:val="14"/>
        </w:numPr>
        <w:tabs>
          <w:tab w:val="left" w:pos="0"/>
        </w:tabs>
        <w:spacing w:line="360" w:lineRule="auto"/>
        <w:ind w:left="0" w:right="-704" w:firstLine="0"/>
        <w:jc w:val="both"/>
        <w:rPr>
          <w:rFonts w:ascii="Palatino Linotype" w:eastAsia="Palatino Linotype" w:hAnsi="Palatino Linotype" w:cs="Palatino Linotype"/>
          <w:b/>
          <w:bCs/>
        </w:rPr>
      </w:pPr>
      <w:bookmarkStart w:id="1" w:name="_heading=h.30j0zll" w:colFirst="0" w:colLast="0"/>
      <w:bookmarkEnd w:id="1"/>
      <w:r>
        <w:rPr>
          <w:rFonts w:ascii="Palatino Linotype" w:eastAsia="Palatino Linotype" w:hAnsi="Palatino Linotype" w:cs="Palatino Linotype"/>
        </w:rPr>
        <w:t xml:space="preserve">El </w:t>
      </w:r>
      <w:r>
        <w:rPr>
          <w:rFonts w:ascii="Palatino Linotype" w:eastAsia="Palatino Linotype" w:hAnsi="Palatino Linotype" w:cs="Palatino Linotype"/>
          <w:b/>
          <w:bCs/>
        </w:rPr>
        <w:t>veinte de marzo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dio respuesta través del SAIMEX, adjuntando un archivo electrónico en formato pdf en el que medularmente señala lo siguiente:</w:t>
      </w:r>
    </w:p>
    <w:p w:rsidR="00BD5CC7" w:rsidRDefault="00EE048D">
      <w:pPr>
        <w:tabs>
          <w:tab w:val="left" w:pos="709"/>
        </w:tabs>
        <w:ind w:left="1134" w:right="-704"/>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43 RES-DESARROLLO ECONOMICO.pdf: </w:t>
      </w:r>
      <w:r>
        <w:rPr>
          <w:rFonts w:ascii="Palatino Linotype" w:eastAsia="Palatino Linotype" w:hAnsi="Palatino Linotype" w:cs="Palatino Linotype"/>
          <w:i/>
          <w:iCs/>
        </w:rPr>
        <w:t>Donde la Directora de Desarrollo Económico refiere que la entrega d ela información solicitada refiere a un trámite específico, entrega liga en formato cerrado de mejora regulatoria del Ayuntamiento y finalmente invita al solicitante a acudir a la ventanilla única para recibir información detallada y requisitos y procedimientos señalando para tal fin horario de atención y domicilio de la ventanilla.</w:t>
      </w:r>
    </w:p>
    <w:p w:rsidR="00BD5CC7" w:rsidRDefault="00BD5CC7">
      <w:pPr>
        <w:tabs>
          <w:tab w:val="left" w:pos="709"/>
        </w:tabs>
        <w:ind w:left="851" w:right="-704"/>
        <w:jc w:val="both"/>
        <w:rPr>
          <w:rFonts w:ascii="Palatino Linotype" w:eastAsia="Palatino Linotype" w:hAnsi="Palatino Linotype" w:cs="Palatino Linotype"/>
          <w:i/>
          <w:iCs/>
        </w:rPr>
      </w:pPr>
    </w:p>
    <w:p w:rsidR="00BD5CC7" w:rsidRDefault="00EE048D">
      <w:pPr>
        <w:numPr>
          <w:ilvl w:val="0"/>
          <w:numId w:val="14"/>
        </w:numPr>
        <w:pBdr>
          <w:top w:val="nil"/>
          <w:left w:val="nil"/>
          <w:bottom w:val="nil"/>
          <w:right w:val="nil"/>
          <w:between w:val="nil"/>
        </w:pBdr>
        <w:tabs>
          <w:tab w:val="left" w:pos="0"/>
        </w:tabs>
        <w:spacing w:line="360" w:lineRule="auto"/>
        <w:ind w:left="0"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el recurso de revisión, señalando como:</w:t>
      </w:r>
    </w:p>
    <w:p w:rsidR="00BD5CC7" w:rsidRDefault="00BD5CC7">
      <w:pPr>
        <w:spacing w:line="360" w:lineRule="auto"/>
        <w:ind w:right="-704"/>
        <w:jc w:val="both"/>
        <w:rPr>
          <w:rFonts w:ascii="Palatino Linotype" w:eastAsia="Palatino Linotype" w:hAnsi="Palatino Linotype" w:cs="Palatino Linotype"/>
          <w:color w:val="000000"/>
        </w:rPr>
      </w:pPr>
    </w:p>
    <w:p w:rsidR="00BD5CC7" w:rsidRDefault="00EE048D">
      <w:pPr>
        <w:numPr>
          <w:ilvl w:val="0"/>
          <w:numId w:val="1"/>
        </w:numPr>
        <w:ind w:right="-704"/>
        <w:jc w:val="both"/>
        <w:rPr>
          <w:rFonts w:ascii="Palatino Linotype" w:eastAsia="Palatino Linotype" w:hAnsi="Palatino Linotype" w:cs="Palatino Linotype"/>
          <w:b/>
          <w:bCs/>
        </w:rPr>
      </w:pPr>
      <w:r>
        <w:rPr>
          <w:rFonts w:ascii="Palatino Linotype" w:eastAsia="Palatino Linotype" w:hAnsi="Palatino Linotype" w:cs="Palatino Linotype"/>
          <w:b/>
          <w:bCs/>
        </w:rPr>
        <w:t>ACTO</w:t>
      </w:r>
      <w:bookmarkStart w:id="2" w:name="_GoBack"/>
      <w:bookmarkEnd w:id="2"/>
      <w:r>
        <w:rPr>
          <w:rFonts w:ascii="Palatino Linotype" w:eastAsia="Palatino Linotype" w:hAnsi="Palatino Linotype" w:cs="Palatino Linotype"/>
          <w:b/>
          <w:bCs/>
        </w:rPr>
        <w:t xml:space="preserve"> IMPUGNADO</w:t>
      </w:r>
    </w:p>
    <w:p w:rsidR="00BD5CC7" w:rsidRDefault="00BD5CC7">
      <w:pPr>
        <w:ind w:left="1440" w:right="-704"/>
        <w:jc w:val="both"/>
        <w:rPr>
          <w:rFonts w:ascii="Palatino Linotype" w:eastAsia="Palatino Linotype" w:hAnsi="Palatino Linotype" w:cs="Palatino Linotype"/>
          <w:b/>
          <w:bCs/>
        </w:rPr>
      </w:pPr>
    </w:p>
    <w:p w:rsidR="00BD5CC7" w:rsidRDefault="00EE048D">
      <w:pPr>
        <w:ind w:left="1440"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oficio número DDE/158/MARZO/2026 con fecha 06 de Marzo del 2026 , firmado por la Directora de Desarrollo Económico, mediante el cual se me niega la información pública solicitada argumentando indebidamente la improcedencia de la solicitud."” (Sic)</w:t>
      </w:r>
    </w:p>
    <w:p w:rsidR="00BD5CC7" w:rsidRDefault="00BD5CC7">
      <w:pPr>
        <w:ind w:left="1134" w:right="-704"/>
        <w:jc w:val="both"/>
        <w:rPr>
          <w:rFonts w:ascii="Palatino Linotype" w:eastAsia="Palatino Linotype" w:hAnsi="Palatino Linotype" w:cs="Palatino Linotype"/>
          <w:b/>
          <w:bCs/>
        </w:rPr>
      </w:pPr>
    </w:p>
    <w:p w:rsidR="00BD5CC7" w:rsidRDefault="00EE048D">
      <w:pPr>
        <w:numPr>
          <w:ilvl w:val="0"/>
          <w:numId w:val="2"/>
        </w:numPr>
        <w:ind w:right="-704"/>
        <w:jc w:val="both"/>
        <w:rPr>
          <w:rFonts w:ascii="Palatino Linotype" w:eastAsia="Palatino Linotype" w:hAnsi="Palatino Linotype" w:cs="Palatino Linotype"/>
          <w:b/>
          <w:bCs/>
        </w:rPr>
      </w:pPr>
      <w:r>
        <w:rPr>
          <w:rFonts w:ascii="Palatino Linotype" w:eastAsia="Palatino Linotype" w:hAnsi="Palatino Linotype" w:cs="Palatino Linotype"/>
          <w:b/>
          <w:bCs/>
        </w:rPr>
        <w:t>RAZONES O MOTIVOS DE INCONFORMIDAD</w:t>
      </w:r>
    </w:p>
    <w:p w:rsidR="00BD5CC7" w:rsidRDefault="00BD5CC7">
      <w:pPr>
        <w:ind w:left="1134" w:right="-704"/>
        <w:jc w:val="both"/>
        <w:rPr>
          <w:rFonts w:ascii="Palatino Linotype" w:eastAsia="Palatino Linotype" w:hAnsi="Palatino Linotype" w:cs="Palatino Linotype"/>
          <w:b/>
          <w:bCs/>
        </w:rPr>
      </w:pPr>
    </w:p>
    <w:p w:rsidR="00BD5CC7" w:rsidRDefault="00EE048D">
      <w:pP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respuesta otorgada mediante el oficio DDE/158/MARZO/2026 es ilegal y carece de toda lógica y fundamentación aplicable al caso. Primero, la autoridad pretende desechar mi solicitud bajo el artículo 172 de la Ley de Transparencia, confundiendo mi derecho de acceso </w:t>
      </w:r>
      <w:r>
        <w:rPr>
          <w:rFonts w:ascii="Palatino Linotype" w:eastAsia="Palatino Linotype" w:hAnsi="Palatino Linotype" w:cs="Palatino Linotype"/>
          <w:i/>
          <w:iCs/>
          <w:color w:val="000000"/>
        </w:rPr>
        <w:lastRenderedPageBreak/>
        <w:t>a la información (conocer el costo y fundamento de una tarifa) con el acto de iniciar el trámite per se. Saber cómo y cuánto cobra el municipio es información pública de oficio, no un trámite. Segundo, el sujeto obligado demuestra una grave negligencia al justificar su negativa citando el criterio del INAI 01/18 referente a la 'Entrega de datos personales'. Mi solicitud en ningún momento requirió datos personales, sino los costos, cuotas y criterios de clasificación comercial para la venta de pinturas aplicables en 2026. Tercero, la autoridad vulnera mi derecho al pretender obligarme a acudir de manera presencial a las oficinas de Ventanilla Única o Desarrollo Económico para obtener la información 'detallada', ignorando su obligación legal de entregar la información pública en el formato y medio electrónico que elegí al presentar mi solicitud."” (Sic)</w:t>
      </w:r>
    </w:p>
    <w:p w:rsidR="00BD5CC7" w:rsidRDefault="00BD5CC7">
      <w:pPr>
        <w:ind w:left="1134" w:right="-704"/>
        <w:jc w:val="both"/>
        <w:rPr>
          <w:rFonts w:ascii="Palatino Linotype" w:eastAsia="Palatino Linotype" w:hAnsi="Palatino Linotype" w:cs="Palatino Linotype"/>
          <w:i/>
          <w:iCs/>
          <w:color w:val="000000"/>
        </w:rPr>
      </w:pPr>
    </w:p>
    <w:p w:rsidR="00BD5CC7" w:rsidRDefault="00EE048D">
      <w:pPr>
        <w:numPr>
          <w:ilvl w:val="0"/>
          <w:numId w:val="13"/>
        </w:numPr>
        <w:spacing w:line="360" w:lineRule="auto"/>
        <w:ind w:left="0"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Posteriormente, la Comisionada Ponente con fundamento en lo dispuesto por el artículo 185, fracción II, de la Ley de la materia, a través del </w:t>
      </w:r>
      <w:r>
        <w:rPr>
          <w:rFonts w:ascii="Palatino Linotype" w:eastAsia="Palatino Linotype" w:hAnsi="Palatino Linotype" w:cs="Palatino Linotype"/>
          <w:b/>
          <w:bCs/>
        </w:rPr>
        <w:t>acuerdo de admisión del veintiséis de marzo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presentase el informe justificado procedente. </w:t>
      </w:r>
    </w:p>
    <w:p w:rsidR="00BD5CC7" w:rsidRDefault="00BD5CC7">
      <w:pPr>
        <w:ind w:right="-704"/>
        <w:jc w:val="both"/>
        <w:rPr>
          <w:rFonts w:ascii="Palatino Linotype" w:eastAsia="Palatino Linotype" w:hAnsi="Palatino Linotype" w:cs="Palatino Linotype"/>
          <w:i/>
          <w:iCs/>
          <w:color w:val="000000"/>
        </w:rPr>
      </w:pPr>
    </w:p>
    <w:p w:rsidR="00BD5CC7" w:rsidRDefault="00EE048D">
      <w:pPr>
        <w:numPr>
          <w:ilvl w:val="0"/>
          <w:numId w:val="13"/>
        </w:numPr>
        <w:pBdr>
          <w:top w:val="nil"/>
          <w:left w:val="nil"/>
          <w:bottom w:val="nil"/>
          <w:right w:val="nil"/>
          <w:between w:val="nil"/>
        </w:pBdr>
        <w:tabs>
          <w:tab w:val="left" w:pos="0"/>
        </w:tabs>
        <w:spacing w:line="360" w:lineRule="auto"/>
        <w:ind w:left="0"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nueve de abril de dos mil veintiséis</w:t>
      </w:r>
      <w:r>
        <w:rPr>
          <w:rFonts w:ascii="Palatino Linotype" w:eastAsia="Palatino Linotype" w:hAnsi="Palatino Linotype" w:cs="Palatino Linotype"/>
          <w:color w:val="000000"/>
        </w:rPr>
        <w:t xml:space="preserve"> presentó archivo electrónico </w:t>
      </w:r>
      <w:r>
        <w:rPr>
          <w:rFonts w:ascii="Palatino Linotype" w:eastAsia="Palatino Linotype" w:hAnsi="Palatino Linotype" w:cs="Palatino Linotype"/>
          <w:b/>
          <w:bCs/>
          <w:color w:val="000000"/>
        </w:rPr>
        <w:tab/>
      </w:r>
      <w:r>
        <w:rPr>
          <w:rFonts w:ascii="Palatino Linotype" w:eastAsia="Palatino Linotype" w:hAnsi="Palatino Linotype" w:cs="Palatino Linotype"/>
          <w:b/>
          <w:bCs/>
        </w:rPr>
        <w:t>Escáner 20260409.pdf</w:t>
      </w:r>
      <w:r>
        <w:rPr>
          <w:rFonts w:ascii="Palatino Linotype" w:eastAsia="Palatino Linotype" w:hAnsi="Palatino Linotype" w:cs="Palatino Linotype"/>
          <w:color w:val="000000"/>
        </w:rPr>
        <w:t xml:space="preserve"> donde medularmente ratifica su respuesta primigenia, 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w:t>
      </w:r>
    </w:p>
    <w:p w:rsidR="00BD5CC7" w:rsidRDefault="00BD5CC7">
      <w:pPr>
        <w:pBdr>
          <w:top w:val="nil"/>
          <w:left w:val="nil"/>
          <w:bottom w:val="nil"/>
          <w:right w:val="nil"/>
          <w:between w:val="nil"/>
        </w:pBdr>
        <w:ind w:left="720" w:right="-704"/>
        <w:rPr>
          <w:rFonts w:ascii="Palatino Linotype" w:eastAsia="Palatino Linotype" w:hAnsi="Palatino Linotype" w:cs="Palatino Linotype"/>
          <w:color w:val="000000"/>
        </w:rPr>
      </w:pPr>
    </w:p>
    <w:p w:rsidR="00BD5CC7" w:rsidRDefault="00EE048D">
      <w:pPr>
        <w:numPr>
          <w:ilvl w:val="0"/>
          <w:numId w:val="6"/>
        </w:numPr>
        <w:pBdr>
          <w:top w:val="nil"/>
          <w:left w:val="nil"/>
          <w:bottom w:val="nil"/>
          <w:right w:val="nil"/>
          <w:between w:val="nil"/>
        </w:pBdr>
        <w:spacing w:line="360" w:lineRule="auto"/>
        <w:ind w:left="0"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b/>
          <w:bCs/>
          <w:color w:val="000000"/>
        </w:rPr>
        <w:t>fecha veinte de mayo de dos mil veintiséis</w:t>
      </w:r>
      <w:r>
        <w:rPr>
          <w:rFonts w:ascii="Palatino Linotype" w:eastAsia="Palatino Linotype" w:hAnsi="Palatino Linotype" w:cs="Palatino Linotype"/>
          <w:color w:val="000000"/>
        </w:rPr>
        <w:t>, se acordó ampliar el término para resolver el presente asunto.</w:t>
      </w:r>
    </w:p>
    <w:p w:rsidR="00BD5CC7" w:rsidRDefault="00BD5CC7">
      <w:pPr>
        <w:pBdr>
          <w:top w:val="nil"/>
          <w:left w:val="nil"/>
          <w:bottom w:val="nil"/>
          <w:right w:val="nil"/>
          <w:between w:val="nil"/>
        </w:pBdr>
        <w:ind w:left="720" w:right="-704"/>
        <w:rPr>
          <w:rFonts w:ascii="Palatino Linotype" w:eastAsia="Palatino Linotype" w:hAnsi="Palatino Linotype" w:cs="Palatino Linotype"/>
          <w:b/>
          <w:bCs/>
          <w:color w:val="000000"/>
        </w:rPr>
      </w:pPr>
    </w:p>
    <w:p w:rsidR="00BD5CC7" w:rsidRDefault="00EE048D">
      <w:pPr>
        <w:numPr>
          <w:ilvl w:val="0"/>
          <w:numId w:val="6"/>
        </w:numPr>
        <w:pBdr>
          <w:top w:val="nil"/>
          <w:left w:val="nil"/>
          <w:bottom w:val="nil"/>
          <w:right w:val="nil"/>
          <w:between w:val="nil"/>
        </w:pBdr>
        <w:spacing w:line="360" w:lineRule="auto"/>
        <w:ind w:left="0"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ello, es menester precisar que, si bien se ha excedido el plazo para resolver el presente medio de impugnación, de conformidad con la ley de la materia, dicha dilación es de carácter excepcional y se encuentra justificada en los elementos para medir la </w:t>
      </w:r>
      <w:r>
        <w:rPr>
          <w:rFonts w:ascii="Palatino Linotype" w:eastAsia="Palatino Linotype" w:hAnsi="Palatino Linotype" w:cs="Palatino Linotype"/>
          <w:color w:val="000000"/>
        </w:rPr>
        <w:lastRenderedPageBreak/>
        <w:t>razonabilidad del plazo de resolución de asuntos conforme a los parámetros establecidos por diversos órganos jurisdiccionales federales, aplicables también en procedimientos análogos, como el que nos ocupa.</w:t>
      </w:r>
    </w:p>
    <w:p w:rsidR="00BD5CC7" w:rsidRDefault="00BD5CC7">
      <w:pPr>
        <w:ind w:right="-704"/>
        <w:jc w:val="both"/>
        <w:rPr>
          <w:rFonts w:ascii="Palatino Linotype" w:eastAsia="Palatino Linotype" w:hAnsi="Palatino Linotype" w:cs="Palatino Linotype"/>
          <w:b/>
          <w:bCs/>
          <w:color w:val="44546A"/>
        </w:rPr>
      </w:pPr>
    </w:p>
    <w:p w:rsidR="00BD5CC7" w:rsidRDefault="00BD5CC7">
      <w:pPr>
        <w:pBdr>
          <w:top w:val="nil"/>
          <w:left w:val="nil"/>
          <w:bottom w:val="nil"/>
          <w:right w:val="nil"/>
          <w:between w:val="nil"/>
        </w:pBdr>
        <w:ind w:left="720" w:right="-704"/>
        <w:rPr>
          <w:rFonts w:ascii="Palatino Linotype" w:eastAsia="Palatino Linotype" w:hAnsi="Palatino Linotype" w:cs="Palatino Linotype"/>
          <w:color w:val="000000"/>
        </w:rPr>
      </w:pPr>
    </w:p>
    <w:p w:rsidR="00BD5CC7" w:rsidRDefault="00EE048D">
      <w:pPr>
        <w:numPr>
          <w:ilvl w:val="0"/>
          <w:numId w:val="7"/>
        </w:numPr>
        <w:spacing w:line="360" w:lineRule="auto"/>
        <w:ind w:left="0" w:right="-70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Comisionada Ponente decretó el cierre de instrucción mediante el acuerdo del </w:t>
      </w:r>
      <w:r>
        <w:rPr>
          <w:rFonts w:ascii="Palatino Linotype" w:eastAsia="Palatino Linotype" w:hAnsi="Palatino Linotype" w:cs="Palatino Linotype"/>
          <w:b/>
          <w:bCs/>
        </w:rPr>
        <w:t xml:space="preserve">veinte de mayo de dos mil veintiséis; </w:t>
      </w:r>
      <w:r>
        <w:rPr>
          <w:rFonts w:ascii="Palatino Linotype" w:eastAsia="Palatino Linotype" w:hAnsi="Palatino Linotype" w:cs="Palatino Linotype"/>
        </w:rPr>
        <w:t>por lo que en virtud de que el expediente electrónico ha sido debidamente substanciado y no existe diligencia pendiente de desahogo, se procede a emitir la presente resolución que conforme a Derecho corresponda y;</w:t>
      </w:r>
    </w:p>
    <w:p w:rsidR="00BD5CC7" w:rsidRDefault="00BD5CC7">
      <w:pPr>
        <w:spacing w:line="360" w:lineRule="auto"/>
        <w:ind w:right="-704"/>
        <w:jc w:val="center"/>
        <w:rPr>
          <w:rFonts w:ascii="Palatino Linotype" w:eastAsia="Palatino Linotype" w:hAnsi="Palatino Linotype" w:cs="Palatino Linotype"/>
        </w:rPr>
      </w:pPr>
      <w:bookmarkStart w:id="3" w:name="_heading=h.mj8j8kddcbw5" w:colFirst="0" w:colLast="0"/>
      <w:bookmarkEnd w:id="3"/>
    </w:p>
    <w:p w:rsidR="00BD5CC7" w:rsidRDefault="00EE048D">
      <w:pPr>
        <w:spacing w:line="360" w:lineRule="auto"/>
        <w:ind w:right="-704"/>
        <w:jc w:val="center"/>
        <w:rPr>
          <w:rFonts w:ascii="Palatino Linotype" w:eastAsia="Palatino Linotype" w:hAnsi="Palatino Linotype" w:cs="Palatino Linotype"/>
          <w:b/>
          <w:bCs/>
        </w:rPr>
      </w:pPr>
      <w:bookmarkStart w:id="4" w:name="_heading=h.cadv2egncba2" w:colFirst="0" w:colLast="0"/>
      <w:bookmarkEnd w:id="4"/>
      <w:r>
        <w:rPr>
          <w:rFonts w:ascii="Palatino Linotype" w:eastAsia="Palatino Linotype" w:hAnsi="Palatino Linotype" w:cs="Palatino Linotype"/>
          <w:b/>
          <w:bCs/>
        </w:rPr>
        <w:t>C O N S I D E R A N D O S</w:t>
      </w:r>
    </w:p>
    <w:p w:rsidR="00BD5CC7" w:rsidRDefault="00BD5CC7">
      <w:pPr>
        <w:spacing w:line="360" w:lineRule="auto"/>
        <w:ind w:right="-704"/>
        <w:jc w:val="center"/>
        <w:rPr>
          <w:rFonts w:ascii="Palatino Linotype" w:eastAsia="Palatino Linotype" w:hAnsi="Palatino Linotype" w:cs="Palatino Linotype"/>
          <w:b/>
          <w:bCs/>
        </w:rPr>
      </w:pPr>
    </w:p>
    <w:p w:rsidR="00BD5CC7" w:rsidRDefault="00EE048D">
      <w:pPr>
        <w:pStyle w:val="Ttulo2"/>
        <w:spacing w:before="0" w:line="360" w:lineRule="auto"/>
        <w:ind w:right="-704"/>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PRIMERO. De la competencia</w:t>
      </w:r>
    </w:p>
    <w:p w:rsidR="00BD5CC7" w:rsidRDefault="00EE048D">
      <w:pPr>
        <w:numPr>
          <w:ilvl w:val="0"/>
          <w:numId w:val="12"/>
        </w:numPr>
        <w:pBdr>
          <w:top w:val="nil"/>
          <w:left w:val="nil"/>
          <w:bottom w:val="nil"/>
          <w:right w:val="nil"/>
          <w:between w:val="nil"/>
        </w:pBdr>
        <w:spacing w:line="360" w:lineRule="auto"/>
        <w:ind w:left="0"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BD5CC7" w:rsidRDefault="00BD5CC7">
      <w:pPr>
        <w:pBdr>
          <w:top w:val="nil"/>
          <w:left w:val="nil"/>
          <w:bottom w:val="nil"/>
          <w:right w:val="nil"/>
          <w:between w:val="nil"/>
        </w:pBdr>
        <w:spacing w:line="360" w:lineRule="auto"/>
        <w:ind w:left="360" w:right="-704"/>
        <w:jc w:val="both"/>
        <w:rPr>
          <w:rFonts w:ascii="Palatino Linotype" w:eastAsia="Palatino Linotype" w:hAnsi="Palatino Linotype" w:cs="Palatino Linotype"/>
        </w:rPr>
      </w:pPr>
    </w:p>
    <w:p w:rsidR="00BD5CC7" w:rsidRDefault="00EE048D">
      <w:pPr>
        <w:pStyle w:val="Ttulo2"/>
        <w:spacing w:before="0" w:line="360" w:lineRule="auto"/>
        <w:ind w:right="-704"/>
        <w:rPr>
          <w:rFonts w:ascii="Palatino Linotype" w:eastAsia="Palatino Linotype" w:hAnsi="Palatino Linotype" w:cs="Palatino Linotype"/>
          <w:b/>
          <w:bCs/>
          <w:color w:val="000000"/>
          <w:sz w:val="24"/>
          <w:szCs w:val="24"/>
        </w:rPr>
      </w:pPr>
      <w:bookmarkStart w:id="5" w:name="_heading=h.v5p1sji3zlys" w:colFirst="0" w:colLast="0"/>
      <w:bookmarkEnd w:id="5"/>
      <w:r>
        <w:rPr>
          <w:rFonts w:ascii="Palatino Linotype" w:eastAsia="Palatino Linotype" w:hAnsi="Palatino Linotype" w:cs="Palatino Linotype"/>
          <w:b/>
          <w:bCs/>
          <w:color w:val="000000"/>
          <w:sz w:val="24"/>
          <w:szCs w:val="24"/>
        </w:rPr>
        <w:lastRenderedPageBreak/>
        <w:t>SEGUNDO. De la oportunidad y procedencia.</w:t>
      </w:r>
    </w:p>
    <w:p w:rsidR="00BD5CC7" w:rsidRDefault="00EE048D">
      <w:pPr>
        <w:numPr>
          <w:ilvl w:val="0"/>
          <w:numId w:val="12"/>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veinte de marzo de dos mil veintiséis</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veintitrés de marzo al diecisiete de abril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día </w:t>
      </w:r>
      <w:r>
        <w:rPr>
          <w:rFonts w:ascii="Palatino Linotype" w:eastAsia="Palatino Linotype" w:hAnsi="Palatino Linotype" w:cs="Palatino Linotype"/>
          <w:b/>
          <w:bCs/>
          <w:color w:val="000000"/>
        </w:rPr>
        <w:t>veinticuatro de marzo de dos mil veintiséis</w:t>
      </w:r>
      <w:r>
        <w:rPr>
          <w:rFonts w:ascii="Palatino Linotype" w:eastAsia="Palatino Linotype" w:hAnsi="Palatino Linotype" w:cs="Palatino Linotype"/>
          <w:color w:val="000000"/>
        </w:rPr>
        <w:t>; es decir dentro del lapso legalmente establecido para tal efecto.</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i/>
          <w:iCs/>
          <w:color w:val="000000"/>
        </w:rPr>
      </w:pPr>
    </w:p>
    <w:p w:rsidR="00BD5CC7" w:rsidRDefault="00EE048D">
      <w:pPr>
        <w:numPr>
          <w:ilvl w:val="0"/>
          <w:numId w:val="16"/>
        </w:numPr>
        <w:tabs>
          <w:tab w:val="left" w:pos="426"/>
        </w:tabs>
        <w:spacing w:line="360" w:lineRule="auto"/>
        <w:ind w:left="0" w:right="-704" w:firstLine="0"/>
        <w:jc w:val="both"/>
      </w:pPr>
      <w:r>
        <w:rPr>
          <w:rFonts w:ascii="Palatino Linotype" w:eastAsia="Palatino Linotype" w:hAnsi="Palatino Linotype" w:cs="Palatino Linotype"/>
        </w:rPr>
        <w:t xml:space="preserve">Por otra parte, de la revisión al expediente electrónico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Pr>
          <w:rFonts w:ascii="Palatino Linotype" w:eastAsia="Palatino Linotype" w:hAnsi="Palatino Linotype" w:cs="Palatino Linotype"/>
          <w:b/>
          <w:bCs/>
        </w:rPr>
        <w:t>no proporcionó ningún nombre, seudónimo o carácter para ser identificado, ni se tiene certeza de su identidad</w:t>
      </w:r>
      <w:r>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rsidR="00BD5CC7" w:rsidRDefault="00BD5CC7">
      <w:pPr>
        <w:pBdr>
          <w:top w:val="nil"/>
          <w:left w:val="nil"/>
          <w:bottom w:val="nil"/>
          <w:right w:val="nil"/>
          <w:between w:val="nil"/>
        </w:pBdr>
        <w:tabs>
          <w:tab w:val="left" w:pos="426"/>
        </w:tabs>
        <w:spacing w:line="360" w:lineRule="auto"/>
        <w:ind w:right="-704"/>
        <w:rPr>
          <w:rFonts w:ascii="Palatino Linotype" w:eastAsia="Palatino Linotype" w:hAnsi="Palatino Linotype" w:cs="Palatino Linotype"/>
          <w:color w:val="000000"/>
        </w:rPr>
      </w:pPr>
    </w:p>
    <w:p w:rsidR="00BD5CC7" w:rsidRDefault="00EE048D">
      <w:pPr>
        <w:numPr>
          <w:ilvl w:val="0"/>
          <w:numId w:val="16"/>
        </w:numPr>
        <w:tabs>
          <w:tab w:val="left" w:pos="426"/>
        </w:tabs>
        <w:spacing w:line="360" w:lineRule="auto"/>
        <w:ind w:left="0" w:right="-704" w:firstLine="0"/>
        <w:jc w:val="both"/>
      </w:pPr>
      <w:r>
        <w:rPr>
          <w:rFonts w:ascii="Palatino Linotype" w:eastAsia="Palatino Linotype" w:hAnsi="Palatino Linotype" w:cs="Palatino Linotype"/>
        </w:rPr>
        <w:t xml:space="preserve">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w:t>
      </w:r>
      <w:r>
        <w:rPr>
          <w:rFonts w:ascii="Palatino Linotype" w:eastAsia="Palatino Linotype" w:hAnsi="Palatino Linotype" w:cs="Palatino Linotype"/>
        </w:rPr>
        <w:lastRenderedPageBreak/>
        <w:t>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BD5CC7" w:rsidRDefault="00BD5CC7">
      <w:pPr>
        <w:pBdr>
          <w:top w:val="nil"/>
          <w:left w:val="nil"/>
          <w:bottom w:val="nil"/>
          <w:right w:val="nil"/>
          <w:between w:val="nil"/>
        </w:pBdr>
        <w:ind w:right="-704"/>
        <w:rPr>
          <w:rFonts w:ascii="Palatino Linotype" w:eastAsia="Palatino Linotype" w:hAnsi="Palatino Linotype" w:cs="Palatino Linotype"/>
          <w:color w:val="000000"/>
        </w:rPr>
      </w:pPr>
    </w:p>
    <w:p w:rsidR="00BD5CC7" w:rsidRDefault="00EE048D">
      <w:pPr>
        <w:numPr>
          <w:ilvl w:val="0"/>
          <w:numId w:val="16"/>
        </w:numPr>
        <w:tabs>
          <w:tab w:val="left" w:pos="426"/>
        </w:tabs>
        <w:spacing w:line="360" w:lineRule="auto"/>
        <w:ind w:left="0" w:right="-704" w:firstLine="0"/>
        <w:jc w:val="both"/>
      </w:pPr>
      <w:r>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BD5CC7" w:rsidRDefault="00BD5CC7">
      <w:pPr>
        <w:pBdr>
          <w:top w:val="nil"/>
          <w:left w:val="nil"/>
          <w:bottom w:val="nil"/>
          <w:right w:val="nil"/>
          <w:between w:val="nil"/>
        </w:pBdr>
        <w:tabs>
          <w:tab w:val="left" w:pos="426"/>
        </w:tabs>
        <w:spacing w:line="360" w:lineRule="auto"/>
        <w:ind w:right="-704"/>
        <w:rPr>
          <w:rFonts w:ascii="Palatino Linotype" w:eastAsia="Palatino Linotype" w:hAnsi="Palatino Linotype" w:cs="Palatino Linotype"/>
          <w:color w:val="000000"/>
        </w:rPr>
      </w:pPr>
    </w:p>
    <w:p w:rsidR="00BD5CC7" w:rsidRDefault="00EE048D">
      <w:pPr>
        <w:numPr>
          <w:ilvl w:val="0"/>
          <w:numId w:val="16"/>
        </w:numPr>
        <w:tabs>
          <w:tab w:val="left" w:pos="426"/>
        </w:tabs>
        <w:spacing w:line="360" w:lineRule="auto"/>
        <w:ind w:left="0" w:right="-704" w:firstLine="0"/>
        <w:jc w:val="both"/>
      </w:pPr>
      <w:r>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BD5CC7" w:rsidRDefault="00BD5CC7">
      <w:pPr>
        <w:pBdr>
          <w:top w:val="nil"/>
          <w:left w:val="nil"/>
          <w:bottom w:val="nil"/>
          <w:right w:val="nil"/>
          <w:between w:val="nil"/>
        </w:pBdr>
        <w:tabs>
          <w:tab w:val="left" w:pos="426"/>
        </w:tabs>
        <w:spacing w:line="360" w:lineRule="auto"/>
        <w:ind w:right="-704"/>
        <w:rPr>
          <w:rFonts w:ascii="Palatino Linotype" w:eastAsia="Palatino Linotype" w:hAnsi="Palatino Linotype" w:cs="Palatino Linotype"/>
          <w:color w:val="000000"/>
        </w:rPr>
      </w:pPr>
    </w:p>
    <w:p w:rsidR="00BD5CC7" w:rsidRDefault="00EE048D">
      <w:pPr>
        <w:numPr>
          <w:ilvl w:val="0"/>
          <w:numId w:val="16"/>
        </w:numPr>
        <w:tabs>
          <w:tab w:val="left" w:pos="426"/>
        </w:tabs>
        <w:spacing w:line="360" w:lineRule="auto"/>
        <w:ind w:left="0" w:right="-704" w:firstLine="0"/>
        <w:jc w:val="both"/>
      </w:pPr>
      <w:r>
        <w:rPr>
          <w:rFonts w:ascii="Palatino Linotype" w:eastAsia="Palatino Linotype" w:hAnsi="Palatino Linotype" w:cs="Palatino Linotype"/>
        </w:rPr>
        <w:t xml:space="preserve">Por lo que el nombre del </w:t>
      </w:r>
      <w:r>
        <w:rPr>
          <w:rFonts w:ascii="Palatino Linotype" w:eastAsia="Palatino Linotype" w:hAnsi="Palatino Linotype" w:cs="Palatino Linotype"/>
          <w:b/>
          <w:bCs/>
        </w:rPr>
        <w:t>SOLICITANTE</w:t>
      </w:r>
      <w:r>
        <w:rPr>
          <w:rFonts w:ascii="Palatino Linotype" w:eastAsia="Palatino Linotype" w:hAnsi="Palatino Linotype" w:cs="Palatino Linotype"/>
        </w:rPr>
        <w:t xml:space="preserve"> y subsecuente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numPr>
          <w:ilvl w:val="0"/>
          <w:numId w:val="16"/>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Asimismo, el escrito contiene las formalidades previstas por el artículo 180 último párrafo de la Ley de la materia actual, por lo que es procedente que este Instituto de </w:t>
      </w:r>
      <w:r>
        <w:rPr>
          <w:rFonts w:ascii="Palatino Linotype" w:eastAsia="Palatino Linotype" w:hAnsi="Palatino Linotype" w:cs="Palatino Linotype"/>
          <w:color w:val="000000"/>
        </w:rPr>
        <w:lastRenderedPageBreak/>
        <w:t>Transparencia, Acceso a la Información Pública y Protección de Datos Personales del Estado de México y Municipios, conozca y resuelva el presente recurso.</w:t>
      </w:r>
    </w:p>
    <w:p w:rsidR="00BD5CC7" w:rsidRDefault="00BD5CC7">
      <w:pPr>
        <w:pStyle w:val="Ttulo2"/>
        <w:spacing w:before="0" w:line="360" w:lineRule="auto"/>
        <w:ind w:right="-704"/>
        <w:rPr>
          <w:rFonts w:ascii="Palatino Linotype" w:eastAsia="Palatino Linotype" w:hAnsi="Palatino Linotype" w:cs="Palatino Linotype"/>
          <w:b/>
          <w:bCs/>
          <w:color w:val="000000"/>
          <w:sz w:val="24"/>
          <w:szCs w:val="24"/>
        </w:rPr>
      </w:pPr>
      <w:bookmarkStart w:id="6" w:name="_heading=h.86eupfb2wdec" w:colFirst="0" w:colLast="0"/>
      <w:bookmarkEnd w:id="6"/>
    </w:p>
    <w:p w:rsidR="00BD5CC7" w:rsidRDefault="00EE048D">
      <w:pPr>
        <w:pStyle w:val="Ttulo2"/>
        <w:spacing w:before="0" w:line="360" w:lineRule="auto"/>
        <w:ind w:right="-704"/>
        <w:rPr>
          <w:rFonts w:ascii="Palatino Linotype" w:eastAsia="Palatino Linotype" w:hAnsi="Palatino Linotype" w:cs="Palatino Linotype"/>
          <w:b/>
          <w:bCs/>
          <w:color w:val="000000"/>
          <w:sz w:val="24"/>
          <w:szCs w:val="24"/>
        </w:rPr>
      </w:pPr>
      <w:bookmarkStart w:id="7" w:name="_heading=h.ifq2dqv2vkek" w:colFirst="0" w:colLast="0"/>
      <w:bookmarkEnd w:id="7"/>
      <w:r>
        <w:rPr>
          <w:rFonts w:ascii="Palatino Linotype" w:eastAsia="Palatino Linotype" w:hAnsi="Palatino Linotype" w:cs="Palatino Linotype"/>
          <w:b/>
          <w:bCs/>
          <w:color w:val="000000"/>
          <w:sz w:val="24"/>
          <w:szCs w:val="24"/>
        </w:rPr>
        <w:t>TERCERO. Del planteamiento de la Litis</w:t>
      </w:r>
    </w:p>
    <w:p w:rsidR="00BD5CC7" w:rsidRDefault="00EE048D">
      <w:pPr>
        <w:numPr>
          <w:ilvl w:val="0"/>
          <w:numId w:val="16"/>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BD5CC7" w:rsidRDefault="00EE048D">
      <w:pPr>
        <w:ind w:left="567" w:right="-704"/>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 Respecto de establecimientos dedicados </w:t>
      </w:r>
      <w:r>
        <w:rPr>
          <w:rFonts w:ascii="Palatino Linotype" w:eastAsia="Palatino Linotype" w:hAnsi="Palatino Linotype" w:cs="Palatino Linotype"/>
          <w:i/>
          <w:iCs/>
        </w:rPr>
        <w:t>a la venta de pinturas, especificando todos los giros comerciales relacionados, incluyendo pintura para el hogar o arquitectónica (vinílica, esmalte, acrílica, impermeabilizante), pintura automotriz, pintura industrial, recubrimientos y acabados, barnices, lacas, selladores, primarios, aerosoles, pinturas especiales, ecológicas o técnicas, así como pinturas artísticas y cualquier otro producto destinado al recubrimiento o protección de superficies:</w:t>
      </w:r>
    </w:p>
    <w:p w:rsidR="00BD5CC7" w:rsidRDefault="00EE048D">
      <w:pPr>
        <w:numPr>
          <w:ilvl w:val="1"/>
          <w:numId w:val="6"/>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Tarifa real en pesos mexicanos correspondiente al costo de la Licencia de Funcionamiento para el ejercicio fiscal 2026;</w:t>
      </w:r>
    </w:p>
    <w:p w:rsidR="00BD5CC7" w:rsidRDefault="00EE048D">
      <w:pPr>
        <w:numPr>
          <w:ilvl w:val="1"/>
          <w:numId w:val="6"/>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Costo base; </w:t>
      </w:r>
    </w:p>
    <w:p w:rsidR="00BD5CC7" w:rsidRDefault="00EE048D">
      <w:pPr>
        <w:numPr>
          <w:ilvl w:val="1"/>
          <w:numId w:val="6"/>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Cuotas adicionales en su caso, </w:t>
      </w:r>
    </w:p>
    <w:p w:rsidR="00BD5CC7" w:rsidRDefault="00EE048D">
      <w:pPr>
        <w:numPr>
          <w:ilvl w:val="1"/>
          <w:numId w:val="6"/>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Criterios de clasificación del giro, forma de cálculo (por metros cuadrados, zona o actividad específica);</w:t>
      </w:r>
    </w:p>
    <w:p w:rsidR="00BD5CC7" w:rsidRDefault="00EE048D">
      <w:pPr>
        <w:numPr>
          <w:ilvl w:val="0"/>
          <w:numId w:val="8"/>
        </w:numPr>
        <w:pBdr>
          <w:top w:val="nil"/>
          <w:left w:val="nil"/>
          <w:bottom w:val="nil"/>
          <w:right w:val="nil"/>
          <w:between w:val="nil"/>
        </w:pBdr>
        <w:ind w:left="426"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 Fundamento legal, reglamentario o acuerdo de cabildo que sustente dicha tarifa</w:t>
      </w:r>
    </w:p>
    <w:p w:rsidR="00BD5CC7" w:rsidRDefault="00BD5CC7">
      <w:pPr>
        <w:ind w:left="709" w:right="-704"/>
        <w:jc w:val="both"/>
        <w:rPr>
          <w:rFonts w:ascii="Palatino Linotype" w:eastAsia="Palatino Linotype" w:hAnsi="Palatino Linotype" w:cs="Palatino Linotype"/>
          <w:color w:val="000000"/>
        </w:rPr>
      </w:pP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spacing w:line="360" w:lineRule="auto"/>
        <w:ind w:right="-704"/>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lo que, el particular se inconformó porque la negativa a la entrega de la información  por parte del  </w:t>
      </w:r>
      <w:r>
        <w:rPr>
          <w:rFonts w:ascii="Palatino Linotype" w:eastAsia="Palatino Linotype" w:hAnsi="Palatino Linotype" w:cs="Palatino Linotype"/>
          <w:b/>
          <w:bCs/>
        </w:rPr>
        <w:t>SUJETO OBLIGADO.</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entrega </w:t>
      </w:r>
      <w:r>
        <w:rPr>
          <w:rFonts w:ascii="Palatino Linotype" w:eastAsia="Palatino Linotype" w:hAnsi="Palatino Linotype" w:cs="Palatino Linotype"/>
        </w:rPr>
        <w:t xml:space="preserve">o puesta a disposición de información en una modalidad o </w:t>
      </w:r>
      <w:r>
        <w:rPr>
          <w:rFonts w:ascii="Palatino Linotype" w:eastAsia="Palatino Linotype" w:hAnsi="Palatino Linotype" w:cs="Palatino Linotype"/>
        </w:rPr>
        <w:lastRenderedPageBreak/>
        <w:t>formato distinto al solicitado.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r>
        <w:rPr>
          <w:rFonts w:ascii="Palatino Linotype" w:eastAsia="Palatino Linotype" w:hAnsi="Palatino Linotype" w:cs="Palatino Linotype"/>
          <w:color w:val="000000"/>
        </w:rPr>
        <w:t xml:space="preserve"> </w:t>
      </w:r>
    </w:p>
    <w:p w:rsidR="00BD5CC7" w:rsidRDefault="00BD5CC7">
      <w:pPr>
        <w:pBdr>
          <w:top w:val="nil"/>
          <w:left w:val="nil"/>
          <w:bottom w:val="nil"/>
          <w:right w:val="nil"/>
          <w:between w:val="nil"/>
        </w:pBdr>
        <w:ind w:left="720" w:right="-704"/>
        <w:rPr>
          <w:rFonts w:ascii="Palatino Linotype" w:eastAsia="Palatino Linotype" w:hAnsi="Palatino Linotype" w:cs="Palatino Linotype"/>
          <w:color w:val="000000"/>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color w:val="000000"/>
        </w:rPr>
        <w:t xml:space="preserve">De modo tal que el presente recurso de revisión se abocará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 la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BD5CC7" w:rsidRDefault="00BD5CC7">
      <w:pPr>
        <w:pStyle w:val="Ttulo2"/>
        <w:spacing w:before="0" w:line="360" w:lineRule="auto"/>
        <w:ind w:right="-704"/>
        <w:rPr>
          <w:rFonts w:ascii="Palatino Linotype" w:eastAsia="Palatino Linotype" w:hAnsi="Palatino Linotype" w:cs="Palatino Linotype"/>
          <w:b/>
          <w:bCs/>
          <w:color w:val="000000"/>
          <w:sz w:val="24"/>
          <w:szCs w:val="24"/>
        </w:rPr>
      </w:pPr>
    </w:p>
    <w:p w:rsidR="00BD5CC7" w:rsidRDefault="00EE048D">
      <w:pPr>
        <w:pStyle w:val="Ttulo2"/>
        <w:spacing w:before="0" w:line="360" w:lineRule="auto"/>
        <w:ind w:right="-704"/>
        <w:rPr>
          <w:rFonts w:ascii="Palatino Linotype" w:eastAsia="Palatino Linotype" w:hAnsi="Palatino Linotype" w:cs="Palatino Linotype"/>
          <w:b/>
          <w:bCs/>
          <w:color w:val="000000"/>
          <w:sz w:val="24"/>
          <w:szCs w:val="24"/>
          <w:highlight w:val="white"/>
        </w:rPr>
      </w:pPr>
      <w:r>
        <w:rPr>
          <w:rFonts w:ascii="Palatino Linotype" w:eastAsia="Palatino Linotype" w:hAnsi="Palatino Linotype" w:cs="Palatino Linotype"/>
          <w:b/>
          <w:bCs/>
          <w:color w:val="000000"/>
          <w:sz w:val="24"/>
          <w:szCs w:val="24"/>
          <w:highlight w:val="white"/>
        </w:rPr>
        <w:t>CUARTO. Del estudio y resolución del asunto.</w:t>
      </w:r>
    </w:p>
    <w:p w:rsidR="00BD5CC7" w:rsidRDefault="00EE048D">
      <w:pPr>
        <w:pStyle w:val="Ttulo1"/>
        <w:numPr>
          <w:ilvl w:val="0"/>
          <w:numId w:val="3"/>
        </w:numPr>
        <w:spacing w:before="0" w:after="240"/>
        <w:ind w:left="786" w:right="-704" w:hanging="360"/>
        <w:rPr>
          <w:rFonts w:ascii="Palatino Linotype" w:eastAsia="Palatino Linotype" w:hAnsi="Palatino Linotype" w:cs="Palatino Linotype"/>
          <w:b/>
          <w:bCs/>
          <w:color w:val="000000"/>
          <w:sz w:val="24"/>
          <w:szCs w:val="24"/>
        </w:rPr>
      </w:pPr>
      <w:bookmarkStart w:id="8" w:name="_heading=h.2s8eyo1" w:colFirst="0" w:colLast="0"/>
      <w:bookmarkEnd w:id="8"/>
      <w:r>
        <w:rPr>
          <w:rFonts w:ascii="Palatino Linotype" w:eastAsia="Palatino Linotype" w:hAnsi="Palatino Linotype" w:cs="Palatino Linotype"/>
          <w:b/>
          <w:bCs/>
          <w:color w:val="000000"/>
          <w:sz w:val="24"/>
          <w:szCs w:val="24"/>
        </w:rPr>
        <w:t>Del derecho de acceso a la información.</w:t>
      </w:r>
    </w:p>
    <w:p w:rsidR="00BD5CC7" w:rsidRDefault="00EE048D">
      <w:pPr>
        <w:numPr>
          <w:ilvl w:val="0"/>
          <w:numId w:val="17"/>
        </w:numPr>
        <w:spacing w:line="360" w:lineRule="auto"/>
        <w:ind w:left="0" w:right="-704" w:firstLine="0"/>
        <w:jc w:val="both"/>
        <w:rPr>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D5CC7" w:rsidRDefault="00BD5CC7">
      <w:pPr>
        <w:spacing w:line="360" w:lineRule="auto"/>
        <w:ind w:right="-704"/>
        <w:jc w:val="both"/>
        <w:rPr>
          <w:rFonts w:ascii="Palatino Linotype" w:eastAsia="Palatino Linotype" w:hAnsi="Palatino Linotype" w:cs="Palatino Linotype"/>
          <w:color w:val="000000"/>
        </w:rPr>
      </w:pPr>
    </w:p>
    <w:p w:rsidR="00BD5CC7" w:rsidRDefault="00EE048D">
      <w:pPr>
        <w:numPr>
          <w:ilvl w:val="0"/>
          <w:numId w:val="17"/>
        </w:numPr>
        <w:spacing w:before="240" w:line="360" w:lineRule="auto"/>
        <w:ind w:left="0" w:right="-704" w:firstLine="0"/>
        <w:jc w:val="both"/>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Pr>
          <w:rFonts w:ascii="Palatino Linotype" w:eastAsia="Palatino Linotype" w:hAnsi="Palatino Linotype" w:cs="Palatino Linotype"/>
          <w:i/>
          <w:iCs/>
          <w:color w:val="000000"/>
        </w:rPr>
        <w:lastRenderedPageBreak/>
        <w:t>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BD5CC7" w:rsidRDefault="00EE048D">
      <w:pPr>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BD5CC7" w:rsidRDefault="00EE048D">
      <w:pPr>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D5CC7" w:rsidRDefault="00EE048D">
      <w:pPr>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D5CC7" w:rsidRDefault="00EE048D">
      <w:pPr>
        <w:ind w:left="1134" w:right="-704"/>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BD5CC7" w:rsidRDefault="00BD5CC7">
      <w:pPr>
        <w:ind w:right="-704"/>
        <w:jc w:val="both"/>
        <w:rPr>
          <w:rFonts w:ascii="Palatino Linotype" w:eastAsia="Palatino Linotype" w:hAnsi="Palatino Linotype" w:cs="Palatino Linotype"/>
          <w:b/>
          <w:bCs/>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BD5CC7" w:rsidRDefault="00EE048D">
      <w:pPr>
        <w:spacing w:after="240"/>
        <w:ind w:left="1134" w:right="-70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BD5CC7" w:rsidRDefault="00EE048D">
      <w:pPr>
        <w:spacing w:before="240" w:after="240"/>
        <w:ind w:left="1134" w:right="-70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BD5CC7" w:rsidRDefault="00EE048D">
      <w:pPr>
        <w:spacing w:before="240" w:after="240"/>
        <w:ind w:left="1134" w:right="-70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D5CC7" w:rsidRDefault="00BD5CC7">
      <w:pPr>
        <w:pBdr>
          <w:top w:val="nil"/>
          <w:left w:val="nil"/>
          <w:bottom w:val="nil"/>
          <w:right w:val="nil"/>
          <w:between w:val="nil"/>
        </w:pBdr>
        <w:tabs>
          <w:tab w:val="left" w:pos="567"/>
        </w:tabs>
        <w:spacing w:before="240" w:after="240"/>
        <w:ind w:left="1134" w:right="-704"/>
        <w:jc w:val="both"/>
        <w:rPr>
          <w:rFonts w:ascii="Palatino Linotype" w:eastAsia="Palatino Linotype" w:hAnsi="Palatino Linotype" w:cs="Palatino Linotype"/>
          <w:b/>
          <w:bCs/>
          <w:i/>
          <w:iCs/>
          <w:color w:val="000000"/>
        </w:rPr>
      </w:pPr>
    </w:p>
    <w:p w:rsidR="00BD5CC7" w:rsidRDefault="00EE048D">
      <w:pPr>
        <w:spacing w:before="240" w:after="240"/>
        <w:ind w:left="1134" w:right="-70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BD5CC7" w:rsidRDefault="00EE048D">
      <w:pPr>
        <w:spacing w:before="240" w:after="240"/>
        <w:ind w:left="1134" w:right="-704"/>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D5CC7" w:rsidRDefault="00BD5CC7">
      <w:pPr>
        <w:tabs>
          <w:tab w:val="left" w:pos="567"/>
        </w:tabs>
        <w:spacing w:before="240" w:after="240"/>
        <w:ind w:right="-704"/>
        <w:jc w:val="both"/>
        <w:rPr>
          <w:rFonts w:ascii="Palatino Linotype" w:eastAsia="Palatino Linotype" w:hAnsi="Palatino Linotype" w:cs="Palatino Linotype"/>
          <w:b/>
          <w:bCs/>
          <w:i/>
          <w:iCs/>
        </w:rPr>
      </w:pPr>
    </w:p>
    <w:p w:rsidR="00BD5CC7" w:rsidRDefault="00EE048D">
      <w:pPr>
        <w:numPr>
          <w:ilvl w:val="0"/>
          <w:numId w:val="17"/>
        </w:numPr>
        <w:spacing w:before="240" w:line="360" w:lineRule="auto"/>
        <w:ind w:left="0" w:right="-704"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spacing w:line="360" w:lineRule="auto"/>
        <w:ind w:left="0" w:right="-704" w:firstLine="0"/>
        <w:jc w:val="both"/>
      </w:pPr>
      <w:bookmarkStart w:id="9" w:name="_heading=h.17dp8vu" w:colFirst="0" w:colLast="0"/>
      <w:bookmarkEnd w:id="9"/>
      <w:r>
        <w:rPr>
          <w:rFonts w:ascii="Palatino Linotype" w:eastAsia="Palatino Linotype" w:hAnsi="Palatino Linotype" w:cs="Palatino Linotype"/>
        </w:rPr>
        <w:lastRenderedPageBreak/>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pStyle w:val="Ttulo1"/>
        <w:spacing w:before="0" w:after="240" w:line="360" w:lineRule="auto"/>
        <w:ind w:right="-704"/>
        <w:rPr>
          <w:rFonts w:ascii="Palatino Linotype" w:eastAsia="Palatino Linotype" w:hAnsi="Palatino Linotype" w:cs="Palatino Linotype"/>
          <w:b/>
          <w:bCs/>
          <w:color w:val="000000"/>
          <w:sz w:val="24"/>
          <w:szCs w:val="24"/>
        </w:rPr>
      </w:pPr>
      <w:bookmarkStart w:id="10" w:name="_heading=h.3rdcrjn" w:colFirst="0" w:colLast="0"/>
      <w:bookmarkEnd w:id="10"/>
      <w:r>
        <w:rPr>
          <w:rFonts w:ascii="Palatino Linotype" w:eastAsia="Palatino Linotype" w:hAnsi="Palatino Linotype" w:cs="Palatino Linotype"/>
          <w:b/>
          <w:bCs/>
          <w:color w:val="000000"/>
          <w:sz w:val="24"/>
          <w:szCs w:val="24"/>
        </w:rPr>
        <w:t>II. De la información solicitada y la respuesta del SUJETO OBLIGADO</w:t>
      </w: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porque no se le entrega la información.</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t xml:space="preserve">En ese sentido, es importante recordar la información que fue solicitada por el </w:t>
      </w:r>
      <w:r>
        <w:rPr>
          <w:rFonts w:ascii="Palatino Linotype" w:eastAsia="Palatino Linotype" w:hAnsi="Palatino Linotype" w:cs="Palatino Linotype"/>
          <w:b/>
          <w:bCs/>
        </w:rPr>
        <w:t xml:space="preserve">RECURRENTE. </w:t>
      </w:r>
    </w:p>
    <w:p w:rsidR="00BD5CC7" w:rsidRDefault="00EE048D">
      <w:pPr>
        <w:ind w:left="567" w:right="-704"/>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Respecto de establecimientos dedicados </w:t>
      </w:r>
      <w:r>
        <w:rPr>
          <w:rFonts w:ascii="Palatino Linotype" w:eastAsia="Palatino Linotype" w:hAnsi="Palatino Linotype" w:cs="Palatino Linotype"/>
          <w:i/>
          <w:iCs/>
        </w:rPr>
        <w:t>a la venta de pinturas, incluyendo pintura para el hogar o arquitectónica (vinílica, esmalte, acrílica, impermeabilizante), pintura automotriz, pintura industrial, recubrimientos y acabados, barnices, lacas, selladores, primarios, aerosoles, pinturas especiales, ecológicas o técnicas, así como pinturas artísticas y cualquier otro producto destinado al recubrimiento o protección de superficies:</w:t>
      </w:r>
    </w:p>
    <w:p w:rsidR="00BD5CC7" w:rsidRDefault="00EE048D">
      <w:pPr>
        <w:numPr>
          <w:ilvl w:val="1"/>
          <w:numId w:val="9"/>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Tarifa real en pesos mexicanos correspondiente al costo de la Licencia de Funcionamiento para el ejercicio fiscal 2026;</w:t>
      </w:r>
    </w:p>
    <w:p w:rsidR="00BD5CC7" w:rsidRDefault="00EE048D">
      <w:pPr>
        <w:numPr>
          <w:ilvl w:val="1"/>
          <w:numId w:val="9"/>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Costo base;</w:t>
      </w:r>
    </w:p>
    <w:p w:rsidR="00BD5CC7" w:rsidRDefault="00EE048D">
      <w:pPr>
        <w:numPr>
          <w:ilvl w:val="1"/>
          <w:numId w:val="9"/>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Cuotas adicionales en su caso,</w:t>
      </w:r>
    </w:p>
    <w:p w:rsidR="00BD5CC7" w:rsidRDefault="00EE048D">
      <w:pPr>
        <w:numPr>
          <w:ilvl w:val="1"/>
          <w:numId w:val="9"/>
        </w:numPr>
        <w:pBdr>
          <w:top w:val="nil"/>
          <w:left w:val="nil"/>
          <w:bottom w:val="nil"/>
          <w:right w:val="nil"/>
          <w:between w:val="nil"/>
        </w:pBdr>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Criterios de clasificación del giro, forma de cálculo (por metros cuadrados, zona o actividad específica);</w:t>
      </w:r>
    </w:p>
    <w:p w:rsidR="00BD5CC7" w:rsidRDefault="00EE048D">
      <w:pPr>
        <w:numPr>
          <w:ilvl w:val="1"/>
          <w:numId w:val="9"/>
        </w:numPr>
        <w:pBdr>
          <w:top w:val="nil"/>
          <w:left w:val="nil"/>
          <w:bottom w:val="nil"/>
          <w:right w:val="nil"/>
          <w:between w:val="nil"/>
        </w:pBdr>
        <w:tabs>
          <w:tab w:val="left" w:pos="1276"/>
        </w:tabs>
        <w:ind w:left="709" w:right="-704" w:firstLine="0"/>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Fundamento legal, reglamentario o acuerdo de cabildo que sustente dicha tarifa</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rPr>
        <w:t xml:space="preserve">De lo anterior, la Directora de desarrollo Económico informó que la información requerida puede ser consultada en el siguiente link: </w:t>
      </w:r>
    </w:p>
    <w:p w:rsidR="00BD5CC7" w:rsidRDefault="00EE048D">
      <w:pPr>
        <w:spacing w:line="360" w:lineRule="auto"/>
        <w:ind w:right="-704"/>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lastRenderedPageBreak/>
        <w:drawing>
          <wp:inline distT="0" distB="0" distL="0" distR="0">
            <wp:extent cx="4753638" cy="47631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53638" cy="476316"/>
                    </a:xfrm>
                    <a:prstGeom prst="rect">
                      <a:avLst/>
                    </a:prstGeom>
                    <a:ln/>
                  </pic:spPr>
                </pic:pic>
              </a:graphicData>
            </a:graphic>
          </wp:inline>
        </w:drawing>
      </w:r>
    </w:p>
    <w:p w:rsidR="00BD5CC7" w:rsidRDefault="00BD5CC7">
      <w:pPr>
        <w:spacing w:line="360" w:lineRule="auto"/>
        <w:ind w:right="-704"/>
        <w:jc w:val="center"/>
        <w:rPr>
          <w:rFonts w:ascii="Palatino Linotype" w:eastAsia="Palatino Linotype" w:hAnsi="Palatino Linotype" w:cs="Palatino Linotype"/>
          <w:i/>
          <w:iCs/>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w:t>
      </w:r>
      <w:r>
        <w:rPr>
          <w:rFonts w:ascii="Palatino Linotype" w:eastAsia="Palatino Linotype" w:hAnsi="Palatino Linotype" w:cs="Palatino Linotype"/>
        </w:rPr>
        <w:t>esté</w:t>
      </w:r>
      <w:r>
        <w:rPr>
          <w:rFonts w:ascii="Palatino Linotype" w:eastAsia="Palatino Linotype" w:hAnsi="Palatino Linotype" w:cs="Palatino Linotype"/>
          <w:color w:val="000000"/>
        </w:rPr>
        <w:t xml:space="preserve"> reconoce contar con la misma.</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Al respecto, se precisa que se obvia el análisis de la competencia por parte del SUJETO OBLIGADO, para generar, administrar o poseer la información solicitada, dado que éste ha asumido la misma, en razón de que en su respuesta admitió contar con dicha información.</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12. Quienes generen, recopilen, administren, manejen, procesen, archiven o conserven información pública serán responsables de la misma en los términos de las disposiciones jurídicas aplicables.</w:t>
      </w:r>
    </w:p>
    <w:p w:rsidR="00BD5CC7" w:rsidRDefault="00BD5CC7">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lastRenderedPageBreak/>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Ahora bien es necesario precisar que la Ley de Transparencia y Acceso a la Información Pública del Estado de México y Municipios establece en su artículo 11 que en </w:t>
      </w:r>
      <w:r>
        <w:rPr>
          <w:rFonts w:ascii="Palatino Linotype" w:eastAsia="Palatino Linotype" w:hAnsi="Palatino Linotype" w:cs="Palatino Linotype"/>
          <w:i/>
          <w:iCs/>
          <w:color w:val="000000"/>
        </w:rPr>
        <w:t xml:space="preserve">la entrega de la información se deberá garantizar que ésta sea </w:t>
      </w:r>
      <w:r>
        <w:rPr>
          <w:rFonts w:ascii="Palatino Linotype" w:eastAsia="Palatino Linotype" w:hAnsi="Palatino Linotype" w:cs="Palatino Linotype"/>
          <w:b/>
          <w:bCs/>
          <w:i/>
          <w:iCs/>
          <w:color w:val="000000"/>
        </w:rPr>
        <w:t>accesible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actualizada, completa,</w:t>
      </w:r>
      <w:r>
        <w:rPr>
          <w:rFonts w:ascii="Palatino Linotype" w:eastAsia="Palatino Linotype" w:hAnsi="Palatino Linotype" w:cs="Palatino Linotype"/>
          <w:i/>
          <w:iCs/>
          <w:color w:val="000000"/>
        </w:rPr>
        <w:t xml:space="preserve"> congruente, confiable, </w:t>
      </w:r>
      <w:r>
        <w:rPr>
          <w:rFonts w:ascii="Palatino Linotype" w:eastAsia="Palatino Linotype" w:hAnsi="Palatino Linotype" w:cs="Palatino Linotype"/>
          <w:b/>
          <w:bCs/>
          <w:i/>
          <w:iCs/>
          <w:color w:val="000000"/>
        </w:rPr>
        <w:t>verificable</w:t>
      </w:r>
      <w:r>
        <w:rPr>
          <w:rFonts w:ascii="Palatino Linotype" w:eastAsia="Palatino Linotype" w:hAnsi="Palatino Linotype" w:cs="Palatino Linotype"/>
          <w:i/>
          <w:iCs/>
          <w:color w:val="000000"/>
        </w:rPr>
        <w:t xml:space="preserve">, veraz, integral, oportuna y expedita. </w:t>
      </w:r>
      <w:r>
        <w:rPr>
          <w:rFonts w:ascii="Palatino Linotype" w:eastAsia="Palatino Linotype" w:hAnsi="Palatino Linotype" w:cs="Palatino Linotype"/>
          <w:color w:val="000000"/>
        </w:rPr>
        <w:t>Asimismo, el artículo 161 de la Ley en comento, refiere lo siguiente:</w:t>
      </w:r>
    </w:p>
    <w:p w:rsidR="00BD5CC7" w:rsidRDefault="00EE048D">
      <w:pPr>
        <w:spacing w:line="276" w:lineRule="auto"/>
        <w:ind w:left="1134" w:right="-70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161. Cuando la información requerida por el solicitante ya esté disponible al público </w:t>
      </w:r>
      <w:r>
        <w:rPr>
          <w:rFonts w:ascii="Palatino Linotype" w:eastAsia="Palatino Linotype" w:hAnsi="Palatino Linotype" w:cs="Palatino Linotype"/>
          <w:i/>
          <w:iCs/>
        </w:rPr>
        <w:t xml:space="preserve">en medios impresos, tales como libros, compendios, trípticos, registros públicos, </w:t>
      </w:r>
      <w:r>
        <w:rPr>
          <w:rFonts w:ascii="Palatino Linotype" w:eastAsia="Palatino Linotype" w:hAnsi="Palatino Linotype" w:cs="Palatino Linotype"/>
          <w:b/>
          <w:bCs/>
          <w:i/>
          <w:iCs/>
        </w:rPr>
        <w:t>en formatos electrónicos</w:t>
      </w:r>
      <w:r>
        <w:rPr>
          <w:rFonts w:ascii="Palatino Linotype" w:eastAsia="Palatino Linotype" w:hAnsi="Palatino Linotype" w:cs="Palatino Linotype"/>
          <w:i/>
          <w:iCs/>
        </w:rPr>
        <w:t xml:space="preserve"> disponibles en Internet o en cualquier otro medio, </w:t>
      </w:r>
      <w:r>
        <w:rPr>
          <w:rFonts w:ascii="Palatino Linotype" w:eastAsia="Palatino Linotype" w:hAnsi="Palatino Linotype" w:cs="Palatino Linotype"/>
          <w:b/>
          <w:bCs/>
          <w:i/>
          <w:iC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BD5CC7" w:rsidRDefault="00EE048D">
      <w:pPr>
        <w:spacing w:line="276" w:lineRule="auto"/>
        <w:ind w:left="1134" w:right="-70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(Énfasis añadido)</w:t>
      </w:r>
    </w:p>
    <w:p w:rsidR="00BD5CC7" w:rsidRDefault="00BD5CC7">
      <w:pPr>
        <w:spacing w:line="360" w:lineRule="auto"/>
        <w:ind w:left="567" w:right="-704"/>
        <w:jc w:val="both"/>
        <w:rPr>
          <w:rFonts w:ascii="Palatino Linotype" w:eastAsia="Palatino Linotype" w:hAnsi="Palatino Linotype" w:cs="Palatino Linotype"/>
          <w:b/>
          <w:bCs/>
          <w:i/>
          <w:iCs/>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w:t>
      </w:r>
      <w:r>
        <w:rPr>
          <w:rFonts w:ascii="Palatino Linotype" w:eastAsia="Palatino Linotype" w:hAnsi="Palatino Linotype" w:cs="Palatino Linotype"/>
          <w:color w:val="000000"/>
        </w:rPr>
        <w:lastRenderedPageBreak/>
        <w:t xml:space="preserve">obra la información solicitada. </w:t>
      </w:r>
      <w:r>
        <w:rPr>
          <w:rFonts w:ascii="Palatino Linotype" w:eastAsia="Palatino Linotype" w:hAnsi="Palatino Linotype" w:cs="Palatino Linotype"/>
          <w:b/>
          <w:bCs/>
          <w:color w:val="000000"/>
        </w:rPr>
        <w:t>Esta dirección electrónica debe ser precisa, de tal modo que no implique realizar una búsqueda en toda la información que ahí se encuentre, debiendo cumplir</w:t>
      </w:r>
      <w:r>
        <w:rPr>
          <w:rFonts w:ascii="Palatino Linotype" w:eastAsia="Palatino Linotype" w:hAnsi="Palatino Linotype" w:cs="Palatino Linotype"/>
          <w:color w:val="000000"/>
        </w:rPr>
        <w:t xml:space="preserve"> una serie de requisitos, a saber:</w:t>
      </w:r>
    </w:p>
    <w:p w:rsidR="00BD5CC7" w:rsidRDefault="00EE048D">
      <w:pPr>
        <w:numPr>
          <w:ilvl w:val="0"/>
          <w:numId w:val="19"/>
        </w:numPr>
        <w:pBdr>
          <w:top w:val="nil"/>
          <w:left w:val="nil"/>
          <w:bottom w:val="nil"/>
          <w:right w:val="nil"/>
          <w:between w:val="nil"/>
        </w:pBdr>
        <w:spacing w:line="360" w:lineRule="auto"/>
        <w:ind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dirección electrónica debe señalarse en un plazo no mayor a cinco días hábiles;</w:t>
      </w:r>
    </w:p>
    <w:p w:rsidR="00BD5CC7" w:rsidRDefault="00EE048D">
      <w:pPr>
        <w:numPr>
          <w:ilvl w:val="0"/>
          <w:numId w:val="19"/>
        </w:numPr>
        <w:pBdr>
          <w:top w:val="nil"/>
          <w:left w:val="nil"/>
          <w:bottom w:val="nil"/>
          <w:right w:val="nil"/>
          <w:between w:val="nil"/>
        </w:pBdr>
        <w:spacing w:line="360" w:lineRule="auto"/>
        <w:ind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dirección electrónica debe ser precisa, de tal modo que no implique realizar una búsqueda en toda la información que ahí se encuentre; y,</w:t>
      </w:r>
    </w:p>
    <w:p w:rsidR="00BD5CC7" w:rsidRDefault="00EE048D">
      <w:pPr>
        <w:numPr>
          <w:ilvl w:val="0"/>
          <w:numId w:val="19"/>
        </w:numPr>
        <w:pBdr>
          <w:top w:val="nil"/>
          <w:left w:val="nil"/>
          <w:bottom w:val="nil"/>
          <w:right w:val="nil"/>
          <w:between w:val="nil"/>
        </w:pBdr>
        <w:spacing w:line="360" w:lineRule="auto"/>
        <w:ind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dirección electrónica debe ir acompañada del procedimiento a seguir, en caso de que la información se encuentre en distintos puntos del sitio electrónico referido; y,</w:t>
      </w:r>
    </w:p>
    <w:p w:rsidR="00BD5CC7" w:rsidRDefault="00EE048D">
      <w:pPr>
        <w:numPr>
          <w:ilvl w:val="0"/>
          <w:numId w:val="19"/>
        </w:numPr>
        <w:pBdr>
          <w:top w:val="nil"/>
          <w:left w:val="nil"/>
          <w:bottom w:val="nil"/>
          <w:right w:val="nil"/>
          <w:between w:val="nil"/>
        </w:pBdr>
        <w:spacing w:line="360" w:lineRule="auto"/>
        <w:ind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u w:val="single"/>
        </w:rPr>
        <w:t>La dirección electrónica se debe entregar en formato abierto,</w:t>
      </w:r>
      <w:r>
        <w:rPr>
          <w:rFonts w:ascii="Palatino Linotype" w:eastAsia="Palatino Linotype" w:hAnsi="Palatino Linotype" w:cs="Palatino Linotype"/>
          <w:i/>
          <w:iCs/>
          <w:color w:val="000000"/>
        </w:rPr>
        <w:t xml:space="preserve"> para que el Recurrente pueda copiar y pegar sin la necesidad de transcribir la liga electrónica.</w:t>
      </w:r>
    </w:p>
    <w:p w:rsidR="00215A81" w:rsidRDefault="00215A81" w:rsidP="00215A81">
      <w:pPr>
        <w:pBdr>
          <w:top w:val="nil"/>
          <w:left w:val="nil"/>
          <w:bottom w:val="nil"/>
          <w:right w:val="nil"/>
          <w:between w:val="nil"/>
        </w:pBdr>
        <w:spacing w:line="360" w:lineRule="auto"/>
        <w:ind w:left="720" w:right="-704"/>
        <w:jc w:val="both"/>
        <w:rPr>
          <w:rFonts w:ascii="Palatino Linotype" w:eastAsia="Palatino Linotype" w:hAnsi="Palatino Linotype" w:cs="Palatino Linotype"/>
          <w:i/>
          <w:iCs/>
          <w:color w:val="000000"/>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Ahora bien, de la revisión de esta, se logra vislumbrar que en encuentran en un formato cerrado, es decir, que no se puede copiar y pegar para tener acceso; sobre el tema, Trujillo, Humberto (2019), en el “Diccionario de Transparencia y Acceso a la Información Pública” (p. 136 y 137), precisa que cuando un Sujeto Obligado </w:t>
      </w:r>
      <w:r>
        <w:rPr>
          <w:rFonts w:ascii="Palatino Linotype" w:eastAsia="Palatino Linotype" w:hAnsi="Palatino Linotype" w:cs="Palatino Linotype"/>
        </w:rPr>
        <w:t>proporcionó</w:t>
      </w:r>
      <w:r>
        <w:rPr>
          <w:rFonts w:ascii="Palatino Linotype" w:eastAsia="Palatino Linotype" w:hAnsi="Palatino Linotype" w:cs="Palatino Linotype"/>
          <w:color w:val="000000"/>
        </w:rPr>
        <w:t xml:space="preserve">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lastRenderedPageBreak/>
        <w:t>En ese contexto, el artículo 3°, fracciones VIII y XVI de la Ley de Transparencia y Acceso a la Información Pública del Estado de México y Municipios, precisan lo siguiente:</w:t>
      </w:r>
    </w:p>
    <w:p w:rsidR="00BD5CC7" w:rsidRDefault="00EE048D">
      <w:pPr>
        <w:numPr>
          <w:ilvl w:val="0"/>
          <w:numId w:val="18"/>
        </w:numPr>
        <w:pBdr>
          <w:top w:val="nil"/>
          <w:left w:val="nil"/>
          <w:bottom w:val="nil"/>
          <w:right w:val="nil"/>
          <w:between w:val="nil"/>
        </w:pBdr>
        <w:spacing w:line="276" w:lineRule="auto"/>
        <w:ind w:left="1134" w:right="-70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Dato abierto: </w:t>
      </w:r>
      <w:r>
        <w:rPr>
          <w:rFonts w:ascii="Palatino Linotype" w:eastAsia="Palatino Linotype" w:hAnsi="Palatino Linotype" w:cs="Palatino Linotype"/>
          <w:i/>
          <w:iCs/>
          <w:color w:val="000000"/>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rsidR="00BD5CC7" w:rsidRDefault="00BD5CC7">
      <w:pPr>
        <w:pBdr>
          <w:top w:val="nil"/>
          <w:left w:val="nil"/>
          <w:bottom w:val="nil"/>
          <w:right w:val="nil"/>
          <w:between w:val="nil"/>
        </w:pBdr>
        <w:spacing w:line="276" w:lineRule="auto"/>
        <w:ind w:left="1134" w:right="-704"/>
        <w:jc w:val="both"/>
        <w:rPr>
          <w:rFonts w:ascii="Palatino Linotype" w:eastAsia="Palatino Linotype" w:hAnsi="Palatino Linotype" w:cs="Palatino Linotype"/>
          <w:b/>
          <w:bCs/>
          <w:i/>
          <w:iCs/>
          <w:color w:val="000000"/>
        </w:rPr>
      </w:pPr>
    </w:p>
    <w:p w:rsidR="00BD5CC7" w:rsidRDefault="00EE048D">
      <w:pPr>
        <w:numPr>
          <w:ilvl w:val="0"/>
          <w:numId w:val="18"/>
        </w:numPr>
        <w:pBdr>
          <w:top w:val="nil"/>
          <w:left w:val="nil"/>
          <w:bottom w:val="nil"/>
          <w:right w:val="nil"/>
          <w:between w:val="nil"/>
        </w:pBdr>
        <w:spacing w:line="276" w:lineRule="auto"/>
        <w:ind w:left="1134" w:right="-70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Formato accesible: </w:t>
      </w:r>
      <w:r>
        <w:rPr>
          <w:rFonts w:ascii="Palatino Linotype" w:eastAsia="Palatino Linotype" w:hAnsi="Palatino Linotype" w:cs="Palatino Linotype"/>
          <w:i/>
          <w:iCs/>
          <w:color w:val="000000"/>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estas.</w:t>
      </w:r>
    </w:p>
    <w:p w:rsidR="00BD5CC7" w:rsidRDefault="00BD5CC7">
      <w:pPr>
        <w:pBdr>
          <w:top w:val="nil"/>
          <w:left w:val="nil"/>
          <w:bottom w:val="nil"/>
          <w:right w:val="nil"/>
          <w:between w:val="nil"/>
        </w:pBdr>
        <w:ind w:left="720" w:right="-704"/>
        <w:rPr>
          <w:rFonts w:ascii="Palatino Linotype" w:eastAsia="Palatino Linotype" w:hAnsi="Palatino Linotype" w:cs="Palatino Linotype"/>
          <w:b/>
          <w:bCs/>
          <w:color w:val="000000"/>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 xml:space="preserve">En el presente asunto, la Directora de Desarrollo Económico entregó la dirección electrónica en formato cerrado, lo que propicia que el Recurrente deba transcribir cada uno de los caracteres, lo que facilita a errores y con ello la imposibilidad o dificultad para acceder a la información. </w:t>
      </w:r>
    </w:p>
    <w:p w:rsidR="00BD5CC7" w:rsidRDefault="00BD5CC7">
      <w:pPr>
        <w:pBdr>
          <w:top w:val="nil"/>
          <w:left w:val="nil"/>
          <w:bottom w:val="nil"/>
          <w:right w:val="nil"/>
          <w:between w:val="nil"/>
        </w:pBdr>
        <w:spacing w:line="360" w:lineRule="auto"/>
        <w:ind w:right="-704"/>
        <w:jc w:val="both"/>
        <w:rPr>
          <w:rFonts w:ascii="Palatino Linotype" w:eastAsia="Palatino Linotype" w:hAnsi="Palatino Linotype" w:cs="Palatino Linotype"/>
        </w:rPr>
      </w:pPr>
    </w:p>
    <w:p w:rsidR="00BD5CC7" w:rsidRDefault="00EE048D">
      <w:pPr>
        <w:numPr>
          <w:ilvl w:val="0"/>
          <w:numId w:val="17"/>
        </w:numPr>
        <w:pBdr>
          <w:top w:val="nil"/>
          <w:left w:val="nil"/>
          <w:bottom w:val="nil"/>
          <w:right w:val="nil"/>
          <w:between w:val="nil"/>
        </w:pBdr>
        <w:spacing w:line="360" w:lineRule="auto"/>
        <w:ind w:left="0" w:right="-704" w:firstLine="0"/>
        <w:jc w:val="both"/>
        <w:rPr>
          <w:color w:val="000000"/>
        </w:rPr>
      </w:pPr>
      <w:r>
        <w:rPr>
          <w:rFonts w:ascii="Palatino Linotype" w:eastAsia="Palatino Linotype" w:hAnsi="Palatino Linotype" w:cs="Palatino Linotype"/>
          <w:color w:val="000000"/>
        </w:rPr>
        <w:t>Tal y como se aprecia, la dirección electrónica incumple lo que estipula el artículo 161 antes citado, en razón de lo siguiente:</w:t>
      </w:r>
    </w:p>
    <w:p w:rsidR="00BD5CC7" w:rsidRDefault="00EE048D">
      <w:pPr>
        <w:numPr>
          <w:ilvl w:val="0"/>
          <w:numId w:val="4"/>
        </w:numPr>
        <w:pBdr>
          <w:top w:val="nil"/>
          <w:left w:val="nil"/>
          <w:bottom w:val="nil"/>
          <w:right w:val="nil"/>
          <w:between w:val="nil"/>
        </w:pBdr>
        <w:spacing w:line="360" w:lineRule="auto"/>
        <w:ind w:left="1560" w:right="-70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dirección electrónica se encuentra en formato cerrado, por lo que no resulta accesible para el Recurrente; y,</w:t>
      </w:r>
    </w:p>
    <w:p w:rsidR="00BD5CC7" w:rsidRDefault="00EE048D">
      <w:pPr>
        <w:numPr>
          <w:ilvl w:val="0"/>
          <w:numId w:val="4"/>
        </w:numPr>
        <w:pBdr>
          <w:top w:val="nil"/>
          <w:left w:val="nil"/>
          <w:bottom w:val="nil"/>
          <w:right w:val="nil"/>
          <w:between w:val="nil"/>
        </w:pBdr>
        <w:spacing w:line="360" w:lineRule="auto"/>
        <w:ind w:left="1560" w:right="-70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Se encuentra fuera del plazo de cinco días establecidos para tal efecto.</w:t>
      </w:r>
    </w:p>
    <w:p w:rsidR="00BD5CC7" w:rsidRDefault="00BD5CC7">
      <w:pPr>
        <w:pBdr>
          <w:top w:val="nil"/>
          <w:left w:val="nil"/>
          <w:bottom w:val="nil"/>
          <w:right w:val="nil"/>
          <w:between w:val="nil"/>
        </w:pBdr>
        <w:ind w:left="720" w:right="-704"/>
        <w:jc w:val="center"/>
        <w:rPr>
          <w:rFonts w:ascii="Palatino Linotype" w:eastAsia="Palatino Linotype" w:hAnsi="Palatino Linotype" w:cs="Palatino Linotype"/>
          <w:color w:val="000000"/>
        </w:rPr>
      </w:pPr>
    </w:p>
    <w:p w:rsidR="00BD5CC7" w:rsidRDefault="00EE048D">
      <w:pPr>
        <w:numPr>
          <w:ilvl w:val="0"/>
          <w:numId w:val="17"/>
        </w:numPr>
        <w:spacing w:line="360" w:lineRule="auto"/>
        <w:ind w:left="0" w:right="-704" w:firstLine="0"/>
        <w:jc w:val="both"/>
      </w:pPr>
      <w:r>
        <w:rPr>
          <w:rFonts w:ascii="Palatino Linotype" w:eastAsia="Palatino Linotype" w:hAnsi="Palatino Linotype" w:cs="Palatino Linotype"/>
          <w:b/>
          <w:bCs/>
        </w:rPr>
        <w:t xml:space="preserve"> </w:t>
      </w:r>
      <w:r>
        <w:rPr>
          <w:rFonts w:ascii="Palatino Linotype" w:eastAsia="Palatino Linotype" w:hAnsi="Palatino Linotype" w:cs="Palatino Linotype"/>
        </w:rPr>
        <w:t>De lo anterior, se determina que la respuesta proporcionada por el Sujeto Obligado, no satisface el requerimiento de información y por lo tanto el agravio es FUNDADO; por lo que se considera que, para atender tal requerimiento, el Ayuntamiento de Valle de Bravo deberá  realizar una indagación razonable en los archivos de las unidades administrativas competentes, a efecto de que se proporcione lo señalado en el numeral veintinueve del presente estudio.</w:t>
      </w:r>
      <w:r>
        <w:rPr>
          <w:rFonts w:ascii="Palatino Linotype" w:eastAsia="Palatino Linotype" w:hAnsi="Palatino Linotype" w:cs="Palatino Linotype"/>
          <w:i/>
          <w:iCs/>
        </w:rPr>
        <w:t xml:space="preserve"> </w:t>
      </w:r>
    </w:p>
    <w:p w:rsidR="00BD5CC7" w:rsidRDefault="00BD5CC7">
      <w:pPr>
        <w:spacing w:line="360" w:lineRule="auto"/>
        <w:ind w:right="-704"/>
        <w:jc w:val="both"/>
        <w:rPr>
          <w:rFonts w:ascii="Palatino Linotype" w:eastAsia="Palatino Linotype" w:hAnsi="Palatino Linotype" w:cs="Palatino Linotype"/>
          <w:i/>
          <w:iCs/>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bookmarkStart w:id="11" w:name="_heading=h.m6fg87ay2etd" w:colFirst="0" w:colLast="0"/>
      <w:bookmarkEnd w:id="11"/>
      <w:r>
        <w:rPr>
          <w:rFonts w:ascii="Palatino Linotype" w:eastAsia="Palatino Linotype" w:hAnsi="Palatino Linotype" w:cs="Palatino Linotype"/>
          <w:color w:val="000000"/>
        </w:rPr>
        <w:t>Así mismo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 El derecho humano de acceso a la información pública es la prerrogativa de las personas para buscar, difundir, investigar, recabar, recibir y solicitar información pública, sin necesidad de acreditar personalidad ni interés jurídico. </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w:t>
      </w:r>
      <w:r>
        <w:rPr>
          <w:rFonts w:ascii="Palatino Linotype" w:eastAsia="Palatino Linotype" w:hAnsi="Palatino Linotype" w:cs="Palatino Linotype"/>
          <w:i/>
          <w:iCs/>
          <w:color w:val="000000"/>
        </w:rPr>
        <w:lastRenderedPageBreak/>
        <w:t>Transparencia y Acceso a la Información Pública del Estado de México y Municipios 29 como reservada temporalmente por razones de interés público, en los términos de las causas legítimas y estrictamente necesarias previstas por esta Ley.</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solicitantes.”(Sic)</w:t>
      </w:r>
    </w:p>
    <w:p w:rsidR="00BD5CC7" w:rsidRDefault="00BD5CC7">
      <w:pPr>
        <w:pBdr>
          <w:top w:val="nil"/>
          <w:left w:val="nil"/>
          <w:bottom w:val="nil"/>
          <w:right w:val="nil"/>
          <w:between w:val="nil"/>
        </w:pBdr>
        <w:ind w:left="1134" w:right="-704"/>
        <w:jc w:val="both"/>
        <w:rPr>
          <w:rFonts w:ascii="Palatino Linotype" w:eastAsia="Palatino Linotype" w:hAnsi="Palatino Linotype" w:cs="Palatino Linotype"/>
          <w:i/>
          <w:iCs/>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w:t>
      </w: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BD5CC7" w:rsidRDefault="00BD5CC7">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03/17</w:t>
      </w: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“NO EXISTE OBLIGACIÓN DE ELABORAR DOCUMENTOS AD HOC PARA ATENDER LAS SOLICITUDES DE ACCESO A LA INFORMACIÓN.</w:t>
      </w:r>
    </w:p>
    <w:p w:rsidR="00BD5CC7" w:rsidRDefault="00EE048D">
      <w:pPr>
        <w:pBdr>
          <w:top w:val="nil"/>
          <w:left w:val="nil"/>
          <w:bottom w:val="nil"/>
          <w:right w:val="nil"/>
          <w:between w:val="nil"/>
        </w:pBdr>
        <w:spacing w:line="276" w:lineRule="auto"/>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BD5CC7" w:rsidRDefault="00BD5CC7">
      <w:pPr>
        <w:pBdr>
          <w:top w:val="nil"/>
          <w:left w:val="nil"/>
          <w:bottom w:val="nil"/>
          <w:right w:val="nil"/>
          <w:between w:val="nil"/>
        </w:pBdr>
        <w:ind w:right="-704"/>
        <w:jc w:val="both"/>
        <w:rPr>
          <w:rFonts w:ascii="Palatino Linotype" w:eastAsia="Palatino Linotype" w:hAnsi="Palatino Linotype" w:cs="Palatino Linotype"/>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BD5CC7" w:rsidRDefault="00BD5CC7">
      <w:pPr>
        <w:pBdr>
          <w:top w:val="nil"/>
          <w:left w:val="nil"/>
          <w:bottom w:val="nil"/>
          <w:right w:val="nil"/>
          <w:between w:val="nil"/>
        </w:pBdr>
        <w:ind w:right="-704"/>
        <w:jc w:val="both"/>
        <w:rPr>
          <w:rFonts w:ascii="Palatino Linotype" w:eastAsia="Palatino Linotype" w:hAnsi="Palatino Linotype" w:cs="Palatino Linotype"/>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w:t>
      </w:r>
      <w:r>
        <w:rPr>
          <w:rFonts w:ascii="Palatino Linotype" w:eastAsia="Palatino Linotype" w:hAnsi="Palatino Linotype" w:cs="Palatino Linotype"/>
          <w:b/>
          <w:bCs/>
          <w:i/>
          <w:iCs/>
          <w:color w:val="000000"/>
        </w:rPr>
        <w:t xml:space="preserve">expedientes, reportes, estudios, actas, resoluciones, oficios, correspondencia, acuerdos, </w:t>
      </w:r>
      <w:r>
        <w:rPr>
          <w:rFonts w:ascii="Palatino Linotype" w:eastAsia="Palatino Linotype" w:hAnsi="Palatino Linotype" w:cs="Palatino Linotype"/>
          <w:b/>
          <w:bCs/>
          <w:i/>
          <w:iCs/>
          <w:color w:val="000000"/>
        </w:rPr>
        <w:lastRenderedPageBreak/>
        <w:t>directivas, directrices, circulares, contratos, convenios, instructivos, notas, memorandos, estadísticas o bien, cualquier otro registro que documente el ejercicio de las facultades, funciones y competencias</w:t>
      </w:r>
      <w:r>
        <w:rPr>
          <w:rFonts w:ascii="Palatino Linotype" w:eastAsia="Palatino Linotype" w:hAnsi="Palatino Linotype" w:cs="Palatino Linotype"/>
          <w:color w:val="000000"/>
        </w:rPr>
        <w:t xml:space="preserve"> de los Sujetos Obligados; los que, podrán estar en cualquier medio, sea escrito, impreso, sonoro, visual, electrónico, informático u holográfico de conformidad con el artículo 3, fracción XI de la Ley de la materia, el cual señala lo siguiente: </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3. Para los efectos de la presente Ley se entenderá por:</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rsidR="00BD5CC7" w:rsidRDefault="00BD5CC7">
      <w:pPr>
        <w:pBdr>
          <w:top w:val="nil"/>
          <w:left w:val="nil"/>
          <w:bottom w:val="nil"/>
          <w:right w:val="nil"/>
          <w:between w:val="nil"/>
        </w:pBdr>
        <w:ind w:left="1134" w:right="-704"/>
        <w:jc w:val="both"/>
        <w:rPr>
          <w:rFonts w:ascii="Palatino Linotype" w:eastAsia="Palatino Linotype" w:hAnsi="Palatino Linotype" w:cs="Palatino Linotype"/>
          <w:i/>
          <w:iCs/>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0002-11</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1)</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generada por los Sujetos Obligados;</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2)</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administrada por los Sujetos Obligados, y</w:t>
      </w:r>
    </w:p>
    <w:p w:rsidR="00BD5CC7" w:rsidRDefault="00EE048D">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3) Que se trate de información registrada en cualquier soporte documental, que en ejercicio de las atribuciones conferidas, se encuentre en posesión de los Sujetos Obligados.” (Sic)</w:t>
      </w:r>
    </w:p>
    <w:p w:rsidR="00BD5CC7" w:rsidRDefault="00BD5CC7">
      <w:pPr>
        <w:pBdr>
          <w:top w:val="nil"/>
          <w:left w:val="nil"/>
          <w:bottom w:val="nil"/>
          <w:right w:val="nil"/>
          <w:between w:val="nil"/>
        </w:pBdr>
        <w:ind w:left="1134" w:right="-704"/>
        <w:jc w:val="both"/>
        <w:rPr>
          <w:rFonts w:ascii="Palatino Linotype" w:eastAsia="Palatino Linotype" w:hAnsi="Palatino Linotype" w:cs="Palatino Linotype"/>
          <w:i/>
          <w:iCs/>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 así como de interés público, es decir, aquella que resulta relevante o beneficiosa para la sociedad y no simplemente de interés individual, y cuya divulgación resulta útil para que el público comprenda las actividades que llevan a cabo los Sujetos Obligados .</w:t>
      </w:r>
    </w:p>
    <w:p w:rsidR="00BD5CC7" w:rsidRDefault="00BD5CC7">
      <w:pPr>
        <w:pBdr>
          <w:top w:val="nil"/>
          <w:left w:val="nil"/>
          <w:bottom w:val="nil"/>
          <w:right w:val="nil"/>
          <w:between w:val="nil"/>
        </w:pBdr>
        <w:ind w:right="-704"/>
        <w:jc w:val="both"/>
        <w:rPr>
          <w:rFonts w:ascii="Palatino Linotype" w:eastAsia="Palatino Linotype" w:hAnsi="Palatino Linotype" w:cs="Palatino Linotype"/>
          <w:color w:val="000000"/>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Una vez precisado lo anterior, resulta necesario señalar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BD5CC7" w:rsidRDefault="00EE048D">
      <w:pPr>
        <w:spacing w:line="276" w:lineRule="auto"/>
        <w:ind w:left="1134" w:right="-704"/>
        <w:jc w:val="both"/>
        <w:rPr>
          <w:rFonts w:ascii="Palatino Linotype" w:eastAsia="Palatino Linotype" w:hAnsi="Palatino Linotype" w:cs="Palatino Linotype"/>
          <w:i/>
          <w:iCs/>
        </w:rPr>
      </w:pPr>
      <w:r>
        <w:rPr>
          <w:rFonts w:ascii="Palatino Linotype" w:eastAsia="Palatino Linotype" w:hAnsi="Palatino Linotype" w:cs="Palatino Linotype"/>
          <w:i/>
          <w:iCs/>
        </w:rPr>
        <w:t>Artículo 18. Los sujetos obligados deberán documentar todo acto que derive del ejercicio de sus facultades, competencias o funciones, considerando desde su origen la eventual publicidad y reutilización de la información que generen</w:t>
      </w:r>
    </w:p>
    <w:p w:rsidR="00BD5CC7" w:rsidRDefault="00BD5CC7">
      <w:pPr>
        <w:spacing w:line="360" w:lineRule="auto"/>
        <w:ind w:right="-704"/>
        <w:rPr>
          <w:rFonts w:ascii="Palatino Linotype" w:eastAsia="Palatino Linotype" w:hAnsi="Palatino Linotype" w:cs="Palatino Linotype"/>
        </w:rPr>
      </w:pPr>
    </w:p>
    <w:p w:rsidR="00BD5CC7" w:rsidRDefault="00EE048D">
      <w:pPr>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 xml:space="preserve">Lo anterior toma relevancia, pues según Jarquín, Soledad (2019), en el “Diccionario de Transparencia y Acceso a la Información Pública” (p. 126 y 127), todos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tienen la obligación jurídica, en materia de transparencia y acceso a la información pública, de dejar constancia o registro material de las actividades efectuadas con </w:t>
      </w:r>
      <w:r>
        <w:rPr>
          <w:rFonts w:ascii="Palatino Linotype" w:eastAsia="Palatino Linotype" w:hAnsi="Palatino Linotype" w:cs="Palatino Linotype"/>
          <w:color w:val="000000"/>
        </w:rPr>
        <w:lastRenderedPageBreak/>
        <w:t>motivo del ejercicio de sus atribuciones de cualquier acto que derive del ejercicio de sus facultades, competencias o funciones.</w:t>
      </w:r>
    </w:p>
    <w:p w:rsidR="00BD5CC7" w:rsidRDefault="00BD5CC7">
      <w:pPr>
        <w:spacing w:line="360" w:lineRule="auto"/>
        <w:ind w:right="-704"/>
        <w:rPr>
          <w:rFonts w:ascii="Palatino Linotype" w:eastAsia="Palatino Linotype" w:hAnsi="Palatino Linotype" w:cs="Palatino Linotype"/>
        </w:rPr>
      </w:pPr>
    </w:p>
    <w:p w:rsidR="00BD5CC7" w:rsidRDefault="00EE048D">
      <w:pPr>
        <w:widowControl w:val="0"/>
        <w:numPr>
          <w:ilvl w:val="0"/>
          <w:numId w:val="10"/>
        </w:numPr>
        <w:pBdr>
          <w:top w:val="nil"/>
          <w:left w:val="nil"/>
          <w:bottom w:val="nil"/>
          <w:right w:val="nil"/>
          <w:between w:val="nil"/>
        </w:pBdr>
        <w:spacing w:line="360" w:lineRule="auto"/>
        <w:ind w:right="-704"/>
        <w:jc w:val="both"/>
        <w:rPr>
          <w:color w:val="000000"/>
        </w:rPr>
      </w:pPr>
      <w:r>
        <w:rPr>
          <w:rFonts w:ascii="Palatino Linotype" w:eastAsia="Palatino Linotype" w:hAnsi="Palatino Linotype" w:cs="Palatino Linotype"/>
          <w:color w:val="000000"/>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BD5CC7" w:rsidRDefault="00BD5CC7">
      <w:pPr>
        <w:pBdr>
          <w:top w:val="nil"/>
          <w:left w:val="nil"/>
          <w:bottom w:val="nil"/>
          <w:right w:val="nil"/>
          <w:between w:val="nil"/>
        </w:pBdr>
        <w:ind w:left="720" w:right="-704"/>
        <w:rPr>
          <w:rFonts w:ascii="Palatino Linotype" w:eastAsia="Palatino Linotype" w:hAnsi="Palatino Linotype" w:cs="Palatino Linotype"/>
          <w:color w:val="000000"/>
        </w:rPr>
      </w:pPr>
    </w:p>
    <w:p w:rsidR="00BD5CC7" w:rsidRDefault="00EE048D">
      <w:pPr>
        <w:numPr>
          <w:ilvl w:val="0"/>
          <w:numId w:val="5"/>
        </w:numPr>
        <w:spacing w:line="360" w:lineRule="auto"/>
        <w:ind w:left="0" w:right="-704" w:firstLine="0"/>
        <w:jc w:val="both"/>
        <w:rPr>
          <w:color w:val="000000"/>
        </w:rPr>
      </w:pPr>
      <w:r>
        <w:rPr>
          <w:rFonts w:ascii="Palatino Linotype" w:eastAsia="Palatino Linotype" w:hAnsi="Palatino Linotype" w:cs="Palatino Linotype"/>
        </w:rPr>
        <w:t>Por lo anteriormente expuesto, este Órgano Garante considera parcialmente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 xml:space="preserve">REVOCAR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BD5CC7" w:rsidRDefault="00BD5CC7">
      <w:pPr>
        <w:spacing w:line="360" w:lineRule="auto"/>
        <w:ind w:right="-704"/>
        <w:jc w:val="both"/>
        <w:rPr>
          <w:rFonts w:ascii="Palatino Linotype" w:eastAsia="Palatino Linotype" w:hAnsi="Palatino Linotype" w:cs="Palatino Linotype"/>
          <w:i/>
          <w:iCs/>
          <w:color w:val="000000"/>
        </w:rPr>
      </w:pPr>
    </w:p>
    <w:p w:rsidR="00BD5CC7" w:rsidRDefault="00EE048D">
      <w:pPr>
        <w:pStyle w:val="Ttulo1"/>
        <w:spacing w:before="0" w:line="360" w:lineRule="auto"/>
        <w:ind w:right="-704"/>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BD5CC7" w:rsidRDefault="00BD5CC7">
      <w:pPr>
        <w:spacing w:line="360" w:lineRule="auto"/>
        <w:ind w:right="-704"/>
        <w:rPr>
          <w:rFonts w:ascii="Palatino Linotype" w:eastAsia="Palatino Linotype" w:hAnsi="Palatino Linotype" w:cs="Palatino Linotype"/>
        </w:rPr>
      </w:pPr>
    </w:p>
    <w:p w:rsidR="00BD5CC7" w:rsidRDefault="00EE048D">
      <w:pPr>
        <w:spacing w:line="360" w:lineRule="auto"/>
        <w:ind w:right="-704"/>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03473/INFOEM/IP/RR/2026,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spacing w:line="360" w:lineRule="auto"/>
        <w:ind w:right="-704"/>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SEGUNDO.</w:t>
      </w:r>
      <w:r>
        <w:rPr>
          <w:rFonts w:ascii="Palatino Linotype" w:eastAsia="Palatino Linotype" w:hAnsi="Palatino Linotype" w:cs="Palatino Linotype"/>
          <w:color w:val="2E75B5"/>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Valle de Bravo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vigente al veintiséis de febrero de dos mil veintiséis,  la siguiente información:</w:t>
      </w:r>
    </w:p>
    <w:p w:rsidR="00BD5CC7" w:rsidRDefault="00EE048D" w:rsidP="00215A81">
      <w:pPr>
        <w:spacing w:line="276" w:lineRule="auto"/>
        <w:ind w:left="709" w:right="-704" w:firstLine="11"/>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Respecto de establecimientos dedicados </w:t>
      </w:r>
      <w:r>
        <w:rPr>
          <w:rFonts w:ascii="Palatino Linotype" w:eastAsia="Palatino Linotype" w:hAnsi="Palatino Linotype" w:cs="Palatino Linotype"/>
          <w:i/>
          <w:iCs/>
        </w:rPr>
        <w:t>a la venta de pinturas, incluyendo pintura para el hogar o arquitectónica (vinílica, esmalte, acrílica, impermeabilizante), pintura automotriz, pintura industrial, recubrimientos y acabados, barnices, lacas, selladores, primarios, aerosoles, pinturas especiales, ecológicas o técnicas, así como pinturas artísticas y cualquier otro producto destinado al recubrimiento o protección de superficies:</w:t>
      </w:r>
    </w:p>
    <w:p w:rsidR="00BD5CC7" w:rsidRDefault="00EE048D">
      <w:pPr>
        <w:numPr>
          <w:ilvl w:val="1"/>
          <w:numId w:val="11"/>
        </w:numPr>
        <w:pBdr>
          <w:top w:val="nil"/>
          <w:left w:val="nil"/>
          <w:bottom w:val="nil"/>
          <w:right w:val="nil"/>
          <w:between w:val="nil"/>
        </w:pBdr>
        <w:tabs>
          <w:tab w:val="left" w:pos="851"/>
        </w:tabs>
        <w:ind w:left="709"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i/>
          <w:iCs/>
          <w:color w:val="000000"/>
        </w:rPr>
        <w:t>Tarifa correspondiente al costo de la Licencia de Funcionamiento para el ejercicio fiscal 2026;</w:t>
      </w:r>
    </w:p>
    <w:p w:rsidR="00BD5CC7" w:rsidRDefault="00EE048D">
      <w:pPr>
        <w:numPr>
          <w:ilvl w:val="1"/>
          <w:numId w:val="11"/>
        </w:numPr>
        <w:pBdr>
          <w:top w:val="nil"/>
          <w:left w:val="nil"/>
          <w:bottom w:val="nil"/>
          <w:right w:val="nil"/>
          <w:between w:val="nil"/>
        </w:pBdr>
        <w:tabs>
          <w:tab w:val="left" w:pos="851"/>
        </w:tabs>
        <w:ind w:left="709"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i/>
          <w:iCs/>
          <w:color w:val="000000"/>
        </w:rPr>
        <w:t>Costo base;</w:t>
      </w:r>
    </w:p>
    <w:p w:rsidR="00BD5CC7" w:rsidRDefault="00EE048D">
      <w:pPr>
        <w:numPr>
          <w:ilvl w:val="1"/>
          <w:numId w:val="11"/>
        </w:numPr>
        <w:pBdr>
          <w:top w:val="nil"/>
          <w:left w:val="nil"/>
          <w:bottom w:val="nil"/>
          <w:right w:val="nil"/>
          <w:between w:val="nil"/>
        </w:pBdr>
        <w:tabs>
          <w:tab w:val="left" w:pos="851"/>
        </w:tabs>
        <w:ind w:left="709"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i/>
          <w:iCs/>
          <w:color w:val="000000"/>
        </w:rPr>
        <w:t>Cuotas adicionales en su caso,</w:t>
      </w:r>
    </w:p>
    <w:p w:rsidR="00BD5CC7" w:rsidRDefault="00EE048D">
      <w:pPr>
        <w:numPr>
          <w:ilvl w:val="1"/>
          <w:numId w:val="11"/>
        </w:numPr>
        <w:pBdr>
          <w:top w:val="nil"/>
          <w:left w:val="nil"/>
          <w:bottom w:val="nil"/>
          <w:right w:val="nil"/>
          <w:between w:val="nil"/>
        </w:pBdr>
        <w:tabs>
          <w:tab w:val="left" w:pos="851"/>
        </w:tabs>
        <w:ind w:left="709"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i/>
          <w:iCs/>
          <w:color w:val="000000"/>
        </w:rPr>
        <w:t>Criterios de clasificación del giro, forma de cálculo (por metros cuadrados, zona o actividad específica);</w:t>
      </w:r>
    </w:p>
    <w:p w:rsidR="00BD5CC7" w:rsidRPr="00104752" w:rsidRDefault="00EE048D">
      <w:pPr>
        <w:numPr>
          <w:ilvl w:val="1"/>
          <w:numId w:val="11"/>
        </w:numPr>
        <w:pBdr>
          <w:top w:val="nil"/>
          <w:left w:val="nil"/>
          <w:bottom w:val="nil"/>
          <w:right w:val="nil"/>
          <w:between w:val="nil"/>
        </w:pBdr>
        <w:tabs>
          <w:tab w:val="left" w:pos="851"/>
        </w:tabs>
        <w:ind w:left="709" w:right="-70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i/>
          <w:iCs/>
          <w:color w:val="000000"/>
        </w:rPr>
        <w:t>Fundamento legal, reglamentario o acuerdo de cabildo que sustente dicha tarifa</w:t>
      </w:r>
    </w:p>
    <w:p w:rsidR="00104752" w:rsidRDefault="00104752" w:rsidP="00104752">
      <w:pPr>
        <w:pBdr>
          <w:top w:val="nil"/>
          <w:left w:val="nil"/>
          <w:bottom w:val="nil"/>
          <w:right w:val="nil"/>
          <w:between w:val="nil"/>
        </w:pBdr>
        <w:tabs>
          <w:tab w:val="left" w:pos="851"/>
        </w:tabs>
        <w:ind w:left="709" w:right="-704"/>
        <w:jc w:val="both"/>
        <w:rPr>
          <w:rFonts w:ascii="Palatino Linotype" w:eastAsia="Palatino Linotype" w:hAnsi="Palatino Linotype" w:cs="Palatino Linotype"/>
          <w:b/>
          <w:bCs/>
          <w:color w:val="000000"/>
        </w:rPr>
      </w:pPr>
    </w:p>
    <w:p w:rsidR="00BD5CC7" w:rsidRDefault="00EE048D">
      <w:pPr>
        <w:spacing w:line="276" w:lineRule="auto"/>
        <w:ind w:left="567" w:right="-704"/>
        <w:jc w:val="both"/>
        <w:rPr>
          <w:rFonts w:ascii="Palatino Linotype" w:eastAsia="Palatino Linotype" w:hAnsi="Palatino Linotype" w:cs="Palatino Linotype"/>
          <w:i/>
          <w:iCs/>
        </w:rPr>
      </w:pPr>
      <w:r>
        <w:rPr>
          <w:rFonts w:ascii="Palatino Linotype" w:eastAsia="Palatino Linotype" w:hAnsi="Palatino Linotype" w:cs="Palatino Linotype"/>
          <w:i/>
          <w:iCs/>
        </w:rPr>
        <w:t>Sin embargo para el caso en que no se cuente con la información relacionada al punto tercero</w:t>
      </w:r>
      <w:r w:rsidR="00104752">
        <w:rPr>
          <w:rFonts w:ascii="Palatino Linotype" w:eastAsia="Palatino Linotype" w:hAnsi="Palatino Linotype" w:cs="Palatino Linotype"/>
          <w:i/>
          <w:iCs/>
        </w:rPr>
        <w:t xml:space="preserve"> y </w:t>
      </w:r>
      <w:r w:rsidR="00104752" w:rsidRPr="002276B9">
        <w:rPr>
          <w:rFonts w:ascii="Palatino Linotype" w:eastAsia="Palatino Linotype" w:hAnsi="Palatino Linotype" w:cs="Palatino Linotype"/>
          <w:i/>
          <w:iCs/>
        </w:rPr>
        <w:t>cuarto</w:t>
      </w:r>
      <w:r w:rsidRPr="002276B9">
        <w:rPr>
          <w:rFonts w:ascii="Palatino Linotype" w:eastAsia="Palatino Linotype" w:hAnsi="Palatino Linotype" w:cs="Palatino Linotype"/>
          <w:i/>
          <w:iCs/>
        </w:rPr>
        <w:t>,</w:t>
      </w:r>
      <w:r>
        <w:rPr>
          <w:rFonts w:ascii="Palatino Linotype" w:eastAsia="Palatino Linotype" w:hAnsi="Palatino Linotype" w:cs="Palatino Linotype"/>
          <w:i/>
          <w:iCs/>
        </w:rPr>
        <w:t xml:space="preserve"> bastará con que así se haga del conocimiento a </w:t>
      </w:r>
      <w:r>
        <w:rPr>
          <w:rFonts w:ascii="Palatino Linotype" w:eastAsia="Palatino Linotype" w:hAnsi="Palatino Linotype" w:cs="Palatino Linotype"/>
          <w:b/>
          <w:bCs/>
          <w:i/>
          <w:iCs/>
        </w:rPr>
        <w:t xml:space="preserve">LA PARTE RECURRENTE </w:t>
      </w:r>
      <w:r>
        <w:rPr>
          <w:rFonts w:ascii="Palatino Linotype" w:eastAsia="Palatino Linotype" w:hAnsi="Palatino Linotype" w:cs="Palatino Linotype"/>
          <w:i/>
          <w:iCs/>
        </w:rPr>
        <w:t>en términos de lo que establece el artículo 19 segundo párrafo de la Ley de Transparencia Local.</w:t>
      </w:r>
    </w:p>
    <w:p w:rsidR="00BD5CC7" w:rsidRDefault="00BD5CC7">
      <w:pPr>
        <w:spacing w:line="360" w:lineRule="auto"/>
        <w:ind w:left="1418" w:right="-704"/>
        <w:jc w:val="both"/>
        <w:rPr>
          <w:rFonts w:ascii="Palatino Linotype" w:eastAsia="Palatino Linotype" w:hAnsi="Palatino Linotype" w:cs="Palatino Linotype"/>
          <w:b/>
          <w:bCs/>
          <w:i/>
          <w:iCs/>
        </w:rPr>
      </w:pPr>
    </w:p>
    <w:p w:rsidR="00BD5CC7" w:rsidRDefault="00EE048D">
      <w:pPr>
        <w:tabs>
          <w:tab w:val="left" w:pos="8080"/>
        </w:tabs>
        <w:spacing w:line="360" w:lineRule="auto"/>
        <w:ind w:right="-704"/>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sidRPr="00215A81">
        <w:rPr>
          <w:rFonts w:ascii="Palatino Linotype" w:eastAsia="Palatino Linotype" w:hAnsi="Palatino Linotype" w:cs="Palatino Linotype"/>
          <w:b/>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D5CC7" w:rsidRDefault="00EE048D">
      <w:pPr>
        <w:spacing w:line="360" w:lineRule="auto"/>
        <w:ind w:right="-704"/>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CUARTO.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spacing w:line="360" w:lineRule="auto"/>
        <w:ind w:right="-704"/>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b/>
          <w:bCs/>
          <w:color w:val="222222"/>
        </w:rPr>
        <w:t xml:space="preserve">Notifíquese </w:t>
      </w:r>
      <w:r w:rsidR="00104752">
        <w:rPr>
          <w:rFonts w:ascii="Palatino Linotype" w:eastAsia="Palatino Linotype" w:hAnsi="Palatino Linotype" w:cs="Palatino Linotype"/>
          <w:color w:val="222222"/>
        </w:rPr>
        <w:t>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SAIMEX.</w:t>
      </w:r>
    </w:p>
    <w:p w:rsidR="00BD5CC7" w:rsidRDefault="00BD5CC7">
      <w:pPr>
        <w:spacing w:line="360" w:lineRule="auto"/>
        <w:ind w:right="-704"/>
        <w:jc w:val="both"/>
        <w:rPr>
          <w:rFonts w:ascii="Palatino Linotype" w:eastAsia="Palatino Linotype" w:hAnsi="Palatino Linotype" w:cs="Palatino Linotype"/>
        </w:rPr>
      </w:pPr>
    </w:p>
    <w:p w:rsidR="00BD5CC7" w:rsidRDefault="00EE048D">
      <w:pPr>
        <w:spacing w:line="360" w:lineRule="auto"/>
        <w:ind w:right="-704"/>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w:t>
      </w:r>
      <w:r w:rsidR="00104752">
        <w:rPr>
          <w:rFonts w:ascii="Palatino Linotype" w:eastAsia="Palatino Linotype" w:hAnsi="Palatino Linotype" w:cs="Palatino Linotype"/>
        </w:rPr>
        <w:t>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D5CC7" w:rsidRDefault="00BD5CC7">
      <w:pPr>
        <w:spacing w:line="360" w:lineRule="auto"/>
        <w:ind w:right="-704"/>
        <w:jc w:val="both"/>
        <w:rPr>
          <w:rFonts w:ascii="Palatino Linotype" w:eastAsia="Palatino Linotype" w:hAnsi="Palatino Linotype" w:cs="Palatino Linotype"/>
        </w:rPr>
      </w:pPr>
    </w:p>
    <w:p w:rsidR="00104752" w:rsidRPr="003E2295" w:rsidRDefault="00104752" w:rsidP="00104752">
      <w:pPr>
        <w:spacing w:before="240" w:after="240" w:line="360" w:lineRule="auto"/>
        <w:ind w:right="-711" w:firstLine="1"/>
        <w:jc w:val="both"/>
        <w:rPr>
          <w:rFonts w:ascii="Palatino Linotype" w:hAnsi="Palatino Linotype"/>
        </w:rPr>
      </w:pPr>
      <w:bookmarkStart w:id="12"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BD5CC7" w:rsidRDefault="00BD5CC7" w:rsidP="00104752">
      <w:pPr>
        <w:spacing w:line="360" w:lineRule="auto"/>
        <w:ind w:right="-711"/>
        <w:jc w:val="both"/>
        <w:rPr>
          <w:rFonts w:ascii="Palatino Linotype" w:eastAsia="Palatino Linotype" w:hAnsi="Palatino Linotype" w:cs="Palatino Linotype"/>
        </w:rPr>
      </w:pPr>
    </w:p>
    <w:p w:rsidR="00BD5CC7" w:rsidRDefault="00BD5CC7" w:rsidP="00104752">
      <w:pPr>
        <w:spacing w:line="360" w:lineRule="auto"/>
        <w:ind w:right="-711"/>
        <w:jc w:val="both"/>
        <w:rPr>
          <w:rFonts w:ascii="Palatino Linotype" w:eastAsia="Palatino Linotype" w:hAnsi="Palatino Linotype" w:cs="Palatino Linotype"/>
        </w:rPr>
      </w:pPr>
    </w:p>
    <w:p w:rsidR="00BD5CC7" w:rsidRDefault="00BD5CC7" w:rsidP="00104752">
      <w:pPr>
        <w:spacing w:line="360" w:lineRule="auto"/>
        <w:ind w:right="-711"/>
        <w:jc w:val="both"/>
        <w:rPr>
          <w:rFonts w:ascii="Palatino Linotype" w:eastAsia="Palatino Linotype" w:hAnsi="Palatino Linotype" w:cs="Palatino Linotype"/>
        </w:rPr>
      </w:pPr>
    </w:p>
    <w:p w:rsidR="00BD5CC7" w:rsidRDefault="00BD5CC7">
      <w:pPr>
        <w:spacing w:line="360" w:lineRule="auto"/>
        <w:ind w:right="-704"/>
        <w:jc w:val="both"/>
        <w:rPr>
          <w:rFonts w:ascii="Palatino Linotype" w:eastAsia="Palatino Linotype" w:hAnsi="Palatino Linotype" w:cs="Palatino Linotype"/>
        </w:rPr>
      </w:pPr>
    </w:p>
    <w:p w:rsidR="00BD5CC7" w:rsidRDefault="00BD5CC7">
      <w:pPr>
        <w:spacing w:line="360" w:lineRule="auto"/>
        <w:ind w:right="-704"/>
        <w:jc w:val="both"/>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BD5CC7">
      <w:pPr>
        <w:spacing w:line="360" w:lineRule="auto"/>
        <w:ind w:right="-704"/>
        <w:rPr>
          <w:rFonts w:ascii="Palatino Linotype" w:eastAsia="Palatino Linotype" w:hAnsi="Palatino Linotype" w:cs="Palatino Linotype"/>
        </w:rPr>
      </w:pPr>
    </w:p>
    <w:p w:rsidR="00BD5CC7" w:rsidRDefault="00EE048D">
      <w:pPr>
        <w:tabs>
          <w:tab w:val="left" w:pos="3374"/>
        </w:tabs>
        <w:spacing w:line="360" w:lineRule="auto"/>
        <w:ind w:right="-704"/>
        <w:rPr>
          <w:rFonts w:ascii="Palatino Linotype" w:eastAsia="Palatino Linotype" w:hAnsi="Palatino Linotype" w:cs="Palatino Linotype"/>
        </w:rPr>
      </w:pPr>
      <w:r>
        <w:rPr>
          <w:rFonts w:ascii="Palatino Linotype" w:eastAsia="Palatino Linotype" w:hAnsi="Palatino Linotype" w:cs="Palatino Linotype"/>
        </w:rPr>
        <w:tab/>
      </w: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tabs>
          <w:tab w:val="left" w:pos="3374"/>
        </w:tabs>
        <w:spacing w:line="360" w:lineRule="auto"/>
        <w:ind w:right="-704"/>
        <w:rPr>
          <w:rFonts w:ascii="Palatino Linotype" w:eastAsia="Palatino Linotype" w:hAnsi="Palatino Linotype" w:cs="Palatino Linotype"/>
        </w:rPr>
      </w:pPr>
    </w:p>
    <w:p w:rsidR="00BD5CC7" w:rsidRDefault="00BD5CC7">
      <w:pPr>
        <w:ind w:right="-704"/>
      </w:pPr>
    </w:p>
    <w:p w:rsidR="00BD5CC7" w:rsidRDefault="00BD5CC7">
      <w:pPr>
        <w:ind w:right="-704"/>
      </w:pPr>
    </w:p>
    <w:p w:rsidR="00BD5CC7" w:rsidRDefault="00BD5CC7">
      <w:pPr>
        <w:ind w:right="-704"/>
      </w:pPr>
    </w:p>
    <w:p w:rsidR="00BD5CC7" w:rsidRDefault="00BD5CC7">
      <w:pPr>
        <w:ind w:right="-704"/>
      </w:pPr>
    </w:p>
    <w:sectPr w:rsidR="00BD5CC7">
      <w:headerReference w:type="even" r:id="rId9"/>
      <w:headerReference w:type="default" r:id="rId10"/>
      <w:footerReference w:type="default" r:id="rId11"/>
      <w:headerReference w:type="first" r:id="rId12"/>
      <w:footerReference w:type="first" r:id="rId13"/>
      <w:pgSz w:w="12240" w:h="15840"/>
      <w:pgMar w:top="2268" w:right="1469" w:bottom="170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0DF" w:rsidRDefault="006220DF">
      <w:r>
        <w:separator/>
      </w:r>
    </w:p>
  </w:endnote>
  <w:endnote w:type="continuationSeparator" w:id="0">
    <w:p w:rsidR="006220DF" w:rsidRDefault="0062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C8F9371-2D4C-4B7F-BB95-B86E7F8124B9}"/>
    <w:embedBold r:id="rId2" w:fontKey="{DDDE6524-B744-43E1-B8B0-CF5739D5840B}"/>
    <w:embedItalic r:id="rId3" w:fontKey="{2600A0E9-71AA-403E-A8C0-8CED6302BECC}"/>
    <w:embedBoldItalic r:id="rId4" w:fontKey="{7BAD8BB5-4AF2-497F-A53E-0B0D8525C676}"/>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3666EE7A-22F8-4E87-9F3C-77C6182E29E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7DD495E-1C4D-47C8-8F20-6EC9C2A1EFC6}"/>
    <w:embedBold r:id="rId7" w:fontKey="{FC312811-92C2-4F2B-992E-BAA192BE26D4}"/>
  </w:font>
  <w:font w:name="Georgia">
    <w:panose1 w:val="02040502050405020303"/>
    <w:charset w:val="00"/>
    <w:family w:val="roman"/>
    <w:pitch w:val="variable"/>
    <w:sig w:usb0="00000287" w:usb1="00000000" w:usb2="00000000" w:usb3="00000000" w:csb0="0000009F" w:csb1="00000000"/>
    <w:embedItalic r:id="rId8" w:fontKey="{D02F50F9-DE2E-4DC5-AFA6-9D64BB70B69F}"/>
  </w:font>
  <w:font w:name="Cambria">
    <w:panose1 w:val="02040503050406030204"/>
    <w:charset w:val="00"/>
    <w:family w:val="roman"/>
    <w:pitch w:val="variable"/>
    <w:sig w:usb0="E00006FF" w:usb1="420024FF" w:usb2="02000000" w:usb3="00000000" w:csb0="0000019F" w:csb1="00000000"/>
    <w:embedRegular r:id="rId9" w:fontKey="{90947A7D-CD17-41C4-898F-D3B4DF821D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C7" w:rsidRDefault="00EE048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E182A">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E182A">
      <w:rPr>
        <w:rFonts w:ascii="Palatino Linotype" w:eastAsia="Palatino Linotype" w:hAnsi="Palatino Linotype" w:cs="Palatino Linotype"/>
        <w:noProof/>
        <w:color w:val="000000"/>
        <w:sz w:val="22"/>
        <w:szCs w:val="22"/>
      </w:rPr>
      <w:t>25</w:t>
    </w:r>
    <w:r>
      <w:rPr>
        <w:rFonts w:ascii="Palatino Linotype" w:eastAsia="Palatino Linotype" w:hAnsi="Palatino Linotype" w:cs="Palatino Linotype"/>
        <w:color w:val="000000"/>
        <w:sz w:val="22"/>
        <w:szCs w:val="22"/>
      </w:rPr>
      <w:fldChar w:fldCharType="end"/>
    </w:r>
  </w:p>
  <w:p w:rsidR="00BD5CC7" w:rsidRDefault="00BD5CC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C7" w:rsidRDefault="00EE048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E182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E182A">
      <w:rPr>
        <w:rFonts w:ascii="Palatino Linotype" w:eastAsia="Palatino Linotype" w:hAnsi="Palatino Linotype" w:cs="Palatino Linotype"/>
        <w:noProof/>
        <w:color w:val="000000"/>
        <w:sz w:val="22"/>
        <w:szCs w:val="22"/>
      </w:rPr>
      <w:t>25</w:t>
    </w:r>
    <w:r>
      <w:rPr>
        <w:rFonts w:ascii="Palatino Linotype" w:eastAsia="Palatino Linotype" w:hAnsi="Palatino Linotype" w:cs="Palatino Linotype"/>
        <w:color w:val="000000"/>
        <w:sz w:val="22"/>
        <w:szCs w:val="22"/>
      </w:rPr>
      <w:fldChar w:fldCharType="end"/>
    </w:r>
  </w:p>
  <w:p w:rsidR="00BD5CC7" w:rsidRDefault="00BD5CC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0DF" w:rsidRDefault="006220DF">
      <w:r>
        <w:separator/>
      </w:r>
    </w:p>
  </w:footnote>
  <w:footnote w:type="continuationSeparator" w:id="0">
    <w:p w:rsidR="006220DF" w:rsidRDefault="006220DF">
      <w:r>
        <w:continuationSeparator/>
      </w:r>
    </w:p>
  </w:footnote>
  <w:footnote w:id="1">
    <w:p w:rsidR="00BD5CC7" w:rsidRDefault="00EE048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BD5CC7" w:rsidRDefault="00EE048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BD5CC7" w:rsidRDefault="00EE048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BD5CC7" w:rsidRDefault="00EE048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C7" w:rsidRDefault="006220D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6519" w:type="dxa"/>
      <w:tblInd w:w="3119" w:type="dxa"/>
      <w:tblLayout w:type="fixed"/>
      <w:tblLook w:val="0400" w:firstRow="0" w:lastRow="0" w:firstColumn="0" w:lastColumn="0" w:noHBand="0" w:noVBand="1"/>
    </w:tblPr>
    <w:tblGrid>
      <w:gridCol w:w="2976"/>
      <w:gridCol w:w="3543"/>
    </w:tblGrid>
    <w:tr w:rsidR="00BD5CC7" w:rsidTr="00215A81">
      <w:trPr>
        <w:trHeight w:val="227"/>
      </w:trPr>
      <w:tc>
        <w:tcPr>
          <w:tcW w:w="2976" w:type="dxa"/>
          <w:vAlign w:val="center"/>
        </w:tcPr>
        <w:p w:rsidR="00BD5CC7" w:rsidRDefault="00EE048D">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BD5CC7" w:rsidRDefault="00EE048D">
          <w:pPr>
            <w:pBdr>
              <w:top w:val="nil"/>
              <w:left w:val="nil"/>
              <w:bottom w:val="nil"/>
              <w:right w:val="nil"/>
              <w:between w:val="nil"/>
            </w:pBdr>
            <w:tabs>
              <w:tab w:val="center" w:pos="4419"/>
              <w:tab w:val="right" w:pos="8838"/>
            </w:tabs>
            <w:ind w:right="-1145"/>
            <w:rPr>
              <w:rFonts w:ascii="Palatino Linotype" w:eastAsia="Palatino Linotype" w:hAnsi="Palatino Linotype" w:cs="Palatino Linotype"/>
              <w:color w:val="000000"/>
            </w:rPr>
          </w:pPr>
          <w:r>
            <w:rPr>
              <w:rFonts w:ascii="Palatino Linotype" w:eastAsia="Palatino Linotype" w:hAnsi="Palatino Linotype" w:cs="Palatino Linotype"/>
              <w:color w:val="000000"/>
            </w:rPr>
            <w:t>03473/INFOEM/IP/RR/2026</w:t>
          </w:r>
        </w:p>
      </w:tc>
    </w:tr>
    <w:tr w:rsidR="00BD5CC7" w:rsidTr="00215A81">
      <w:trPr>
        <w:trHeight w:val="242"/>
      </w:trPr>
      <w:tc>
        <w:tcPr>
          <w:tcW w:w="2976" w:type="dxa"/>
          <w:vAlign w:val="center"/>
        </w:tcPr>
        <w:p w:rsidR="00BD5CC7" w:rsidRDefault="00EE048D">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BD5CC7" w:rsidRDefault="00EE048D">
          <w:pPr>
            <w:pBdr>
              <w:top w:val="nil"/>
              <w:left w:val="nil"/>
              <w:bottom w:val="nil"/>
              <w:right w:val="nil"/>
              <w:between w:val="nil"/>
            </w:pBdr>
            <w:tabs>
              <w:tab w:val="center" w:pos="4419"/>
              <w:tab w:val="right" w:pos="8838"/>
            </w:tabs>
            <w:ind w:right="-1145"/>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Valle de Bravo</w:t>
          </w:r>
        </w:p>
      </w:tc>
    </w:tr>
    <w:tr w:rsidR="00BD5CC7" w:rsidTr="00215A81">
      <w:trPr>
        <w:trHeight w:val="342"/>
      </w:trPr>
      <w:tc>
        <w:tcPr>
          <w:tcW w:w="2976" w:type="dxa"/>
          <w:vAlign w:val="center"/>
        </w:tcPr>
        <w:p w:rsidR="00BD5CC7" w:rsidRDefault="00EE048D">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BD5CC7" w:rsidRDefault="00EE048D">
          <w:pPr>
            <w:pBdr>
              <w:top w:val="nil"/>
              <w:left w:val="nil"/>
              <w:bottom w:val="nil"/>
              <w:right w:val="nil"/>
              <w:between w:val="nil"/>
            </w:pBdr>
            <w:tabs>
              <w:tab w:val="center" w:pos="4419"/>
              <w:tab w:val="right" w:pos="8838"/>
            </w:tabs>
            <w:ind w:right="-114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BD5CC7" w:rsidRDefault="006220D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60" w:type="dxa"/>
      <w:tblInd w:w="2977" w:type="dxa"/>
      <w:tblLayout w:type="fixed"/>
      <w:tblLook w:val="0400" w:firstRow="0" w:lastRow="0" w:firstColumn="0" w:lastColumn="0" w:noHBand="0" w:noVBand="1"/>
    </w:tblPr>
    <w:tblGrid>
      <w:gridCol w:w="2977"/>
      <w:gridCol w:w="3683"/>
    </w:tblGrid>
    <w:tr w:rsidR="00BD5CC7" w:rsidTr="00DE182A">
      <w:trPr>
        <w:trHeight w:val="227"/>
      </w:trPr>
      <w:tc>
        <w:tcPr>
          <w:tcW w:w="2977" w:type="dxa"/>
          <w:vAlign w:val="center"/>
        </w:tcPr>
        <w:p w:rsidR="00BD5CC7" w:rsidRDefault="00EE048D">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rsidR="00BD5CC7" w:rsidRDefault="00EE048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03473/INFOEM/IP/RR/2026</w:t>
          </w:r>
        </w:p>
      </w:tc>
    </w:tr>
    <w:tr w:rsidR="00BD5CC7" w:rsidTr="00DE182A">
      <w:trPr>
        <w:trHeight w:val="242"/>
      </w:trPr>
      <w:tc>
        <w:tcPr>
          <w:tcW w:w="2977" w:type="dxa"/>
          <w:vAlign w:val="center"/>
        </w:tcPr>
        <w:p w:rsidR="00BD5CC7" w:rsidRDefault="00EE048D">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BD5CC7" w:rsidRDefault="00EE048D" w:rsidP="00DE182A">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rPr>
          </w:pPr>
          <w:r>
            <w:rPr>
              <w:rFonts w:ascii="Palatino Linotype" w:eastAsia="Palatino Linotype" w:hAnsi="Palatino Linotype" w:cs="Palatino Linotype"/>
              <w:color w:val="FF0000"/>
            </w:rPr>
            <w:t> </w:t>
          </w:r>
          <w:r w:rsidR="00DE182A">
            <w:rPr>
              <w:rFonts w:ascii="Palatino Linotype" w:eastAsia="Palatino Linotype" w:hAnsi="Palatino Linotype" w:cs="Palatino Linotype"/>
              <w:color w:val="000000"/>
            </w:rPr>
            <w:t>XXXX</w:t>
          </w:r>
          <w:r w:rsidR="00104752">
            <w:rPr>
              <w:rFonts w:ascii="Palatino Linotype" w:eastAsia="Palatino Linotype" w:hAnsi="Palatino Linotype" w:cs="Palatino Linotype"/>
              <w:color w:val="000000"/>
            </w:rPr>
            <w:t xml:space="preserve"> </w:t>
          </w:r>
        </w:p>
      </w:tc>
    </w:tr>
    <w:tr w:rsidR="00BD5CC7" w:rsidTr="00DE182A">
      <w:trPr>
        <w:trHeight w:val="342"/>
      </w:trPr>
      <w:tc>
        <w:tcPr>
          <w:tcW w:w="2977" w:type="dxa"/>
          <w:vAlign w:val="center"/>
        </w:tcPr>
        <w:p w:rsidR="00BD5CC7" w:rsidRDefault="00EE048D">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BD5CC7" w:rsidRDefault="00EE048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Valle de Bravo</w:t>
          </w:r>
        </w:p>
      </w:tc>
    </w:tr>
    <w:tr w:rsidR="00BD5CC7" w:rsidTr="00DE182A">
      <w:trPr>
        <w:trHeight w:val="342"/>
      </w:trPr>
      <w:tc>
        <w:tcPr>
          <w:tcW w:w="2977" w:type="dxa"/>
          <w:vAlign w:val="center"/>
        </w:tcPr>
        <w:p w:rsidR="00BD5CC7" w:rsidRDefault="00EE048D">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BD5CC7" w:rsidRDefault="00EE048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BD5CC7" w:rsidRDefault="006220D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2.3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0AB9"/>
    <w:multiLevelType w:val="multilevel"/>
    <w:tmpl w:val="0D06239A"/>
    <w:lvl w:ilvl="0">
      <w:start w:val="6"/>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976E1F"/>
    <w:multiLevelType w:val="multilevel"/>
    <w:tmpl w:val="D15086D6"/>
    <w:lvl w:ilvl="0">
      <w:start w:val="4"/>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1052E"/>
    <w:multiLevelType w:val="multilevel"/>
    <w:tmpl w:val="D53ABF88"/>
    <w:lvl w:ilvl="0">
      <w:start w:val="8"/>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A10860"/>
    <w:multiLevelType w:val="multilevel"/>
    <w:tmpl w:val="1004D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9612F0"/>
    <w:multiLevelType w:val="multilevel"/>
    <w:tmpl w:val="77BE4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A5243B"/>
    <w:multiLevelType w:val="multilevel"/>
    <w:tmpl w:val="486A64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CD47C2C"/>
    <w:multiLevelType w:val="multilevel"/>
    <w:tmpl w:val="C908CBA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1524AA"/>
    <w:multiLevelType w:val="multilevel"/>
    <w:tmpl w:val="9ACE5774"/>
    <w:lvl w:ilvl="0">
      <w:start w:val="1"/>
      <w:numFmt w:val="upperRoman"/>
      <w:lvlText w:val="%1."/>
      <w:lvlJc w:val="left"/>
      <w:pPr>
        <w:ind w:left="7100" w:hanging="720"/>
      </w:pPr>
    </w:lvl>
    <w:lvl w:ilvl="1">
      <w:start w:val="1"/>
      <w:numFmt w:val="lowerLetter"/>
      <w:lvlText w:val="%2."/>
      <w:lvlJc w:val="left"/>
      <w:pPr>
        <w:ind w:left="7460" w:hanging="360"/>
      </w:pPr>
    </w:lvl>
    <w:lvl w:ilvl="2">
      <w:start w:val="1"/>
      <w:numFmt w:val="lowerRoman"/>
      <w:lvlText w:val="%3."/>
      <w:lvlJc w:val="right"/>
      <w:pPr>
        <w:ind w:left="8180" w:hanging="180"/>
      </w:pPr>
    </w:lvl>
    <w:lvl w:ilvl="3">
      <w:start w:val="1"/>
      <w:numFmt w:val="decimal"/>
      <w:lvlText w:val="%4."/>
      <w:lvlJc w:val="left"/>
      <w:pPr>
        <w:ind w:left="8900" w:hanging="360"/>
      </w:pPr>
    </w:lvl>
    <w:lvl w:ilvl="4">
      <w:start w:val="1"/>
      <w:numFmt w:val="lowerLetter"/>
      <w:lvlText w:val="%5."/>
      <w:lvlJc w:val="left"/>
      <w:pPr>
        <w:ind w:left="9620" w:hanging="360"/>
      </w:pPr>
    </w:lvl>
    <w:lvl w:ilvl="5">
      <w:start w:val="1"/>
      <w:numFmt w:val="lowerRoman"/>
      <w:lvlText w:val="%6."/>
      <w:lvlJc w:val="right"/>
      <w:pPr>
        <w:ind w:left="10340" w:hanging="180"/>
      </w:pPr>
    </w:lvl>
    <w:lvl w:ilvl="6">
      <w:start w:val="1"/>
      <w:numFmt w:val="decimal"/>
      <w:lvlText w:val="%7."/>
      <w:lvlJc w:val="left"/>
      <w:pPr>
        <w:ind w:left="11060" w:hanging="360"/>
      </w:pPr>
    </w:lvl>
    <w:lvl w:ilvl="7">
      <w:start w:val="1"/>
      <w:numFmt w:val="lowerLetter"/>
      <w:lvlText w:val="%8."/>
      <w:lvlJc w:val="left"/>
      <w:pPr>
        <w:ind w:left="11780" w:hanging="360"/>
      </w:pPr>
    </w:lvl>
    <w:lvl w:ilvl="8">
      <w:start w:val="1"/>
      <w:numFmt w:val="lowerRoman"/>
      <w:lvlText w:val="%9."/>
      <w:lvlJc w:val="right"/>
      <w:pPr>
        <w:ind w:left="12500" w:hanging="180"/>
      </w:pPr>
    </w:lvl>
  </w:abstractNum>
  <w:abstractNum w:abstractNumId="8" w15:restartNumberingAfterBreak="0">
    <w:nsid w:val="34247D06"/>
    <w:multiLevelType w:val="multilevel"/>
    <w:tmpl w:val="25D0E6F6"/>
    <w:lvl w:ilvl="0">
      <w:start w:val="55"/>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54"/>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5A18E2"/>
    <w:multiLevelType w:val="multilevel"/>
    <w:tmpl w:val="BCBE3468"/>
    <w:lvl w:ilvl="0">
      <w:start w:val="9"/>
      <w:numFmt w:val="upperRoman"/>
      <w:lvlText w:val="%1."/>
      <w:lvlJc w:val="left"/>
      <w:pPr>
        <w:ind w:left="1007" w:hanging="720"/>
      </w:pPr>
      <w:rPr>
        <w:i/>
        <w:iCs/>
        <w:color w:val="000000"/>
      </w:rPr>
    </w:lvl>
    <w:lvl w:ilvl="1">
      <w:start w:val="1"/>
      <w:numFmt w:val="lowerLetter"/>
      <w:lvlText w:val="%2."/>
      <w:lvlJc w:val="left"/>
      <w:pPr>
        <w:ind w:left="1367" w:hanging="360"/>
      </w:pPr>
    </w:lvl>
    <w:lvl w:ilvl="2">
      <w:start w:val="1"/>
      <w:numFmt w:val="lowerRoman"/>
      <w:lvlText w:val="%3."/>
      <w:lvlJc w:val="right"/>
      <w:pPr>
        <w:ind w:left="2087" w:hanging="180"/>
      </w:pPr>
    </w:lvl>
    <w:lvl w:ilvl="3">
      <w:start w:val="1"/>
      <w:numFmt w:val="decimal"/>
      <w:lvlText w:val="%4."/>
      <w:lvlJc w:val="left"/>
      <w:pPr>
        <w:ind w:left="2807" w:hanging="360"/>
      </w:pPr>
    </w:lvl>
    <w:lvl w:ilvl="4">
      <w:start w:val="1"/>
      <w:numFmt w:val="lowerLetter"/>
      <w:lvlText w:val="%5."/>
      <w:lvlJc w:val="left"/>
      <w:pPr>
        <w:ind w:left="3527" w:hanging="360"/>
      </w:pPr>
    </w:lvl>
    <w:lvl w:ilvl="5">
      <w:start w:val="1"/>
      <w:numFmt w:val="lowerRoman"/>
      <w:lvlText w:val="%6."/>
      <w:lvlJc w:val="right"/>
      <w:pPr>
        <w:ind w:left="4247" w:hanging="180"/>
      </w:pPr>
    </w:lvl>
    <w:lvl w:ilvl="6">
      <w:start w:val="1"/>
      <w:numFmt w:val="decimal"/>
      <w:lvlText w:val="%7."/>
      <w:lvlJc w:val="left"/>
      <w:pPr>
        <w:ind w:left="4967" w:hanging="360"/>
      </w:pPr>
    </w:lvl>
    <w:lvl w:ilvl="7">
      <w:start w:val="1"/>
      <w:numFmt w:val="lowerLetter"/>
      <w:lvlText w:val="%8."/>
      <w:lvlJc w:val="left"/>
      <w:pPr>
        <w:ind w:left="5687" w:hanging="360"/>
      </w:pPr>
    </w:lvl>
    <w:lvl w:ilvl="8">
      <w:start w:val="1"/>
      <w:numFmt w:val="lowerRoman"/>
      <w:lvlText w:val="%9."/>
      <w:lvlJc w:val="right"/>
      <w:pPr>
        <w:ind w:left="6407" w:hanging="180"/>
      </w:pPr>
    </w:lvl>
  </w:abstractNum>
  <w:abstractNum w:abstractNumId="10" w15:restartNumberingAfterBreak="0">
    <w:nsid w:val="386670AB"/>
    <w:multiLevelType w:val="multilevel"/>
    <w:tmpl w:val="2382A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893252E"/>
    <w:multiLevelType w:val="multilevel"/>
    <w:tmpl w:val="3D92782C"/>
    <w:lvl w:ilvl="0">
      <w:start w:val="6"/>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C657AE"/>
    <w:multiLevelType w:val="multilevel"/>
    <w:tmpl w:val="DBC0E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68B55E8"/>
    <w:multiLevelType w:val="multilevel"/>
    <w:tmpl w:val="C9A8E3CE"/>
    <w:lvl w:ilvl="0">
      <w:start w:val="9"/>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ED7C47"/>
    <w:multiLevelType w:val="multilevel"/>
    <w:tmpl w:val="FDFEB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4C771B5"/>
    <w:multiLevelType w:val="multilevel"/>
    <w:tmpl w:val="F3C0BAAE"/>
    <w:lvl w:ilvl="0">
      <w:start w:val="18"/>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8E25613"/>
    <w:multiLevelType w:val="multilevel"/>
    <w:tmpl w:val="C2665B0C"/>
    <w:lvl w:ilvl="0">
      <w:start w:val="44"/>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797CA8"/>
    <w:multiLevelType w:val="multilevel"/>
    <w:tmpl w:val="0A6E741C"/>
    <w:lvl w:ilvl="0">
      <w:start w:val="6"/>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875CF6"/>
    <w:multiLevelType w:val="multilevel"/>
    <w:tmpl w:val="3560F078"/>
    <w:lvl w:ilvl="0">
      <w:start w:val="1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2"/>
  </w:num>
  <w:num w:numId="3">
    <w:abstractNumId w:val="7"/>
  </w:num>
  <w:num w:numId="4">
    <w:abstractNumId w:val="10"/>
  </w:num>
  <w:num w:numId="5">
    <w:abstractNumId w:val="8"/>
  </w:num>
  <w:num w:numId="6">
    <w:abstractNumId w:val="0"/>
  </w:num>
  <w:num w:numId="7">
    <w:abstractNumId w:val="2"/>
  </w:num>
  <w:num w:numId="8">
    <w:abstractNumId w:val="9"/>
  </w:num>
  <w:num w:numId="9">
    <w:abstractNumId w:val="17"/>
  </w:num>
  <w:num w:numId="10">
    <w:abstractNumId w:val="16"/>
  </w:num>
  <w:num w:numId="11">
    <w:abstractNumId w:val="11"/>
  </w:num>
  <w:num w:numId="12">
    <w:abstractNumId w:val="13"/>
  </w:num>
  <w:num w:numId="13">
    <w:abstractNumId w:val="1"/>
  </w:num>
  <w:num w:numId="14">
    <w:abstractNumId w:val="6"/>
  </w:num>
  <w:num w:numId="15">
    <w:abstractNumId w:val="3"/>
  </w:num>
  <w:num w:numId="16">
    <w:abstractNumId w:val="18"/>
  </w:num>
  <w:num w:numId="17">
    <w:abstractNumId w:val="15"/>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CC7"/>
    <w:rsid w:val="00027DD0"/>
    <w:rsid w:val="00104752"/>
    <w:rsid w:val="00215A81"/>
    <w:rsid w:val="002276B9"/>
    <w:rsid w:val="006220DF"/>
    <w:rsid w:val="00635875"/>
    <w:rsid w:val="00787FB4"/>
    <w:rsid w:val="007A34B0"/>
    <w:rsid w:val="00BD5CC7"/>
    <w:rsid w:val="00DE182A"/>
    <w:rsid w:val="00EE04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ABF8652-23AB-4CFA-B60A-0E9E6D15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104752"/>
    <w:pPr>
      <w:tabs>
        <w:tab w:val="center" w:pos="4419"/>
        <w:tab w:val="right" w:pos="8838"/>
      </w:tabs>
    </w:pPr>
  </w:style>
  <w:style w:type="character" w:customStyle="1" w:styleId="PiedepginaCar">
    <w:name w:val="Pie de página Car"/>
    <w:basedOn w:val="Fuentedeprrafopredeter"/>
    <w:link w:val="Piedepgina"/>
    <w:uiPriority w:val="99"/>
    <w:rsid w:val="00104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jXvy1uETcGv9PViXxain8F5XKA==">CgMxLjAyCGguZ2pkZ3hzMgloLjMwajB6bGwyDmgubWo4ajhrZGRjYnc1Mg5oLmNhZHYyZWduY2JhMjIOaC52NXAxc2ppM3pseXMyDmguODZldXBmYjJ3ZGVjMg5oLmlmcTJkcXYydmtlazIJaC4yczhleW8xMgloLjE3ZHA4dnUyCWguM3JkY3JqbjIOaC5tNmZnODdheTJldGQ4AHIhMXdvM19XSzczTTFMYUFoNmdlMVRTSVRtcndnOGJ0SkRl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6612</Words>
  <Characters>36370</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2026-06-05T16:42:00Z</cp:lastPrinted>
  <dcterms:created xsi:type="dcterms:W3CDTF">2026-06-03T20:11:00Z</dcterms:created>
  <dcterms:modified xsi:type="dcterms:W3CDTF">2026-06-09T23:26:00Z</dcterms:modified>
</cp:coreProperties>
</file>