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23B" w:rsidRPr="002A18FB" w:rsidRDefault="00EF723B" w:rsidP="00EF723B">
      <w:pPr>
        <w:spacing w:line="360" w:lineRule="auto"/>
        <w:jc w:val="both"/>
        <w:rPr>
          <w:rFonts w:ascii="Palatino Linotype" w:eastAsia="Palatino Linotype" w:hAnsi="Palatino Linotype" w:cs="Palatino Linotype"/>
          <w:sz w:val="24"/>
          <w:szCs w:val="24"/>
        </w:rPr>
      </w:pPr>
      <w:bookmarkStart w:id="0" w:name="_heading=h.rdzj6o28wihb" w:colFirst="0" w:colLast="0"/>
      <w:bookmarkStart w:id="1" w:name="_GoBack"/>
      <w:bookmarkEnd w:id="0"/>
      <w:bookmarkEnd w:id="1"/>
      <w:r w:rsidRPr="002A18FB">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2A18FB">
        <w:rPr>
          <w:rFonts w:ascii="Palatino Linotype" w:eastAsia="Palatino Linotype" w:hAnsi="Palatino Linotype" w:cs="Palatino Linotype"/>
          <w:sz w:val="24"/>
          <w:szCs w:val="24"/>
        </w:rPr>
        <w:t xml:space="preserve"> fecha</w:t>
      </w:r>
      <w:r w:rsidRPr="002A18FB">
        <w:rPr>
          <w:rFonts w:ascii="Palatino Linotype" w:eastAsia="Palatino Linotype" w:hAnsi="Palatino Linotype" w:cs="Palatino Linotype"/>
          <w:sz w:val="24"/>
          <w:szCs w:val="24"/>
        </w:rPr>
        <w:t xml:space="preserve"> </w:t>
      </w:r>
      <w:r w:rsidRPr="002A18FB">
        <w:rPr>
          <w:rFonts w:ascii="Palatino Linotype" w:eastAsia="Palatino Linotype" w:hAnsi="Palatino Linotype" w:cs="Palatino Linotype"/>
          <w:b/>
          <w:bCs/>
          <w:sz w:val="24"/>
          <w:szCs w:val="24"/>
        </w:rPr>
        <w:t xml:space="preserve">veintidós </w:t>
      </w:r>
      <w:r w:rsidR="002A18FB">
        <w:rPr>
          <w:rFonts w:ascii="Palatino Linotype" w:eastAsia="Palatino Linotype" w:hAnsi="Palatino Linotype" w:cs="Palatino Linotype"/>
          <w:b/>
          <w:bCs/>
          <w:sz w:val="24"/>
          <w:szCs w:val="24"/>
        </w:rPr>
        <w:t xml:space="preserve">(22) </w:t>
      </w:r>
      <w:r w:rsidRPr="002A18FB">
        <w:rPr>
          <w:rFonts w:ascii="Palatino Linotype" w:eastAsia="Palatino Linotype" w:hAnsi="Palatino Linotype" w:cs="Palatino Linotype"/>
          <w:b/>
          <w:bCs/>
          <w:sz w:val="24"/>
          <w:szCs w:val="24"/>
        </w:rPr>
        <w:t xml:space="preserve">de abril de dos mil veintiséis. </w:t>
      </w:r>
    </w:p>
    <w:p w:rsidR="00EF723B" w:rsidRPr="002A18FB" w:rsidRDefault="00EF723B" w:rsidP="00EF723B">
      <w:pPr>
        <w:spacing w:line="360" w:lineRule="auto"/>
        <w:jc w:val="both"/>
        <w:rPr>
          <w:rFonts w:ascii="Palatino Linotype" w:eastAsia="Palatino Linotype" w:hAnsi="Palatino Linotype" w:cs="Palatino Linotype"/>
          <w:sz w:val="24"/>
          <w:szCs w:val="24"/>
        </w:rPr>
      </w:pPr>
    </w:p>
    <w:p w:rsidR="00EF723B" w:rsidRPr="002A18FB" w:rsidRDefault="00EF723B" w:rsidP="00EF723B">
      <w:pPr>
        <w:spacing w:line="360" w:lineRule="auto"/>
        <w:jc w:val="both"/>
        <w:rPr>
          <w:rFonts w:ascii="Palatino Linotype" w:eastAsia="Palatino Linotype" w:hAnsi="Palatino Linotype" w:cs="Palatino Linotype"/>
          <w:b/>
          <w:bCs/>
          <w:sz w:val="24"/>
          <w:szCs w:val="24"/>
        </w:rPr>
      </w:pPr>
      <w:r w:rsidRPr="002A18FB">
        <w:rPr>
          <w:rFonts w:ascii="Palatino Linotype" w:eastAsia="Palatino Linotype" w:hAnsi="Palatino Linotype" w:cs="Palatino Linotype"/>
          <w:b/>
          <w:bCs/>
          <w:sz w:val="24"/>
          <w:szCs w:val="24"/>
        </w:rPr>
        <w:t>VISTO</w:t>
      </w:r>
      <w:r w:rsidRPr="002A18FB">
        <w:rPr>
          <w:rFonts w:ascii="Palatino Linotype" w:eastAsia="Palatino Linotype" w:hAnsi="Palatino Linotype" w:cs="Palatino Linotype"/>
          <w:sz w:val="24"/>
          <w:szCs w:val="24"/>
        </w:rPr>
        <w:t xml:space="preserve"> el expediente electrónico formado con motivo del recurso de revisión</w:t>
      </w:r>
      <w:r w:rsidRPr="002A18FB">
        <w:rPr>
          <w:rFonts w:ascii="Palatino Linotype" w:eastAsia="Palatino Linotype" w:hAnsi="Palatino Linotype" w:cs="Palatino Linotype"/>
          <w:b/>
          <w:bCs/>
          <w:sz w:val="24"/>
          <w:szCs w:val="24"/>
        </w:rPr>
        <w:t xml:space="preserve"> 00633/INFOEM/IP/RR/2026, </w:t>
      </w:r>
      <w:r w:rsidRPr="002A18FB">
        <w:rPr>
          <w:rFonts w:ascii="Palatino Linotype" w:eastAsia="Palatino Linotype" w:hAnsi="Palatino Linotype" w:cs="Palatino Linotype"/>
          <w:sz w:val="24"/>
          <w:szCs w:val="24"/>
        </w:rPr>
        <w:t>promovido por</w:t>
      </w:r>
      <w:r w:rsidRPr="002A18FB">
        <w:rPr>
          <w:rFonts w:ascii="Palatino Linotype" w:eastAsia="Palatino Linotype" w:hAnsi="Palatino Linotype" w:cs="Palatino Linotype"/>
          <w:b/>
          <w:bCs/>
          <w:color w:val="FF0000"/>
          <w:sz w:val="24"/>
          <w:szCs w:val="24"/>
        </w:rPr>
        <w:t xml:space="preserve"> </w:t>
      </w:r>
      <w:r w:rsidRPr="002A18FB">
        <w:rPr>
          <w:rFonts w:ascii="Palatino Linotype" w:eastAsia="Palatino Linotype" w:hAnsi="Palatino Linotype" w:cs="Palatino Linotype"/>
          <w:b/>
          <w:bCs/>
          <w:sz w:val="24"/>
          <w:szCs w:val="24"/>
        </w:rPr>
        <w:t xml:space="preserve">una persona que no proporcionó datos de identificación </w:t>
      </w:r>
      <w:r w:rsidRPr="002A18FB">
        <w:rPr>
          <w:rFonts w:ascii="Palatino Linotype" w:eastAsia="Palatino Linotype" w:hAnsi="Palatino Linotype" w:cs="Palatino Linotype"/>
          <w:sz w:val="24"/>
          <w:szCs w:val="24"/>
        </w:rPr>
        <w:t xml:space="preserve">y a quien en lo sucesivo se identificará como </w:t>
      </w:r>
      <w:r w:rsidRPr="002A18FB">
        <w:rPr>
          <w:rFonts w:ascii="Palatino Linotype" w:eastAsia="Palatino Linotype" w:hAnsi="Palatino Linotype" w:cs="Palatino Linotype"/>
          <w:b/>
          <w:bCs/>
          <w:sz w:val="24"/>
          <w:szCs w:val="24"/>
        </w:rPr>
        <w:t>EL RECURRENTE</w:t>
      </w:r>
      <w:r w:rsidRPr="002A18FB">
        <w:rPr>
          <w:rFonts w:ascii="Palatino Linotype" w:eastAsia="Palatino Linotype" w:hAnsi="Palatino Linotype" w:cs="Palatino Linotype"/>
          <w:sz w:val="24"/>
          <w:szCs w:val="24"/>
        </w:rPr>
        <w:t xml:space="preserve">, en contra de la respuesta del </w:t>
      </w:r>
      <w:r w:rsidRPr="002A18FB">
        <w:rPr>
          <w:rFonts w:ascii="Palatino Linotype" w:eastAsia="Palatino Linotype" w:hAnsi="Palatino Linotype" w:cs="Palatino Linotype"/>
          <w:b/>
          <w:bCs/>
          <w:sz w:val="24"/>
          <w:szCs w:val="24"/>
        </w:rPr>
        <w:t xml:space="preserve">Ayuntamiento de Toluca, </w:t>
      </w:r>
      <w:r w:rsidRPr="002A18FB">
        <w:rPr>
          <w:rFonts w:ascii="Palatino Linotype" w:eastAsia="Palatino Linotype" w:hAnsi="Palatino Linotype" w:cs="Palatino Linotype"/>
          <w:sz w:val="24"/>
          <w:szCs w:val="24"/>
        </w:rPr>
        <w:t xml:space="preserve">en </w:t>
      </w:r>
      <w:r w:rsidR="002A18FB">
        <w:rPr>
          <w:rFonts w:ascii="Palatino Linotype" w:eastAsia="Palatino Linotype" w:hAnsi="Palatino Linotype" w:cs="Palatino Linotype"/>
          <w:sz w:val="24"/>
          <w:szCs w:val="24"/>
        </w:rPr>
        <w:t>adelante</w:t>
      </w:r>
      <w:r w:rsidRPr="002A18FB">
        <w:rPr>
          <w:rFonts w:ascii="Palatino Linotype" w:eastAsia="Palatino Linotype" w:hAnsi="Palatino Linotype" w:cs="Palatino Linotype"/>
          <w:sz w:val="24"/>
          <w:szCs w:val="24"/>
        </w:rPr>
        <w:t xml:space="preserve"> el</w:t>
      </w:r>
      <w:r w:rsidRPr="002A18FB">
        <w:rPr>
          <w:rFonts w:ascii="Palatino Linotype" w:eastAsia="Palatino Linotype" w:hAnsi="Palatino Linotype" w:cs="Palatino Linotype"/>
          <w:b/>
          <w:bCs/>
          <w:sz w:val="24"/>
          <w:szCs w:val="24"/>
        </w:rPr>
        <w:t xml:space="preserve"> SUJETO OBLIGADO</w:t>
      </w:r>
      <w:r w:rsidRPr="002A18FB">
        <w:rPr>
          <w:rFonts w:ascii="Palatino Linotype" w:eastAsia="Palatino Linotype" w:hAnsi="Palatino Linotype" w:cs="Palatino Linotype"/>
          <w:sz w:val="24"/>
          <w:szCs w:val="24"/>
        </w:rPr>
        <w:t>, por lo que se procede a dictar la presente resolución, con base en los siguientes:</w:t>
      </w:r>
    </w:p>
    <w:p w:rsidR="00EF723B" w:rsidRPr="002A18FB" w:rsidRDefault="00EF723B" w:rsidP="00EF723B">
      <w:pPr>
        <w:spacing w:line="360" w:lineRule="auto"/>
        <w:jc w:val="both"/>
        <w:rPr>
          <w:rFonts w:ascii="Palatino Linotype" w:eastAsia="Palatino Linotype" w:hAnsi="Palatino Linotype" w:cs="Palatino Linotype"/>
          <w:b/>
          <w:bCs/>
          <w:sz w:val="24"/>
          <w:szCs w:val="24"/>
        </w:rPr>
      </w:pPr>
    </w:p>
    <w:p w:rsidR="00EF723B" w:rsidRDefault="00EF723B" w:rsidP="00EF723B">
      <w:pPr>
        <w:keepNext/>
        <w:keepLines/>
        <w:spacing w:line="360" w:lineRule="auto"/>
        <w:jc w:val="center"/>
        <w:rPr>
          <w:rFonts w:ascii="Palatino Linotype" w:eastAsia="Palatino Linotype" w:hAnsi="Palatino Linotype" w:cs="Palatino Linotype"/>
          <w:b/>
          <w:bCs/>
          <w:sz w:val="24"/>
          <w:szCs w:val="24"/>
        </w:rPr>
      </w:pPr>
      <w:bookmarkStart w:id="2" w:name="_heading=h.gjdgxs" w:colFirst="0" w:colLast="0"/>
      <w:bookmarkEnd w:id="2"/>
      <w:r w:rsidRPr="002A18FB">
        <w:rPr>
          <w:rFonts w:ascii="Palatino Linotype" w:eastAsia="Palatino Linotype" w:hAnsi="Palatino Linotype" w:cs="Palatino Linotype"/>
          <w:b/>
          <w:bCs/>
          <w:sz w:val="24"/>
          <w:szCs w:val="24"/>
        </w:rPr>
        <w:t>A</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N</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T</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E</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C</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E</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D</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E</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N</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T</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E</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S</w:t>
      </w:r>
    </w:p>
    <w:p w:rsidR="002A18FB" w:rsidRPr="002A18FB" w:rsidRDefault="002A18FB" w:rsidP="00EF723B">
      <w:pPr>
        <w:keepNext/>
        <w:keepLines/>
        <w:spacing w:line="360" w:lineRule="auto"/>
        <w:jc w:val="center"/>
        <w:rPr>
          <w:rFonts w:ascii="Palatino Linotype" w:eastAsia="Palatino Linotype" w:hAnsi="Palatino Linotype" w:cs="Palatino Linotype"/>
          <w:b/>
          <w:bCs/>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sz w:val="24"/>
          <w:szCs w:val="24"/>
        </w:rPr>
      </w:pPr>
      <w:r w:rsidRPr="002A18FB">
        <w:rPr>
          <w:rFonts w:ascii="Palatino Linotype" w:eastAsia="Palatino Linotype" w:hAnsi="Palatino Linotype" w:cs="Palatino Linotype"/>
          <w:sz w:val="24"/>
          <w:szCs w:val="24"/>
        </w:rPr>
        <w:t xml:space="preserve">El </w:t>
      </w:r>
      <w:r w:rsidRPr="002A18FB">
        <w:rPr>
          <w:rFonts w:ascii="Palatino Linotype" w:eastAsia="Palatino Linotype" w:hAnsi="Palatino Linotype" w:cs="Palatino Linotype"/>
          <w:b/>
          <w:bCs/>
          <w:sz w:val="24"/>
          <w:szCs w:val="24"/>
        </w:rPr>
        <w:t>cinco de diciembre de dos mil veinticinco</w:t>
      </w:r>
      <w:r w:rsidRPr="002A18FB">
        <w:rPr>
          <w:rFonts w:ascii="Palatino Linotype" w:eastAsia="Palatino Linotype" w:hAnsi="Palatino Linotype" w:cs="Palatino Linotype"/>
          <w:sz w:val="24"/>
          <w:szCs w:val="24"/>
        </w:rPr>
        <w:t xml:space="preserve">, </w:t>
      </w:r>
      <w:r w:rsidRPr="002A18FB">
        <w:rPr>
          <w:rFonts w:ascii="Palatino Linotype" w:eastAsia="Palatino Linotype" w:hAnsi="Palatino Linotype" w:cs="Palatino Linotype"/>
          <w:b/>
          <w:bCs/>
          <w:sz w:val="24"/>
          <w:szCs w:val="24"/>
        </w:rPr>
        <w:t>EL RECURRENTE,</w:t>
      </w:r>
      <w:r w:rsidRPr="002A18FB">
        <w:rPr>
          <w:rFonts w:ascii="Palatino Linotype" w:eastAsia="Palatino Linotype" w:hAnsi="Palatino Linotype" w:cs="Palatino Linotype"/>
          <w:sz w:val="24"/>
          <w:szCs w:val="24"/>
        </w:rPr>
        <w:t xml:space="preserve"> ante el </w:t>
      </w:r>
      <w:r w:rsidRPr="002A18FB">
        <w:rPr>
          <w:rFonts w:ascii="Palatino Linotype" w:eastAsia="Palatino Linotype" w:hAnsi="Palatino Linotype" w:cs="Palatino Linotype"/>
          <w:b/>
          <w:bCs/>
          <w:sz w:val="24"/>
          <w:szCs w:val="24"/>
        </w:rPr>
        <w:t>SUJETO OBLIGADO</w:t>
      </w:r>
      <w:r w:rsidRPr="002A18FB">
        <w:rPr>
          <w:rFonts w:ascii="Palatino Linotype" w:eastAsia="Palatino Linotype" w:hAnsi="Palatino Linotype" w:cs="Palatino Linotype"/>
          <w:sz w:val="24"/>
          <w:szCs w:val="24"/>
        </w:rPr>
        <w:t xml:space="preserve"> vía Sistema de Acceso a la Información Mexiquense (</w:t>
      </w:r>
      <w:r w:rsidRPr="002A18FB">
        <w:rPr>
          <w:rFonts w:ascii="Palatino Linotype" w:eastAsia="Palatino Linotype" w:hAnsi="Palatino Linotype" w:cs="Palatino Linotype"/>
          <w:b/>
          <w:bCs/>
          <w:sz w:val="24"/>
          <w:szCs w:val="24"/>
        </w:rPr>
        <w:t>SAIMEX)</w:t>
      </w:r>
      <w:r w:rsidRPr="002A18FB">
        <w:rPr>
          <w:rFonts w:ascii="Palatino Linotype" w:eastAsia="Palatino Linotype" w:hAnsi="Palatino Linotype" w:cs="Palatino Linotype"/>
          <w:sz w:val="24"/>
          <w:szCs w:val="24"/>
        </w:rPr>
        <w:t>, presentó la solicitud de información registrada con el número</w:t>
      </w:r>
      <w:r w:rsidRPr="002A18FB">
        <w:rPr>
          <w:rFonts w:ascii="Palatino Linotype" w:eastAsia="Palatino Linotype" w:hAnsi="Palatino Linotype" w:cs="Palatino Linotype"/>
          <w:b/>
          <w:bCs/>
          <w:sz w:val="24"/>
          <w:szCs w:val="24"/>
        </w:rPr>
        <w:t xml:space="preserve"> 06973/TOLUCA/IP/2025, </w:t>
      </w:r>
      <w:r w:rsidRPr="002A18FB">
        <w:rPr>
          <w:rFonts w:ascii="Palatino Linotype" w:eastAsia="Palatino Linotype" w:hAnsi="Palatino Linotype" w:cs="Palatino Linotype"/>
          <w:sz w:val="24"/>
          <w:szCs w:val="24"/>
        </w:rPr>
        <w:t>mediante la cual solicitó lo siguiente:</w:t>
      </w:r>
    </w:p>
    <w:p w:rsidR="00EF723B" w:rsidRPr="002A18FB" w:rsidRDefault="00EF723B" w:rsidP="00EF723B">
      <w:pPr>
        <w:pBdr>
          <w:top w:val="nil"/>
          <w:left w:val="nil"/>
          <w:bottom w:val="nil"/>
          <w:right w:val="nil"/>
          <w:between w:val="nil"/>
        </w:pBdr>
        <w:spacing w:line="360" w:lineRule="auto"/>
        <w:ind w:left="1069" w:right="567"/>
        <w:jc w:val="both"/>
        <w:rPr>
          <w:rFonts w:ascii="Palatino Linotype" w:eastAsia="Palatino Linotype" w:hAnsi="Palatino Linotype" w:cs="Palatino Linotype"/>
          <w:i/>
          <w:iCs/>
          <w:color w:val="000000"/>
          <w:sz w:val="24"/>
          <w:szCs w:val="24"/>
        </w:rPr>
      </w:pPr>
    </w:p>
    <w:p w:rsidR="00EF723B" w:rsidRPr="002A18FB" w:rsidRDefault="00EF723B" w:rsidP="00EF723B">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r w:rsidRPr="002A18FB">
        <w:rPr>
          <w:rFonts w:ascii="Palatino Linotype" w:eastAsia="Palatino Linotype" w:hAnsi="Palatino Linotype" w:cs="Palatino Linotype"/>
          <w:i/>
          <w:iCs/>
          <w:color w:val="000000"/>
          <w:sz w:val="24"/>
          <w:szCs w:val="24"/>
        </w:rPr>
        <w:t>“</w:t>
      </w:r>
      <w:r w:rsidRPr="002A18FB">
        <w:rPr>
          <w:rFonts w:ascii="Palatino Linotype" w:eastAsia="Palatino Linotype" w:hAnsi="Palatino Linotype" w:cs="Palatino Linotype"/>
          <w:i/>
          <w:iCs/>
          <w:color w:val="000000"/>
          <w:sz w:val="24"/>
          <w:szCs w:val="24"/>
        </w:rPr>
        <w:tab/>
        <w:t xml:space="preserve">Del recurso de revisión 04409/INFOEM/IP/RR/2025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w:t>
      </w:r>
      <w:r w:rsidRPr="002A18FB">
        <w:rPr>
          <w:rFonts w:ascii="Palatino Linotype" w:eastAsia="Palatino Linotype" w:hAnsi="Palatino Linotype" w:cs="Palatino Linotype"/>
          <w:i/>
          <w:iCs/>
          <w:color w:val="000000"/>
          <w:sz w:val="24"/>
          <w:szCs w:val="24"/>
        </w:rPr>
        <w:lastRenderedPageBreak/>
        <w:t xml:space="preserve">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 </w:t>
      </w:r>
    </w:p>
    <w:p w:rsidR="00EF723B" w:rsidRPr="002A18FB" w:rsidRDefault="00EF723B" w:rsidP="00EF723B">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EF723B" w:rsidRPr="002A18FB" w:rsidRDefault="00EF723B" w:rsidP="002A18FB">
      <w:pPr>
        <w:numPr>
          <w:ilvl w:val="0"/>
          <w:numId w:val="11"/>
        </w:numPr>
        <w:spacing w:line="360" w:lineRule="auto"/>
        <w:ind w:left="0" w:right="567" w:firstLine="0"/>
        <w:jc w:val="both"/>
        <w:rPr>
          <w:rFonts w:ascii="Palatino Linotype" w:eastAsia="Palatino Linotype" w:hAnsi="Palatino Linotype" w:cs="Palatino Linotype"/>
          <w:sz w:val="24"/>
          <w:szCs w:val="24"/>
        </w:rPr>
      </w:pPr>
      <w:r w:rsidRPr="002A18FB">
        <w:rPr>
          <w:rFonts w:ascii="Palatino Linotype" w:eastAsia="Palatino Linotype" w:hAnsi="Palatino Linotype" w:cs="Palatino Linotype"/>
          <w:sz w:val="24"/>
          <w:szCs w:val="24"/>
        </w:rPr>
        <w:t xml:space="preserve">Modalidad de entrega: </w:t>
      </w:r>
      <w:r w:rsidRPr="002A18FB">
        <w:rPr>
          <w:rFonts w:ascii="Palatino Linotype" w:eastAsia="Palatino Linotype" w:hAnsi="Palatino Linotype" w:cs="Palatino Linotype"/>
          <w:b/>
          <w:bCs/>
          <w:sz w:val="24"/>
          <w:szCs w:val="24"/>
        </w:rPr>
        <w:t>Vía SAIMEX.</w:t>
      </w:r>
    </w:p>
    <w:p w:rsidR="00EF723B" w:rsidRPr="002A18FB" w:rsidRDefault="00EF723B" w:rsidP="00EF723B">
      <w:pPr>
        <w:spacing w:line="360" w:lineRule="auto"/>
        <w:ind w:left="1146" w:right="567"/>
        <w:jc w:val="both"/>
        <w:rPr>
          <w:rFonts w:ascii="Palatino Linotype" w:eastAsia="Palatino Linotype" w:hAnsi="Palatino Linotype" w:cs="Palatino Linotype"/>
          <w:b/>
          <w:bCs/>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b/>
          <w:bCs/>
          <w:sz w:val="24"/>
          <w:szCs w:val="24"/>
        </w:rPr>
      </w:pPr>
      <w:r w:rsidRPr="002A18FB">
        <w:rPr>
          <w:rFonts w:ascii="Palatino Linotype" w:eastAsia="Palatino Linotype" w:hAnsi="Palatino Linotype" w:cs="Palatino Linotype"/>
          <w:sz w:val="24"/>
          <w:szCs w:val="24"/>
        </w:rPr>
        <w:t xml:space="preserve">El </w:t>
      </w:r>
      <w:r w:rsidRPr="002A18FB">
        <w:rPr>
          <w:rFonts w:ascii="Palatino Linotype" w:eastAsia="Palatino Linotype" w:hAnsi="Palatino Linotype" w:cs="Palatino Linotype"/>
          <w:b/>
          <w:bCs/>
          <w:sz w:val="24"/>
          <w:szCs w:val="24"/>
        </w:rPr>
        <w:t xml:space="preserve">quince de enero de dos mil veintiséis, </w:t>
      </w:r>
      <w:r w:rsidRPr="002A18FB">
        <w:rPr>
          <w:rFonts w:ascii="Palatino Linotype" w:eastAsia="Palatino Linotype" w:hAnsi="Palatino Linotype" w:cs="Palatino Linotype"/>
          <w:sz w:val="24"/>
          <w:szCs w:val="24"/>
        </w:rPr>
        <w:t xml:space="preserve">el </w:t>
      </w:r>
      <w:r w:rsidRPr="002A18FB">
        <w:rPr>
          <w:rFonts w:ascii="Palatino Linotype" w:eastAsia="Palatino Linotype" w:hAnsi="Palatino Linotype" w:cs="Palatino Linotype"/>
          <w:b/>
          <w:bCs/>
          <w:sz w:val="24"/>
          <w:szCs w:val="24"/>
        </w:rPr>
        <w:t xml:space="preserve">SUJETO OBLIGADO, </w:t>
      </w:r>
      <w:r w:rsidRPr="002A18FB">
        <w:rPr>
          <w:rFonts w:ascii="Palatino Linotype" w:eastAsia="Palatino Linotype" w:hAnsi="Palatino Linotype" w:cs="Palatino Linotype"/>
          <w:sz w:val="24"/>
          <w:szCs w:val="24"/>
        </w:rPr>
        <w:t xml:space="preserve">dio </w:t>
      </w:r>
      <w:r w:rsidRPr="002A18FB">
        <w:rPr>
          <w:rFonts w:ascii="Palatino Linotype" w:eastAsia="Palatino Linotype" w:hAnsi="Palatino Linotype" w:cs="Palatino Linotype"/>
          <w:b/>
          <w:bCs/>
          <w:sz w:val="24"/>
          <w:szCs w:val="24"/>
        </w:rPr>
        <w:t>RESPUESTA</w:t>
      </w:r>
      <w:r w:rsidRPr="002A18FB">
        <w:rPr>
          <w:rFonts w:ascii="Palatino Linotype" w:eastAsia="Palatino Linotype" w:hAnsi="Palatino Linotype" w:cs="Palatino Linotype"/>
          <w:sz w:val="24"/>
          <w:szCs w:val="24"/>
        </w:rPr>
        <w:t xml:space="preserve"> a través del archivo</w:t>
      </w:r>
      <w:r w:rsidRP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color w:val="000000"/>
          <w:sz w:val="24"/>
          <w:szCs w:val="24"/>
        </w:rPr>
        <w:t xml:space="preserve">06973.2025.pdf, </w:t>
      </w:r>
      <w:r w:rsidRPr="002A18FB">
        <w:rPr>
          <w:rFonts w:ascii="Palatino Linotype" w:eastAsia="Palatino Linotype" w:hAnsi="Palatino Linotype" w:cs="Palatino Linotype"/>
          <w:bCs/>
          <w:color w:val="000000"/>
          <w:sz w:val="24"/>
          <w:szCs w:val="24"/>
        </w:rPr>
        <w:t xml:space="preserve">del que se desprende el </w:t>
      </w:r>
      <w:r w:rsidRPr="002A18FB">
        <w:rPr>
          <w:rFonts w:ascii="Palatino Linotype" w:eastAsia="Palatino Linotype" w:hAnsi="Palatino Linotype" w:cs="Palatino Linotype"/>
          <w:color w:val="000000"/>
          <w:sz w:val="24"/>
          <w:szCs w:val="24"/>
        </w:rPr>
        <w:t>oficio firmado por la Titular de la Unidad de Transparencia, por el que informo lo siguiente:</w:t>
      </w:r>
    </w:p>
    <w:p w:rsidR="002A18FB" w:rsidRPr="002A18FB" w:rsidRDefault="002A18FB" w:rsidP="002A18FB">
      <w:pPr>
        <w:spacing w:line="360" w:lineRule="auto"/>
        <w:jc w:val="both"/>
        <w:rPr>
          <w:rFonts w:ascii="Palatino Linotype" w:eastAsia="Palatino Linotype" w:hAnsi="Palatino Linotype" w:cs="Palatino Linotype"/>
          <w:b/>
          <w:bCs/>
          <w:sz w:val="24"/>
          <w:szCs w:val="24"/>
        </w:rPr>
      </w:pPr>
    </w:p>
    <w:p w:rsidR="00EF723B" w:rsidRPr="002A18FB" w:rsidRDefault="00EF723B" w:rsidP="00EF723B">
      <w:pPr>
        <w:pBdr>
          <w:top w:val="nil"/>
          <w:left w:val="nil"/>
          <w:bottom w:val="nil"/>
          <w:right w:val="nil"/>
          <w:between w:val="nil"/>
        </w:pBdr>
        <w:spacing w:line="360" w:lineRule="auto"/>
        <w:ind w:right="539"/>
        <w:jc w:val="center"/>
        <w:rPr>
          <w:rFonts w:ascii="Palatino Linotype" w:eastAsia="Palatino Linotype" w:hAnsi="Palatino Linotype" w:cs="Palatino Linotype"/>
          <w:sz w:val="24"/>
          <w:szCs w:val="24"/>
        </w:rPr>
      </w:pPr>
      <w:r w:rsidRPr="002A18FB">
        <w:rPr>
          <w:rFonts w:ascii="Palatino Linotype" w:eastAsia="Palatino Linotype" w:hAnsi="Palatino Linotype" w:cs="Palatino Linotype"/>
          <w:noProof/>
          <w:sz w:val="24"/>
          <w:szCs w:val="24"/>
        </w:rPr>
        <w:drawing>
          <wp:inline distT="0" distB="0" distL="0" distR="0" wp14:anchorId="3C6CD7CF" wp14:editId="55B4FB9A">
            <wp:extent cx="5742940" cy="8477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42940" cy="847725"/>
                    </a:xfrm>
                    <a:prstGeom prst="rect">
                      <a:avLst/>
                    </a:prstGeom>
                  </pic:spPr>
                </pic:pic>
              </a:graphicData>
            </a:graphic>
          </wp:inline>
        </w:drawing>
      </w:r>
    </w:p>
    <w:p w:rsidR="00EF723B" w:rsidRDefault="00EF723B" w:rsidP="00EF723B">
      <w:pPr>
        <w:spacing w:line="360" w:lineRule="auto"/>
        <w:jc w:val="both"/>
        <w:rPr>
          <w:rFonts w:ascii="Palatino Linotype" w:eastAsia="Palatino Linotype" w:hAnsi="Palatino Linotype" w:cs="Palatino Linotype"/>
          <w:sz w:val="24"/>
          <w:szCs w:val="24"/>
        </w:rPr>
      </w:pPr>
    </w:p>
    <w:p w:rsidR="002A18FB" w:rsidRPr="002A18FB" w:rsidRDefault="002A18FB" w:rsidP="00EF723B">
      <w:pPr>
        <w:spacing w:line="360" w:lineRule="auto"/>
        <w:jc w:val="both"/>
        <w:rPr>
          <w:rFonts w:ascii="Palatino Linotype" w:eastAsia="Palatino Linotype" w:hAnsi="Palatino Linotype" w:cs="Palatino Linotype"/>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sz w:val="24"/>
          <w:szCs w:val="24"/>
        </w:rPr>
      </w:pPr>
      <w:r w:rsidRPr="002A18FB">
        <w:rPr>
          <w:rFonts w:ascii="Palatino Linotype" w:eastAsia="Palatino Linotype" w:hAnsi="Palatino Linotype" w:cs="Palatino Linotype"/>
          <w:sz w:val="24"/>
          <w:szCs w:val="24"/>
        </w:rPr>
        <w:t xml:space="preserve">Inconforme con lo anterior, el </w:t>
      </w:r>
      <w:r w:rsidRPr="002A18FB">
        <w:rPr>
          <w:rFonts w:ascii="Palatino Linotype" w:eastAsia="Palatino Linotype" w:hAnsi="Palatino Linotype" w:cs="Palatino Linotype"/>
          <w:b/>
          <w:bCs/>
          <w:sz w:val="24"/>
          <w:szCs w:val="24"/>
        </w:rPr>
        <w:t>dieciséis de enero de dos mil veintiséis</w:t>
      </w:r>
      <w:r w:rsidRPr="002A18FB">
        <w:rPr>
          <w:rFonts w:ascii="Palatino Linotype" w:eastAsia="Palatino Linotype" w:hAnsi="Palatino Linotype" w:cs="Palatino Linotype"/>
          <w:sz w:val="24"/>
          <w:szCs w:val="24"/>
        </w:rPr>
        <w:t xml:space="preserve">,  el </w:t>
      </w:r>
      <w:r w:rsidRPr="002A18FB">
        <w:rPr>
          <w:rFonts w:ascii="Palatino Linotype" w:eastAsia="Palatino Linotype" w:hAnsi="Palatino Linotype" w:cs="Palatino Linotype"/>
          <w:b/>
          <w:bCs/>
          <w:sz w:val="24"/>
          <w:szCs w:val="24"/>
        </w:rPr>
        <w:t xml:space="preserve">SUJETO OBLIGADO </w:t>
      </w:r>
      <w:r w:rsidRPr="002A18FB">
        <w:rPr>
          <w:rFonts w:ascii="Palatino Linotype" w:eastAsia="Palatino Linotype" w:hAnsi="Palatino Linotype" w:cs="Palatino Linotype"/>
          <w:sz w:val="24"/>
          <w:szCs w:val="24"/>
        </w:rPr>
        <w:t xml:space="preserve">interpuso recurso de revisión, arguyendo como </w:t>
      </w:r>
    </w:p>
    <w:p w:rsidR="00EF723B" w:rsidRPr="002A18FB" w:rsidRDefault="00EF723B" w:rsidP="00EF723B">
      <w:pPr>
        <w:numPr>
          <w:ilvl w:val="0"/>
          <w:numId w:val="2"/>
        </w:numPr>
        <w:pBdr>
          <w:top w:val="nil"/>
          <w:left w:val="nil"/>
          <w:bottom w:val="nil"/>
          <w:right w:val="nil"/>
          <w:between w:val="nil"/>
        </w:pBdr>
        <w:ind w:right="539"/>
        <w:jc w:val="both"/>
        <w:rPr>
          <w:rFonts w:ascii="Palatino Linotype" w:eastAsia="Palatino Linotype" w:hAnsi="Palatino Linotype" w:cs="Palatino Linotype"/>
          <w:i/>
          <w:iCs/>
          <w:color w:val="000000"/>
          <w:sz w:val="24"/>
          <w:szCs w:val="24"/>
        </w:rPr>
      </w:pPr>
      <w:r w:rsidRPr="002A18FB">
        <w:rPr>
          <w:rFonts w:ascii="Palatino Linotype" w:eastAsia="Palatino Linotype" w:hAnsi="Palatino Linotype" w:cs="Palatino Linotype"/>
          <w:b/>
          <w:bCs/>
          <w:color w:val="000000"/>
          <w:sz w:val="24"/>
          <w:szCs w:val="24"/>
        </w:rPr>
        <w:lastRenderedPageBreak/>
        <w:t>Acto impugnado</w:t>
      </w:r>
      <w:r w:rsidRPr="002A18FB">
        <w:rPr>
          <w:rFonts w:ascii="Palatino Linotype" w:eastAsia="Palatino Linotype" w:hAnsi="Palatino Linotype" w:cs="Palatino Linotype"/>
          <w:b/>
          <w:bCs/>
          <w:i/>
          <w:iCs/>
          <w:color w:val="000000"/>
          <w:sz w:val="24"/>
          <w:szCs w:val="24"/>
        </w:rPr>
        <w:t>:</w:t>
      </w:r>
      <w:r w:rsidRPr="002A18FB">
        <w:rPr>
          <w:rFonts w:ascii="Palatino Linotype" w:eastAsia="Palatino Linotype" w:hAnsi="Palatino Linotype" w:cs="Palatino Linotype"/>
          <w:color w:val="000000"/>
          <w:sz w:val="24"/>
          <w:szCs w:val="24"/>
        </w:rPr>
        <w:t xml:space="preserve"> </w:t>
      </w:r>
      <w:r w:rsidRPr="002A18FB">
        <w:rPr>
          <w:rFonts w:ascii="Palatino Linotype" w:eastAsia="Palatino Linotype" w:hAnsi="Palatino Linotype" w:cs="Palatino Linotype"/>
          <w:i/>
          <w:iCs/>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(sic)</w:t>
      </w:r>
    </w:p>
    <w:p w:rsidR="00EF723B" w:rsidRPr="002A18FB" w:rsidRDefault="00EF723B" w:rsidP="00EF723B">
      <w:pPr>
        <w:pBdr>
          <w:top w:val="nil"/>
          <w:left w:val="nil"/>
          <w:bottom w:val="nil"/>
          <w:right w:val="nil"/>
          <w:between w:val="nil"/>
        </w:pBdr>
        <w:ind w:left="720" w:right="539"/>
        <w:jc w:val="both"/>
        <w:rPr>
          <w:rFonts w:ascii="Palatino Linotype" w:eastAsia="Palatino Linotype" w:hAnsi="Palatino Linotype" w:cs="Palatino Linotype"/>
          <w:color w:val="000000"/>
          <w:sz w:val="24"/>
          <w:szCs w:val="24"/>
        </w:rPr>
      </w:pPr>
    </w:p>
    <w:p w:rsidR="00EF723B" w:rsidRPr="002A18FB" w:rsidRDefault="00EF723B" w:rsidP="00EF723B">
      <w:pPr>
        <w:numPr>
          <w:ilvl w:val="0"/>
          <w:numId w:val="2"/>
        </w:numPr>
        <w:pBdr>
          <w:top w:val="nil"/>
          <w:left w:val="nil"/>
          <w:bottom w:val="nil"/>
          <w:right w:val="nil"/>
          <w:between w:val="nil"/>
        </w:pBdr>
        <w:ind w:right="539"/>
        <w:jc w:val="both"/>
        <w:rPr>
          <w:rFonts w:ascii="Palatino Linotype" w:eastAsia="Palatino Linotype" w:hAnsi="Palatino Linotype" w:cs="Palatino Linotype"/>
          <w:color w:val="000000"/>
          <w:sz w:val="24"/>
          <w:szCs w:val="24"/>
        </w:rPr>
      </w:pPr>
      <w:r w:rsidRPr="002A18FB">
        <w:rPr>
          <w:rFonts w:ascii="Palatino Linotype" w:eastAsia="Palatino Linotype" w:hAnsi="Palatino Linotype" w:cs="Palatino Linotype"/>
          <w:b/>
          <w:bCs/>
          <w:color w:val="000000"/>
          <w:sz w:val="24"/>
          <w:szCs w:val="24"/>
        </w:rPr>
        <w:t>Razones o Motivos de inconformidad: “</w:t>
      </w:r>
      <w:r w:rsidRPr="002A18FB">
        <w:rPr>
          <w:rFonts w:ascii="Palatino Linotype" w:eastAsia="Palatino Linotype" w:hAnsi="Palatino Linotype" w:cs="Palatino Linotype"/>
          <w:i/>
          <w:iCs/>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(sic)</w:t>
      </w:r>
    </w:p>
    <w:p w:rsidR="00EF723B" w:rsidRPr="002A18FB" w:rsidRDefault="00EF723B" w:rsidP="00EF723B">
      <w:pPr>
        <w:pBdr>
          <w:top w:val="nil"/>
          <w:left w:val="nil"/>
          <w:bottom w:val="nil"/>
          <w:right w:val="nil"/>
          <w:between w:val="nil"/>
        </w:pBdr>
        <w:spacing w:line="360" w:lineRule="auto"/>
        <w:ind w:left="643" w:right="539" w:hanging="360"/>
        <w:jc w:val="both"/>
        <w:rPr>
          <w:rFonts w:ascii="Palatino Linotype" w:eastAsia="Palatino Linotype" w:hAnsi="Palatino Linotype" w:cs="Palatino Linotype"/>
          <w:color w:val="000000"/>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sz w:val="24"/>
          <w:szCs w:val="24"/>
        </w:rPr>
      </w:pPr>
      <w:r w:rsidRPr="002A18FB">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2A18FB">
        <w:rPr>
          <w:rFonts w:ascii="Palatino Linotype" w:eastAsia="Palatino Linotype" w:hAnsi="Palatino Linotype" w:cs="Palatino Linotype"/>
          <w:b/>
          <w:bCs/>
          <w:sz w:val="24"/>
          <w:szCs w:val="24"/>
        </w:rPr>
        <w:t xml:space="preserve">Ley de Transparencia y Acceso a la Información Pública del Estado de México y Municipios </w:t>
      </w:r>
      <w:r w:rsidRPr="002A18FB">
        <w:rPr>
          <w:rFonts w:ascii="Palatino Linotype" w:eastAsia="Palatino Linotype" w:hAnsi="Palatino Linotype" w:cs="Palatino Linotype"/>
          <w:sz w:val="24"/>
          <w:szCs w:val="24"/>
        </w:rPr>
        <w:t xml:space="preserve">se turnó a la </w:t>
      </w:r>
      <w:r w:rsidRPr="002A18FB">
        <w:rPr>
          <w:rFonts w:ascii="Palatino Linotype" w:eastAsia="Palatino Linotype" w:hAnsi="Palatino Linotype" w:cs="Palatino Linotype"/>
          <w:b/>
          <w:bCs/>
          <w:sz w:val="24"/>
          <w:szCs w:val="24"/>
        </w:rPr>
        <w:t xml:space="preserve">Comisionada María del Rosario Mejía Ayala, </w:t>
      </w:r>
      <w:r w:rsidRPr="002A18FB">
        <w:rPr>
          <w:rFonts w:ascii="Palatino Linotype" w:eastAsia="Palatino Linotype" w:hAnsi="Palatino Linotype" w:cs="Palatino Linotype"/>
          <w:sz w:val="24"/>
          <w:szCs w:val="24"/>
        </w:rPr>
        <w:t xml:space="preserve">con el objeto de su análisis. </w:t>
      </w:r>
    </w:p>
    <w:p w:rsidR="00EF723B" w:rsidRPr="002A18FB" w:rsidRDefault="00EF723B" w:rsidP="00EF723B">
      <w:pPr>
        <w:spacing w:line="360" w:lineRule="auto"/>
        <w:jc w:val="both"/>
        <w:rPr>
          <w:rFonts w:ascii="Palatino Linotype" w:eastAsia="Palatino Linotype" w:hAnsi="Palatino Linotype" w:cs="Palatino Linotype"/>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i/>
          <w:iCs/>
          <w:sz w:val="24"/>
          <w:szCs w:val="24"/>
        </w:rPr>
      </w:pPr>
      <w:r w:rsidRPr="002A18FB">
        <w:rPr>
          <w:rFonts w:ascii="Palatino Linotype" w:eastAsia="Palatino Linotype" w:hAnsi="Palatino Linotype" w:cs="Palatino Linotype"/>
          <w:sz w:val="24"/>
          <w:szCs w:val="24"/>
        </w:rPr>
        <w:t xml:space="preserve">La Comisionada Ponente con fundamento en lo dispuesto por el artículo 18 fracción II de la ley de la materia, a través del acuerdo de admisión notificado el </w:t>
      </w:r>
      <w:r w:rsidRPr="002A18FB">
        <w:rPr>
          <w:rFonts w:ascii="Palatino Linotype" w:eastAsia="Palatino Linotype" w:hAnsi="Palatino Linotype" w:cs="Palatino Linotype"/>
          <w:b/>
          <w:bCs/>
          <w:sz w:val="24"/>
          <w:szCs w:val="24"/>
        </w:rPr>
        <w:t>diecinueve de enero de dos mil veintiséis,</w:t>
      </w:r>
      <w:r w:rsidRPr="002A18FB">
        <w:rPr>
          <w:rFonts w:ascii="Palatino Linotype" w:eastAsia="Palatino Linotype" w:hAnsi="Palatino Linotype" w:cs="Palatino Linotype"/>
          <w:sz w:val="24"/>
          <w:szCs w:val="24"/>
        </w:rPr>
        <w:t xml:space="preserve"> se puso a disposición de las partes el expediente electrónico vía </w:t>
      </w:r>
      <w:r w:rsidRPr="002A18FB">
        <w:rPr>
          <w:rFonts w:ascii="Palatino Linotype" w:eastAsia="Palatino Linotype" w:hAnsi="Palatino Linotype" w:cs="Palatino Linotype"/>
          <w:b/>
          <w:bCs/>
          <w:sz w:val="24"/>
          <w:szCs w:val="24"/>
        </w:rPr>
        <w:t xml:space="preserve">SAIMEX </w:t>
      </w:r>
      <w:r w:rsidRPr="002A18FB">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Pr="002A18FB">
        <w:rPr>
          <w:rFonts w:ascii="Palatino Linotype" w:eastAsia="Palatino Linotype" w:hAnsi="Palatino Linotype" w:cs="Palatino Linotype"/>
          <w:b/>
          <w:bCs/>
          <w:sz w:val="24"/>
          <w:szCs w:val="24"/>
        </w:rPr>
        <w:t>SUJETO OBLIGADO</w:t>
      </w:r>
      <w:r w:rsidRPr="002A18FB">
        <w:rPr>
          <w:rFonts w:ascii="Palatino Linotype" w:eastAsia="Palatino Linotype" w:hAnsi="Palatino Linotype" w:cs="Palatino Linotype"/>
          <w:sz w:val="24"/>
          <w:szCs w:val="24"/>
        </w:rPr>
        <w:t xml:space="preserve"> presentara el informe justificado procedente. </w:t>
      </w: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i/>
          <w:iCs/>
          <w:sz w:val="24"/>
          <w:szCs w:val="24"/>
        </w:rPr>
      </w:pPr>
      <w:r w:rsidRPr="002A18FB">
        <w:rPr>
          <w:rFonts w:ascii="Palatino Linotype" w:eastAsia="Palatino Linotype" w:hAnsi="Palatino Linotype" w:cs="Palatino Linotype"/>
          <w:sz w:val="24"/>
          <w:szCs w:val="24"/>
        </w:rPr>
        <w:lastRenderedPageBreak/>
        <w:t xml:space="preserve">De las constancias que obran en el expediente electrónico SAIMEX, se advierte que el </w:t>
      </w:r>
      <w:r w:rsidRPr="002A18FB">
        <w:rPr>
          <w:rFonts w:ascii="Palatino Linotype" w:eastAsia="Palatino Linotype" w:hAnsi="Palatino Linotype" w:cs="Palatino Linotype"/>
          <w:b/>
          <w:bCs/>
          <w:sz w:val="24"/>
          <w:szCs w:val="24"/>
        </w:rPr>
        <w:t>PARTICULAR,</w:t>
      </w:r>
      <w:r w:rsidRPr="002A18FB">
        <w:rPr>
          <w:rFonts w:ascii="Palatino Linotype" w:eastAsia="Palatino Linotype" w:hAnsi="Palatino Linotype" w:cs="Palatino Linotype"/>
          <w:sz w:val="24"/>
          <w:szCs w:val="24"/>
        </w:rPr>
        <w:t xml:space="preserve"> no realizo manifestación alguna.</w:t>
      </w:r>
    </w:p>
    <w:p w:rsidR="00EF723B" w:rsidRPr="002A18FB" w:rsidRDefault="00EF723B" w:rsidP="00EF723B">
      <w:pPr>
        <w:spacing w:line="360" w:lineRule="auto"/>
        <w:jc w:val="both"/>
        <w:rPr>
          <w:rFonts w:ascii="Palatino Linotype" w:eastAsia="Palatino Linotype" w:hAnsi="Palatino Linotype" w:cs="Palatino Linotype"/>
          <w:i/>
          <w:iCs/>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color w:val="FF0000"/>
          <w:sz w:val="24"/>
          <w:szCs w:val="24"/>
        </w:rPr>
      </w:pPr>
      <w:r w:rsidRPr="002A18FB">
        <w:rPr>
          <w:rFonts w:ascii="Palatino Linotype" w:eastAsia="Palatino Linotype" w:hAnsi="Palatino Linotype" w:cs="Palatino Linotype"/>
          <w:sz w:val="24"/>
          <w:szCs w:val="24"/>
        </w:rPr>
        <w:t xml:space="preserve">El </w:t>
      </w:r>
      <w:r w:rsidRPr="002A18FB">
        <w:rPr>
          <w:rFonts w:ascii="Palatino Linotype" w:eastAsia="Palatino Linotype" w:hAnsi="Palatino Linotype" w:cs="Palatino Linotype"/>
          <w:b/>
          <w:bCs/>
          <w:sz w:val="24"/>
          <w:szCs w:val="24"/>
        </w:rPr>
        <w:t xml:space="preserve">SUJETO OBLIGADO, </w:t>
      </w:r>
      <w:r w:rsidRPr="002A18FB">
        <w:rPr>
          <w:rFonts w:ascii="Palatino Linotype" w:eastAsia="Palatino Linotype" w:hAnsi="Palatino Linotype" w:cs="Palatino Linotype"/>
          <w:sz w:val="24"/>
          <w:szCs w:val="24"/>
        </w:rPr>
        <w:t xml:space="preserve">rindió el informe justificado a través del archivo </w:t>
      </w:r>
      <w:r w:rsidRPr="002A18FB">
        <w:rPr>
          <w:rFonts w:ascii="Palatino Linotype" w:eastAsia="Palatino Linotype" w:hAnsi="Palatino Linotype" w:cs="Palatino Linotype"/>
          <w:b/>
          <w:bCs/>
          <w:sz w:val="24"/>
          <w:szCs w:val="24"/>
        </w:rPr>
        <w:t xml:space="preserve">Ratificación 00633.pdf, </w:t>
      </w:r>
      <w:r w:rsidR="00103C0C" w:rsidRPr="002A18FB">
        <w:rPr>
          <w:rFonts w:ascii="Palatino Linotype" w:eastAsia="Palatino Linotype" w:hAnsi="Palatino Linotype" w:cs="Palatino Linotype"/>
          <w:bCs/>
          <w:sz w:val="24"/>
          <w:szCs w:val="24"/>
        </w:rPr>
        <w:t>del que se desprende el oficio firmado por el Titular de la Unidad de Transparencia, por el que ratifico su respuesta primigenia.</w:t>
      </w:r>
    </w:p>
    <w:p w:rsidR="00EF723B" w:rsidRPr="002A18FB" w:rsidRDefault="00EF723B" w:rsidP="00EF723B">
      <w:pPr>
        <w:spacing w:line="360" w:lineRule="auto"/>
        <w:jc w:val="both"/>
        <w:rPr>
          <w:rFonts w:ascii="Palatino Linotype" w:eastAsia="Palatino Linotype" w:hAnsi="Palatino Linotype" w:cs="Palatino Linotype"/>
          <w:color w:val="FF0000"/>
          <w:sz w:val="24"/>
          <w:szCs w:val="24"/>
        </w:rPr>
      </w:pPr>
    </w:p>
    <w:p w:rsidR="00EF723B" w:rsidRPr="002A18FB" w:rsidRDefault="00EF723B" w:rsidP="00EF723B">
      <w:pPr>
        <w:numPr>
          <w:ilvl w:val="0"/>
          <w:numId w:val="6"/>
        </w:numPr>
        <w:spacing w:line="360" w:lineRule="auto"/>
        <w:ind w:left="0" w:firstLine="0"/>
        <w:jc w:val="both"/>
        <w:rPr>
          <w:rFonts w:ascii="Palatino Linotype" w:eastAsia="Palatino Linotype" w:hAnsi="Palatino Linotype" w:cs="Palatino Linotype"/>
          <w:color w:val="FF0000"/>
          <w:sz w:val="24"/>
          <w:szCs w:val="24"/>
        </w:rPr>
      </w:pPr>
      <w:r w:rsidRPr="002A18FB">
        <w:rPr>
          <w:rFonts w:ascii="Palatino Linotype" w:eastAsia="Palatino Linotype" w:hAnsi="Palatino Linotype" w:cs="Palatino Linotype"/>
          <w:sz w:val="24"/>
          <w:szCs w:val="24"/>
        </w:rPr>
        <w:t xml:space="preserve">El </w:t>
      </w:r>
      <w:r w:rsidR="00103C0C" w:rsidRPr="002A18FB">
        <w:rPr>
          <w:rFonts w:ascii="Palatino Linotype" w:eastAsia="Palatino Linotype" w:hAnsi="Palatino Linotype" w:cs="Palatino Linotype"/>
          <w:b/>
          <w:bCs/>
          <w:sz w:val="24"/>
          <w:szCs w:val="24"/>
        </w:rPr>
        <w:t>dieciséis de abril</w:t>
      </w:r>
      <w:r w:rsidRPr="002A18FB">
        <w:rPr>
          <w:rFonts w:ascii="Palatino Linotype" w:eastAsia="Palatino Linotype" w:hAnsi="Palatino Linotype" w:cs="Palatino Linotype"/>
          <w:b/>
          <w:bCs/>
          <w:sz w:val="24"/>
          <w:szCs w:val="24"/>
        </w:rPr>
        <w:t xml:space="preserve"> de dos mil veintiséis, </w:t>
      </w:r>
      <w:r w:rsidRPr="002A18FB">
        <w:rPr>
          <w:rFonts w:ascii="Palatino Linotype" w:eastAsia="Palatino Linotype" w:hAnsi="Palatino Linotype" w:cs="Palatino Linotype"/>
          <w:sz w:val="24"/>
          <w:szCs w:val="24"/>
        </w:rPr>
        <w:t>se notificó el acuerdo por el que se amplió el termino para resolver el recurso de revisión que nos ocupa.</w:t>
      </w:r>
    </w:p>
    <w:p w:rsidR="00EF723B" w:rsidRPr="002A18FB" w:rsidRDefault="00EF723B" w:rsidP="00EF723B">
      <w:pPr>
        <w:spacing w:line="360" w:lineRule="auto"/>
        <w:jc w:val="both"/>
        <w:rPr>
          <w:rFonts w:ascii="Palatino Linotype" w:eastAsia="Palatino Linotype" w:hAnsi="Palatino Linotype" w:cs="Palatino Linotype"/>
          <w:color w:val="FF0000"/>
          <w:sz w:val="24"/>
          <w:szCs w:val="24"/>
        </w:rPr>
      </w:pPr>
    </w:p>
    <w:p w:rsidR="00EF723B" w:rsidRPr="002A18FB" w:rsidRDefault="00EF723B" w:rsidP="00EF723B">
      <w:pPr>
        <w:numPr>
          <w:ilvl w:val="0"/>
          <w:numId w:val="6"/>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sidRPr="002A18FB">
        <w:rPr>
          <w:rFonts w:ascii="Palatino Linotype" w:eastAsia="Palatino Linotype" w:hAnsi="Palatino Linotype" w:cs="Palatino Linotype"/>
          <w:sz w:val="24"/>
          <w:szCs w:val="24"/>
        </w:rPr>
        <w:t xml:space="preserve">El </w:t>
      </w:r>
      <w:r w:rsidR="00450DDC" w:rsidRPr="002A18FB">
        <w:rPr>
          <w:rFonts w:ascii="Palatino Linotype" w:eastAsia="Palatino Linotype" w:hAnsi="Palatino Linotype" w:cs="Palatino Linotype"/>
          <w:b/>
          <w:bCs/>
          <w:sz w:val="24"/>
          <w:szCs w:val="24"/>
        </w:rPr>
        <w:t>veintidós</w:t>
      </w:r>
      <w:r w:rsidRPr="002A18FB">
        <w:rPr>
          <w:rFonts w:ascii="Palatino Linotype" w:eastAsia="Palatino Linotype" w:hAnsi="Palatino Linotype" w:cs="Palatino Linotype"/>
          <w:b/>
          <w:bCs/>
          <w:sz w:val="24"/>
          <w:szCs w:val="24"/>
        </w:rPr>
        <w:t xml:space="preserve"> de abril de dos mil veintiséis</w:t>
      </w:r>
      <w:r w:rsidRPr="002A18FB">
        <w:rPr>
          <w:rFonts w:ascii="Palatino Linotype" w:eastAsia="Palatino Linotype" w:hAnsi="Palatino Linotype" w:cs="Palatino Linotype"/>
          <w:sz w:val="24"/>
          <w:szCs w:val="24"/>
        </w:rPr>
        <w:t>, la Comisionada Ponente decretó el cierre de instrucción y al no existir diligencias por realizar y se turnó el expediente a resolución correspondiente, por lo que no habiendo más que hacer constar, y</w:t>
      </w:r>
    </w:p>
    <w:p w:rsidR="00EF723B" w:rsidRPr="002A18FB" w:rsidRDefault="00EF723B" w:rsidP="00EF723B">
      <w:pPr>
        <w:tabs>
          <w:tab w:val="left" w:pos="426"/>
        </w:tabs>
        <w:spacing w:line="360" w:lineRule="auto"/>
        <w:jc w:val="both"/>
        <w:rPr>
          <w:rFonts w:ascii="Palatino Linotype" w:eastAsia="Palatino Linotype" w:hAnsi="Palatino Linotype" w:cs="Palatino Linotype"/>
          <w:b/>
          <w:bCs/>
          <w:sz w:val="24"/>
          <w:szCs w:val="24"/>
          <w:u w:val="single"/>
        </w:rPr>
      </w:pPr>
    </w:p>
    <w:p w:rsidR="00EF723B" w:rsidRPr="002A18FB" w:rsidRDefault="00EF723B" w:rsidP="00EF723B">
      <w:pPr>
        <w:keepNext/>
        <w:keepLines/>
        <w:spacing w:line="360" w:lineRule="auto"/>
        <w:jc w:val="center"/>
        <w:rPr>
          <w:rFonts w:ascii="Palatino Linotype" w:eastAsia="Palatino Linotype" w:hAnsi="Palatino Linotype" w:cs="Palatino Linotype"/>
          <w:b/>
          <w:bCs/>
          <w:sz w:val="24"/>
          <w:szCs w:val="24"/>
        </w:rPr>
      </w:pPr>
      <w:bookmarkStart w:id="3" w:name="_heading=h.30j0zll" w:colFirst="0" w:colLast="0"/>
      <w:bookmarkEnd w:id="3"/>
      <w:r w:rsidRPr="002A18FB">
        <w:rPr>
          <w:rFonts w:ascii="Palatino Linotype" w:eastAsia="Palatino Linotype" w:hAnsi="Palatino Linotype" w:cs="Palatino Linotype"/>
          <w:b/>
          <w:bCs/>
          <w:sz w:val="24"/>
          <w:szCs w:val="24"/>
        </w:rPr>
        <w:t>C</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O</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N</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S</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I</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D</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E</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R</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A</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N</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D</w:t>
      </w:r>
      <w:r w:rsidR="002A18FB">
        <w:rPr>
          <w:rFonts w:ascii="Palatino Linotype" w:eastAsia="Palatino Linotype" w:hAnsi="Palatino Linotype" w:cs="Palatino Linotype"/>
          <w:b/>
          <w:bCs/>
          <w:sz w:val="24"/>
          <w:szCs w:val="24"/>
        </w:rPr>
        <w:t xml:space="preserve"> </w:t>
      </w:r>
      <w:r w:rsidRPr="002A18FB">
        <w:rPr>
          <w:rFonts w:ascii="Palatino Linotype" w:eastAsia="Palatino Linotype" w:hAnsi="Palatino Linotype" w:cs="Palatino Linotype"/>
          <w:b/>
          <w:bCs/>
          <w:sz w:val="24"/>
          <w:szCs w:val="24"/>
        </w:rPr>
        <w:t xml:space="preserve">O </w:t>
      </w:r>
    </w:p>
    <w:p w:rsidR="00EF723B" w:rsidRPr="002A18FB" w:rsidRDefault="00EF723B" w:rsidP="00EF723B">
      <w:pPr>
        <w:spacing w:line="360" w:lineRule="auto"/>
        <w:rPr>
          <w:rFonts w:ascii="Palatino Linotype" w:eastAsia="Palatino Linotype" w:hAnsi="Palatino Linotype" w:cs="Palatino Linotype"/>
          <w:sz w:val="24"/>
          <w:szCs w:val="24"/>
        </w:rPr>
      </w:pPr>
    </w:p>
    <w:p w:rsidR="00EF723B" w:rsidRPr="002A18FB" w:rsidRDefault="00EF723B" w:rsidP="00EF723B">
      <w:pPr>
        <w:keepNext/>
        <w:keepLines/>
        <w:spacing w:line="360" w:lineRule="auto"/>
        <w:rPr>
          <w:rFonts w:ascii="Palatino Linotype" w:eastAsia="Palatino Linotype" w:hAnsi="Palatino Linotype" w:cs="Palatino Linotype"/>
          <w:b/>
          <w:bCs/>
          <w:sz w:val="24"/>
          <w:szCs w:val="24"/>
        </w:rPr>
      </w:pPr>
      <w:bookmarkStart w:id="4" w:name="_heading=h.1fob9te" w:colFirst="0" w:colLast="0"/>
      <w:bookmarkEnd w:id="4"/>
      <w:r w:rsidRPr="002A18FB">
        <w:rPr>
          <w:rFonts w:ascii="Palatino Linotype" w:eastAsia="Palatino Linotype" w:hAnsi="Palatino Linotype" w:cs="Palatino Linotype"/>
          <w:b/>
          <w:bCs/>
          <w:sz w:val="24"/>
          <w:szCs w:val="24"/>
        </w:rPr>
        <w:t>PRIMERO. De la competencia</w:t>
      </w:r>
    </w:p>
    <w:p w:rsidR="00EF723B" w:rsidRPr="002A18FB" w:rsidRDefault="00EF723B" w:rsidP="00EF723B">
      <w:pPr>
        <w:numPr>
          <w:ilvl w:val="0"/>
          <w:numId w:val="6"/>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2A18F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w:t>
      </w:r>
      <w:r w:rsidRPr="002A18FB">
        <w:rPr>
          <w:rFonts w:ascii="Palatino Linotype" w:eastAsia="Palatino Linotype" w:hAnsi="Palatino Linotype" w:cs="Palatino Linotype"/>
          <w:color w:val="000000"/>
          <w:sz w:val="24"/>
          <w:szCs w:val="24"/>
        </w:rPr>
        <w:lastRenderedPageBreak/>
        <w:t>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F723B" w:rsidRPr="002A18FB" w:rsidRDefault="00EF723B" w:rsidP="00EF723B">
      <w:pPr>
        <w:tabs>
          <w:tab w:val="left" w:pos="426"/>
        </w:tabs>
        <w:spacing w:line="360" w:lineRule="auto"/>
        <w:jc w:val="both"/>
        <w:rPr>
          <w:rFonts w:ascii="Palatino Linotype" w:eastAsia="Palatino Linotype" w:hAnsi="Palatino Linotype" w:cs="Palatino Linotype"/>
          <w:color w:val="000000"/>
          <w:sz w:val="24"/>
          <w:szCs w:val="24"/>
        </w:rPr>
      </w:pPr>
    </w:p>
    <w:p w:rsidR="00EF723B" w:rsidRPr="002A18FB" w:rsidRDefault="00EF723B" w:rsidP="00EF723B">
      <w:pPr>
        <w:keepNext/>
        <w:keepLines/>
        <w:spacing w:line="360" w:lineRule="auto"/>
        <w:rPr>
          <w:rFonts w:ascii="Palatino Linotype" w:eastAsia="Palatino Linotype" w:hAnsi="Palatino Linotype" w:cs="Palatino Linotype"/>
          <w:b/>
          <w:bCs/>
          <w:sz w:val="24"/>
          <w:szCs w:val="24"/>
        </w:rPr>
      </w:pPr>
      <w:bookmarkStart w:id="5" w:name="_heading=h.3znysh7" w:colFirst="0" w:colLast="0"/>
      <w:bookmarkEnd w:id="5"/>
      <w:r w:rsidRPr="002A18FB">
        <w:rPr>
          <w:rFonts w:ascii="Palatino Linotype" w:eastAsia="Palatino Linotype" w:hAnsi="Palatino Linotype" w:cs="Palatino Linotype"/>
          <w:b/>
          <w:bCs/>
          <w:sz w:val="24"/>
          <w:szCs w:val="24"/>
        </w:rPr>
        <w:t>SEGUNDO. De la oportunidad y procedencia.</w:t>
      </w:r>
    </w:p>
    <w:p w:rsidR="00EF723B" w:rsidRPr="002A18FB" w:rsidRDefault="00EF723B" w:rsidP="00EF723B">
      <w:pPr>
        <w:numPr>
          <w:ilvl w:val="0"/>
          <w:numId w:val="6"/>
        </w:numPr>
        <w:spacing w:line="360" w:lineRule="auto"/>
        <w:ind w:left="0" w:right="48" w:firstLine="0"/>
        <w:jc w:val="both"/>
        <w:rPr>
          <w:rFonts w:ascii="Palatino Linotype" w:eastAsia="Palatino Linotype" w:hAnsi="Palatino Linotype" w:cs="Palatino Linotype"/>
          <w:sz w:val="24"/>
          <w:szCs w:val="24"/>
        </w:rPr>
      </w:pPr>
      <w:r w:rsidRPr="002A18FB">
        <w:rPr>
          <w:rFonts w:ascii="Palatino Linotype" w:eastAsia="Palatino Linotype" w:hAnsi="Palatino Linotype" w:cs="Palatino Linotype"/>
          <w:sz w:val="24"/>
          <w:szCs w:val="24"/>
        </w:rPr>
        <w:t xml:space="preserve">El medio de impugnación fue presentado a través del </w:t>
      </w:r>
      <w:r w:rsidRPr="002A18FB">
        <w:rPr>
          <w:rFonts w:ascii="Palatino Linotype" w:eastAsia="Palatino Linotype" w:hAnsi="Palatino Linotype" w:cs="Palatino Linotype"/>
          <w:b/>
          <w:bCs/>
          <w:sz w:val="24"/>
          <w:szCs w:val="24"/>
        </w:rPr>
        <w:t>SAIMEX,</w:t>
      </w:r>
      <w:r w:rsidRPr="002A18FB">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2A18FB">
        <w:rPr>
          <w:rFonts w:ascii="Palatino Linotype" w:eastAsia="Palatino Linotype" w:hAnsi="Palatino Linotype" w:cs="Palatino Linotype"/>
          <w:b/>
          <w:bCs/>
          <w:sz w:val="24"/>
          <w:szCs w:val="24"/>
        </w:rPr>
        <w:t>SUJETO OBLIGADO</w:t>
      </w:r>
      <w:r w:rsidRPr="002A18FB">
        <w:rPr>
          <w:rFonts w:ascii="Palatino Linotype" w:eastAsia="Palatino Linotype" w:hAnsi="Palatino Linotype" w:cs="Palatino Linotype"/>
          <w:sz w:val="24"/>
          <w:szCs w:val="24"/>
        </w:rPr>
        <w:t xml:space="preserve"> entregó respuesta el </w:t>
      </w:r>
      <w:r w:rsidR="00103C0C" w:rsidRPr="002A18FB">
        <w:rPr>
          <w:rFonts w:ascii="Palatino Linotype" w:eastAsia="Palatino Linotype" w:hAnsi="Palatino Linotype" w:cs="Palatino Linotype"/>
          <w:b/>
          <w:bCs/>
          <w:sz w:val="24"/>
          <w:szCs w:val="24"/>
        </w:rPr>
        <w:t xml:space="preserve">quince de enero de dos mil </w:t>
      </w:r>
      <w:r w:rsidR="00C527C3" w:rsidRPr="002A18FB">
        <w:rPr>
          <w:rFonts w:ascii="Palatino Linotype" w:eastAsia="Palatino Linotype" w:hAnsi="Palatino Linotype" w:cs="Palatino Linotype"/>
          <w:b/>
          <w:bCs/>
          <w:sz w:val="24"/>
          <w:szCs w:val="24"/>
        </w:rPr>
        <w:t>veintiséis</w:t>
      </w:r>
      <w:r w:rsidRPr="002A18FB">
        <w:rPr>
          <w:rFonts w:ascii="Palatino Linotype" w:eastAsia="Palatino Linotype" w:hAnsi="Palatino Linotype" w:cs="Palatino Linotype"/>
          <w:sz w:val="24"/>
          <w:szCs w:val="24"/>
        </w:rPr>
        <w:t xml:space="preserve">, de tal forma que el plazo para interponer el recurso transcurrió del </w:t>
      </w:r>
      <w:r w:rsidR="00C527C3" w:rsidRPr="002A18FB">
        <w:rPr>
          <w:rFonts w:ascii="Palatino Linotype" w:eastAsia="Palatino Linotype" w:hAnsi="Palatino Linotype" w:cs="Palatino Linotype"/>
          <w:b/>
          <w:bCs/>
          <w:sz w:val="24"/>
          <w:szCs w:val="24"/>
        </w:rPr>
        <w:t>dieciséis</w:t>
      </w:r>
      <w:r w:rsidR="002E3854" w:rsidRPr="002A18FB">
        <w:rPr>
          <w:rFonts w:ascii="Palatino Linotype" w:eastAsia="Palatino Linotype" w:hAnsi="Palatino Linotype" w:cs="Palatino Linotype"/>
          <w:b/>
          <w:bCs/>
          <w:sz w:val="24"/>
          <w:szCs w:val="24"/>
        </w:rPr>
        <w:t xml:space="preserve"> de enero </w:t>
      </w:r>
      <w:r w:rsidRPr="002A18FB">
        <w:rPr>
          <w:rFonts w:ascii="Palatino Linotype" w:eastAsia="Palatino Linotype" w:hAnsi="Palatino Linotype" w:cs="Palatino Linotype"/>
          <w:b/>
          <w:bCs/>
          <w:sz w:val="24"/>
          <w:szCs w:val="24"/>
        </w:rPr>
        <w:t xml:space="preserve"> </w:t>
      </w:r>
      <w:r w:rsidR="00C527C3" w:rsidRPr="002A18FB">
        <w:rPr>
          <w:rFonts w:ascii="Palatino Linotype" w:eastAsia="Palatino Linotype" w:hAnsi="Palatino Linotype" w:cs="Palatino Linotype"/>
          <w:b/>
          <w:bCs/>
          <w:sz w:val="24"/>
          <w:szCs w:val="24"/>
        </w:rPr>
        <w:t xml:space="preserve">al seis de febrero de dos mil veintiséis, </w:t>
      </w:r>
      <w:r w:rsidRPr="002A18FB">
        <w:rPr>
          <w:rFonts w:ascii="Palatino Linotype" w:eastAsia="Palatino Linotype" w:hAnsi="Palatino Linotype" w:cs="Palatino Linotype"/>
          <w:sz w:val="24"/>
          <w:szCs w:val="24"/>
        </w:rPr>
        <w:t xml:space="preserve">en consecuencia, si el </w:t>
      </w:r>
      <w:r w:rsidRPr="002A18FB">
        <w:rPr>
          <w:rFonts w:ascii="Palatino Linotype" w:eastAsia="Palatino Linotype" w:hAnsi="Palatino Linotype" w:cs="Palatino Linotype"/>
          <w:b/>
          <w:bCs/>
          <w:sz w:val="24"/>
          <w:szCs w:val="24"/>
        </w:rPr>
        <w:t>PARTICULAR</w:t>
      </w:r>
      <w:r w:rsidRPr="002A18FB">
        <w:rPr>
          <w:rFonts w:ascii="Palatino Linotype" w:eastAsia="Palatino Linotype" w:hAnsi="Palatino Linotype" w:cs="Palatino Linotype"/>
          <w:sz w:val="24"/>
          <w:szCs w:val="24"/>
        </w:rPr>
        <w:t xml:space="preserve"> presentó su inconformidad el </w:t>
      </w:r>
      <w:r w:rsidR="00C527C3" w:rsidRPr="002A18FB">
        <w:rPr>
          <w:rFonts w:ascii="Palatino Linotype" w:eastAsia="Palatino Linotype" w:hAnsi="Palatino Linotype" w:cs="Palatino Linotype"/>
          <w:b/>
          <w:bCs/>
          <w:sz w:val="24"/>
          <w:szCs w:val="24"/>
        </w:rPr>
        <w:t>dieciséis de enero de dos mil  veintiséis</w:t>
      </w:r>
      <w:r w:rsidRPr="002A18FB">
        <w:rPr>
          <w:rFonts w:ascii="Palatino Linotype" w:eastAsia="Palatino Linotype" w:hAnsi="Palatino Linotype" w:cs="Palatino Linotype"/>
          <w:sz w:val="24"/>
          <w:szCs w:val="24"/>
        </w:rPr>
        <w:t xml:space="preserve">, este  se encuentra dentro de los márgenes temporales previstos en el artículo 178 de la </w:t>
      </w:r>
      <w:r w:rsidRPr="002A18FB">
        <w:rPr>
          <w:rFonts w:ascii="Palatino Linotype" w:eastAsia="Palatino Linotype" w:hAnsi="Palatino Linotype" w:cs="Palatino Linotype"/>
          <w:b/>
          <w:bCs/>
          <w:sz w:val="24"/>
          <w:szCs w:val="24"/>
        </w:rPr>
        <w:t xml:space="preserve">Ley de Transparencia y Acceso a la Información Pública del Estado de México y Municipios </w:t>
      </w:r>
      <w:r w:rsidRPr="002A18FB">
        <w:rPr>
          <w:rFonts w:ascii="Palatino Linotype" w:eastAsia="Palatino Linotype" w:hAnsi="Palatino Linotype" w:cs="Palatino Linotype"/>
          <w:sz w:val="24"/>
          <w:szCs w:val="24"/>
        </w:rPr>
        <w:t xml:space="preserve">vigente. </w:t>
      </w:r>
    </w:p>
    <w:p w:rsidR="00EF723B" w:rsidRPr="002A18FB" w:rsidRDefault="00EF723B" w:rsidP="00EF723B">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p w:rsidR="00005A51" w:rsidRPr="002A18FB" w:rsidRDefault="00005A51" w:rsidP="00005A51">
      <w:pPr>
        <w:keepNext/>
        <w:keepLines/>
        <w:spacing w:line="360" w:lineRule="auto"/>
        <w:ind w:right="-28"/>
        <w:rPr>
          <w:rFonts w:ascii="Palatino Linotype" w:eastAsia="Palatino Linotype" w:hAnsi="Palatino Linotype" w:cs="Palatino Linotype"/>
          <w:b/>
          <w:sz w:val="24"/>
          <w:szCs w:val="24"/>
        </w:rPr>
      </w:pPr>
      <w:r w:rsidRPr="002A18FB">
        <w:rPr>
          <w:rFonts w:ascii="Palatino Linotype" w:eastAsia="Palatino Linotype" w:hAnsi="Palatino Linotype" w:cs="Palatino Linotype"/>
          <w:b/>
          <w:sz w:val="24"/>
          <w:szCs w:val="24"/>
        </w:rPr>
        <w:t>TERCERO. De las causales de sobreseimiento</w:t>
      </w:r>
    </w:p>
    <w:p w:rsidR="005544D3" w:rsidRPr="002A18FB" w:rsidRDefault="005544D3" w:rsidP="005544D3">
      <w:pPr>
        <w:numPr>
          <w:ilvl w:val="0"/>
          <w:numId w:val="6"/>
        </w:numPr>
        <w:spacing w:line="360" w:lineRule="auto"/>
        <w:ind w:left="0" w:right="48" w:firstLine="0"/>
        <w:jc w:val="both"/>
        <w:rPr>
          <w:rFonts w:ascii="Palatino Linotype" w:hAnsi="Palatino Linotype" w:cs="Arial"/>
          <w:sz w:val="24"/>
          <w:szCs w:val="24"/>
        </w:rPr>
      </w:pPr>
      <w:r w:rsidRPr="002A18FB">
        <w:rPr>
          <w:rFonts w:ascii="Palatino Linotype" w:eastAsia="Palatino Linotype" w:hAnsi="Palatino Linotype" w:cs="Palatino Linotype"/>
          <w:sz w:val="24"/>
          <w:szCs w:val="24"/>
        </w:rPr>
        <w:t>El</w:t>
      </w:r>
      <w:r w:rsidRPr="002A18FB">
        <w:rPr>
          <w:rFonts w:ascii="Palatino Linotype" w:hAnsi="Palatino Linotype" w:cs="Arial"/>
          <w:sz w:val="24"/>
          <w:szCs w:val="24"/>
        </w:rPr>
        <w:t xml:space="preserve"> recurso revisión tiene como finalidad reparar cualquier posible afectación al Derecho de Acceso a la Información Pública en términos del Título Octavo de la Ley de </w:t>
      </w:r>
      <w:r w:rsidRPr="002A18FB">
        <w:rPr>
          <w:rFonts w:ascii="Palatino Linotype" w:eastAsia="Calibri" w:hAnsi="Palatino Linotype" w:cs="Arial"/>
          <w:sz w:val="24"/>
          <w:szCs w:val="24"/>
        </w:rPr>
        <w:t>Transparencia, Acceso a la Información Pública del Estado de México y Municipios</w:t>
      </w:r>
      <w:r w:rsidRPr="002A18FB">
        <w:rPr>
          <w:rFonts w:ascii="Palatino Linotype" w:hAnsi="Palatino Linotype" w:cs="Arial"/>
          <w:sz w:val="24"/>
          <w:szCs w:val="24"/>
        </w:rPr>
        <w:t xml:space="preserve">, y determinar la confirmación; revocación o modificación; desechamiento o </w:t>
      </w:r>
      <w:r w:rsidRPr="002A18FB">
        <w:rPr>
          <w:rFonts w:ascii="Palatino Linotype" w:hAnsi="Palatino Linotype" w:cs="Arial"/>
          <w:b/>
          <w:sz w:val="24"/>
          <w:szCs w:val="24"/>
          <w:u w:val="single"/>
        </w:rPr>
        <w:t>sobreseimiento</w:t>
      </w:r>
      <w:r w:rsidRPr="002A18FB">
        <w:rPr>
          <w:rFonts w:ascii="Palatino Linotype" w:hAnsi="Palatino Linotype" w:cs="Arial"/>
          <w:sz w:val="24"/>
          <w:szCs w:val="24"/>
        </w:rPr>
        <w:t xml:space="preserve">; y, en su caso, ordenar la entrega de la información respecto a la falta de respuesta por parte del </w:t>
      </w:r>
      <w:r w:rsidRPr="002A18FB">
        <w:rPr>
          <w:rFonts w:ascii="Palatino Linotype" w:hAnsi="Palatino Linotype" w:cs="Arial"/>
          <w:b/>
          <w:sz w:val="24"/>
          <w:szCs w:val="24"/>
        </w:rPr>
        <w:t>SUJETO</w:t>
      </w:r>
      <w:r w:rsidRPr="002A18FB">
        <w:rPr>
          <w:rFonts w:ascii="Palatino Linotype" w:hAnsi="Palatino Linotype" w:cs="Arial"/>
          <w:sz w:val="24"/>
          <w:szCs w:val="24"/>
        </w:rPr>
        <w:t xml:space="preserve"> </w:t>
      </w:r>
      <w:r w:rsidRPr="002A18FB">
        <w:rPr>
          <w:rFonts w:ascii="Palatino Linotype" w:hAnsi="Palatino Linotype" w:cs="Arial"/>
          <w:b/>
          <w:sz w:val="24"/>
          <w:szCs w:val="24"/>
        </w:rPr>
        <w:t>OBLIGADO</w:t>
      </w:r>
      <w:r w:rsidRPr="002A18FB">
        <w:rPr>
          <w:rFonts w:ascii="Palatino Linotype" w:hAnsi="Palatino Linotype" w:cs="Arial"/>
          <w:sz w:val="24"/>
          <w:szCs w:val="24"/>
        </w:rPr>
        <w:t>.</w:t>
      </w:r>
    </w:p>
    <w:p w:rsidR="005544D3" w:rsidRPr="002A18FB" w:rsidRDefault="005544D3" w:rsidP="005544D3">
      <w:pPr>
        <w:numPr>
          <w:ilvl w:val="0"/>
          <w:numId w:val="6"/>
        </w:numPr>
        <w:spacing w:line="360" w:lineRule="auto"/>
        <w:ind w:left="0" w:right="48" w:firstLine="0"/>
        <w:jc w:val="both"/>
        <w:rPr>
          <w:rFonts w:ascii="Palatino Linotype" w:hAnsi="Palatino Linotype"/>
          <w:sz w:val="24"/>
          <w:szCs w:val="24"/>
        </w:rPr>
      </w:pPr>
      <w:r w:rsidRPr="002A18FB">
        <w:rPr>
          <w:rFonts w:ascii="Palatino Linotype" w:hAnsi="Palatino Linotype"/>
          <w:bCs/>
          <w:sz w:val="24"/>
          <w:szCs w:val="24"/>
        </w:rPr>
        <w:lastRenderedPageBreak/>
        <w:t xml:space="preserve">Ahora bien, en el presente caso se advierte que se actualiza la hipótesis V </w:t>
      </w:r>
      <w:r w:rsidRPr="002A18FB">
        <w:rPr>
          <w:rFonts w:ascii="Palatino Linotype" w:hAnsi="Palatino Linotype" w:cs="Arial"/>
          <w:sz w:val="24"/>
          <w:szCs w:val="24"/>
        </w:rPr>
        <w:t xml:space="preserve">del artículo 192 de la Ley de </w:t>
      </w:r>
      <w:r w:rsidRPr="002A18FB">
        <w:rPr>
          <w:rFonts w:ascii="Palatino Linotype" w:eastAsia="Calibri" w:hAnsi="Palatino Linotype" w:cs="Arial"/>
          <w:sz w:val="24"/>
          <w:szCs w:val="24"/>
        </w:rPr>
        <w:t>Transparencia, Acceso a la Información Pública del Estado de México y Municipios</w:t>
      </w:r>
      <w:r w:rsidRPr="002A18FB">
        <w:rPr>
          <w:rFonts w:ascii="Palatino Linotype" w:hAnsi="Palatino Linotype" w:cs="Arial"/>
          <w:sz w:val="24"/>
          <w:szCs w:val="24"/>
        </w:rPr>
        <w:t>, relativa a cuando por cualquier motivo quede sin materia el recurso.</w:t>
      </w:r>
    </w:p>
    <w:p w:rsidR="005544D3" w:rsidRPr="002A18FB" w:rsidRDefault="005544D3" w:rsidP="005544D3">
      <w:pPr>
        <w:spacing w:line="360" w:lineRule="auto"/>
        <w:ind w:right="48"/>
        <w:jc w:val="both"/>
        <w:rPr>
          <w:rFonts w:ascii="Palatino Linotype" w:hAnsi="Palatino Linotype"/>
          <w:sz w:val="24"/>
          <w:szCs w:val="24"/>
        </w:rPr>
      </w:pPr>
    </w:p>
    <w:p w:rsidR="005544D3" w:rsidRPr="002A18FB" w:rsidRDefault="005544D3" w:rsidP="005544D3">
      <w:pPr>
        <w:numPr>
          <w:ilvl w:val="0"/>
          <w:numId w:val="6"/>
        </w:numPr>
        <w:spacing w:line="360" w:lineRule="auto"/>
        <w:ind w:left="0" w:right="48" w:firstLine="0"/>
        <w:jc w:val="both"/>
        <w:rPr>
          <w:rFonts w:ascii="Palatino Linotype" w:hAnsi="Palatino Linotype"/>
          <w:sz w:val="24"/>
          <w:szCs w:val="24"/>
        </w:rPr>
      </w:pPr>
      <w:r w:rsidRPr="002A18FB">
        <w:rPr>
          <w:rFonts w:ascii="Palatino Linotype" w:hAnsi="Palatino Linotype" w:cs="Arial"/>
          <w:color w:val="000000"/>
          <w:sz w:val="24"/>
          <w:szCs w:val="24"/>
        </w:rPr>
        <w:t xml:space="preserve">Sirve de sustento </w:t>
      </w:r>
      <w:r w:rsidRPr="002A18FB">
        <w:rPr>
          <w:rFonts w:ascii="Palatino Linotype" w:hAnsi="Palatino Linotype"/>
          <w:color w:val="000000"/>
          <w:sz w:val="24"/>
          <w:szCs w:val="24"/>
        </w:rPr>
        <w:t>la Jurisprudencia No. 29 visible a foja 19 del Apéndice al Semanario Judicial de la Federación 1917-1995, Torno VI, Materia Común, Primera Parte, Tesis de la Suprema Corte de Justicia, que contiene:</w:t>
      </w:r>
    </w:p>
    <w:p w:rsidR="005544D3" w:rsidRPr="002A18FB" w:rsidRDefault="005544D3" w:rsidP="005544D3">
      <w:pPr>
        <w:shd w:val="clear" w:color="auto" w:fill="FFFFFF"/>
        <w:spacing w:before="240" w:after="240" w:line="360" w:lineRule="auto"/>
        <w:ind w:left="851" w:right="822"/>
        <w:jc w:val="both"/>
        <w:rPr>
          <w:rFonts w:ascii="Palatino Linotype" w:hAnsi="Palatino Linotype"/>
          <w:i/>
          <w:iCs/>
          <w:color w:val="000000"/>
          <w:sz w:val="24"/>
          <w:szCs w:val="24"/>
        </w:rPr>
      </w:pPr>
      <w:r w:rsidRPr="002A18FB">
        <w:rPr>
          <w:rFonts w:ascii="Palatino Linotype" w:hAnsi="Palatino Linotype"/>
          <w:b/>
          <w:bCs/>
          <w:i/>
          <w:iCs/>
          <w:color w:val="000000"/>
          <w:sz w:val="24"/>
          <w:szCs w:val="24"/>
        </w:rPr>
        <w:t>AGRAVIOS EN LA REVISION. DEBEN ESTAR EN RELACION DIRECTA CON LOS FUNDAMENTOS Y CONSIDERACIONES DE LA SENTENCIA</w:t>
      </w:r>
      <w:r w:rsidRPr="002A18FB">
        <w:rPr>
          <w:rFonts w:ascii="Palatino Linotype" w:hAnsi="Palatino Linotype"/>
          <w:i/>
          <w:iCs/>
          <w:color w:val="000000"/>
          <w:sz w:val="24"/>
          <w:szCs w:val="24"/>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rsidR="005544D3" w:rsidRPr="002A18FB" w:rsidRDefault="005544D3" w:rsidP="005544D3">
      <w:pPr>
        <w:numPr>
          <w:ilvl w:val="0"/>
          <w:numId w:val="6"/>
        </w:numPr>
        <w:spacing w:line="360" w:lineRule="auto"/>
        <w:ind w:left="0" w:right="48" w:firstLine="0"/>
        <w:jc w:val="both"/>
        <w:rPr>
          <w:rFonts w:ascii="Palatino Linotype" w:hAnsi="Palatino Linotype" w:cs="Arial"/>
          <w:sz w:val="24"/>
          <w:szCs w:val="24"/>
        </w:rPr>
      </w:pPr>
      <w:r w:rsidRPr="002A18FB">
        <w:rPr>
          <w:rFonts w:ascii="Palatino Linotype" w:hAnsi="Palatino Linotype" w:cs="Arial"/>
          <w:sz w:val="24"/>
          <w:szCs w:val="24"/>
        </w:rPr>
        <w:t xml:space="preserve">Lo anterior, derivado de que, de la solicitud de información, se solicita información del recurso de revisión </w:t>
      </w:r>
      <w:r w:rsidR="00450DDC" w:rsidRPr="002A18FB">
        <w:rPr>
          <w:rFonts w:ascii="Palatino Linotype" w:hAnsi="Palatino Linotype" w:cs="Arial"/>
          <w:sz w:val="24"/>
          <w:szCs w:val="24"/>
        </w:rPr>
        <w:t>04409/INFOEM/IP/RR/2025</w:t>
      </w:r>
      <w:r w:rsidRPr="002A18FB">
        <w:rPr>
          <w:rFonts w:ascii="Palatino Linotype" w:hAnsi="Palatino Linotype" w:cs="Arial"/>
          <w:sz w:val="24"/>
          <w:szCs w:val="24"/>
        </w:rPr>
        <w:t>, como se observa a continuación:</w:t>
      </w:r>
    </w:p>
    <w:p w:rsidR="005544D3" w:rsidRPr="002A18FB" w:rsidRDefault="005544D3" w:rsidP="005544D3">
      <w:pPr>
        <w:spacing w:line="360" w:lineRule="auto"/>
        <w:ind w:right="48"/>
        <w:jc w:val="both"/>
        <w:rPr>
          <w:rFonts w:ascii="Palatino Linotype" w:hAnsi="Palatino Linotype" w:cs="Arial"/>
          <w:sz w:val="24"/>
          <w:szCs w:val="24"/>
        </w:rPr>
      </w:pPr>
    </w:p>
    <w:p w:rsidR="005544D3" w:rsidRPr="002A18FB" w:rsidRDefault="005544D3" w:rsidP="005544D3">
      <w:pPr>
        <w:spacing w:line="360" w:lineRule="auto"/>
        <w:ind w:right="48"/>
        <w:jc w:val="both"/>
        <w:rPr>
          <w:rFonts w:ascii="Palatino Linotype" w:hAnsi="Palatino Linotype" w:cs="Arial"/>
          <w:sz w:val="24"/>
          <w:szCs w:val="24"/>
        </w:rPr>
      </w:pPr>
      <w:r w:rsidRPr="002A18FB">
        <w:rPr>
          <w:rFonts w:ascii="Palatino Linotype" w:hAnsi="Palatino Linotype" w:cs="Arial"/>
          <w:noProof/>
          <w:sz w:val="24"/>
          <w:szCs w:val="24"/>
        </w:rPr>
        <w:lastRenderedPageBreak/>
        <w:drawing>
          <wp:inline distT="0" distB="0" distL="0" distR="0" wp14:anchorId="6D388BD2" wp14:editId="61E21231">
            <wp:extent cx="5742940" cy="20999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2099945"/>
                    </a:xfrm>
                    <a:prstGeom prst="rect">
                      <a:avLst/>
                    </a:prstGeom>
                  </pic:spPr>
                </pic:pic>
              </a:graphicData>
            </a:graphic>
          </wp:inline>
        </w:drawing>
      </w:r>
    </w:p>
    <w:p w:rsidR="005544D3" w:rsidRPr="002A18FB" w:rsidRDefault="005544D3" w:rsidP="005544D3">
      <w:pPr>
        <w:spacing w:line="360" w:lineRule="auto"/>
        <w:ind w:right="48"/>
        <w:jc w:val="both"/>
        <w:rPr>
          <w:rFonts w:ascii="Palatino Linotype" w:hAnsi="Palatino Linotype" w:cs="Arial"/>
          <w:sz w:val="24"/>
          <w:szCs w:val="24"/>
        </w:rPr>
      </w:pPr>
    </w:p>
    <w:p w:rsidR="005544D3" w:rsidRPr="002A18FB" w:rsidRDefault="00450DDC" w:rsidP="005544D3">
      <w:pPr>
        <w:numPr>
          <w:ilvl w:val="0"/>
          <w:numId w:val="6"/>
        </w:numPr>
        <w:spacing w:line="360" w:lineRule="auto"/>
        <w:ind w:left="0" w:right="48" w:firstLine="0"/>
        <w:jc w:val="both"/>
        <w:rPr>
          <w:rFonts w:ascii="Palatino Linotype" w:eastAsia="Palatino Linotype" w:hAnsi="Palatino Linotype" w:cs="Palatino Linotype"/>
          <w:color w:val="000000"/>
          <w:sz w:val="24"/>
          <w:szCs w:val="24"/>
          <w:lang w:val="es-ES"/>
        </w:rPr>
      </w:pPr>
      <w:r w:rsidRPr="002A18FB">
        <w:rPr>
          <w:rFonts w:ascii="Palatino Linotype" w:eastAsia="Palatino Linotype" w:hAnsi="Palatino Linotype" w:cs="Palatino Linotype"/>
          <w:color w:val="000000"/>
          <w:sz w:val="24"/>
          <w:szCs w:val="24"/>
          <w:lang w:val="es-ES"/>
        </w:rPr>
        <w:t>Luego entonces</w:t>
      </w:r>
      <w:r w:rsidR="005544D3" w:rsidRPr="002A18FB">
        <w:rPr>
          <w:rFonts w:ascii="Palatino Linotype" w:eastAsia="Palatino Linotype" w:hAnsi="Palatino Linotype" w:cs="Palatino Linotype"/>
          <w:color w:val="000000"/>
          <w:sz w:val="24"/>
          <w:szCs w:val="24"/>
          <w:lang w:val="es-ES"/>
        </w:rPr>
        <w:t xml:space="preserve">, este Órgano Resolutor advierte que el recurso referido en la solicitud de información corresponde a un </w:t>
      </w:r>
      <w:r w:rsidR="005544D3" w:rsidRPr="002A18FB">
        <w:rPr>
          <w:rFonts w:ascii="Palatino Linotype" w:eastAsia="Palatino Linotype" w:hAnsi="Palatino Linotype" w:cs="Palatino Linotype"/>
          <w:b/>
          <w:color w:val="000000"/>
          <w:sz w:val="24"/>
          <w:szCs w:val="24"/>
          <w:lang w:val="es-ES"/>
        </w:rPr>
        <w:t xml:space="preserve">SUJETO OBLIGADO </w:t>
      </w:r>
      <w:r w:rsidR="005544D3" w:rsidRPr="002A18FB">
        <w:rPr>
          <w:rFonts w:ascii="Palatino Linotype" w:eastAsia="Palatino Linotype" w:hAnsi="Palatino Linotype" w:cs="Palatino Linotype"/>
          <w:color w:val="000000"/>
          <w:sz w:val="24"/>
          <w:szCs w:val="24"/>
          <w:lang w:val="es-ES"/>
        </w:rPr>
        <w:t>diverso, como se muestra a continuación:</w:t>
      </w:r>
    </w:p>
    <w:p w:rsidR="005544D3" w:rsidRPr="002A18FB" w:rsidRDefault="005544D3" w:rsidP="005544D3">
      <w:pPr>
        <w:spacing w:line="360" w:lineRule="auto"/>
        <w:ind w:right="48"/>
        <w:jc w:val="both"/>
        <w:rPr>
          <w:rFonts w:ascii="Palatino Linotype" w:eastAsia="Palatino Linotype" w:hAnsi="Palatino Linotype" w:cs="Palatino Linotype"/>
          <w:color w:val="000000"/>
          <w:sz w:val="24"/>
          <w:szCs w:val="24"/>
          <w:lang w:val="es-ES"/>
        </w:rPr>
      </w:pPr>
    </w:p>
    <w:p w:rsidR="005544D3" w:rsidRPr="002A18FB" w:rsidRDefault="005544D3" w:rsidP="005544D3">
      <w:pPr>
        <w:spacing w:line="360" w:lineRule="auto"/>
        <w:ind w:right="48"/>
        <w:jc w:val="both"/>
        <w:rPr>
          <w:rFonts w:ascii="Palatino Linotype" w:eastAsia="Palatino Linotype" w:hAnsi="Palatino Linotype" w:cs="Palatino Linotype"/>
          <w:color w:val="000000"/>
          <w:sz w:val="24"/>
          <w:szCs w:val="24"/>
          <w:lang w:val="es-ES"/>
        </w:rPr>
      </w:pPr>
      <w:r w:rsidRPr="002A18FB">
        <w:rPr>
          <w:rFonts w:ascii="Palatino Linotype" w:eastAsia="Palatino Linotype" w:hAnsi="Palatino Linotype" w:cs="Palatino Linotype"/>
          <w:noProof/>
          <w:color w:val="000000"/>
          <w:sz w:val="24"/>
          <w:szCs w:val="24"/>
        </w:rPr>
        <w:drawing>
          <wp:inline distT="0" distB="0" distL="0" distR="0" wp14:anchorId="23852A5E" wp14:editId="46B7234D">
            <wp:extent cx="5742940" cy="332676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940" cy="3326765"/>
                    </a:xfrm>
                    <a:prstGeom prst="rect">
                      <a:avLst/>
                    </a:prstGeom>
                  </pic:spPr>
                </pic:pic>
              </a:graphicData>
            </a:graphic>
          </wp:inline>
        </w:drawing>
      </w:r>
    </w:p>
    <w:p w:rsidR="005544D3" w:rsidRPr="002A18FB" w:rsidRDefault="005544D3" w:rsidP="005544D3">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eastAsia="Palatino Linotype" w:hAnsi="Palatino Linotype" w:cs="Palatino Linotype"/>
          <w:color w:val="000000"/>
          <w:sz w:val="24"/>
          <w:szCs w:val="24"/>
          <w:lang w:val="es-ES"/>
        </w:rPr>
        <w:lastRenderedPageBreak/>
        <w:t xml:space="preserve">En consecuencia de lo anterior, el recurso de revisión número </w:t>
      </w:r>
      <w:r w:rsidR="00450DDC" w:rsidRPr="002A18FB">
        <w:rPr>
          <w:rFonts w:ascii="Palatino Linotype" w:eastAsia="Palatino Linotype" w:hAnsi="Palatino Linotype" w:cs="Palatino Linotype"/>
          <w:color w:val="000000"/>
          <w:sz w:val="24"/>
          <w:szCs w:val="24"/>
          <w:lang w:val="es-ES"/>
        </w:rPr>
        <w:t>04409</w:t>
      </w:r>
      <w:r w:rsidRPr="002A18FB">
        <w:rPr>
          <w:rFonts w:ascii="Palatino Linotype" w:eastAsia="Palatino Linotype" w:hAnsi="Palatino Linotype" w:cs="Palatino Linotype"/>
          <w:color w:val="000000"/>
          <w:sz w:val="24"/>
          <w:szCs w:val="24"/>
          <w:lang w:val="es-ES"/>
        </w:rPr>
        <w:t>/INFOEM/IP/RR/2025 al corresponder</w:t>
      </w:r>
      <w:r w:rsidRPr="002A18FB">
        <w:rPr>
          <w:rFonts w:ascii="Palatino Linotype" w:eastAsia="Palatino Linotype" w:hAnsi="Palatino Linotype"/>
          <w:sz w:val="24"/>
          <w:szCs w:val="24"/>
          <w:lang w:eastAsia="es-ES"/>
        </w:rPr>
        <w:t xml:space="preserve"> al </w:t>
      </w:r>
      <w:r w:rsidR="00450DDC" w:rsidRPr="002A18FB">
        <w:rPr>
          <w:rFonts w:ascii="Palatino Linotype" w:eastAsia="Palatino Linotype" w:hAnsi="Palatino Linotype"/>
          <w:b/>
          <w:sz w:val="24"/>
          <w:szCs w:val="24"/>
          <w:lang w:eastAsia="es-ES"/>
        </w:rPr>
        <w:t xml:space="preserve">Ayuntamiento de Atlacomulco, </w:t>
      </w:r>
      <w:r w:rsidRPr="002A18FB">
        <w:rPr>
          <w:rFonts w:ascii="Palatino Linotype" w:eastAsia="Palatino Linotype" w:hAnsi="Palatino Linotype"/>
          <w:sz w:val="24"/>
          <w:szCs w:val="24"/>
          <w:lang w:eastAsia="es-ES"/>
        </w:rPr>
        <w:t xml:space="preserve">no pueden ser atendidos por el </w:t>
      </w:r>
      <w:r w:rsidR="00450DDC" w:rsidRPr="002A18FB">
        <w:rPr>
          <w:rFonts w:ascii="Palatino Linotype" w:eastAsia="Palatino Linotype" w:hAnsi="Palatino Linotype"/>
          <w:b/>
          <w:sz w:val="24"/>
          <w:szCs w:val="24"/>
          <w:lang w:eastAsia="es-ES"/>
        </w:rPr>
        <w:t xml:space="preserve">SUJETO OBLIGADO </w:t>
      </w:r>
      <w:r w:rsidRPr="002A18FB">
        <w:rPr>
          <w:rFonts w:ascii="Palatino Linotype" w:eastAsia="Palatino Linotype" w:hAnsi="Palatino Linotype"/>
          <w:sz w:val="24"/>
          <w:szCs w:val="24"/>
          <w:lang w:eastAsia="es-ES"/>
        </w:rPr>
        <w:t>a</w:t>
      </w:r>
      <w:r w:rsidRPr="002A18FB">
        <w:rPr>
          <w:rFonts w:ascii="Palatino Linotype" w:hAnsi="Palatino Linotype"/>
          <w:sz w:val="24"/>
          <w:szCs w:val="24"/>
          <w:lang w:eastAsia="es-ES"/>
        </w:rPr>
        <w:t>l tratarse de un medio de impugnación vinculado a un diverso ente público.</w:t>
      </w:r>
    </w:p>
    <w:p w:rsidR="005544D3" w:rsidRPr="002A18FB" w:rsidRDefault="005544D3" w:rsidP="005544D3">
      <w:pPr>
        <w:spacing w:line="360" w:lineRule="auto"/>
        <w:jc w:val="both"/>
        <w:rPr>
          <w:rFonts w:ascii="Palatino Linotype" w:eastAsia="Palatino Linotype" w:hAnsi="Palatino Linotype"/>
          <w:b/>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sz w:val="24"/>
          <w:szCs w:val="24"/>
          <w:lang w:eastAsia="es-ES"/>
        </w:rPr>
        <w:t>Por esta razón, se considera que dicho recurso de revisión ha quedado sin materia, por resultar notoriamente incompetente para colmar la entrega de la información, en términos de lo que establece el artículo 12 de la Ley de Transparencia Local, que es del tenor siguiente:</w:t>
      </w: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p>
    <w:p w:rsidR="005544D3" w:rsidRPr="002A18FB" w:rsidRDefault="005544D3" w:rsidP="005544D3">
      <w:pPr>
        <w:ind w:left="567" w:right="567"/>
        <w:contextualSpacing/>
        <w:jc w:val="both"/>
        <w:rPr>
          <w:rFonts w:ascii="Palatino Linotype" w:eastAsia="Palatino Linotype" w:hAnsi="Palatino Linotype" w:cs="Palatino Linotype"/>
          <w:i/>
          <w:color w:val="000000"/>
          <w:kern w:val="28"/>
          <w:sz w:val="24"/>
          <w:szCs w:val="24"/>
          <w:lang w:val="es-ES"/>
        </w:rPr>
      </w:pPr>
      <w:r w:rsidRPr="002A18FB">
        <w:rPr>
          <w:rFonts w:ascii="Palatino Linotype" w:eastAsia="Palatino Linotype" w:hAnsi="Palatino Linotype" w:cs="Palatino Linotype"/>
          <w:b/>
          <w:i/>
          <w:color w:val="000000"/>
          <w:kern w:val="28"/>
          <w:sz w:val="24"/>
          <w:szCs w:val="24"/>
          <w:lang w:val="es-ES"/>
        </w:rPr>
        <w:t>Artículo 12.</w:t>
      </w:r>
      <w:r w:rsidRPr="002A18FB">
        <w:rPr>
          <w:rFonts w:ascii="Palatino Linotype" w:eastAsia="Palatino Linotype" w:hAnsi="Palatino Linotype" w:cs="Palatino Linotype"/>
          <w:i/>
          <w:color w:val="000000"/>
          <w:kern w:val="28"/>
          <w:sz w:val="24"/>
          <w:szCs w:val="24"/>
          <w:lang w:val="es-ES"/>
        </w:rPr>
        <w:t xml:space="preserve"> </w:t>
      </w:r>
      <w:r w:rsidRPr="002A18FB">
        <w:rPr>
          <w:rFonts w:ascii="Palatino Linotype" w:eastAsia="Palatino Linotype" w:hAnsi="Palatino Linotype" w:cs="Palatino Linotype"/>
          <w:b/>
          <w:i/>
          <w:color w:val="000000"/>
          <w:kern w:val="28"/>
          <w:sz w:val="24"/>
          <w:szCs w:val="24"/>
          <w:lang w:val="es-ES"/>
        </w:rPr>
        <w:t>Quienes generen, recopilen, administren, manejen, procesen, archiven o conserven información pública serán responsables de la misma</w:t>
      </w:r>
      <w:r w:rsidRPr="002A18FB">
        <w:rPr>
          <w:rFonts w:ascii="Palatino Linotype" w:eastAsia="Palatino Linotype" w:hAnsi="Palatino Linotype" w:cs="Palatino Linotype"/>
          <w:i/>
          <w:color w:val="000000"/>
          <w:kern w:val="28"/>
          <w:sz w:val="24"/>
          <w:szCs w:val="24"/>
          <w:lang w:val="es-ES"/>
        </w:rPr>
        <w:t xml:space="preserve"> en los términos de las disposiciones jurídicas aplicables.</w:t>
      </w:r>
    </w:p>
    <w:p w:rsidR="005544D3" w:rsidRPr="002A18FB" w:rsidRDefault="005544D3" w:rsidP="005544D3">
      <w:pPr>
        <w:ind w:left="567" w:right="567"/>
        <w:contextualSpacing/>
        <w:jc w:val="both"/>
        <w:rPr>
          <w:rFonts w:ascii="Palatino Linotype" w:eastAsia="Palatino Linotype" w:hAnsi="Palatino Linotype" w:cs="Palatino Linotype"/>
          <w:b/>
          <w:i/>
          <w:color w:val="000000"/>
          <w:kern w:val="28"/>
          <w:sz w:val="24"/>
          <w:szCs w:val="24"/>
          <w:lang w:val="es-ES"/>
        </w:rPr>
      </w:pPr>
    </w:p>
    <w:p w:rsidR="005544D3" w:rsidRPr="002A18FB" w:rsidRDefault="005544D3" w:rsidP="005544D3">
      <w:pPr>
        <w:ind w:left="567" w:right="567"/>
        <w:contextualSpacing/>
        <w:jc w:val="both"/>
        <w:rPr>
          <w:rFonts w:ascii="Palatino Linotype" w:eastAsia="Palatino Linotype" w:hAnsi="Palatino Linotype" w:cs="Palatino Linotype"/>
          <w:i/>
          <w:color w:val="000000"/>
          <w:kern w:val="28"/>
          <w:sz w:val="24"/>
          <w:szCs w:val="24"/>
          <w:lang w:val="es-ES"/>
        </w:rPr>
      </w:pPr>
      <w:r w:rsidRPr="002A18FB">
        <w:rPr>
          <w:rFonts w:ascii="Palatino Linotype" w:eastAsia="Palatino Linotype" w:hAnsi="Palatino Linotype" w:cs="Palatino Linotype"/>
          <w:b/>
          <w:i/>
          <w:color w:val="000000"/>
          <w:kern w:val="28"/>
          <w:sz w:val="24"/>
          <w:szCs w:val="24"/>
          <w:lang w:val="es-ES"/>
        </w:rPr>
        <w:t xml:space="preserve">Los sujetos obligados sólo proporcionarán la información pública que se les requiera y que obre en sus archivos </w:t>
      </w:r>
      <w:r w:rsidRPr="002A18FB">
        <w:rPr>
          <w:rFonts w:ascii="Palatino Linotype" w:eastAsia="Palatino Linotype" w:hAnsi="Palatino Linotype" w:cs="Palatino Linotype"/>
          <w:i/>
          <w:color w:val="000000"/>
          <w:kern w:val="28"/>
          <w:sz w:val="24"/>
          <w:szCs w:val="24"/>
          <w:lang w:val="es-ES"/>
        </w:rPr>
        <w:t>y en el estado en que ésta se encuentre.</w:t>
      </w:r>
      <w:r w:rsidRPr="002A18FB">
        <w:rPr>
          <w:rFonts w:ascii="Palatino Linotype" w:hAnsi="Palatino Linotype"/>
          <w:i/>
          <w:kern w:val="28"/>
          <w:sz w:val="24"/>
          <w:szCs w:val="24"/>
          <w:lang w:eastAsia="es-ES"/>
        </w:rPr>
        <w:t xml:space="preserve"> </w:t>
      </w:r>
      <w:r w:rsidRPr="002A18FB">
        <w:rPr>
          <w:rFonts w:ascii="Palatino Linotype" w:eastAsia="Palatino Linotype" w:hAnsi="Palatino Linotype" w:cs="Palatino Linotype"/>
          <w:i/>
          <w:color w:val="000000"/>
          <w:kern w:val="28"/>
          <w:sz w:val="24"/>
          <w:szCs w:val="24"/>
          <w:lang w:val="es-ES"/>
        </w:rPr>
        <w:t>La obligación de proporcionar información no comprende el procesamiento de la misma, ni el presentarla conforme al interés del solicitante; no estarán obligados a generarla, resumirla, efectuar cálculos o practicar investigaciones.</w:t>
      </w:r>
    </w:p>
    <w:p w:rsidR="005544D3" w:rsidRPr="002A18FB" w:rsidRDefault="005544D3" w:rsidP="005544D3">
      <w:pPr>
        <w:ind w:left="567" w:right="567"/>
        <w:contextualSpacing/>
        <w:jc w:val="both"/>
        <w:rPr>
          <w:rFonts w:ascii="Palatino Linotype" w:eastAsia="Palatino Linotype" w:hAnsi="Palatino Linotype" w:cs="Palatino Linotype"/>
          <w:i/>
          <w:color w:val="000000"/>
          <w:kern w:val="28"/>
          <w:sz w:val="24"/>
          <w:szCs w:val="24"/>
          <w:lang w:val="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cs="Palatino Linotype"/>
          <w:color w:val="000000"/>
          <w:sz w:val="24"/>
          <w:szCs w:val="24"/>
          <w:lang w:val="es-ES"/>
        </w:rPr>
      </w:pPr>
      <w:r w:rsidRPr="002A18FB">
        <w:rPr>
          <w:rFonts w:ascii="Palatino Linotype" w:eastAsia="Palatino Linotype" w:hAnsi="Palatino Linotype" w:cs="Palatino Linotype"/>
          <w:color w:val="000000"/>
          <w:sz w:val="24"/>
          <w:szCs w:val="24"/>
          <w:lang w:val="es-ES"/>
        </w:rPr>
        <w:t>Asimismo, se destaca el deber de las Unidades de Transparencia de detectar y manifestar la notoria incompetencia, contenida en las solicitudes de información, tal y como lo establece el artículo 167 de la Ley de Transparencia Estatal.</w:t>
      </w:r>
    </w:p>
    <w:p w:rsidR="005544D3" w:rsidRPr="002A18FB" w:rsidRDefault="005544D3" w:rsidP="005544D3">
      <w:pPr>
        <w:ind w:left="567" w:right="567"/>
        <w:contextualSpacing/>
        <w:jc w:val="both"/>
        <w:rPr>
          <w:rFonts w:ascii="Palatino Linotype" w:eastAsia="Palatino Linotype" w:hAnsi="Palatino Linotype"/>
          <w:b/>
          <w:i/>
          <w:kern w:val="28"/>
          <w:sz w:val="24"/>
          <w:szCs w:val="24"/>
          <w:lang w:val="es-ES"/>
        </w:rPr>
      </w:pPr>
      <w:r w:rsidRPr="002A18FB">
        <w:rPr>
          <w:rFonts w:ascii="Palatino Linotype" w:eastAsia="Palatino Linotype" w:hAnsi="Palatino Linotype"/>
          <w:b/>
          <w:i/>
          <w:kern w:val="28"/>
          <w:sz w:val="24"/>
          <w:szCs w:val="24"/>
          <w:lang w:val="es-ES"/>
        </w:rPr>
        <w:t>Artículo 167.</w:t>
      </w:r>
      <w:r w:rsidRPr="002A18FB">
        <w:rPr>
          <w:rFonts w:ascii="Palatino Linotype" w:eastAsia="Palatino Linotype" w:hAnsi="Palatino Linotype"/>
          <w:i/>
          <w:kern w:val="28"/>
          <w:sz w:val="24"/>
          <w:szCs w:val="24"/>
          <w:lang w:val="es-ES"/>
        </w:rPr>
        <w:t xml:space="preserve"> </w:t>
      </w:r>
      <w:r w:rsidRPr="002A18FB">
        <w:rPr>
          <w:rFonts w:ascii="Palatino Linotype" w:eastAsia="Palatino Linotype" w:hAnsi="Palatino Linotype"/>
          <w:b/>
          <w:i/>
          <w:kern w:val="28"/>
          <w:sz w:val="24"/>
          <w:szCs w:val="24"/>
          <w:lang w:val="es-ES"/>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rsidR="005544D3" w:rsidRPr="002A18FB" w:rsidRDefault="005544D3" w:rsidP="005544D3">
      <w:pPr>
        <w:ind w:left="567" w:right="567"/>
        <w:contextualSpacing/>
        <w:jc w:val="both"/>
        <w:rPr>
          <w:rFonts w:ascii="Palatino Linotype" w:eastAsia="Palatino Linotype" w:hAnsi="Palatino Linotype"/>
          <w:i/>
          <w:kern w:val="28"/>
          <w:sz w:val="24"/>
          <w:szCs w:val="24"/>
          <w:lang w:val="es-ES"/>
        </w:rPr>
      </w:pPr>
      <w:r w:rsidRPr="002A18FB">
        <w:rPr>
          <w:rFonts w:ascii="Palatino Linotype" w:eastAsia="Palatino Linotype" w:hAnsi="Palatino Linotype"/>
          <w:i/>
          <w:kern w:val="28"/>
          <w:sz w:val="24"/>
          <w:szCs w:val="24"/>
          <w:lang w:val="es-ES"/>
        </w:rPr>
        <w:lastRenderedPageBreak/>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rsidR="005544D3" w:rsidRPr="002A18FB" w:rsidRDefault="005544D3" w:rsidP="005544D3">
      <w:pPr>
        <w:ind w:left="567" w:right="567"/>
        <w:contextualSpacing/>
        <w:jc w:val="both"/>
        <w:rPr>
          <w:rFonts w:ascii="Palatino Linotype" w:eastAsia="Palatino Linotype" w:hAnsi="Palatino Linotype"/>
          <w:i/>
          <w:kern w:val="28"/>
          <w:sz w:val="24"/>
          <w:szCs w:val="24"/>
          <w:lang w:val="es-ES"/>
        </w:rPr>
      </w:pPr>
      <w:r w:rsidRPr="002A18FB">
        <w:rPr>
          <w:rFonts w:ascii="Palatino Linotype" w:eastAsia="Palatino Linotype" w:hAnsi="Palatino Linotype"/>
          <w:i/>
          <w:kern w:val="28"/>
          <w:sz w:val="24"/>
          <w:szCs w:val="24"/>
          <w:lang w:val="es-ES"/>
        </w:rPr>
        <w:t>Si transcurrido el plazo señalado en el primer párrafo de este artículo, el sujeto obligado no declina la competencia en los términos establecidos, podrá canalizar la solicitud ante el sujeto obligado competente.</w:t>
      </w:r>
    </w:p>
    <w:p w:rsidR="005544D3" w:rsidRPr="002A18FB" w:rsidRDefault="005544D3" w:rsidP="005544D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val="es-ES_tradnl" w:eastAsia="es-ES"/>
        </w:rPr>
      </w:pPr>
      <w:r w:rsidRPr="002A18FB">
        <w:rPr>
          <w:rFonts w:ascii="Palatino Linotype" w:eastAsia="Palatino Linotype" w:hAnsi="Palatino Linotype" w:cs="Palatino Linotype"/>
          <w:color w:val="000000"/>
          <w:sz w:val="24"/>
          <w:szCs w:val="24"/>
          <w:lang w:val="es-ES"/>
        </w:rPr>
        <w:t>Del</w:t>
      </w:r>
      <w:r w:rsidRPr="002A18FB">
        <w:rPr>
          <w:rFonts w:ascii="Palatino Linotype" w:eastAsia="Palatino Linotype" w:hAnsi="Palatino Linotype"/>
          <w:sz w:val="24"/>
          <w:szCs w:val="24"/>
          <w:lang w:val="es-ES_tradnl" w:eastAsia="es-ES"/>
        </w:rPr>
        <w:t xml:space="preserve"> artículo en cita se desprenden las siguientes premisas:</w:t>
      </w:r>
    </w:p>
    <w:p w:rsidR="005544D3" w:rsidRPr="002A18FB" w:rsidRDefault="005544D3" w:rsidP="005544D3">
      <w:pPr>
        <w:numPr>
          <w:ilvl w:val="0"/>
          <w:numId w:val="19"/>
        </w:numPr>
        <w:spacing w:line="360" w:lineRule="auto"/>
        <w:ind w:left="851" w:hanging="284"/>
        <w:contextualSpacing/>
        <w:jc w:val="both"/>
        <w:rPr>
          <w:rFonts w:ascii="Palatino Linotype" w:eastAsia="Palatino Linotype" w:hAnsi="Palatino Linotype"/>
          <w:sz w:val="24"/>
          <w:szCs w:val="24"/>
          <w:lang w:val="es-ES_tradnl" w:eastAsia="es-ES"/>
        </w:rPr>
      </w:pPr>
      <w:r w:rsidRPr="002A18FB">
        <w:rPr>
          <w:rFonts w:ascii="Palatino Linotype" w:eastAsia="Palatino Linotype" w:hAnsi="Palatino Linotype"/>
          <w:sz w:val="24"/>
          <w:szCs w:val="24"/>
          <w:lang w:val="es-ES_tradnl" w:eastAsia="es-ES"/>
        </w:rPr>
        <w:t xml:space="preserve">Que en los supuestos en los que las unidades de transparencia determinen una </w:t>
      </w:r>
      <w:r w:rsidRPr="002A18FB">
        <w:rPr>
          <w:rFonts w:ascii="Palatino Linotype" w:eastAsia="Palatino Linotype" w:hAnsi="Palatino Linotype"/>
          <w:b/>
          <w:bCs/>
          <w:sz w:val="24"/>
          <w:szCs w:val="24"/>
          <w:u w:val="single"/>
          <w:lang w:val="es-ES_tradnl" w:eastAsia="es-ES"/>
        </w:rPr>
        <w:t>notoria incompetencia</w:t>
      </w:r>
      <w:r w:rsidRPr="002A18FB">
        <w:rPr>
          <w:rFonts w:ascii="Palatino Linotype" w:eastAsia="Palatino Linotype" w:hAnsi="Palatino Linotype"/>
          <w:sz w:val="24"/>
          <w:szCs w:val="24"/>
          <w:lang w:val="es-ES_tradnl" w:eastAsia="es-ES"/>
        </w:rPr>
        <w:t>, esta situación se deberá hacer del conocimiento del Recurrente en un término de tres días hábiles posteriores al ingreso de la solicitud y, de ser posible, orientarlo para que dirija su solicitud ante el sujeto obligado competente.</w:t>
      </w:r>
    </w:p>
    <w:p w:rsidR="005544D3" w:rsidRPr="002A18FB" w:rsidRDefault="005544D3" w:rsidP="005544D3">
      <w:pPr>
        <w:numPr>
          <w:ilvl w:val="0"/>
          <w:numId w:val="19"/>
        </w:numPr>
        <w:spacing w:line="360" w:lineRule="auto"/>
        <w:ind w:left="851" w:hanging="284"/>
        <w:contextualSpacing/>
        <w:jc w:val="both"/>
        <w:rPr>
          <w:rFonts w:ascii="Palatino Linotype" w:eastAsia="Palatino Linotype" w:hAnsi="Palatino Linotype" w:cs="Palatino Linotype"/>
          <w:sz w:val="24"/>
          <w:szCs w:val="24"/>
          <w:lang w:val="es-ES_tradnl" w:eastAsia="es-ES"/>
        </w:rPr>
      </w:pPr>
      <w:r w:rsidRPr="002A18FB">
        <w:rPr>
          <w:rFonts w:ascii="Palatino Linotype" w:eastAsia="Palatino Linotype" w:hAnsi="Palatino Linotype" w:cs="Palatino Linotype"/>
          <w:sz w:val="24"/>
          <w:szCs w:val="24"/>
          <w:lang w:val="es-ES_tradnl" w:eastAsia="es-ES"/>
        </w:rPr>
        <w:t xml:space="preserve">Que si los </w:t>
      </w:r>
      <w:r w:rsidRPr="002A18FB">
        <w:rPr>
          <w:rFonts w:ascii="Palatino Linotype" w:eastAsia="Palatino Linotype" w:hAnsi="Palatino Linotype"/>
          <w:sz w:val="24"/>
          <w:szCs w:val="24"/>
          <w:lang w:val="es-ES_tradnl" w:eastAsia="es-ES"/>
        </w:rPr>
        <w:t>sujetos</w:t>
      </w:r>
      <w:r w:rsidRPr="002A18FB">
        <w:rPr>
          <w:rFonts w:ascii="Palatino Linotype" w:eastAsia="Palatino Linotype" w:hAnsi="Palatino Linotype" w:cs="Palatino Linotype"/>
          <w:sz w:val="24"/>
          <w:szCs w:val="24"/>
          <w:lang w:val="es-ES_tradnl" w:eastAsia="es-ES"/>
        </w:rPr>
        <w:t xml:space="preserve"> obligados están facultados parcialmente para atender la solicitud están constreñidos a atender dicha parte y notificar la incompetencia en los términos señalados.</w:t>
      </w:r>
    </w:p>
    <w:p w:rsidR="005544D3" w:rsidRPr="002A18FB" w:rsidRDefault="005544D3" w:rsidP="005544D3">
      <w:pPr>
        <w:numPr>
          <w:ilvl w:val="0"/>
          <w:numId w:val="19"/>
        </w:numPr>
        <w:spacing w:line="360" w:lineRule="auto"/>
        <w:ind w:left="851" w:hanging="284"/>
        <w:contextualSpacing/>
        <w:jc w:val="both"/>
        <w:rPr>
          <w:rFonts w:ascii="Palatino Linotype" w:eastAsia="Palatino Linotype" w:hAnsi="Palatino Linotype" w:cs="Palatino Linotype"/>
          <w:sz w:val="24"/>
          <w:szCs w:val="24"/>
          <w:lang w:val="es-ES_tradnl" w:eastAsia="es-ES"/>
        </w:rPr>
      </w:pPr>
      <w:r w:rsidRPr="002A18FB">
        <w:rPr>
          <w:rFonts w:ascii="Palatino Linotype" w:eastAsia="Palatino Linotype" w:hAnsi="Palatino Linotype" w:cs="Palatino Linotype"/>
          <w:sz w:val="24"/>
          <w:szCs w:val="24"/>
          <w:lang w:val="es-ES_tradnl" w:eastAsia="es-ES"/>
        </w:rPr>
        <w:t xml:space="preserve">Que una vez transcurridos los tres días establecidos y el sujeto obligado no ha declinado la </w:t>
      </w:r>
      <w:r w:rsidRPr="002A18FB">
        <w:rPr>
          <w:rFonts w:ascii="Palatino Linotype" w:eastAsia="Palatino Linotype" w:hAnsi="Palatino Linotype"/>
          <w:sz w:val="24"/>
          <w:szCs w:val="24"/>
          <w:lang w:val="es-ES_tradnl" w:eastAsia="es-ES"/>
        </w:rPr>
        <w:t>competencia</w:t>
      </w:r>
      <w:r w:rsidRPr="002A18FB">
        <w:rPr>
          <w:rFonts w:ascii="Palatino Linotype" w:eastAsia="Palatino Linotype" w:hAnsi="Palatino Linotype" w:cs="Palatino Linotype"/>
          <w:sz w:val="24"/>
          <w:szCs w:val="24"/>
          <w:lang w:val="es-ES_tradnl" w:eastAsia="es-ES"/>
        </w:rPr>
        <w:t>, puede canalizar la solicitud ante el sujeto obligado competente; empero, esto es potestativo.</w:t>
      </w:r>
    </w:p>
    <w:p w:rsidR="005544D3" w:rsidRPr="002A18FB" w:rsidRDefault="005544D3" w:rsidP="005544D3">
      <w:pPr>
        <w:spacing w:line="360" w:lineRule="auto"/>
        <w:jc w:val="both"/>
        <w:rPr>
          <w:rFonts w:ascii="Palatino Linotype" w:eastAsia="Palatino Linotype" w:hAnsi="Palatino Linotype"/>
          <w:sz w:val="24"/>
          <w:szCs w:val="24"/>
          <w:lang w:val="es-ES_tradnl"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bCs/>
          <w:sz w:val="24"/>
          <w:szCs w:val="24"/>
          <w:lang w:eastAsia="es-ES"/>
        </w:rPr>
      </w:pPr>
      <w:r w:rsidRPr="002A18FB">
        <w:rPr>
          <w:rFonts w:ascii="Palatino Linotype" w:eastAsia="Palatino Linotype" w:hAnsi="Palatino Linotype"/>
          <w:sz w:val="24"/>
          <w:szCs w:val="24"/>
          <w:lang w:val="es-ES_tradnl" w:eastAsia="es-ES"/>
        </w:rPr>
        <w:t xml:space="preserve">En </w:t>
      </w:r>
      <w:r w:rsidRPr="002A18FB">
        <w:rPr>
          <w:rFonts w:ascii="Palatino Linotype" w:eastAsia="Palatino Linotype" w:hAnsi="Palatino Linotype" w:cs="Palatino Linotype"/>
          <w:color w:val="000000"/>
          <w:sz w:val="24"/>
          <w:szCs w:val="24"/>
          <w:lang w:val="es-ES"/>
        </w:rPr>
        <w:t>ese</w:t>
      </w:r>
      <w:r w:rsidRPr="002A18FB">
        <w:rPr>
          <w:rFonts w:ascii="Palatino Linotype" w:eastAsia="Palatino Linotype" w:hAnsi="Palatino Linotype"/>
          <w:sz w:val="24"/>
          <w:szCs w:val="24"/>
          <w:lang w:val="es-ES_tradnl" w:eastAsia="es-ES"/>
        </w:rPr>
        <w:t xml:space="preserve"> sentido, dicho artículo indica a los sujetos obligados el procedimiento que deben seguir en los supuestos en los que la incompetencia sea notoria o se trate de una incompetencia parcial; sin embargo, conviene resaltar el significado de «notorio», el cual el </w:t>
      </w:r>
      <w:r w:rsidRPr="002A18FB">
        <w:rPr>
          <w:rFonts w:ascii="Palatino Linotype" w:eastAsia="Palatino Linotype" w:hAnsi="Palatino Linotype"/>
          <w:bCs/>
          <w:sz w:val="24"/>
          <w:szCs w:val="24"/>
          <w:lang w:eastAsia="es-ES"/>
        </w:rPr>
        <w:t>Diccionario de la Real Academia Española</w:t>
      </w:r>
      <w:r w:rsidRPr="002A18FB">
        <w:rPr>
          <w:rFonts w:ascii="Palatino Linotype" w:eastAsia="Palatino Linotype" w:hAnsi="Palatino Linotype"/>
          <w:bCs/>
          <w:sz w:val="24"/>
          <w:szCs w:val="24"/>
          <w:vertAlign w:val="superscript"/>
          <w:lang w:eastAsia="es-ES"/>
        </w:rPr>
        <w:footnoteReference w:id="1"/>
      </w:r>
      <w:r w:rsidRPr="002A18FB">
        <w:rPr>
          <w:rFonts w:ascii="Palatino Linotype" w:eastAsia="Palatino Linotype" w:hAnsi="Palatino Linotype"/>
          <w:bCs/>
          <w:sz w:val="24"/>
          <w:szCs w:val="24"/>
          <w:lang w:eastAsia="es-ES"/>
        </w:rPr>
        <w:t xml:space="preserve"> determinó lo siguiente:</w:t>
      </w: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r w:rsidRPr="002A18FB">
        <w:rPr>
          <w:rFonts w:ascii="Palatino Linotype" w:eastAsia="Palatino Linotype" w:hAnsi="Palatino Linotype"/>
          <w:i/>
          <w:kern w:val="28"/>
          <w:sz w:val="24"/>
          <w:szCs w:val="24"/>
          <w:lang w:eastAsia="es-ES"/>
        </w:rPr>
        <w:lastRenderedPageBreak/>
        <w:t>“</w:t>
      </w:r>
      <w:r w:rsidRPr="002A18FB">
        <w:rPr>
          <w:rFonts w:ascii="Palatino Linotype" w:eastAsia="Palatino Linotype" w:hAnsi="Palatino Linotype"/>
          <w:b/>
          <w:i/>
          <w:kern w:val="28"/>
          <w:sz w:val="24"/>
          <w:szCs w:val="24"/>
          <w:lang w:eastAsia="es-ES"/>
        </w:rPr>
        <w:t>notorio, ria</w:t>
      </w:r>
    </w:p>
    <w:p w:rsidR="005544D3" w:rsidRPr="002A18FB" w:rsidRDefault="005544D3" w:rsidP="005544D3">
      <w:pPr>
        <w:ind w:left="567" w:right="567"/>
        <w:contextualSpacing/>
        <w:jc w:val="both"/>
        <w:rPr>
          <w:rFonts w:ascii="Palatino Linotype" w:eastAsia="Palatino Linotype" w:hAnsi="Palatino Linotype"/>
          <w:b/>
          <w:bCs/>
          <w:i/>
          <w:kern w:val="28"/>
          <w:sz w:val="24"/>
          <w:szCs w:val="24"/>
          <w:lang w:eastAsia="es-ES"/>
        </w:rPr>
      </w:pPr>
      <w:r w:rsidRPr="002A18FB">
        <w:rPr>
          <w:rFonts w:ascii="Palatino Linotype" w:eastAsia="Palatino Linotype" w:hAnsi="Palatino Linotype"/>
          <w:b/>
          <w:bCs/>
          <w:i/>
          <w:kern w:val="28"/>
          <w:sz w:val="24"/>
          <w:szCs w:val="24"/>
          <w:lang w:eastAsia="es-ES"/>
        </w:rPr>
        <w:t>Del bajo latín notorius</w:t>
      </w:r>
      <w:r w:rsidRPr="002A18FB">
        <w:rPr>
          <w:rFonts w:ascii="Palatino Linotype" w:eastAsia="Palatino Linotype" w:hAnsi="Palatino Linotype"/>
          <w:b/>
          <w:bCs/>
          <w:i/>
          <w:iCs/>
          <w:kern w:val="28"/>
          <w:sz w:val="24"/>
          <w:szCs w:val="24"/>
          <w:lang w:eastAsia="es-ES"/>
        </w:rPr>
        <w:t>.</w:t>
      </w:r>
    </w:p>
    <w:p w:rsidR="005544D3" w:rsidRPr="002A18FB" w:rsidRDefault="005544D3" w:rsidP="005544D3">
      <w:pPr>
        <w:numPr>
          <w:ilvl w:val="0"/>
          <w:numId w:val="20"/>
        </w:numPr>
        <w:ind w:right="567"/>
        <w:contextualSpacing/>
        <w:jc w:val="both"/>
        <w:rPr>
          <w:rFonts w:ascii="Palatino Linotype" w:eastAsia="Palatino Linotype" w:hAnsi="Palatino Linotype"/>
          <w:i/>
          <w:kern w:val="28"/>
          <w:sz w:val="24"/>
          <w:szCs w:val="24"/>
          <w:lang w:eastAsia="es-ES"/>
        </w:rPr>
      </w:pPr>
      <w:r w:rsidRPr="002A18FB">
        <w:rPr>
          <w:rFonts w:ascii="Palatino Linotype" w:eastAsia="Palatino Linotype" w:hAnsi="Palatino Linotype"/>
          <w:i/>
          <w:kern w:val="28"/>
          <w:sz w:val="24"/>
          <w:szCs w:val="24"/>
          <w:lang w:eastAsia="es-ES"/>
        </w:rPr>
        <w:t>adj. Público y sabido por todos.</w:t>
      </w:r>
    </w:p>
    <w:p w:rsidR="005544D3" w:rsidRPr="002A18FB" w:rsidRDefault="005544D3" w:rsidP="005544D3">
      <w:pPr>
        <w:numPr>
          <w:ilvl w:val="0"/>
          <w:numId w:val="20"/>
        </w:numPr>
        <w:ind w:right="567"/>
        <w:contextualSpacing/>
        <w:jc w:val="both"/>
        <w:rPr>
          <w:rFonts w:ascii="Palatino Linotype" w:eastAsia="Palatino Linotype" w:hAnsi="Palatino Linotype"/>
          <w:i/>
          <w:kern w:val="28"/>
          <w:sz w:val="24"/>
          <w:szCs w:val="24"/>
          <w:lang w:eastAsia="es-ES"/>
        </w:rPr>
      </w:pPr>
      <w:r w:rsidRPr="002A18FB">
        <w:rPr>
          <w:rFonts w:ascii="Palatino Linotype" w:eastAsia="Palatino Linotype" w:hAnsi="Palatino Linotype"/>
          <w:i/>
          <w:kern w:val="28"/>
          <w:sz w:val="24"/>
          <w:szCs w:val="24"/>
          <w:lang w:eastAsia="es-ES"/>
        </w:rPr>
        <w:t xml:space="preserve">adj. </w:t>
      </w:r>
      <w:r w:rsidRPr="002A18FB">
        <w:rPr>
          <w:rFonts w:ascii="Palatino Linotype" w:eastAsia="Palatino Linotype" w:hAnsi="Palatino Linotype"/>
          <w:i/>
          <w:kern w:val="28"/>
          <w:sz w:val="24"/>
          <w:szCs w:val="24"/>
          <w:u w:val="single"/>
          <w:lang w:eastAsia="es-ES"/>
        </w:rPr>
        <w:t>Claro, evidente</w:t>
      </w:r>
      <w:r w:rsidRPr="002A18FB">
        <w:rPr>
          <w:rFonts w:ascii="Palatino Linotype" w:eastAsia="Palatino Linotype" w:hAnsi="Palatino Linotype"/>
          <w:i/>
          <w:kern w:val="28"/>
          <w:sz w:val="24"/>
          <w:szCs w:val="24"/>
          <w:lang w:eastAsia="es-ES"/>
        </w:rPr>
        <w:t>.</w:t>
      </w:r>
    </w:p>
    <w:p w:rsidR="005544D3" w:rsidRPr="002A18FB" w:rsidRDefault="005544D3" w:rsidP="005544D3">
      <w:pPr>
        <w:numPr>
          <w:ilvl w:val="0"/>
          <w:numId w:val="20"/>
        </w:numPr>
        <w:ind w:right="567"/>
        <w:contextualSpacing/>
        <w:jc w:val="both"/>
        <w:rPr>
          <w:rFonts w:ascii="Palatino Linotype" w:eastAsia="Palatino Linotype" w:hAnsi="Palatino Linotype"/>
          <w:i/>
          <w:kern w:val="28"/>
          <w:sz w:val="24"/>
          <w:szCs w:val="24"/>
          <w:lang w:eastAsia="es-ES"/>
        </w:rPr>
      </w:pPr>
      <w:r w:rsidRPr="002A18FB">
        <w:rPr>
          <w:rFonts w:ascii="Palatino Linotype" w:eastAsia="Palatino Linotype" w:hAnsi="Palatino Linotype"/>
          <w:i/>
          <w:kern w:val="28"/>
          <w:sz w:val="24"/>
          <w:szCs w:val="24"/>
          <w:lang w:eastAsia="es-ES"/>
        </w:rPr>
        <w:t>adj. Importante, relevante o famoso.” (Sic)</w:t>
      </w:r>
    </w:p>
    <w:p w:rsidR="005544D3" w:rsidRPr="002A18FB" w:rsidRDefault="005544D3" w:rsidP="005544D3">
      <w:pPr>
        <w:spacing w:line="360" w:lineRule="auto"/>
        <w:ind w:right="39"/>
        <w:jc w:val="both"/>
        <w:rPr>
          <w:rFonts w:ascii="Palatino Linotype" w:eastAsia="Palatino Linotype" w:hAnsi="Palatino Linotype" w:cs="Palatino Linotype"/>
          <w:bCs/>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sz w:val="24"/>
          <w:szCs w:val="24"/>
          <w:lang w:eastAsia="es-ES"/>
        </w:rPr>
        <w:t xml:space="preserve">Así, la </w:t>
      </w:r>
      <w:r w:rsidRPr="002A18FB">
        <w:rPr>
          <w:rFonts w:ascii="Palatino Linotype" w:eastAsia="Palatino Linotype" w:hAnsi="Palatino Linotype" w:cs="Palatino Linotype"/>
          <w:color w:val="000000"/>
          <w:sz w:val="24"/>
          <w:szCs w:val="24"/>
          <w:lang w:val="es-ES"/>
        </w:rPr>
        <w:t>segunda</w:t>
      </w:r>
      <w:r w:rsidRPr="002A18FB">
        <w:rPr>
          <w:rFonts w:ascii="Palatino Linotype" w:eastAsia="Palatino Linotype" w:hAnsi="Palatino Linotype"/>
          <w:sz w:val="24"/>
          <w:szCs w:val="24"/>
          <w:lang w:eastAsia="es-ES"/>
        </w:rPr>
        <w:t xml:space="preserve">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rsidR="005544D3" w:rsidRPr="002A18FB" w:rsidRDefault="005544D3" w:rsidP="005544D3">
      <w:pPr>
        <w:spacing w:line="360" w:lineRule="auto"/>
        <w:jc w:val="both"/>
        <w:rPr>
          <w:rFonts w:ascii="Palatino Linotype" w:eastAsia="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sz w:val="24"/>
          <w:szCs w:val="24"/>
          <w:lang w:eastAsia="es-ES"/>
        </w:rPr>
        <w:t>Ante dicha laguna, el Pleno del Instituto realizó una interpretación a lo dispuesto en los artículos 49 fracción II y 167 de la Ley de la materia y se emitió el criterio reiterado 01/19, en el que se estableció lo siguiente:</w:t>
      </w: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p>
    <w:p w:rsidR="005544D3" w:rsidRPr="002A18FB" w:rsidRDefault="005544D3" w:rsidP="005544D3">
      <w:pPr>
        <w:ind w:left="567" w:right="567"/>
        <w:contextualSpacing/>
        <w:jc w:val="both"/>
        <w:rPr>
          <w:rFonts w:ascii="Palatino Linotype" w:eastAsia="Palatino Linotype" w:hAnsi="Palatino Linotype"/>
          <w:b/>
          <w:i/>
          <w:iCs/>
          <w:kern w:val="28"/>
          <w:sz w:val="24"/>
          <w:szCs w:val="24"/>
          <w:lang w:eastAsia="es-ES"/>
        </w:rPr>
      </w:pPr>
      <w:r w:rsidRPr="002A18FB">
        <w:rPr>
          <w:rFonts w:ascii="Palatino Linotype" w:eastAsia="Palatino Linotype" w:hAnsi="Palatino Linotype"/>
          <w:b/>
          <w:i/>
          <w:iCs/>
          <w:kern w:val="28"/>
          <w:sz w:val="24"/>
          <w:szCs w:val="24"/>
          <w:lang w:eastAsia="es-ES"/>
        </w:rPr>
        <w:t>“DECLARATORIA DE INCOMPETENCIA DEL SUJETO OBLIGADO. SUPUESTO PARA CONFIRMARLA POR ACUERDO DEL COMITÉ DE TRANSPARENCIA.</w:t>
      </w:r>
    </w:p>
    <w:p w:rsidR="005544D3" w:rsidRPr="002A18FB" w:rsidRDefault="005544D3" w:rsidP="005544D3">
      <w:pPr>
        <w:ind w:left="567" w:right="567"/>
        <w:contextualSpacing/>
        <w:jc w:val="both"/>
        <w:rPr>
          <w:rFonts w:ascii="Palatino Linotype" w:eastAsia="Palatino Linotype" w:hAnsi="Palatino Linotype"/>
          <w:b/>
          <w:i/>
          <w:iCs/>
          <w:kern w:val="28"/>
          <w:sz w:val="24"/>
          <w:szCs w:val="24"/>
          <w:lang w:eastAsia="es-ES"/>
        </w:rPr>
      </w:pPr>
      <w:r w:rsidRPr="002A18FB">
        <w:rPr>
          <w:rFonts w:ascii="Palatino Linotype" w:eastAsia="Palatino Linotype" w:hAnsi="Palatino Linotype"/>
          <w:b/>
          <w:i/>
          <w:iCs/>
          <w:kern w:val="28"/>
          <w:sz w:val="24"/>
          <w:szCs w:val="24"/>
          <w:lang w:eastAsia="es-ES"/>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2A18FB">
        <w:rPr>
          <w:rFonts w:ascii="Palatino Linotype" w:eastAsia="Palatino Linotype" w:hAnsi="Palatino Linotype"/>
          <w:i/>
          <w:iCs/>
          <w:kern w:val="28"/>
          <w:sz w:val="24"/>
          <w:szCs w:val="24"/>
          <w:lang w:eastAsia="es-ES"/>
        </w:rPr>
        <w:t xml:space="preserve">, al ser este el acto jurídico idóneo que genera seguridad jurídica de que el Ente ante quien se presentó la solicitud, carece de facultades, competencias o funciones para poseer o </w:t>
      </w:r>
      <w:r w:rsidRPr="002A18FB">
        <w:rPr>
          <w:rFonts w:ascii="Palatino Linotype" w:eastAsia="Palatino Linotype" w:hAnsi="Palatino Linotype"/>
          <w:i/>
          <w:iCs/>
          <w:kern w:val="28"/>
          <w:sz w:val="24"/>
          <w:szCs w:val="24"/>
          <w:lang w:eastAsia="es-ES"/>
        </w:rPr>
        <w:lastRenderedPageBreak/>
        <w:t xml:space="preserve">generar la información requerida; lo anterior, sin perjuicio de que pueda gestionar la colaboración de otro Sujeto Obligado competente para atender la solicitud.” </w:t>
      </w:r>
      <w:r w:rsidRPr="002A18FB">
        <w:rPr>
          <w:rFonts w:ascii="Palatino Linotype" w:eastAsia="Palatino Linotype" w:hAnsi="Palatino Linotype"/>
          <w:b/>
          <w:i/>
          <w:iCs/>
          <w:kern w:val="28"/>
          <w:sz w:val="24"/>
          <w:szCs w:val="24"/>
          <w:lang w:eastAsia="es-ES"/>
        </w:rPr>
        <w:t>(Sic)</w:t>
      </w: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cs="Palatino Linotype"/>
          <w:color w:val="000000"/>
          <w:sz w:val="24"/>
          <w:szCs w:val="24"/>
          <w:lang w:val="es-ES"/>
        </w:rPr>
        <w:t>Asimismo</w:t>
      </w:r>
      <w:r w:rsidRPr="002A18FB">
        <w:rPr>
          <w:rFonts w:ascii="Palatino Linotype" w:eastAsia="Palatino Linotype" w:hAnsi="Palatino Linotype"/>
          <w:sz w:val="24"/>
          <w:szCs w:val="24"/>
          <w:lang w:eastAsia="es-ES"/>
        </w:rPr>
        <w:t>, se determinó viable adoptar el criterio con clave de control SO/002/2020 emitido por el entonces Instituto Nacional de Transparencia, Acceso a la Información y Protección de Datos Personales (INAI), que a la letra estipula lo siguiente:</w:t>
      </w: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p>
    <w:p w:rsidR="005544D3" w:rsidRPr="002A18FB" w:rsidRDefault="005544D3" w:rsidP="005544D3">
      <w:pPr>
        <w:ind w:left="567" w:right="567"/>
        <w:contextualSpacing/>
        <w:jc w:val="both"/>
        <w:rPr>
          <w:rFonts w:ascii="Palatino Linotype" w:eastAsia="Palatino Linotype" w:hAnsi="Palatino Linotype"/>
          <w:i/>
          <w:kern w:val="28"/>
          <w:sz w:val="24"/>
          <w:szCs w:val="24"/>
          <w:lang w:eastAsia="es-ES"/>
        </w:rPr>
      </w:pPr>
      <w:r w:rsidRPr="002A18FB">
        <w:rPr>
          <w:rFonts w:ascii="Palatino Linotype" w:eastAsia="Palatino Linotype" w:hAnsi="Palatino Linotype"/>
          <w:b/>
          <w:i/>
          <w:kern w:val="28"/>
          <w:sz w:val="24"/>
          <w:szCs w:val="24"/>
          <w:lang w:eastAsia="es-ES"/>
        </w:rPr>
        <w:t xml:space="preserve">“DECLARACIÓN DE INCOMPETENCIA POR PARTE DEL COMITÉ, CUANDO NO SEA NOTORIA O MANIFIESTA. </w:t>
      </w:r>
      <w:r w:rsidRPr="002A18FB">
        <w:rPr>
          <w:rFonts w:ascii="Palatino Linotype" w:eastAsia="Palatino Linotype" w:hAnsi="Palatino Linotype"/>
          <w:i/>
          <w:kern w:val="28"/>
          <w:sz w:val="24"/>
          <w:szCs w:val="24"/>
          <w:lang w:eastAsia="es-ES"/>
        </w:rPr>
        <w:t xml:space="preserve"> </w:t>
      </w:r>
    </w:p>
    <w:p w:rsidR="005544D3" w:rsidRPr="002A18FB" w:rsidRDefault="005544D3" w:rsidP="005544D3">
      <w:pPr>
        <w:ind w:left="567" w:right="567"/>
        <w:contextualSpacing/>
        <w:jc w:val="both"/>
        <w:rPr>
          <w:rFonts w:ascii="Palatino Linotype" w:eastAsia="Palatino Linotype" w:hAnsi="Palatino Linotype"/>
          <w:b/>
          <w:i/>
          <w:kern w:val="28"/>
          <w:sz w:val="24"/>
          <w:szCs w:val="24"/>
          <w:lang w:eastAsia="es-ES"/>
        </w:rPr>
      </w:pPr>
      <w:r w:rsidRPr="002A18FB">
        <w:rPr>
          <w:rFonts w:ascii="Palatino Linotype" w:eastAsia="Palatino Linotype" w:hAnsi="Palatino Linotype"/>
          <w:i/>
          <w:kern w:val="28"/>
          <w:sz w:val="24"/>
          <w:szCs w:val="24"/>
          <w:lang w:eastAsia="es-ES"/>
        </w:rPr>
        <w:t xml:space="preserve">Cuando la normatividad que prevé las atribuciones del sujeto </w:t>
      </w:r>
      <w:r w:rsidRPr="002A18FB">
        <w:rPr>
          <w:rFonts w:ascii="Palatino Linotype" w:eastAsia="Palatino Linotype" w:hAnsi="Palatino Linotype"/>
          <w:b/>
          <w:i/>
          <w:kern w:val="28"/>
          <w:sz w:val="24"/>
          <w:szCs w:val="24"/>
          <w:lang w:eastAsia="es-ES"/>
        </w:rPr>
        <w:t>obligado no sea clara en delimitar su competencia respecto a lo requerido por la persona solicitante y resulte necesario efectuar un análisis mayor para determinar la incompetencia, ésta debe ser declarada por el Comité de Transparencia.” (Sic)</w:t>
      </w:r>
    </w:p>
    <w:p w:rsidR="005544D3" w:rsidRPr="002A18FB" w:rsidRDefault="005544D3" w:rsidP="005544D3">
      <w:pPr>
        <w:spacing w:line="360" w:lineRule="auto"/>
        <w:jc w:val="both"/>
        <w:rPr>
          <w:rFonts w:ascii="Palatino Linotype" w:eastAsia="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sz w:val="24"/>
          <w:szCs w:val="24"/>
          <w:lang w:eastAsia="es-ES"/>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rsidR="005544D3" w:rsidRPr="002A18FB" w:rsidRDefault="005544D3" w:rsidP="005544D3">
      <w:pPr>
        <w:spacing w:line="360" w:lineRule="auto"/>
        <w:jc w:val="both"/>
        <w:rPr>
          <w:rFonts w:ascii="Palatino Linotype" w:eastAsia="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eastAsia="es-ES"/>
        </w:rPr>
      </w:pPr>
      <w:r w:rsidRPr="002A18FB">
        <w:rPr>
          <w:rFonts w:ascii="Palatino Linotype" w:eastAsia="Palatino Linotype" w:hAnsi="Palatino Linotype" w:cs="Palatino Linotype"/>
          <w:color w:val="000000"/>
          <w:sz w:val="24"/>
          <w:szCs w:val="24"/>
          <w:lang w:val="es-ES"/>
        </w:rPr>
        <w:t>Cabe</w:t>
      </w:r>
      <w:r w:rsidRPr="002A18FB">
        <w:rPr>
          <w:rFonts w:ascii="Palatino Linotype" w:eastAsia="Palatino Linotype" w:hAnsi="Palatino Linotype"/>
          <w:sz w:val="24"/>
          <w:szCs w:val="24"/>
          <w:lang w:eastAsia="es-ES"/>
        </w:rPr>
        <w:t xml:space="preserv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2A18FB">
        <w:rPr>
          <w:rFonts w:ascii="Palatino Linotype" w:eastAsia="Palatino Linotype" w:hAnsi="Palatino Linotype"/>
          <w:b/>
          <w:sz w:val="24"/>
          <w:szCs w:val="24"/>
          <w:lang w:eastAsia="es-ES"/>
        </w:rPr>
        <w:t xml:space="preserve">se estima </w:t>
      </w:r>
      <w:r w:rsidRPr="002A18FB">
        <w:rPr>
          <w:rFonts w:ascii="Palatino Linotype" w:eastAsia="Palatino Linotype" w:hAnsi="Palatino Linotype"/>
          <w:sz w:val="24"/>
          <w:szCs w:val="24"/>
          <w:lang w:eastAsia="es-ES"/>
        </w:rPr>
        <w:t xml:space="preserve">innecesario continuar con el criterio de ordenar </w:t>
      </w:r>
      <w:r w:rsidRPr="002A18FB">
        <w:rPr>
          <w:rFonts w:ascii="Palatino Linotype" w:eastAsia="Palatino Linotype" w:hAnsi="Palatino Linotype"/>
          <w:sz w:val="24"/>
          <w:szCs w:val="24"/>
          <w:lang w:eastAsia="es-ES"/>
        </w:rPr>
        <w:lastRenderedPageBreak/>
        <w:t>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rsidR="005544D3" w:rsidRPr="002A18FB" w:rsidRDefault="005544D3" w:rsidP="00450DDC">
      <w:pPr>
        <w:spacing w:line="360" w:lineRule="auto"/>
        <w:ind w:right="48"/>
        <w:jc w:val="both"/>
        <w:rPr>
          <w:rFonts w:ascii="Palatino Linotype" w:eastAsia="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eastAsia="Palatino Linotype" w:hAnsi="Palatino Linotype"/>
          <w:sz w:val="24"/>
          <w:szCs w:val="24"/>
          <w:lang w:val="es-ES" w:eastAsia="es-ES"/>
        </w:rPr>
      </w:pPr>
      <w:r w:rsidRPr="002A18FB">
        <w:rPr>
          <w:rFonts w:ascii="Palatino Linotype" w:eastAsia="Palatino Linotype" w:hAnsi="Palatino Linotype"/>
          <w:sz w:val="24"/>
          <w:szCs w:val="24"/>
          <w:lang w:val="es-ES" w:eastAsia="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rsidR="005544D3" w:rsidRPr="002A18FB" w:rsidRDefault="005544D3" w:rsidP="005544D3">
      <w:pPr>
        <w:spacing w:line="360" w:lineRule="auto"/>
        <w:jc w:val="both"/>
        <w:rPr>
          <w:rFonts w:ascii="Palatino Linotype" w:eastAsia="Palatino Linotype" w:hAnsi="Palatino Linotype"/>
          <w:sz w:val="24"/>
          <w:szCs w:val="24"/>
          <w:lang w:val="es-ES"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hAnsi="Palatino Linotype" w:cs="Arial"/>
          <w:color w:val="000000"/>
          <w:sz w:val="24"/>
          <w:szCs w:val="24"/>
          <w:lang w:val="es-ES" w:eastAsia="es-ES"/>
        </w:rPr>
        <w:t xml:space="preserve">De esta manera, en el caso en particular la incompetencia es evidente, clara y notoria, resultando innecesario </w:t>
      </w:r>
      <w:r w:rsidRPr="002A18FB">
        <w:rPr>
          <w:rFonts w:ascii="Palatino Linotype" w:hAnsi="Palatino Linotype"/>
          <w:sz w:val="24"/>
          <w:szCs w:val="24"/>
          <w:lang w:eastAsia="es-ES"/>
        </w:rPr>
        <w:t>hacer entrega del documento con el que se determine que no cuenta con las atribuciones para generar, poseer o administrar lo requerido. Por ello, ordenar al sujeto obligado emitir dicho acuerdo implicaría una carga a la autoridad en virtud de que la incompetencia ya fue declarada y ésta es clara y evidente.</w:t>
      </w:r>
    </w:p>
    <w:p w:rsidR="005544D3" w:rsidRPr="002A18FB" w:rsidRDefault="005544D3" w:rsidP="005544D3">
      <w:pPr>
        <w:spacing w:line="360" w:lineRule="auto"/>
        <w:jc w:val="both"/>
        <w:rPr>
          <w:rFonts w:ascii="Palatino Linotype" w:hAnsi="Palatino Linotype" w:cs="Arial"/>
          <w:color w:val="000000"/>
          <w:sz w:val="24"/>
          <w:szCs w:val="24"/>
          <w:lang w:val="es-ES_tradnl"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cs="Arial"/>
          <w:noProof/>
          <w:color w:val="000000"/>
          <w:sz w:val="24"/>
          <w:szCs w:val="24"/>
        </w:rPr>
      </w:pPr>
      <w:r w:rsidRPr="002A18FB">
        <w:rPr>
          <w:rFonts w:ascii="Palatino Linotype" w:hAnsi="Palatino Linotype" w:cs="Arial"/>
          <w:noProof/>
          <w:color w:val="000000"/>
          <w:sz w:val="24"/>
          <w:szCs w:val="24"/>
        </w:rPr>
        <w:t xml:space="preserve">En </w:t>
      </w:r>
      <w:r w:rsidRPr="002A18FB">
        <w:rPr>
          <w:rFonts w:ascii="Palatino Linotype" w:eastAsia="Palatino Linotype" w:hAnsi="Palatino Linotype"/>
          <w:sz w:val="24"/>
          <w:szCs w:val="24"/>
          <w:lang w:val="es-ES" w:eastAsia="es-ES"/>
        </w:rPr>
        <w:t>virtud</w:t>
      </w:r>
      <w:r w:rsidRPr="002A18FB">
        <w:rPr>
          <w:rFonts w:ascii="Palatino Linotype" w:hAnsi="Palatino Linotype" w:cs="Arial"/>
          <w:noProof/>
          <w:color w:val="000000"/>
          <w:sz w:val="24"/>
          <w:szCs w:val="24"/>
        </w:rPr>
        <w:t xml:space="preserve"> de lo anterior, este Órgano Garante arriba a la conclusión de que ordenar acuerdo de incompetencia no conduce a nada practico, ya que la incompetencia resulta notoria, clara y evidente. </w:t>
      </w:r>
    </w:p>
    <w:p w:rsidR="005544D3" w:rsidRPr="002A18FB" w:rsidRDefault="005544D3" w:rsidP="005544D3">
      <w:pPr>
        <w:spacing w:line="360" w:lineRule="auto"/>
        <w:jc w:val="both"/>
        <w:rPr>
          <w:rFonts w:ascii="Palatino Linotype" w:eastAsia="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hAnsi="Palatino Linotype"/>
          <w:bCs/>
          <w:sz w:val="24"/>
          <w:szCs w:val="24"/>
          <w:lang w:eastAsia="es-ES"/>
        </w:rPr>
        <w:t xml:space="preserve">Bajo este contexto, </w:t>
      </w:r>
      <w:r w:rsidR="00450DDC" w:rsidRPr="002A18FB">
        <w:rPr>
          <w:rFonts w:ascii="Palatino Linotype" w:hAnsi="Palatino Linotype"/>
          <w:bCs/>
          <w:sz w:val="24"/>
          <w:szCs w:val="24"/>
          <w:lang w:eastAsia="es-ES"/>
        </w:rPr>
        <w:t xml:space="preserve">se actualizan las causales de sobreseimiento </w:t>
      </w:r>
      <w:r w:rsidRPr="002A18FB">
        <w:rPr>
          <w:rFonts w:ascii="Palatino Linotype" w:hAnsi="Palatino Linotype"/>
          <w:sz w:val="24"/>
          <w:szCs w:val="24"/>
          <w:lang w:eastAsia="es-ES"/>
        </w:rPr>
        <w:t xml:space="preserve">contenidas en el artículo 192 de la Ley de Transparencia y Acceso a la Información Pública del Estado de México y Municipios, es oportuno señalar que estos requisitos privilegian la existencia de </w:t>
      </w:r>
      <w:r w:rsidRPr="002A18FB">
        <w:rPr>
          <w:rFonts w:ascii="Palatino Linotype" w:hAnsi="Palatino Linotype"/>
          <w:sz w:val="24"/>
          <w:szCs w:val="24"/>
          <w:lang w:eastAsia="es-ES"/>
        </w:rPr>
        <w:lastRenderedPageBreak/>
        <w:t xml:space="preserve">elementos de fondo, tales como el desistimiento o fallecimiento del </w:t>
      </w:r>
      <w:r w:rsidRPr="002A18FB">
        <w:rPr>
          <w:rFonts w:ascii="Palatino Linotype" w:hAnsi="Palatino Linotype"/>
          <w:b/>
          <w:sz w:val="24"/>
          <w:szCs w:val="24"/>
          <w:lang w:eastAsia="es-ES"/>
        </w:rPr>
        <w:t xml:space="preserve">Recurrente </w:t>
      </w:r>
      <w:r w:rsidRPr="002A18FB">
        <w:rPr>
          <w:rFonts w:ascii="Palatino Linotype" w:hAnsi="Palatino Linotype"/>
          <w:sz w:val="24"/>
          <w:szCs w:val="24"/>
          <w:lang w:eastAsia="es-ES"/>
        </w:rPr>
        <w:t xml:space="preserve">o que </w:t>
      </w:r>
      <w:r w:rsidRPr="002A18FB">
        <w:rPr>
          <w:rFonts w:ascii="Palatino Linotype" w:hAnsi="Palatino Linotype"/>
          <w:b/>
          <w:sz w:val="24"/>
          <w:szCs w:val="24"/>
          <w:u w:val="single"/>
          <w:lang w:eastAsia="es-ES"/>
        </w:rPr>
        <w:t xml:space="preserve">por cualquier motivo quede sin materia el recurso; </w:t>
      </w:r>
      <w:r w:rsidRPr="002A18FB">
        <w:rPr>
          <w:rFonts w:ascii="Palatino Linotype" w:hAnsi="Palatino Linotype"/>
          <w:sz w:val="24"/>
          <w:szCs w:val="24"/>
          <w:lang w:eastAsia="es-ES"/>
        </w:rPr>
        <w:t xml:space="preserve">de ahí que la actualización de alguno de éstos trae como consecuencia que el medio de impugnación se concluya sin que se analice el objeto de estudio planteado, es decir se sobresea. </w:t>
      </w:r>
    </w:p>
    <w:p w:rsidR="005544D3" w:rsidRPr="002A18FB" w:rsidRDefault="005544D3" w:rsidP="005544D3">
      <w:pPr>
        <w:spacing w:line="360" w:lineRule="auto"/>
        <w:jc w:val="both"/>
        <w:rPr>
          <w:rFonts w:ascii="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hAnsi="Palatino Linotype"/>
          <w:sz w:val="24"/>
          <w:szCs w:val="24"/>
          <w:lang w:eastAsia="es-ES"/>
        </w:rPr>
        <w:t xml:space="preserve">Por otra parte, </w:t>
      </w:r>
      <w:r w:rsidRPr="002A18FB">
        <w:rPr>
          <w:rFonts w:ascii="Palatino Linotype" w:hAnsi="Palatino Linotype"/>
          <w:bCs/>
          <w:sz w:val="24"/>
          <w:szCs w:val="24"/>
          <w:lang w:eastAsia="es-ES"/>
        </w:rPr>
        <w:t>la</w:t>
      </w:r>
      <w:r w:rsidRPr="002A18FB">
        <w:rPr>
          <w:rFonts w:ascii="Palatino Linotype" w:hAnsi="Palatino Linotype"/>
          <w:sz w:val="24"/>
          <w:szCs w:val="24"/>
          <w:lang w:eastAsia="es-ES"/>
        </w:rPr>
        <w:t xml:space="preserve">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rsidR="005544D3" w:rsidRPr="002A18FB" w:rsidRDefault="005544D3" w:rsidP="005544D3">
      <w:pPr>
        <w:spacing w:line="360" w:lineRule="auto"/>
        <w:jc w:val="both"/>
        <w:rPr>
          <w:rFonts w:ascii="Palatino Linotype" w:hAnsi="Palatino Linotype"/>
          <w:sz w:val="24"/>
          <w:szCs w:val="24"/>
          <w:lang w:eastAsia="es-ES"/>
        </w:rPr>
      </w:pPr>
    </w:p>
    <w:p w:rsidR="005544D3" w:rsidRPr="002A18FB" w:rsidRDefault="005544D3" w:rsidP="005544D3">
      <w:pPr>
        <w:ind w:left="567" w:right="567"/>
        <w:contextualSpacing/>
        <w:jc w:val="both"/>
        <w:rPr>
          <w:rFonts w:ascii="Palatino Linotype" w:hAnsi="Palatino Linotype"/>
          <w:b/>
          <w:i/>
          <w:kern w:val="28"/>
          <w:sz w:val="24"/>
          <w:szCs w:val="24"/>
          <w:lang w:eastAsia="es-ES"/>
        </w:rPr>
      </w:pPr>
      <w:r w:rsidRPr="002A18FB">
        <w:rPr>
          <w:rFonts w:ascii="Palatino Linotype" w:hAnsi="Palatino Linotype"/>
          <w:i/>
          <w:kern w:val="28"/>
          <w:sz w:val="24"/>
          <w:szCs w:val="24"/>
          <w:lang w:eastAsia="es-ES"/>
        </w:rPr>
        <w:t>“</w:t>
      </w:r>
      <w:r w:rsidRPr="002A18FB">
        <w:rPr>
          <w:rFonts w:ascii="Palatino Linotype" w:hAnsi="Palatino Linotype"/>
          <w:b/>
          <w:i/>
          <w:kern w:val="28"/>
          <w:sz w:val="24"/>
          <w:szCs w:val="24"/>
          <w:lang w:eastAsia="es-ES"/>
        </w:rPr>
        <w:t>SOBRESEIMIENTO EN EL JUICIO DE AMPARO DIRECTO. IMPIDE EL ESTUDIO DE LAS VIOLACIONES PROCESALES PLANTEADAS EN LOS CONCEPTOS DE VIOLACIÓN.</w:t>
      </w:r>
    </w:p>
    <w:p w:rsidR="005544D3" w:rsidRPr="002A18FB" w:rsidRDefault="005544D3" w:rsidP="005544D3">
      <w:pPr>
        <w:ind w:left="567" w:right="567"/>
        <w:contextualSpacing/>
        <w:jc w:val="both"/>
        <w:rPr>
          <w:rFonts w:ascii="Palatino Linotype" w:hAnsi="Palatino Linotype"/>
          <w:i/>
          <w:kern w:val="28"/>
          <w:sz w:val="24"/>
          <w:szCs w:val="24"/>
          <w:lang w:eastAsia="es-ES"/>
        </w:rPr>
      </w:pPr>
      <w:r w:rsidRPr="002A18FB">
        <w:rPr>
          <w:rFonts w:ascii="Palatino Linotype" w:hAnsi="Palatino Linotype"/>
          <w:b/>
          <w:i/>
          <w:kern w:val="28"/>
          <w:sz w:val="24"/>
          <w:szCs w:val="24"/>
          <w:lang w:eastAsia="es-ES"/>
        </w:rPr>
        <w:t>El sobreseimiento</w:t>
      </w:r>
      <w:r w:rsidRPr="002A18FB">
        <w:rPr>
          <w:rFonts w:ascii="Palatino Linotype" w:hAnsi="Palatino Linotype"/>
          <w:i/>
          <w:kern w:val="28"/>
          <w:sz w:val="24"/>
          <w:szCs w:val="24"/>
          <w:lang w:eastAsia="es-ES"/>
        </w:rPr>
        <w:t xml:space="preserve"> en el juicio de amparo directo </w:t>
      </w:r>
      <w:r w:rsidRPr="002A18FB">
        <w:rPr>
          <w:rFonts w:ascii="Palatino Linotype" w:hAnsi="Palatino Linotype"/>
          <w:b/>
          <w:i/>
          <w:kern w:val="28"/>
          <w:sz w:val="24"/>
          <w:szCs w:val="24"/>
          <w:lang w:eastAsia="es-ES"/>
        </w:rPr>
        <w:t>provoca la terminación de la controversia planteada</w:t>
      </w:r>
      <w:r w:rsidRPr="002A18FB">
        <w:rPr>
          <w:rFonts w:ascii="Palatino Linotype" w:hAnsi="Palatino Linotype"/>
          <w:i/>
          <w:kern w:val="28"/>
          <w:sz w:val="24"/>
          <w:szCs w:val="24"/>
          <w:lang w:eastAsia="es-ES"/>
        </w:rPr>
        <w:t xml:space="preserve"> por el quejoso en la demanda de amparo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  </w:t>
      </w:r>
    </w:p>
    <w:p w:rsidR="005544D3" w:rsidRPr="002A18FB" w:rsidRDefault="005544D3" w:rsidP="005544D3">
      <w:pPr>
        <w:ind w:left="567" w:right="567"/>
        <w:contextualSpacing/>
        <w:jc w:val="both"/>
        <w:rPr>
          <w:rFonts w:ascii="Palatino Linotype" w:hAnsi="Palatino Linotype"/>
          <w:i/>
          <w:kern w:val="28"/>
          <w:sz w:val="24"/>
          <w:szCs w:val="24"/>
          <w:lang w:eastAsia="es-ES"/>
        </w:rPr>
      </w:pPr>
    </w:p>
    <w:p w:rsidR="005544D3" w:rsidRPr="002A18FB" w:rsidRDefault="005544D3" w:rsidP="005544D3">
      <w:pPr>
        <w:ind w:left="567" w:right="567"/>
        <w:contextualSpacing/>
        <w:jc w:val="both"/>
        <w:rPr>
          <w:rFonts w:ascii="Palatino Linotype" w:hAnsi="Palatino Linotype"/>
          <w:i/>
          <w:kern w:val="28"/>
          <w:sz w:val="24"/>
          <w:szCs w:val="24"/>
          <w:lang w:eastAsia="es-ES"/>
        </w:rPr>
      </w:pPr>
      <w:r w:rsidRPr="002A18FB">
        <w:rPr>
          <w:rFonts w:ascii="Palatino Linotype" w:hAnsi="Palatino Linotype"/>
          <w:i/>
          <w:kern w:val="28"/>
          <w:sz w:val="24"/>
          <w:szCs w:val="24"/>
          <w:lang w:eastAsia="es-ES"/>
        </w:rPr>
        <w:t>SÉPTIMO TRIBUNAL COLEGIADO EN MATERIA CIVIL DEL PRIMER CIRCUITO.</w:t>
      </w:r>
    </w:p>
    <w:p w:rsidR="005544D3" w:rsidRPr="002A18FB" w:rsidRDefault="005544D3" w:rsidP="005544D3">
      <w:pPr>
        <w:ind w:left="567" w:right="567"/>
        <w:contextualSpacing/>
        <w:jc w:val="both"/>
        <w:rPr>
          <w:rFonts w:ascii="Palatino Linotype" w:hAnsi="Palatino Linotype"/>
          <w:i/>
          <w:kern w:val="28"/>
          <w:sz w:val="24"/>
          <w:szCs w:val="24"/>
          <w:lang w:val="es-ES_tradnl" w:eastAsia="es-ES"/>
        </w:rPr>
      </w:pPr>
      <w:r w:rsidRPr="002A18FB">
        <w:rPr>
          <w:rFonts w:ascii="Palatino Linotype" w:hAnsi="Palatino Linotype"/>
          <w:i/>
          <w:kern w:val="28"/>
          <w:sz w:val="24"/>
          <w:szCs w:val="24"/>
          <w:lang w:eastAsia="es-ES"/>
        </w:rPr>
        <w:t>Amparo directo 699/2008. Mariana Leticia González Steele. 13 de noviembre de 2008. Unanimidad de votos. Ponente: Sara Judith Montalvo Trejo. Secretario: Arnulfo Mateos García.”</w:t>
      </w:r>
      <w:r w:rsidRPr="002A18FB">
        <w:rPr>
          <w:rFonts w:ascii="Palatino Linotype" w:hAnsi="Palatino Linotype"/>
          <w:i/>
          <w:kern w:val="28"/>
          <w:sz w:val="24"/>
          <w:szCs w:val="24"/>
          <w:lang w:val="es-ES_tradnl" w:eastAsia="es-ES"/>
        </w:rPr>
        <w:t xml:space="preserve"> [Sic]</w:t>
      </w:r>
    </w:p>
    <w:p w:rsidR="005544D3" w:rsidRPr="002A18FB" w:rsidRDefault="005544D3" w:rsidP="00450DDC">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hAnsi="Palatino Linotype"/>
          <w:sz w:val="24"/>
          <w:szCs w:val="24"/>
          <w:lang w:eastAsia="es-ES"/>
        </w:rPr>
        <w:lastRenderedPageBreak/>
        <w:t xml:space="preserve">De </w:t>
      </w:r>
      <w:r w:rsidRPr="002A18FB">
        <w:rPr>
          <w:rFonts w:ascii="Palatino Linotype" w:hAnsi="Palatino Linotype"/>
          <w:bCs/>
          <w:sz w:val="24"/>
          <w:szCs w:val="24"/>
          <w:lang w:eastAsia="es-ES"/>
        </w:rPr>
        <w:t>este</w:t>
      </w:r>
      <w:r w:rsidRPr="002A18FB">
        <w:rPr>
          <w:rFonts w:ascii="Palatino Linotype" w:hAnsi="Palatino Linotype"/>
          <w:sz w:val="24"/>
          <w:szCs w:val="24"/>
          <w:lang w:eastAsia="es-ES"/>
        </w:rPr>
        <w:t xml:space="preserve"> modo, se puede deducir que, en las resoluciones dictadas por el Pleno de este Instituto, en las que se decreta el sobreseimiento de un recurso de revisión por la actualización de alguno de los supuestos jurídicos contemplados en el </w:t>
      </w:r>
      <w:r w:rsidRPr="002A18FB">
        <w:rPr>
          <w:rFonts w:ascii="Palatino Linotype" w:hAnsi="Palatino Linotype"/>
          <w:b/>
          <w:sz w:val="24"/>
          <w:szCs w:val="24"/>
          <w:lang w:eastAsia="es-ES"/>
        </w:rPr>
        <w:t xml:space="preserve">artículo 192 </w:t>
      </w:r>
      <w:r w:rsidRPr="002A18FB">
        <w:rPr>
          <w:rFonts w:ascii="Palatino Linotype" w:hAnsi="Palatino Linotype"/>
          <w:sz w:val="24"/>
          <w:szCs w:val="24"/>
          <w:lang w:eastAsia="es-ES"/>
        </w:rPr>
        <w:t xml:space="preserve">de la </w:t>
      </w:r>
      <w:r w:rsidRPr="002A18FB">
        <w:rPr>
          <w:rFonts w:ascii="Palatino Linotype" w:hAnsi="Palatino Linotype"/>
          <w:b/>
          <w:sz w:val="24"/>
          <w:szCs w:val="24"/>
          <w:lang w:eastAsia="es-ES"/>
        </w:rPr>
        <w:t xml:space="preserve">Ley de Transparencia y Acceso a la Información Pública del Estado de México y Municipios, </w:t>
      </w:r>
      <w:r w:rsidRPr="002A18FB">
        <w:rPr>
          <w:rFonts w:ascii="Palatino Linotype" w:hAnsi="Palatino Linotype"/>
          <w:sz w:val="24"/>
          <w:szCs w:val="24"/>
          <w:lang w:eastAsia="es-ES"/>
        </w:rPr>
        <w:t xml:space="preserve">nos encontramos ante un sobreseimiento definitivo toda vez que pone fin al procedimiento sin entrar al estudio de fondo del mismo. </w:t>
      </w:r>
    </w:p>
    <w:p w:rsidR="005544D3" w:rsidRPr="002A18FB" w:rsidRDefault="005544D3" w:rsidP="005544D3">
      <w:pPr>
        <w:spacing w:line="360" w:lineRule="auto"/>
        <w:jc w:val="both"/>
        <w:rPr>
          <w:rFonts w:ascii="Palatino Linotype" w:hAnsi="Palatino Linotype"/>
          <w:sz w:val="24"/>
          <w:szCs w:val="24"/>
          <w:lang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b/>
          <w:sz w:val="24"/>
          <w:szCs w:val="24"/>
          <w:u w:val="single"/>
          <w:lang w:eastAsia="es-ES"/>
        </w:rPr>
      </w:pPr>
      <w:r w:rsidRPr="002A18FB">
        <w:rPr>
          <w:rFonts w:ascii="Palatino Linotype" w:hAnsi="Palatino Linotype"/>
          <w:sz w:val="24"/>
          <w:szCs w:val="24"/>
          <w:lang w:eastAsia="es-ES"/>
        </w:rPr>
        <w:t xml:space="preserve">Para los </w:t>
      </w:r>
      <w:r w:rsidRPr="002A18FB">
        <w:rPr>
          <w:rFonts w:ascii="Palatino Linotype" w:hAnsi="Palatino Linotype"/>
          <w:bCs/>
          <w:sz w:val="24"/>
          <w:szCs w:val="24"/>
          <w:lang w:eastAsia="es-ES"/>
        </w:rPr>
        <w:t>efectos</w:t>
      </w:r>
      <w:r w:rsidRPr="002A18FB">
        <w:rPr>
          <w:rFonts w:ascii="Palatino Linotype" w:hAnsi="Palatino Linotype"/>
          <w:sz w:val="24"/>
          <w:szCs w:val="24"/>
          <w:lang w:eastAsia="es-ES"/>
        </w:rPr>
        <w:t xml:space="preserve"> de esta resolución, resulta oportuno precisar los alcances jurídicos de la </w:t>
      </w:r>
      <w:r w:rsidRPr="002A18FB">
        <w:rPr>
          <w:rFonts w:ascii="Palatino Linotype" w:hAnsi="Palatino Linotype"/>
          <w:b/>
          <w:sz w:val="24"/>
          <w:szCs w:val="24"/>
          <w:lang w:eastAsia="es-ES"/>
        </w:rPr>
        <w:t xml:space="preserve">fracción V </w:t>
      </w:r>
      <w:r w:rsidRPr="002A18FB">
        <w:rPr>
          <w:rFonts w:ascii="Palatino Linotype" w:hAnsi="Palatino Linotype"/>
          <w:sz w:val="24"/>
          <w:szCs w:val="24"/>
          <w:lang w:eastAsia="es-ES"/>
        </w:rPr>
        <w:t xml:space="preserve">de la disposición legal transcrita. Así, procede el sobreseimiento del recurso de revisión cuando por </w:t>
      </w:r>
      <w:r w:rsidRPr="002A18FB">
        <w:rPr>
          <w:rFonts w:ascii="Palatino Linotype" w:hAnsi="Palatino Linotype"/>
          <w:b/>
          <w:sz w:val="24"/>
          <w:szCs w:val="24"/>
          <w:u w:val="single"/>
          <w:lang w:eastAsia="es-ES"/>
        </w:rPr>
        <w:t xml:space="preserve">cualquier motivo quede sin materia el recurso. </w:t>
      </w:r>
    </w:p>
    <w:p w:rsidR="005544D3" w:rsidRPr="002A18FB" w:rsidRDefault="005544D3" w:rsidP="005544D3">
      <w:pPr>
        <w:spacing w:line="360" w:lineRule="auto"/>
        <w:jc w:val="both"/>
        <w:rPr>
          <w:rFonts w:ascii="Palatino Linotype" w:hAnsi="Palatino Linotype"/>
          <w:b/>
          <w:sz w:val="24"/>
          <w:szCs w:val="24"/>
          <w:u w:val="single"/>
          <w:lang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sz w:val="24"/>
          <w:szCs w:val="24"/>
          <w:lang w:eastAsia="es-ES"/>
        </w:rPr>
      </w:pPr>
      <w:r w:rsidRPr="002A18FB">
        <w:rPr>
          <w:rFonts w:ascii="Palatino Linotype" w:hAnsi="Palatino Linotype"/>
          <w:sz w:val="24"/>
          <w:szCs w:val="24"/>
          <w:lang w:eastAsia="es-ES"/>
        </w:rPr>
        <w:t xml:space="preserve">Las </w:t>
      </w:r>
      <w:r w:rsidRPr="002A18FB">
        <w:rPr>
          <w:rFonts w:ascii="Palatino Linotype" w:hAnsi="Palatino Linotype"/>
          <w:bCs/>
          <w:sz w:val="24"/>
          <w:szCs w:val="24"/>
          <w:lang w:eastAsia="es-ES"/>
        </w:rPr>
        <w:t>consecuencias</w:t>
      </w:r>
      <w:r w:rsidRPr="002A18FB">
        <w:rPr>
          <w:rFonts w:ascii="Palatino Linotype" w:hAnsi="Palatino Linotype"/>
          <w:sz w:val="24"/>
          <w:szCs w:val="24"/>
          <w:lang w:eastAsia="es-ES"/>
        </w:rPr>
        <w:t xml:space="preserve">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w:t>
      </w:r>
    </w:p>
    <w:p w:rsidR="005544D3" w:rsidRPr="002A18FB" w:rsidRDefault="005544D3" w:rsidP="005544D3">
      <w:pPr>
        <w:spacing w:line="360" w:lineRule="auto"/>
        <w:jc w:val="both"/>
        <w:rPr>
          <w:rFonts w:ascii="Palatino Linotype" w:hAnsi="Palatino Linotype"/>
          <w:b/>
          <w:sz w:val="24"/>
          <w:szCs w:val="24"/>
          <w:u w:val="single"/>
          <w:lang w:eastAsia="es-ES"/>
        </w:rPr>
      </w:pPr>
    </w:p>
    <w:p w:rsidR="005544D3" w:rsidRPr="002A18FB" w:rsidRDefault="005544D3" w:rsidP="00450DDC">
      <w:pPr>
        <w:numPr>
          <w:ilvl w:val="0"/>
          <w:numId w:val="6"/>
        </w:numPr>
        <w:spacing w:line="360" w:lineRule="auto"/>
        <w:ind w:left="0" w:right="48" w:firstLine="0"/>
        <w:jc w:val="both"/>
        <w:rPr>
          <w:rFonts w:ascii="Palatino Linotype" w:hAnsi="Palatino Linotype"/>
          <w:bCs/>
          <w:sz w:val="24"/>
          <w:szCs w:val="24"/>
          <w:lang w:eastAsia="es-ES"/>
        </w:rPr>
      </w:pPr>
      <w:r w:rsidRPr="002A18FB">
        <w:rPr>
          <w:rFonts w:ascii="Palatino Linotype" w:hAnsi="Palatino Linotype"/>
          <w:bCs/>
          <w:sz w:val="24"/>
          <w:szCs w:val="24"/>
          <w:lang w:eastAsia="es-ES"/>
        </w:rPr>
        <w:t xml:space="preserve">En este tenor, esta ponencia resolutora advierte que no resulta competente para dar atención al requerimiento formulado por el particular, propiciando que el mismo quede sin materia, actualizándose de este modo, la hipótesis V del artículo 192 de la Ley de Transparencia local. </w:t>
      </w:r>
    </w:p>
    <w:p w:rsidR="005544D3" w:rsidRPr="002A18FB" w:rsidRDefault="005544D3" w:rsidP="005544D3">
      <w:pPr>
        <w:pStyle w:val="Prrafodelista"/>
        <w:tabs>
          <w:tab w:val="left" w:pos="567"/>
        </w:tabs>
        <w:spacing w:line="360" w:lineRule="auto"/>
        <w:ind w:left="0"/>
        <w:jc w:val="both"/>
        <w:rPr>
          <w:rFonts w:ascii="Palatino Linotype" w:eastAsia="Calibri" w:hAnsi="Palatino Linotype" w:cs="Arial"/>
          <w:sz w:val="24"/>
        </w:rPr>
      </w:pPr>
    </w:p>
    <w:p w:rsidR="005544D3" w:rsidRPr="002A18FB" w:rsidRDefault="005544D3" w:rsidP="005544D3">
      <w:pPr>
        <w:pStyle w:val="Prrafodelista"/>
        <w:tabs>
          <w:tab w:val="left" w:pos="567"/>
        </w:tabs>
        <w:spacing w:line="360" w:lineRule="auto"/>
        <w:ind w:left="567" w:right="822"/>
        <w:jc w:val="both"/>
        <w:rPr>
          <w:rFonts w:ascii="Palatino Linotype" w:eastAsia="Calibri" w:hAnsi="Palatino Linotype" w:cs="Arial"/>
          <w:i/>
          <w:sz w:val="24"/>
        </w:rPr>
      </w:pPr>
      <w:r w:rsidRPr="002A18FB">
        <w:rPr>
          <w:rFonts w:ascii="Palatino Linotype" w:hAnsi="Palatino Linotype"/>
          <w:i/>
          <w:sz w:val="24"/>
        </w:rPr>
        <w:t>Artículo 192. El recurso será sobreseído, en todo o en parte, cuando una vez admitido, se actualicen alguno de los siguientes supuestos:</w:t>
      </w:r>
    </w:p>
    <w:p w:rsidR="005544D3" w:rsidRPr="002A18FB" w:rsidRDefault="005544D3" w:rsidP="005544D3">
      <w:pPr>
        <w:pStyle w:val="Prrafodelista"/>
        <w:tabs>
          <w:tab w:val="left" w:pos="567"/>
        </w:tabs>
        <w:spacing w:line="360" w:lineRule="auto"/>
        <w:ind w:left="567" w:right="822"/>
        <w:jc w:val="both"/>
        <w:rPr>
          <w:rFonts w:ascii="Palatino Linotype" w:hAnsi="Palatino Linotype"/>
          <w:i/>
          <w:sz w:val="24"/>
        </w:rPr>
      </w:pPr>
      <w:r w:rsidRPr="002A18FB">
        <w:rPr>
          <w:rFonts w:ascii="Palatino Linotype" w:hAnsi="Palatino Linotype"/>
          <w:i/>
          <w:sz w:val="24"/>
        </w:rPr>
        <w:lastRenderedPageBreak/>
        <w:t xml:space="preserve">I. El recurrente se desista expresamente del recurso; </w:t>
      </w:r>
    </w:p>
    <w:p w:rsidR="005544D3" w:rsidRPr="002A18FB" w:rsidRDefault="005544D3" w:rsidP="005544D3">
      <w:pPr>
        <w:pStyle w:val="Prrafodelista"/>
        <w:tabs>
          <w:tab w:val="left" w:pos="567"/>
        </w:tabs>
        <w:spacing w:line="360" w:lineRule="auto"/>
        <w:ind w:left="567" w:right="822"/>
        <w:jc w:val="both"/>
        <w:rPr>
          <w:rFonts w:ascii="Palatino Linotype" w:hAnsi="Palatino Linotype"/>
          <w:i/>
          <w:sz w:val="24"/>
        </w:rPr>
      </w:pPr>
      <w:r w:rsidRPr="002A18FB">
        <w:rPr>
          <w:rFonts w:ascii="Palatino Linotype" w:hAnsi="Palatino Linotype"/>
          <w:i/>
          <w:sz w:val="24"/>
        </w:rPr>
        <w:t xml:space="preserve">II. El recurrente fallezca o, tratándose de personas jurídicas colectivas, se disuelva; </w:t>
      </w:r>
    </w:p>
    <w:p w:rsidR="005544D3" w:rsidRPr="002A18FB" w:rsidRDefault="005544D3" w:rsidP="005544D3">
      <w:pPr>
        <w:pStyle w:val="Prrafodelista"/>
        <w:tabs>
          <w:tab w:val="left" w:pos="567"/>
        </w:tabs>
        <w:spacing w:line="360" w:lineRule="auto"/>
        <w:ind w:left="567" w:right="822"/>
        <w:jc w:val="both"/>
        <w:rPr>
          <w:rFonts w:ascii="Palatino Linotype" w:hAnsi="Palatino Linotype"/>
          <w:i/>
          <w:sz w:val="24"/>
        </w:rPr>
      </w:pPr>
      <w:r w:rsidRPr="002A18FB">
        <w:rPr>
          <w:rFonts w:ascii="Palatino Linotype" w:hAnsi="Palatino Linotype"/>
          <w:i/>
          <w:sz w:val="24"/>
        </w:rPr>
        <w:t xml:space="preserve">III. El sujeto obligado responsable del acto lo modifique o revoque de tal manera que el recurso de revisión quede sin materia; </w:t>
      </w:r>
    </w:p>
    <w:p w:rsidR="005544D3" w:rsidRPr="002A18FB" w:rsidRDefault="005544D3" w:rsidP="005544D3">
      <w:pPr>
        <w:pStyle w:val="Prrafodelista"/>
        <w:tabs>
          <w:tab w:val="left" w:pos="567"/>
        </w:tabs>
        <w:spacing w:line="360" w:lineRule="auto"/>
        <w:ind w:left="567" w:right="822"/>
        <w:jc w:val="both"/>
        <w:rPr>
          <w:rFonts w:ascii="Palatino Linotype" w:hAnsi="Palatino Linotype"/>
          <w:i/>
          <w:sz w:val="24"/>
        </w:rPr>
      </w:pPr>
      <w:r w:rsidRPr="002A18FB">
        <w:rPr>
          <w:rFonts w:ascii="Palatino Linotype" w:hAnsi="Palatino Linotype"/>
          <w:i/>
          <w:sz w:val="24"/>
        </w:rPr>
        <w:t xml:space="preserve">IV. Admitido el recurso de revisión, aparezca alguna causal de improcedencia en los términos de la presente Ley; y </w:t>
      </w:r>
    </w:p>
    <w:p w:rsidR="005544D3" w:rsidRPr="002A18FB" w:rsidRDefault="005544D3" w:rsidP="005544D3">
      <w:pPr>
        <w:pStyle w:val="Prrafodelista"/>
        <w:tabs>
          <w:tab w:val="left" w:pos="567"/>
        </w:tabs>
        <w:spacing w:line="360" w:lineRule="auto"/>
        <w:ind w:left="567" w:right="822"/>
        <w:jc w:val="both"/>
        <w:rPr>
          <w:rFonts w:ascii="Palatino Linotype" w:eastAsia="Calibri" w:hAnsi="Palatino Linotype" w:cs="Arial"/>
          <w:b/>
          <w:i/>
          <w:sz w:val="24"/>
        </w:rPr>
      </w:pPr>
      <w:r w:rsidRPr="002A18FB">
        <w:rPr>
          <w:rFonts w:ascii="Palatino Linotype" w:hAnsi="Palatino Linotype"/>
          <w:b/>
          <w:i/>
          <w:sz w:val="24"/>
        </w:rPr>
        <w:t>V. Cuando por cualquier motivo quede sin materia el recurso.</w:t>
      </w:r>
    </w:p>
    <w:p w:rsidR="005544D3" w:rsidRPr="002A18FB" w:rsidRDefault="005544D3" w:rsidP="005544D3">
      <w:pPr>
        <w:pStyle w:val="Prrafodelista"/>
        <w:spacing w:line="360" w:lineRule="auto"/>
        <w:ind w:left="0"/>
        <w:jc w:val="both"/>
        <w:rPr>
          <w:rFonts w:ascii="Palatino Linotype" w:hAnsi="Palatino Linotype" w:cs="Arial"/>
          <w:sz w:val="24"/>
        </w:rPr>
      </w:pPr>
    </w:p>
    <w:p w:rsidR="005544D3" w:rsidRPr="002A18FB" w:rsidRDefault="005544D3" w:rsidP="005544D3">
      <w:pPr>
        <w:numPr>
          <w:ilvl w:val="0"/>
          <w:numId w:val="6"/>
        </w:numPr>
        <w:spacing w:line="360" w:lineRule="auto"/>
        <w:ind w:left="0" w:right="48" w:firstLine="0"/>
        <w:jc w:val="both"/>
        <w:rPr>
          <w:rFonts w:ascii="Palatino Linotype" w:hAnsi="Palatino Linotype" w:cs="Arial"/>
          <w:sz w:val="24"/>
          <w:szCs w:val="24"/>
        </w:rPr>
      </w:pPr>
      <w:r w:rsidRPr="002A18FB">
        <w:rPr>
          <w:rFonts w:ascii="Palatino Linotype" w:eastAsia="Calibri" w:hAnsi="Palatino Linotype" w:cs="Arial"/>
          <w:sz w:val="24"/>
          <w:szCs w:val="24"/>
        </w:rPr>
        <w:t>Es así que, el recurso de revisión actualiza la causal de sobreseimie</w:t>
      </w:r>
      <w:r w:rsidR="00AC5CCF" w:rsidRPr="002A18FB">
        <w:rPr>
          <w:rFonts w:ascii="Palatino Linotype" w:eastAsia="Calibri" w:hAnsi="Palatino Linotype" w:cs="Arial"/>
          <w:sz w:val="24"/>
          <w:szCs w:val="24"/>
        </w:rPr>
        <w:t>nto establecida en la fracción V</w:t>
      </w:r>
      <w:r w:rsidRPr="002A18FB">
        <w:rPr>
          <w:rFonts w:ascii="Palatino Linotype" w:eastAsia="Calibri" w:hAnsi="Palatino Linotype" w:cs="Arial"/>
          <w:sz w:val="24"/>
          <w:szCs w:val="24"/>
        </w:rPr>
        <w:t xml:space="preserve"> del artículo 192, de la Ley de Transparencia y Acceso a la Información Pública del Estado de México y Municipios.</w:t>
      </w:r>
    </w:p>
    <w:p w:rsidR="005544D3" w:rsidRPr="002A18FB" w:rsidRDefault="005544D3" w:rsidP="005544D3">
      <w:pPr>
        <w:pStyle w:val="Prrafodelista"/>
        <w:spacing w:line="360" w:lineRule="auto"/>
        <w:ind w:left="0"/>
        <w:jc w:val="both"/>
        <w:rPr>
          <w:rFonts w:ascii="Palatino Linotype" w:hAnsi="Palatino Linotype" w:cs="Arial"/>
          <w:sz w:val="24"/>
        </w:rPr>
      </w:pPr>
    </w:p>
    <w:p w:rsidR="005544D3" w:rsidRPr="002A18FB" w:rsidRDefault="005544D3" w:rsidP="005544D3">
      <w:pPr>
        <w:numPr>
          <w:ilvl w:val="0"/>
          <w:numId w:val="6"/>
        </w:numPr>
        <w:spacing w:line="360" w:lineRule="auto"/>
        <w:ind w:left="0" w:right="48" w:firstLine="0"/>
        <w:jc w:val="both"/>
        <w:rPr>
          <w:rFonts w:ascii="Palatino Linotype" w:hAnsi="Palatino Linotype" w:cs="Arial"/>
          <w:sz w:val="24"/>
          <w:szCs w:val="24"/>
        </w:rPr>
      </w:pPr>
      <w:r w:rsidRPr="002A18FB">
        <w:rPr>
          <w:rFonts w:ascii="Palatino Linotype" w:eastAsia="Calibri" w:hAnsi="Palatino Linotype" w:cs="Arial"/>
          <w:sz w:val="24"/>
          <w:szCs w:val="24"/>
          <w:lang w:val="es-ES_tradnl"/>
        </w:rPr>
        <w:t xml:space="preserve">No obstante, a efecto de no vulnerar los derechos del particular, este Órgano </w:t>
      </w:r>
      <w:r w:rsidRPr="002A18FB">
        <w:rPr>
          <w:rFonts w:ascii="Palatino Linotype" w:hAnsi="Palatino Linotype"/>
          <w:bCs/>
          <w:sz w:val="24"/>
          <w:szCs w:val="24"/>
        </w:rPr>
        <w:t>Garante</w:t>
      </w:r>
      <w:r w:rsidRPr="002A18FB">
        <w:rPr>
          <w:rFonts w:ascii="Palatino Linotype" w:eastAsia="Calibri" w:hAnsi="Palatino Linotype" w:cs="Arial"/>
          <w:sz w:val="24"/>
          <w:szCs w:val="24"/>
          <w:lang w:val="es-ES_tradnl"/>
        </w:rPr>
        <w:t xml:space="preserve"> deja a salvo sus derechos para que, si así lo desea, presente una nueva solicitud de acceso a la información requiriendo información que sea de su interés.</w:t>
      </w:r>
    </w:p>
    <w:p w:rsidR="005544D3" w:rsidRPr="002A18FB" w:rsidRDefault="005544D3" w:rsidP="005544D3">
      <w:pPr>
        <w:pStyle w:val="Prrafodelista"/>
        <w:spacing w:line="360" w:lineRule="auto"/>
        <w:ind w:left="0"/>
        <w:jc w:val="both"/>
        <w:rPr>
          <w:rFonts w:ascii="Palatino Linotype" w:hAnsi="Palatino Linotype" w:cs="Arial"/>
          <w:sz w:val="24"/>
        </w:rPr>
      </w:pPr>
    </w:p>
    <w:p w:rsidR="005544D3" w:rsidRPr="002A18FB" w:rsidRDefault="005544D3" w:rsidP="005544D3">
      <w:pPr>
        <w:numPr>
          <w:ilvl w:val="0"/>
          <w:numId w:val="6"/>
        </w:numPr>
        <w:spacing w:line="360" w:lineRule="auto"/>
        <w:ind w:left="0" w:right="48" w:firstLine="0"/>
        <w:jc w:val="both"/>
        <w:rPr>
          <w:rFonts w:ascii="Palatino Linotype" w:hAnsi="Palatino Linotype" w:cs="Arial"/>
          <w:sz w:val="24"/>
          <w:szCs w:val="24"/>
        </w:rPr>
      </w:pPr>
      <w:r w:rsidRPr="002A18FB">
        <w:rPr>
          <w:rFonts w:ascii="Palatino Linotype" w:hAnsi="Palatino Linotype" w:cs="Arial"/>
          <w:color w:val="222222"/>
          <w:sz w:val="24"/>
          <w:szCs w:val="24"/>
          <w:lang w:val="es-ES_tradnl"/>
        </w:rPr>
        <w:t xml:space="preserve">Por lo anteriormente expuesto y fundado, este </w:t>
      </w:r>
      <w:r w:rsidRPr="002A18FB">
        <w:rPr>
          <w:rFonts w:ascii="Palatino Linotype" w:hAnsi="Palatino Linotype" w:cs="Arial"/>
          <w:b/>
          <w:bCs/>
          <w:color w:val="222222"/>
          <w:sz w:val="24"/>
          <w:szCs w:val="24"/>
          <w:lang w:val="es-ES_tradnl"/>
        </w:rPr>
        <w:t>ÓRGANO GARANTE</w:t>
      </w:r>
      <w:r w:rsidRPr="002A18FB">
        <w:rPr>
          <w:rFonts w:ascii="Palatino Linotype" w:hAnsi="Palatino Linotype" w:cs="Arial"/>
          <w:color w:val="222222"/>
          <w:sz w:val="24"/>
          <w:szCs w:val="24"/>
          <w:lang w:val="es-ES_tradnl"/>
        </w:rPr>
        <w:t xml:space="preserve"> emite los siguientes:</w:t>
      </w:r>
    </w:p>
    <w:p w:rsidR="005544D3" w:rsidRPr="002A18FB" w:rsidRDefault="005544D3" w:rsidP="005544D3">
      <w:pPr>
        <w:pStyle w:val="Prrafodelista"/>
        <w:tabs>
          <w:tab w:val="left" w:pos="426"/>
        </w:tabs>
        <w:spacing w:before="240" w:after="240" w:line="360" w:lineRule="auto"/>
        <w:ind w:left="0" w:right="49"/>
        <w:jc w:val="both"/>
        <w:rPr>
          <w:rFonts w:ascii="Palatino Linotype" w:eastAsia="MS Mincho" w:hAnsi="Palatino Linotype"/>
          <w:color w:val="000000"/>
          <w:sz w:val="24"/>
        </w:rPr>
      </w:pPr>
    </w:p>
    <w:p w:rsidR="005544D3" w:rsidRPr="002A18FB" w:rsidRDefault="005544D3" w:rsidP="005544D3">
      <w:pPr>
        <w:pStyle w:val="Ttulo1"/>
        <w:spacing w:line="360" w:lineRule="auto"/>
        <w:jc w:val="center"/>
        <w:rPr>
          <w:rFonts w:ascii="Palatino Linotype" w:hAnsi="Palatino Linotype"/>
          <w:b/>
          <w:color w:val="000000" w:themeColor="text1"/>
          <w:sz w:val="24"/>
          <w:szCs w:val="24"/>
        </w:rPr>
      </w:pPr>
      <w:bookmarkStart w:id="7" w:name="_Toc61470701"/>
      <w:r w:rsidRPr="002A18FB">
        <w:rPr>
          <w:rFonts w:ascii="Palatino Linotype" w:hAnsi="Palatino Linotype"/>
          <w:b/>
          <w:color w:val="000000" w:themeColor="text1"/>
          <w:sz w:val="24"/>
          <w:szCs w:val="24"/>
        </w:rPr>
        <w:t>R E S O L U T I V O S</w:t>
      </w:r>
      <w:bookmarkEnd w:id="7"/>
    </w:p>
    <w:p w:rsidR="005544D3" w:rsidRPr="002A18FB" w:rsidRDefault="005544D3" w:rsidP="005544D3">
      <w:pPr>
        <w:rPr>
          <w:rFonts w:ascii="Palatino Linotype" w:hAnsi="Palatino Linotype"/>
          <w:sz w:val="24"/>
          <w:szCs w:val="24"/>
          <w:lang w:eastAsia="en-US"/>
        </w:rPr>
      </w:pPr>
    </w:p>
    <w:p w:rsidR="005544D3" w:rsidRPr="002A18FB" w:rsidRDefault="005544D3" w:rsidP="005544D3">
      <w:pPr>
        <w:spacing w:after="240" w:line="360" w:lineRule="auto"/>
        <w:jc w:val="both"/>
        <w:rPr>
          <w:rFonts w:ascii="Palatino Linotype" w:hAnsi="Palatino Linotype"/>
          <w:sz w:val="24"/>
          <w:szCs w:val="24"/>
          <w:lang w:val="es-ES" w:eastAsia="es-ES"/>
        </w:rPr>
      </w:pPr>
      <w:r w:rsidRPr="002A18FB">
        <w:rPr>
          <w:rFonts w:ascii="Palatino Linotype" w:hAnsi="Palatino Linotype"/>
          <w:b/>
          <w:sz w:val="24"/>
          <w:szCs w:val="24"/>
          <w:lang w:val="es-ES" w:eastAsia="es-ES"/>
        </w:rPr>
        <w:t>PRIMERO.</w:t>
      </w:r>
      <w:r w:rsidRPr="002A18FB">
        <w:rPr>
          <w:rFonts w:ascii="Palatino Linotype" w:hAnsi="Palatino Linotype"/>
          <w:sz w:val="24"/>
          <w:szCs w:val="24"/>
          <w:lang w:val="es-ES" w:eastAsia="es-ES"/>
        </w:rPr>
        <w:t xml:space="preserve"> Se </w:t>
      </w:r>
      <w:r w:rsidRPr="002A18FB">
        <w:rPr>
          <w:rFonts w:ascii="Palatino Linotype" w:hAnsi="Palatino Linotype"/>
          <w:b/>
          <w:sz w:val="24"/>
          <w:szCs w:val="24"/>
          <w:lang w:val="es-ES" w:eastAsia="es-ES"/>
        </w:rPr>
        <w:t xml:space="preserve">SOBRESEE </w:t>
      </w:r>
      <w:r w:rsidRPr="002A18FB">
        <w:rPr>
          <w:rFonts w:ascii="Palatino Linotype" w:hAnsi="Palatino Linotype"/>
          <w:sz w:val="24"/>
          <w:szCs w:val="24"/>
          <w:lang w:val="es-ES" w:eastAsia="es-ES"/>
        </w:rPr>
        <w:t>el</w:t>
      </w:r>
      <w:r w:rsidRPr="002A18FB">
        <w:rPr>
          <w:rFonts w:ascii="Palatino Linotype" w:hAnsi="Palatino Linotype"/>
          <w:b/>
          <w:sz w:val="24"/>
          <w:szCs w:val="24"/>
          <w:lang w:val="es-ES" w:eastAsia="es-ES"/>
        </w:rPr>
        <w:t xml:space="preserve"> </w:t>
      </w:r>
      <w:r w:rsidRPr="002A18FB">
        <w:rPr>
          <w:rFonts w:ascii="Palatino Linotype" w:hAnsi="Palatino Linotype"/>
          <w:sz w:val="24"/>
          <w:szCs w:val="24"/>
          <w:lang w:val="es-ES" w:eastAsia="es-ES"/>
        </w:rPr>
        <w:t xml:space="preserve">recurso de revisión número </w:t>
      </w:r>
      <w:r w:rsidRPr="002A18FB">
        <w:rPr>
          <w:rFonts w:ascii="Palatino Linotype" w:hAnsi="Palatino Linotype"/>
          <w:b/>
          <w:bCs/>
          <w:sz w:val="24"/>
          <w:szCs w:val="24"/>
          <w:lang w:eastAsia="es-ES"/>
        </w:rPr>
        <w:t> </w:t>
      </w:r>
      <w:r w:rsidR="00450DDC" w:rsidRPr="002A18FB">
        <w:rPr>
          <w:rFonts w:ascii="Palatino Linotype" w:hAnsi="Palatino Linotype"/>
          <w:b/>
          <w:bCs/>
          <w:sz w:val="24"/>
          <w:szCs w:val="24"/>
          <w:lang w:eastAsia="es-ES"/>
        </w:rPr>
        <w:t>00633/INFOEM/IP/RR/2026</w:t>
      </w:r>
      <w:r w:rsidRPr="002A18FB">
        <w:rPr>
          <w:rFonts w:ascii="Palatino Linotype" w:hAnsi="Palatino Linotype"/>
          <w:sz w:val="24"/>
          <w:szCs w:val="24"/>
          <w:lang w:val="es-ES" w:eastAsia="es-ES"/>
        </w:rPr>
        <w:t xml:space="preserve">, </w:t>
      </w:r>
      <w:r w:rsidR="00AC5CCF" w:rsidRPr="002A18FB">
        <w:rPr>
          <w:rFonts w:ascii="Palatino Linotype" w:hAnsi="Palatino Linotype"/>
          <w:bCs/>
          <w:sz w:val="24"/>
          <w:szCs w:val="24"/>
          <w:lang w:val="es-ES" w:eastAsia="es-ES"/>
        </w:rPr>
        <w:t>por actualizarse la causal establecida en el artículo 192</w:t>
      </w:r>
      <w:r w:rsidR="00010AD2" w:rsidRPr="002A18FB">
        <w:rPr>
          <w:rFonts w:ascii="Palatino Linotype" w:hAnsi="Palatino Linotype"/>
          <w:bCs/>
          <w:sz w:val="24"/>
          <w:szCs w:val="24"/>
          <w:lang w:val="es-ES" w:eastAsia="es-ES"/>
        </w:rPr>
        <w:t>,</w:t>
      </w:r>
      <w:r w:rsidR="00AC5CCF" w:rsidRPr="002A18FB">
        <w:rPr>
          <w:rFonts w:ascii="Palatino Linotype" w:hAnsi="Palatino Linotype"/>
          <w:bCs/>
          <w:sz w:val="24"/>
          <w:szCs w:val="24"/>
          <w:lang w:val="es-ES" w:eastAsia="es-ES"/>
        </w:rPr>
        <w:t xml:space="preserve"> fracción V</w:t>
      </w:r>
      <w:r w:rsidR="00010AD2" w:rsidRPr="002A18FB">
        <w:rPr>
          <w:rFonts w:ascii="Palatino Linotype" w:hAnsi="Palatino Linotype"/>
          <w:bCs/>
          <w:sz w:val="24"/>
          <w:szCs w:val="24"/>
          <w:lang w:val="es-ES" w:eastAsia="es-ES"/>
        </w:rPr>
        <w:t>,</w:t>
      </w:r>
      <w:r w:rsidR="00AC5CCF" w:rsidRPr="002A18FB">
        <w:rPr>
          <w:rFonts w:ascii="Palatino Linotype" w:hAnsi="Palatino Linotype"/>
          <w:bCs/>
          <w:sz w:val="24"/>
          <w:szCs w:val="24"/>
          <w:lang w:val="es-ES" w:eastAsia="es-ES"/>
        </w:rPr>
        <w:t xml:space="preserve"> de la </w:t>
      </w:r>
      <w:r w:rsidR="00AC5CCF" w:rsidRPr="002A18FB">
        <w:rPr>
          <w:rFonts w:ascii="Palatino Linotype" w:hAnsi="Palatino Linotype"/>
          <w:bCs/>
          <w:sz w:val="24"/>
          <w:szCs w:val="24"/>
          <w:lang w:eastAsia="es-ES"/>
        </w:rPr>
        <w:t xml:space="preserve">Ley de Transparencia y </w:t>
      </w:r>
      <w:r w:rsidR="00AC5CCF" w:rsidRPr="002A18FB">
        <w:rPr>
          <w:rFonts w:ascii="Palatino Linotype" w:hAnsi="Palatino Linotype"/>
          <w:bCs/>
          <w:sz w:val="24"/>
          <w:szCs w:val="24"/>
          <w:lang w:eastAsia="es-ES"/>
        </w:rPr>
        <w:lastRenderedPageBreak/>
        <w:t>Acceso a la Información Pública del Estado de México y Municipios</w:t>
      </w:r>
      <w:r w:rsidR="00AC5CCF" w:rsidRPr="002A18FB">
        <w:rPr>
          <w:rFonts w:ascii="Palatino Linotype" w:hAnsi="Palatino Linotype"/>
          <w:bCs/>
          <w:sz w:val="24"/>
          <w:szCs w:val="24"/>
          <w:lang w:val="es-ES" w:eastAsia="es-ES"/>
        </w:rPr>
        <w:t xml:space="preserve">, en términos del Considerando </w:t>
      </w:r>
      <w:r w:rsidR="00AC5CCF" w:rsidRPr="002A18FB">
        <w:rPr>
          <w:rFonts w:ascii="Palatino Linotype" w:hAnsi="Palatino Linotype"/>
          <w:b/>
          <w:bCs/>
          <w:sz w:val="24"/>
          <w:szCs w:val="24"/>
          <w:lang w:val="es-ES" w:eastAsia="es-ES"/>
        </w:rPr>
        <w:t>QUINTO</w:t>
      </w:r>
      <w:r w:rsidR="00AC5CCF" w:rsidRPr="002A18FB">
        <w:rPr>
          <w:rFonts w:ascii="Palatino Linotype" w:hAnsi="Palatino Linotype"/>
          <w:bCs/>
          <w:sz w:val="24"/>
          <w:szCs w:val="24"/>
          <w:lang w:val="es-ES" w:eastAsia="es-ES"/>
        </w:rPr>
        <w:t xml:space="preserve"> de la presente resolución</w:t>
      </w:r>
      <w:r w:rsidR="00AC5CCF" w:rsidRPr="002A18FB">
        <w:rPr>
          <w:rFonts w:ascii="Palatino Linotype" w:hAnsi="Palatino Linotype"/>
          <w:bCs/>
          <w:sz w:val="24"/>
          <w:szCs w:val="24"/>
          <w:lang w:eastAsia="es-ES"/>
        </w:rPr>
        <w:t>.</w:t>
      </w:r>
    </w:p>
    <w:p w:rsidR="005544D3" w:rsidRPr="002A18FB" w:rsidRDefault="005544D3" w:rsidP="005544D3">
      <w:pPr>
        <w:pStyle w:val="Sinespaciado"/>
        <w:spacing w:after="240" w:line="360" w:lineRule="auto"/>
        <w:jc w:val="both"/>
        <w:rPr>
          <w:rFonts w:ascii="Palatino Linotype" w:eastAsia="Calibri" w:hAnsi="Palatino Linotype" w:cs="Arial"/>
          <w:b/>
          <w:bCs/>
          <w:sz w:val="24"/>
          <w:szCs w:val="24"/>
          <w:lang w:val="es-ES"/>
        </w:rPr>
      </w:pPr>
      <w:r w:rsidRPr="002A18FB">
        <w:rPr>
          <w:rFonts w:ascii="Palatino Linotype" w:eastAsia="Calibri" w:hAnsi="Palatino Linotype" w:cs="Arial"/>
          <w:b/>
          <w:bCs/>
          <w:sz w:val="24"/>
          <w:szCs w:val="24"/>
          <w:lang w:val="es-ES"/>
        </w:rPr>
        <w:t xml:space="preserve">SEGUNDO. </w:t>
      </w:r>
      <w:r w:rsidR="00010AD2" w:rsidRPr="002A18FB">
        <w:rPr>
          <w:rFonts w:ascii="Palatino Linotype" w:eastAsia="Calibri" w:hAnsi="Palatino Linotype" w:cs="Arial"/>
          <w:b/>
          <w:bCs/>
          <w:sz w:val="24"/>
          <w:szCs w:val="24"/>
          <w:lang w:val="es-ES"/>
        </w:rPr>
        <w:t>Notifíquese</w:t>
      </w:r>
      <w:r w:rsidRPr="002A18FB">
        <w:rPr>
          <w:rFonts w:ascii="Palatino Linotype" w:eastAsia="Calibri" w:hAnsi="Palatino Linotype" w:cs="Arial"/>
          <w:b/>
          <w:bCs/>
          <w:sz w:val="24"/>
          <w:szCs w:val="24"/>
          <w:lang w:val="es-ES"/>
        </w:rPr>
        <w:t xml:space="preserve"> </w:t>
      </w:r>
      <w:r w:rsidRPr="002A18FB">
        <w:rPr>
          <w:rFonts w:ascii="Palatino Linotype" w:eastAsia="Calibri" w:hAnsi="Palatino Linotype" w:cs="Arial"/>
          <w:bCs/>
          <w:sz w:val="24"/>
          <w:szCs w:val="24"/>
          <w:lang w:val="es-ES"/>
        </w:rPr>
        <w:t xml:space="preserve">a través del Sistema de Acceso a la Información Mexiquense </w:t>
      </w:r>
      <w:r w:rsidRPr="002A18FB">
        <w:rPr>
          <w:rFonts w:ascii="Palatino Linotype" w:eastAsia="Calibri" w:hAnsi="Palatino Linotype" w:cs="Arial"/>
          <w:b/>
          <w:bCs/>
          <w:sz w:val="24"/>
          <w:szCs w:val="24"/>
          <w:lang w:val="es-ES"/>
        </w:rPr>
        <w:t xml:space="preserve">(SAIMEX) </w:t>
      </w:r>
      <w:r w:rsidRPr="002A18FB">
        <w:rPr>
          <w:rFonts w:ascii="Palatino Linotype" w:eastAsia="Calibri" w:hAnsi="Palatino Linotype" w:cs="Arial"/>
          <w:bCs/>
          <w:sz w:val="24"/>
          <w:szCs w:val="24"/>
          <w:lang w:val="es-ES"/>
        </w:rPr>
        <w:t>la presente resolución al Titular de la Unidad de Transparencia del</w:t>
      </w:r>
      <w:r w:rsidRPr="002A18FB">
        <w:rPr>
          <w:rFonts w:ascii="Palatino Linotype" w:eastAsia="Calibri" w:hAnsi="Palatino Linotype" w:cs="Arial"/>
          <w:b/>
          <w:bCs/>
          <w:sz w:val="24"/>
          <w:szCs w:val="24"/>
          <w:lang w:val="es-ES"/>
        </w:rPr>
        <w:t xml:space="preserve"> SUJETO OBLIGADO. </w:t>
      </w:r>
    </w:p>
    <w:p w:rsidR="005544D3" w:rsidRPr="002A18FB" w:rsidRDefault="005544D3" w:rsidP="005544D3">
      <w:pPr>
        <w:pStyle w:val="Sinespaciado"/>
        <w:spacing w:after="240" w:line="360" w:lineRule="auto"/>
        <w:jc w:val="both"/>
        <w:rPr>
          <w:rFonts w:ascii="Palatino Linotype" w:eastAsia="Times New Roman" w:hAnsi="Palatino Linotype" w:cs="Times New Roman"/>
          <w:color w:val="222222"/>
          <w:sz w:val="24"/>
          <w:szCs w:val="24"/>
          <w:lang w:val="es-ES" w:eastAsia="es-MX"/>
        </w:rPr>
      </w:pPr>
      <w:r w:rsidRPr="002A18FB">
        <w:rPr>
          <w:rFonts w:ascii="Palatino Linotype" w:eastAsia="Times New Roman" w:hAnsi="Palatino Linotype" w:cs="Arial"/>
          <w:b/>
          <w:sz w:val="24"/>
          <w:szCs w:val="24"/>
        </w:rPr>
        <w:t xml:space="preserve">TERCERO. </w:t>
      </w:r>
      <w:r w:rsidRPr="002A18FB">
        <w:rPr>
          <w:rFonts w:ascii="Palatino Linotype" w:eastAsia="Times New Roman" w:hAnsi="Palatino Linotype" w:cs="Times New Roman"/>
          <w:b/>
          <w:bCs/>
          <w:sz w:val="24"/>
          <w:szCs w:val="24"/>
          <w:lang w:val="es-ES"/>
        </w:rPr>
        <w:t>Notifíquese al RECURRENTE</w:t>
      </w:r>
      <w:r w:rsidRPr="002A18FB">
        <w:rPr>
          <w:rFonts w:ascii="Palatino Linotype" w:hAnsi="Palatino Linotype"/>
          <w:b/>
          <w:sz w:val="24"/>
          <w:szCs w:val="24"/>
        </w:rPr>
        <w:t xml:space="preserve"> </w:t>
      </w:r>
      <w:r w:rsidRPr="002A18FB">
        <w:rPr>
          <w:rFonts w:ascii="Palatino Linotype" w:eastAsia="Times New Roman" w:hAnsi="Palatino Linotype" w:cs="Times New Roman"/>
          <w:color w:val="222222"/>
          <w:sz w:val="24"/>
          <w:szCs w:val="24"/>
          <w:lang w:val="es-ES" w:eastAsia="es-MX"/>
        </w:rPr>
        <w:t>la presente resolución</w:t>
      </w:r>
      <w:r w:rsidR="00010AD2" w:rsidRPr="002A18FB">
        <w:rPr>
          <w:rFonts w:ascii="Palatino Linotype" w:eastAsia="Times New Roman" w:hAnsi="Palatino Linotype" w:cs="Times New Roman"/>
          <w:color w:val="222222"/>
          <w:sz w:val="24"/>
          <w:szCs w:val="24"/>
          <w:lang w:val="es-ES" w:eastAsia="es-MX"/>
        </w:rPr>
        <w:t xml:space="preserve"> vía SAIMEX</w:t>
      </w:r>
      <w:r w:rsidRPr="002A18FB">
        <w:rPr>
          <w:rFonts w:ascii="Palatino Linotype" w:eastAsia="Times New Roman" w:hAnsi="Palatino Linotype" w:cs="Times New Roman"/>
          <w:color w:val="222222"/>
          <w:sz w:val="24"/>
          <w:szCs w:val="24"/>
          <w:lang w:val="es-ES" w:eastAsia="es-MX"/>
        </w:rPr>
        <w:t>.</w:t>
      </w:r>
    </w:p>
    <w:p w:rsidR="005544D3" w:rsidRPr="002A18FB" w:rsidRDefault="005544D3" w:rsidP="005544D3">
      <w:pPr>
        <w:pStyle w:val="Prrafodelista"/>
        <w:spacing w:after="240" w:line="360" w:lineRule="auto"/>
        <w:ind w:left="0"/>
        <w:jc w:val="both"/>
        <w:rPr>
          <w:rFonts w:ascii="Palatino Linotype" w:eastAsia="MS Mincho" w:hAnsi="Palatino Linotype"/>
          <w:sz w:val="24"/>
          <w:lang w:val="es-ES" w:eastAsia="es-ES"/>
        </w:rPr>
      </w:pPr>
      <w:r w:rsidRPr="002A18FB">
        <w:rPr>
          <w:rFonts w:ascii="Palatino Linotype" w:eastAsia="MS Mincho" w:hAnsi="Palatino Linotype"/>
          <w:b/>
          <w:sz w:val="24"/>
        </w:rPr>
        <w:t>CUARTO.</w:t>
      </w:r>
      <w:r w:rsidRPr="002A18FB">
        <w:rPr>
          <w:rFonts w:ascii="Palatino Linotype" w:eastAsia="MS Mincho" w:hAnsi="Palatino Linotype"/>
          <w:sz w:val="24"/>
        </w:rPr>
        <w:t xml:space="preserve"> </w:t>
      </w:r>
      <w:r w:rsidRPr="002A18FB">
        <w:rPr>
          <w:rFonts w:ascii="Palatino Linotype" w:eastAsia="MS Mincho" w:hAnsi="Palatino Linotype"/>
          <w:sz w:val="24"/>
          <w:lang w:val="es-ES"/>
        </w:rPr>
        <w:t xml:space="preserve">Se hace del conocimiento del </w:t>
      </w:r>
      <w:r w:rsidRPr="002A18FB">
        <w:rPr>
          <w:rFonts w:ascii="Palatino Linotype" w:hAnsi="Palatino Linotype"/>
          <w:b/>
          <w:sz w:val="24"/>
        </w:rPr>
        <w:t xml:space="preserve">RECURRENTE </w:t>
      </w:r>
      <w:r w:rsidRPr="002A18FB">
        <w:rPr>
          <w:rFonts w:ascii="Palatino Linotype" w:eastAsia="MS Mincho" w:hAnsi="Palatino Linotype"/>
          <w:sz w:val="24"/>
          <w:lang w:val="es-ES"/>
        </w:rPr>
        <w:t xml:space="preserve">que, de conformidad con lo establecido en el artículo 196 de la Ley de Transparencia y Acceso a la Información Pública del Estado de México y Municipios, en caso de que considere que la resolución le cause algún perjuicio podrá impugnarla </w:t>
      </w:r>
      <w:r w:rsidRPr="002A18FB">
        <w:rPr>
          <w:rFonts w:ascii="Palatino Linotype" w:eastAsia="MS Mincho" w:hAnsi="Palatino Linotype"/>
          <w:bCs/>
          <w:sz w:val="24"/>
          <w:lang w:val="es-ES"/>
        </w:rPr>
        <w:t xml:space="preserve">vía juicio de amparo </w:t>
      </w:r>
      <w:r w:rsidRPr="002A18FB">
        <w:rPr>
          <w:rFonts w:ascii="Palatino Linotype" w:eastAsia="MS Mincho" w:hAnsi="Palatino Linotype"/>
          <w:sz w:val="24"/>
          <w:lang w:val="es-ES"/>
        </w:rPr>
        <w:t>en los términos de las leyes aplicables.</w:t>
      </w:r>
    </w:p>
    <w:p w:rsidR="005544D3" w:rsidRPr="002A18FB" w:rsidRDefault="005544D3" w:rsidP="005544D3">
      <w:pPr>
        <w:spacing w:line="360" w:lineRule="auto"/>
        <w:ind w:right="48"/>
        <w:jc w:val="both"/>
        <w:rPr>
          <w:rFonts w:ascii="Palatino Linotype" w:hAnsi="Palatino Linotype"/>
          <w:sz w:val="24"/>
          <w:szCs w:val="24"/>
        </w:rPr>
      </w:pPr>
    </w:p>
    <w:p w:rsidR="00010AD2" w:rsidRPr="002A18FB" w:rsidRDefault="00010AD2" w:rsidP="00010AD2">
      <w:pPr>
        <w:spacing w:before="240" w:after="240" w:line="360" w:lineRule="auto"/>
        <w:ind w:firstLine="1"/>
        <w:jc w:val="both"/>
        <w:rPr>
          <w:rFonts w:ascii="Palatino Linotype" w:hAnsi="Palatino Linotype"/>
          <w:sz w:val="24"/>
          <w:szCs w:val="24"/>
        </w:rPr>
      </w:pPr>
      <w:bookmarkStart w:id="8" w:name="_Hlk99014733"/>
      <w:r w:rsidRPr="002A18F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2A18FB">
        <w:rPr>
          <w:rFonts w:ascii="Palatino Linotype" w:hAnsi="Palatino Linotype" w:cs="Palatino Linotype"/>
          <w:color w:val="000000" w:themeColor="text1"/>
          <w:sz w:val="24"/>
          <w:szCs w:val="24"/>
        </w:rPr>
        <w:t>ALEXIS TAPIA RAMÍREZ.</w:t>
      </w:r>
    </w:p>
    <w:bookmarkEnd w:id="8"/>
    <w:p w:rsidR="00EF723B" w:rsidRDefault="00EF723B" w:rsidP="00005A51">
      <w:pPr>
        <w:pStyle w:val="Ttulo2"/>
        <w:rPr>
          <w:rFonts w:ascii="Palatino Linotype" w:eastAsia="Palatino Linotype" w:hAnsi="Palatino Linotype" w:cs="Palatino Linotype"/>
          <w:b/>
          <w:bCs/>
          <w:i/>
          <w:iCs/>
          <w:color w:val="000000"/>
          <w:sz w:val="24"/>
          <w:szCs w:val="24"/>
        </w:rPr>
      </w:pPr>
    </w:p>
    <w:p w:rsidR="002A18FB" w:rsidRDefault="002A18FB" w:rsidP="002A18FB">
      <w:pPr>
        <w:rPr>
          <w:rFonts w:eastAsia="Palatino Linotype"/>
        </w:rPr>
      </w:pPr>
    </w:p>
    <w:p w:rsidR="002A18FB" w:rsidRDefault="002A18FB" w:rsidP="002A18FB">
      <w:pPr>
        <w:rPr>
          <w:rFonts w:eastAsia="Palatino Linotype"/>
        </w:rPr>
      </w:pPr>
    </w:p>
    <w:p w:rsidR="002A18FB" w:rsidRDefault="002A18FB" w:rsidP="002A18FB">
      <w:pPr>
        <w:rPr>
          <w:rFonts w:eastAsia="Palatino Linotype"/>
        </w:rPr>
      </w:pPr>
    </w:p>
    <w:p w:rsidR="002A18FB" w:rsidRDefault="002A18FB" w:rsidP="002A18FB">
      <w:pPr>
        <w:rPr>
          <w:rFonts w:eastAsia="Palatino Linotype"/>
        </w:rPr>
      </w:pPr>
    </w:p>
    <w:p w:rsidR="002A18FB" w:rsidRDefault="002A18FB" w:rsidP="002A18FB">
      <w:pPr>
        <w:rPr>
          <w:rFonts w:eastAsia="Palatino Linotype"/>
        </w:rPr>
      </w:pPr>
    </w:p>
    <w:p w:rsidR="002A18FB" w:rsidRDefault="002A18FB" w:rsidP="002A18FB">
      <w:pPr>
        <w:rPr>
          <w:rFonts w:eastAsia="Palatino Linotype"/>
        </w:rPr>
      </w:pPr>
    </w:p>
    <w:p w:rsidR="002A18FB" w:rsidRPr="002A18FB" w:rsidRDefault="002A18FB" w:rsidP="002A18FB">
      <w:pPr>
        <w:rPr>
          <w:rFonts w:eastAsia="Palatino Linotype"/>
        </w:rPr>
      </w:pPr>
    </w:p>
    <w:sectPr w:rsidR="002A18FB" w:rsidRPr="002A18FB" w:rsidSect="002A18FB">
      <w:headerReference w:type="even" r:id="rId10"/>
      <w:headerReference w:type="default" r:id="rId11"/>
      <w:footerReference w:type="default" r:id="rId12"/>
      <w:headerReference w:type="first" r:id="rId13"/>
      <w:footerReference w:type="first" r:id="rId14"/>
      <w:pgSz w:w="12240" w:h="15840"/>
      <w:pgMar w:top="80" w:right="900"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5AB" w:rsidRDefault="00F555AB" w:rsidP="00EF723B">
      <w:r>
        <w:separator/>
      </w:r>
    </w:p>
  </w:endnote>
  <w:endnote w:type="continuationSeparator" w:id="0">
    <w:p w:rsidR="00F555AB" w:rsidRDefault="00F555AB" w:rsidP="00EF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7CA" w:rsidRDefault="000C57CA">
    <w:pPr>
      <w:pBdr>
        <w:top w:val="nil"/>
        <w:left w:val="nil"/>
        <w:bottom w:val="nil"/>
        <w:right w:val="nil"/>
        <w:between w:val="nil"/>
      </w:pBdr>
      <w:tabs>
        <w:tab w:val="center" w:pos="4419"/>
        <w:tab w:val="right" w:pos="8838"/>
      </w:tabs>
      <w:jc w:val="right"/>
      <w:rPr>
        <w:color w:val="000000"/>
      </w:rPr>
    </w:pPr>
  </w:p>
  <w:p w:rsidR="000C57CA" w:rsidRPr="002A18FB" w:rsidRDefault="000C57CA">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2A18FB">
      <w:rPr>
        <w:rFonts w:ascii="Palatino Linotype" w:hAnsi="Palatino Linotype"/>
        <w:color w:val="000000"/>
        <w:sz w:val="22"/>
        <w:szCs w:val="22"/>
      </w:rPr>
      <w:t xml:space="preserve">Página </w:t>
    </w:r>
    <w:r w:rsidRPr="002A18FB">
      <w:rPr>
        <w:rFonts w:ascii="Palatino Linotype" w:hAnsi="Palatino Linotype"/>
        <w:b/>
        <w:bCs/>
        <w:color w:val="000000"/>
        <w:sz w:val="22"/>
        <w:szCs w:val="22"/>
      </w:rPr>
      <w:fldChar w:fldCharType="begin"/>
    </w:r>
    <w:r w:rsidRPr="002A18FB">
      <w:rPr>
        <w:rFonts w:ascii="Palatino Linotype" w:hAnsi="Palatino Linotype"/>
        <w:b/>
        <w:bCs/>
        <w:color w:val="000000"/>
        <w:sz w:val="22"/>
        <w:szCs w:val="22"/>
      </w:rPr>
      <w:instrText>PAGE</w:instrText>
    </w:r>
    <w:r w:rsidRPr="002A18FB">
      <w:rPr>
        <w:rFonts w:ascii="Palatino Linotype" w:hAnsi="Palatino Linotype"/>
        <w:b/>
        <w:bCs/>
        <w:color w:val="000000"/>
        <w:sz w:val="22"/>
        <w:szCs w:val="22"/>
      </w:rPr>
      <w:fldChar w:fldCharType="separate"/>
    </w:r>
    <w:r w:rsidR="002A18FB">
      <w:rPr>
        <w:rFonts w:ascii="Palatino Linotype" w:hAnsi="Palatino Linotype"/>
        <w:b/>
        <w:bCs/>
        <w:noProof/>
        <w:color w:val="000000"/>
        <w:sz w:val="22"/>
        <w:szCs w:val="22"/>
      </w:rPr>
      <w:t>17</w:t>
    </w:r>
    <w:r w:rsidRPr="002A18FB">
      <w:rPr>
        <w:rFonts w:ascii="Palatino Linotype" w:hAnsi="Palatino Linotype"/>
        <w:b/>
        <w:bCs/>
        <w:color w:val="000000"/>
        <w:sz w:val="22"/>
        <w:szCs w:val="22"/>
      </w:rPr>
      <w:fldChar w:fldCharType="end"/>
    </w:r>
    <w:r w:rsidRPr="002A18FB">
      <w:rPr>
        <w:rFonts w:ascii="Palatino Linotype" w:hAnsi="Palatino Linotype"/>
        <w:color w:val="000000"/>
        <w:sz w:val="22"/>
        <w:szCs w:val="22"/>
      </w:rPr>
      <w:t xml:space="preserve"> de </w:t>
    </w:r>
    <w:r w:rsidRPr="002A18FB">
      <w:rPr>
        <w:rFonts w:ascii="Palatino Linotype" w:hAnsi="Palatino Linotype"/>
        <w:b/>
        <w:bCs/>
        <w:color w:val="000000"/>
        <w:sz w:val="22"/>
        <w:szCs w:val="22"/>
      </w:rPr>
      <w:fldChar w:fldCharType="begin"/>
    </w:r>
    <w:r w:rsidRPr="002A18FB">
      <w:rPr>
        <w:rFonts w:ascii="Palatino Linotype" w:hAnsi="Palatino Linotype"/>
        <w:b/>
        <w:bCs/>
        <w:color w:val="000000"/>
        <w:sz w:val="22"/>
        <w:szCs w:val="22"/>
      </w:rPr>
      <w:instrText>NUMPAGES</w:instrText>
    </w:r>
    <w:r w:rsidRPr="002A18FB">
      <w:rPr>
        <w:rFonts w:ascii="Palatino Linotype" w:hAnsi="Palatino Linotype"/>
        <w:b/>
        <w:bCs/>
        <w:color w:val="000000"/>
        <w:sz w:val="22"/>
        <w:szCs w:val="22"/>
      </w:rPr>
      <w:fldChar w:fldCharType="separate"/>
    </w:r>
    <w:r w:rsidR="002A18FB">
      <w:rPr>
        <w:rFonts w:ascii="Palatino Linotype" w:hAnsi="Palatino Linotype"/>
        <w:b/>
        <w:bCs/>
        <w:noProof/>
        <w:color w:val="000000"/>
        <w:sz w:val="22"/>
        <w:szCs w:val="22"/>
      </w:rPr>
      <w:t>17</w:t>
    </w:r>
    <w:r w:rsidRPr="002A18FB">
      <w:rPr>
        <w:rFonts w:ascii="Palatino Linotype" w:hAnsi="Palatino Linotype"/>
        <w:b/>
        <w:bCs/>
        <w:color w:val="000000"/>
        <w:sz w:val="22"/>
        <w:szCs w:val="22"/>
      </w:rPr>
      <w:fldChar w:fldCharType="end"/>
    </w:r>
  </w:p>
  <w:p w:rsidR="000C57CA" w:rsidRDefault="000C57CA">
    <w:pPr>
      <w:pBdr>
        <w:top w:val="nil"/>
        <w:left w:val="nil"/>
        <w:bottom w:val="nil"/>
        <w:right w:val="nil"/>
        <w:between w:val="nil"/>
      </w:pBdr>
      <w:tabs>
        <w:tab w:val="center" w:pos="4419"/>
        <w:tab w:val="right" w:pos="8838"/>
      </w:tabs>
      <w:rPr>
        <w:color w:val="000000"/>
      </w:rPr>
    </w:pPr>
  </w:p>
  <w:p w:rsidR="000C57CA" w:rsidRDefault="000C57CA"/>
  <w:p w:rsidR="000C57CA" w:rsidRDefault="000C57CA"/>
  <w:p w:rsidR="000C57CA" w:rsidRDefault="000C57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7CA" w:rsidRPr="002A18FB" w:rsidRDefault="000C57CA">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2A18FB">
      <w:rPr>
        <w:rFonts w:ascii="Palatino Linotype" w:hAnsi="Palatino Linotype"/>
        <w:color w:val="000000"/>
        <w:sz w:val="22"/>
        <w:szCs w:val="22"/>
      </w:rPr>
      <w:t xml:space="preserve">Página </w:t>
    </w:r>
    <w:r w:rsidRPr="002A18FB">
      <w:rPr>
        <w:rFonts w:ascii="Palatino Linotype" w:hAnsi="Palatino Linotype"/>
        <w:bCs/>
        <w:color w:val="000000"/>
        <w:sz w:val="22"/>
        <w:szCs w:val="22"/>
      </w:rPr>
      <w:fldChar w:fldCharType="begin"/>
    </w:r>
    <w:r w:rsidRPr="002A18FB">
      <w:rPr>
        <w:rFonts w:ascii="Palatino Linotype" w:hAnsi="Palatino Linotype"/>
        <w:bCs/>
        <w:color w:val="000000"/>
        <w:sz w:val="22"/>
        <w:szCs w:val="22"/>
      </w:rPr>
      <w:instrText>PAGE</w:instrText>
    </w:r>
    <w:r w:rsidRPr="002A18FB">
      <w:rPr>
        <w:rFonts w:ascii="Palatino Linotype" w:hAnsi="Palatino Linotype"/>
        <w:bCs/>
        <w:color w:val="000000"/>
        <w:sz w:val="22"/>
        <w:szCs w:val="22"/>
      </w:rPr>
      <w:fldChar w:fldCharType="separate"/>
    </w:r>
    <w:r w:rsidR="002A18FB">
      <w:rPr>
        <w:rFonts w:ascii="Palatino Linotype" w:hAnsi="Palatino Linotype"/>
        <w:bCs/>
        <w:noProof/>
        <w:color w:val="000000"/>
        <w:sz w:val="22"/>
        <w:szCs w:val="22"/>
      </w:rPr>
      <w:t>1</w:t>
    </w:r>
    <w:r w:rsidRPr="002A18FB">
      <w:rPr>
        <w:rFonts w:ascii="Palatino Linotype" w:hAnsi="Palatino Linotype"/>
        <w:bCs/>
        <w:color w:val="000000"/>
        <w:sz w:val="22"/>
        <w:szCs w:val="22"/>
      </w:rPr>
      <w:fldChar w:fldCharType="end"/>
    </w:r>
    <w:r w:rsidRPr="002A18FB">
      <w:rPr>
        <w:rFonts w:ascii="Palatino Linotype" w:hAnsi="Palatino Linotype"/>
        <w:color w:val="000000"/>
        <w:sz w:val="22"/>
        <w:szCs w:val="22"/>
      </w:rPr>
      <w:t xml:space="preserve"> de </w:t>
    </w:r>
    <w:r w:rsidRPr="002A18FB">
      <w:rPr>
        <w:rFonts w:ascii="Palatino Linotype" w:hAnsi="Palatino Linotype"/>
        <w:bCs/>
        <w:color w:val="000000"/>
        <w:sz w:val="22"/>
        <w:szCs w:val="22"/>
      </w:rPr>
      <w:fldChar w:fldCharType="begin"/>
    </w:r>
    <w:r w:rsidRPr="002A18FB">
      <w:rPr>
        <w:rFonts w:ascii="Palatino Linotype" w:hAnsi="Palatino Linotype"/>
        <w:bCs/>
        <w:color w:val="000000"/>
        <w:sz w:val="22"/>
        <w:szCs w:val="22"/>
      </w:rPr>
      <w:instrText>NUMPAGES</w:instrText>
    </w:r>
    <w:r w:rsidRPr="002A18FB">
      <w:rPr>
        <w:rFonts w:ascii="Palatino Linotype" w:hAnsi="Palatino Linotype"/>
        <w:bCs/>
        <w:color w:val="000000"/>
        <w:sz w:val="22"/>
        <w:szCs w:val="22"/>
      </w:rPr>
      <w:fldChar w:fldCharType="separate"/>
    </w:r>
    <w:r w:rsidR="002A18FB">
      <w:rPr>
        <w:rFonts w:ascii="Palatino Linotype" w:hAnsi="Palatino Linotype"/>
        <w:bCs/>
        <w:noProof/>
        <w:color w:val="000000"/>
        <w:sz w:val="22"/>
        <w:szCs w:val="22"/>
      </w:rPr>
      <w:t>17</w:t>
    </w:r>
    <w:r w:rsidRPr="002A18FB">
      <w:rPr>
        <w:rFonts w:ascii="Palatino Linotype" w:hAnsi="Palatino Linotype"/>
        <w:bCs/>
        <w:color w:val="000000"/>
        <w:sz w:val="22"/>
        <w:szCs w:val="22"/>
      </w:rPr>
      <w:fldChar w:fldCharType="end"/>
    </w:r>
  </w:p>
  <w:p w:rsidR="000C57CA" w:rsidRDefault="000C57CA">
    <w:pPr>
      <w:pBdr>
        <w:top w:val="nil"/>
        <w:left w:val="nil"/>
        <w:bottom w:val="nil"/>
        <w:right w:val="nil"/>
        <w:between w:val="nil"/>
      </w:pBdr>
      <w:tabs>
        <w:tab w:val="center" w:pos="4419"/>
        <w:tab w:val="right" w:pos="8838"/>
      </w:tabs>
      <w:rPr>
        <w:color w:val="000000"/>
      </w:rPr>
    </w:pPr>
  </w:p>
  <w:p w:rsidR="000C57CA" w:rsidRDefault="000C57CA"/>
  <w:p w:rsidR="000C57CA" w:rsidRDefault="000C57CA"/>
  <w:p w:rsidR="000C57CA" w:rsidRDefault="000C57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5AB" w:rsidRDefault="00F555AB" w:rsidP="00EF723B">
      <w:r>
        <w:separator/>
      </w:r>
    </w:p>
  </w:footnote>
  <w:footnote w:type="continuationSeparator" w:id="0">
    <w:p w:rsidR="00F555AB" w:rsidRDefault="00F555AB" w:rsidP="00EF723B">
      <w:r>
        <w:continuationSeparator/>
      </w:r>
    </w:p>
  </w:footnote>
  <w:footnote w:id="1">
    <w:p w:rsidR="005544D3" w:rsidRDefault="005544D3" w:rsidP="005544D3">
      <w:pPr>
        <w:pStyle w:val="Textonotapie"/>
      </w:pPr>
      <w:r w:rsidRPr="00AC00BD">
        <w:rPr>
          <w:rStyle w:val="Refdenotaalpie"/>
        </w:rPr>
        <w:footnoteRef/>
      </w:r>
      <w:r>
        <w:t xml:space="preserve"> Consultado en </w:t>
      </w:r>
      <w:hyperlink r:id="rId1" w:history="1">
        <w:r w:rsidRPr="00AC00BD">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7CA" w:rsidRDefault="00F555A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63.5pt;height:12in;z-index:-251655168;mso-position-horizontal:center;mso-position-horizontal-relative:margin;mso-position-vertical:center;mso-position-vertical-relative:margin">
          <v:imagedata r:id="rId1" o:title="image3"/>
          <w10:wrap anchorx="margin" anchory="margin"/>
        </v:shape>
      </w:pict>
    </w:r>
  </w:p>
  <w:p w:rsidR="000C57CA" w:rsidRDefault="000C57CA"/>
  <w:p w:rsidR="000C57CA" w:rsidRDefault="000C57CA"/>
  <w:p w:rsidR="000C57CA" w:rsidRDefault="000C57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05" w:type="dxa"/>
      <w:tblInd w:w="-115" w:type="dxa"/>
      <w:tblLayout w:type="fixed"/>
      <w:tblLook w:val="0400" w:firstRow="0" w:lastRow="0" w:firstColumn="0" w:lastColumn="0" w:noHBand="0" w:noVBand="1"/>
    </w:tblPr>
    <w:tblGrid>
      <w:gridCol w:w="1843"/>
      <w:gridCol w:w="8762"/>
    </w:tblGrid>
    <w:tr w:rsidR="000C57CA" w:rsidTr="002A18FB">
      <w:trPr>
        <w:trHeight w:val="1435"/>
      </w:trPr>
      <w:tc>
        <w:tcPr>
          <w:tcW w:w="1843" w:type="dxa"/>
          <w:shd w:val="clear" w:color="auto" w:fill="auto"/>
        </w:tcPr>
        <w:p w:rsidR="000C57CA" w:rsidRDefault="000C57CA">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62" w:type="dxa"/>
          <w:shd w:val="clear" w:color="auto" w:fill="auto"/>
        </w:tcPr>
        <w:tbl>
          <w:tblPr>
            <w:tblW w:w="7060" w:type="dxa"/>
            <w:tblInd w:w="1594" w:type="dxa"/>
            <w:tblBorders>
              <w:top w:val="nil"/>
              <w:left w:val="nil"/>
              <w:bottom w:val="nil"/>
              <w:right w:val="nil"/>
              <w:insideH w:val="nil"/>
              <w:insideV w:val="nil"/>
            </w:tblBorders>
            <w:tblLayout w:type="fixed"/>
            <w:tblLook w:val="0400" w:firstRow="0" w:lastRow="0" w:firstColumn="0" w:lastColumn="0" w:noHBand="0" w:noVBand="1"/>
          </w:tblPr>
          <w:tblGrid>
            <w:gridCol w:w="2807"/>
            <w:gridCol w:w="4253"/>
          </w:tblGrid>
          <w:tr w:rsidR="000C57CA" w:rsidTr="002A18FB">
            <w:trPr>
              <w:trHeight w:val="338"/>
            </w:trPr>
            <w:tc>
              <w:tcPr>
                <w:tcW w:w="2807" w:type="dxa"/>
              </w:tcPr>
              <w:p w:rsidR="000C57CA" w:rsidRPr="002A18FB" w:rsidRDefault="000C57CA">
                <w:pPr>
                  <w:tabs>
                    <w:tab w:val="right" w:pos="8838"/>
                  </w:tabs>
                  <w:ind w:right="-105"/>
                  <w:rPr>
                    <w:rFonts w:ascii="Palatino Linotype" w:eastAsia="Palatino Linotype" w:hAnsi="Palatino Linotype" w:cs="Palatino Linotype"/>
                    <w:b/>
                    <w:bCs/>
                    <w:sz w:val="24"/>
                    <w:szCs w:val="22"/>
                  </w:rPr>
                </w:pPr>
                <w:r w:rsidRPr="002A18FB">
                  <w:rPr>
                    <w:rFonts w:ascii="Palatino Linotype" w:eastAsia="Palatino Linotype" w:hAnsi="Palatino Linotype" w:cs="Palatino Linotype"/>
                    <w:b/>
                    <w:bCs/>
                    <w:sz w:val="24"/>
                    <w:szCs w:val="22"/>
                  </w:rPr>
                  <w:t>Recurso de Revisión:</w:t>
                </w:r>
              </w:p>
            </w:tc>
            <w:tc>
              <w:tcPr>
                <w:tcW w:w="4253" w:type="dxa"/>
              </w:tcPr>
              <w:p w:rsidR="000C57CA" w:rsidRPr="002A18FB" w:rsidRDefault="000C57CA" w:rsidP="002A18FB">
                <w:pPr>
                  <w:tabs>
                    <w:tab w:val="right" w:pos="8838"/>
                  </w:tabs>
                  <w:ind w:left="34" w:right="-105"/>
                  <w:jc w:val="both"/>
                  <w:rPr>
                    <w:rFonts w:ascii="Palatino Linotype" w:eastAsia="Palatino Linotype" w:hAnsi="Palatino Linotype" w:cs="Palatino Linotype"/>
                    <w:bCs/>
                    <w:sz w:val="24"/>
                    <w:szCs w:val="22"/>
                  </w:rPr>
                </w:pPr>
                <w:r w:rsidRPr="002A18FB">
                  <w:rPr>
                    <w:rFonts w:ascii="Palatino Linotype" w:eastAsia="Palatino Linotype" w:hAnsi="Palatino Linotype" w:cs="Palatino Linotype"/>
                    <w:bCs/>
                    <w:sz w:val="24"/>
                    <w:szCs w:val="22"/>
                  </w:rPr>
                  <w:t>00633/INFOEM/IP/RR/2026</w:t>
                </w:r>
              </w:p>
            </w:tc>
          </w:tr>
          <w:tr w:rsidR="000C57CA" w:rsidTr="002A18FB">
            <w:trPr>
              <w:trHeight w:val="283"/>
            </w:trPr>
            <w:tc>
              <w:tcPr>
                <w:tcW w:w="2807" w:type="dxa"/>
              </w:tcPr>
              <w:p w:rsidR="000C57CA" w:rsidRPr="002A18FB" w:rsidRDefault="000C57CA">
                <w:pPr>
                  <w:tabs>
                    <w:tab w:val="right" w:pos="8838"/>
                  </w:tabs>
                  <w:ind w:right="-105"/>
                  <w:rPr>
                    <w:rFonts w:ascii="Palatino Linotype" w:eastAsia="Palatino Linotype" w:hAnsi="Palatino Linotype" w:cs="Palatino Linotype"/>
                    <w:b/>
                    <w:bCs/>
                    <w:sz w:val="24"/>
                    <w:szCs w:val="22"/>
                  </w:rPr>
                </w:pPr>
                <w:bookmarkStart w:id="9" w:name="_heading=h.nhev0jk92wnl" w:colFirst="0" w:colLast="0"/>
                <w:bookmarkEnd w:id="9"/>
                <w:r w:rsidRPr="002A18FB">
                  <w:rPr>
                    <w:rFonts w:ascii="Palatino Linotype" w:eastAsia="Palatino Linotype" w:hAnsi="Palatino Linotype" w:cs="Palatino Linotype"/>
                    <w:b/>
                    <w:bCs/>
                    <w:sz w:val="24"/>
                    <w:szCs w:val="22"/>
                  </w:rPr>
                  <w:t>Sujeto Obligado:</w:t>
                </w:r>
              </w:p>
            </w:tc>
            <w:tc>
              <w:tcPr>
                <w:tcW w:w="4253" w:type="dxa"/>
              </w:tcPr>
              <w:p w:rsidR="000C57CA" w:rsidRPr="002A18FB" w:rsidRDefault="000C57CA" w:rsidP="002A18FB">
                <w:pPr>
                  <w:tabs>
                    <w:tab w:val="left" w:pos="2834"/>
                    <w:tab w:val="right" w:pos="8838"/>
                  </w:tabs>
                  <w:ind w:left="34" w:right="-107"/>
                  <w:jc w:val="both"/>
                  <w:rPr>
                    <w:rFonts w:ascii="Palatino Linotype" w:eastAsia="Palatino Linotype" w:hAnsi="Palatino Linotype" w:cs="Palatino Linotype"/>
                    <w:bCs/>
                    <w:color w:val="000000"/>
                    <w:sz w:val="24"/>
                    <w:szCs w:val="22"/>
                  </w:rPr>
                </w:pPr>
                <w:r w:rsidRPr="002A18FB">
                  <w:rPr>
                    <w:rFonts w:ascii="Palatino Linotype" w:eastAsia="Palatino Linotype" w:hAnsi="Palatino Linotype" w:cs="Palatino Linotype"/>
                    <w:bCs/>
                    <w:color w:val="000000"/>
                    <w:sz w:val="24"/>
                    <w:szCs w:val="22"/>
                  </w:rPr>
                  <w:t>Ayuntamiento de Toluca</w:t>
                </w:r>
              </w:p>
            </w:tc>
          </w:tr>
          <w:tr w:rsidR="000C57CA" w:rsidTr="002A18FB">
            <w:trPr>
              <w:trHeight w:val="283"/>
            </w:trPr>
            <w:tc>
              <w:tcPr>
                <w:tcW w:w="2807" w:type="dxa"/>
              </w:tcPr>
              <w:p w:rsidR="000C57CA" w:rsidRPr="002A18FB" w:rsidRDefault="000C57CA">
                <w:pPr>
                  <w:tabs>
                    <w:tab w:val="right" w:pos="8838"/>
                  </w:tabs>
                  <w:ind w:right="-105"/>
                  <w:rPr>
                    <w:rFonts w:ascii="Palatino Linotype" w:eastAsia="Palatino Linotype" w:hAnsi="Palatino Linotype" w:cs="Palatino Linotype"/>
                    <w:b/>
                    <w:bCs/>
                    <w:sz w:val="24"/>
                    <w:szCs w:val="22"/>
                  </w:rPr>
                </w:pPr>
                <w:r w:rsidRPr="002A18FB">
                  <w:rPr>
                    <w:rFonts w:ascii="Palatino Linotype" w:eastAsia="Palatino Linotype" w:hAnsi="Palatino Linotype" w:cs="Palatino Linotype"/>
                    <w:b/>
                    <w:bCs/>
                    <w:sz w:val="24"/>
                    <w:szCs w:val="22"/>
                  </w:rPr>
                  <w:t>Comisionada Ponente:</w:t>
                </w:r>
              </w:p>
            </w:tc>
            <w:tc>
              <w:tcPr>
                <w:tcW w:w="4253" w:type="dxa"/>
              </w:tcPr>
              <w:p w:rsidR="000C57CA" w:rsidRPr="002A18FB" w:rsidRDefault="000C57CA" w:rsidP="002A18FB">
                <w:pPr>
                  <w:tabs>
                    <w:tab w:val="right" w:pos="8838"/>
                  </w:tabs>
                  <w:ind w:left="34" w:right="-105"/>
                  <w:jc w:val="both"/>
                  <w:rPr>
                    <w:rFonts w:ascii="Palatino Linotype" w:eastAsia="Palatino Linotype" w:hAnsi="Palatino Linotype" w:cs="Palatino Linotype"/>
                    <w:bCs/>
                    <w:sz w:val="24"/>
                    <w:szCs w:val="22"/>
                  </w:rPr>
                </w:pPr>
                <w:r w:rsidRPr="002A18FB">
                  <w:rPr>
                    <w:rFonts w:ascii="Palatino Linotype" w:eastAsia="Palatino Linotype" w:hAnsi="Palatino Linotype" w:cs="Palatino Linotype"/>
                    <w:bCs/>
                    <w:sz w:val="24"/>
                    <w:szCs w:val="22"/>
                  </w:rPr>
                  <w:t>María del Rosario Mejía Ayala</w:t>
                </w:r>
              </w:p>
            </w:tc>
          </w:tr>
        </w:tbl>
        <w:p w:rsidR="000C57CA" w:rsidRDefault="000C57CA">
          <w:pPr>
            <w:tabs>
              <w:tab w:val="right" w:pos="8838"/>
            </w:tabs>
            <w:ind w:left="-28"/>
            <w:jc w:val="both"/>
            <w:rPr>
              <w:rFonts w:ascii="Arial" w:eastAsia="Arial" w:hAnsi="Arial" w:cs="Arial"/>
              <w:b/>
              <w:bCs/>
              <w:sz w:val="22"/>
              <w:szCs w:val="22"/>
            </w:rPr>
          </w:pPr>
        </w:p>
      </w:tc>
    </w:tr>
  </w:tbl>
  <w:p w:rsidR="000C57CA" w:rsidRPr="002A18FB" w:rsidRDefault="00F555AB" w:rsidP="002A18F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58.8pt;margin-top:-133.1pt;width:663.5pt;height:12in;z-index:-25165721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05" w:type="dxa"/>
      <w:tblInd w:w="-115" w:type="dxa"/>
      <w:tblLayout w:type="fixed"/>
      <w:tblLook w:val="0400" w:firstRow="0" w:lastRow="0" w:firstColumn="0" w:lastColumn="0" w:noHBand="0" w:noVBand="1"/>
    </w:tblPr>
    <w:tblGrid>
      <w:gridCol w:w="1560"/>
      <w:gridCol w:w="9045"/>
    </w:tblGrid>
    <w:tr w:rsidR="000C57CA" w:rsidTr="002A18FB">
      <w:trPr>
        <w:trHeight w:val="1435"/>
      </w:trPr>
      <w:tc>
        <w:tcPr>
          <w:tcW w:w="1560" w:type="dxa"/>
          <w:shd w:val="clear" w:color="auto" w:fill="auto"/>
        </w:tcPr>
        <w:p w:rsidR="000C57CA" w:rsidRDefault="000C57CA">
          <w:pPr>
            <w:tabs>
              <w:tab w:val="right" w:pos="4273"/>
            </w:tabs>
            <w:rPr>
              <w:rFonts w:ascii="Garamond" w:eastAsia="Garamond" w:hAnsi="Garamond" w:cs="Garamond"/>
              <w:sz w:val="22"/>
              <w:szCs w:val="22"/>
            </w:rPr>
          </w:pPr>
        </w:p>
      </w:tc>
      <w:tc>
        <w:tcPr>
          <w:tcW w:w="9045" w:type="dxa"/>
          <w:shd w:val="clear" w:color="auto" w:fill="auto"/>
        </w:tcPr>
        <w:tbl>
          <w:tblPr>
            <w:tblW w:w="9150" w:type="dxa"/>
            <w:tblInd w:w="2275" w:type="dxa"/>
            <w:tblBorders>
              <w:top w:val="nil"/>
              <w:left w:val="nil"/>
              <w:bottom w:val="nil"/>
              <w:right w:val="nil"/>
              <w:insideH w:val="nil"/>
              <w:insideV w:val="nil"/>
            </w:tblBorders>
            <w:tblLayout w:type="fixed"/>
            <w:tblLook w:val="0400" w:firstRow="0" w:lastRow="0" w:firstColumn="0" w:lastColumn="0" w:noHBand="0" w:noVBand="1"/>
          </w:tblPr>
          <w:tblGrid>
            <w:gridCol w:w="2664"/>
            <w:gridCol w:w="3507"/>
            <w:gridCol w:w="2979"/>
          </w:tblGrid>
          <w:tr w:rsidR="000C57CA" w:rsidTr="002A18FB">
            <w:trPr>
              <w:trHeight w:val="144"/>
            </w:trPr>
            <w:tc>
              <w:tcPr>
                <w:tcW w:w="2664" w:type="dxa"/>
              </w:tcPr>
              <w:p w:rsidR="000C57CA" w:rsidRPr="002A18FB" w:rsidRDefault="000C57CA">
                <w:pPr>
                  <w:tabs>
                    <w:tab w:val="right" w:pos="8838"/>
                  </w:tabs>
                  <w:ind w:left="-74" w:right="-105"/>
                  <w:rPr>
                    <w:rFonts w:ascii="Palatino Linotype" w:eastAsia="Palatino Linotype" w:hAnsi="Palatino Linotype" w:cs="Palatino Linotype"/>
                    <w:b/>
                    <w:bCs/>
                    <w:sz w:val="24"/>
                    <w:szCs w:val="24"/>
                  </w:rPr>
                </w:pPr>
                <w:bookmarkStart w:id="10" w:name="_heading=h.e7amlaou87td" w:colFirst="0" w:colLast="0"/>
                <w:bookmarkEnd w:id="10"/>
                <w:r w:rsidRPr="002A18FB">
                  <w:rPr>
                    <w:rFonts w:ascii="Palatino Linotype" w:eastAsia="Palatino Linotype" w:hAnsi="Palatino Linotype" w:cs="Palatino Linotype"/>
                    <w:b/>
                    <w:bCs/>
                    <w:sz w:val="24"/>
                    <w:szCs w:val="24"/>
                  </w:rPr>
                  <w:t>Recurso de Revisión:</w:t>
                </w:r>
              </w:p>
            </w:tc>
            <w:tc>
              <w:tcPr>
                <w:tcW w:w="3507" w:type="dxa"/>
              </w:tcPr>
              <w:p w:rsidR="000C57CA" w:rsidRPr="002A18FB" w:rsidRDefault="000C57CA">
                <w:pPr>
                  <w:tabs>
                    <w:tab w:val="right" w:pos="8838"/>
                  </w:tabs>
                  <w:ind w:right="-105"/>
                  <w:jc w:val="both"/>
                  <w:rPr>
                    <w:rFonts w:ascii="Palatino Linotype" w:eastAsia="Palatino Linotype" w:hAnsi="Palatino Linotype" w:cs="Palatino Linotype"/>
                    <w:bCs/>
                    <w:sz w:val="24"/>
                    <w:szCs w:val="24"/>
                  </w:rPr>
                </w:pPr>
                <w:r w:rsidRPr="002A18FB">
                  <w:rPr>
                    <w:rFonts w:ascii="Palatino Linotype" w:eastAsia="Palatino Linotype" w:hAnsi="Palatino Linotype" w:cs="Palatino Linotype"/>
                    <w:bCs/>
                    <w:sz w:val="24"/>
                    <w:szCs w:val="24"/>
                  </w:rPr>
                  <w:t>00633/INFOEM/IP/RR/2026</w:t>
                </w:r>
              </w:p>
            </w:tc>
            <w:tc>
              <w:tcPr>
                <w:tcW w:w="2979" w:type="dxa"/>
              </w:tcPr>
              <w:p w:rsidR="000C57CA" w:rsidRPr="002A18FB" w:rsidRDefault="000C57CA">
                <w:pPr>
                  <w:tabs>
                    <w:tab w:val="right" w:pos="8838"/>
                  </w:tabs>
                  <w:ind w:left="-74" w:right="-105"/>
                  <w:jc w:val="both"/>
                  <w:rPr>
                    <w:rFonts w:ascii="Palatino Linotype" w:eastAsia="Palatino Linotype" w:hAnsi="Palatino Linotype" w:cs="Palatino Linotype"/>
                    <w:sz w:val="22"/>
                    <w:szCs w:val="22"/>
                  </w:rPr>
                </w:pPr>
              </w:p>
            </w:tc>
          </w:tr>
          <w:tr w:rsidR="000C57CA" w:rsidTr="002A18FB">
            <w:trPr>
              <w:trHeight w:val="144"/>
            </w:trPr>
            <w:tc>
              <w:tcPr>
                <w:tcW w:w="2664" w:type="dxa"/>
              </w:tcPr>
              <w:p w:rsidR="000C57CA" w:rsidRPr="002A18FB" w:rsidRDefault="000C57CA">
                <w:pPr>
                  <w:tabs>
                    <w:tab w:val="right" w:pos="8838"/>
                  </w:tabs>
                  <w:ind w:left="-74" w:right="-105"/>
                  <w:rPr>
                    <w:rFonts w:ascii="Palatino Linotype" w:eastAsia="Palatino Linotype" w:hAnsi="Palatino Linotype" w:cs="Palatino Linotype"/>
                    <w:b/>
                    <w:bCs/>
                    <w:sz w:val="24"/>
                    <w:szCs w:val="24"/>
                  </w:rPr>
                </w:pPr>
                <w:bookmarkStart w:id="11" w:name="_heading=h.60pez7u5d2c1" w:colFirst="0" w:colLast="0"/>
                <w:bookmarkEnd w:id="11"/>
                <w:r w:rsidRPr="002A18FB">
                  <w:rPr>
                    <w:rFonts w:ascii="Palatino Linotype" w:eastAsia="Palatino Linotype" w:hAnsi="Palatino Linotype" w:cs="Palatino Linotype"/>
                    <w:b/>
                    <w:bCs/>
                    <w:sz w:val="24"/>
                    <w:szCs w:val="24"/>
                  </w:rPr>
                  <w:t>Recurrente:</w:t>
                </w:r>
              </w:p>
            </w:tc>
            <w:tc>
              <w:tcPr>
                <w:tcW w:w="3507" w:type="dxa"/>
              </w:tcPr>
              <w:p w:rsidR="000C57CA" w:rsidRPr="002A18FB" w:rsidRDefault="000C57CA">
                <w:pPr>
                  <w:tabs>
                    <w:tab w:val="left" w:pos="3122"/>
                    <w:tab w:val="right" w:pos="8838"/>
                  </w:tabs>
                  <w:ind w:right="1457"/>
                  <w:jc w:val="both"/>
                  <w:rPr>
                    <w:rFonts w:ascii="Palatino Linotype" w:eastAsia="Palatino Linotype" w:hAnsi="Palatino Linotype" w:cs="Palatino Linotype"/>
                    <w:bCs/>
                    <w:sz w:val="24"/>
                    <w:szCs w:val="24"/>
                  </w:rPr>
                </w:pPr>
              </w:p>
            </w:tc>
            <w:tc>
              <w:tcPr>
                <w:tcW w:w="2979" w:type="dxa"/>
              </w:tcPr>
              <w:p w:rsidR="000C57CA" w:rsidRPr="002A18FB" w:rsidRDefault="000C57CA">
                <w:pPr>
                  <w:tabs>
                    <w:tab w:val="left" w:pos="3122"/>
                    <w:tab w:val="right" w:pos="8838"/>
                  </w:tabs>
                  <w:ind w:right="-105"/>
                  <w:jc w:val="both"/>
                  <w:rPr>
                    <w:rFonts w:ascii="Palatino Linotype" w:eastAsia="Palatino Linotype" w:hAnsi="Palatino Linotype" w:cs="Palatino Linotype"/>
                    <w:sz w:val="22"/>
                    <w:szCs w:val="22"/>
                  </w:rPr>
                </w:pPr>
              </w:p>
            </w:tc>
          </w:tr>
          <w:tr w:rsidR="000C57CA" w:rsidTr="002A18FB">
            <w:trPr>
              <w:trHeight w:val="283"/>
            </w:trPr>
            <w:tc>
              <w:tcPr>
                <w:tcW w:w="2664" w:type="dxa"/>
              </w:tcPr>
              <w:p w:rsidR="000C57CA" w:rsidRPr="002A18FB" w:rsidRDefault="000C57CA">
                <w:pPr>
                  <w:tabs>
                    <w:tab w:val="right" w:pos="8838"/>
                  </w:tabs>
                  <w:ind w:left="-74" w:right="-105"/>
                  <w:rPr>
                    <w:rFonts w:ascii="Palatino Linotype" w:eastAsia="Palatino Linotype" w:hAnsi="Palatino Linotype" w:cs="Palatino Linotype"/>
                    <w:b/>
                    <w:bCs/>
                    <w:sz w:val="24"/>
                    <w:szCs w:val="24"/>
                  </w:rPr>
                </w:pPr>
                <w:r w:rsidRPr="002A18FB">
                  <w:rPr>
                    <w:rFonts w:ascii="Palatino Linotype" w:eastAsia="Palatino Linotype" w:hAnsi="Palatino Linotype" w:cs="Palatino Linotype"/>
                    <w:b/>
                    <w:bCs/>
                    <w:sz w:val="24"/>
                    <w:szCs w:val="24"/>
                  </w:rPr>
                  <w:t>Sujeto Obligado:</w:t>
                </w:r>
              </w:p>
            </w:tc>
            <w:tc>
              <w:tcPr>
                <w:tcW w:w="3507" w:type="dxa"/>
              </w:tcPr>
              <w:p w:rsidR="000C57CA" w:rsidRPr="002A18FB" w:rsidRDefault="000C57CA">
                <w:pPr>
                  <w:tabs>
                    <w:tab w:val="left" w:pos="2834"/>
                    <w:tab w:val="right" w:pos="8838"/>
                  </w:tabs>
                  <w:ind w:left="-3" w:right="-105"/>
                  <w:jc w:val="both"/>
                  <w:rPr>
                    <w:rFonts w:ascii="Palatino Linotype" w:eastAsia="Palatino Linotype" w:hAnsi="Palatino Linotype" w:cs="Palatino Linotype"/>
                    <w:bCs/>
                    <w:sz w:val="24"/>
                    <w:szCs w:val="24"/>
                  </w:rPr>
                </w:pPr>
                <w:r w:rsidRPr="002A18FB">
                  <w:rPr>
                    <w:rFonts w:ascii="Palatino Linotype" w:eastAsia="Palatino Linotype" w:hAnsi="Palatino Linotype" w:cs="Palatino Linotype"/>
                    <w:bCs/>
                    <w:color w:val="000000"/>
                    <w:sz w:val="24"/>
                    <w:szCs w:val="24"/>
                  </w:rPr>
                  <w:t>Ayuntamiento de Toluca</w:t>
                </w:r>
              </w:p>
            </w:tc>
            <w:tc>
              <w:tcPr>
                <w:tcW w:w="2979" w:type="dxa"/>
              </w:tcPr>
              <w:p w:rsidR="000C57CA" w:rsidRPr="002A18FB" w:rsidRDefault="000C57CA">
                <w:pPr>
                  <w:tabs>
                    <w:tab w:val="left" w:pos="2834"/>
                    <w:tab w:val="right" w:pos="8838"/>
                  </w:tabs>
                  <w:ind w:left="-74" w:right="-105"/>
                  <w:jc w:val="both"/>
                  <w:rPr>
                    <w:rFonts w:ascii="Palatino Linotype" w:eastAsia="Palatino Linotype" w:hAnsi="Palatino Linotype" w:cs="Palatino Linotype"/>
                    <w:bCs/>
                  </w:rPr>
                </w:pPr>
              </w:p>
            </w:tc>
          </w:tr>
          <w:tr w:rsidR="000C57CA" w:rsidTr="002A18FB">
            <w:trPr>
              <w:trHeight w:val="283"/>
            </w:trPr>
            <w:tc>
              <w:tcPr>
                <w:tcW w:w="2664" w:type="dxa"/>
              </w:tcPr>
              <w:p w:rsidR="000C57CA" w:rsidRPr="002A18FB" w:rsidRDefault="000C57CA">
                <w:pPr>
                  <w:tabs>
                    <w:tab w:val="right" w:pos="8838"/>
                  </w:tabs>
                  <w:ind w:left="-74" w:right="-105"/>
                  <w:rPr>
                    <w:rFonts w:ascii="Palatino Linotype" w:eastAsia="Palatino Linotype" w:hAnsi="Palatino Linotype" w:cs="Palatino Linotype"/>
                    <w:b/>
                    <w:bCs/>
                    <w:sz w:val="24"/>
                    <w:szCs w:val="24"/>
                  </w:rPr>
                </w:pPr>
                <w:r w:rsidRPr="002A18FB">
                  <w:rPr>
                    <w:rFonts w:ascii="Palatino Linotype" w:eastAsia="Palatino Linotype" w:hAnsi="Palatino Linotype" w:cs="Palatino Linotype"/>
                    <w:b/>
                    <w:bCs/>
                    <w:sz w:val="24"/>
                    <w:szCs w:val="24"/>
                  </w:rPr>
                  <w:t>Comisionada Ponente:</w:t>
                </w:r>
              </w:p>
            </w:tc>
            <w:tc>
              <w:tcPr>
                <w:tcW w:w="3507" w:type="dxa"/>
              </w:tcPr>
              <w:p w:rsidR="000C57CA" w:rsidRPr="002A18FB" w:rsidRDefault="000C57CA">
                <w:pPr>
                  <w:tabs>
                    <w:tab w:val="right" w:pos="8838"/>
                  </w:tabs>
                  <w:ind w:left="-3" w:right="-105"/>
                  <w:jc w:val="both"/>
                  <w:rPr>
                    <w:rFonts w:ascii="Palatino Linotype" w:eastAsia="Palatino Linotype" w:hAnsi="Palatino Linotype" w:cs="Palatino Linotype"/>
                    <w:bCs/>
                    <w:sz w:val="24"/>
                    <w:szCs w:val="24"/>
                  </w:rPr>
                </w:pPr>
                <w:r w:rsidRPr="002A18FB">
                  <w:rPr>
                    <w:rFonts w:ascii="Palatino Linotype" w:eastAsia="Palatino Linotype" w:hAnsi="Palatino Linotype" w:cs="Palatino Linotype"/>
                    <w:bCs/>
                    <w:sz w:val="24"/>
                    <w:szCs w:val="24"/>
                  </w:rPr>
                  <w:t>María del Rosario Mejía Ayala</w:t>
                </w:r>
              </w:p>
            </w:tc>
            <w:tc>
              <w:tcPr>
                <w:tcW w:w="2979" w:type="dxa"/>
              </w:tcPr>
              <w:p w:rsidR="000C57CA" w:rsidRPr="002A18FB" w:rsidRDefault="000C57CA">
                <w:pPr>
                  <w:tabs>
                    <w:tab w:val="right" w:pos="8838"/>
                  </w:tabs>
                  <w:ind w:left="-74" w:right="-105"/>
                  <w:jc w:val="both"/>
                  <w:rPr>
                    <w:rFonts w:ascii="Palatino Linotype" w:eastAsia="Palatino Linotype" w:hAnsi="Palatino Linotype" w:cs="Palatino Linotype"/>
                    <w:bCs/>
                  </w:rPr>
                </w:pPr>
              </w:p>
            </w:tc>
          </w:tr>
        </w:tbl>
        <w:p w:rsidR="000C57CA" w:rsidRDefault="000C57CA">
          <w:pPr>
            <w:tabs>
              <w:tab w:val="right" w:pos="8838"/>
            </w:tabs>
            <w:ind w:left="-28"/>
            <w:jc w:val="both"/>
            <w:rPr>
              <w:rFonts w:ascii="Arial" w:eastAsia="Arial" w:hAnsi="Arial" w:cs="Arial"/>
              <w:b/>
              <w:bCs/>
              <w:sz w:val="22"/>
              <w:szCs w:val="22"/>
            </w:rPr>
          </w:pPr>
        </w:p>
      </w:tc>
    </w:tr>
  </w:tbl>
  <w:p w:rsidR="000C57CA" w:rsidRDefault="00F555AB">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5.8pt;margin-top:-134.3pt;width:663.5pt;height:12in;z-index:-251656192;mso-position-horizontal:absolute;mso-position-horizontal-relative:margin;mso-position-vertical:absolute;mso-position-vertical-relative:margin">
          <v:imagedata r:id="rId1" o:title="image3"/>
          <w10:wrap anchorx="margin" anchory="margin"/>
        </v:shape>
      </w:pict>
    </w:r>
  </w:p>
  <w:p w:rsidR="000C57CA" w:rsidRDefault="000C57CA"/>
  <w:p w:rsidR="000C57CA" w:rsidRDefault="000C57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36A3F"/>
    <w:multiLevelType w:val="hybridMultilevel"/>
    <w:tmpl w:val="9E54A95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 w15:restartNumberingAfterBreak="0">
    <w:nsid w:val="0DFB0BB5"/>
    <w:multiLevelType w:val="multilevel"/>
    <w:tmpl w:val="A392A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B0654B"/>
    <w:multiLevelType w:val="multilevel"/>
    <w:tmpl w:val="53A44A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3770022"/>
    <w:multiLevelType w:val="multilevel"/>
    <w:tmpl w:val="AB962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F31379"/>
    <w:multiLevelType w:val="multilevel"/>
    <w:tmpl w:val="6E38EAEA"/>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5" w15:restartNumberingAfterBreak="0">
    <w:nsid w:val="1F192889"/>
    <w:multiLevelType w:val="multilevel"/>
    <w:tmpl w:val="6EBE1180"/>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317490"/>
    <w:multiLevelType w:val="hybridMultilevel"/>
    <w:tmpl w:val="9B4648C2"/>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8D1E9A"/>
    <w:multiLevelType w:val="multilevel"/>
    <w:tmpl w:val="61F68D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747569"/>
    <w:multiLevelType w:val="multilevel"/>
    <w:tmpl w:val="3850BF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AF0E3B"/>
    <w:multiLevelType w:val="hybridMultilevel"/>
    <w:tmpl w:val="05CE0C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1130655"/>
    <w:multiLevelType w:val="multilevel"/>
    <w:tmpl w:val="43928F8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3" w15:restartNumberingAfterBreak="0">
    <w:nsid w:val="524849EF"/>
    <w:multiLevelType w:val="multilevel"/>
    <w:tmpl w:val="12989AD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55D78DB"/>
    <w:multiLevelType w:val="multilevel"/>
    <w:tmpl w:val="821C0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C00541"/>
    <w:multiLevelType w:val="multilevel"/>
    <w:tmpl w:val="819CD66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F8100E0"/>
    <w:multiLevelType w:val="hybridMultilevel"/>
    <w:tmpl w:val="7CD8C686"/>
    <w:lvl w:ilvl="0" w:tplc="81E6CA8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068250C"/>
    <w:multiLevelType w:val="multilevel"/>
    <w:tmpl w:val="CD4EB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67B2870"/>
    <w:multiLevelType w:val="multilevel"/>
    <w:tmpl w:val="3378D7F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7"/>
  </w:num>
  <w:num w:numId="3">
    <w:abstractNumId w:val="12"/>
  </w:num>
  <w:num w:numId="4">
    <w:abstractNumId w:val="3"/>
  </w:num>
  <w:num w:numId="5">
    <w:abstractNumId w:val="14"/>
  </w:num>
  <w:num w:numId="6">
    <w:abstractNumId w:val="5"/>
  </w:num>
  <w:num w:numId="7">
    <w:abstractNumId w:val="15"/>
  </w:num>
  <w:num w:numId="8">
    <w:abstractNumId w:val="13"/>
  </w:num>
  <w:num w:numId="9">
    <w:abstractNumId w:val="10"/>
  </w:num>
  <w:num w:numId="10">
    <w:abstractNumId w:val="1"/>
  </w:num>
  <w:num w:numId="11">
    <w:abstractNumId w:val="18"/>
  </w:num>
  <w:num w:numId="12">
    <w:abstractNumId w:val="16"/>
  </w:num>
  <w:num w:numId="13">
    <w:abstractNumId w:val="8"/>
  </w:num>
  <w:num w:numId="14">
    <w:abstractNumId w:val="7"/>
  </w:num>
  <w:num w:numId="15">
    <w:abstractNumId w:val="19"/>
  </w:num>
  <w:num w:numId="16">
    <w:abstractNumId w:val="2"/>
  </w:num>
  <w:num w:numId="17">
    <w:abstractNumId w:val="4"/>
  </w:num>
  <w:num w:numId="18">
    <w:abstractNumId w:val="6"/>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3B"/>
    <w:rsid w:val="00005A51"/>
    <w:rsid w:val="00010AD2"/>
    <w:rsid w:val="000C57CA"/>
    <w:rsid w:val="00103C0C"/>
    <w:rsid w:val="002A18FB"/>
    <w:rsid w:val="002E3854"/>
    <w:rsid w:val="003478E8"/>
    <w:rsid w:val="00450DDC"/>
    <w:rsid w:val="005544D3"/>
    <w:rsid w:val="0065193C"/>
    <w:rsid w:val="00655B06"/>
    <w:rsid w:val="007221F9"/>
    <w:rsid w:val="007651DA"/>
    <w:rsid w:val="00787D97"/>
    <w:rsid w:val="00AC5CCF"/>
    <w:rsid w:val="00B130FE"/>
    <w:rsid w:val="00C527C3"/>
    <w:rsid w:val="00EF723B"/>
    <w:rsid w:val="00F555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F81514B-A6A7-43F8-AE5F-F4D70E29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723B"/>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rsid w:val="00EF723B"/>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link w:val="Ttulo2Car"/>
    <w:rsid w:val="00EF723B"/>
    <w:pPr>
      <w:keepNext/>
      <w:keepLines/>
      <w:spacing w:before="40"/>
      <w:outlineLvl w:val="1"/>
    </w:pPr>
    <w:rPr>
      <w:rFonts w:ascii="Calibri" w:eastAsia="Calibri" w:hAnsi="Calibri" w:cs="Calibri"/>
      <w:color w:val="2F5496"/>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723B"/>
    <w:rPr>
      <w:rFonts w:ascii="Calibri" w:eastAsia="Calibri" w:hAnsi="Calibri" w:cs="Calibri"/>
      <w:color w:val="2F5496"/>
      <w:sz w:val="32"/>
      <w:szCs w:val="32"/>
      <w:lang w:eastAsia="es-MX"/>
    </w:rPr>
  </w:style>
  <w:style w:type="character" w:customStyle="1" w:styleId="Ttulo2Car">
    <w:name w:val="Título 2 Car"/>
    <w:basedOn w:val="Fuentedeprrafopredeter"/>
    <w:link w:val="Ttulo2"/>
    <w:rsid w:val="00EF723B"/>
    <w:rPr>
      <w:rFonts w:ascii="Calibri" w:eastAsia="Calibri" w:hAnsi="Calibri" w:cs="Calibri"/>
      <w:color w:val="2F5496"/>
      <w:sz w:val="26"/>
      <w:szCs w:val="26"/>
      <w:lang w:eastAsia="es-MX"/>
    </w:rPr>
  </w:style>
  <w:style w:type="paragraph" w:styleId="Piedepgina">
    <w:name w:val="footer"/>
    <w:basedOn w:val="Normal"/>
    <w:link w:val="PiedepginaCar"/>
    <w:uiPriority w:val="99"/>
    <w:unhideWhenUsed/>
    <w:rsid w:val="00EF723B"/>
    <w:pPr>
      <w:tabs>
        <w:tab w:val="center" w:pos="4419"/>
        <w:tab w:val="right" w:pos="8838"/>
      </w:tabs>
    </w:pPr>
  </w:style>
  <w:style w:type="character" w:customStyle="1" w:styleId="PiedepginaCar">
    <w:name w:val="Pie de página Car"/>
    <w:basedOn w:val="Fuentedeprrafopredeter"/>
    <w:link w:val="Piedepgina"/>
    <w:uiPriority w:val="99"/>
    <w:rsid w:val="00EF723B"/>
    <w:rPr>
      <w:rFonts w:ascii="Times New Roman" w:eastAsia="Times New Roman" w:hAnsi="Times New Roman" w:cs="Times New Roman"/>
      <w:sz w:val="20"/>
      <w:szCs w:val="2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544D3"/>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544D3"/>
    <w:rPr>
      <w:rFonts w:ascii="Century Gothic" w:eastAsia="Times New Roman" w:hAnsi="Century Gothic" w:cs="Times New Roman"/>
      <w:szCs w:val="24"/>
      <w:lang w:eastAsia="es-MX"/>
    </w:rPr>
  </w:style>
  <w:style w:type="paragraph" w:styleId="Sinespaciado">
    <w:name w:val="No Spacing"/>
    <w:aliases w:val="Francesa,INAI"/>
    <w:link w:val="SinespaciadoCar"/>
    <w:uiPriority w:val="1"/>
    <w:qFormat/>
    <w:rsid w:val="005544D3"/>
    <w:pPr>
      <w:spacing w:after="0" w:line="240" w:lineRule="auto"/>
    </w:pPr>
  </w:style>
  <w:style w:type="character" w:customStyle="1" w:styleId="SinespaciadoCar">
    <w:name w:val="Sin espaciado Car"/>
    <w:aliases w:val="Francesa Car,INAI Car"/>
    <w:link w:val="Sinespaciado"/>
    <w:uiPriority w:val="1"/>
    <w:locked/>
    <w:rsid w:val="005544D3"/>
  </w:style>
  <w:style w:type="character" w:styleId="Hipervnculo">
    <w:name w:val="Hyperlink"/>
    <w:aliases w:val="Hipervínculo1,Hipervínculo11,Hipervínculo12,Hipervínculo13,Hipervínculo14,Hipervínculo15"/>
    <w:basedOn w:val="Fuentedeprrafopredeter"/>
    <w:uiPriority w:val="99"/>
    <w:unhideWhenUsed/>
    <w:qFormat/>
    <w:rsid w:val="005544D3"/>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544D3"/>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544D3"/>
    <w:rPr>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5544D3"/>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3721</Words>
  <Characters>20466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4</cp:revision>
  <dcterms:created xsi:type="dcterms:W3CDTF">2026-04-20T19:21:00Z</dcterms:created>
  <dcterms:modified xsi:type="dcterms:W3CDTF">2026-04-27T19:01:00Z</dcterms:modified>
</cp:coreProperties>
</file>