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06C7" w:rsidRPr="00C11D42" w:rsidRDefault="002606C7" w:rsidP="002606C7">
      <w:pPr>
        <w:spacing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w:t>
      </w:r>
      <w:r w:rsidR="00C11D42">
        <w:rPr>
          <w:rFonts w:ascii="Palatino Linotype" w:eastAsia="Palatino Linotype" w:hAnsi="Palatino Linotype" w:cs="Palatino Linotype"/>
        </w:rPr>
        <w:t>n Metepec, Estado de México; de fecha</w:t>
      </w:r>
      <w:r w:rsidRPr="00C11D42">
        <w:rPr>
          <w:rFonts w:ascii="Palatino Linotype" w:eastAsia="Palatino Linotype" w:hAnsi="Palatino Linotype" w:cs="Palatino Linotype"/>
        </w:rPr>
        <w:t xml:space="preserve"> trece </w:t>
      </w:r>
      <w:r w:rsidR="00C11D42">
        <w:rPr>
          <w:rFonts w:ascii="Palatino Linotype" w:eastAsia="Palatino Linotype" w:hAnsi="Palatino Linotype" w:cs="Palatino Linotype"/>
        </w:rPr>
        <w:t xml:space="preserve">(13) </w:t>
      </w:r>
      <w:r w:rsidRPr="00C11D42">
        <w:rPr>
          <w:rFonts w:ascii="Palatino Linotype" w:eastAsia="Palatino Linotype" w:hAnsi="Palatino Linotype" w:cs="Palatino Linotype"/>
        </w:rPr>
        <w:t xml:space="preserve">de mayo de dos mil veintiséis. </w:t>
      </w:r>
    </w:p>
    <w:p w:rsidR="002606C7" w:rsidRPr="00C11D42" w:rsidRDefault="002606C7" w:rsidP="002606C7">
      <w:pPr>
        <w:spacing w:line="360" w:lineRule="auto"/>
        <w:jc w:val="both"/>
        <w:rPr>
          <w:rFonts w:ascii="Palatino Linotype" w:eastAsia="Palatino Linotype" w:hAnsi="Palatino Linotype" w:cs="Palatino Linotype"/>
        </w:rPr>
      </w:pPr>
    </w:p>
    <w:p w:rsidR="002606C7" w:rsidRPr="00C11D42" w:rsidRDefault="002606C7" w:rsidP="002606C7">
      <w:pPr>
        <w:spacing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b/>
          <w:bCs/>
        </w:rPr>
        <w:t>VISTO</w:t>
      </w:r>
      <w:r w:rsidRPr="00C11D42">
        <w:rPr>
          <w:rFonts w:ascii="Palatino Linotype" w:eastAsia="Palatino Linotype" w:hAnsi="Palatino Linotype" w:cs="Palatino Linotype"/>
        </w:rPr>
        <w:t xml:space="preserve"> el expediente electrónico formado con motivo del recurso de revisión </w:t>
      </w:r>
      <w:r w:rsidRPr="00C11D42">
        <w:rPr>
          <w:rFonts w:ascii="Palatino Linotype" w:eastAsia="Palatino Linotype" w:hAnsi="Palatino Linotype" w:cs="Palatino Linotype"/>
          <w:b/>
          <w:bCs/>
        </w:rPr>
        <w:t xml:space="preserve">02418/INFOEM/IP/RR/2026, </w:t>
      </w:r>
      <w:r w:rsidRPr="00C11D42">
        <w:rPr>
          <w:rFonts w:ascii="Palatino Linotype" w:eastAsia="Palatino Linotype" w:hAnsi="Palatino Linotype" w:cs="Palatino Linotype"/>
        </w:rPr>
        <w:t xml:space="preserve">promovido por </w:t>
      </w:r>
      <w:r w:rsidR="002B2A09">
        <w:rPr>
          <w:rFonts w:ascii="Palatino Linotype" w:eastAsia="Palatino Linotype" w:hAnsi="Palatino Linotype" w:cs="Palatino Linotype"/>
          <w:b/>
          <w:bCs/>
        </w:rPr>
        <w:t>XXXX</w:t>
      </w:r>
      <w:r w:rsidRPr="00C11D42">
        <w:rPr>
          <w:rFonts w:ascii="Palatino Linotype" w:eastAsia="Palatino Linotype" w:hAnsi="Palatino Linotype" w:cs="Palatino Linotype"/>
        </w:rPr>
        <w:t xml:space="preserve">, </w:t>
      </w:r>
      <w:r w:rsidR="00C11D42">
        <w:rPr>
          <w:rFonts w:ascii="Palatino Linotype" w:eastAsia="Palatino Linotype" w:hAnsi="Palatino Linotype" w:cs="Palatino Linotype"/>
        </w:rPr>
        <w:t xml:space="preserve">a </w:t>
      </w:r>
      <w:r w:rsidRPr="00C11D42">
        <w:rPr>
          <w:rFonts w:ascii="Palatino Linotype" w:eastAsia="Palatino Linotype" w:hAnsi="Palatino Linotype" w:cs="Palatino Linotype"/>
        </w:rPr>
        <w:t xml:space="preserve">quien en lo sucesivo se identificará como </w:t>
      </w:r>
      <w:r w:rsidRPr="00C11D42">
        <w:rPr>
          <w:rFonts w:ascii="Palatino Linotype" w:eastAsia="Palatino Linotype" w:hAnsi="Palatino Linotype" w:cs="Palatino Linotype"/>
          <w:b/>
          <w:bCs/>
        </w:rPr>
        <w:t>EL RECURRENTE</w:t>
      </w:r>
      <w:r w:rsidRPr="00C11D42">
        <w:rPr>
          <w:rFonts w:ascii="Palatino Linotype" w:eastAsia="Palatino Linotype" w:hAnsi="Palatino Linotype" w:cs="Palatino Linotype"/>
        </w:rPr>
        <w:t xml:space="preserve">, en contra de la respuesta del </w:t>
      </w:r>
      <w:r w:rsidRPr="00C11D42">
        <w:rPr>
          <w:rFonts w:ascii="Palatino Linotype" w:eastAsia="Palatino Linotype" w:hAnsi="Palatino Linotype" w:cs="Palatino Linotype"/>
          <w:b/>
          <w:bCs/>
        </w:rPr>
        <w:t xml:space="preserve">Organismo Público Descentralizado para la Prestación de Servicios de Agua Potable Alcantarillado y Saneamiento de Coacalco de Berriozábal, </w:t>
      </w:r>
      <w:r w:rsidRPr="00C11D42">
        <w:rPr>
          <w:rFonts w:ascii="Palatino Linotype" w:eastAsia="Palatino Linotype" w:hAnsi="Palatino Linotype" w:cs="Palatino Linotype"/>
        </w:rPr>
        <w:t>en adelante el</w:t>
      </w:r>
      <w:r w:rsidRPr="00C11D42">
        <w:rPr>
          <w:rFonts w:ascii="Palatino Linotype" w:eastAsia="Palatino Linotype" w:hAnsi="Palatino Linotype" w:cs="Palatino Linotype"/>
          <w:b/>
          <w:bCs/>
        </w:rPr>
        <w:t xml:space="preserve"> SUJETO OBLIGADO</w:t>
      </w:r>
      <w:r w:rsidRPr="00C11D42">
        <w:rPr>
          <w:rFonts w:ascii="Palatino Linotype" w:eastAsia="Palatino Linotype" w:hAnsi="Palatino Linotype" w:cs="Palatino Linotype"/>
        </w:rPr>
        <w:t>, por lo que se procede a dictar la presente resolución, con base en los siguientes:</w:t>
      </w:r>
    </w:p>
    <w:p w:rsidR="002606C7" w:rsidRPr="00C11D42" w:rsidRDefault="002606C7" w:rsidP="002606C7">
      <w:pPr>
        <w:spacing w:line="360" w:lineRule="auto"/>
        <w:jc w:val="both"/>
        <w:rPr>
          <w:rFonts w:ascii="Palatino Linotype" w:eastAsia="Palatino Linotype" w:hAnsi="Palatino Linotype" w:cs="Palatino Linotype"/>
          <w:b/>
          <w:bCs/>
        </w:rPr>
      </w:pPr>
    </w:p>
    <w:p w:rsidR="002606C7" w:rsidRPr="00C11D42" w:rsidRDefault="002606C7" w:rsidP="002606C7">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C11D42">
        <w:rPr>
          <w:rFonts w:ascii="Palatino Linotype" w:eastAsia="Palatino Linotype" w:hAnsi="Palatino Linotype" w:cs="Palatino Linotype"/>
          <w:b/>
          <w:bCs/>
        </w:rPr>
        <w:t>A N T E C E D E N T E S</w:t>
      </w:r>
    </w:p>
    <w:p w:rsidR="002606C7" w:rsidRPr="00C11D42" w:rsidRDefault="002606C7" w:rsidP="002606C7">
      <w:pPr>
        <w:spacing w:line="360" w:lineRule="auto"/>
        <w:rPr>
          <w:rFonts w:ascii="Palatino Linotype" w:eastAsia="Palatino Linotype" w:hAnsi="Palatino Linotype" w:cs="Palatino Linotype"/>
        </w:rPr>
      </w:pP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El </w:t>
      </w:r>
      <w:r w:rsidR="006E2905" w:rsidRPr="00C11D42">
        <w:rPr>
          <w:rFonts w:ascii="Palatino Linotype" w:eastAsia="Palatino Linotype" w:hAnsi="Palatino Linotype" w:cs="Palatino Linotype"/>
          <w:b/>
          <w:bCs/>
        </w:rPr>
        <w:t xml:space="preserve">veintinueve de enero de dos mil </w:t>
      </w:r>
      <w:r w:rsidR="00C11D42" w:rsidRPr="00C11D42">
        <w:rPr>
          <w:rFonts w:ascii="Palatino Linotype" w:eastAsia="Palatino Linotype" w:hAnsi="Palatino Linotype" w:cs="Palatino Linotype"/>
          <w:b/>
          <w:bCs/>
        </w:rPr>
        <w:t>veintiséis</w:t>
      </w:r>
      <w:r w:rsidRPr="00C11D42">
        <w:rPr>
          <w:rFonts w:ascii="Palatino Linotype" w:eastAsia="Palatino Linotype" w:hAnsi="Palatino Linotype" w:cs="Palatino Linotype"/>
        </w:rPr>
        <w:t xml:space="preserve">, </w:t>
      </w:r>
      <w:r w:rsidRPr="00C11D42">
        <w:rPr>
          <w:rFonts w:ascii="Palatino Linotype" w:eastAsia="Palatino Linotype" w:hAnsi="Palatino Linotype" w:cs="Palatino Linotype"/>
          <w:b/>
          <w:bCs/>
        </w:rPr>
        <w:t>EL RECURRENTE,</w:t>
      </w:r>
      <w:r w:rsidRPr="00C11D42">
        <w:rPr>
          <w:rFonts w:ascii="Palatino Linotype" w:eastAsia="Palatino Linotype" w:hAnsi="Palatino Linotype" w:cs="Palatino Linotype"/>
        </w:rPr>
        <w:t xml:space="preserve"> ante el </w:t>
      </w:r>
      <w:r w:rsidRPr="00C11D42">
        <w:rPr>
          <w:rFonts w:ascii="Palatino Linotype" w:eastAsia="Palatino Linotype" w:hAnsi="Palatino Linotype" w:cs="Palatino Linotype"/>
          <w:b/>
          <w:bCs/>
        </w:rPr>
        <w:t>SUJETO OBLIGADO</w:t>
      </w:r>
      <w:r w:rsidRPr="00C11D42">
        <w:rPr>
          <w:rFonts w:ascii="Palatino Linotype" w:eastAsia="Palatino Linotype" w:hAnsi="Palatino Linotype" w:cs="Palatino Linotype"/>
        </w:rPr>
        <w:t xml:space="preserve"> a través del Sistema de Acceso a la Información Mexiquense (SAIMEX), presentó una solicitud de información registrada con el número </w:t>
      </w:r>
      <w:r w:rsidR="006E2905" w:rsidRPr="00C11D42">
        <w:rPr>
          <w:rFonts w:ascii="Palatino Linotype" w:eastAsia="Palatino Linotype" w:hAnsi="Palatino Linotype" w:cs="Palatino Linotype"/>
          <w:b/>
          <w:bCs/>
        </w:rPr>
        <w:t>00002/OASCOACALC/IP/2026</w:t>
      </w:r>
      <w:r w:rsidRPr="00C11D42">
        <w:rPr>
          <w:rFonts w:ascii="Palatino Linotype" w:eastAsia="Palatino Linotype" w:hAnsi="Palatino Linotype" w:cs="Palatino Linotype"/>
          <w:b/>
          <w:bCs/>
        </w:rPr>
        <w:t xml:space="preserve">, </w:t>
      </w:r>
      <w:r w:rsidRPr="00C11D42">
        <w:rPr>
          <w:rFonts w:ascii="Palatino Linotype" w:eastAsia="Palatino Linotype" w:hAnsi="Palatino Linotype" w:cs="Palatino Linotype"/>
        </w:rPr>
        <w:t>en la que se solicitó lo siguiente:</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rPr>
      </w:pPr>
      <w:r w:rsidRPr="00C11D42">
        <w:rPr>
          <w:rFonts w:ascii="Palatino Linotype" w:eastAsia="Palatino Linotype" w:hAnsi="Palatino Linotype" w:cs="Palatino Linotype"/>
          <w:i/>
          <w:iCs/>
        </w:rPr>
        <w:t>“</w:t>
      </w:r>
      <w:r w:rsidR="006E2905" w:rsidRPr="00C11D42">
        <w:rPr>
          <w:rFonts w:ascii="Palatino Linotype" w:eastAsia="Palatino Linotype" w:hAnsi="Palatino Linotype" w:cs="Palatino Linotype"/>
          <w:i/>
          <w:iCs/>
        </w:rPr>
        <w:t>SOLICITO LAS ACTAS DE CONSEJO PARA EL EJERCICIO 2025 Y 2026</w:t>
      </w:r>
      <w:r w:rsidRPr="00C11D42">
        <w:rPr>
          <w:rFonts w:ascii="Palatino Linotype" w:eastAsia="Palatino Linotype" w:hAnsi="Palatino Linotype" w:cs="Palatino Linotype"/>
          <w:i/>
          <w:iCs/>
        </w:rPr>
        <w:t xml:space="preserve">” (Sic) </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Se se</w:t>
      </w:r>
      <w:bookmarkStart w:id="1" w:name="_GoBack"/>
      <w:bookmarkEnd w:id="1"/>
      <w:r w:rsidRPr="00C11D42">
        <w:rPr>
          <w:rFonts w:ascii="Palatino Linotype" w:eastAsia="Palatino Linotype" w:hAnsi="Palatino Linotype" w:cs="Palatino Linotype"/>
        </w:rPr>
        <w:t xml:space="preserve">ñaló como modalidad de entrega a través de SAIMEX.  </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lastRenderedPageBreak/>
        <w:t xml:space="preserve">El </w:t>
      </w:r>
      <w:r w:rsidR="006E2905" w:rsidRPr="00C11D42">
        <w:rPr>
          <w:rFonts w:ascii="Palatino Linotype" w:eastAsia="Palatino Linotype" w:hAnsi="Palatino Linotype" w:cs="Palatino Linotype"/>
          <w:b/>
          <w:bCs/>
        </w:rPr>
        <w:t>diecinueve de febrero de dos mil veintiséis</w:t>
      </w:r>
      <w:r w:rsidRPr="00C11D42">
        <w:rPr>
          <w:rFonts w:ascii="Palatino Linotype" w:eastAsia="Palatino Linotype" w:hAnsi="Palatino Linotype" w:cs="Palatino Linotype"/>
        </w:rPr>
        <w:t>, el Sujeto Obligado dio respuesta a la solicitud de información en los siguientes términos:</w:t>
      </w:r>
    </w:p>
    <w:p w:rsidR="002606C7" w:rsidRPr="00C11D42" w:rsidRDefault="002606C7" w:rsidP="002606C7">
      <w:pPr>
        <w:spacing w:line="360" w:lineRule="auto"/>
        <w:jc w:val="both"/>
        <w:rPr>
          <w:rFonts w:ascii="Palatino Linotype" w:eastAsia="Palatino Linotype" w:hAnsi="Palatino Linotype" w:cs="Palatino Linotype"/>
        </w:rPr>
      </w:pPr>
    </w:p>
    <w:tbl>
      <w:tblPr>
        <w:tblW w:w="7388" w:type="dxa"/>
        <w:jc w:val="center"/>
        <w:tblCellSpacing w:w="0" w:type="dxa"/>
        <w:tblCellMar>
          <w:left w:w="0" w:type="dxa"/>
          <w:right w:w="0" w:type="dxa"/>
        </w:tblCellMar>
        <w:tblLook w:val="04A0" w:firstRow="1" w:lastRow="0" w:firstColumn="1" w:lastColumn="0" w:noHBand="0" w:noVBand="1"/>
      </w:tblPr>
      <w:tblGrid>
        <w:gridCol w:w="7388"/>
      </w:tblGrid>
      <w:tr w:rsidR="006E2905" w:rsidRPr="00C11D42" w:rsidTr="006E2905">
        <w:trPr>
          <w:trHeight w:val="294"/>
          <w:tblCellSpacing w:w="0" w:type="dxa"/>
          <w:jc w:val="center"/>
        </w:trPr>
        <w:tc>
          <w:tcPr>
            <w:tcW w:w="0" w:type="auto"/>
            <w:vAlign w:val="center"/>
            <w:hideMark/>
          </w:tcPr>
          <w:p w:rsidR="006E2905" w:rsidRPr="00C11D42" w:rsidRDefault="006E2905" w:rsidP="006E2905">
            <w:pPr>
              <w:jc w:val="right"/>
              <w:rPr>
                <w:rFonts w:ascii="Palatino Linotype" w:hAnsi="Palatino Linotype"/>
                <w:i/>
              </w:rPr>
            </w:pPr>
            <w:r w:rsidRPr="00C11D42">
              <w:rPr>
                <w:rFonts w:ascii="Palatino Linotype" w:hAnsi="Palatino Linotype"/>
                <w:i/>
              </w:rPr>
              <w:t>“o Descentralizado para la Prestación de Servicios de Agua Potable Alcantarillado y Saneamiento de Coacalco de Berriozábal, México a 19 de Febrero de 2026</w:t>
            </w:r>
          </w:p>
        </w:tc>
      </w:tr>
      <w:tr w:rsidR="006E2905" w:rsidRPr="00C11D42" w:rsidTr="006E2905">
        <w:trPr>
          <w:trHeight w:val="294"/>
          <w:tblCellSpacing w:w="0" w:type="dxa"/>
          <w:jc w:val="center"/>
        </w:trPr>
        <w:tc>
          <w:tcPr>
            <w:tcW w:w="0" w:type="auto"/>
            <w:vAlign w:val="center"/>
            <w:hideMark/>
          </w:tcPr>
          <w:p w:rsidR="006E2905" w:rsidRPr="00C11D42" w:rsidRDefault="006E2905" w:rsidP="006E2905">
            <w:pPr>
              <w:jc w:val="right"/>
              <w:rPr>
                <w:rFonts w:ascii="Palatino Linotype" w:hAnsi="Palatino Linotype"/>
                <w:i/>
              </w:rPr>
            </w:pPr>
            <w:r w:rsidRPr="00C11D42">
              <w:rPr>
                <w:rFonts w:ascii="Palatino Linotype" w:hAnsi="Palatino Linotype"/>
                <w:i/>
              </w:rPr>
              <w:t>Nombre del solicitante: C. Solicitante</w:t>
            </w:r>
          </w:p>
        </w:tc>
      </w:tr>
      <w:tr w:rsidR="006E2905" w:rsidRPr="00C11D42" w:rsidTr="006E2905">
        <w:trPr>
          <w:trHeight w:val="294"/>
          <w:tblCellSpacing w:w="0" w:type="dxa"/>
          <w:jc w:val="center"/>
        </w:trPr>
        <w:tc>
          <w:tcPr>
            <w:tcW w:w="0" w:type="auto"/>
            <w:vAlign w:val="center"/>
            <w:hideMark/>
          </w:tcPr>
          <w:p w:rsidR="006E2905" w:rsidRPr="00C11D42" w:rsidRDefault="006E2905" w:rsidP="006E2905">
            <w:pPr>
              <w:jc w:val="right"/>
              <w:rPr>
                <w:rFonts w:ascii="Palatino Linotype" w:hAnsi="Palatino Linotype"/>
                <w:i/>
              </w:rPr>
            </w:pPr>
            <w:r w:rsidRPr="00C11D42">
              <w:rPr>
                <w:rFonts w:ascii="Palatino Linotype" w:hAnsi="Palatino Linotype"/>
                <w:i/>
              </w:rPr>
              <w:t>Folio de la solicitud: 00002/OASCOACALC/IP/2026</w:t>
            </w:r>
          </w:p>
        </w:tc>
      </w:tr>
      <w:tr w:rsidR="006E2905" w:rsidRPr="00C11D42" w:rsidTr="006E2905">
        <w:trPr>
          <w:trHeight w:val="441"/>
          <w:tblCellSpacing w:w="0" w:type="dxa"/>
          <w:jc w:val="center"/>
        </w:trPr>
        <w:tc>
          <w:tcPr>
            <w:tcW w:w="0" w:type="auto"/>
            <w:vAlign w:val="center"/>
            <w:hideMark/>
          </w:tcPr>
          <w:p w:rsidR="006E2905" w:rsidRPr="00C11D42" w:rsidRDefault="006E2905" w:rsidP="006E2905">
            <w:pPr>
              <w:jc w:val="right"/>
              <w:rPr>
                <w:rFonts w:ascii="Palatino Linotype" w:hAnsi="Palatino Linotype"/>
                <w:i/>
              </w:rPr>
            </w:pPr>
          </w:p>
        </w:tc>
      </w:tr>
      <w:tr w:rsidR="006E2905" w:rsidRPr="00C11D42" w:rsidTr="006E2905">
        <w:trPr>
          <w:trHeight w:val="147"/>
          <w:tblCellSpacing w:w="0" w:type="dxa"/>
          <w:jc w:val="center"/>
        </w:trPr>
        <w:tc>
          <w:tcPr>
            <w:tcW w:w="0" w:type="auto"/>
            <w:vAlign w:val="center"/>
            <w:hideMark/>
          </w:tcPr>
          <w:p w:rsidR="006E2905" w:rsidRPr="00C11D42" w:rsidRDefault="006E2905" w:rsidP="006E2905">
            <w:pPr>
              <w:jc w:val="both"/>
              <w:rPr>
                <w:rFonts w:ascii="Palatino Linotype" w:hAnsi="Palatino Linotype"/>
                <w:i/>
              </w:rPr>
            </w:pPr>
            <w:r w:rsidRPr="00C11D42">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6E2905" w:rsidRPr="00C11D42" w:rsidTr="006E2905">
        <w:trPr>
          <w:trHeight w:val="368"/>
          <w:tblCellSpacing w:w="0" w:type="dxa"/>
          <w:jc w:val="center"/>
        </w:trPr>
        <w:tc>
          <w:tcPr>
            <w:tcW w:w="0" w:type="auto"/>
            <w:vAlign w:val="center"/>
            <w:hideMark/>
          </w:tcPr>
          <w:p w:rsidR="006E2905" w:rsidRPr="00C11D42" w:rsidRDefault="006E2905" w:rsidP="006E2905">
            <w:pPr>
              <w:rPr>
                <w:rFonts w:ascii="Palatino Linotype" w:hAnsi="Palatino Linotype"/>
                <w:i/>
              </w:rPr>
            </w:pPr>
          </w:p>
        </w:tc>
      </w:tr>
      <w:tr w:rsidR="006E2905" w:rsidRPr="00C11D42" w:rsidTr="006E2905">
        <w:trPr>
          <w:trHeight w:val="147"/>
          <w:tblCellSpacing w:w="0" w:type="dxa"/>
          <w:jc w:val="center"/>
        </w:trPr>
        <w:tc>
          <w:tcPr>
            <w:tcW w:w="0" w:type="auto"/>
            <w:vAlign w:val="center"/>
            <w:hideMark/>
          </w:tcPr>
          <w:p w:rsidR="006E2905" w:rsidRPr="00C11D42" w:rsidRDefault="006E2905" w:rsidP="006E2905">
            <w:pPr>
              <w:rPr>
                <w:rFonts w:ascii="Palatino Linotype" w:hAnsi="Palatino Linotype"/>
                <w:i/>
              </w:rPr>
            </w:pPr>
            <w:r w:rsidRPr="00C11D42">
              <w:rPr>
                <w:rFonts w:ascii="Palatino Linotype" w:hAnsi="Palatino Linotype"/>
                <w:i/>
              </w:rPr>
              <w:t>SE ENTREGA CONTESTACION MEDIANTE OFICIO SAPASAC/GO/0252/2026</w:t>
            </w:r>
          </w:p>
        </w:tc>
      </w:tr>
      <w:tr w:rsidR="006E2905" w:rsidRPr="00C11D42" w:rsidTr="006E2905">
        <w:trPr>
          <w:trHeight w:val="368"/>
          <w:tblCellSpacing w:w="0" w:type="dxa"/>
          <w:jc w:val="center"/>
        </w:trPr>
        <w:tc>
          <w:tcPr>
            <w:tcW w:w="0" w:type="auto"/>
            <w:vAlign w:val="center"/>
            <w:hideMark/>
          </w:tcPr>
          <w:p w:rsidR="006E2905" w:rsidRPr="00C11D42" w:rsidRDefault="006E2905" w:rsidP="006E2905">
            <w:pPr>
              <w:rPr>
                <w:rFonts w:ascii="Palatino Linotype" w:hAnsi="Palatino Linotype"/>
                <w:i/>
              </w:rPr>
            </w:pPr>
          </w:p>
        </w:tc>
      </w:tr>
      <w:tr w:rsidR="006E2905" w:rsidRPr="00C11D42" w:rsidTr="006E2905">
        <w:trPr>
          <w:trHeight w:val="147"/>
          <w:tblCellSpacing w:w="0" w:type="dxa"/>
          <w:jc w:val="center"/>
        </w:trPr>
        <w:tc>
          <w:tcPr>
            <w:tcW w:w="0" w:type="auto"/>
            <w:vAlign w:val="center"/>
            <w:hideMark/>
          </w:tcPr>
          <w:p w:rsidR="006E2905" w:rsidRPr="00C11D42" w:rsidRDefault="006E2905" w:rsidP="006E2905">
            <w:pPr>
              <w:jc w:val="center"/>
              <w:rPr>
                <w:rFonts w:ascii="Palatino Linotype" w:hAnsi="Palatino Linotype"/>
                <w:i/>
              </w:rPr>
            </w:pPr>
          </w:p>
        </w:tc>
      </w:tr>
      <w:tr w:rsidR="006E2905" w:rsidRPr="00C11D42" w:rsidTr="006E2905">
        <w:trPr>
          <w:trHeight w:val="147"/>
          <w:tblCellSpacing w:w="0" w:type="dxa"/>
          <w:jc w:val="center"/>
        </w:trPr>
        <w:tc>
          <w:tcPr>
            <w:tcW w:w="0" w:type="auto"/>
            <w:vAlign w:val="center"/>
            <w:hideMark/>
          </w:tcPr>
          <w:p w:rsidR="006E2905" w:rsidRPr="00C11D42" w:rsidRDefault="006E2905" w:rsidP="006E2905">
            <w:pPr>
              <w:rPr>
                <w:rFonts w:ascii="Palatino Linotype" w:hAnsi="Palatino Linotype"/>
                <w:i/>
              </w:rPr>
            </w:pPr>
          </w:p>
        </w:tc>
      </w:tr>
      <w:tr w:rsidR="006E2905" w:rsidRPr="00C11D42" w:rsidTr="006E2905">
        <w:trPr>
          <w:trHeight w:val="147"/>
          <w:tblCellSpacing w:w="0" w:type="dxa"/>
          <w:jc w:val="center"/>
        </w:trPr>
        <w:tc>
          <w:tcPr>
            <w:tcW w:w="0" w:type="auto"/>
            <w:vAlign w:val="center"/>
            <w:hideMark/>
          </w:tcPr>
          <w:p w:rsidR="006E2905" w:rsidRPr="00C11D42" w:rsidRDefault="006E2905" w:rsidP="006E2905">
            <w:pPr>
              <w:rPr>
                <w:rFonts w:ascii="Palatino Linotype" w:hAnsi="Palatino Linotype"/>
                <w:i/>
              </w:rPr>
            </w:pPr>
            <w:r w:rsidRPr="00C11D42">
              <w:rPr>
                <w:rFonts w:ascii="Palatino Linotype" w:hAnsi="Palatino Linotype"/>
                <w:i/>
              </w:rPr>
              <w:t>ATENTAMENTE</w:t>
            </w:r>
          </w:p>
        </w:tc>
      </w:tr>
      <w:tr w:rsidR="006E2905" w:rsidRPr="00C11D42" w:rsidTr="006E2905">
        <w:trPr>
          <w:trHeight w:val="220"/>
          <w:tblCellSpacing w:w="0" w:type="dxa"/>
          <w:jc w:val="center"/>
        </w:trPr>
        <w:tc>
          <w:tcPr>
            <w:tcW w:w="0" w:type="auto"/>
            <w:vAlign w:val="center"/>
            <w:hideMark/>
          </w:tcPr>
          <w:p w:rsidR="006E2905" w:rsidRPr="00C11D42" w:rsidRDefault="006E2905" w:rsidP="006E2905">
            <w:pPr>
              <w:rPr>
                <w:rFonts w:ascii="Palatino Linotype" w:hAnsi="Palatino Linotype"/>
                <w:i/>
              </w:rPr>
            </w:pPr>
          </w:p>
        </w:tc>
      </w:tr>
      <w:tr w:rsidR="006E2905" w:rsidRPr="00C11D42" w:rsidTr="006E2905">
        <w:trPr>
          <w:trHeight w:val="147"/>
          <w:tblCellSpacing w:w="0" w:type="dxa"/>
          <w:jc w:val="center"/>
        </w:trPr>
        <w:tc>
          <w:tcPr>
            <w:tcW w:w="0" w:type="auto"/>
            <w:vAlign w:val="center"/>
            <w:hideMark/>
          </w:tcPr>
          <w:p w:rsidR="006E2905" w:rsidRPr="00C11D42" w:rsidRDefault="006E2905" w:rsidP="006E2905">
            <w:pPr>
              <w:rPr>
                <w:rFonts w:ascii="Palatino Linotype" w:hAnsi="Palatino Linotype"/>
                <w:i/>
              </w:rPr>
            </w:pPr>
            <w:r w:rsidRPr="00C11D42">
              <w:rPr>
                <w:rFonts w:ascii="Palatino Linotype" w:hAnsi="Palatino Linotype"/>
                <w:i/>
              </w:rPr>
              <w:t>C. Sergio Mejía Zepeda”</w:t>
            </w:r>
          </w:p>
        </w:tc>
      </w:tr>
    </w:tbl>
    <w:p w:rsidR="002606C7" w:rsidRPr="00C11D42" w:rsidRDefault="002606C7" w:rsidP="002606C7">
      <w:pPr>
        <w:spacing w:line="360" w:lineRule="auto"/>
        <w:jc w:val="both"/>
        <w:rPr>
          <w:rFonts w:ascii="Palatino Linotype" w:eastAsia="Palatino Linotype" w:hAnsi="Palatino Linotype" w:cs="Palatino Linotype"/>
        </w:rPr>
      </w:pPr>
    </w:p>
    <w:p w:rsidR="002606C7" w:rsidRPr="00C11D42" w:rsidRDefault="002606C7" w:rsidP="006E2905">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A la respuesta se adjuntó el archivo </w:t>
      </w:r>
      <w:hyperlink r:id="rId7" w:tgtFrame="_blank" w:history="1">
        <w:r w:rsidR="006E2905" w:rsidRPr="00C11D42">
          <w:rPr>
            <w:rStyle w:val="Hipervnculo"/>
            <w:rFonts w:ascii="Palatino Linotype" w:eastAsia="Palatino Linotype" w:hAnsi="Palatino Linotype" w:cs="Palatino Linotype"/>
            <w:b/>
            <w:bCs/>
          </w:rPr>
          <w:t>RESPUESTA SAIMEX 03 2026.pdf</w:t>
        </w:r>
      </w:hyperlink>
      <w:r w:rsidRPr="00C11D42">
        <w:rPr>
          <w:rFonts w:ascii="Palatino Linotype" w:eastAsia="Palatino Linotype" w:hAnsi="Palatino Linotype" w:cs="Palatino Linotype"/>
        </w:rPr>
        <w:t xml:space="preserve">, </w:t>
      </w:r>
      <w:r w:rsidR="006E2905" w:rsidRPr="00C11D42">
        <w:rPr>
          <w:rFonts w:ascii="Palatino Linotype" w:eastAsia="Palatino Linotype" w:hAnsi="Palatino Linotype" w:cs="Palatino Linotype"/>
        </w:rPr>
        <w:t xml:space="preserve">en el que se advierte un oficio que da respuesta a una solicitud diversa. </w:t>
      </w:r>
    </w:p>
    <w:p w:rsidR="006E2905" w:rsidRPr="00C11D42" w:rsidRDefault="006E2905" w:rsidP="006E2905">
      <w:pPr>
        <w:pBdr>
          <w:top w:val="nil"/>
          <w:left w:val="nil"/>
          <w:bottom w:val="nil"/>
          <w:right w:val="nil"/>
          <w:between w:val="nil"/>
        </w:pBdr>
        <w:spacing w:line="360" w:lineRule="auto"/>
        <w:ind w:left="720"/>
        <w:jc w:val="both"/>
        <w:rPr>
          <w:rFonts w:ascii="Palatino Linotype" w:eastAsia="Palatino Linotype" w:hAnsi="Palatino Linotype" w:cs="Palatino Linotype"/>
        </w:rPr>
      </w:pP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El </w:t>
      </w:r>
      <w:r w:rsidR="006E2905" w:rsidRPr="00C11D42">
        <w:rPr>
          <w:rFonts w:ascii="Palatino Linotype" w:eastAsia="Palatino Linotype" w:hAnsi="Palatino Linotype" w:cs="Palatino Linotype"/>
          <w:b/>
          <w:bCs/>
        </w:rPr>
        <w:t>veintitrés de febrero de dos mil veintiséis</w:t>
      </w:r>
      <w:r w:rsidRPr="00C11D42">
        <w:rPr>
          <w:rFonts w:ascii="Palatino Linotype" w:eastAsia="Palatino Linotype" w:hAnsi="Palatino Linotype" w:cs="Palatino Linotype"/>
        </w:rPr>
        <w:t xml:space="preserve">, </w:t>
      </w:r>
      <w:r w:rsidRPr="00C11D42">
        <w:rPr>
          <w:rFonts w:ascii="Palatino Linotype" w:eastAsia="Palatino Linotype" w:hAnsi="Palatino Linotype" w:cs="Palatino Linotype"/>
          <w:b/>
          <w:bCs/>
        </w:rPr>
        <w:t>El Recurrente</w:t>
      </w:r>
      <w:r w:rsidRPr="00C11D42">
        <w:rPr>
          <w:rFonts w:ascii="Palatino Linotype" w:eastAsia="Palatino Linotype" w:hAnsi="Palatino Linotype" w:cs="Palatino Linotype"/>
        </w:rPr>
        <w:t xml:space="preserve"> interpuso el recurso de revisión, en contra de la respuesta, señalando como:</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numPr>
          <w:ilvl w:val="0"/>
          <w:numId w:val="1"/>
        </w:numPr>
        <w:spacing w:line="360" w:lineRule="auto"/>
        <w:ind w:left="851" w:right="822" w:firstLine="0"/>
        <w:jc w:val="both"/>
      </w:pPr>
      <w:r w:rsidRPr="00C11D42">
        <w:rPr>
          <w:rFonts w:ascii="Palatino Linotype" w:eastAsia="Palatino Linotype" w:hAnsi="Palatino Linotype" w:cs="Palatino Linotype"/>
          <w:b/>
          <w:bCs/>
        </w:rPr>
        <w:lastRenderedPageBreak/>
        <w:t>Acto impugnado</w:t>
      </w:r>
      <w:r w:rsidRPr="00C11D42">
        <w:rPr>
          <w:rFonts w:ascii="Palatino Linotype" w:eastAsia="Palatino Linotype" w:hAnsi="Palatino Linotype" w:cs="Palatino Linotype"/>
          <w:b/>
          <w:bCs/>
          <w:i/>
          <w:iCs/>
        </w:rPr>
        <w:t>:</w:t>
      </w:r>
      <w:r w:rsidRPr="00C11D42">
        <w:rPr>
          <w:rFonts w:ascii="Palatino Linotype" w:eastAsia="Palatino Linotype" w:hAnsi="Palatino Linotype" w:cs="Palatino Linotype"/>
          <w:i/>
          <w:iCs/>
        </w:rPr>
        <w:t xml:space="preserve"> "</w:t>
      </w:r>
      <w:r w:rsidR="006E2905" w:rsidRPr="00C11D42">
        <w:rPr>
          <w:rFonts w:ascii="Palatino Linotype" w:eastAsia="Verdana" w:hAnsi="Palatino Linotype" w:cs="Verdana"/>
          <w:i/>
          <w:color w:val="000000"/>
        </w:rPr>
        <w:t>SOLICITO LAS ACTAS DE CONSEJO PARA EL EJERCICIO 2025 Y 2026</w:t>
      </w:r>
      <w:r w:rsidRPr="00C11D42">
        <w:rPr>
          <w:rFonts w:ascii="Palatino Linotype" w:eastAsia="Palatino Linotype" w:hAnsi="Palatino Linotype" w:cs="Palatino Linotype"/>
          <w:i/>
          <w:iCs/>
        </w:rPr>
        <w:t>" (Sic)</w:t>
      </w:r>
    </w:p>
    <w:p w:rsidR="002606C7" w:rsidRPr="00C11D42" w:rsidRDefault="002606C7" w:rsidP="002606C7">
      <w:pPr>
        <w:spacing w:line="360" w:lineRule="auto"/>
        <w:ind w:left="851" w:right="822"/>
        <w:jc w:val="both"/>
      </w:pPr>
    </w:p>
    <w:p w:rsidR="002606C7" w:rsidRPr="00C11D42" w:rsidRDefault="002606C7" w:rsidP="002606C7">
      <w:pPr>
        <w:numPr>
          <w:ilvl w:val="0"/>
          <w:numId w:val="1"/>
        </w:numPr>
        <w:spacing w:line="360" w:lineRule="auto"/>
        <w:ind w:left="851" w:right="822" w:firstLine="0"/>
        <w:jc w:val="both"/>
        <w:rPr>
          <w:rFonts w:ascii="Palatino Linotype" w:eastAsia="Palatino Linotype" w:hAnsi="Palatino Linotype" w:cs="Palatino Linotype"/>
        </w:rPr>
      </w:pPr>
      <w:r w:rsidRPr="00C11D42">
        <w:rPr>
          <w:rFonts w:ascii="Palatino Linotype" w:eastAsia="Palatino Linotype" w:hAnsi="Palatino Linotype" w:cs="Palatino Linotype"/>
          <w:b/>
          <w:bCs/>
        </w:rPr>
        <w:t xml:space="preserve">Razones o Motivos de inconformidad: </w:t>
      </w:r>
      <w:r w:rsidRPr="00C11D42">
        <w:rPr>
          <w:rFonts w:ascii="Palatino Linotype" w:eastAsia="Palatino Linotype" w:hAnsi="Palatino Linotype" w:cs="Palatino Linotype"/>
          <w:i/>
          <w:iCs/>
        </w:rPr>
        <w:t>"</w:t>
      </w:r>
      <w:r w:rsidR="006E2905" w:rsidRPr="00C11D42">
        <w:rPr>
          <w:rFonts w:ascii="Palatino Linotype" w:eastAsia="Palatino Linotype" w:hAnsi="Palatino Linotype" w:cs="Palatino Linotype"/>
          <w:i/>
          <w:iCs/>
        </w:rPr>
        <w:t>LA RESPUESTA NO CORRESPONDE A LO SOLICITADO</w:t>
      </w:r>
      <w:r w:rsidRPr="00C11D42">
        <w:rPr>
          <w:rFonts w:ascii="Palatino Linotype" w:eastAsia="Palatino Linotype" w:hAnsi="Palatino Linotype" w:cs="Palatino Linotype"/>
          <w:i/>
          <w:iCs/>
        </w:rPr>
        <w:t>" (Sic)</w:t>
      </w:r>
    </w:p>
    <w:p w:rsidR="002606C7" w:rsidRPr="00C11D42" w:rsidRDefault="002606C7" w:rsidP="002606C7">
      <w:pPr>
        <w:spacing w:line="360" w:lineRule="auto"/>
        <w:jc w:val="both"/>
        <w:rPr>
          <w:rFonts w:ascii="Palatino Linotype" w:eastAsia="Palatino Linotype" w:hAnsi="Palatino Linotype" w:cs="Palatino Linotype"/>
        </w:rPr>
      </w:pP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C11D42">
        <w:rPr>
          <w:rFonts w:ascii="Palatino Linotype" w:eastAsia="Palatino Linotype" w:hAnsi="Palatino Linotype" w:cs="Palatino Linotype"/>
          <w:b/>
          <w:bCs/>
        </w:rPr>
        <w:t xml:space="preserve">Ley de Transparencia y Acceso a la Información Pública del Estado de México y Municipios </w:t>
      </w:r>
      <w:r w:rsidRPr="00C11D42">
        <w:rPr>
          <w:rFonts w:ascii="Palatino Linotype" w:eastAsia="Palatino Linotype" w:hAnsi="Palatino Linotype" w:cs="Palatino Linotype"/>
        </w:rPr>
        <w:t xml:space="preserve">se turna a la </w:t>
      </w:r>
      <w:r w:rsidRPr="00C11D42">
        <w:rPr>
          <w:rFonts w:ascii="Palatino Linotype" w:eastAsia="Palatino Linotype" w:hAnsi="Palatino Linotype" w:cs="Palatino Linotype"/>
          <w:b/>
          <w:bCs/>
        </w:rPr>
        <w:t xml:space="preserve">Comisionada María del Rosario Mejía Ayala, </w:t>
      </w:r>
      <w:r w:rsidRPr="00C11D42">
        <w:rPr>
          <w:rFonts w:ascii="Palatino Linotype" w:eastAsia="Palatino Linotype" w:hAnsi="Palatino Linotype" w:cs="Palatino Linotype"/>
        </w:rPr>
        <w:t xml:space="preserve">para su análisis. </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006E2905" w:rsidRPr="00C11D42">
        <w:rPr>
          <w:rFonts w:ascii="Palatino Linotype" w:eastAsia="Palatino Linotype" w:hAnsi="Palatino Linotype" w:cs="Palatino Linotype"/>
          <w:b/>
          <w:bCs/>
        </w:rPr>
        <w:t>veintisiete de febrero de dos mil veintiséis</w:t>
      </w:r>
      <w:r w:rsidRPr="00C11D42">
        <w:rPr>
          <w:rFonts w:ascii="Palatino Linotype" w:eastAsia="Palatino Linotype" w:hAnsi="Palatino Linotype" w:cs="Palatino Linotype"/>
        </w:rPr>
        <w:t xml:space="preserve">, puso a disposición de las partes el expediente electrónico vía </w:t>
      </w:r>
      <w:r w:rsidRPr="00C11D42">
        <w:rPr>
          <w:rFonts w:ascii="Palatino Linotype" w:eastAsia="Palatino Linotype" w:hAnsi="Palatino Linotype" w:cs="Palatino Linotype"/>
          <w:b/>
          <w:bCs/>
        </w:rPr>
        <w:t xml:space="preserve">SAIMEX </w:t>
      </w:r>
      <w:r w:rsidRPr="00C11D42">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C11D42">
        <w:rPr>
          <w:rFonts w:ascii="Palatino Linotype" w:eastAsia="Palatino Linotype" w:hAnsi="Palatino Linotype" w:cs="Palatino Linotype"/>
          <w:b/>
          <w:bCs/>
        </w:rPr>
        <w:t>SUJETO OBLIGADO</w:t>
      </w:r>
      <w:r w:rsidRPr="00C11D42">
        <w:rPr>
          <w:rFonts w:ascii="Palatino Linotype" w:eastAsia="Palatino Linotype" w:hAnsi="Palatino Linotype" w:cs="Palatino Linotype"/>
        </w:rPr>
        <w:t xml:space="preserve"> presentará el informe justificado procedente. </w:t>
      </w:r>
    </w:p>
    <w:p w:rsidR="002606C7" w:rsidRPr="00C11D42" w:rsidRDefault="002606C7" w:rsidP="002606C7">
      <w:pPr>
        <w:pBdr>
          <w:top w:val="nil"/>
          <w:left w:val="nil"/>
          <w:bottom w:val="nil"/>
          <w:right w:val="nil"/>
          <w:between w:val="nil"/>
        </w:pBdr>
        <w:ind w:left="720"/>
        <w:rPr>
          <w:rFonts w:ascii="Palatino Linotype" w:eastAsia="Palatino Linotype" w:hAnsi="Palatino Linotype" w:cs="Palatino Linotype"/>
        </w:rPr>
      </w:pPr>
    </w:p>
    <w:p w:rsidR="002606C7" w:rsidRPr="00C11D42" w:rsidRDefault="002606C7" w:rsidP="00C11D42">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color w:val="000000"/>
        </w:rPr>
      </w:pPr>
      <w:r w:rsidRPr="00C11D42">
        <w:rPr>
          <w:rFonts w:ascii="Palatino Linotype" w:eastAsia="Palatino Linotype" w:hAnsi="Palatino Linotype" w:cs="Palatino Linotype"/>
        </w:rPr>
        <w:t xml:space="preserve">De las constancias del expediente electrónico SAIMEX se advierte que el Recurrente no realizó manifestaciones; por su parte, el Sujeto Obligado </w:t>
      </w:r>
      <w:r w:rsidR="006E2905" w:rsidRPr="00C11D42">
        <w:rPr>
          <w:rFonts w:ascii="Palatino Linotype" w:eastAsia="Palatino Linotype" w:hAnsi="Palatino Linotype" w:cs="Palatino Linotype"/>
        </w:rPr>
        <w:t>no entregó informe justificado.</w:t>
      </w:r>
    </w:p>
    <w:p w:rsidR="002606C7" w:rsidRPr="00C11D42" w:rsidRDefault="002606C7" w:rsidP="002606C7">
      <w:pPr>
        <w:pBdr>
          <w:top w:val="nil"/>
          <w:left w:val="nil"/>
          <w:bottom w:val="nil"/>
          <w:right w:val="nil"/>
          <w:between w:val="nil"/>
        </w:pBdr>
        <w:rPr>
          <w:rFonts w:ascii="Palatino Linotype" w:eastAsia="Palatino Linotype" w:hAnsi="Palatino Linotype" w:cs="Palatino Linotype"/>
          <w:color w:val="000000"/>
        </w:rPr>
      </w:pPr>
    </w:p>
    <w:p w:rsidR="006E2905" w:rsidRPr="00C11D42" w:rsidRDefault="006E2905" w:rsidP="006E290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El </w:t>
      </w:r>
      <w:r w:rsidRPr="00C11D42">
        <w:rPr>
          <w:rFonts w:ascii="Palatino Linotype" w:eastAsia="Palatino Linotype" w:hAnsi="Palatino Linotype" w:cs="Palatino Linotype"/>
          <w:b/>
          <w:bCs/>
        </w:rPr>
        <w:t>dieciséis de abril de dos mil veintiséis</w:t>
      </w:r>
      <w:r w:rsidRPr="00C11D42">
        <w:rPr>
          <w:rFonts w:ascii="Palatino Linotype" w:eastAsia="Palatino Linotype" w:hAnsi="Palatino Linotype" w:cs="Palatino Linotype"/>
        </w:rPr>
        <w:t xml:space="preserve">, se notificó el acuerdo mediante el cual se decretó el cierre de instrucción. </w:t>
      </w:r>
    </w:p>
    <w:p w:rsidR="006E2905" w:rsidRPr="00C11D42" w:rsidRDefault="006E2905" w:rsidP="006E2905">
      <w:pPr>
        <w:pStyle w:val="Prrafodelista"/>
        <w:rPr>
          <w:rFonts w:ascii="Palatino Linotype" w:eastAsia="Palatino Linotype" w:hAnsi="Palatino Linotype" w:cs="Palatino Linotype"/>
        </w:rPr>
      </w:pPr>
    </w:p>
    <w:p w:rsidR="002606C7"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lastRenderedPageBreak/>
        <w:t xml:space="preserve">El </w:t>
      </w:r>
      <w:r w:rsidR="006E2905" w:rsidRPr="00C11D42">
        <w:rPr>
          <w:rFonts w:ascii="Palatino Linotype" w:eastAsia="Palatino Linotype" w:hAnsi="Palatino Linotype" w:cs="Palatino Linotype"/>
          <w:b/>
          <w:bCs/>
        </w:rPr>
        <w:t>siete de mayo</w:t>
      </w:r>
      <w:r w:rsidRPr="00C11D42">
        <w:rPr>
          <w:rFonts w:ascii="Palatino Linotype" w:eastAsia="Palatino Linotype" w:hAnsi="Palatino Linotype" w:cs="Palatino Linotype"/>
          <w:b/>
          <w:bCs/>
        </w:rPr>
        <w:t xml:space="preserve"> de dos mil veintiséis</w:t>
      </w:r>
      <w:r w:rsidRPr="00C11D42">
        <w:rPr>
          <w:rFonts w:ascii="Palatino Linotype" w:eastAsia="Palatino Linotype" w:hAnsi="Palatino Linotype" w:cs="Palatino Linotype"/>
        </w:rPr>
        <w:t xml:space="preserve">, se notificó el acuerdo mediante el cual se aprobó la ampliación de plazo para emitir resolución. </w:t>
      </w:r>
    </w:p>
    <w:p w:rsidR="00C11D42" w:rsidRPr="00C11D42" w:rsidRDefault="00C11D42" w:rsidP="00C11D42">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spacing w:line="360" w:lineRule="auto"/>
        <w:jc w:val="center"/>
        <w:rPr>
          <w:rFonts w:ascii="Palatino Linotype" w:eastAsia="Palatino Linotype" w:hAnsi="Palatino Linotype" w:cs="Palatino Linotype"/>
        </w:rPr>
      </w:pPr>
      <w:bookmarkStart w:id="2" w:name="_heading=h.1fob9te" w:colFirst="0" w:colLast="0"/>
      <w:bookmarkEnd w:id="2"/>
      <w:r w:rsidRPr="00C11D42">
        <w:rPr>
          <w:rFonts w:ascii="Palatino Linotype" w:eastAsia="Palatino Linotype" w:hAnsi="Palatino Linotype" w:cs="Palatino Linotype"/>
          <w:b/>
          <w:bCs/>
        </w:rPr>
        <w:t>C O N S I D E R A N D O</w:t>
      </w:r>
    </w:p>
    <w:p w:rsidR="002606C7" w:rsidRPr="00C11D42" w:rsidRDefault="002606C7" w:rsidP="002606C7">
      <w:pPr>
        <w:spacing w:line="360" w:lineRule="auto"/>
        <w:jc w:val="center"/>
        <w:rPr>
          <w:rFonts w:ascii="Palatino Linotype" w:eastAsia="Palatino Linotype" w:hAnsi="Palatino Linotype" w:cs="Palatino Linotype"/>
        </w:rPr>
      </w:pPr>
    </w:p>
    <w:p w:rsidR="002606C7" w:rsidRPr="00C11D42" w:rsidRDefault="002606C7" w:rsidP="002606C7">
      <w:pPr>
        <w:spacing w:line="360" w:lineRule="auto"/>
        <w:jc w:val="both"/>
        <w:rPr>
          <w:rFonts w:ascii="Palatino Linotype" w:eastAsia="Palatino Linotype" w:hAnsi="Palatino Linotype" w:cs="Palatino Linotype"/>
          <w:b/>
          <w:bCs/>
        </w:rPr>
      </w:pPr>
      <w:bookmarkStart w:id="3" w:name="_heading=h.3znysh7" w:colFirst="0" w:colLast="0"/>
      <w:bookmarkEnd w:id="3"/>
      <w:r w:rsidRPr="00C11D42">
        <w:rPr>
          <w:rFonts w:ascii="Palatino Linotype" w:eastAsia="Palatino Linotype" w:hAnsi="Palatino Linotype" w:cs="Palatino Linotype"/>
          <w:b/>
          <w:bCs/>
        </w:rPr>
        <w:t>PRIMERO. De la competencia</w:t>
      </w:r>
    </w:p>
    <w:p w:rsidR="002606C7" w:rsidRPr="00C11D42" w:rsidRDefault="002606C7" w:rsidP="002606C7">
      <w:pPr>
        <w:numPr>
          <w:ilvl w:val="0"/>
          <w:numId w:val="3"/>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rsidR="002606C7" w:rsidRPr="00C11D42" w:rsidRDefault="002606C7" w:rsidP="002606C7">
      <w:pPr>
        <w:keepNext/>
        <w:keepLines/>
        <w:spacing w:line="360" w:lineRule="auto"/>
        <w:rPr>
          <w:rFonts w:ascii="Palatino Linotype" w:eastAsia="Palatino Linotype" w:hAnsi="Palatino Linotype" w:cs="Palatino Linotype"/>
        </w:rPr>
      </w:pPr>
      <w:bookmarkStart w:id="4" w:name="_heading=h.2et92p0" w:colFirst="0" w:colLast="0"/>
      <w:bookmarkEnd w:id="4"/>
    </w:p>
    <w:p w:rsidR="002606C7" w:rsidRPr="00C11D42" w:rsidRDefault="002606C7" w:rsidP="002606C7">
      <w:pPr>
        <w:keepNext/>
        <w:keepLines/>
        <w:spacing w:line="360" w:lineRule="auto"/>
        <w:rPr>
          <w:rFonts w:ascii="Palatino Linotype" w:eastAsia="Palatino Linotype" w:hAnsi="Palatino Linotype" w:cs="Palatino Linotype"/>
          <w:b/>
          <w:bCs/>
        </w:rPr>
      </w:pPr>
      <w:r w:rsidRPr="00C11D42">
        <w:rPr>
          <w:rFonts w:ascii="Palatino Linotype" w:eastAsia="Palatino Linotype" w:hAnsi="Palatino Linotype" w:cs="Palatino Linotype"/>
          <w:b/>
          <w:bCs/>
        </w:rPr>
        <w:t>SEGUNDO. De la oportunidad y procedencia.</w:t>
      </w: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El medio de impugnación fue presentado a través del </w:t>
      </w:r>
      <w:r w:rsidRPr="00C11D42">
        <w:rPr>
          <w:rFonts w:ascii="Palatino Linotype" w:eastAsia="Palatino Linotype" w:hAnsi="Palatino Linotype" w:cs="Palatino Linotype"/>
          <w:b/>
          <w:bCs/>
        </w:rPr>
        <w:t>SAIMEX,</w:t>
      </w:r>
      <w:r w:rsidRPr="00C11D42">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C11D42">
        <w:rPr>
          <w:rFonts w:ascii="Palatino Linotype" w:eastAsia="Palatino Linotype" w:hAnsi="Palatino Linotype" w:cs="Palatino Linotype"/>
          <w:b/>
          <w:bCs/>
        </w:rPr>
        <w:t>SUJETO OBLIGADO</w:t>
      </w:r>
      <w:r w:rsidRPr="00C11D42">
        <w:rPr>
          <w:rFonts w:ascii="Palatino Linotype" w:eastAsia="Palatino Linotype" w:hAnsi="Palatino Linotype" w:cs="Palatino Linotype"/>
        </w:rPr>
        <w:t xml:space="preserve"> entregó respuesta a la solicitud el día </w:t>
      </w:r>
      <w:r w:rsidR="006E2905" w:rsidRPr="00C11D42">
        <w:rPr>
          <w:rFonts w:ascii="Palatino Linotype" w:eastAsia="Palatino Linotype" w:hAnsi="Palatino Linotype" w:cs="Palatino Linotype"/>
          <w:b/>
          <w:bCs/>
        </w:rPr>
        <w:t>diecinueve de febrero de dos mil veintiséis</w:t>
      </w:r>
      <w:r w:rsidRPr="00C11D42">
        <w:rPr>
          <w:rFonts w:ascii="Palatino Linotype" w:eastAsia="Palatino Linotype" w:hAnsi="Palatino Linotype" w:cs="Palatino Linotype"/>
        </w:rPr>
        <w:t xml:space="preserve">, de tal forma que el plazo para interponer el </w:t>
      </w:r>
      <w:r w:rsidRPr="00C11D42">
        <w:rPr>
          <w:rFonts w:ascii="Palatino Linotype" w:eastAsia="Palatino Linotype" w:hAnsi="Palatino Linotype" w:cs="Palatino Linotype"/>
        </w:rPr>
        <w:lastRenderedPageBreak/>
        <w:t>recurso de revisión transcurrió del</w:t>
      </w:r>
      <w:r w:rsidRPr="00C11D42">
        <w:rPr>
          <w:rFonts w:ascii="Palatino Linotype" w:eastAsia="Palatino Linotype" w:hAnsi="Palatino Linotype" w:cs="Palatino Linotype"/>
          <w:b/>
          <w:bCs/>
        </w:rPr>
        <w:t xml:space="preserve"> </w:t>
      </w:r>
      <w:r w:rsidR="006E2905" w:rsidRPr="00C11D42">
        <w:rPr>
          <w:rFonts w:ascii="Palatino Linotype" w:eastAsia="Palatino Linotype" w:hAnsi="Palatino Linotype" w:cs="Palatino Linotype"/>
          <w:b/>
          <w:bCs/>
        </w:rPr>
        <w:t>diecisiete de febrero al diez de marzo de dos mil veintiséis</w:t>
      </w:r>
      <w:r w:rsidRPr="00C11D42">
        <w:rPr>
          <w:rFonts w:ascii="Palatino Linotype" w:eastAsia="Palatino Linotype" w:hAnsi="Palatino Linotype" w:cs="Palatino Linotype"/>
        </w:rPr>
        <w:t xml:space="preserve">; en consecuencia, presentó su inconformidad el día </w:t>
      </w:r>
      <w:r w:rsidR="006E2905" w:rsidRPr="00C11D42">
        <w:rPr>
          <w:rFonts w:ascii="Palatino Linotype" w:eastAsia="Palatino Linotype" w:hAnsi="Palatino Linotype" w:cs="Palatino Linotype"/>
          <w:b/>
          <w:bCs/>
        </w:rPr>
        <w:t>veintitrés de febrero de dos mil veintiséis</w:t>
      </w:r>
      <w:r w:rsidRPr="00C11D42">
        <w:rPr>
          <w:rFonts w:ascii="Palatino Linotype" w:eastAsia="Palatino Linotype" w:hAnsi="Palatino Linotype" w:cs="Palatino Linotype"/>
        </w:rPr>
        <w:t xml:space="preserve">, por lo que se encuentra dentro de los márgenes temporales previstos en el artículo 178 de la </w:t>
      </w:r>
      <w:r w:rsidRPr="00C11D42">
        <w:rPr>
          <w:rFonts w:ascii="Palatino Linotype" w:eastAsia="Palatino Linotype" w:hAnsi="Palatino Linotype" w:cs="Palatino Linotype"/>
          <w:b/>
          <w:bCs/>
        </w:rPr>
        <w:t xml:space="preserve">Ley de Transparencia y Acceso a la Información Pública del Estado de México y Municipios </w:t>
      </w:r>
      <w:r w:rsidRPr="00C11D42">
        <w:rPr>
          <w:rFonts w:ascii="Palatino Linotype" w:eastAsia="Palatino Linotype" w:hAnsi="Palatino Linotype" w:cs="Palatino Linotype"/>
        </w:rPr>
        <w:t>vigente.</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6E290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2606C7" w:rsidRPr="00C11D42" w:rsidRDefault="002606C7" w:rsidP="002606C7">
      <w:pPr>
        <w:pStyle w:val="Ttulo1"/>
        <w:rPr>
          <w:rFonts w:ascii="Palatino Linotype" w:eastAsia="Palatino Linotype" w:hAnsi="Palatino Linotype" w:cs="Palatino Linotype"/>
          <w:b/>
          <w:bCs/>
          <w:color w:val="000000"/>
          <w:sz w:val="24"/>
          <w:szCs w:val="24"/>
        </w:rPr>
      </w:pPr>
      <w:r w:rsidRPr="00C11D42">
        <w:rPr>
          <w:rFonts w:ascii="Palatino Linotype" w:eastAsia="Palatino Linotype" w:hAnsi="Palatino Linotype" w:cs="Palatino Linotype"/>
          <w:b/>
          <w:bCs/>
          <w:color w:val="000000"/>
          <w:sz w:val="24"/>
          <w:szCs w:val="24"/>
        </w:rPr>
        <w:t xml:space="preserve">TERCERO. Planteamiento de la Litis </w:t>
      </w:r>
    </w:p>
    <w:p w:rsidR="002606C7" w:rsidRPr="00C11D42" w:rsidRDefault="002606C7" w:rsidP="002606C7">
      <w:pPr>
        <w:numPr>
          <w:ilvl w:val="0"/>
          <w:numId w:val="3"/>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color w:val="000000"/>
        </w:rPr>
      </w:pPr>
      <w:r w:rsidRPr="00C11D42">
        <w:rPr>
          <w:rFonts w:ascii="Palatino Linotype" w:eastAsia="Palatino Linotype" w:hAnsi="Palatino Linotype" w:cs="Palatino Linotype"/>
          <w:color w:val="000000"/>
        </w:rPr>
        <w:t xml:space="preserve">El recurrente solicitó </w:t>
      </w:r>
      <w:r w:rsidR="00BB2284" w:rsidRPr="00C11D42">
        <w:rPr>
          <w:rFonts w:ascii="Palatino Linotype" w:eastAsia="Palatino Linotype" w:hAnsi="Palatino Linotype" w:cs="Palatino Linotype"/>
          <w:color w:val="000000"/>
        </w:rPr>
        <w:t xml:space="preserve">las actas de Consejo del ejercicio fiscal 2025 y 2026. </w:t>
      </w:r>
      <w:r w:rsidRPr="00C11D42">
        <w:rPr>
          <w:rFonts w:ascii="Palatino Linotype" w:eastAsia="Palatino Linotype" w:hAnsi="Palatino Linotype" w:cs="Palatino Linotype"/>
          <w:color w:val="000000"/>
        </w:rPr>
        <w:t xml:space="preserve">  </w:t>
      </w:r>
    </w:p>
    <w:p w:rsidR="002606C7" w:rsidRPr="00C11D42" w:rsidRDefault="002606C7" w:rsidP="002606C7">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2606C7" w:rsidRPr="00C11D42" w:rsidRDefault="002606C7" w:rsidP="002606C7">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C11D42">
        <w:rPr>
          <w:rFonts w:ascii="Palatino Linotype" w:eastAsia="Palatino Linotype" w:hAnsi="Palatino Linotype" w:cs="Palatino Linotype"/>
          <w:color w:val="000000"/>
        </w:rPr>
        <w:t xml:space="preserve">En respuesta, el Sujeto Obligado </w:t>
      </w:r>
      <w:r w:rsidR="00BB2284" w:rsidRPr="00C11D42">
        <w:rPr>
          <w:rFonts w:ascii="Palatino Linotype" w:eastAsia="Palatino Linotype" w:hAnsi="Palatino Linotype" w:cs="Palatino Linotype"/>
          <w:color w:val="000000"/>
        </w:rPr>
        <w:t>entregó información de una solicitud diversa</w:t>
      </w:r>
      <w:r w:rsidRPr="00C11D42">
        <w:rPr>
          <w:rFonts w:ascii="Palatino Linotype" w:eastAsia="Palatino Linotype" w:hAnsi="Palatino Linotype" w:cs="Palatino Linotype"/>
          <w:color w:val="000000"/>
        </w:rPr>
        <w:t xml:space="preserve">. Posteriormente, el Recurrente se inconformó </w:t>
      </w:r>
      <w:r w:rsidR="00BB2284" w:rsidRPr="00C11D42">
        <w:rPr>
          <w:rFonts w:ascii="Palatino Linotype" w:eastAsia="Palatino Linotype" w:hAnsi="Palatino Linotype" w:cs="Palatino Linotype"/>
          <w:color w:val="000000"/>
        </w:rPr>
        <w:t xml:space="preserve">por la entrega de información que no corresponde con lo solicitado. </w:t>
      </w:r>
    </w:p>
    <w:p w:rsidR="002606C7" w:rsidRPr="00C11D42" w:rsidRDefault="002606C7" w:rsidP="002606C7">
      <w:pPr>
        <w:pStyle w:val="Prrafodelista"/>
        <w:rPr>
          <w:rFonts w:ascii="Palatino Linotype" w:eastAsia="Palatino Linotype" w:hAnsi="Palatino Linotype" w:cs="Palatino Linotype"/>
          <w:color w:val="000000"/>
        </w:rPr>
      </w:pPr>
    </w:p>
    <w:p w:rsidR="002606C7" w:rsidRPr="00C11D42" w:rsidRDefault="002606C7" w:rsidP="002606C7">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C11D42">
        <w:rPr>
          <w:rFonts w:ascii="Palatino Linotype" w:eastAsia="Palatino Linotype" w:hAnsi="Palatino Linotype" w:cs="Palatino Linotype"/>
          <w:color w:val="000000"/>
        </w:rPr>
        <w:t>Por lo tanto, el presente recurso de revisión se circunscribe en determinar si se actualiza la causal de procedencia</w:t>
      </w:r>
      <w:r w:rsidRPr="00C11D42">
        <w:rPr>
          <w:rFonts w:ascii="Palatino Linotype" w:eastAsia="Palatino Linotype" w:hAnsi="Palatino Linotype" w:cs="Palatino Linotype"/>
          <w:b/>
          <w:bCs/>
          <w:color w:val="000000"/>
        </w:rPr>
        <w:t xml:space="preserve"> </w:t>
      </w:r>
      <w:r w:rsidRPr="00C11D42">
        <w:rPr>
          <w:rFonts w:ascii="Palatino Linotype" w:eastAsia="Palatino Linotype" w:hAnsi="Palatino Linotype" w:cs="Palatino Linotype"/>
          <w:color w:val="000000"/>
        </w:rPr>
        <w:t xml:space="preserve">contenida en el artículo 179 fracción </w:t>
      </w:r>
      <w:r w:rsidR="00BB2284" w:rsidRPr="00C11D42">
        <w:rPr>
          <w:rFonts w:ascii="Palatino Linotype" w:eastAsia="Palatino Linotype" w:hAnsi="Palatino Linotype" w:cs="Palatino Linotype"/>
          <w:color w:val="000000"/>
        </w:rPr>
        <w:t>VI</w:t>
      </w:r>
      <w:r w:rsidRPr="00C11D42">
        <w:rPr>
          <w:rFonts w:ascii="Palatino Linotype" w:eastAsia="Palatino Linotype" w:hAnsi="Palatino Linotype" w:cs="Palatino Linotype"/>
          <w:color w:val="000000"/>
        </w:rPr>
        <w:t xml:space="preserve">, de la </w:t>
      </w:r>
      <w:r w:rsidRPr="00C11D42">
        <w:rPr>
          <w:rFonts w:ascii="Palatino Linotype" w:eastAsia="Palatino Linotype" w:hAnsi="Palatino Linotype" w:cs="Palatino Linotype"/>
          <w:b/>
          <w:bCs/>
          <w:color w:val="000000"/>
        </w:rPr>
        <w:t>Ley de Transparencia y Acceso a la Información Pública del Estado de México y Municipios</w:t>
      </w:r>
      <w:r w:rsidRPr="00C11D42">
        <w:rPr>
          <w:rFonts w:ascii="Palatino Linotype" w:eastAsia="Palatino Linotype" w:hAnsi="Palatino Linotype" w:cs="Palatino Linotype"/>
          <w:color w:val="000000"/>
        </w:rPr>
        <w:t>, relativo a</w:t>
      </w:r>
      <w:r w:rsidRPr="00C11D42">
        <w:t xml:space="preserve"> </w:t>
      </w:r>
      <w:r w:rsidR="00BB2284" w:rsidRPr="00C11D42">
        <w:rPr>
          <w:rFonts w:ascii="Palatino Linotype" w:eastAsia="Palatino Linotype" w:hAnsi="Palatino Linotype" w:cs="Palatino Linotype"/>
          <w:color w:val="000000"/>
        </w:rPr>
        <w:t xml:space="preserve">la entrega de información que no corresponde con lo solicitado. </w:t>
      </w:r>
      <w:r w:rsidRPr="00C11D42">
        <w:rPr>
          <w:rFonts w:ascii="Palatino Linotype" w:eastAsia="Palatino Linotype" w:hAnsi="Palatino Linotype" w:cs="Palatino Linotype"/>
          <w:color w:val="000000"/>
        </w:rPr>
        <w:t xml:space="preserve"> </w:t>
      </w:r>
    </w:p>
    <w:p w:rsidR="002606C7" w:rsidRPr="00C11D42" w:rsidRDefault="002606C7" w:rsidP="002606C7">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2606C7" w:rsidRPr="00C11D42" w:rsidRDefault="002606C7" w:rsidP="002606C7">
      <w:pPr>
        <w:pStyle w:val="Ttulo2"/>
        <w:tabs>
          <w:tab w:val="left" w:pos="426"/>
        </w:tabs>
        <w:rPr>
          <w:rFonts w:ascii="Palatino Linotype" w:eastAsia="Palatino Linotype" w:hAnsi="Palatino Linotype" w:cs="Palatino Linotype"/>
          <w:b/>
          <w:bCs/>
          <w:color w:val="000000"/>
          <w:sz w:val="24"/>
          <w:szCs w:val="24"/>
        </w:rPr>
      </w:pPr>
      <w:bookmarkStart w:id="5" w:name="_heading=h.6ktr63nmw93t" w:colFirst="0" w:colLast="0"/>
      <w:bookmarkEnd w:id="5"/>
      <w:r w:rsidRPr="00C11D42">
        <w:rPr>
          <w:rFonts w:ascii="Palatino Linotype" w:eastAsia="Palatino Linotype" w:hAnsi="Palatino Linotype" w:cs="Palatino Linotype"/>
          <w:b/>
          <w:bCs/>
          <w:color w:val="000000"/>
          <w:sz w:val="24"/>
          <w:szCs w:val="24"/>
        </w:rPr>
        <w:lastRenderedPageBreak/>
        <w:t>CUARTO. Estudio y Resolución del asunto.</w:t>
      </w:r>
    </w:p>
    <w:p w:rsidR="002606C7" w:rsidRPr="00C11D42" w:rsidRDefault="002606C7" w:rsidP="002606C7">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C11D42">
        <w:rPr>
          <w:rFonts w:ascii="Palatino Linotype" w:eastAsia="Palatino Linotype" w:hAnsi="Palatino Linotype" w:cs="Palatino Linotype"/>
          <w:color w:val="000000"/>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2606C7" w:rsidRPr="00C11D42" w:rsidRDefault="002606C7" w:rsidP="002606C7">
      <w:pPr>
        <w:pBdr>
          <w:top w:val="nil"/>
          <w:left w:val="nil"/>
          <w:bottom w:val="nil"/>
          <w:right w:val="nil"/>
          <w:between w:val="nil"/>
        </w:pBdr>
        <w:tabs>
          <w:tab w:val="left" w:pos="284"/>
          <w:tab w:val="left" w:pos="567"/>
        </w:tabs>
        <w:spacing w:line="360" w:lineRule="auto"/>
        <w:jc w:val="both"/>
        <w:rPr>
          <w:rFonts w:ascii="Palatino Linotype" w:eastAsia="Palatino Linotype" w:hAnsi="Palatino Linotype" w:cs="Palatino Linotype"/>
        </w:rPr>
      </w:pPr>
    </w:p>
    <w:p w:rsidR="00BB2284" w:rsidRPr="00C11D42" w:rsidRDefault="00BB2284" w:rsidP="00BB228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C11D42">
        <w:rPr>
          <w:rFonts w:ascii="Palatino Linotype" w:eastAsia="Palatino Linotype" w:hAnsi="Palatino Linotype" w:cs="Palatino Linotype"/>
          <w:bCs/>
          <w:color w:val="000000"/>
        </w:rPr>
        <w:t>Recordemos que el Recurrente solicitó las actas del Consejo del ejercicio fiscal 2025 y 2026, al respecto, conviene traer a contexto el Reglamento Interno del Organismo Público</w:t>
      </w:r>
      <w:r w:rsidRPr="00C11D42">
        <w:rPr>
          <w:rFonts w:ascii="Palatino Linotype" w:eastAsia="Palatino Linotype" w:hAnsi="Palatino Linotype" w:cs="Palatino Linotype"/>
          <w:bCs/>
        </w:rPr>
        <w:t xml:space="preserve"> </w:t>
      </w:r>
      <w:r w:rsidRPr="00C11D42">
        <w:rPr>
          <w:rFonts w:ascii="Palatino Linotype" w:eastAsia="Palatino Linotype" w:hAnsi="Palatino Linotype" w:cs="Palatino Linotype"/>
          <w:bCs/>
          <w:color w:val="000000"/>
        </w:rPr>
        <w:t>Descentralizado para la Prestación de Servicios de Agua Potable Alcantarillado y Saneamiento de Coacalco de Berriozábal, que establece en su artículo 10, que el funcionamiento y despacho de los asuntos de su competencia, la Administración de</w:t>
      </w:r>
      <w:r w:rsidR="005F3D08" w:rsidRPr="00C11D42">
        <w:rPr>
          <w:rFonts w:ascii="Palatino Linotype" w:eastAsia="Palatino Linotype" w:hAnsi="Palatino Linotype" w:cs="Palatino Linotype"/>
          <w:bCs/>
          <w:color w:val="000000"/>
        </w:rPr>
        <w:t xml:space="preserve">l Organismo estará a cargo del Consejo Directivo y el Director General. </w:t>
      </w:r>
    </w:p>
    <w:p w:rsidR="005F3D08" w:rsidRPr="00C11D42" w:rsidRDefault="005F3D08" w:rsidP="005F3D08">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BB2284" w:rsidRPr="00C11D42" w:rsidRDefault="005F3D08" w:rsidP="00BB228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C11D42">
        <w:rPr>
          <w:rFonts w:ascii="Palatino Linotype" w:eastAsia="Palatino Linotype" w:hAnsi="Palatino Linotype" w:cs="Palatino Linotype"/>
          <w:bCs/>
          <w:color w:val="000000"/>
        </w:rPr>
        <w:t>Por su parte, el artículo 11 y 12 del mismo ordenamiento establece que el Consejo Directivo es la máxima autoridad del Organismo, mismo que será designado por el Ayuntamiento a propuesta del Presidente Municipal; por su parte el artículo 17 del Reglamento referido, establece lo siguiente:</w:t>
      </w:r>
    </w:p>
    <w:p w:rsidR="005F3D08" w:rsidRPr="00C11D42" w:rsidRDefault="005F3D08" w:rsidP="005F3D08">
      <w:pPr>
        <w:pStyle w:val="Prrafodelista"/>
        <w:rPr>
          <w:rFonts w:ascii="Palatino Linotype" w:eastAsia="Palatino Linotype" w:hAnsi="Palatino Linotype" w:cs="Palatino Linotype"/>
          <w:bCs/>
          <w:color w:val="000000"/>
        </w:rPr>
      </w:pPr>
    </w:p>
    <w:p w:rsidR="005F3D08" w:rsidRPr="00C11D42" w:rsidRDefault="005F3D08" w:rsidP="005F3D08">
      <w:pPr>
        <w:pBdr>
          <w:top w:val="nil"/>
          <w:left w:val="nil"/>
          <w:bottom w:val="nil"/>
          <w:right w:val="nil"/>
          <w:between w:val="nil"/>
        </w:pBdr>
        <w:spacing w:line="360" w:lineRule="auto"/>
        <w:ind w:left="851" w:right="822"/>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t>“Artículo 17.- El Consejo está integrado de la siguiente forma:</w:t>
      </w:r>
    </w:p>
    <w:p w:rsidR="005F3D08" w:rsidRPr="00C11D42" w:rsidRDefault="005F3D08" w:rsidP="005F3D08">
      <w:pPr>
        <w:pStyle w:val="Prrafodelista"/>
        <w:numPr>
          <w:ilvl w:val="0"/>
          <w:numId w:val="10"/>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t>Un Presidente, quien será el Presidente Municipal o quien él designe;</w:t>
      </w:r>
    </w:p>
    <w:p w:rsidR="005F3D08" w:rsidRPr="00C11D42" w:rsidRDefault="005F3D08" w:rsidP="005F3D08">
      <w:pPr>
        <w:pStyle w:val="Prrafodelista"/>
        <w:numPr>
          <w:ilvl w:val="0"/>
          <w:numId w:val="10"/>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t>Un Secretario Técnico, que será el Director;</w:t>
      </w:r>
    </w:p>
    <w:p w:rsidR="005F3D08" w:rsidRPr="00C11D42" w:rsidRDefault="005F3D08" w:rsidP="005F3D08">
      <w:pPr>
        <w:pStyle w:val="Prrafodelista"/>
        <w:numPr>
          <w:ilvl w:val="0"/>
          <w:numId w:val="10"/>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t>Un representante del Ayuntamiento;</w:t>
      </w:r>
    </w:p>
    <w:p w:rsidR="005F3D08" w:rsidRPr="00C11D42" w:rsidRDefault="005F3D08" w:rsidP="005F3D08">
      <w:pPr>
        <w:pStyle w:val="Prrafodelista"/>
        <w:numPr>
          <w:ilvl w:val="0"/>
          <w:numId w:val="10"/>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lastRenderedPageBreak/>
        <w:t>Un representante de la Comisión del Agua del Estado de México;</w:t>
      </w:r>
    </w:p>
    <w:p w:rsidR="005F3D08" w:rsidRPr="00C11D42" w:rsidRDefault="005F3D08" w:rsidP="005F3D08">
      <w:pPr>
        <w:pStyle w:val="Prrafodelista"/>
        <w:numPr>
          <w:ilvl w:val="0"/>
          <w:numId w:val="10"/>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t>Un Comisario designado por el Cabildo a propuesta del Consejo; y</w:t>
      </w:r>
    </w:p>
    <w:p w:rsidR="005F3D08" w:rsidRPr="00C11D42" w:rsidRDefault="005F3D08" w:rsidP="005F3D08">
      <w:pPr>
        <w:pStyle w:val="Prrafodelista"/>
        <w:numPr>
          <w:ilvl w:val="0"/>
          <w:numId w:val="10"/>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Cs/>
          <w:i/>
          <w:color w:val="000000"/>
        </w:rPr>
      </w:pPr>
      <w:r w:rsidRPr="00C11D42">
        <w:rPr>
          <w:rFonts w:ascii="Palatino Linotype" w:eastAsia="Palatino Linotype" w:hAnsi="Palatino Linotype" w:cs="Palatino Linotype"/>
          <w:bCs/>
          <w:i/>
          <w:color w:val="000000"/>
        </w:rPr>
        <w:t xml:space="preserve">Tres vocales designados por el Ayuntamiento a propuesta del Presidente, de entre los propuestos por las organizaciones vecinales, comerciales, industriales, o de otro tipo, que sean usuarios con la mayor representatividad dentro del Municipio”. </w:t>
      </w:r>
    </w:p>
    <w:p w:rsidR="005F3D08" w:rsidRPr="00C11D42" w:rsidRDefault="005F3D08" w:rsidP="005F3D08">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bCs/>
          <w:color w:val="000000"/>
        </w:rPr>
      </w:pPr>
    </w:p>
    <w:p w:rsidR="00BB2284" w:rsidRPr="00C11D42" w:rsidRDefault="00953C7A" w:rsidP="00BB228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C11D42">
        <w:rPr>
          <w:rFonts w:ascii="Palatino Linotype" w:eastAsia="Palatino Linotype" w:hAnsi="Palatino Linotype" w:cs="Palatino Linotype"/>
          <w:bCs/>
          <w:color w:val="000000"/>
        </w:rPr>
        <w:t xml:space="preserve">De acuerdo al artículo 23, 24 y 27 del Reglamento en estudio, el Consejo celebrará cuando menos una sesión ordinaria bimestral y las extraordinarias que sean necesarias, las convocatorias a las sesiones deberán realizarse con un mínimo de 48 horas de anticipación para sesiones ordinarias y 24 horas para sesiones extraordinarias, las cuales deben incluir la propuesta del orden del día. De cada sesión que celebre el Consejo, el Secretario hará constar en un acta el nombre de los asistentes y su cargo, el orden del día, las circunstancias de modo, tiempo y lugar en que se ha celebrado, los puntos principales de las deliberaciones, así como los acuerdos tomados y el sentido de la votación. </w:t>
      </w:r>
    </w:p>
    <w:p w:rsidR="00BB2284" w:rsidRPr="00C11D42" w:rsidRDefault="00BB2284" w:rsidP="00953C7A">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5174D8" w:rsidRPr="00C11D42" w:rsidRDefault="00953C7A" w:rsidP="005174D8">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C11D42">
        <w:rPr>
          <w:rFonts w:ascii="Palatino Linotype" w:eastAsia="Palatino Linotype" w:hAnsi="Palatino Linotype" w:cs="Palatino Linotype"/>
          <w:bCs/>
          <w:color w:val="000000"/>
        </w:rPr>
        <w:t xml:space="preserve">En ese contexto, se advierte que hay fuente obligacional para que el Sujeto Obligado genere, posea o administre la información solicitada; ahora bien, el Recurrente señaló que requería información del año dos mil veinticinco y dos mil veintiséis, respecto a la </w:t>
      </w:r>
      <w:r w:rsidR="005174D8" w:rsidRPr="00C11D42">
        <w:rPr>
          <w:rFonts w:ascii="Palatino Linotype" w:eastAsia="Palatino Linotype" w:hAnsi="Palatino Linotype" w:cs="Palatino Linotype"/>
          <w:bCs/>
          <w:color w:val="000000"/>
        </w:rPr>
        <w:t xml:space="preserve">información </w:t>
      </w:r>
      <w:r w:rsidRPr="00C11D42">
        <w:rPr>
          <w:rFonts w:ascii="Palatino Linotype" w:eastAsia="Palatino Linotype" w:hAnsi="Palatino Linotype" w:cs="Palatino Linotype"/>
          <w:bCs/>
          <w:color w:val="000000"/>
        </w:rPr>
        <w:t xml:space="preserve">de dos mil veintiséis, </w:t>
      </w:r>
      <w:r w:rsidR="005174D8" w:rsidRPr="00C11D42">
        <w:rPr>
          <w:rFonts w:ascii="Palatino Linotype" w:eastAsia="Palatino Linotype" w:hAnsi="Palatino Linotype" w:cs="Palatino Linotype"/>
          <w:bCs/>
          <w:color w:val="000000"/>
        </w:rPr>
        <w:t>se debe ordenar</w:t>
      </w:r>
      <w:r w:rsidRPr="00C11D42">
        <w:rPr>
          <w:rFonts w:ascii="Palatino Linotype" w:eastAsia="Palatino Linotype" w:hAnsi="Palatino Linotype" w:cs="Palatino Linotype"/>
          <w:bCs/>
          <w:color w:val="000000"/>
        </w:rPr>
        <w:t xml:space="preserve"> a la fecha de la solicitud, es decir, del primero al veintinueve de </w:t>
      </w:r>
      <w:r w:rsidR="005174D8" w:rsidRPr="00C11D42">
        <w:rPr>
          <w:rFonts w:ascii="Palatino Linotype" w:eastAsia="Palatino Linotype" w:hAnsi="Palatino Linotype" w:cs="Palatino Linotype"/>
          <w:bCs/>
          <w:color w:val="000000"/>
        </w:rPr>
        <w:t>enero</w:t>
      </w:r>
      <w:r w:rsidRPr="00C11D42">
        <w:rPr>
          <w:rFonts w:ascii="Palatino Linotype" w:eastAsia="Palatino Linotype" w:hAnsi="Palatino Linotype" w:cs="Palatino Linotype"/>
          <w:bCs/>
          <w:color w:val="000000"/>
        </w:rPr>
        <w:t xml:space="preserve"> de dos mil veintiséis</w:t>
      </w:r>
      <w:r w:rsidR="005174D8" w:rsidRPr="00C11D42">
        <w:rPr>
          <w:rFonts w:ascii="Palatino Linotype" w:eastAsia="Palatino Linotype" w:hAnsi="Palatino Linotype" w:cs="Palatino Linotype"/>
          <w:bCs/>
          <w:color w:val="000000"/>
        </w:rPr>
        <w:t xml:space="preserve">, ya que no se puede ordenar información del resto del año por tratarse de hechos futuros, </w:t>
      </w:r>
      <w:r w:rsidR="005174D8" w:rsidRPr="00C11D42">
        <w:rPr>
          <w:rFonts w:ascii="Palatino Linotype" w:eastAsia="MS Gothic" w:hAnsi="Palatino Linotype" w:cstheme="majorBidi"/>
          <w:iCs/>
          <w:lang w:val="es-ES" w:eastAsia="es-ES"/>
        </w:rPr>
        <w:t xml:space="preserve">pues son documentos que a la fecha de la solicitud no se han generado, </w:t>
      </w:r>
      <w:r w:rsidR="005174D8" w:rsidRPr="00C11D42">
        <w:rPr>
          <w:rFonts w:ascii="Palatino Linotype" w:hAnsi="Palatino Linotype"/>
          <w:color w:val="000000"/>
        </w:rPr>
        <w:t>sirve como referencia la Jurisprudencia emitida por la Suprema Corte de Justicia de la Nación, que es del texto y rubro siguiente:</w:t>
      </w:r>
    </w:p>
    <w:p w:rsidR="005174D8" w:rsidRPr="00C11D42" w:rsidRDefault="005174D8" w:rsidP="005174D8">
      <w:pPr>
        <w:pStyle w:val="Prrafodelista"/>
        <w:autoSpaceDE w:val="0"/>
        <w:autoSpaceDN w:val="0"/>
        <w:adjustRightInd w:val="0"/>
        <w:spacing w:after="120" w:line="276" w:lineRule="auto"/>
        <w:ind w:left="851" w:right="900"/>
        <w:jc w:val="both"/>
        <w:rPr>
          <w:rFonts w:ascii="Palatino Linotype" w:hAnsi="Palatino Linotype"/>
          <w:i/>
        </w:rPr>
      </w:pPr>
      <w:r w:rsidRPr="00C11D42">
        <w:rPr>
          <w:rFonts w:ascii="Palatino Linotype" w:hAnsi="Palatino Linotype"/>
          <w:b/>
          <w:i/>
          <w:color w:val="000000"/>
        </w:rPr>
        <w:lastRenderedPageBreak/>
        <w:t>“</w:t>
      </w:r>
      <w:r w:rsidRPr="00C11D42">
        <w:rPr>
          <w:rFonts w:ascii="Palatino Linotype" w:hAnsi="Palatino Linotype"/>
          <w:b/>
          <w:i/>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C11D42">
        <w:rPr>
          <w:rFonts w:ascii="Palatino Linotype" w:hAnsi="Palatino Linotype"/>
          <w:i/>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precepto legal relacionado con la fracción XVIII de este numeral.</w:t>
      </w:r>
      <w:r w:rsidRPr="00C11D42">
        <w:rPr>
          <w:rFonts w:ascii="Palatino Linotype" w:hAnsi="Palatino Linotype" w:cs="Arial"/>
          <w:i/>
        </w:rPr>
        <w:t xml:space="preserve">No obstante, en términos del </w:t>
      </w:r>
      <w:r w:rsidRPr="00C11D42">
        <w:rPr>
          <w:rFonts w:ascii="Palatino Linotype" w:hAnsi="Palatino Linotype"/>
          <w:i/>
        </w:rPr>
        <w:t xml:space="preserve">artículo 6 de la Constitución Política de los Estados Unidos Mexicanos, toda persona sin necesidad de acreditar interés alguno, tendrá acceso gratuito a la información pública </w:t>
      </w:r>
      <w:r w:rsidRPr="00C11D42">
        <w:rPr>
          <w:rFonts w:ascii="Palatino Linotype" w:hAnsi="Palatino Linotype"/>
          <w:b/>
          <w:i/>
        </w:rPr>
        <w:t>en posesión</w:t>
      </w:r>
      <w:r w:rsidRPr="00C11D42">
        <w:rPr>
          <w:rFonts w:ascii="Palatino Linotype" w:hAnsi="Palatino Linotype"/>
          <w:i/>
        </w:rPr>
        <w:t xml:space="preserve"> de cualquier autoridad, entidad, órgano y organismo federal, estatal y municipal, la cual sólo podrá ser reservada temporalmente </w:t>
      </w:r>
      <w:r w:rsidRPr="00C11D42">
        <w:rPr>
          <w:rFonts w:ascii="Palatino Linotype" w:hAnsi="Palatino Linotype"/>
          <w:i/>
        </w:rPr>
        <w:lastRenderedPageBreak/>
        <w:t>por razones de interés público en los términos que fijen las leyes, debiendo prevalecer en la interpretación del derecho el principio de máxima publicidad, de ahí que los sujetos obligados deban conservar sus documentos en archivos administrados actualizados.”</w:t>
      </w:r>
    </w:p>
    <w:p w:rsidR="005174D8" w:rsidRPr="00C11D42" w:rsidRDefault="005174D8" w:rsidP="005174D8">
      <w:pPr>
        <w:pStyle w:val="Prrafodelista"/>
        <w:spacing w:line="276" w:lineRule="auto"/>
        <w:ind w:left="0"/>
        <w:jc w:val="both"/>
        <w:rPr>
          <w:rFonts w:ascii="Palatino Linotype" w:hAnsi="Palatino Linotype"/>
          <w:i/>
        </w:rPr>
      </w:pPr>
    </w:p>
    <w:p w:rsidR="005174D8" w:rsidRPr="00C11D42" w:rsidRDefault="005174D8" w:rsidP="005174D8">
      <w:pPr>
        <w:pStyle w:val="Prrafodelista"/>
        <w:numPr>
          <w:ilvl w:val="0"/>
          <w:numId w:val="3"/>
        </w:numPr>
        <w:spacing w:line="360" w:lineRule="auto"/>
        <w:ind w:left="0" w:firstLine="0"/>
        <w:jc w:val="both"/>
        <w:rPr>
          <w:rFonts w:ascii="Palatino Linotype" w:hAnsi="Palatino Linotype" w:cs="Arial"/>
        </w:rPr>
      </w:pPr>
      <w:r w:rsidRPr="00C11D42">
        <w:rPr>
          <w:rFonts w:ascii="Palatino Linotype" w:hAnsi="Palatino Linotype" w:cs="Arial"/>
        </w:rPr>
        <w:t xml:space="preserve">Robustecen lo anterior </w:t>
      </w:r>
      <w:r w:rsidRPr="00C11D42">
        <w:rPr>
          <w:rFonts w:ascii="Palatino Linotype" w:eastAsia="Palatino Linotype" w:hAnsi="Palatino Linotype" w:cs="Palatino Linotype"/>
          <w:color w:val="000000"/>
        </w:rPr>
        <w:t>los Criterios 1/2010 y 2/2010,  emitidos por el “Comité de Acceso a la Información y Protección de Datos personales” de la Suprema Corte de Justicia de la Nación, que disponen: </w:t>
      </w:r>
    </w:p>
    <w:p w:rsidR="005174D8" w:rsidRPr="00C11D42" w:rsidRDefault="005174D8" w:rsidP="005174D8">
      <w:pPr>
        <w:pBdr>
          <w:top w:val="nil"/>
          <w:left w:val="nil"/>
          <w:bottom w:val="nil"/>
          <w:right w:val="nil"/>
          <w:between w:val="nil"/>
        </w:pBdr>
        <w:spacing w:line="276" w:lineRule="auto"/>
        <w:ind w:left="851" w:right="900"/>
        <w:rPr>
          <w:color w:val="000000"/>
        </w:rPr>
      </w:pPr>
      <w:r w:rsidRPr="00C11D42">
        <w:rPr>
          <w:rFonts w:ascii="Palatino Linotype" w:eastAsia="Palatino Linotype" w:hAnsi="Palatino Linotype" w:cs="Palatino Linotype"/>
          <w:i/>
          <w:color w:val="000000"/>
        </w:rPr>
        <w:t> “</w:t>
      </w:r>
      <w:r w:rsidRPr="00C11D42">
        <w:rPr>
          <w:rFonts w:ascii="Palatino Linotype" w:eastAsia="Palatino Linotype" w:hAnsi="Palatino Linotype" w:cs="Palatino Linotype"/>
          <w:b/>
          <w:i/>
          <w:color w:val="000000"/>
        </w:rPr>
        <w:t>Criterio 1/2010</w:t>
      </w:r>
    </w:p>
    <w:p w:rsidR="005174D8" w:rsidRPr="00C11D42" w:rsidRDefault="005174D8" w:rsidP="005174D8">
      <w:pPr>
        <w:pBdr>
          <w:top w:val="nil"/>
          <w:left w:val="nil"/>
          <w:bottom w:val="nil"/>
          <w:right w:val="nil"/>
          <w:between w:val="nil"/>
        </w:pBdr>
        <w:spacing w:line="276" w:lineRule="auto"/>
        <w:ind w:left="851" w:right="900"/>
        <w:jc w:val="both"/>
        <w:rPr>
          <w:color w:val="000000"/>
        </w:rPr>
      </w:pPr>
      <w:r w:rsidRPr="00C11D42">
        <w:rPr>
          <w:rFonts w:ascii="Palatino Linotype" w:eastAsia="Palatino Linotype" w:hAnsi="Palatino Linotype" w:cs="Palatino Linotype"/>
          <w:b/>
          <w:i/>
          <w:color w:val="000000"/>
        </w:rPr>
        <w:t>SOLICITUD DE ACCESO A LA INFORMACIÓN. SU OTORGAMIENTO ES RESPECTO DE AQUELLA QUE EXISTA Y SE HUBIESE GENERADO AL MOMENTO DE LA PETICIÓN.</w:t>
      </w:r>
    </w:p>
    <w:p w:rsidR="005174D8" w:rsidRPr="00C11D42" w:rsidRDefault="005174D8" w:rsidP="005174D8">
      <w:pPr>
        <w:pBdr>
          <w:top w:val="nil"/>
          <w:left w:val="nil"/>
          <w:bottom w:val="nil"/>
          <w:right w:val="nil"/>
          <w:between w:val="nil"/>
        </w:pBdr>
        <w:spacing w:line="276" w:lineRule="auto"/>
        <w:ind w:left="851" w:right="900"/>
        <w:jc w:val="both"/>
        <w:rPr>
          <w:color w:val="000000"/>
        </w:rPr>
      </w:pPr>
      <w:r w:rsidRPr="00C11D42">
        <w:rPr>
          <w:rFonts w:ascii="Palatino Linotype" w:eastAsia="Palatino Linotype" w:hAnsi="Palatino Linotype" w:cs="Palatino Linotype"/>
          <w:b/>
          <w:i/>
          <w:color w:val="000000"/>
        </w:rPr>
        <w:t>El otorgamiento de la información procede respecto de aquella que sea existente y se encuentre en posesión del órgano de Estado, al momento de la solicitud</w:t>
      </w:r>
      <w:r w:rsidRPr="00C11D42">
        <w:rPr>
          <w:rFonts w:ascii="Palatino Linotype" w:eastAsia="Palatino Linotype" w:hAnsi="Palatino Linotype" w:cs="Palatino Linotype"/>
          <w:i/>
          <w:color w:val="000000"/>
        </w:rPr>
        <w:t xml:space="preserve">; por lo que </w:t>
      </w:r>
      <w:r w:rsidRPr="00C11D42">
        <w:rPr>
          <w:rFonts w:ascii="Palatino Linotype" w:eastAsia="Palatino Linotype" w:hAnsi="Palatino Linotype" w:cs="Palatino Linotype"/>
          <w:b/>
          <w:i/>
          <w:color w:val="000000"/>
        </w:rPr>
        <w:t>resulta inconducente otorgar la que se genere en fecha futura</w:t>
      </w:r>
      <w:r w:rsidRPr="00C11D42">
        <w:rPr>
          <w:rFonts w:ascii="Palatino Linotype" w:eastAsia="Palatino Linotype" w:hAnsi="Palatino Linotype" w:cs="Palatino Linotype"/>
          <w:i/>
          <w:color w:val="000000"/>
        </w:rPr>
        <w:t>, en tanto ningún órgano de Estado puede verse vinculado en el otorgamiento de información de tal naturaleza, al tenor del artículo 6° constitucional, que dispone que la garantía del acceso a la información lo es respecto de aquella que se encuentre en posesión de cualquier autoridad, entidad, órgano y organismo federal, estatal y municipal, principio que se reitera en el artículo 1° de la Ley Federal de Transparencia y Acceso a la Información Pública Gubernamental.</w:t>
      </w:r>
    </w:p>
    <w:p w:rsidR="005174D8" w:rsidRPr="00C11D42" w:rsidRDefault="005174D8" w:rsidP="005174D8">
      <w:pPr>
        <w:pBdr>
          <w:top w:val="nil"/>
          <w:left w:val="nil"/>
          <w:bottom w:val="nil"/>
          <w:right w:val="nil"/>
          <w:between w:val="nil"/>
        </w:pBdr>
        <w:spacing w:line="276" w:lineRule="auto"/>
        <w:ind w:left="851" w:right="900"/>
        <w:jc w:val="both"/>
        <w:rPr>
          <w:color w:val="000000"/>
        </w:rPr>
      </w:pPr>
      <w:r w:rsidRPr="00C11D42">
        <w:rPr>
          <w:rFonts w:ascii="Palatino Linotype" w:eastAsia="Palatino Linotype" w:hAnsi="Palatino Linotype" w:cs="Palatino Linotype"/>
          <w:i/>
          <w:color w:val="000000"/>
        </w:rPr>
        <w:t>Clasificación de Información 69/2009-A. 30 de septiembre de 2009. Unanimidad de votos.”</w:t>
      </w:r>
    </w:p>
    <w:p w:rsidR="005174D8" w:rsidRPr="00C11D42" w:rsidRDefault="005174D8" w:rsidP="005174D8">
      <w:pPr>
        <w:pBdr>
          <w:top w:val="nil"/>
          <w:left w:val="nil"/>
          <w:bottom w:val="nil"/>
          <w:right w:val="nil"/>
          <w:between w:val="nil"/>
        </w:pBdr>
        <w:spacing w:line="276" w:lineRule="auto"/>
        <w:ind w:left="851" w:right="900"/>
        <w:rPr>
          <w:color w:val="000000"/>
        </w:rPr>
      </w:pPr>
      <w:r w:rsidRPr="00C11D42">
        <w:rPr>
          <w:rFonts w:ascii="Palatino Linotype" w:eastAsia="Palatino Linotype" w:hAnsi="Palatino Linotype" w:cs="Palatino Linotype"/>
          <w:i/>
          <w:color w:val="000000"/>
        </w:rPr>
        <w:t>“</w:t>
      </w:r>
      <w:r w:rsidRPr="00C11D42">
        <w:rPr>
          <w:rFonts w:ascii="Palatino Linotype" w:eastAsia="Palatino Linotype" w:hAnsi="Palatino Linotype" w:cs="Palatino Linotype"/>
          <w:b/>
          <w:i/>
          <w:color w:val="000000"/>
        </w:rPr>
        <w:t>Criterio 2/2010.</w:t>
      </w:r>
    </w:p>
    <w:p w:rsidR="005174D8" w:rsidRPr="00C11D42" w:rsidRDefault="005174D8" w:rsidP="005174D8">
      <w:pPr>
        <w:pBdr>
          <w:top w:val="nil"/>
          <w:left w:val="nil"/>
          <w:bottom w:val="nil"/>
          <w:right w:val="nil"/>
          <w:between w:val="nil"/>
        </w:pBdr>
        <w:spacing w:line="276" w:lineRule="auto"/>
        <w:ind w:left="851" w:right="900"/>
        <w:jc w:val="both"/>
        <w:rPr>
          <w:color w:val="000000"/>
        </w:rPr>
      </w:pPr>
      <w:r w:rsidRPr="00C11D42">
        <w:rPr>
          <w:rFonts w:ascii="Palatino Linotype" w:eastAsia="Palatino Linotype" w:hAnsi="Palatino Linotype" w:cs="Palatino Linotype"/>
          <w:b/>
          <w:i/>
          <w:color w:val="000000"/>
        </w:rPr>
        <w:t>SOLICITUD DE ACCESO A LA INFORMACIÓN. ES MATERIA DE ANÁLISIS Y OTORGAMIENTO LA GENERADA HASTA LA FECHA DE LA SOLICITUD EN CASO DE IMPRECISIÓN TEMPORAL. </w:t>
      </w:r>
    </w:p>
    <w:p w:rsidR="005174D8" w:rsidRPr="00C11D42" w:rsidRDefault="005174D8" w:rsidP="005174D8">
      <w:pPr>
        <w:pBdr>
          <w:top w:val="nil"/>
          <w:left w:val="nil"/>
          <w:bottom w:val="nil"/>
          <w:right w:val="nil"/>
          <w:between w:val="nil"/>
        </w:pBdr>
        <w:spacing w:line="276" w:lineRule="auto"/>
        <w:ind w:left="851" w:right="900"/>
        <w:jc w:val="both"/>
        <w:rPr>
          <w:color w:val="000000"/>
        </w:rPr>
      </w:pPr>
      <w:r w:rsidRPr="00C11D42">
        <w:rPr>
          <w:rFonts w:ascii="Palatino Linotype" w:eastAsia="Palatino Linotype" w:hAnsi="Palatino Linotype" w:cs="Palatino Linotype"/>
          <w:i/>
          <w:color w:val="000000"/>
        </w:rPr>
        <w:t xml:space="preserve">La información que en todo caso debe ser materia de análisis y pronunciamiento sobre su naturaleza, disponibilidad y acceso, es aquélla que en términos del artículo 6° </w:t>
      </w:r>
      <w:r w:rsidRPr="00C11D42">
        <w:rPr>
          <w:rFonts w:ascii="Palatino Linotype" w:eastAsia="Palatino Linotype" w:hAnsi="Palatino Linotype" w:cs="Palatino Linotype"/>
          <w:i/>
          <w:color w:val="000000"/>
        </w:rPr>
        <w:lastRenderedPageBreak/>
        <w:t>constitucional y 1° de la Ley Federal de Transparencia y Acceso a la Información Pública Gubernamental, se encuentre en posesión de este Alto Tribunal; es decir, se hubiese ya generado y sea existente al momento del planteamiento de solicitud de acceso. Por ello, en caso de que se solicite información sin que se precise el término temporal, deberá entenderse que es aquella que se hubiese generado y se tenga en posesión al día de la fecha de la solicitud de acceso correspondiente.</w:t>
      </w:r>
    </w:p>
    <w:p w:rsidR="005174D8" w:rsidRPr="00C11D42" w:rsidRDefault="005174D8" w:rsidP="005174D8">
      <w:pPr>
        <w:pBdr>
          <w:top w:val="nil"/>
          <w:left w:val="nil"/>
          <w:bottom w:val="nil"/>
          <w:right w:val="nil"/>
          <w:between w:val="nil"/>
        </w:pBdr>
        <w:spacing w:line="276" w:lineRule="auto"/>
        <w:ind w:left="851" w:right="900"/>
        <w:jc w:val="both"/>
        <w:rPr>
          <w:color w:val="000000"/>
        </w:rPr>
      </w:pPr>
      <w:r w:rsidRPr="00C11D42">
        <w:rPr>
          <w:rFonts w:ascii="Palatino Linotype" w:eastAsia="Palatino Linotype" w:hAnsi="Palatino Linotype" w:cs="Palatino Linotype"/>
          <w:i/>
          <w:color w:val="000000"/>
        </w:rPr>
        <w:t>Clasificación de Información 69/2009-A. 30 de septiembre de 2009. Unanimidad de votos.”(Sic)</w:t>
      </w:r>
    </w:p>
    <w:p w:rsidR="005174D8" w:rsidRPr="00C11D42" w:rsidRDefault="005174D8" w:rsidP="005174D8">
      <w:pPr>
        <w:pStyle w:val="Prrafodelista"/>
        <w:tabs>
          <w:tab w:val="left" w:pos="0"/>
        </w:tabs>
        <w:spacing w:line="360" w:lineRule="auto"/>
        <w:ind w:left="0" w:right="51"/>
        <w:jc w:val="both"/>
        <w:rPr>
          <w:rFonts w:ascii="Palatino Linotype" w:eastAsia="Calibri" w:hAnsi="Palatino Linotype"/>
        </w:rPr>
      </w:pPr>
    </w:p>
    <w:p w:rsidR="005174D8" w:rsidRPr="00C11D42" w:rsidRDefault="005174D8" w:rsidP="00CF70F9">
      <w:pPr>
        <w:pStyle w:val="Prrafodelista"/>
        <w:numPr>
          <w:ilvl w:val="0"/>
          <w:numId w:val="3"/>
        </w:numPr>
        <w:spacing w:line="360" w:lineRule="auto"/>
        <w:ind w:left="0" w:right="49" w:firstLine="0"/>
        <w:jc w:val="both"/>
        <w:rPr>
          <w:rFonts w:ascii="Palatino Linotype" w:eastAsia="Calibri" w:hAnsi="Palatino Linotype"/>
        </w:rPr>
      </w:pPr>
      <w:r w:rsidRPr="00C11D42">
        <w:rPr>
          <w:rFonts w:ascii="Palatino Linotype" w:eastAsia="Calibri" w:hAnsi="Palatino Linotype"/>
        </w:rPr>
        <w:t xml:space="preserve">Por lo tanto, no es procedente ordenar </w:t>
      </w:r>
      <w:r w:rsidR="00D441F5" w:rsidRPr="00C11D42">
        <w:rPr>
          <w:rFonts w:ascii="Palatino Linotype" w:eastAsia="Calibri" w:hAnsi="Palatino Linotype"/>
        </w:rPr>
        <w:t>información de todo el año dos mil veintiséis pues</w:t>
      </w:r>
      <w:r w:rsidRPr="00C11D42">
        <w:rPr>
          <w:rFonts w:ascii="Palatino Linotype" w:eastAsia="Calibri" w:hAnsi="Palatino Linotype"/>
        </w:rPr>
        <w:t xml:space="preserve"> se trat</w:t>
      </w:r>
      <w:r w:rsidR="00D441F5" w:rsidRPr="00C11D42">
        <w:rPr>
          <w:rFonts w:ascii="Palatino Linotype" w:eastAsia="Calibri" w:hAnsi="Palatino Linotype"/>
        </w:rPr>
        <w:t>a de hechos futuros e inciertos.</w:t>
      </w:r>
    </w:p>
    <w:p w:rsidR="00BB2284" w:rsidRPr="00C11D42" w:rsidRDefault="00BB2284" w:rsidP="00D441F5">
      <w:pPr>
        <w:pBdr>
          <w:top w:val="nil"/>
          <w:left w:val="nil"/>
          <w:bottom w:val="nil"/>
          <w:right w:val="nil"/>
          <w:between w:val="nil"/>
        </w:pBdr>
        <w:spacing w:line="360" w:lineRule="auto"/>
        <w:jc w:val="both"/>
        <w:rPr>
          <w:rFonts w:ascii="Palatino Linotype" w:eastAsia="Palatino Linotype" w:hAnsi="Palatino Linotype" w:cs="Palatino Linotype"/>
          <w:bCs/>
          <w:color w:val="000000"/>
        </w:rPr>
      </w:pPr>
    </w:p>
    <w:p w:rsidR="00D441F5" w:rsidRPr="00C11D42" w:rsidRDefault="00D441F5" w:rsidP="00D441F5">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C11D42">
        <w:rPr>
          <w:rFonts w:ascii="Palatino Linotype" w:eastAsia="Palatino Linotype" w:hAnsi="Palatino Linotype" w:cs="Palatino Linotype"/>
          <w:bCs/>
          <w:color w:val="000000"/>
        </w:rPr>
        <w:t>Ahora bien, n</w:t>
      </w:r>
      <w:r w:rsidRPr="00C11D42">
        <w:rPr>
          <w:rFonts w:ascii="Palatino Linotype" w:eastAsia="Calibri" w:hAnsi="Palatino Linotype" w:cs="Arial"/>
        </w:rPr>
        <w:t xml:space="preserve">o debemos perder de vista que, el derecho de acceso a la información es </w:t>
      </w:r>
      <w:r w:rsidRPr="00C11D42">
        <w:rPr>
          <w:rFonts w:ascii="Palatino Linotype" w:hAnsi="Palatino Linotype" w:cs="Arial"/>
          <w:color w:val="000000" w:themeColor="text1"/>
        </w:rPr>
        <w:t xml:space="preserve">la </w:t>
      </w:r>
      <w:r w:rsidRPr="00C11D42">
        <w:rPr>
          <w:rFonts w:ascii="Palatino Linotype" w:eastAsia="MS Mincho" w:hAnsi="Palatino Linotype"/>
          <w:i/>
        </w:rPr>
        <w:t>igualdad de oportunidades para recibir, buscar e impartir información</w:t>
      </w:r>
      <w:r w:rsidRPr="00C11D42">
        <w:rPr>
          <w:rStyle w:val="Refdenotaalpie"/>
          <w:rFonts w:ascii="Palatino Linotype" w:eastAsia="MS Mincho" w:hAnsi="Palatino Linotype"/>
          <w:i/>
        </w:rPr>
        <w:footnoteReference w:id="1"/>
      </w:r>
      <w:r w:rsidRPr="00C11D42">
        <w:rPr>
          <w:rFonts w:ascii="Palatino Linotype" w:eastAsia="MS Mincho" w:hAnsi="Palatino Linotype"/>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C11D42">
        <w:rPr>
          <w:rStyle w:val="Refdenotaalpie"/>
          <w:rFonts w:ascii="Palatino Linotype" w:eastAsia="MS Mincho" w:hAnsi="Palatino Linotype"/>
        </w:rPr>
        <w:footnoteReference w:id="2"/>
      </w:r>
      <w:r w:rsidRPr="00C11D42">
        <w:rPr>
          <w:rFonts w:ascii="Palatino Linotype" w:eastAsia="MS Mincho" w:hAnsi="Palatino Linotype"/>
          <w:i/>
        </w:rPr>
        <w:t xml:space="preserve"> </w:t>
      </w:r>
      <w:r w:rsidRPr="00C11D42">
        <w:rPr>
          <w:rFonts w:ascii="Palatino Linotype" w:eastAsia="MS Mincho" w:hAnsi="Palatino Linotype"/>
        </w:rPr>
        <w:t xml:space="preserve">que se constituye como una herramienta fundamental para </w:t>
      </w:r>
      <w:r w:rsidRPr="00C11D42">
        <w:rPr>
          <w:rFonts w:ascii="Palatino Linotype" w:eastAsia="MS Mincho" w:hAnsi="Palatino Linotype"/>
          <w:i/>
        </w:rPr>
        <w:t>ejercer control democrático de las gestiones estatales, de forma tal que puedan cuestionar, indagar y considerar si se está dando un adecuado cumplimiento de las funciones públicas,</w:t>
      </w:r>
      <w:r w:rsidRPr="00C11D42">
        <w:rPr>
          <w:rStyle w:val="Refdenotaalpie"/>
          <w:rFonts w:ascii="Palatino Linotype" w:eastAsia="MS Mincho" w:hAnsi="Palatino Linotype"/>
          <w:i/>
        </w:rPr>
        <w:footnoteReference w:id="3"/>
      </w:r>
      <w:r w:rsidRPr="00C11D42">
        <w:rPr>
          <w:rFonts w:ascii="Palatino Linotype" w:eastAsia="MS Mincho" w:hAnsi="Palatino Linotype"/>
        </w:rPr>
        <w:t>fomentando</w:t>
      </w:r>
      <w:r w:rsidRPr="00C11D42">
        <w:rPr>
          <w:rFonts w:ascii="Palatino Linotype" w:eastAsia="MS Mincho" w:hAnsi="Palatino Linotype"/>
          <w:i/>
        </w:rPr>
        <w:t xml:space="preserve"> la transparencia de las actividades estatales y</w:t>
      </w:r>
      <w:r w:rsidRPr="00C11D42">
        <w:rPr>
          <w:rFonts w:ascii="Palatino Linotype" w:eastAsia="MS Mincho" w:hAnsi="Palatino Linotype"/>
        </w:rPr>
        <w:t xml:space="preserve"> promoviendo</w:t>
      </w:r>
      <w:r w:rsidRPr="00C11D42">
        <w:rPr>
          <w:rFonts w:ascii="Palatino Linotype" w:eastAsia="MS Mincho" w:hAnsi="Palatino Linotype"/>
          <w:i/>
        </w:rPr>
        <w:t xml:space="preserve"> la responsabilidad de los funcionarios sobre su gestión pública</w:t>
      </w:r>
      <w:r w:rsidRPr="00C11D42">
        <w:rPr>
          <w:rStyle w:val="Refdenotaalpie"/>
          <w:rFonts w:ascii="Palatino Linotype" w:eastAsia="MS Mincho" w:hAnsi="Palatino Linotype"/>
          <w:i/>
        </w:rPr>
        <w:footnoteReference w:id="4"/>
      </w:r>
      <w:r w:rsidRPr="00C11D42">
        <w:rPr>
          <w:rFonts w:ascii="Palatino Linotype" w:eastAsia="MS Mincho" w:hAnsi="Palatino Linotype"/>
          <w:i/>
        </w:rPr>
        <w:t xml:space="preserve"> </w:t>
      </w:r>
      <w:r w:rsidRPr="00C11D42">
        <w:rPr>
          <w:rFonts w:ascii="Palatino Linotype" w:eastAsia="MS Mincho" w:hAnsi="Palatino Linotype"/>
        </w:rPr>
        <w:lastRenderedPageBreak/>
        <w:t>que permite</w:t>
      </w:r>
      <w:r w:rsidRPr="00C11D42">
        <w:rPr>
          <w:rFonts w:ascii="Palatino Linotype" w:eastAsia="MS Mincho" w:hAnsi="Palatino Linotype"/>
          <w:i/>
        </w:rPr>
        <w:t xml:space="preserve"> saber qué están haciendo los gobiernos por sus pueblos, sin lo cual la verdad languidecería y la participación en el gobierno permanecería fragmentada.</w:t>
      </w:r>
      <w:r w:rsidRPr="00C11D42">
        <w:rPr>
          <w:rStyle w:val="Refdenotaalpie"/>
          <w:rFonts w:ascii="Palatino Linotype" w:eastAsia="MS Mincho" w:hAnsi="Palatino Linotype"/>
          <w:i/>
        </w:rPr>
        <w:footnoteReference w:id="5"/>
      </w:r>
      <w:r w:rsidRPr="00C11D42">
        <w:rPr>
          <w:rFonts w:ascii="Palatino Linotype" w:eastAsia="MS Mincho" w:hAnsi="Palatino Linotype"/>
        </w:rPr>
        <w:t xml:space="preserve"> ”</w:t>
      </w:r>
    </w:p>
    <w:p w:rsidR="00D441F5" w:rsidRPr="00C11D42" w:rsidRDefault="00D441F5" w:rsidP="00D441F5">
      <w:pPr>
        <w:pStyle w:val="Prrafodelista"/>
        <w:rPr>
          <w:rFonts w:ascii="Palatino Linotype" w:eastAsia="Calibri" w:hAnsi="Palatino Linotype" w:cs="Arial"/>
        </w:rPr>
      </w:pPr>
    </w:p>
    <w:p w:rsidR="00D441F5" w:rsidRPr="00C11D42" w:rsidRDefault="00D441F5" w:rsidP="00D441F5">
      <w:pPr>
        <w:pStyle w:val="Prrafodelista"/>
        <w:numPr>
          <w:ilvl w:val="0"/>
          <w:numId w:val="3"/>
        </w:numPr>
        <w:spacing w:line="360" w:lineRule="auto"/>
        <w:ind w:left="0" w:firstLine="0"/>
        <w:jc w:val="both"/>
        <w:rPr>
          <w:rFonts w:ascii="Palatino Linotype" w:eastAsia="Calibri" w:hAnsi="Palatino Linotype" w:cs="Arial"/>
        </w:rPr>
      </w:pPr>
      <w:r w:rsidRPr="00C11D42">
        <w:rPr>
          <w:rFonts w:ascii="Palatino Linotype" w:eastAsia="Calibri" w:hAnsi="Palatino Linotype" w:cs="Arial"/>
        </w:rPr>
        <w:t>E</w:t>
      </w:r>
      <w:r w:rsidRPr="00C11D42">
        <w:rPr>
          <w:rFonts w:ascii="Palatino Linotype" w:eastAsia="MS Mincho" w:hAnsi="Palatino Linotype"/>
        </w:rPr>
        <w:t xml:space="preserve">l acceso a la información es un derecho humano constitucional y convencionalmente reconocido y para tal efecto </w:t>
      </w:r>
      <w:r w:rsidRPr="00C11D42">
        <w:rPr>
          <w:rFonts w:ascii="Palatino Linotype" w:eastAsia="Calibri" w:hAnsi="Palatino Linotype"/>
          <w:lang w:val="es-ES"/>
        </w:rPr>
        <w:t xml:space="preserve">el párrafo tercero del artículo primero de la Constitución Política de los Estados Unidos Mexicanos establece el deber de todas las autoridades, </w:t>
      </w:r>
      <w:r w:rsidRPr="00C11D42">
        <w:rPr>
          <w:rFonts w:ascii="Palatino Linotype" w:eastAsia="Calibri" w:hAnsi="Palatino Linotype"/>
          <w:i/>
          <w:lang w:val="es-ES"/>
        </w:rPr>
        <w:t xml:space="preserve">en el ámbito de sus atribuciones, de promover, respetar, proteger y </w:t>
      </w:r>
      <w:r w:rsidRPr="00C11D42">
        <w:rPr>
          <w:rFonts w:ascii="Palatino Linotype" w:eastAsia="Calibri" w:hAnsi="Palatino Linotype"/>
          <w:b/>
          <w:i/>
          <w:lang w:val="es-ES"/>
        </w:rPr>
        <w:t>garantizar</w:t>
      </w:r>
      <w:r w:rsidRPr="00C11D42">
        <w:rPr>
          <w:rFonts w:ascii="Palatino Linotype" w:eastAsia="Calibri" w:hAnsi="Palatino Linotype"/>
          <w:i/>
          <w:lang w:val="es-ES"/>
        </w:rPr>
        <w:t xml:space="preserve"> los derechos humanos. </w:t>
      </w:r>
      <w:r w:rsidRPr="00C11D42">
        <w:rPr>
          <w:rFonts w:ascii="Palatino Linotype" w:eastAsia="Calibri" w:hAnsi="Palatino Linotype"/>
          <w:lang w:val="es-ES"/>
        </w:rPr>
        <w:t>En cuanto al derecho de acceso a la información, la Ley de Transparencia y Acceso a la Información Pública del Estado de México y Municipios prevé establece que</w:t>
      </w:r>
      <w:r w:rsidRPr="00C11D42">
        <w:rPr>
          <w:rFonts w:ascii="Palatino Linotype" w:eastAsia="Calibri" w:hAnsi="Palatino Linotype"/>
          <w:b/>
          <w:i/>
          <w:lang w:val="es-ES"/>
        </w:rPr>
        <w:t xml:space="preserve"> e</w:t>
      </w:r>
      <w:r w:rsidRPr="00C11D42">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C11D42">
        <w:rPr>
          <w:rStyle w:val="Refdenotaalpie"/>
          <w:rFonts w:ascii="Palatino Linotype" w:hAnsi="Palatino Linotype"/>
          <w:i/>
        </w:rPr>
        <w:footnoteReference w:id="6"/>
      </w:r>
      <w:r w:rsidRPr="00C11D42">
        <w:rPr>
          <w:rFonts w:ascii="Palatino Linotype" w:hAnsi="Palatino Linotype"/>
          <w:i/>
        </w:rPr>
        <w:t xml:space="preserve">, </w:t>
      </w:r>
      <w:r w:rsidRPr="00C11D42">
        <w:rPr>
          <w:rFonts w:ascii="Palatino Linotype" w:hAnsi="Palatino Linotype"/>
        </w:rPr>
        <w:t>asimismo establece</w:t>
      </w:r>
      <w:r w:rsidRPr="00C11D42">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D441F5" w:rsidRPr="00C11D42" w:rsidRDefault="00D441F5" w:rsidP="00D441F5">
      <w:pPr>
        <w:pStyle w:val="Prrafodelista"/>
        <w:spacing w:line="360" w:lineRule="auto"/>
        <w:ind w:left="0"/>
        <w:jc w:val="both"/>
        <w:rPr>
          <w:rFonts w:ascii="Palatino Linotype" w:eastAsia="Calibri" w:hAnsi="Palatino Linotype" w:cs="Arial"/>
        </w:rPr>
      </w:pPr>
    </w:p>
    <w:p w:rsidR="00D441F5" w:rsidRPr="00C11D42" w:rsidRDefault="00D441F5" w:rsidP="00D441F5">
      <w:pPr>
        <w:pStyle w:val="Prrafodelista"/>
        <w:numPr>
          <w:ilvl w:val="0"/>
          <w:numId w:val="3"/>
        </w:numPr>
        <w:tabs>
          <w:tab w:val="left" w:pos="426"/>
        </w:tabs>
        <w:spacing w:before="240" w:after="360" w:line="360" w:lineRule="auto"/>
        <w:ind w:left="0" w:firstLine="0"/>
        <w:jc w:val="both"/>
        <w:rPr>
          <w:rFonts w:ascii="Palatino Linotype" w:hAnsi="Palatino Linotype" w:cs="Arial"/>
          <w:i/>
          <w:color w:val="000000" w:themeColor="text1"/>
        </w:rPr>
      </w:pPr>
      <w:r w:rsidRPr="00C11D42">
        <w:rPr>
          <w:rFonts w:ascii="Palatino Linotype" w:hAnsi="Palatino Linotype"/>
          <w:color w:val="000000" w:themeColor="text1"/>
        </w:rPr>
        <w:t xml:space="preserve">Resulta necesario referir que, el </w:t>
      </w:r>
      <w:r w:rsidRPr="00C11D42">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w:t>
      </w:r>
      <w:r w:rsidRPr="00C11D42">
        <w:rPr>
          <w:rFonts w:ascii="Palatino Linotype" w:eastAsia="Calibri" w:hAnsi="Palatino Linotype" w:cs="Arial"/>
        </w:rPr>
        <w:lastRenderedPageBreak/>
        <w:t xml:space="preserve">puesto que los ordenamientos citados concurren refiriendo que </w:t>
      </w:r>
      <w:r w:rsidRPr="00C11D42">
        <w:rPr>
          <w:rFonts w:ascii="Palatino Linotype" w:eastAsia="Calibri" w:hAnsi="Palatino Linotype" w:cs="Arial"/>
          <w:b/>
        </w:rPr>
        <w:t>los Sujetos Obligados deberán documentar todo acto que se derive del ejercicio de sus facultades, competencias o funciones,</w:t>
      </w:r>
      <w:r w:rsidRPr="00C11D42">
        <w:rPr>
          <w:rFonts w:ascii="Palatino Linotype" w:eastAsia="Calibri" w:hAnsi="Palatino Linotype" w:cs="Arial"/>
        </w:rPr>
        <w:t xml:space="preserve"> considerando desde su origen la eventual publicidad y reutilización de la información que generen, posean o administren.</w:t>
      </w:r>
    </w:p>
    <w:p w:rsidR="00D441F5" w:rsidRPr="00C11D42" w:rsidRDefault="00D441F5" w:rsidP="00D441F5">
      <w:pPr>
        <w:pStyle w:val="Prrafodelista"/>
        <w:spacing w:line="360" w:lineRule="auto"/>
        <w:ind w:left="0"/>
        <w:rPr>
          <w:rFonts w:ascii="Palatino Linotype" w:hAnsi="Palatino Linotype" w:cs="Arial"/>
          <w:i/>
          <w:color w:val="000000" w:themeColor="text1"/>
        </w:rPr>
      </w:pPr>
    </w:p>
    <w:p w:rsidR="00D441F5" w:rsidRPr="00C11D42" w:rsidRDefault="00D441F5" w:rsidP="00D441F5">
      <w:pPr>
        <w:pStyle w:val="Prrafodelista"/>
        <w:numPr>
          <w:ilvl w:val="0"/>
          <w:numId w:val="3"/>
        </w:numPr>
        <w:spacing w:line="360" w:lineRule="auto"/>
        <w:ind w:left="0" w:right="49" w:firstLine="0"/>
        <w:jc w:val="both"/>
        <w:rPr>
          <w:rFonts w:ascii="Palatino Linotype" w:hAnsi="Palatino Linotype" w:cs="Arial"/>
          <w:color w:val="000000"/>
        </w:rPr>
      </w:pPr>
      <w:r w:rsidRPr="00C11D42">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D441F5" w:rsidRPr="00C11D42" w:rsidRDefault="00D441F5" w:rsidP="00D441F5">
      <w:pPr>
        <w:pStyle w:val="Prrafodelista"/>
        <w:spacing w:line="360" w:lineRule="auto"/>
        <w:rPr>
          <w:rFonts w:ascii="Palatino Linotype" w:hAnsi="Palatino Linotype" w:cs="Arial"/>
          <w:color w:val="000000"/>
        </w:rPr>
      </w:pP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r w:rsidRPr="00C11D42">
        <w:rPr>
          <w:rFonts w:ascii="Palatino Linotype" w:hAnsi="Palatino Linotype" w:cs="Bookman Old Style,Bold"/>
          <w:b/>
          <w:bCs/>
          <w:i/>
        </w:rPr>
        <w:t xml:space="preserve">Artículo 4. </w:t>
      </w:r>
      <w:r w:rsidRPr="00C11D42">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r w:rsidRPr="00C11D42">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r w:rsidRPr="00C11D42">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D441F5" w:rsidRPr="00C11D42" w:rsidRDefault="00D441F5" w:rsidP="00D441F5">
      <w:pPr>
        <w:autoSpaceDE w:val="0"/>
        <w:autoSpaceDN w:val="0"/>
        <w:adjustRightInd w:val="0"/>
        <w:spacing w:line="276" w:lineRule="auto"/>
        <w:ind w:right="567"/>
        <w:jc w:val="both"/>
        <w:rPr>
          <w:rFonts w:ascii="Palatino Linotype" w:hAnsi="Palatino Linotype" w:cs="Arial"/>
          <w:i/>
          <w:color w:val="000000"/>
        </w:rPr>
      </w:pP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r w:rsidRPr="00C11D42">
        <w:rPr>
          <w:rFonts w:ascii="Palatino Linotype" w:hAnsi="Palatino Linotype" w:cs="Bookman Old Style,Bold"/>
          <w:b/>
          <w:bCs/>
          <w:i/>
        </w:rPr>
        <w:lastRenderedPageBreak/>
        <w:t xml:space="preserve">Artículo 12. </w:t>
      </w:r>
      <w:r w:rsidRPr="00C11D42">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p>
    <w:p w:rsidR="00D441F5" w:rsidRPr="00C11D42" w:rsidRDefault="00D441F5" w:rsidP="00D441F5">
      <w:pPr>
        <w:autoSpaceDE w:val="0"/>
        <w:autoSpaceDN w:val="0"/>
        <w:adjustRightInd w:val="0"/>
        <w:spacing w:line="276" w:lineRule="auto"/>
        <w:ind w:left="567" w:right="567"/>
        <w:jc w:val="both"/>
        <w:rPr>
          <w:rFonts w:ascii="Palatino Linotype" w:hAnsi="Palatino Linotype" w:cs="Bookman Old Style"/>
          <w:i/>
        </w:rPr>
      </w:pPr>
      <w:r w:rsidRPr="00C11D42">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C11D42">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D441F5" w:rsidRPr="00C11D42" w:rsidRDefault="00D441F5" w:rsidP="00D441F5">
      <w:pPr>
        <w:autoSpaceDE w:val="0"/>
        <w:autoSpaceDN w:val="0"/>
        <w:adjustRightInd w:val="0"/>
        <w:spacing w:line="360" w:lineRule="auto"/>
        <w:ind w:left="567" w:right="567"/>
        <w:jc w:val="both"/>
        <w:rPr>
          <w:rFonts w:ascii="Palatino Linotype" w:hAnsi="Palatino Linotype" w:cs="Arial"/>
          <w:i/>
          <w:color w:val="000000"/>
        </w:rPr>
      </w:pPr>
    </w:p>
    <w:p w:rsidR="00D441F5" w:rsidRPr="00C11D42" w:rsidRDefault="00D441F5" w:rsidP="00D441F5">
      <w:pPr>
        <w:pStyle w:val="Prrafodelista"/>
        <w:numPr>
          <w:ilvl w:val="0"/>
          <w:numId w:val="3"/>
        </w:numPr>
        <w:tabs>
          <w:tab w:val="left" w:pos="851"/>
        </w:tabs>
        <w:spacing w:line="360" w:lineRule="auto"/>
        <w:ind w:left="0" w:right="49" w:firstLine="0"/>
        <w:jc w:val="both"/>
        <w:rPr>
          <w:rFonts w:ascii="Palatino Linotype" w:hAnsi="Palatino Linotype"/>
          <w:lang w:val="es-ES"/>
        </w:rPr>
      </w:pPr>
      <w:r w:rsidRPr="00C11D42">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C11D42">
        <w:rPr>
          <w:rStyle w:val="Refdenotaalpie"/>
          <w:rFonts w:ascii="Palatino Linotype" w:hAnsi="Palatino Linotype"/>
          <w:lang w:val="es-ES"/>
        </w:rPr>
        <w:footnoteReference w:id="7"/>
      </w:r>
      <w:r w:rsidRPr="00C11D42">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D441F5" w:rsidRPr="00C11D42" w:rsidRDefault="00D441F5" w:rsidP="00D441F5">
      <w:pPr>
        <w:pStyle w:val="Prrafodelista"/>
        <w:tabs>
          <w:tab w:val="left" w:pos="851"/>
        </w:tabs>
        <w:spacing w:line="360" w:lineRule="auto"/>
        <w:ind w:left="0" w:right="49"/>
        <w:jc w:val="both"/>
        <w:rPr>
          <w:rFonts w:ascii="Palatino Linotype" w:hAnsi="Palatino Linotype"/>
          <w:lang w:val="es-ES"/>
        </w:rPr>
      </w:pPr>
    </w:p>
    <w:p w:rsidR="00D441F5" w:rsidRPr="00C11D42" w:rsidRDefault="00D441F5" w:rsidP="00D441F5">
      <w:pPr>
        <w:pStyle w:val="Prrafodelista"/>
        <w:numPr>
          <w:ilvl w:val="0"/>
          <w:numId w:val="3"/>
        </w:numPr>
        <w:tabs>
          <w:tab w:val="left" w:pos="851"/>
        </w:tabs>
        <w:spacing w:line="360" w:lineRule="auto"/>
        <w:ind w:left="0" w:right="49" w:firstLine="0"/>
        <w:jc w:val="both"/>
        <w:rPr>
          <w:rFonts w:ascii="Palatino Linotype" w:hAnsi="Palatino Linotype"/>
          <w:lang w:val="es-ES"/>
        </w:rPr>
      </w:pPr>
      <w:r w:rsidRPr="00C11D42">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D441F5" w:rsidRPr="00C11D42" w:rsidRDefault="00D441F5" w:rsidP="00D441F5">
      <w:pPr>
        <w:pStyle w:val="Prrafodelista"/>
        <w:spacing w:line="360" w:lineRule="auto"/>
        <w:rPr>
          <w:rFonts w:ascii="Palatino Linotype" w:hAnsi="Palatino Linotype"/>
          <w:lang w:val="es-ES"/>
        </w:rPr>
      </w:pPr>
    </w:p>
    <w:p w:rsidR="00D441F5" w:rsidRPr="00C11D42" w:rsidRDefault="00D441F5" w:rsidP="00D441F5">
      <w:pPr>
        <w:pStyle w:val="Prrafodelista"/>
        <w:tabs>
          <w:tab w:val="left" w:pos="851"/>
        </w:tabs>
        <w:spacing w:line="360" w:lineRule="auto"/>
        <w:ind w:left="567" w:right="567"/>
        <w:jc w:val="both"/>
        <w:rPr>
          <w:rFonts w:ascii="Palatino Linotype" w:hAnsi="Palatino Linotype"/>
          <w:i/>
        </w:rPr>
      </w:pPr>
      <w:r w:rsidRPr="00C11D42">
        <w:rPr>
          <w:rFonts w:ascii="Palatino Linotype" w:hAnsi="Palatino Linotype"/>
          <w:b/>
          <w:i/>
        </w:rPr>
        <w:lastRenderedPageBreak/>
        <w:t>ACCESO A LA INFORMACIÓN. IMPLICACIÓN DEL PRINCIPIO DE MÁXIMA PUBLICIDAD EN EL DERECHO FUNDAMENTAL RELATIVO.</w:t>
      </w:r>
      <w:r w:rsidRPr="00C11D42">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D441F5" w:rsidRPr="00C11D42" w:rsidRDefault="00D441F5" w:rsidP="00D441F5">
      <w:pPr>
        <w:pStyle w:val="Prrafodelista"/>
        <w:tabs>
          <w:tab w:val="left" w:pos="851"/>
        </w:tabs>
        <w:spacing w:line="360" w:lineRule="auto"/>
        <w:ind w:left="567" w:right="567"/>
        <w:jc w:val="both"/>
        <w:rPr>
          <w:rFonts w:ascii="Palatino Linotype" w:hAnsi="Palatino Linotype"/>
          <w:i/>
        </w:rPr>
      </w:pPr>
    </w:p>
    <w:p w:rsidR="00D441F5" w:rsidRPr="00C11D42" w:rsidRDefault="00D441F5" w:rsidP="00D441F5">
      <w:pPr>
        <w:pStyle w:val="Prrafodelista"/>
        <w:tabs>
          <w:tab w:val="left" w:pos="851"/>
        </w:tabs>
        <w:spacing w:line="360" w:lineRule="auto"/>
        <w:ind w:left="567" w:right="567"/>
        <w:jc w:val="both"/>
        <w:rPr>
          <w:rFonts w:ascii="Palatino Linotype" w:hAnsi="Palatino Linotype"/>
          <w:i/>
        </w:rPr>
      </w:pPr>
      <w:r w:rsidRPr="00C11D42">
        <w:rPr>
          <w:rFonts w:ascii="Palatino Linotype" w:hAnsi="Palatino Linotype"/>
          <w:i/>
        </w:rPr>
        <w:lastRenderedPageBreak/>
        <w:t xml:space="preserve">CUARTO TRIBUNAL COLEGIADO EN MATERIA ADMINISTRATIVA DEL PRIMER CIRCUITO. </w:t>
      </w:r>
    </w:p>
    <w:p w:rsidR="00D441F5" w:rsidRPr="00C11D42" w:rsidRDefault="00D441F5" w:rsidP="00D441F5">
      <w:pPr>
        <w:pStyle w:val="Prrafodelista"/>
        <w:tabs>
          <w:tab w:val="left" w:pos="851"/>
        </w:tabs>
        <w:spacing w:line="360" w:lineRule="auto"/>
        <w:ind w:left="567" w:right="567"/>
        <w:jc w:val="both"/>
        <w:rPr>
          <w:rFonts w:ascii="Palatino Linotype" w:hAnsi="Palatino Linotype"/>
          <w:i/>
        </w:rPr>
      </w:pPr>
    </w:p>
    <w:p w:rsidR="00D441F5" w:rsidRPr="00C11D42" w:rsidRDefault="00D441F5" w:rsidP="00D441F5">
      <w:pPr>
        <w:pStyle w:val="Prrafodelista"/>
        <w:tabs>
          <w:tab w:val="left" w:pos="851"/>
        </w:tabs>
        <w:spacing w:line="360" w:lineRule="auto"/>
        <w:ind w:left="567" w:right="567"/>
        <w:jc w:val="both"/>
        <w:rPr>
          <w:rFonts w:ascii="Palatino Linotype" w:hAnsi="Palatino Linotype"/>
          <w:i/>
          <w:lang w:val="es-ES"/>
        </w:rPr>
      </w:pPr>
      <w:r w:rsidRPr="00C11D42">
        <w:rPr>
          <w:rFonts w:ascii="Palatino Linotype" w:hAnsi="Palatino Linotype"/>
          <w:i/>
        </w:rPr>
        <w:t>Amparo en revisión 257/2012. Ruth Corona Muñoz. 6 de diciembre de 2012. Unanimidad de votos. Ponente: Jean Claude Tron Petit. Secretaria: Mayra Susana Martínez López.</w:t>
      </w:r>
    </w:p>
    <w:p w:rsidR="00D441F5" w:rsidRPr="00C11D42" w:rsidRDefault="00D441F5" w:rsidP="00D441F5">
      <w:pPr>
        <w:pStyle w:val="Prrafodelista"/>
        <w:spacing w:line="360" w:lineRule="auto"/>
        <w:rPr>
          <w:rFonts w:ascii="Palatino Linotype" w:hAnsi="Palatino Linotype"/>
          <w:lang w:val="es-ES"/>
        </w:rPr>
      </w:pPr>
    </w:p>
    <w:p w:rsidR="00D441F5" w:rsidRPr="00C11D42" w:rsidRDefault="00D441F5" w:rsidP="00D441F5">
      <w:pPr>
        <w:pStyle w:val="Prrafodelista"/>
        <w:numPr>
          <w:ilvl w:val="0"/>
          <w:numId w:val="3"/>
        </w:numPr>
        <w:tabs>
          <w:tab w:val="left" w:pos="851"/>
        </w:tabs>
        <w:spacing w:before="240" w:after="240" w:line="360" w:lineRule="auto"/>
        <w:ind w:left="0" w:right="49" w:firstLine="0"/>
        <w:jc w:val="both"/>
        <w:rPr>
          <w:rFonts w:ascii="Palatino Linotype" w:hAnsi="Palatino Linotype" w:cs="Arial"/>
          <w:lang w:val="es-ES"/>
        </w:rPr>
      </w:pPr>
      <w:r w:rsidRPr="00C11D42">
        <w:rPr>
          <w:rFonts w:ascii="Palatino Linotype" w:hAnsi="Palatino Linotype"/>
          <w:lang w:val="es-ES"/>
        </w:rPr>
        <w:t>El derecho de acceso a la información encuentra su materia elemental en los documentos, y la Ley de Transparencia local  nos brinda el siguiente concepto, para darnos un mejor panorama:</w:t>
      </w:r>
    </w:p>
    <w:p w:rsidR="00D441F5" w:rsidRPr="00C11D42" w:rsidRDefault="00D441F5" w:rsidP="00D441F5">
      <w:pPr>
        <w:autoSpaceDE w:val="0"/>
        <w:autoSpaceDN w:val="0"/>
        <w:adjustRightInd w:val="0"/>
        <w:spacing w:line="276" w:lineRule="auto"/>
        <w:ind w:left="567" w:right="567"/>
        <w:jc w:val="both"/>
        <w:rPr>
          <w:rFonts w:ascii="Palatino Linotype" w:hAnsi="Palatino Linotype"/>
          <w:i/>
          <w:lang w:val="es-ES"/>
        </w:rPr>
      </w:pPr>
      <w:r w:rsidRPr="00C11D42">
        <w:rPr>
          <w:rFonts w:ascii="Palatino Linotype" w:eastAsiaTheme="minorHAnsi" w:hAnsi="Palatino Linotype" w:cs="Bookman Old Style,Bold"/>
          <w:b/>
          <w:bCs/>
          <w:i/>
          <w:lang w:eastAsia="en-US"/>
        </w:rPr>
        <w:t xml:space="preserve">XI. Documento: </w:t>
      </w:r>
      <w:r w:rsidRPr="00C11D42">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C11D42">
        <w:rPr>
          <w:rFonts w:ascii="Palatino Linotype" w:eastAsiaTheme="minorHAnsi" w:hAnsi="Palatino Linotype" w:cs="Bookman Old Style"/>
          <w:b/>
          <w:i/>
          <w:lang w:eastAsia="en-US"/>
        </w:rPr>
        <w:t>cualquier otro registro</w:t>
      </w:r>
      <w:r w:rsidRPr="00C11D42">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441F5" w:rsidRPr="00C11D42" w:rsidRDefault="00D441F5" w:rsidP="00D441F5">
      <w:pPr>
        <w:pStyle w:val="Prrafodelista"/>
        <w:tabs>
          <w:tab w:val="left" w:pos="851"/>
        </w:tabs>
        <w:spacing w:line="360" w:lineRule="auto"/>
        <w:ind w:left="0" w:right="49"/>
        <w:jc w:val="both"/>
        <w:rPr>
          <w:rFonts w:ascii="Palatino Linotype" w:hAnsi="Palatino Linotype"/>
          <w:lang w:val="es-ES"/>
        </w:rPr>
      </w:pPr>
    </w:p>
    <w:p w:rsidR="00BB2284" w:rsidRPr="00C11D42" w:rsidRDefault="00D441F5" w:rsidP="00D441F5">
      <w:pPr>
        <w:pStyle w:val="Prrafodelista"/>
        <w:numPr>
          <w:ilvl w:val="0"/>
          <w:numId w:val="3"/>
        </w:numPr>
        <w:tabs>
          <w:tab w:val="left" w:pos="851"/>
        </w:tabs>
        <w:spacing w:line="360" w:lineRule="auto"/>
        <w:ind w:left="0" w:right="49" w:firstLine="0"/>
        <w:jc w:val="both"/>
        <w:rPr>
          <w:rFonts w:ascii="Palatino Linotype" w:hAnsi="Palatino Linotype"/>
          <w:lang w:val="es-ES"/>
        </w:rPr>
      </w:pPr>
      <w:r w:rsidRPr="00C11D42">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D441F5" w:rsidRPr="00C11D42" w:rsidRDefault="00D441F5" w:rsidP="00D441F5">
      <w:pPr>
        <w:pStyle w:val="Prrafodelista"/>
        <w:tabs>
          <w:tab w:val="left" w:pos="851"/>
        </w:tabs>
        <w:spacing w:line="360" w:lineRule="auto"/>
        <w:ind w:left="0" w:right="49"/>
        <w:jc w:val="both"/>
        <w:rPr>
          <w:rFonts w:ascii="Palatino Linotype" w:hAnsi="Palatino Linotype"/>
          <w:lang w:val="es-ES"/>
        </w:rPr>
      </w:pPr>
    </w:p>
    <w:p w:rsidR="002606C7" w:rsidRPr="00C11D42" w:rsidRDefault="002606C7" w:rsidP="00BB2284">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Cs/>
          <w:color w:val="000000"/>
        </w:rPr>
      </w:pPr>
      <w:r w:rsidRPr="00C11D42">
        <w:rPr>
          <w:rFonts w:ascii="Palatino Linotype" w:eastAsia="Palatino Linotype" w:hAnsi="Palatino Linotype" w:cs="Palatino Linotype"/>
          <w:color w:val="000000"/>
        </w:rPr>
        <w:t xml:space="preserve">Por lo tanto, con lo expuesto en líneas anteriores y con fundamento en el artículo 186, fracción III, de la Ley de Transparencia y Acceso a la Información Pública del Estado de México y Municipios, este Instituto considera procedente </w:t>
      </w:r>
      <w:r w:rsidRPr="00C11D42">
        <w:rPr>
          <w:rFonts w:ascii="Palatino Linotype" w:eastAsia="Palatino Linotype" w:hAnsi="Palatino Linotype" w:cs="Palatino Linotype"/>
          <w:b/>
          <w:bCs/>
          <w:color w:val="000000"/>
        </w:rPr>
        <w:t xml:space="preserve">REVOCAR </w:t>
      </w:r>
      <w:r w:rsidRPr="00C11D42">
        <w:rPr>
          <w:rFonts w:ascii="Palatino Linotype" w:eastAsia="Palatino Linotype" w:hAnsi="Palatino Linotype" w:cs="Palatino Linotype"/>
          <w:color w:val="000000"/>
        </w:rPr>
        <w:t xml:space="preserve">la respuesta otorgada por el </w:t>
      </w:r>
      <w:r w:rsidRPr="00C11D42">
        <w:rPr>
          <w:rFonts w:ascii="Palatino Linotype" w:eastAsia="Palatino Linotype" w:hAnsi="Palatino Linotype" w:cs="Palatino Linotype"/>
          <w:color w:val="000000"/>
        </w:rPr>
        <w:lastRenderedPageBreak/>
        <w:t xml:space="preserve">Sujeto Obligado, y determina que es dable </w:t>
      </w:r>
      <w:r w:rsidRPr="00C11D42">
        <w:rPr>
          <w:rFonts w:ascii="Palatino Linotype" w:eastAsia="Palatino Linotype" w:hAnsi="Palatino Linotype" w:cs="Palatino Linotype"/>
          <w:b/>
          <w:bCs/>
          <w:color w:val="000000"/>
        </w:rPr>
        <w:t>ORDENAR</w:t>
      </w:r>
      <w:r w:rsidRPr="00C11D42">
        <w:rPr>
          <w:rFonts w:ascii="Palatino Linotype" w:eastAsia="Palatino Linotype" w:hAnsi="Palatino Linotype" w:cs="Palatino Linotype"/>
          <w:color w:val="000000"/>
        </w:rPr>
        <w:t>, de ser procedente en versión pública, la siguiente información:</w:t>
      </w:r>
      <w:r w:rsidRPr="00C11D42">
        <w:rPr>
          <w:rFonts w:ascii="Palatino Linotype" w:eastAsia="Palatino Linotype" w:hAnsi="Palatino Linotype" w:cs="Palatino Linotype"/>
          <w:b/>
          <w:bCs/>
          <w:color w:val="000000"/>
        </w:rPr>
        <w:t xml:space="preserve"> </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2606C7" w:rsidRPr="00C11D42" w:rsidRDefault="00D441F5" w:rsidP="00E21789">
      <w:pPr>
        <w:pStyle w:val="Prrafodelista"/>
        <w:numPr>
          <w:ilvl w:val="0"/>
          <w:numId w:val="14"/>
        </w:numPr>
        <w:pBdr>
          <w:top w:val="nil"/>
          <w:left w:val="nil"/>
          <w:bottom w:val="nil"/>
          <w:right w:val="nil"/>
          <w:between w:val="nil"/>
        </w:pBdr>
        <w:spacing w:line="360" w:lineRule="auto"/>
        <w:ind w:right="822"/>
        <w:jc w:val="both"/>
        <w:rPr>
          <w:rFonts w:ascii="Palatino Linotype" w:eastAsia="Palatino Linotype" w:hAnsi="Palatino Linotype" w:cs="Palatino Linotype"/>
          <w:b/>
          <w:bCs/>
          <w:color w:val="000000"/>
        </w:rPr>
      </w:pPr>
      <w:bookmarkStart w:id="6" w:name="_heading=h.mh3q47ksvucp" w:colFirst="0" w:colLast="0"/>
      <w:bookmarkEnd w:id="6"/>
      <w:r w:rsidRPr="00C11D42">
        <w:rPr>
          <w:rFonts w:ascii="Palatino Linotype" w:eastAsia="Palatino Linotype" w:hAnsi="Palatino Linotype" w:cs="Palatino Linotype"/>
          <w:b/>
          <w:bCs/>
          <w:color w:val="000000"/>
        </w:rPr>
        <w:t xml:space="preserve">Actas del Consejo Directivo generadas del primero al treinta y uno de diciembre de dos mil veinticinco y del primero al veintinueve de enero de dos mil veintiséis. </w:t>
      </w:r>
    </w:p>
    <w:p w:rsidR="002606C7" w:rsidRPr="00C11D42" w:rsidRDefault="002606C7" w:rsidP="002606C7">
      <w:pPr>
        <w:spacing w:line="360" w:lineRule="auto"/>
        <w:ind w:left="851" w:right="822"/>
        <w:jc w:val="both"/>
        <w:rPr>
          <w:rFonts w:ascii="Palatino Linotype" w:eastAsia="Palatino Linotype" w:hAnsi="Palatino Linotype" w:cs="Palatino Linotype"/>
          <w:b/>
          <w:bCs/>
        </w:rPr>
      </w:pPr>
    </w:p>
    <w:p w:rsidR="002606C7" w:rsidRPr="00C11D42" w:rsidRDefault="002606C7" w:rsidP="002606C7">
      <w:pPr>
        <w:spacing w:line="360" w:lineRule="auto"/>
        <w:ind w:right="822"/>
        <w:rPr>
          <w:rFonts w:ascii="Palatino Linotype" w:eastAsia="Palatino Linotype" w:hAnsi="Palatino Linotype" w:cs="Palatino Linotype"/>
          <w:b/>
          <w:bCs/>
        </w:rPr>
      </w:pPr>
      <w:r w:rsidRPr="00C11D42">
        <w:rPr>
          <w:rFonts w:ascii="Palatino Linotype" w:eastAsia="Palatino Linotype" w:hAnsi="Palatino Linotype" w:cs="Palatino Linotype"/>
          <w:b/>
          <w:bCs/>
        </w:rPr>
        <w:t>QUINTO. De la versión pública.</w:t>
      </w:r>
    </w:p>
    <w:p w:rsidR="002606C7" w:rsidRPr="00C11D42" w:rsidRDefault="002606C7" w:rsidP="002606C7">
      <w:pPr>
        <w:rPr>
          <w:rFonts w:ascii="Palatino Linotype" w:eastAsia="Palatino Linotype" w:hAnsi="Palatino Linotype" w:cs="Palatino Linotype"/>
        </w:rPr>
      </w:pPr>
    </w:p>
    <w:p w:rsidR="002606C7" w:rsidRPr="00C11D42" w:rsidRDefault="002606C7" w:rsidP="00C11D42">
      <w:pPr>
        <w:pStyle w:val="Prrafodelista"/>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C11D42">
        <w:rPr>
          <w:rFonts w:ascii="Palatino Linotype" w:eastAsia="Palatino Linotype" w:hAnsi="Palatino Linotype" w:cs="Palatino Linotype"/>
          <w:color w:val="000000"/>
        </w:rPr>
        <w:t>Debe destacarse que, debido a la naturaleza de la información solicitada</w:t>
      </w:r>
      <w:r w:rsidRPr="00C11D42">
        <w:rPr>
          <w:rFonts w:ascii="Palatino Linotype" w:eastAsia="Palatino Linotype" w:hAnsi="Palatino Linotype" w:cs="Palatino Linotype"/>
          <w:b/>
          <w:bCs/>
          <w:color w:val="000000"/>
        </w:rPr>
        <w:t xml:space="preserve">, </w:t>
      </w:r>
      <w:r w:rsidRPr="00C11D42">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C11D42">
        <w:rPr>
          <w:rFonts w:ascii="Palatino Linotype" w:eastAsia="Palatino Linotype" w:hAnsi="Palatino Linotype" w:cs="Palatino Linotype"/>
          <w:b/>
          <w:bCs/>
          <w:color w:val="000000"/>
        </w:rPr>
        <w:t xml:space="preserve">Sujeto Obligado </w:t>
      </w:r>
      <w:r w:rsidRPr="00C11D4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2606C7" w:rsidRPr="00C11D42" w:rsidRDefault="002606C7" w:rsidP="002606C7">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2606C7" w:rsidRPr="00C11D42" w:rsidRDefault="002606C7" w:rsidP="00C11D42">
      <w:pPr>
        <w:numPr>
          <w:ilvl w:val="0"/>
          <w:numId w:val="3"/>
        </w:numPr>
        <w:tabs>
          <w:tab w:val="left" w:pos="284"/>
        </w:tabs>
        <w:spacing w:line="360" w:lineRule="auto"/>
        <w:ind w:left="0" w:right="49" w:firstLine="0"/>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No pasa desapercibido para este Órgano Garante que los </w:t>
      </w:r>
      <w:r w:rsidRPr="00C11D42">
        <w:rPr>
          <w:rFonts w:ascii="Palatino Linotype" w:eastAsia="Palatino Linotype" w:hAnsi="Palatino Linotype" w:cs="Palatino Linotype"/>
          <w:b/>
          <w:bCs/>
        </w:rPr>
        <w:t xml:space="preserve">Sujetos Obligados </w:t>
      </w:r>
      <w:r w:rsidRPr="00C11D42">
        <w:rPr>
          <w:rFonts w:ascii="Palatino Linotype" w:eastAsia="Palatino Linotype" w:hAnsi="Palatino Linotype" w:cs="Palatino Linotype"/>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2606C7" w:rsidRPr="00C11D42" w:rsidRDefault="002606C7" w:rsidP="002606C7">
      <w:pPr>
        <w:tabs>
          <w:tab w:val="left" w:pos="284"/>
        </w:tabs>
        <w:spacing w:line="360" w:lineRule="auto"/>
        <w:ind w:right="49"/>
        <w:jc w:val="both"/>
        <w:rPr>
          <w:rFonts w:ascii="Palatino Linotype" w:eastAsia="Palatino Linotype" w:hAnsi="Palatino Linotype" w:cs="Palatino Linotype"/>
        </w:rPr>
      </w:pPr>
    </w:p>
    <w:tbl>
      <w:tblPr>
        <w:tblW w:w="99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14"/>
        <w:gridCol w:w="6810"/>
      </w:tblGrid>
      <w:tr w:rsidR="002606C7" w:rsidRPr="00C11D42" w:rsidTr="00C11D42">
        <w:tc>
          <w:tcPr>
            <w:tcW w:w="3114" w:type="dxa"/>
          </w:tcPr>
          <w:p w:rsidR="002606C7" w:rsidRPr="00C11D42" w:rsidRDefault="002606C7" w:rsidP="00BB2284">
            <w:pPr>
              <w:tabs>
                <w:tab w:val="left" w:pos="284"/>
              </w:tabs>
              <w:spacing w:line="360" w:lineRule="auto"/>
              <w:rPr>
                <w:rFonts w:ascii="Palatino Linotype" w:eastAsia="Palatino Linotype" w:hAnsi="Palatino Linotype" w:cs="Palatino Linotype"/>
                <w:b/>
              </w:rPr>
            </w:pPr>
            <w:r w:rsidRPr="00C11D42">
              <w:rPr>
                <w:rFonts w:ascii="Palatino Linotype" w:eastAsia="Palatino Linotype" w:hAnsi="Palatino Linotype" w:cs="Palatino Linotype"/>
                <w:color w:val="000000"/>
              </w:rPr>
              <w:tab/>
            </w:r>
            <w:r w:rsidRPr="00C11D42">
              <w:rPr>
                <w:rFonts w:ascii="Palatino Linotype" w:eastAsia="Palatino Linotype" w:hAnsi="Palatino Linotype" w:cs="Palatino Linotype"/>
                <w:b/>
              </w:rPr>
              <w:t>a) Requisitos previos.</w:t>
            </w:r>
          </w:p>
        </w:tc>
        <w:tc>
          <w:tcPr>
            <w:tcW w:w="6810" w:type="dxa"/>
          </w:tcPr>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El artículo 122 de la Ley Estatal señala que si los Sujetos Obligados determinan que la información actualiza alguno de los supuestos de </w:t>
            </w:r>
            <w:r w:rsidRPr="00C11D42">
              <w:rPr>
                <w:rFonts w:ascii="Palatino Linotype" w:eastAsia="Palatino Linotype" w:hAnsi="Palatino Linotype" w:cs="Palatino Linotype"/>
                <w:i/>
                <w:color w:val="000000"/>
              </w:rPr>
              <w:lastRenderedPageBreak/>
              <w:t xml:space="preserve">clasificación, es deber de los titulares de las áreas proponer su clasificación y no del Comité de Transparencia. </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Además, se debe señalar el procedimiento, de los tres que establecen el artículo 132 de la Ley Estatal.</w:t>
            </w:r>
          </w:p>
          <w:p w:rsidR="002606C7" w:rsidRPr="00C11D42" w:rsidRDefault="002606C7" w:rsidP="00BB2284">
            <w:pPr>
              <w:tabs>
                <w:tab w:val="left" w:pos="284"/>
              </w:tabs>
              <w:spacing w:line="276" w:lineRule="auto"/>
              <w:jc w:val="both"/>
              <w:rPr>
                <w:rFonts w:ascii="Palatino Linotype" w:eastAsia="Palatino Linotype" w:hAnsi="Palatino Linotype" w:cs="Palatino Linotype"/>
                <w:i/>
              </w:rPr>
            </w:pPr>
            <w:r w:rsidRPr="00C11D42">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C11D42">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C11D42">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2606C7" w:rsidRPr="00C11D42" w:rsidTr="00C11D42">
        <w:tc>
          <w:tcPr>
            <w:tcW w:w="3114" w:type="dxa"/>
            <w:shd w:val="clear" w:color="auto" w:fill="D9D9D9" w:themeFill="background1" w:themeFillShade="D9"/>
          </w:tcPr>
          <w:p w:rsidR="002606C7" w:rsidRPr="00C11D42" w:rsidRDefault="002606C7" w:rsidP="00BB2284">
            <w:pPr>
              <w:tabs>
                <w:tab w:val="left" w:pos="284"/>
              </w:tabs>
              <w:spacing w:line="360" w:lineRule="auto"/>
              <w:rPr>
                <w:rFonts w:ascii="Palatino Linotype" w:eastAsia="Palatino Linotype" w:hAnsi="Palatino Linotype" w:cs="Palatino Linotype"/>
                <w:b/>
              </w:rPr>
            </w:pPr>
            <w:r w:rsidRPr="00C11D42">
              <w:rPr>
                <w:rFonts w:ascii="Palatino Linotype" w:eastAsia="Palatino Linotype" w:hAnsi="Palatino Linotype" w:cs="Palatino Linotype"/>
                <w:b/>
              </w:rPr>
              <w:lastRenderedPageBreak/>
              <w:t>b) Supuestos de clasificación.</w:t>
            </w:r>
          </w:p>
        </w:tc>
        <w:tc>
          <w:tcPr>
            <w:tcW w:w="6810" w:type="dxa"/>
            <w:shd w:val="clear" w:color="auto" w:fill="D9D9D9" w:themeFill="background1" w:themeFillShade="D9"/>
          </w:tcPr>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606C7" w:rsidRPr="00C11D42" w:rsidRDefault="002606C7" w:rsidP="00BB2284">
            <w:pPr>
              <w:tabs>
                <w:tab w:val="left" w:pos="284"/>
              </w:tabs>
              <w:spacing w:line="276" w:lineRule="auto"/>
              <w:jc w:val="both"/>
              <w:rPr>
                <w:rFonts w:ascii="Palatino Linotype" w:eastAsia="Palatino Linotype" w:hAnsi="Palatino Linotype" w:cs="Palatino Linotype"/>
                <w:i/>
              </w:rPr>
            </w:pPr>
            <w:r w:rsidRPr="00C11D42">
              <w:rPr>
                <w:rFonts w:ascii="Palatino Linotype" w:eastAsia="Palatino Linotype" w:hAnsi="Palatino Linotype" w:cs="Palatino Linotype"/>
                <w:i/>
                <w:color w:val="000000"/>
              </w:rPr>
              <w:t xml:space="preserve">El </w:t>
            </w:r>
            <w:r w:rsidRPr="00C11D42">
              <w:rPr>
                <w:rFonts w:ascii="Palatino Linotype" w:eastAsia="Palatino Linotype" w:hAnsi="Palatino Linotype" w:cs="Palatino Linotype"/>
                <w:b/>
                <w:i/>
                <w:color w:val="000000"/>
              </w:rPr>
              <w:t>Sujeto Obligado</w:t>
            </w:r>
            <w:r w:rsidRPr="00C11D42">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606C7" w:rsidRPr="00C11D42" w:rsidTr="00C11D42">
        <w:tc>
          <w:tcPr>
            <w:tcW w:w="3114" w:type="dxa"/>
          </w:tcPr>
          <w:p w:rsidR="002606C7" w:rsidRPr="00C11D42" w:rsidRDefault="002606C7" w:rsidP="00BB2284">
            <w:pPr>
              <w:tabs>
                <w:tab w:val="left" w:pos="284"/>
              </w:tabs>
              <w:spacing w:line="360" w:lineRule="auto"/>
              <w:rPr>
                <w:rFonts w:ascii="Palatino Linotype" w:eastAsia="Palatino Linotype" w:hAnsi="Palatino Linotype" w:cs="Palatino Linotype"/>
                <w:b/>
              </w:rPr>
            </w:pPr>
            <w:r w:rsidRPr="00C11D42">
              <w:rPr>
                <w:rFonts w:ascii="Palatino Linotype" w:eastAsia="Palatino Linotype" w:hAnsi="Palatino Linotype" w:cs="Palatino Linotype"/>
                <w:b/>
              </w:rPr>
              <w:lastRenderedPageBreak/>
              <w:t>c) Formalidades para emitir el acuerdo de clasificación.</w:t>
            </w:r>
          </w:p>
        </w:tc>
        <w:tc>
          <w:tcPr>
            <w:tcW w:w="6810" w:type="dxa"/>
          </w:tcPr>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Es necesario que </w:t>
            </w:r>
            <w:r w:rsidRPr="00C11D42">
              <w:rPr>
                <w:rFonts w:ascii="Palatino Linotype" w:eastAsia="Palatino Linotype" w:hAnsi="Palatino Linotype" w:cs="Palatino Linotype"/>
                <w:b/>
                <w:i/>
                <w:color w:val="000000"/>
                <w:u w:val="single"/>
              </w:rPr>
              <w:t>el acto reúna con los requisitos elementales</w:t>
            </w:r>
            <w:r w:rsidRPr="00C11D42">
              <w:rPr>
                <w:rFonts w:ascii="Palatino Linotype" w:eastAsia="Palatino Linotype" w:hAnsi="Palatino Linotype" w:cs="Palatino Linotype"/>
                <w:i/>
                <w:color w:val="000000"/>
              </w:rPr>
              <w:t>, entre ellos, que la autoridad que va a emitir el acto de autoridad sea la legalmente facultada para ello.</w:t>
            </w:r>
          </w:p>
          <w:p w:rsidR="002606C7" w:rsidRPr="00C11D42" w:rsidRDefault="002606C7" w:rsidP="00BB2284">
            <w:pPr>
              <w:tabs>
                <w:tab w:val="left" w:pos="284"/>
              </w:tabs>
              <w:spacing w:line="276" w:lineRule="auto"/>
              <w:jc w:val="both"/>
              <w:rPr>
                <w:rFonts w:ascii="Palatino Linotype" w:eastAsia="Palatino Linotype" w:hAnsi="Palatino Linotype" w:cs="Palatino Linotype"/>
                <w:i/>
              </w:rPr>
            </w:pPr>
            <w:r w:rsidRPr="00C11D42">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C11D42">
              <w:rPr>
                <w:rFonts w:ascii="Palatino Linotype" w:eastAsia="Palatino Linotype" w:hAnsi="Palatino Linotype" w:cs="Palatino Linotype"/>
                <w:i/>
              </w:rPr>
              <w:t>El área</w:t>
            </w:r>
            <w:r w:rsidRPr="00C11D42">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606C7" w:rsidRPr="00C11D42" w:rsidTr="00C11D42">
        <w:tc>
          <w:tcPr>
            <w:tcW w:w="3114" w:type="dxa"/>
            <w:shd w:val="clear" w:color="auto" w:fill="D9D9D9" w:themeFill="background1" w:themeFillShade="D9"/>
          </w:tcPr>
          <w:p w:rsidR="002606C7" w:rsidRPr="00C11D42" w:rsidRDefault="002606C7" w:rsidP="00BB2284">
            <w:pPr>
              <w:tabs>
                <w:tab w:val="left" w:pos="284"/>
              </w:tabs>
              <w:spacing w:line="360" w:lineRule="auto"/>
              <w:rPr>
                <w:rFonts w:ascii="Palatino Linotype" w:eastAsia="Palatino Linotype" w:hAnsi="Palatino Linotype" w:cs="Palatino Linotype"/>
                <w:b/>
              </w:rPr>
            </w:pPr>
          </w:p>
          <w:p w:rsidR="002606C7" w:rsidRPr="00C11D42" w:rsidRDefault="002606C7" w:rsidP="00BB2284">
            <w:pPr>
              <w:tabs>
                <w:tab w:val="left" w:pos="284"/>
              </w:tabs>
              <w:spacing w:line="360" w:lineRule="auto"/>
              <w:jc w:val="both"/>
              <w:rPr>
                <w:rFonts w:ascii="Palatino Linotype" w:eastAsia="Palatino Linotype" w:hAnsi="Palatino Linotype" w:cs="Palatino Linotype"/>
                <w:b/>
              </w:rPr>
            </w:pPr>
            <w:r w:rsidRPr="00C11D42">
              <w:rPr>
                <w:rFonts w:ascii="Palatino Linotype" w:eastAsia="Palatino Linotype" w:hAnsi="Palatino Linotype" w:cs="Palatino Linotype"/>
                <w:b/>
                <w:color w:val="000000"/>
              </w:rPr>
              <w:t xml:space="preserve">d) Requisitos de fondo del acuerdo de clasificación. </w:t>
            </w:r>
          </w:p>
        </w:tc>
        <w:tc>
          <w:tcPr>
            <w:tcW w:w="6810" w:type="dxa"/>
            <w:shd w:val="clear" w:color="auto" w:fill="D9D9D9" w:themeFill="background1" w:themeFillShade="D9"/>
          </w:tcPr>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11D42">
              <w:rPr>
                <w:rFonts w:ascii="Palatino Linotype" w:eastAsia="Palatino Linotype" w:hAnsi="Palatino Linotype" w:cs="Palatino Linotype"/>
                <w:b/>
                <w:i/>
                <w:color w:val="000000"/>
              </w:rPr>
              <w:t>Sujetos Obligados</w:t>
            </w:r>
            <w:r w:rsidRPr="00C11D42">
              <w:rPr>
                <w:rFonts w:ascii="Palatino Linotype" w:eastAsia="Palatino Linotype" w:hAnsi="Palatino Linotype" w:cs="Palatino Linotype"/>
                <w:i/>
                <w:color w:val="000000"/>
              </w:rPr>
              <w:t xml:space="preserve">, por lo que deberán fundar y motivar debidamente la clasificación. </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De lo anterior, se desprende que para una correcta </w:t>
            </w:r>
            <w:r w:rsidRPr="00C11D42">
              <w:rPr>
                <w:rFonts w:ascii="Palatino Linotype" w:eastAsia="Palatino Linotype" w:hAnsi="Palatino Linotype" w:cs="Palatino Linotype"/>
                <w:b/>
                <w:i/>
                <w:color w:val="000000"/>
              </w:rPr>
              <w:t>clasificación total o parcial</w:t>
            </w:r>
            <w:r w:rsidRPr="00C11D42">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Así, en un acto de autoridad se cumple con la debida fundamentación cuando se cita el precepto legal aplicable al caso concreto y la debida </w:t>
            </w:r>
            <w:r w:rsidRPr="00C11D42">
              <w:rPr>
                <w:rFonts w:ascii="Palatino Linotype" w:eastAsia="Palatino Linotype" w:hAnsi="Palatino Linotype" w:cs="Palatino Linotype"/>
                <w:i/>
                <w:color w:val="000000"/>
              </w:rPr>
              <w:lastRenderedPageBreak/>
              <w:t>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Ahora bien, </w:t>
            </w:r>
            <w:r w:rsidRPr="00C11D42">
              <w:rPr>
                <w:rFonts w:ascii="Palatino Linotype" w:eastAsia="Palatino Linotype" w:hAnsi="Palatino Linotype" w:cs="Palatino Linotype"/>
                <w:b/>
                <w:i/>
                <w:color w:val="000000"/>
                <w:u w:val="single"/>
              </w:rPr>
              <w:t>para cada caso además de fundar y motivar</w:t>
            </w:r>
            <w:r w:rsidRPr="00C11D42">
              <w:rPr>
                <w:rFonts w:ascii="Palatino Linotype" w:eastAsia="Palatino Linotype" w:hAnsi="Palatino Linotype" w:cs="Palatino Linotype"/>
                <w:i/>
                <w:color w:val="000000"/>
              </w:rPr>
              <w:t xml:space="preserve">, se debe identificar con claridad </w:t>
            </w:r>
            <w:r w:rsidRPr="00C11D42">
              <w:rPr>
                <w:rFonts w:ascii="Palatino Linotype" w:eastAsia="Palatino Linotype" w:hAnsi="Palatino Linotype" w:cs="Palatino Linotype"/>
                <w:i/>
              </w:rPr>
              <w:t>qué</w:t>
            </w:r>
            <w:r w:rsidRPr="00C11D42">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606C7" w:rsidRPr="00C11D42" w:rsidTr="00C11D42">
        <w:tc>
          <w:tcPr>
            <w:tcW w:w="3114" w:type="dxa"/>
          </w:tcPr>
          <w:p w:rsidR="002606C7" w:rsidRPr="00C11D42" w:rsidRDefault="002606C7" w:rsidP="00BB2284">
            <w:pPr>
              <w:tabs>
                <w:tab w:val="left" w:pos="284"/>
              </w:tabs>
              <w:spacing w:line="360" w:lineRule="auto"/>
              <w:jc w:val="both"/>
              <w:rPr>
                <w:rFonts w:ascii="Palatino Linotype" w:eastAsia="Palatino Linotype" w:hAnsi="Palatino Linotype" w:cs="Palatino Linotype"/>
                <w:b/>
              </w:rPr>
            </w:pPr>
            <w:r w:rsidRPr="00C11D42">
              <w:rPr>
                <w:rFonts w:ascii="Palatino Linotype" w:eastAsia="Palatino Linotype" w:hAnsi="Palatino Linotype" w:cs="Palatino Linotype"/>
                <w:b/>
              </w:rPr>
              <w:lastRenderedPageBreak/>
              <w:t xml:space="preserve">e) Condiciones especiales de la clasificación de la información como confidencial. </w:t>
            </w:r>
          </w:p>
        </w:tc>
        <w:tc>
          <w:tcPr>
            <w:tcW w:w="6810" w:type="dxa"/>
          </w:tcPr>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Los artículos 148 de la Ley Estatal establece que aun tratándose de datos personales, se podrán proporcionar, incluso sin solicitar el consentimiento de su titular. </w:t>
            </w:r>
          </w:p>
          <w:p w:rsidR="002606C7" w:rsidRPr="00C11D42" w:rsidRDefault="002606C7" w:rsidP="00BB2284">
            <w:pPr>
              <w:tabs>
                <w:tab w:val="left" w:pos="284"/>
              </w:tabs>
              <w:spacing w:line="276" w:lineRule="auto"/>
              <w:jc w:val="both"/>
              <w:rPr>
                <w:rFonts w:ascii="Palatino Linotype" w:eastAsia="Palatino Linotype" w:hAnsi="Palatino Linotype" w:cs="Palatino Linotype"/>
                <w:i/>
                <w:color w:val="000000"/>
              </w:rPr>
            </w:pPr>
            <w:r w:rsidRPr="00C11D42">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606C7" w:rsidRPr="00C11D42" w:rsidRDefault="002606C7" w:rsidP="00BB2284">
            <w:pPr>
              <w:tabs>
                <w:tab w:val="left" w:pos="284"/>
              </w:tabs>
              <w:spacing w:line="276" w:lineRule="auto"/>
              <w:rPr>
                <w:rFonts w:ascii="Palatino Linotype" w:eastAsia="Palatino Linotype" w:hAnsi="Palatino Linotype" w:cs="Palatino Linotype"/>
                <w:i/>
              </w:rPr>
            </w:pPr>
            <w:r w:rsidRPr="00C11D42">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606C7" w:rsidRPr="00C11D42" w:rsidRDefault="002606C7" w:rsidP="002606C7"/>
    <w:p w:rsidR="002606C7" w:rsidRPr="00C11D42" w:rsidRDefault="002606C7" w:rsidP="002606C7">
      <w:pPr>
        <w:pStyle w:val="Prrafodelista"/>
        <w:spacing w:line="360" w:lineRule="auto"/>
        <w:ind w:left="0"/>
        <w:jc w:val="both"/>
        <w:rPr>
          <w:rFonts w:ascii="Palatino Linotype" w:eastAsia="Palatino Linotype" w:hAnsi="Palatino Linotype" w:cs="Palatino Linotype"/>
          <w:highlight w:val="yellow"/>
        </w:rPr>
      </w:pPr>
    </w:p>
    <w:p w:rsidR="002606C7" w:rsidRPr="00C11D42" w:rsidRDefault="002606C7" w:rsidP="00C11D42">
      <w:pPr>
        <w:numPr>
          <w:ilvl w:val="0"/>
          <w:numId w:val="3"/>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C11D42">
        <w:rPr>
          <w:rFonts w:ascii="Palatino Linotype" w:eastAsia="Palatino Linotype" w:hAnsi="Palatino Linotype" w:cs="Palatino Linotype"/>
          <w:color w:val="000000"/>
        </w:rPr>
        <w:lastRenderedPageBreak/>
        <w:t xml:space="preserve">Por lo anteriormente expuesto y fundado, este </w:t>
      </w:r>
      <w:r w:rsidRPr="00C11D42">
        <w:rPr>
          <w:rFonts w:ascii="Palatino Linotype" w:eastAsia="Palatino Linotype" w:hAnsi="Palatino Linotype" w:cs="Palatino Linotype"/>
          <w:b/>
          <w:bCs/>
          <w:color w:val="000000"/>
        </w:rPr>
        <w:t>ÓRGANO GARANTE</w:t>
      </w:r>
      <w:r w:rsidRPr="00C11D42">
        <w:rPr>
          <w:rFonts w:ascii="Palatino Linotype" w:eastAsia="Palatino Linotype" w:hAnsi="Palatino Linotype" w:cs="Palatino Linotype"/>
          <w:color w:val="000000"/>
        </w:rPr>
        <w:t xml:space="preserve"> emite los siguientes:</w:t>
      </w:r>
    </w:p>
    <w:p w:rsidR="002606C7" w:rsidRPr="00C11D42" w:rsidRDefault="002606C7" w:rsidP="002606C7">
      <w:pPr>
        <w:pStyle w:val="Ttulo1"/>
        <w:jc w:val="center"/>
        <w:rPr>
          <w:rFonts w:ascii="Palatino Linotype" w:eastAsia="Palatino Linotype" w:hAnsi="Palatino Linotype" w:cs="Palatino Linotype"/>
          <w:b/>
          <w:bCs/>
          <w:color w:val="000000"/>
          <w:sz w:val="24"/>
          <w:szCs w:val="24"/>
        </w:rPr>
      </w:pPr>
      <w:bookmarkStart w:id="7" w:name="_heading=h.jszhvncxdys9" w:colFirst="0" w:colLast="0"/>
      <w:bookmarkEnd w:id="7"/>
      <w:r w:rsidRPr="00C11D42">
        <w:rPr>
          <w:rFonts w:ascii="Palatino Linotype" w:eastAsia="Palatino Linotype" w:hAnsi="Palatino Linotype" w:cs="Palatino Linotype"/>
          <w:b/>
          <w:bCs/>
          <w:color w:val="000000"/>
          <w:sz w:val="24"/>
          <w:szCs w:val="24"/>
        </w:rPr>
        <w:t>R E S O L U T I V O S</w:t>
      </w:r>
    </w:p>
    <w:p w:rsidR="002606C7" w:rsidRPr="00C11D42" w:rsidRDefault="002606C7" w:rsidP="002606C7">
      <w:pPr>
        <w:keepNext/>
        <w:keepLines/>
        <w:spacing w:line="360" w:lineRule="auto"/>
        <w:jc w:val="center"/>
        <w:rPr>
          <w:rFonts w:ascii="Palatino Linotype" w:eastAsia="Palatino Linotype" w:hAnsi="Palatino Linotype" w:cs="Palatino Linotype"/>
          <w:b/>
          <w:bCs/>
        </w:rPr>
      </w:pPr>
    </w:p>
    <w:p w:rsidR="002606C7" w:rsidRPr="00C11D42" w:rsidRDefault="002606C7" w:rsidP="002606C7">
      <w:pPr>
        <w:spacing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b/>
          <w:bCs/>
        </w:rPr>
        <w:t xml:space="preserve">PRIMERO. </w:t>
      </w:r>
      <w:r w:rsidRPr="00C11D42">
        <w:rPr>
          <w:rFonts w:ascii="Palatino Linotype" w:eastAsia="Palatino Linotype" w:hAnsi="Palatino Linotype" w:cs="Palatino Linotype"/>
        </w:rPr>
        <w:t>Resultan fundadas las</w:t>
      </w:r>
      <w:r w:rsidRPr="00C11D42">
        <w:rPr>
          <w:rFonts w:ascii="Palatino Linotype" w:eastAsia="Palatino Linotype" w:hAnsi="Palatino Linotype" w:cs="Palatino Linotype"/>
          <w:b/>
          <w:bCs/>
        </w:rPr>
        <w:t xml:space="preserve"> </w:t>
      </w:r>
      <w:r w:rsidRPr="00C11D42">
        <w:rPr>
          <w:rFonts w:ascii="Palatino Linotype" w:eastAsia="Palatino Linotype" w:hAnsi="Palatino Linotype" w:cs="Palatino Linotype"/>
        </w:rPr>
        <w:t xml:space="preserve">razones o motivos de inconformidad hechos valer en el recurso de revisión </w:t>
      </w:r>
      <w:r w:rsidR="00D441F5" w:rsidRPr="00C11D42">
        <w:rPr>
          <w:rFonts w:ascii="Palatino Linotype" w:eastAsia="Palatino Linotype" w:hAnsi="Palatino Linotype" w:cs="Palatino Linotype"/>
          <w:b/>
          <w:bCs/>
        </w:rPr>
        <w:t>02418/INFOEM/IP/RR/2026</w:t>
      </w:r>
      <w:r w:rsidRPr="00C11D42">
        <w:rPr>
          <w:rFonts w:ascii="Palatino Linotype" w:eastAsia="Palatino Linotype" w:hAnsi="Palatino Linotype" w:cs="Palatino Linotype"/>
          <w:b/>
          <w:bCs/>
        </w:rPr>
        <w:t xml:space="preserve"> </w:t>
      </w:r>
      <w:r w:rsidRPr="00C11D42">
        <w:rPr>
          <w:rFonts w:ascii="Palatino Linotype" w:eastAsia="Palatino Linotype" w:hAnsi="Palatino Linotype" w:cs="Palatino Linotype"/>
        </w:rPr>
        <w:t>en términos de los</w:t>
      </w:r>
      <w:r w:rsidRPr="00C11D42">
        <w:rPr>
          <w:rFonts w:ascii="Palatino Linotype" w:eastAsia="Palatino Linotype" w:hAnsi="Palatino Linotype" w:cs="Palatino Linotype"/>
          <w:b/>
          <w:bCs/>
        </w:rPr>
        <w:t xml:space="preserve"> Considerandos</w:t>
      </w:r>
      <w:r w:rsidRPr="00C11D42">
        <w:rPr>
          <w:rFonts w:ascii="Palatino Linotype" w:eastAsia="Palatino Linotype" w:hAnsi="Palatino Linotype" w:cs="Palatino Linotype"/>
        </w:rPr>
        <w:t xml:space="preserve"> </w:t>
      </w:r>
      <w:r w:rsidRPr="00C11D42">
        <w:rPr>
          <w:rFonts w:ascii="Palatino Linotype" w:eastAsia="Palatino Linotype" w:hAnsi="Palatino Linotype" w:cs="Palatino Linotype"/>
          <w:b/>
          <w:bCs/>
        </w:rPr>
        <w:t>CUARTO y QUINTO</w:t>
      </w:r>
      <w:r w:rsidRPr="00C11D42">
        <w:rPr>
          <w:rFonts w:ascii="Palatino Linotype" w:eastAsia="Palatino Linotype" w:hAnsi="Palatino Linotype" w:cs="Palatino Linotype"/>
        </w:rPr>
        <w:t xml:space="preserve"> de la presente resolución.</w:t>
      </w:r>
    </w:p>
    <w:p w:rsidR="002606C7" w:rsidRPr="00C11D42" w:rsidRDefault="002606C7" w:rsidP="002606C7">
      <w:pPr>
        <w:spacing w:line="360" w:lineRule="auto"/>
        <w:jc w:val="both"/>
        <w:rPr>
          <w:rFonts w:ascii="Palatino Linotype" w:eastAsia="Palatino Linotype" w:hAnsi="Palatino Linotype" w:cs="Palatino Linotype"/>
          <w:b/>
          <w:bCs/>
        </w:rPr>
      </w:pP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C11D42">
        <w:rPr>
          <w:rFonts w:ascii="Palatino Linotype" w:eastAsia="Palatino Linotype" w:hAnsi="Palatino Linotype" w:cs="Palatino Linotype"/>
          <w:b/>
          <w:bCs/>
          <w:color w:val="000000"/>
        </w:rPr>
        <w:t xml:space="preserve">SEGUNDO. </w:t>
      </w:r>
      <w:r w:rsidRPr="00C11D42">
        <w:rPr>
          <w:rFonts w:ascii="Palatino Linotype" w:eastAsia="Palatino Linotype" w:hAnsi="Palatino Linotype" w:cs="Palatino Linotype"/>
          <w:color w:val="000000"/>
        </w:rPr>
        <w:t xml:space="preserve">Se </w:t>
      </w:r>
      <w:r w:rsidRPr="00C11D42">
        <w:rPr>
          <w:rFonts w:ascii="Palatino Linotype" w:eastAsia="Palatino Linotype" w:hAnsi="Palatino Linotype" w:cs="Palatino Linotype"/>
          <w:b/>
          <w:bCs/>
          <w:color w:val="000000"/>
        </w:rPr>
        <w:t>REVOCA</w:t>
      </w:r>
      <w:r w:rsidRPr="00C11D42">
        <w:rPr>
          <w:rFonts w:ascii="Palatino Linotype" w:eastAsia="Palatino Linotype" w:hAnsi="Palatino Linotype" w:cs="Palatino Linotype"/>
          <w:color w:val="000000"/>
        </w:rPr>
        <w:t xml:space="preserve"> la respuesta y se </w:t>
      </w:r>
      <w:r w:rsidRPr="00C11D42">
        <w:rPr>
          <w:rFonts w:ascii="Palatino Linotype" w:eastAsia="Palatino Linotype" w:hAnsi="Palatino Linotype" w:cs="Palatino Linotype"/>
          <w:b/>
          <w:bCs/>
          <w:color w:val="000000"/>
        </w:rPr>
        <w:t xml:space="preserve">ORDENA </w:t>
      </w:r>
      <w:r w:rsidRPr="00C11D42">
        <w:rPr>
          <w:rFonts w:ascii="Palatino Linotype" w:eastAsia="Palatino Linotype" w:hAnsi="Palatino Linotype" w:cs="Palatino Linotype"/>
          <w:color w:val="000000"/>
        </w:rPr>
        <w:t xml:space="preserve">al </w:t>
      </w:r>
      <w:r w:rsidR="00A17CC3" w:rsidRPr="00C11D42">
        <w:rPr>
          <w:rFonts w:ascii="Palatino Linotype" w:eastAsia="Palatino Linotype" w:hAnsi="Palatino Linotype" w:cs="Palatino Linotype"/>
          <w:b/>
          <w:bCs/>
          <w:color w:val="000000"/>
        </w:rPr>
        <w:t>Organismo Público Descentralizado para la Prestación de Servicios de Agua Potable Alcantarillado y Saneamiento de Coacalco de Berriozábal</w:t>
      </w:r>
      <w:r w:rsidRPr="00C11D42">
        <w:rPr>
          <w:rFonts w:ascii="Palatino Linotype" w:eastAsia="Palatino Linotype" w:hAnsi="Palatino Linotype" w:cs="Palatino Linotype"/>
          <w:b/>
          <w:bCs/>
          <w:color w:val="000000"/>
        </w:rPr>
        <w:t xml:space="preserve">, </w:t>
      </w:r>
      <w:r w:rsidRPr="00C11D42">
        <w:rPr>
          <w:rFonts w:ascii="Palatino Linotype" w:eastAsia="Palatino Linotype" w:hAnsi="Palatino Linotype" w:cs="Palatino Linotype"/>
          <w:color w:val="000000"/>
        </w:rPr>
        <w:t xml:space="preserve">entregar vía Sistema de Acceso a la Información Mexiquense (SAIMEX), </w:t>
      </w:r>
      <w:r w:rsidR="00A17CC3" w:rsidRPr="00C11D42">
        <w:rPr>
          <w:rFonts w:ascii="Palatino Linotype" w:eastAsia="Palatino Linotype" w:hAnsi="Palatino Linotype" w:cs="Palatino Linotype"/>
          <w:color w:val="000000"/>
        </w:rPr>
        <w:t xml:space="preserve">de ser procedente </w:t>
      </w:r>
      <w:r w:rsidRPr="00C11D42">
        <w:rPr>
          <w:rFonts w:ascii="Palatino Linotype" w:eastAsia="Palatino Linotype" w:hAnsi="Palatino Linotype" w:cs="Palatino Linotype"/>
          <w:color w:val="000000"/>
        </w:rPr>
        <w:t>en versión pública</w:t>
      </w:r>
      <w:r w:rsidRPr="00C11D42">
        <w:rPr>
          <w:rFonts w:ascii="Palatino Linotype" w:eastAsia="Palatino Linotype" w:hAnsi="Palatino Linotype" w:cs="Palatino Linotype"/>
          <w:b/>
          <w:bCs/>
          <w:color w:val="000000"/>
        </w:rPr>
        <w:t>,</w:t>
      </w:r>
      <w:r w:rsidRPr="00C11D42">
        <w:rPr>
          <w:rFonts w:ascii="Palatino Linotype" w:eastAsia="Palatino Linotype" w:hAnsi="Palatino Linotype" w:cs="Palatino Linotype"/>
          <w:color w:val="000000"/>
        </w:rPr>
        <w:t xml:space="preserve"> la siguiente información:</w:t>
      </w: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21789" w:rsidRPr="00C11D42" w:rsidRDefault="00E21789" w:rsidP="00C11D42">
      <w:pPr>
        <w:pStyle w:val="Prrafodelista"/>
        <w:numPr>
          <w:ilvl w:val="1"/>
          <w:numId w:val="3"/>
        </w:numPr>
        <w:pBdr>
          <w:top w:val="nil"/>
          <w:left w:val="nil"/>
          <w:bottom w:val="nil"/>
          <w:right w:val="nil"/>
          <w:between w:val="nil"/>
        </w:pBdr>
        <w:spacing w:line="360" w:lineRule="auto"/>
        <w:ind w:right="822"/>
        <w:jc w:val="both"/>
        <w:rPr>
          <w:rFonts w:ascii="Palatino Linotype" w:eastAsia="Palatino Linotype" w:hAnsi="Palatino Linotype" w:cs="Palatino Linotype"/>
          <w:b/>
          <w:bCs/>
          <w:color w:val="000000"/>
        </w:rPr>
      </w:pPr>
      <w:r w:rsidRPr="00C11D42">
        <w:rPr>
          <w:rFonts w:ascii="Palatino Linotype" w:eastAsia="Palatino Linotype" w:hAnsi="Palatino Linotype" w:cs="Palatino Linotype"/>
          <w:b/>
          <w:bCs/>
          <w:color w:val="000000"/>
        </w:rPr>
        <w:t xml:space="preserve">Actas del Consejo Directivo generadas del primero </w:t>
      </w:r>
      <w:r w:rsidR="00743C49" w:rsidRPr="00C11D42">
        <w:rPr>
          <w:rFonts w:ascii="Palatino Linotype" w:eastAsia="Palatino Linotype" w:hAnsi="Palatino Linotype" w:cs="Palatino Linotype"/>
          <w:b/>
          <w:bCs/>
          <w:color w:val="000000"/>
        </w:rPr>
        <w:t xml:space="preserve">de enero </w:t>
      </w:r>
      <w:r w:rsidRPr="00C11D42">
        <w:rPr>
          <w:rFonts w:ascii="Palatino Linotype" w:eastAsia="Palatino Linotype" w:hAnsi="Palatino Linotype" w:cs="Palatino Linotype"/>
          <w:b/>
          <w:bCs/>
          <w:color w:val="000000"/>
        </w:rPr>
        <w:t xml:space="preserve">al treinta y uno de diciembre de dos mil veinticinco y del primero al veintinueve de enero de dos mil veintiséis. </w:t>
      </w:r>
    </w:p>
    <w:p w:rsidR="002606C7" w:rsidRPr="00C11D42" w:rsidRDefault="002606C7" w:rsidP="002606C7">
      <w:pPr>
        <w:pBdr>
          <w:top w:val="nil"/>
          <w:left w:val="nil"/>
          <w:bottom w:val="nil"/>
          <w:right w:val="nil"/>
          <w:between w:val="nil"/>
        </w:pBdr>
        <w:spacing w:line="360" w:lineRule="auto"/>
        <w:ind w:left="720" w:right="822"/>
        <w:jc w:val="both"/>
        <w:rPr>
          <w:rFonts w:ascii="Palatino Linotype" w:eastAsia="Palatino Linotype" w:hAnsi="Palatino Linotype" w:cs="Palatino Linotype"/>
          <w:b/>
          <w:bCs/>
          <w:color w:val="000000"/>
        </w:rPr>
      </w:pPr>
    </w:p>
    <w:p w:rsidR="002606C7" w:rsidRPr="00C11D42" w:rsidRDefault="002606C7" w:rsidP="002606C7">
      <w:pPr>
        <w:spacing w:after="160" w:line="360" w:lineRule="auto"/>
        <w:ind w:right="115"/>
        <w:jc w:val="both"/>
        <w:rPr>
          <w:rFonts w:ascii="Palatino Linotype" w:eastAsia="Palatino Linotype" w:hAnsi="Palatino Linotype" w:cs="Palatino Linotype"/>
        </w:rPr>
      </w:pPr>
      <w:r w:rsidRPr="00C11D42">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743C49" w:rsidRPr="00C11D42" w:rsidRDefault="00743C49" w:rsidP="00743C49">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rPr>
      </w:pPr>
      <w:r w:rsidRPr="00C11D42">
        <w:rPr>
          <w:rFonts w:ascii="Palatino Linotype" w:eastAsia="Palatino Linotype" w:hAnsi="Palatino Linotype" w:cs="Palatino Linotype"/>
        </w:rPr>
        <w:lastRenderedPageBreak/>
        <w:t xml:space="preserve">Para el caso de que la información que se ordena entregar respecto del ejercicio dos mil veintiséis, no obre en los archivos del Sujeto Obligado, por no haberse generado, bastará con que así se haga del conocimiento del Particular en términos del artículo 19, párrafo segundo, de la Ley de Transparencia y Acceso a la Información Pública del Estado de México y Municipios, para tenerse por colmado dicho requerimiento. </w:t>
      </w:r>
    </w:p>
    <w:p w:rsidR="00743C49" w:rsidRPr="00C11D42" w:rsidRDefault="00743C49" w:rsidP="00743C49">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rPr>
      </w:pPr>
    </w:p>
    <w:p w:rsidR="002606C7" w:rsidRPr="00C11D42" w:rsidRDefault="002606C7" w:rsidP="002606C7">
      <w:pPr>
        <w:tabs>
          <w:tab w:val="left" w:pos="284"/>
          <w:tab w:val="left" w:pos="8080"/>
        </w:tabs>
        <w:spacing w:line="360" w:lineRule="auto"/>
        <w:ind w:right="49"/>
        <w:jc w:val="both"/>
        <w:rPr>
          <w:rFonts w:ascii="Palatino Linotype" w:eastAsia="Palatino Linotype" w:hAnsi="Palatino Linotype" w:cs="Palatino Linotype"/>
          <w:highlight w:val="white"/>
        </w:rPr>
      </w:pPr>
      <w:r w:rsidRPr="00C11D42">
        <w:rPr>
          <w:rFonts w:ascii="Palatino Linotype" w:eastAsia="Palatino Linotype" w:hAnsi="Palatino Linotype" w:cs="Palatino Linotype"/>
          <w:b/>
          <w:bCs/>
        </w:rPr>
        <w:t xml:space="preserve">TERCERO. </w:t>
      </w:r>
      <w:r w:rsidRPr="00C11D42">
        <w:rPr>
          <w:rFonts w:ascii="Palatino Linotype" w:eastAsia="Palatino Linotype" w:hAnsi="Palatino Linotype" w:cs="Palatino Linotype"/>
          <w:b/>
          <w:bCs/>
          <w:highlight w:val="white"/>
        </w:rPr>
        <w:t>NOTIFÍQUESE</w:t>
      </w:r>
      <w:r w:rsidRPr="00C11D42">
        <w:rPr>
          <w:rFonts w:ascii="Palatino Linotype" w:eastAsia="Palatino Linotype" w:hAnsi="Palatino Linotype" w:cs="Palatino Linotype"/>
          <w:highlight w:val="white"/>
        </w:rPr>
        <w:t xml:space="preserve"> la presente resolución al Titular de la Unidad de Transparencia del Sujeto Obligado </w:t>
      </w:r>
      <w:r w:rsidRPr="00C11D42">
        <w:rPr>
          <w:rFonts w:ascii="Palatino Linotype" w:eastAsia="Palatino Linotype" w:hAnsi="Palatino Linotype" w:cs="Palatino Linotype"/>
          <w:b/>
          <w:bCs/>
          <w:highlight w:val="white"/>
        </w:rPr>
        <w:t>vía SAIMEX</w:t>
      </w:r>
      <w:r w:rsidRPr="00C11D42">
        <w:rPr>
          <w:rFonts w:ascii="Palatino Linotype" w:eastAsia="Palatino Linotype" w:hAnsi="Palatino Linotype" w:cs="Palatino Linotype"/>
          <w:highlight w:val="white"/>
        </w:rPr>
        <w:t xml:space="preserve">, para que conforme al artículo 186 último párrafo, 189 segundo párrafo y 194 de la Ley de Transparencia y Acceso a la Información Pública del Estado de México y Municipios; </w:t>
      </w:r>
      <w:r w:rsidRPr="00C11D42">
        <w:rPr>
          <w:rFonts w:ascii="Palatino Linotype" w:eastAsia="Palatino Linotype" w:hAnsi="Palatino Linotype" w:cs="Palatino Linotype"/>
          <w:b/>
          <w:highlight w:val="white"/>
        </w:rPr>
        <w:t>dé cumplimiento a lo ordenado dentro del plazo de diez días hábiles</w:t>
      </w:r>
      <w:r w:rsidRPr="00C11D42">
        <w:rPr>
          <w:rFonts w:ascii="Palatino Linotype" w:eastAsia="Palatino Linotype" w:hAnsi="Palatino Linotype" w:cs="Palatino Linotype"/>
          <w:highlight w:val="whit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606C7" w:rsidRPr="00C11D42" w:rsidRDefault="002606C7" w:rsidP="002606C7">
      <w:pPr>
        <w:tabs>
          <w:tab w:val="left" w:pos="284"/>
          <w:tab w:val="left" w:pos="8080"/>
        </w:tabs>
        <w:spacing w:line="360" w:lineRule="auto"/>
        <w:ind w:right="49"/>
        <w:jc w:val="both"/>
        <w:rPr>
          <w:rFonts w:ascii="Palatino Linotype" w:eastAsia="Palatino Linotype" w:hAnsi="Palatino Linotype" w:cs="Palatino Linotype"/>
          <w:highlight w:val="white"/>
        </w:rPr>
      </w:pPr>
    </w:p>
    <w:p w:rsidR="002606C7" w:rsidRPr="00C11D42" w:rsidRDefault="002606C7" w:rsidP="002606C7">
      <w:pPr>
        <w:tabs>
          <w:tab w:val="left" w:pos="284"/>
        </w:tabs>
        <w:spacing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b/>
          <w:bCs/>
        </w:rPr>
        <w:t xml:space="preserve">CUARTO. Notifíquese </w:t>
      </w:r>
      <w:r w:rsidRPr="00C11D42">
        <w:rPr>
          <w:rFonts w:ascii="Palatino Linotype" w:eastAsia="Palatino Linotype" w:hAnsi="Palatino Linotype" w:cs="Palatino Linotype"/>
        </w:rPr>
        <w:t xml:space="preserve">al </w:t>
      </w:r>
      <w:r w:rsidRPr="00C11D42">
        <w:rPr>
          <w:rFonts w:ascii="Palatino Linotype" w:eastAsia="Palatino Linotype" w:hAnsi="Palatino Linotype" w:cs="Palatino Linotype"/>
          <w:b/>
          <w:bCs/>
        </w:rPr>
        <w:t xml:space="preserve">RECURRENTE </w:t>
      </w:r>
      <w:r w:rsidRPr="00C11D42">
        <w:rPr>
          <w:rFonts w:ascii="Palatino Linotype" w:eastAsia="Palatino Linotype" w:hAnsi="Palatino Linotype" w:cs="Palatino Linotype"/>
        </w:rPr>
        <w:t>la presente resolución a través del Sistema de Acceso a la Información Mexiquense (SAIMEX).</w:t>
      </w:r>
    </w:p>
    <w:p w:rsidR="002606C7" w:rsidRPr="00C11D42" w:rsidRDefault="002606C7" w:rsidP="002606C7">
      <w:pP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spacing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b/>
          <w:bCs/>
        </w:rPr>
        <w:t xml:space="preserve">QUINTO. </w:t>
      </w:r>
      <w:r w:rsidRPr="00C11D42">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2606C7" w:rsidRPr="00C11D42" w:rsidRDefault="002606C7" w:rsidP="002606C7">
      <w:pPr>
        <w:spacing w:before="240" w:after="360" w:line="360" w:lineRule="auto"/>
        <w:jc w:val="both"/>
        <w:rPr>
          <w:rFonts w:ascii="Palatino Linotype" w:eastAsia="Palatino Linotype" w:hAnsi="Palatino Linotype" w:cs="Palatino Linotype"/>
        </w:rPr>
      </w:pPr>
      <w:r w:rsidRPr="00C11D42">
        <w:rPr>
          <w:rFonts w:ascii="Palatino Linotype" w:eastAsia="Palatino Linotype" w:hAnsi="Palatino Linotype" w:cs="Palatino Linotype"/>
          <w:b/>
          <w:bCs/>
        </w:rPr>
        <w:lastRenderedPageBreak/>
        <w:t>SEXTO.</w:t>
      </w:r>
      <w:r w:rsidRPr="00C11D42">
        <w:rPr>
          <w:rFonts w:ascii="Palatino Linotype" w:eastAsia="Palatino Linotype" w:hAnsi="Palatino Linotype" w:cs="Palatino Linotype"/>
        </w:rPr>
        <w:t xml:space="preserve"> Se hace del conocimiento del </w:t>
      </w:r>
      <w:r w:rsidRPr="00C11D42">
        <w:rPr>
          <w:rFonts w:ascii="Palatino Linotype" w:eastAsia="Palatino Linotype" w:hAnsi="Palatino Linotype" w:cs="Palatino Linotype"/>
          <w:b/>
          <w:bCs/>
        </w:rPr>
        <w:t xml:space="preserve">Recurrente </w:t>
      </w:r>
      <w:r w:rsidRPr="00C11D42">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740737" w:rsidRPr="00C11D42" w:rsidRDefault="00740737" w:rsidP="00740737">
      <w:pPr>
        <w:spacing w:before="240" w:after="240" w:line="360" w:lineRule="auto"/>
        <w:ind w:firstLine="1"/>
        <w:jc w:val="both"/>
        <w:rPr>
          <w:rFonts w:ascii="Palatino Linotype" w:hAnsi="Palatino Linotype"/>
        </w:rPr>
      </w:pPr>
      <w:bookmarkStart w:id="8" w:name="_Hlk99014733"/>
      <w:r w:rsidRPr="00C11D4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C11D42">
        <w:rPr>
          <w:rFonts w:ascii="Palatino Linotype" w:hAnsi="Palatino Linotype" w:cs="Palatino Linotype"/>
          <w:color w:val="000000" w:themeColor="text1"/>
        </w:rPr>
        <w:t>ALEXIS TAPIA RAMÍREZ.</w:t>
      </w:r>
    </w:p>
    <w:bookmarkEnd w:id="8"/>
    <w:p w:rsidR="002606C7" w:rsidRPr="00C11D42" w:rsidRDefault="002606C7" w:rsidP="002606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ind w:left="720"/>
        <w:rPr>
          <w:rFonts w:ascii="Palatino Linotype" w:eastAsia="Palatino Linotype" w:hAnsi="Palatino Linotype" w:cs="Palatino Linotype"/>
        </w:rPr>
      </w:pPr>
    </w:p>
    <w:p w:rsidR="002606C7" w:rsidRPr="00C11D42" w:rsidRDefault="002606C7" w:rsidP="002606C7">
      <w:pPr>
        <w:pBdr>
          <w:top w:val="nil"/>
          <w:left w:val="nil"/>
          <w:bottom w:val="nil"/>
          <w:right w:val="nil"/>
          <w:between w:val="nil"/>
        </w:pBdr>
        <w:spacing w:line="360" w:lineRule="auto"/>
        <w:jc w:val="both"/>
        <w:rPr>
          <w:rFonts w:ascii="Palatino Linotype" w:eastAsia="Palatino Linotype" w:hAnsi="Palatino Linotype" w:cs="Palatino Linotype"/>
        </w:rPr>
      </w:pPr>
    </w:p>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2606C7" w:rsidRPr="00C11D42" w:rsidRDefault="002606C7" w:rsidP="002606C7"/>
    <w:p w:rsidR="00070680" w:rsidRPr="00C11D42" w:rsidRDefault="00070680"/>
    <w:sectPr w:rsidR="00070680" w:rsidRPr="00C11D42" w:rsidSect="00C11D42">
      <w:headerReference w:type="even" r:id="rId8"/>
      <w:headerReference w:type="default" r:id="rId9"/>
      <w:footerReference w:type="default" r:id="rId10"/>
      <w:headerReference w:type="first" r:id="rId11"/>
      <w:footerReference w:type="first" r:id="rId1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9BA" w:rsidRDefault="00FE09BA" w:rsidP="002606C7">
      <w:r>
        <w:separator/>
      </w:r>
    </w:p>
  </w:endnote>
  <w:endnote w:type="continuationSeparator" w:id="0">
    <w:p w:rsidR="00FE09BA" w:rsidRDefault="00FE09BA" w:rsidP="00260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7A" w:rsidRPr="00C11D42" w:rsidRDefault="00953C7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C11D42">
      <w:rPr>
        <w:rFonts w:ascii="Palatino Linotype" w:hAnsi="Palatino Linotype"/>
        <w:color w:val="000000"/>
        <w:sz w:val="22"/>
      </w:rPr>
      <w:t xml:space="preserve">Página </w:t>
    </w:r>
    <w:r w:rsidRPr="00C11D42">
      <w:rPr>
        <w:rFonts w:ascii="Palatino Linotype" w:hAnsi="Palatino Linotype"/>
        <w:b/>
        <w:bCs/>
        <w:color w:val="000000"/>
        <w:sz w:val="22"/>
      </w:rPr>
      <w:fldChar w:fldCharType="begin"/>
    </w:r>
    <w:r w:rsidRPr="00C11D42">
      <w:rPr>
        <w:rFonts w:ascii="Palatino Linotype" w:hAnsi="Palatino Linotype"/>
        <w:b/>
        <w:bCs/>
        <w:color w:val="000000"/>
        <w:sz w:val="22"/>
      </w:rPr>
      <w:instrText>PAGE</w:instrText>
    </w:r>
    <w:r w:rsidRPr="00C11D42">
      <w:rPr>
        <w:rFonts w:ascii="Palatino Linotype" w:hAnsi="Palatino Linotype"/>
        <w:b/>
        <w:bCs/>
        <w:color w:val="000000"/>
        <w:sz w:val="22"/>
      </w:rPr>
      <w:fldChar w:fldCharType="separate"/>
    </w:r>
    <w:r w:rsidR="002B2A09">
      <w:rPr>
        <w:rFonts w:ascii="Palatino Linotype" w:hAnsi="Palatino Linotype"/>
        <w:b/>
        <w:bCs/>
        <w:noProof/>
        <w:color w:val="000000"/>
        <w:sz w:val="22"/>
      </w:rPr>
      <w:t>3</w:t>
    </w:r>
    <w:r w:rsidRPr="00C11D42">
      <w:rPr>
        <w:rFonts w:ascii="Palatino Linotype" w:hAnsi="Palatino Linotype"/>
        <w:b/>
        <w:bCs/>
        <w:color w:val="000000"/>
        <w:sz w:val="22"/>
      </w:rPr>
      <w:fldChar w:fldCharType="end"/>
    </w:r>
    <w:r w:rsidRPr="00C11D42">
      <w:rPr>
        <w:rFonts w:ascii="Palatino Linotype" w:hAnsi="Palatino Linotype"/>
        <w:color w:val="000000"/>
        <w:sz w:val="22"/>
      </w:rPr>
      <w:t xml:space="preserve"> de </w:t>
    </w:r>
    <w:r w:rsidRPr="00C11D42">
      <w:rPr>
        <w:rFonts w:ascii="Palatino Linotype" w:hAnsi="Palatino Linotype"/>
        <w:b/>
        <w:bCs/>
        <w:color w:val="000000"/>
        <w:sz w:val="22"/>
      </w:rPr>
      <w:fldChar w:fldCharType="begin"/>
    </w:r>
    <w:r w:rsidRPr="00C11D42">
      <w:rPr>
        <w:rFonts w:ascii="Palatino Linotype" w:hAnsi="Palatino Linotype"/>
        <w:b/>
        <w:bCs/>
        <w:color w:val="000000"/>
        <w:sz w:val="22"/>
      </w:rPr>
      <w:instrText>NUMPAGES</w:instrText>
    </w:r>
    <w:r w:rsidRPr="00C11D42">
      <w:rPr>
        <w:rFonts w:ascii="Palatino Linotype" w:hAnsi="Palatino Linotype"/>
        <w:b/>
        <w:bCs/>
        <w:color w:val="000000"/>
        <w:sz w:val="22"/>
      </w:rPr>
      <w:fldChar w:fldCharType="separate"/>
    </w:r>
    <w:r w:rsidR="002B2A09">
      <w:rPr>
        <w:rFonts w:ascii="Palatino Linotype" w:hAnsi="Palatino Linotype"/>
        <w:b/>
        <w:bCs/>
        <w:noProof/>
        <w:color w:val="000000"/>
        <w:sz w:val="22"/>
      </w:rPr>
      <w:t>23</w:t>
    </w:r>
    <w:r w:rsidRPr="00C11D42">
      <w:rPr>
        <w:rFonts w:ascii="Palatino Linotype" w:hAnsi="Palatino Linotype"/>
        <w:b/>
        <w:bCs/>
        <w:color w:val="000000"/>
        <w:sz w:val="22"/>
      </w:rPr>
      <w:fldChar w:fldCharType="end"/>
    </w:r>
  </w:p>
  <w:p w:rsidR="00953C7A" w:rsidRDefault="00953C7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7A" w:rsidRPr="00C11D42" w:rsidRDefault="00953C7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C11D42">
      <w:rPr>
        <w:rFonts w:ascii="Palatino Linotype" w:hAnsi="Palatino Linotype"/>
        <w:color w:val="000000"/>
        <w:sz w:val="22"/>
      </w:rPr>
      <w:t xml:space="preserve">Página </w:t>
    </w:r>
    <w:r w:rsidRPr="00C11D42">
      <w:rPr>
        <w:rFonts w:ascii="Palatino Linotype" w:hAnsi="Palatino Linotype"/>
        <w:b/>
        <w:bCs/>
        <w:color w:val="000000"/>
        <w:sz w:val="22"/>
      </w:rPr>
      <w:fldChar w:fldCharType="begin"/>
    </w:r>
    <w:r w:rsidRPr="00C11D42">
      <w:rPr>
        <w:rFonts w:ascii="Palatino Linotype" w:hAnsi="Palatino Linotype"/>
        <w:b/>
        <w:bCs/>
        <w:color w:val="000000"/>
        <w:sz w:val="22"/>
      </w:rPr>
      <w:instrText>PAGE</w:instrText>
    </w:r>
    <w:r w:rsidRPr="00C11D42">
      <w:rPr>
        <w:rFonts w:ascii="Palatino Linotype" w:hAnsi="Palatino Linotype"/>
        <w:b/>
        <w:bCs/>
        <w:color w:val="000000"/>
        <w:sz w:val="22"/>
      </w:rPr>
      <w:fldChar w:fldCharType="separate"/>
    </w:r>
    <w:r w:rsidR="002B2A09">
      <w:rPr>
        <w:rFonts w:ascii="Palatino Linotype" w:hAnsi="Palatino Linotype"/>
        <w:b/>
        <w:bCs/>
        <w:noProof/>
        <w:color w:val="000000"/>
        <w:sz w:val="22"/>
      </w:rPr>
      <w:t>1</w:t>
    </w:r>
    <w:r w:rsidRPr="00C11D42">
      <w:rPr>
        <w:rFonts w:ascii="Palatino Linotype" w:hAnsi="Palatino Linotype"/>
        <w:b/>
        <w:bCs/>
        <w:color w:val="000000"/>
        <w:sz w:val="22"/>
      </w:rPr>
      <w:fldChar w:fldCharType="end"/>
    </w:r>
    <w:r w:rsidRPr="00C11D42">
      <w:rPr>
        <w:rFonts w:ascii="Palatino Linotype" w:hAnsi="Palatino Linotype"/>
        <w:color w:val="000000"/>
        <w:sz w:val="22"/>
      </w:rPr>
      <w:t xml:space="preserve"> de </w:t>
    </w:r>
    <w:r w:rsidRPr="00C11D42">
      <w:rPr>
        <w:rFonts w:ascii="Palatino Linotype" w:hAnsi="Palatino Linotype"/>
        <w:b/>
        <w:bCs/>
        <w:color w:val="000000"/>
        <w:sz w:val="22"/>
      </w:rPr>
      <w:fldChar w:fldCharType="begin"/>
    </w:r>
    <w:r w:rsidRPr="00C11D42">
      <w:rPr>
        <w:rFonts w:ascii="Palatino Linotype" w:hAnsi="Palatino Linotype"/>
        <w:b/>
        <w:bCs/>
        <w:color w:val="000000"/>
        <w:sz w:val="22"/>
      </w:rPr>
      <w:instrText>NUMPAGES</w:instrText>
    </w:r>
    <w:r w:rsidRPr="00C11D42">
      <w:rPr>
        <w:rFonts w:ascii="Palatino Linotype" w:hAnsi="Palatino Linotype"/>
        <w:b/>
        <w:bCs/>
        <w:color w:val="000000"/>
        <w:sz w:val="22"/>
      </w:rPr>
      <w:fldChar w:fldCharType="separate"/>
    </w:r>
    <w:r w:rsidR="002B2A09">
      <w:rPr>
        <w:rFonts w:ascii="Palatino Linotype" w:hAnsi="Palatino Linotype"/>
        <w:b/>
        <w:bCs/>
        <w:noProof/>
        <w:color w:val="000000"/>
        <w:sz w:val="22"/>
      </w:rPr>
      <w:t>23</w:t>
    </w:r>
    <w:r w:rsidRPr="00C11D42">
      <w:rPr>
        <w:rFonts w:ascii="Palatino Linotype" w:hAnsi="Palatino Linotype"/>
        <w:b/>
        <w:bCs/>
        <w:color w:val="000000"/>
        <w:sz w:val="22"/>
      </w:rPr>
      <w:fldChar w:fldCharType="end"/>
    </w:r>
  </w:p>
  <w:p w:rsidR="00953C7A" w:rsidRDefault="00953C7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9BA" w:rsidRDefault="00FE09BA" w:rsidP="002606C7">
      <w:r>
        <w:separator/>
      </w:r>
    </w:p>
  </w:footnote>
  <w:footnote w:type="continuationSeparator" w:id="0">
    <w:p w:rsidR="00FE09BA" w:rsidRDefault="00FE09BA" w:rsidP="002606C7">
      <w:r>
        <w:continuationSeparator/>
      </w:r>
    </w:p>
  </w:footnote>
  <w:footnote w:id="1">
    <w:p w:rsidR="00D441F5" w:rsidRDefault="00D441F5" w:rsidP="00D441F5">
      <w:pPr>
        <w:pStyle w:val="Textonotapie"/>
      </w:pPr>
      <w:r>
        <w:rPr>
          <w:rStyle w:val="Refdenotaalpie"/>
        </w:rPr>
        <w:footnoteRef/>
      </w:r>
      <w:r>
        <w:t xml:space="preserve"> Convención Americana sobre Derechos Humanos. Artículo 13.</w:t>
      </w:r>
    </w:p>
  </w:footnote>
  <w:footnote w:id="2">
    <w:p w:rsidR="00D441F5" w:rsidRDefault="00D441F5" w:rsidP="00D441F5">
      <w:pPr>
        <w:pStyle w:val="Textonotapie"/>
      </w:pPr>
      <w:r>
        <w:rPr>
          <w:rStyle w:val="Refdenotaalpie"/>
        </w:rPr>
        <w:footnoteRef/>
      </w:r>
      <w:r>
        <w:t xml:space="preserve"> Constitución Política de los Estados Unidos Mexicanos. Artículo sexto, sección A, Fracción I.</w:t>
      </w:r>
    </w:p>
  </w:footnote>
  <w:footnote w:id="3">
    <w:p w:rsidR="00D441F5" w:rsidRDefault="00D441F5" w:rsidP="00D441F5">
      <w:pPr>
        <w:pStyle w:val="Textonotapie"/>
      </w:pPr>
      <w:r>
        <w:rPr>
          <w:rStyle w:val="Refdenotaalpie"/>
        </w:rPr>
        <w:footnoteRef/>
      </w:r>
      <w:r>
        <w:t xml:space="preserve"> Corte Interamericana de Derechos Humanos. Caso Claude Reyes y otros vs Chile. Sentencia de 19 de septiembre de 2006. Serie C. No. 151. Párr. 86.</w:t>
      </w:r>
    </w:p>
  </w:footnote>
  <w:footnote w:id="4">
    <w:p w:rsidR="00D441F5" w:rsidRDefault="00D441F5" w:rsidP="00D441F5">
      <w:pPr>
        <w:pStyle w:val="Textonotapie"/>
      </w:pPr>
      <w:r>
        <w:rPr>
          <w:rStyle w:val="Refdenotaalpie"/>
        </w:rPr>
        <w:footnoteRef/>
      </w:r>
      <w:r>
        <w:t xml:space="preserve"> Ibídem. Párr. 87.</w:t>
      </w:r>
    </w:p>
  </w:footnote>
  <w:footnote w:id="5">
    <w:p w:rsidR="00D441F5" w:rsidRDefault="00D441F5" w:rsidP="00D441F5">
      <w:pPr>
        <w:pStyle w:val="Textonotapie"/>
      </w:pPr>
      <w:r>
        <w:rPr>
          <w:rStyle w:val="Refdenotaalpie"/>
        </w:rPr>
        <w:footnoteRef/>
      </w:r>
      <w: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89286F">
          <w:rPr>
            <w:rStyle w:val="Hipervnculo"/>
          </w:rPr>
          <w:t>http://www.oas.org/es/cidh/expresion/documentos_basicos/declaraciones.asp</w:t>
        </w:r>
      </w:hyperlink>
      <w:r>
        <w:t>.</w:t>
      </w:r>
    </w:p>
  </w:footnote>
  <w:footnote w:id="6">
    <w:p w:rsidR="00D441F5" w:rsidRDefault="00D441F5" w:rsidP="00D441F5">
      <w:pPr>
        <w:pStyle w:val="Textonotapie"/>
      </w:pPr>
      <w:r>
        <w:rPr>
          <w:rStyle w:val="Refdenotaalpie"/>
        </w:rPr>
        <w:footnoteRef/>
      </w:r>
      <w:r>
        <w:t xml:space="preserve"> Artículo 150. Ley de Transparencia y Acceso a la Información Pública del Estado de México y Municipios.</w:t>
      </w:r>
    </w:p>
    <w:p w:rsidR="00D441F5" w:rsidRDefault="00D441F5" w:rsidP="00D441F5">
      <w:pPr>
        <w:pStyle w:val="Textonotapie"/>
      </w:pPr>
      <w:r>
        <w:t>Artículo 151. Ibídem.</w:t>
      </w:r>
    </w:p>
  </w:footnote>
  <w:footnote w:id="7">
    <w:p w:rsidR="00D441F5" w:rsidRDefault="00D441F5" w:rsidP="00D441F5">
      <w:pPr>
        <w:pStyle w:val="Textonotapie"/>
      </w:pPr>
      <w:r>
        <w:rPr>
          <w:rStyle w:val="Refdenotaalpie"/>
        </w:rPr>
        <w:footnoteRef/>
      </w:r>
      <w:r>
        <w:t xml:space="preserve"> Ley de Transparencia y Acceso a la Información Pública del Estado de México y Municipios. Artículo 9. …</w:t>
      </w:r>
    </w:p>
    <w:p w:rsidR="00D441F5" w:rsidRDefault="00D441F5" w:rsidP="00D441F5">
      <w:pPr>
        <w:pStyle w:val="Textonotapie"/>
      </w:pPr>
      <w:r>
        <w:t>II. Eficacia: Obligación del Instituto para tutelar, de manera efectiva, el derecho de acceso a la información;</w:t>
      </w:r>
    </w:p>
    <w:p w:rsidR="00D441F5" w:rsidRDefault="00D441F5" w:rsidP="00D441F5">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7A" w:rsidRDefault="00FE09B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0;margin-top:0;width:589.8pt;height:768pt;z-index:-25165977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953C7A" w:rsidTr="00C11D42">
      <w:trPr>
        <w:trHeight w:val="1435"/>
      </w:trPr>
      <w:tc>
        <w:tcPr>
          <w:tcW w:w="2268" w:type="dxa"/>
          <w:shd w:val="clear" w:color="auto" w:fill="auto"/>
        </w:tcPr>
        <w:p w:rsidR="00953C7A" w:rsidRDefault="00953C7A">
          <w:pPr>
            <w:tabs>
              <w:tab w:val="right" w:pos="4273"/>
            </w:tabs>
            <w:rPr>
              <w:rFonts w:ascii="Garamond" w:eastAsia="Garamond" w:hAnsi="Garamond" w:cs="Garamond"/>
              <w:sz w:val="16"/>
              <w:szCs w:val="16"/>
            </w:rPr>
          </w:pPr>
        </w:p>
      </w:tc>
      <w:tc>
        <w:tcPr>
          <w:tcW w:w="8222" w:type="dxa"/>
          <w:shd w:val="clear" w:color="auto" w:fill="auto"/>
        </w:tcPr>
        <w:tbl>
          <w:tblPr>
            <w:tblW w:w="8216" w:type="dxa"/>
            <w:tblInd w:w="459" w:type="dxa"/>
            <w:tblLayout w:type="fixed"/>
            <w:tblLook w:val="0400" w:firstRow="0" w:lastRow="0" w:firstColumn="0" w:lastColumn="0" w:noHBand="0" w:noVBand="1"/>
          </w:tblPr>
          <w:tblGrid>
            <w:gridCol w:w="2829"/>
            <w:gridCol w:w="5387"/>
          </w:tblGrid>
          <w:tr w:rsidR="00953C7A" w:rsidTr="00C11D42">
            <w:trPr>
              <w:trHeight w:val="150"/>
            </w:trPr>
            <w:tc>
              <w:tcPr>
                <w:tcW w:w="2829" w:type="dxa"/>
                <w:shd w:val="clear" w:color="auto" w:fill="auto"/>
              </w:tcPr>
              <w:p w:rsidR="00953C7A" w:rsidRPr="00C11D42" w:rsidRDefault="00953C7A">
                <w:pPr>
                  <w:tabs>
                    <w:tab w:val="right" w:pos="8838"/>
                  </w:tabs>
                  <w:ind w:right="-10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Recurso de Revisión:</w:t>
                </w:r>
              </w:p>
            </w:tc>
            <w:tc>
              <w:tcPr>
                <w:tcW w:w="5387" w:type="dxa"/>
                <w:shd w:val="clear" w:color="auto" w:fill="auto"/>
              </w:tcPr>
              <w:p w:rsidR="00953C7A" w:rsidRPr="00C11D42" w:rsidRDefault="00740737" w:rsidP="00C11D42">
                <w:pPr>
                  <w:tabs>
                    <w:tab w:val="right" w:pos="8838"/>
                  </w:tabs>
                  <w:ind w:left="-108" w:right="-1090"/>
                  <w:rPr>
                    <w:rFonts w:ascii="Palatino Linotype" w:eastAsia="Palatino Linotype" w:hAnsi="Palatino Linotype" w:cs="Palatino Linotype"/>
                    <w:szCs w:val="22"/>
                  </w:rPr>
                </w:pPr>
                <w:r w:rsidRPr="00C11D42">
                  <w:rPr>
                    <w:rFonts w:ascii="Palatino Linotype" w:eastAsia="Palatino Linotype" w:hAnsi="Palatino Linotype" w:cs="Palatino Linotype"/>
                    <w:szCs w:val="22"/>
                  </w:rPr>
                  <w:t>02418/INFOEM/IP/RR/2026</w:t>
                </w:r>
                <w:r w:rsidR="00953C7A" w:rsidRPr="00C11D42">
                  <w:rPr>
                    <w:rFonts w:ascii="Palatino Linotype" w:eastAsia="Palatino Linotype" w:hAnsi="Palatino Linotype" w:cs="Palatino Linotype"/>
                    <w:b/>
                    <w:bCs/>
                    <w:szCs w:val="22"/>
                  </w:rPr>
                  <w:t xml:space="preserve"> </w:t>
                </w:r>
              </w:p>
            </w:tc>
          </w:tr>
          <w:tr w:rsidR="00953C7A" w:rsidTr="00C11D42">
            <w:trPr>
              <w:trHeight w:val="295"/>
            </w:trPr>
            <w:tc>
              <w:tcPr>
                <w:tcW w:w="2829" w:type="dxa"/>
                <w:shd w:val="clear" w:color="auto" w:fill="auto"/>
              </w:tcPr>
              <w:p w:rsidR="00953C7A" w:rsidRPr="00C11D42" w:rsidRDefault="00953C7A">
                <w:pPr>
                  <w:tabs>
                    <w:tab w:val="right" w:pos="8838"/>
                  </w:tabs>
                  <w:ind w:right="-10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Sujeto Obligado:</w:t>
                </w:r>
              </w:p>
            </w:tc>
            <w:tc>
              <w:tcPr>
                <w:tcW w:w="5387" w:type="dxa"/>
                <w:shd w:val="clear" w:color="auto" w:fill="auto"/>
              </w:tcPr>
              <w:p w:rsidR="00740737" w:rsidRPr="00C11D42" w:rsidRDefault="00953C7A" w:rsidP="00C11D42">
                <w:pPr>
                  <w:tabs>
                    <w:tab w:val="left" w:pos="2834"/>
                    <w:tab w:val="right" w:pos="8838"/>
                  </w:tabs>
                  <w:ind w:left="-108" w:right="-1090"/>
                  <w:rPr>
                    <w:rFonts w:ascii="Palatino Linotype" w:eastAsia="Palatino Linotype" w:hAnsi="Palatino Linotype" w:cs="Palatino Linotype"/>
                    <w:bCs/>
                    <w:szCs w:val="22"/>
                  </w:rPr>
                </w:pPr>
                <w:r w:rsidRPr="00C11D42">
                  <w:rPr>
                    <w:rFonts w:ascii="Palatino Linotype" w:eastAsia="Palatino Linotype" w:hAnsi="Palatino Linotype" w:cs="Palatino Linotype"/>
                    <w:bCs/>
                    <w:szCs w:val="22"/>
                  </w:rPr>
                  <w:t>Organismo Público Descentralizado</w:t>
                </w:r>
              </w:p>
              <w:p w:rsidR="00953C7A" w:rsidRPr="00C11D42" w:rsidRDefault="00953C7A" w:rsidP="00C11D42">
                <w:pPr>
                  <w:tabs>
                    <w:tab w:val="right" w:pos="8838"/>
                  </w:tabs>
                  <w:ind w:left="-108" w:right="459"/>
                  <w:rPr>
                    <w:rFonts w:ascii="Palatino Linotype" w:eastAsia="Palatino Linotype" w:hAnsi="Palatino Linotype" w:cs="Palatino Linotype"/>
                    <w:bCs/>
                    <w:szCs w:val="22"/>
                  </w:rPr>
                </w:pPr>
                <w:r w:rsidRPr="00C11D42">
                  <w:rPr>
                    <w:rFonts w:ascii="Palatino Linotype" w:eastAsia="Palatino Linotype" w:hAnsi="Palatino Linotype" w:cs="Palatino Linotype"/>
                    <w:bCs/>
                    <w:szCs w:val="22"/>
                  </w:rPr>
                  <w:t>para la Prestación de Servicios de Agua</w:t>
                </w:r>
                <w:r w:rsidR="00C11D42">
                  <w:rPr>
                    <w:rFonts w:ascii="Palatino Linotype" w:eastAsia="Palatino Linotype" w:hAnsi="Palatino Linotype" w:cs="Palatino Linotype"/>
                    <w:bCs/>
                    <w:szCs w:val="22"/>
                  </w:rPr>
                  <w:t xml:space="preserve"> </w:t>
                </w:r>
                <w:r w:rsidRPr="00C11D42">
                  <w:rPr>
                    <w:rFonts w:ascii="Palatino Linotype" w:eastAsia="Palatino Linotype" w:hAnsi="Palatino Linotype" w:cs="Palatino Linotype"/>
                    <w:bCs/>
                    <w:szCs w:val="22"/>
                  </w:rPr>
                  <w:t>Potable Alcantarillado y Saneamiento de Coacalco de Berriozábal</w:t>
                </w:r>
              </w:p>
            </w:tc>
          </w:tr>
          <w:tr w:rsidR="00953C7A" w:rsidTr="00C11D42">
            <w:trPr>
              <w:trHeight w:val="295"/>
            </w:trPr>
            <w:tc>
              <w:tcPr>
                <w:tcW w:w="2829" w:type="dxa"/>
                <w:shd w:val="clear" w:color="auto" w:fill="auto"/>
              </w:tcPr>
              <w:p w:rsidR="00953C7A" w:rsidRPr="00C11D42" w:rsidRDefault="00953C7A">
                <w:pPr>
                  <w:tabs>
                    <w:tab w:val="right" w:pos="8838"/>
                  </w:tabs>
                  <w:ind w:right="-10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Comisionado ponente:</w:t>
                </w:r>
              </w:p>
            </w:tc>
            <w:tc>
              <w:tcPr>
                <w:tcW w:w="5387" w:type="dxa"/>
                <w:shd w:val="clear" w:color="auto" w:fill="auto"/>
              </w:tcPr>
              <w:p w:rsidR="00953C7A" w:rsidRPr="00C11D42" w:rsidRDefault="00953C7A" w:rsidP="00C11D42">
                <w:pPr>
                  <w:tabs>
                    <w:tab w:val="right" w:pos="8838"/>
                  </w:tabs>
                  <w:ind w:left="-108" w:right="-1090"/>
                  <w:rPr>
                    <w:rFonts w:ascii="Palatino Linotype" w:eastAsia="Palatino Linotype" w:hAnsi="Palatino Linotype" w:cs="Palatino Linotype"/>
                    <w:szCs w:val="22"/>
                  </w:rPr>
                </w:pPr>
                <w:r w:rsidRPr="00C11D42">
                  <w:rPr>
                    <w:rFonts w:ascii="Palatino Linotype" w:eastAsia="Palatino Linotype" w:hAnsi="Palatino Linotype" w:cs="Palatino Linotype"/>
                    <w:szCs w:val="22"/>
                  </w:rPr>
                  <w:t>María del Rosario Mejía Ayala</w:t>
                </w:r>
              </w:p>
              <w:p w:rsidR="00953C7A" w:rsidRPr="00C11D42" w:rsidRDefault="00953C7A" w:rsidP="00C11D42">
                <w:pPr>
                  <w:tabs>
                    <w:tab w:val="right" w:pos="8838"/>
                  </w:tabs>
                  <w:ind w:left="-108" w:right="-1090"/>
                  <w:rPr>
                    <w:rFonts w:ascii="Palatino Linotype" w:eastAsia="Palatino Linotype" w:hAnsi="Palatino Linotype" w:cs="Palatino Linotype"/>
                    <w:b/>
                    <w:bCs/>
                    <w:szCs w:val="22"/>
                  </w:rPr>
                </w:pPr>
              </w:p>
            </w:tc>
          </w:tr>
        </w:tbl>
        <w:p w:rsidR="00953C7A" w:rsidRDefault="00953C7A">
          <w:pPr>
            <w:tabs>
              <w:tab w:val="right" w:pos="8838"/>
            </w:tabs>
            <w:ind w:left="-28"/>
            <w:jc w:val="both"/>
            <w:rPr>
              <w:rFonts w:ascii="Arial" w:eastAsia="Arial" w:hAnsi="Arial" w:cs="Arial"/>
              <w:b/>
              <w:bCs/>
              <w:sz w:val="22"/>
              <w:szCs w:val="22"/>
            </w:rPr>
          </w:pPr>
        </w:p>
      </w:tc>
    </w:tr>
  </w:tbl>
  <w:p w:rsidR="00953C7A" w:rsidRDefault="00FE09BA">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9.65pt;margin-top:-155.15pt;width:589.8pt;height:768pt;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5"/>
      <w:gridCol w:w="8225"/>
    </w:tblGrid>
    <w:tr w:rsidR="00953C7A" w:rsidTr="00C11D42">
      <w:trPr>
        <w:trHeight w:val="1435"/>
      </w:trPr>
      <w:tc>
        <w:tcPr>
          <w:tcW w:w="2265" w:type="dxa"/>
          <w:shd w:val="clear" w:color="auto" w:fill="auto"/>
        </w:tcPr>
        <w:p w:rsidR="00953C7A" w:rsidRDefault="00953C7A">
          <w:pPr>
            <w:tabs>
              <w:tab w:val="right" w:pos="4273"/>
            </w:tabs>
            <w:rPr>
              <w:rFonts w:ascii="Garamond" w:eastAsia="Garamond" w:hAnsi="Garamond" w:cs="Garamond"/>
              <w:sz w:val="22"/>
              <w:szCs w:val="22"/>
            </w:rPr>
          </w:pPr>
        </w:p>
      </w:tc>
      <w:tc>
        <w:tcPr>
          <w:tcW w:w="8225" w:type="dxa"/>
          <w:shd w:val="clear" w:color="auto" w:fill="auto"/>
        </w:tcPr>
        <w:tbl>
          <w:tblPr>
            <w:tblW w:w="8077" w:type="dxa"/>
            <w:tblInd w:w="40" w:type="dxa"/>
            <w:tblLayout w:type="fixed"/>
            <w:tblLook w:val="0400" w:firstRow="0" w:lastRow="0" w:firstColumn="0" w:lastColumn="0" w:noHBand="0" w:noVBand="1"/>
          </w:tblPr>
          <w:tblGrid>
            <w:gridCol w:w="2832"/>
            <w:gridCol w:w="5245"/>
          </w:tblGrid>
          <w:tr w:rsidR="00953C7A" w:rsidTr="00C11D42">
            <w:trPr>
              <w:trHeight w:val="144"/>
            </w:trPr>
            <w:tc>
              <w:tcPr>
                <w:tcW w:w="2832" w:type="dxa"/>
                <w:shd w:val="clear" w:color="auto" w:fill="auto"/>
              </w:tcPr>
              <w:p w:rsidR="00953C7A" w:rsidRPr="00C11D42" w:rsidRDefault="00953C7A">
                <w:pPr>
                  <w:tabs>
                    <w:tab w:val="right" w:pos="8838"/>
                  </w:tabs>
                  <w:ind w:left="-264" w:right="-105" w:firstLine="19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Recurso de Revisión:</w:t>
                </w:r>
              </w:p>
            </w:tc>
            <w:tc>
              <w:tcPr>
                <w:tcW w:w="5245" w:type="dxa"/>
                <w:shd w:val="clear" w:color="auto" w:fill="auto"/>
              </w:tcPr>
              <w:p w:rsidR="00953C7A" w:rsidRPr="00C11D42" w:rsidRDefault="00953C7A" w:rsidP="00C11D42">
                <w:pPr>
                  <w:tabs>
                    <w:tab w:val="right" w:pos="8838"/>
                  </w:tabs>
                  <w:ind w:left="-74" w:right="-1269"/>
                  <w:rPr>
                    <w:rFonts w:ascii="Palatino Linotype" w:eastAsia="Palatino Linotype" w:hAnsi="Palatino Linotype" w:cs="Palatino Linotype"/>
                    <w:szCs w:val="22"/>
                  </w:rPr>
                </w:pPr>
                <w:r w:rsidRPr="00C11D42">
                  <w:rPr>
                    <w:rFonts w:ascii="Palatino Linotype" w:eastAsia="Palatino Linotype" w:hAnsi="Palatino Linotype" w:cs="Palatino Linotype"/>
                    <w:szCs w:val="22"/>
                  </w:rPr>
                  <w:t>02418/INFOEM/IP/RR/2026</w:t>
                </w:r>
              </w:p>
            </w:tc>
          </w:tr>
          <w:tr w:rsidR="00953C7A" w:rsidTr="00C11D42">
            <w:trPr>
              <w:trHeight w:val="144"/>
            </w:trPr>
            <w:tc>
              <w:tcPr>
                <w:tcW w:w="2832" w:type="dxa"/>
                <w:shd w:val="clear" w:color="auto" w:fill="auto"/>
              </w:tcPr>
              <w:p w:rsidR="00953C7A" w:rsidRPr="00C11D42" w:rsidRDefault="00953C7A">
                <w:pPr>
                  <w:tabs>
                    <w:tab w:val="right" w:pos="8838"/>
                  </w:tabs>
                  <w:ind w:left="-74" w:right="-10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Recurrente:</w:t>
                </w:r>
              </w:p>
            </w:tc>
            <w:tc>
              <w:tcPr>
                <w:tcW w:w="5245" w:type="dxa"/>
                <w:shd w:val="clear" w:color="auto" w:fill="auto"/>
              </w:tcPr>
              <w:p w:rsidR="00953C7A" w:rsidRPr="00C11D42" w:rsidRDefault="002B2A09" w:rsidP="00C11D42">
                <w:pPr>
                  <w:tabs>
                    <w:tab w:val="left" w:pos="3122"/>
                    <w:tab w:val="right" w:pos="8838"/>
                  </w:tabs>
                  <w:ind w:left="-74" w:right="-1269"/>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p>
            </w:tc>
          </w:tr>
          <w:tr w:rsidR="00953C7A" w:rsidTr="00C11D42">
            <w:trPr>
              <w:trHeight w:val="283"/>
            </w:trPr>
            <w:tc>
              <w:tcPr>
                <w:tcW w:w="2832" w:type="dxa"/>
                <w:shd w:val="clear" w:color="auto" w:fill="auto"/>
              </w:tcPr>
              <w:p w:rsidR="00953C7A" w:rsidRPr="00C11D42" w:rsidRDefault="00953C7A">
                <w:pPr>
                  <w:tabs>
                    <w:tab w:val="right" w:pos="8838"/>
                  </w:tabs>
                  <w:ind w:left="-74" w:right="-10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Sujeto Obligado:</w:t>
                </w:r>
              </w:p>
            </w:tc>
            <w:tc>
              <w:tcPr>
                <w:tcW w:w="5245" w:type="dxa"/>
                <w:shd w:val="clear" w:color="auto" w:fill="auto"/>
              </w:tcPr>
              <w:p w:rsidR="00953C7A" w:rsidRPr="00C11D42" w:rsidRDefault="00953C7A" w:rsidP="00C11D42">
                <w:pPr>
                  <w:tabs>
                    <w:tab w:val="left" w:pos="2834"/>
                    <w:tab w:val="right" w:pos="8838"/>
                  </w:tabs>
                  <w:ind w:left="-74" w:right="-1269"/>
                  <w:rPr>
                    <w:rFonts w:ascii="Palatino Linotype" w:eastAsia="Palatino Linotype" w:hAnsi="Palatino Linotype" w:cs="Palatino Linotype"/>
                    <w:bCs/>
                    <w:szCs w:val="22"/>
                  </w:rPr>
                </w:pPr>
                <w:r w:rsidRPr="00C11D42">
                  <w:rPr>
                    <w:rFonts w:ascii="Palatino Linotype" w:eastAsia="Palatino Linotype" w:hAnsi="Palatino Linotype" w:cs="Palatino Linotype"/>
                    <w:bCs/>
                    <w:szCs w:val="22"/>
                  </w:rPr>
                  <w:t xml:space="preserve">Organismo Público Descentralizado para la </w:t>
                </w:r>
              </w:p>
              <w:p w:rsidR="00953C7A" w:rsidRPr="00C11D42" w:rsidRDefault="00953C7A" w:rsidP="00C11D42">
                <w:pPr>
                  <w:tabs>
                    <w:tab w:val="left" w:pos="2834"/>
                    <w:tab w:val="right" w:pos="8838"/>
                  </w:tabs>
                  <w:ind w:left="-74" w:right="-1269"/>
                  <w:rPr>
                    <w:rFonts w:ascii="Palatino Linotype" w:eastAsia="Palatino Linotype" w:hAnsi="Palatino Linotype" w:cs="Palatino Linotype"/>
                    <w:bCs/>
                    <w:szCs w:val="22"/>
                  </w:rPr>
                </w:pPr>
                <w:r w:rsidRPr="00C11D42">
                  <w:rPr>
                    <w:rFonts w:ascii="Palatino Linotype" w:eastAsia="Palatino Linotype" w:hAnsi="Palatino Linotype" w:cs="Palatino Linotype"/>
                    <w:bCs/>
                    <w:szCs w:val="22"/>
                  </w:rPr>
                  <w:t xml:space="preserve">Prestación de Servicios de Agua Potable </w:t>
                </w:r>
              </w:p>
              <w:p w:rsidR="00953C7A" w:rsidRPr="00C11D42" w:rsidRDefault="00953C7A" w:rsidP="00C11D42">
                <w:pPr>
                  <w:tabs>
                    <w:tab w:val="left" w:pos="2834"/>
                    <w:tab w:val="right" w:pos="8838"/>
                  </w:tabs>
                  <w:ind w:left="-74" w:right="-1269"/>
                  <w:rPr>
                    <w:rFonts w:ascii="Palatino Linotype" w:eastAsia="Palatino Linotype" w:hAnsi="Palatino Linotype" w:cs="Palatino Linotype"/>
                    <w:bCs/>
                    <w:szCs w:val="22"/>
                  </w:rPr>
                </w:pPr>
                <w:r w:rsidRPr="00C11D42">
                  <w:rPr>
                    <w:rFonts w:ascii="Palatino Linotype" w:eastAsia="Palatino Linotype" w:hAnsi="Palatino Linotype" w:cs="Palatino Linotype"/>
                    <w:bCs/>
                    <w:szCs w:val="22"/>
                  </w:rPr>
                  <w:t xml:space="preserve">Alcantarillado y Saneamiento de Coacalco de </w:t>
                </w:r>
              </w:p>
              <w:p w:rsidR="00953C7A" w:rsidRPr="00C11D42" w:rsidRDefault="00953C7A" w:rsidP="00C11D42">
                <w:pPr>
                  <w:tabs>
                    <w:tab w:val="left" w:pos="2834"/>
                    <w:tab w:val="right" w:pos="8838"/>
                  </w:tabs>
                  <w:ind w:left="-74" w:right="-1269"/>
                  <w:rPr>
                    <w:rFonts w:ascii="Palatino Linotype" w:eastAsia="Palatino Linotype" w:hAnsi="Palatino Linotype" w:cs="Palatino Linotype"/>
                    <w:szCs w:val="22"/>
                  </w:rPr>
                </w:pPr>
                <w:r w:rsidRPr="00C11D42">
                  <w:rPr>
                    <w:rFonts w:ascii="Palatino Linotype" w:eastAsia="Palatino Linotype" w:hAnsi="Palatino Linotype" w:cs="Palatino Linotype"/>
                    <w:bCs/>
                    <w:szCs w:val="22"/>
                  </w:rPr>
                  <w:t>Berriozábal</w:t>
                </w:r>
              </w:p>
            </w:tc>
          </w:tr>
          <w:tr w:rsidR="00953C7A" w:rsidTr="00C11D42">
            <w:trPr>
              <w:trHeight w:val="283"/>
            </w:trPr>
            <w:tc>
              <w:tcPr>
                <w:tcW w:w="2832" w:type="dxa"/>
                <w:shd w:val="clear" w:color="auto" w:fill="auto"/>
              </w:tcPr>
              <w:p w:rsidR="00953C7A" w:rsidRPr="00C11D42" w:rsidRDefault="00953C7A">
                <w:pPr>
                  <w:tabs>
                    <w:tab w:val="right" w:pos="8838"/>
                  </w:tabs>
                  <w:ind w:left="-74" w:right="-105"/>
                  <w:rPr>
                    <w:rFonts w:ascii="Palatino Linotype" w:eastAsia="Palatino Linotype" w:hAnsi="Palatino Linotype" w:cs="Palatino Linotype"/>
                    <w:b/>
                    <w:bCs/>
                    <w:szCs w:val="22"/>
                  </w:rPr>
                </w:pPr>
                <w:r w:rsidRPr="00C11D42">
                  <w:rPr>
                    <w:rFonts w:ascii="Palatino Linotype" w:eastAsia="Palatino Linotype" w:hAnsi="Palatino Linotype" w:cs="Palatino Linotype"/>
                    <w:b/>
                    <w:bCs/>
                    <w:szCs w:val="22"/>
                  </w:rPr>
                  <w:t>Comisionado ponente:</w:t>
                </w:r>
              </w:p>
            </w:tc>
            <w:tc>
              <w:tcPr>
                <w:tcW w:w="5245" w:type="dxa"/>
                <w:shd w:val="clear" w:color="auto" w:fill="auto"/>
              </w:tcPr>
              <w:p w:rsidR="00953C7A" w:rsidRPr="00C11D42" w:rsidRDefault="00953C7A" w:rsidP="00C11D42">
                <w:pPr>
                  <w:tabs>
                    <w:tab w:val="right" w:pos="8838"/>
                  </w:tabs>
                  <w:ind w:left="-74" w:right="-1269"/>
                  <w:rPr>
                    <w:rFonts w:ascii="Palatino Linotype" w:eastAsia="Palatino Linotype" w:hAnsi="Palatino Linotype" w:cs="Palatino Linotype"/>
                    <w:szCs w:val="22"/>
                  </w:rPr>
                </w:pPr>
                <w:r w:rsidRPr="00C11D42">
                  <w:rPr>
                    <w:rFonts w:ascii="Palatino Linotype" w:eastAsia="Palatino Linotype" w:hAnsi="Palatino Linotype" w:cs="Palatino Linotype"/>
                    <w:szCs w:val="22"/>
                  </w:rPr>
                  <w:t>María del Rosario Mejía Ayala</w:t>
                </w:r>
              </w:p>
              <w:p w:rsidR="00953C7A" w:rsidRPr="00C11D42" w:rsidRDefault="00953C7A" w:rsidP="00C11D42">
                <w:pPr>
                  <w:tabs>
                    <w:tab w:val="right" w:pos="8838"/>
                  </w:tabs>
                  <w:ind w:left="-74" w:right="-1269"/>
                  <w:rPr>
                    <w:rFonts w:ascii="Palatino Linotype" w:eastAsia="Palatino Linotype" w:hAnsi="Palatino Linotype" w:cs="Palatino Linotype"/>
                    <w:b/>
                    <w:bCs/>
                    <w:szCs w:val="22"/>
                  </w:rPr>
                </w:pPr>
              </w:p>
            </w:tc>
          </w:tr>
        </w:tbl>
        <w:p w:rsidR="00953C7A" w:rsidRDefault="00953C7A">
          <w:pPr>
            <w:tabs>
              <w:tab w:val="right" w:pos="8838"/>
            </w:tabs>
            <w:ind w:left="-28"/>
            <w:jc w:val="both"/>
            <w:rPr>
              <w:rFonts w:ascii="Arial" w:eastAsia="Arial" w:hAnsi="Arial" w:cs="Arial"/>
              <w:b/>
              <w:bCs/>
              <w:sz w:val="22"/>
              <w:szCs w:val="22"/>
            </w:rPr>
          </w:pPr>
        </w:p>
      </w:tc>
    </w:tr>
  </w:tbl>
  <w:p w:rsidR="00953C7A" w:rsidRDefault="00FE09BA">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9.65pt;margin-top:-165.15pt;width:589.8pt;height:768pt;z-index:-25165772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977D9"/>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031A90"/>
    <w:multiLevelType w:val="multilevel"/>
    <w:tmpl w:val="7F86A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2C6B97"/>
    <w:multiLevelType w:val="multilevel"/>
    <w:tmpl w:val="7F86AE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2C1AAC"/>
    <w:multiLevelType w:val="hybridMultilevel"/>
    <w:tmpl w:val="F1AAB46A"/>
    <w:lvl w:ilvl="0" w:tplc="D0A85C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621B8A"/>
    <w:multiLevelType w:val="multilevel"/>
    <w:tmpl w:val="688C2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BE5019"/>
    <w:multiLevelType w:val="multilevel"/>
    <w:tmpl w:val="1728988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5307CD6"/>
    <w:multiLevelType w:val="multilevel"/>
    <w:tmpl w:val="C518A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A21EB5"/>
    <w:multiLevelType w:val="multilevel"/>
    <w:tmpl w:val="71AC2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963867"/>
    <w:multiLevelType w:val="hybridMultilevel"/>
    <w:tmpl w:val="6FAA3444"/>
    <w:lvl w:ilvl="0" w:tplc="1BBEA340">
      <w:start w:val="1"/>
      <w:numFmt w:val="bullet"/>
      <w:lvlText w:val="-"/>
      <w:lvlJc w:val="left"/>
      <w:pPr>
        <w:ind w:left="1211" w:hanging="360"/>
      </w:pPr>
      <w:rPr>
        <w:rFonts w:ascii="Palatino Linotype" w:eastAsia="Palatino Linotype" w:hAnsi="Palatino Linotype" w:cs="Palatino Linotype"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15:restartNumberingAfterBreak="0">
    <w:nsid w:val="602B190D"/>
    <w:multiLevelType w:val="hybridMultilevel"/>
    <w:tmpl w:val="5C50D392"/>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653E5998"/>
    <w:multiLevelType w:val="multilevel"/>
    <w:tmpl w:val="123C0A1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9D77E99"/>
    <w:multiLevelType w:val="multilevel"/>
    <w:tmpl w:val="26C8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A9B5C4A"/>
    <w:multiLevelType w:val="hybridMultilevel"/>
    <w:tmpl w:val="ABC8B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4"/>
  </w:num>
  <w:num w:numId="5">
    <w:abstractNumId w:val="7"/>
  </w:num>
  <w:num w:numId="6">
    <w:abstractNumId w:val="2"/>
  </w:num>
  <w:num w:numId="7">
    <w:abstractNumId w:val="8"/>
  </w:num>
  <w:num w:numId="8">
    <w:abstractNumId w:val="13"/>
  </w:num>
  <w:num w:numId="9">
    <w:abstractNumId w:val="11"/>
  </w:num>
  <w:num w:numId="10">
    <w:abstractNumId w:val="3"/>
  </w:num>
  <w:num w:numId="11">
    <w:abstractNumId w:val="10"/>
  </w:num>
  <w:num w:numId="12">
    <w:abstractNumId w:val="6"/>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C7"/>
    <w:rsid w:val="00070680"/>
    <w:rsid w:val="002606C7"/>
    <w:rsid w:val="002B2A09"/>
    <w:rsid w:val="002C0329"/>
    <w:rsid w:val="00502831"/>
    <w:rsid w:val="005174D8"/>
    <w:rsid w:val="005F3D08"/>
    <w:rsid w:val="006343C1"/>
    <w:rsid w:val="006427E2"/>
    <w:rsid w:val="006970F0"/>
    <w:rsid w:val="006C7507"/>
    <w:rsid w:val="006E2905"/>
    <w:rsid w:val="00740737"/>
    <w:rsid w:val="00743C49"/>
    <w:rsid w:val="00953C7A"/>
    <w:rsid w:val="00A17CC3"/>
    <w:rsid w:val="00BB2284"/>
    <w:rsid w:val="00C11D42"/>
    <w:rsid w:val="00CF70F9"/>
    <w:rsid w:val="00D441F5"/>
    <w:rsid w:val="00E21789"/>
    <w:rsid w:val="00EC3156"/>
    <w:rsid w:val="00FC05E2"/>
    <w:rsid w:val="00FE09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5891616E-BE92-48C1-B513-34AB0E28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06C7"/>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2606C7"/>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2606C7"/>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606C7"/>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2606C7"/>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606C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606C7"/>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2606C7"/>
    <w:rPr>
      <w:color w:val="0563C1" w:themeColor="hyperlink"/>
      <w:u w:val="single"/>
    </w:rPr>
  </w:style>
  <w:style w:type="paragraph" w:styleId="Piedepgina">
    <w:name w:val="footer"/>
    <w:basedOn w:val="Normal"/>
    <w:link w:val="PiedepginaCar"/>
    <w:uiPriority w:val="99"/>
    <w:unhideWhenUsed/>
    <w:rsid w:val="002606C7"/>
    <w:pPr>
      <w:tabs>
        <w:tab w:val="center" w:pos="4419"/>
        <w:tab w:val="right" w:pos="8838"/>
      </w:tabs>
    </w:pPr>
  </w:style>
  <w:style w:type="character" w:customStyle="1" w:styleId="PiedepginaCar">
    <w:name w:val="Pie de página Car"/>
    <w:basedOn w:val="Fuentedeprrafopredeter"/>
    <w:link w:val="Piedepgina"/>
    <w:uiPriority w:val="99"/>
    <w:rsid w:val="002606C7"/>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D441F5"/>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D441F5"/>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D441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77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imex.org.mx/saimex/solicitud/downloadAttach/2690424.p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5237</Words>
  <Characters>28808</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2026-05-14T17:35:00Z</cp:lastPrinted>
  <dcterms:created xsi:type="dcterms:W3CDTF">2026-05-11T18:15:00Z</dcterms:created>
  <dcterms:modified xsi:type="dcterms:W3CDTF">2026-05-19T00:10:00Z</dcterms:modified>
</cp:coreProperties>
</file>