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FAC48" w14:textId="77777777" w:rsidR="0023552C" w:rsidRPr="00C17D83" w:rsidRDefault="00B0711B">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C17D83">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14:paraId="2041144F" w14:textId="77777777" w:rsidR="0023552C" w:rsidRPr="00C17D83" w:rsidRDefault="0023552C">
      <w:pPr>
        <w:spacing w:line="360" w:lineRule="auto"/>
        <w:jc w:val="both"/>
        <w:rPr>
          <w:rFonts w:ascii="Palatino Linotype" w:eastAsia="Palatino Linotype" w:hAnsi="Palatino Linotype" w:cs="Palatino Linotype"/>
          <w:b/>
          <w:bCs/>
          <w:sz w:val="22"/>
          <w:szCs w:val="22"/>
        </w:rPr>
      </w:pPr>
    </w:p>
    <w:p w14:paraId="7BB4DF7B" w14:textId="35040DA5"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b/>
          <w:bCs/>
          <w:sz w:val="22"/>
          <w:szCs w:val="22"/>
        </w:rPr>
        <w:t xml:space="preserve">Visto </w:t>
      </w:r>
      <w:r w:rsidRPr="00C17D83">
        <w:rPr>
          <w:rFonts w:ascii="Palatino Linotype" w:eastAsia="Palatino Linotype" w:hAnsi="Palatino Linotype" w:cs="Palatino Linotype"/>
          <w:sz w:val="22"/>
          <w:szCs w:val="22"/>
        </w:rPr>
        <w:t xml:space="preserve">el expediente relativo al recurso de revisión </w:t>
      </w:r>
      <w:r w:rsidRPr="00C17D83">
        <w:rPr>
          <w:rFonts w:ascii="Palatino Linotype" w:eastAsia="Palatino Linotype" w:hAnsi="Palatino Linotype" w:cs="Palatino Linotype"/>
          <w:b/>
          <w:bCs/>
          <w:sz w:val="22"/>
          <w:szCs w:val="22"/>
        </w:rPr>
        <w:t>02034/INFOEM/IP/RR/2026</w:t>
      </w:r>
      <w:r w:rsidRPr="00C17D83">
        <w:rPr>
          <w:rFonts w:ascii="Palatino Linotype" w:eastAsia="Palatino Linotype" w:hAnsi="Palatino Linotype" w:cs="Palatino Linotype"/>
          <w:sz w:val="22"/>
          <w:szCs w:val="22"/>
        </w:rPr>
        <w:t>, interpuesto por</w:t>
      </w:r>
      <w:r w:rsidR="00CF4856" w:rsidRPr="00CF4856">
        <w:rPr>
          <w:rFonts w:ascii="Palatino Linotype" w:eastAsia="Palatino Linotype" w:hAnsi="Palatino Linotype" w:cs="Palatino Linotype"/>
          <w:b/>
          <w:sz w:val="21"/>
          <w:szCs w:val="21"/>
          <w:lang w:val="es-ES"/>
        </w:rPr>
        <w:t xml:space="preserve"> </w:t>
      </w:r>
      <w:r w:rsidR="00CF4856">
        <w:rPr>
          <w:rFonts w:ascii="Palatino Linotype" w:eastAsia="Palatino Linotype" w:hAnsi="Palatino Linotype" w:cs="Palatino Linotype"/>
          <w:b/>
          <w:sz w:val="21"/>
          <w:szCs w:val="21"/>
          <w:lang w:val="es-ES"/>
        </w:rPr>
        <w:t>XXXXX XXXXXXX XXXXX</w:t>
      </w:r>
      <w:r w:rsidRPr="00C17D83">
        <w:rPr>
          <w:rFonts w:ascii="Palatino Linotype" w:eastAsia="Palatino Linotype" w:hAnsi="Palatino Linotype" w:cs="Palatino Linotype"/>
          <w:b/>
          <w:bCs/>
          <w:sz w:val="22"/>
          <w:szCs w:val="22"/>
        </w:rPr>
        <w:t>,</w:t>
      </w:r>
      <w:r w:rsidRPr="00C17D83">
        <w:rPr>
          <w:rFonts w:ascii="Palatino Linotype" w:eastAsia="Palatino Linotype" w:hAnsi="Palatino Linotype" w:cs="Palatino Linotype"/>
          <w:sz w:val="22"/>
          <w:szCs w:val="22"/>
        </w:rPr>
        <w:t xml:space="preserve"> en lo sucesivo la parte </w:t>
      </w:r>
      <w:r w:rsidRPr="00C17D83">
        <w:rPr>
          <w:rFonts w:ascii="Palatino Linotype" w:eastAsia="Palatino Linotype" w:hAnsi="Palatino Linotype" w:cs="Palatino Linotype"/>
          <w:b/>
          <w:bCs/>
          <w:sz w:val="22"/>
          <w:szCs w:val="22"/>
        </w:rPr>
        <w:t xml:space="preserve">RECURRENTE, </w:t>
      </w:r>
      <w:r w:rsidRPr="00C17D83">
        <w:rPr>
          <w:rFonts w:ascii="Palatino Linotype" w:eastAsia="Palatino Linotype" w:hAnsi="Palatino Linotype" w:cs="Palatino Linotype"/>
          <w:sz w:val="22"/>
          <w:szCs w:val="22"/>
        </w:rPr>
        <w:t>en contra de la falta de respuesta a la solicitud de acceso a la información con número de folio</w:t>
      </w:r>
      <w:r w:rsidRPr="00C17D83">
        <w:rPr>
          <w:rFonts w:ascii="Verdana" w:eastAsia="Verdana" w:hAnsi="Verdana" w:cs="Verdana"/>
          <w:b/>
          <w:bCs/>
          <w:sz w:val="22"/>
          <w:szCs w:val="22"/>
        </w:rPr>
        <w:t> </w:t>
      </w:r>
      <w:r w:rsidRPr="00C17D83">
        <w:rPr>
          <w:rFonts w:ascii="Palatino Linotype" w:eastAsia="Palatino Linotype" w:hAnsi="Palatino Linotype" w:cs="Palatino Linotype"/>
          <w:b/>
          <w:bCs/>
          <w:sz w:val="22"/>
          <w:szCs w:val="22"/>
        </w:rPr>
        <w:t xml:space="preserve">00150/TEPOTZOT/IP/2026, </w:t>
      </w:r>
      <w:r w:rsidRPr="00C17D83">
        <w:rPr>
          <w:rFonts w:ascii="Palatino Linotype" w:eastAsia="Palatino Linotype" w:hAnsi="Palatino Linotype" w:cs="Palatino Linotype"/>
          <w:sz w:val="22"/>
          <w:szCs w:val="22"/>
        </w:rPr>
        <w:t xml:space="preserve">por parte del </w:t>
      </w:r>
      <w:r w:rsidRPr="00C17D83">
        <w:rPr>
          <w:rFonts w:ascii="Palatino Linotype" w:eastAsia="Palatino Linotype" w:hAnsi="Palatino Linotype" w:cs="Palatino Linotype"/>
          <w:b/>
          <w:bCs/>
          <w:sz w:val="22"/>
          <w:szCs w:val="22"/>
        </w:rPr>
        <w:t>Ayuntamiento de Tepotzotlán,</w:t>
      </w:r>
      <w:r w:rsidRPr="00C17D83">
        <w:rPr>
          <w:rFonts w:ascii="Palatino Linotype" w:eastAsia="Palatino Linotype" w:hAnsi="Palatino Linotype" w:cs="Palatino Linotype"/>
          <w:sz w:val="22"/>
          <w:szCs w:val="22"/>
        </w:rPr>
        <w:t xml:space="preserve"> en lo sucesivo el </w:t>
      </w:r>
      <w:r w:rsidRPr="00C17D83">
        <w:rPr>
          <w:rFonts w:ascii="Palatino Linotype" w:eastAsia="Palatino Linotype" w:hAnsi="Palatino Linotype" w:cs="Palatino Linotype"/>
          <w:b/>
          <w:bCs/>
          <w:sz w:val="22"/>
          <w:szCs w:val="22"/>
        </w:rPr>
        <w:t xml:space="preserve">SUJETO OBLIGADO; </w:t>
      </w:r>
      <w:r w:rsidRPr="00C17D83">
        <w:rPr>
          <w:rFonts w:ascii="Palatino Linotype" w:eastAsia="Palatino Linotype" w:hAnsi="Palatino Linotype" w:cs="Palatino Linotype"/>
          <w:sz w:val="22"/>
          <w:szCs w:val="22"/>
        </w:rPr>
        <w:t xml:space="preserve">se procede a dictar la presente resolución, con base en lo siguiente. </w:t>
      </w:r>
    </w:p>
    <w:p w14:paraId="64EE6825"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291E3407" w14:textId="77777777" w:rsidR="0023552C" w:rsidRPr="00C17D83" w:rsidRDefault="00B0711B">
      <w:pPr>
        <w:numPr>
          <w:ilvl w:val="0"/>
          <w:numId w:val="2"/>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C17D83">
        <w:rPr>
          <w:rFonts w:ascii="Palatino Linotype" w:eastAsia="Palatino Linotype" w:hAnsi="Palatino Linotype" w:cs="Palatino Linotype"/>
          <w:b/>
          <w:bCs/>
          <w:sz w:val="22"/>
          <w:szCs w:val="22"/>
        </w:rPr>
        <w:t>A N T E C E D E N T E S:</w:t>
      </w:r>
    </w:p>
    <w:p w14:paraId="06BEA931" w14:textId="77777777" w:rsidR="0023552C" w:rsidRPr="00C17D83" w:rsidRDefault="0023552C">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5B6D7C90"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b/>
          <w:bCs/>
          <w:sz w:val="22"/>
          <w:szCs w:val="22"/>
        </w:rPr>
        <w:t xml:space="preserve">1. Solicitud de acceso a la información. </w:t>
      </w:r>
      <w:r w:rsidRPr="00C17D83">
        <w:rPr>
          <w:rFonts w:ascii="Palatino Linotype" w:eastAsia="Palatino Linotype" w:hAnsi="Palatino Linotype" w:cs="Palatino Linotype"/>
          <w:sz w:val="22"/>
          <w:szCs w:val="22"/>
        </w:rPr>
        <w:t xml:space="preserve">Con fecha </w:t>
      </w:r>
      <w:r w:rsidRPr="00C17D83">
        <w:rPr>
          <w:rFonts w:ascii="Palatino Linotype" w:eastAsia="Palatino Linotype" w:hAnsi="Palatino Linotype" w:cs="Palatino Linotype"/>
          <w:b/>
          <w:bCs/>
          <w:sz w:val="22"/>
          <w:szCs w:val="22"/>
        </w:rPr>
        <w:t>doce de enero de dos mil veintiséis</w:t>
      </w:r>
      <w:r w:rsidRPr="00C17D83">
        <w:rPr>
          <w:rFonts w:ascii="Palatino Linotype" w:eastAsia="Palatino Linotype" w:hAnsi="Palatino Linotype" w:cs="Palatino Linotype"/>
          <w:sz w:val="22"/>
          <w:szCs w:val="22"/>
        </w:rPr>
        <w:t xml:space="preserve">, la parte </w:t>
      </w:r>
      <w:r w:rsidRPr="00C17D83">
        <w:rPr>
          <w:rFonts w:ascii="Palatino Linotype" w:eastAsia="Palatino Linotype" w:hAnsi="Palatino Linotype" w:cs="Palatino Linotype"/>
          <w:b/>
          <w:bCs/>
          <w:sz w:val="22"/>
          <w:szCs w:val="22"/>
        </w:rPr>
        <w:t xml:space="preserve">RECURRENTE </w:t>
      </w:r>
      <w:r w:rsidRPr="00C17D83">
        <w:rPr>
          <w:rFonts w:ascii="Palatino Linotype" w:eastAsia="Palatino Linotype" w:hAnsi="Palatino Linotype" w:cs="Palatino Linotype"/>
          <w:sz w:val="22"/>
          <w:szCs w:val="22"/>
        </w:rPr>
        <w:t xml:space="preserve">formuló a través del Sistema de Acceso a la Información Mexiquense, en adelante </w:t>
      </w:r>
      <w:r w:rsidRPr="00C17D83">
        <w:rPr>
          <w:rFonts w:ascii="Palatino Linotype" w:eastAsia="Palatino Linotype" w:hAnsi="Palatino Linotype" w:cs="Palatino Linotype"/>
          <w:b/>
          <w:bCs/>
          <w:sz w:val="22"/>
          <w:szCs w:val="22"/>
        </w:rPr>
        <w:t>SAIMEX,</w:t>
      </w:r>
      <w:r w:rsidRPr="00C17D83">
        <w:rPr>
          <w:rFonts w:ascii="Palatino Linotype" w:eastAsia="Palatino Linotype" w:hAnsi="Palatino Linotype" w:cs="Palatino Linotype"/>
          <w:sz w:val="22"/>
          <w:szCs w:val="22"/>
        </w:rPr>
        <w:t xml:space="preserve"> solicitud de información al </w:t>
      </w:r>
      <w:r w:rsidRPr="00C17D83">
        <w:rPr>
          <w:rFonts w:ascii="Palatino Linotype" w:eastAsia="Palatino Linotype" w:hAnsi="Palatino Linotype" w:cs="Palatino Linotype"/>
          <w:b/>
          <w:bCs/>
          <w:sz w:val="22"/>
          <w:szCs w:val="22"/>
        </w:rPr>
        <w:t>SUJETO OBLIGADO</w:t>
      </w:r>
      <w:r w:rsidRPr="00C17D83">
        <w:rPr>
          <w:rFonts w:ascii="Palatino Linotype" w:eastAsia="Palatino Linotype" w:hAnsi="Palatino Linotype" w:cs="Palatino Linotype"/>
          <w:sz w:val="22"/>
          <w:szCs w:val="22"/>
        </w:rPr>
        <w:t xml:space="preserve"> requiriéndole lo siguiente:</w:t>
      </w:r>
    </w:p>
    <w:p w14:paraId="12509042" w14:textId="77777777" w:rsidR="0023552C" w:rsidRPr="00C17D83" w:rsidRDefault="00B0711B">
      <w:pPr>
        <w:ind w:left="567" w:right="616"/>
        <w:jc w:val="both"/>
        <w:rPr>
          <w:rFonts w:ascii="Palatino Linotype" w:eastAsia="Palatino Linotype" w:hAnsi="Palatino Linotype" w:cs="Palatino Linotype"/>
          <w:i/>
          <w:iCs/>
          <w:sz w:val="22"/>
          <w:szCs w:val="22"/>
        </w:rPr>
      </w:pPr>
      <w:r w:rsidRPr="00C17D83">
        <w:rPr>
          <w:rFonts w:ascii="Palatino Linotype" w:eastAsia="Palatino Linotype" w:hAnsi="Palatino Linotype" w:cs="Palatino Linotype"/>
          <w:i/>
          <w:iCs/>
          <w:sz w:val="22"/>
          <w:szCs w:val="22"/>
        </w:rPr>
        <w:t xml:space="preserve">“¿La </w:t>
      </w:r>
      <w:proofErr w:type="gramStart"/>
      <w:r w:rsidRPr="00C17D83">
        <w:rPr>
          <w:rFonts w:ascii="Palatino Linotype" w:eastAsia="Palatino Linotype" w:hAnsi="Palatino Linotype" w:cs="Palatino Linotype"/>
          <w:i/>
          <w:iCs/>
          <w:sz w:val="22"/>
          <w:szCs w:val="22"/>
        </w:rPr>
        <w:t>Presidenta</w:t>
      </w:r>
      <w:proofErr w:type="gramEnd"/>
      <w:r w:rsidRPr="00C17D83">
        <w:rPr>
          <w:rFonts w:ascii="Palatino Linotype" w:eastAsia="Palatino Linotype" w:hAnsi="Palatino Linotype" w:cs="Palatino Linotype"/>
          <w:i/>
          <w:iCs/>
          <w:sz w:val="22"/>
          <w:szCs w:val="22"/>
        </w:rPr>
        <w:t xml:space="preserve"> Municipal de Tepotzotlán continuó tomando decisiones administrativas, financieras o de obra pública mientras se encontraba legalmente inhabilitada? En caso afirmativo, indique cuáles decisiones y bajo qué fundamento legal.” (Sic)</w:t>
      </w:r>
    </w:p>
    <w:p w14:paraId="37BAF5B1" w14:textId="77777777" w:rsidR="0023552C" w:rsidRPr="00C17D83" w:rsidRDefault="0023552C">
      <w:pPr>
        <w:spacing w:line="360" w:lineRule="auto"/>
        <w:jc w:val="both"/>
        <w:rPr>
          <w:rFonts w:ascii="Palatino Linotype" w:eastAsia="Palatino Linotype" w:hAnsi="Palatino Linotype" w:cs="Palatino Linotype"/>
          <w:b/>
          <w:bCs/>
          <w:sz w:val="22"/>
          <w:szCs w:val="22"/>
        </w:rPr>
      </w:pPr>
    </w:p>
    <w:p w14:paraId="1A70463E"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b/>
          <w:bCs/>
          <w:sz w:val="22"/>
          <w:szCs w:val="22"/>
        </w:rPr>
        <w:t xml:space="preserve">Modalidad elegida para la entrega de la información: </w:t>
      </w:r>
      <w:r w:rsidRPr="00C17D83">
        <w:rPr>
          <w:rFonts w:ascii="Palatino Linotype" w:eastAsia="Palatino Linotype" w:hAnsi="Palatino Linotype" w:cs="Palatino Linotype"/>
          <w:sz w:val="22"/>
          <w:szCs w:val="22"/>
        </w:rPr>
        <w:t>a través del SAIMEX.</w:t>
      </w:r>
    </w:p>
    <w:p w14:paraId="6043822D"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18E5E765" w14:textId="77777777" w:rsidR="0023552C" w:rsidRPr="00C17D83" w:rsidRDefault="00B0711B">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b/>
          <w:bCs/>
          <w:sz w:val="22"/>
          <w:szCs w:val="22"/>
        </w:rPr>
        <w:t xml:space="preserve">2. Prórroga. </w:t>
      </w:r>
      <w:r w:rsidRPr="00C17D83">
        <w:rPr>
          <w:rFonts w:ascii="Palatino Linotype" w:eastAsia="Palatino Linotype" w:hAnsi="Palatino Linotype" w:cs="Palatino Linotype"/>
          <w:sz w:val="22"/>
          <w:szCs w:val="22"/>
        </w:rPr>
        <w:t xml:space="preserve">Con fecha </w:t>
      </w:r>
      <w:r w:rsidRPr="00C17D83">
        <w:rPr>
          <w:rFonts w:ascii="Palatino Linotype" w:eastAsia="Palatino Linotype" w:hAnsi="Palatino Linotype" w:cs="Palatino Linotype"/>
          <w:b/>
          <w:bCs/>
          <w:sz w:val="22"/>
          <w:szCs w:val="22"/>
        </w:rPr>
        <w:t xml:space="preserve">tres de febrero de dos mil veintiséis, </w:t>
      </w:r>
      <w:r w:rsidRPr="00C17D83">
        <w:rPr>
          <w:rFonts w:ascii="Palatino Linotype" w:eastAsia="Palatino Linotype" w:hAnsi="Palatino Linotype" w:cs="Palatino Linotype"/>
          <w:sz w:val="22"/>
          <w:szCs w:val="22"/>
        </w:rPr>
        <w:t xml:space="preserve">el </w:t>
      </w:r>
      <w:r w:rsidRPr="00C17D83">
        <w:rPr>
          <w:rFonts w:ascii="Palatino Linotype" w:eastAsia="Palatino Linotype" w:hAnsi="Palatino Linotype" w:cs="Palatino Linotype"/>
          <w:b/>
          <w:bCs/>
          <w:sz w:val="22"/>
          <w:szCs w:val="22"/>
        </w:rPr>
        <w:t xml:space="preserve">Sujeto Obligado </w:t>
      </w:r>
      <w:r w:rsidRPr="00C17D83">
        <w:rPr>
          <w:rFonts w:ascii="Palatino Linotype" w:eastAsia="Palatino Linotype" w:hAnsi="Palatino Linotype" w:cs="Palatino Linotype"/>
          <w:sz w:val="22"/>
          <w:szCs w:val="22"/>
        </w:rPr>
        <w:t>solicitó prórroga</w:t>
      </w:r>
      <w:r w:rsidRPr="00C17D83">
        <w:rPr>
          <w:sz w:val="22"/>
          <w:szCs w:val="22"/>
        </w:rPr>
        <w:t xml:space="preserve"> </w:t>
      </w:r>
      <w:r w:rsidRPr="00C17D83">
        <w:rPr>
          <w:rFonts w:ascii="Palatino Linotype" w:eastAsia="Palatino Linotype" w:hAnsi="Palatino Linotype" w:cs="Palatino Linotype"/>
          <w:sz w:val="22"/>
          <w:szCs w:val="22"/>
        </w:rPr>
        <w:t xml:space="preserve">a través del Sistema de Acceso a la Información Mexiquense, en lo subsecuente el </w:t>
      </w:r>
      <w:r w:rsidRPr="00C17D83">
        <w:rPr>
          <w:rFonts w:ascii="Palatino Linotype" w:eastAsia="Palatino Linotype" w:hAnsi="Palatino Linotype" w:cs="Palatino Linotype"/>
          <w:sz w:val="22"/>
          <w:szCs w:val="22"/>
        </w:rPr>
        <w:lastRenderedPageBreak/>
        <w:t>SAIMEX, para dar atención a solicitud de acceso a información pública, bajo los siguientes términos:</w:t>
      </w:r>
    </w:p>
    <w:p w14:paraId="46EAC883" w14:textId="77777777" w:rsidR="0023552C" w:rsidRPr="00C17D83" w:rsidRDefault="00B0711B">
      <w:pPr>
        <w:pBdr>
          <w:top w:val="nil"/>
          <w:left w:val="nil"/>
          <w:bottom w:val="nil"/>
          <w:right w:val="nil"/>
          <w:between w:val="nil"/>
        </w:pBdr>
        <w:tabs>
          <w:tab w:val="left" w:pos="142"/>
          <w:tab w:val="left" w:pos="284"/>
        </w:tabs>
        <w:spacing w:before="240" w:after="240"/>
        <w:ind w:left="567" w:right="616"/>
        <w:jc w:val="both"/>
        <w:rPr>
          <w:rFonts w:ascii="Palatino Linotype" w:eastAsia="Palatino Linotype" w:hAnsi="Palatino Linotype" w:cs="Palatino Linotype"/>
          <w:sz w:val="22"/>
          <w:szCs w:val="22"/>
        </w:rPr>
      </w:pPr>
      <w:proofErr w:type="gramStart"/>
      <w:r w:rsidRPr="00C17D83">
        <w:rPr>
          <w:rFonts w:ascii="Palatino Linotype" w:eastAsia="Palatino Linotype" w:hAnsi="Palatino Linotype" w:cs="Palatino Linotype"/>
          <w:sz w:val="22"/>
          <w:szCs w:val="22"/>
        </w:rPr>
        <w:t>“….</w:t>
      </w:r>
      <w:proofErr w:type="gramEnd"/>
      <w:r w:rsidRPr="00C17D83">
        <w:rPr>
          <w:rFonts w:ascii="Palatino Linotype" w:eastAsia="Palatino Linotype" w:hAnsi="Palatino Linotype" w:cs="Palatino Linotype"/>
          <w:i/>
          <w:iCs/>
          <w:sz w:val="22"/>
          <w:szCs w:val="22"/>
        </w:rPr>
        <w:t>Con fundamento en el artículo 163 de la Ley de Transparencia y Acceso a la Información Pública del Estado de México y Municipios se aprueba prórroga solicitada con la finalidad de dar cabal cumplimiento a su requerimiento.</w:t>
      </w:r>
      <w:r w:rsidRPr="00C17D83">
        <w:rPr>
          <w:rFonts w:ascii="Palatino Linotype" w:eastAsia="Palatino Linotype" w:hAnsi="Palatino Linotype" w:cs="Palatino Linotype"/>
          <w:sz w:val="22"/>
          <w:szCs w:val="22"/>
        </w:rPr>
        <w:t xml:space="preserve">” </w:t>
      </w:r>
      <w:r w:rsidRPr="00C17D83">
        <w:rPr>
          <w:rFonts w:ascii="Palatino Linotype" w:eastAsia="Palatino Linotype" w:hAnsi="Palatino Linotype" w:cs="Palatino Linotype"/>
          <w:i/>
          <w:iCs/>
          <w:sz w:val="22"/>
          <w:szCs w:val="22"/>
        </w:rPr>
        <w:t>(sic)</w:t>
      </w:r>
    </w:p>
    <w:p w14:paraId="381B139F" w14:textId="77777777" w:rsidR="0023552C" w:rsidRPr="00C17D83" w:rsidRDefault="00B0711B">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 xml:space="preserve">Como refiere el </w:t>
      </w:r>
      <w:r w:rsidRPr="00C17D83">
        <w:rPr>
          <w:rFonts w:ascii="Palatino Linotype" w:eastAsia="Palatino Linotype" w:hAnsi="Palatino Linotype" w:cs="Palatino Linotype"/>
          <w:b/>
          <w:bCs/>
          <w:sz w:val="22"/>
          <w:szCs w:val="22"/>
        </w:rPr>
        <w:t>Sujeto Obligado</w:t>
      </w:r>
      <w:r w:rsidRPr="00C17D83">
        <w:rPr>
          <w:rFonts w:ascii="Palatino Linotype" w:eastAsia="Palatino Linotype" w:hAnsi="Palatino Linotype" w:cs="Palatino Linotype"/>
          <w:sz w:val="22"/>
          <w:szCs w:val="22"/>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que nos ocupa y derivado de las constancias que obran en los expedientes, se advierte que </w:t>
      </w:r>
      <w:r w:rsidRPr="00C17D83">
        <w:rPr>
          <w:rFonts w:ascii="Palatino Linotype" w:eastAsia="Palatino Linotype" w:hAnsi="Palatino Linotype" w:cs="Palatino Linotype"/>
          <w:b/>
          <w:bCs/>
          <w:sz w:val="22"/>
          <w:szCs w:val="22"/>
        </w:rPr>
        <w:t xml:space="preserve">NO </w:t>
      </w:r>
      <w:r w:rsidRPr="00C17D83">
        <w:rPr>
          <w:rFonts w:ascii="Palatino Linotype" w:eastAsia="Palatino Linotype" w:hAnsi="Palatino Linotype" w:cs="Palatino Linotype"/>
          <w:sz w:val="22"/>
          <w:szCs w:val="22"/>
        </w:rPr>
        <w:t>se observaron las formalidades que establece la Ley de la materia, pues no se anexó la resolución mediante la cual el Comité de Transparencia aprobó la ampliación del plazo.</w:t>
      </w:r>
    </w:p>
    <w:p w14:paraId="01CC7FED"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1D544D50" w14:textId="77777777" w:rsidR="0023552C" w:rsidRPr="00C17D83" w:rsidRDefault="00B0711B">
      <w:pPr>
        <w:spacing w:line="360" w:lineRule="auto"/>
        <w:jc w:val="both"/>
        <w:rPr>
          <w:rFonts w:ascii="Palatino Linotype" w:eastAsia="Palatino Linotype" w:hAnsi="Palatino Linotype" w:cs="Palatino Linotype"/>
          <w:b/>
          <w:bCs/>
          <w:sz w:val="22"/>
          <w:szCs w:val="22"/>
        </w:rPr>
      </w:pPr>
      <w:r w:rsidRPr="00C17D83">
        <w:rPr>
          <w:rFonts w:ascii="Palatino Linotype" w:eastAsia="Palatino Linotype" w:hAnsi="Palatino Linotype" w:cs="Palatino Linotype"/>
          <w:b/>
          <w:bCs/>
          <w:sz w:val="22"/>
          <w:szCs w:val="22"/>
        </w:rPr>
        <w:t xml:space="preserve">3. Respuesta. </w:t>
      </w:r>
      <w:r w:rsidRPr="00C17D83">
        <w:rPr>
          <w:rFonts w:ascii="Palatino Linotype" w:eastAsia="Palatino Linotype" w:hAnsi="Palatino Linotype" w:cs="Palatino Linotype"/>
          <w:sz w:val="22"/>
          <w:szCs w:val="22"/>
        </w:rPr>
        <w:t xml:space="preserve">El </w:t>
      </w:r>
      <w:r w:rsidRPr="00C17D83">
        <w:rPr>
          <w:rFonts w:ascii="Palatino Linotype" w:eastAsia="Palatino Linotype" w:hAnsi="Palatino Linotype" w:cs="Palatino Linotype"/>
          <w:b/>
          <w:bCs/>
          <w:sz w:val="22"/>
          <w:szCs w:val="22"/>
        </w:rPr>
        <w:t xml:space="preserve">SUJETO OBLIGADO </w:t>
      </w:r>
      <w:r w:rsidRPr="00C17D83">
        <w:rPr>
          <w:rFonts w:ascii="Palatino Linotype" w:eastAsia="Palatino Linotype" w:hAnsi="Palatino Linotype" w:cs="Palatino Linotype"/>
          <w:sz w:val="22"/>
          <w:szCs w:val="22"/>
        </w:rPr>
        <w:t xml:space="preserve">fue omiso en proporcionar respuesta. </w:t>
      </w:r>
    </w:p>
    <w:p w14:paraId="4626C1F8"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57EC11A5"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b/>
          <w:bCs/>
          <w:sz w:val="22"/>
          <w:szCs w:val="22"/>
        </w:rPr>
        <w:t xml:space="preserve">4. Interposición del recurso de revisión. </w:t>
      </w:r>
      <w:r w:rsidRPr="00C17D83">
        <w:rPr>
          <w:rFonts w:ascii="Palatino Linotype" w:eastAsia="Palatino Linotype" w:hAnsi="Palatino Linotype" w:cs="Palatino Linotype"/>
          <w:sz w:val="22"/>
          <w:szCs w:val="22"/>
        </w:rPr>
        <w:t xml:space="preserve">Inconforme la parte solicitante con la falta de respuesta del </w:t>
      </w:r>
      <w:r w:rsidRPr="00C17D83">
        <w:rPr>
          <w:rFonts w:ascii="Palatino Linotype" w:eastAsia="Palatino Linotype" w:hAnsi="Palatino Linotype" w:cs="Palatino Linotype"/>
          <w:b/>
          <w:bCs/>
          <w:sz w:val="22"/>
          <w:szCs w:val="22"/>
        </w:rPr>
        <w:t>SUJETO OBLIGADO</w:t>
      </w:r>
      <w:r w:rsidRPr="00C17D83">
        <w:rPr>
          <w:rFonts w:ascii="Palatino Linotype" w:eastAsia="Palatino Linotype" w:hAnsi="Palatino Linotype" w:cs="Palatino Linotype"/>
          <w:sz w:val="22"/>
          <w:szCs w:val="22"/>
        </w:rPr>
        <w:t xml:space="preserve">, interpuso recurso de revisión a través del SAIMEX en fecha </w:t>
      </w:r>
      <w:r w:rsidRPr="00C17D83">
        <w:rPr>
          <w:rFonts w:ascii="Palatino Linotype" w:eastAsia="Palatino Linotype" w:hAnsi="Palatino Linotype" w:cs="Palatino Linotype"/>
          <w:b/>
          <w:bCs/>
          <w:sz w:val="22"/>
          <w:szCs w:val="22"/>
        </w:rPr>
        <w:t>dieciséis de febrero de dos mil veintiséis</w:t>
      </w:r>
      <w:r w:rsidRPr="00C17D83">
        <w:rPr>
          <w:rFonts w:ascii="Palatino Linotype" w:eastAsia="Palatino Linotype" w:hAnsi="Palatino Linotype" w:cs="Palatino Linotype"/>
          <w:sz w:val="22"/>
          <w:szCs w:val="22"/>
        </w:rPr>
        <w:t>, expresando lo siguiente:</w:t>
      </w:r>
    </w:p>
    <w:p w14:paraId="166DDCE2"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0FBF79D6" w14:textId="77777777" w:rsidR="0023552C" w:rsidRPr="00C17D83" w:rsidRDefault="00B0711B">
      <w:pPr>
        <w:spacing w:line="276" w:lineRule="auto"/>
        <w:ind w:left="567" w:right="616"/>
        <w:jc w:val="both"/>
        <w:rPr>
          <w:rFonts w:ascii="Palatino Linotype" w:eastAsia="Palatino Linotype" w:hAnsi="Palatino Linotype" w:cs="Palatino Linotype"/>
          <w:i/>
          <w:iCs/>
          <w:sz w:val="22"/>
          <w:szCs w:val="22"/>
        </w:rPr>
      </w:pPr>
      <w:r w:rsidRPr="00C17D83">
        <w:rPr>
          <w:rFonts w:ascii="Palatino Linotype" w:eastAsia="Palatino Linotype" w:hAnsi="Palatino Linotype" w:cs="Palatino Linotype"/>
          <w:b/>
          <w:bCs/>
          <w:sz w:val="22"/>
          <w:szCs w:val="22"/>
        </w:rPr>
        <w:t xml:space="preserve">a) Acto impugnado. </w:t>
      </w:r>
      <w:r w:rsidRPr="00C17D83">
        <w:rPr>
          <w:rFonts w:ascii="Palatino Linotype" w:eastAsia="Palatino Linotype" w:hAnsi="Palatino Linotype" w:cs="Palatino Linotype"/>
          <w:i/>
          <w:iCs/>
          <w:sz w:val="22"/>
          <w:szCs w:val="22"/>
        </w:rPr>
        <w:t xml:space="preserve">“La </w:t>
      </w:r>
      <w:proofErr w:type="gramStart"/>
      <w:r w:rsidRPr="00C17D83">
        <w:rPr>
          <w:rFonts w:ascii="Palatino Linotype" w:eastAsia="Palatino Linotype" w:hAnsi="Palatino Linotype" w:cs="Palatino Linotype"/>
          <w:i/>
          <w:iCs/>
          <w:sz w:val="22"/>
          <w:szCs w:val="22"/>
        </w:rPr>
        <w:t>Presidenta</w:t>
      </w:r>
      <w:proofErr w:type="gramEnd"/>
      <w:r w:rsidRPr="00C17D83">
        <w:rPr>
          <w:rFonts w:ascii="Palatino Linotype" w:eastAsia="Palatino Linotype" w:hAnsi="Palatino Linotype" w:cs="Palatino Linotype"/>
          <w:i/>
          <w:iCs/>
          <w:sz w:val="22"/>
          <w:szCs w:val="22"/>
        </w:rPr>
        <w:t xml:space="preserve"> Municipal de Tepotzotlán continuó tomando decisiones administrativas, financieras o de obra pública mientras se encontraba legalmente inhabilitada? En caso afirmativo, indique cuáles decisiones y bajo qué fundamento legal.” (Sic)</w:t>
      </w:r>
    </w:p>
    <w:p w14:paraId="3FB1AEE7" w14:textId="77777777" w:rsidR="0023552C" w:rsidRPr="00C17D83" w:rsidRDefault="0023552C">
      <w:pPr>
        <w:spacing w:line="276" w:lineRule="auto"/>
        <w:ind w:left="567" w:right="616"/>
        <w:jc w:val="both"/>
        <w:rPr>
          <w:rFonts w:ascii="Palatino Linotype" w:eastAsia="Palatino Linotype" w:hAnsi="Palatino Linotype" w:cs="Palatino Linotype"/>
          <w:i/>
          <w:iCs/>
          <w:sz w:val="22"/>
          <w:szCs w:val="22"/>
        </w:rPr>
      </w:pPr>
    </w:p>
    <w:p w14:paraId="1E8FBB8C" w14:textId="77777777" w:rsidR="0023552C" w:rsidRPr="00C17D83" w:rsidRDefault="0023552C">
      <w:pPr>
        <w:spacing w:line="276" w:lineRule="auto"/>
        <w:ind w:left="567" w:right="616"/>
        <w:jc w:val="both"/>
        <w:rPr>
          <w:rFonts w:ascii="Palatino Linotype" w:eastAsia="Palatino Linotype" w:hAnsi="Palatino Linotype" w:cs="Palatino Linotype"/>
          <w:i/>
          <w:iCs/>
          <w:sz w:val="22"/>
          <w:szCs w:val="22"/>
        </w:rPr>
      </w:pPr>
    </w:p>
    <w:p w14:paraId="0B1AA55B" w14:textId="77777777" w:rsidR="0023552C" w:rsidRPr="00C17D83" w:rsidRDefault="0023552C">
      <w:pPr>
        <w:spacing w:line="276" w:lineRule="auto"/>
        <w:ind w:left="567" w:right="616"/>
        <w:rPr>
          <w:rFonts w:ascii="Palatino Linotype" w:eastAsia="Palatino Linotype" w:hAnsi="Palatino Linotype" w:cs="Palatino Linotype"/>
          <w:b/>
          <w:bCs/>
          <w:sz w:val="22"/>
          <w:szCs w:val="22"/>
        </w:rPr>
      </w:pPr>
    </w:p>
    <w:p w14:paraId="18465014" w14:textId="77777777" w:rsidR="0023552C" w:rsidRPr="00C17D83" w:rsidRDefault="00B0711B">
      <w:pPr>
        <w:spacing w:line="276" w:lineRule="auto"/>
        <w:ind w:left="567" w:right="616"/>
        <w:jc w:val="both"/>
        <w:rPr>
          <w:rFonts w:ascii="Palatino Linotype" w:eastAsia="Palatino Linotype" w:hAnsi="Palatino Linotype" w:cs="Palatino Linotype"/>
          <w:i/>
          <w:iCs/>
          <w:sz w:val="22"/>
          <w:szCs w:val="22"/>
        </w:rPr>
      </w:pPr>
      <w:r w:rsidRPr="00C17D83">
        <w:rPr>
          <w:rFonts w:ascii="Palatino Linotype" w:eastAsia="Palatino Linotype" w:hAnsi="Palatino Linotype" w:cs="Palatino Linotype"/>
          <w:b/>
          <w:bCs/>
          <w:sz w:val="22"/>
          <w:szCs w:val="22"/>
        </w:rPr>
        <w:t xml:space="preserve">b) Motivos de inconformidad. </w:t>
      </w:r>
      <w:r w:rsidRPr="00C17D83">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w:t>
      </w:r>
      <w:r w:rsidRPr="00C17D83">
        <w:rPr>
          <w:rFonts w:ascii="Palatino Linotype" w:eastAsia="Palatino Linotype" w:hAnsi="Palatino Linotype" w:cs="Palatino Linotype"/>
          <w:i/>
          <w:iCs/>
          <w:sz w:val="22"/>
          <w:szCs w:val="22"/>
        </w:rPr>
        <w:lastRenderedPageBreak/>
        <w:t>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5C7AD5B2" w14:textId="77777777" w:rsidR="0023552C" w:rsidRPr="00C17D83" w:rsidRDefault="0023552C">
      <w:pPr>
        <w:spacing w:line="360" w:lineRule="auto"/>
        <w:jc w:val="both"/>
        <w:rPr>
          <w:rFonts w:ascii="Palatino Linotype" w:eastAsia="Palatino Linotype" w:hAnsi="Palatino Linotype" w:cs="Palatino Linotype"/>
          <w:i/>
          <w:iCs/>
          <w:sz w:val="22"/>
          <w:szCs w:val="22"/>
        </w:rPr>
      </w:pPr>
    </w:p>
    <w:p w14:paraId="6F6503F9"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b/>
          <w:bCs/>
          <w:sz w:val="22"/>
          <w:szCs w:val="22"/>
        </w:rPr>
        <w:t xml:space="preserve">5. Turno. </w:t>
      </w:r>
      <w:r w:rsidRPr="00C17D83">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C17D83">
        <w:rPr>
          <w:rFonts w:ascii="Palatino Linotype" w:eastAsia="Palatino Linotype" w:hAnsi="Palatino Linotype" w:cs="Palatino Linotype"/>
          <w:b/>
          <w:bCs/>
          <w:sz w:val="22"/>
          <w:szCs w:val="22"/>
        </w:rPr>
        <w:t>Guadalupe Ramírez Peña</w:t>
      </w:r>
      <w:r w:rsidRPr="00C17D83">
        <w:rPr>
          <w:rFonts w:ascii="Palatino Linotype" w:eastAsia="Palatino Linotype" w:hAnsi="Palatino Linotype" w:cs="Palatino Linotype"/>
          <w:sz w:val="22"/>
          <w:szCs w:val="22"/>
        </w:rPr>
        <w:t>, a efecto de presentar al Pleno el proyecto de resolución correspondiente.</w:t>
      </w:r>
    </w:p>
    <w:p w14:paraId="11566065"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39BCBCC3"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b/>
          <w:bCs/>
          <w:sz w:val="22"/>
          <w:szCs w:val="22"/>
        </w:rPr>
        <w:t xml:space="preserve">6. Admisión. </w:t>
      </w:r>
      <w:r w:rsidRPr="00C17D83">
        <w:rPr>
          <w:rFonts w:ascii="Palatino Linotype" w:eastAsia="Palatino Linotype" w:hAnsi="Palatino Linotype" w:cs="Palatino Linotype"/>
          <w:sz w:val="22"/>
          <w:szCs w:val="22"/>
        </w:rPr>
        <w:t xml:space="preserve">En fecha </w:t>
      </w:r>
      <w:r w:rsidRPr="00C17D83">
        <w:rPr>
          <w:rFonts w:ascii="Palatino Linotype" w:eastAsia="Palatino Linotype" w:hAnsi="Palatino Linotype" w:cs="Palatino Linotype"/>
          <w:b/>
          <w:bCs/>
          <w:sz w:val="22"/>
          <w:szCs w:val="22"/>
        </w:rPr>
        <w:t>diecisiete de febrero de dos mil veintiséis</w:t>
      </w:r>
      <w:r w:rsidRPr="00C17D83">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18A255EA"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26C6BA04" w14:textId="77777777" w:rsidR="0023552C" w:rsidRPr="00C17D83" w:rsidRDefault="00B0711B">
      <w:pPr>
        <w:widowControl w:val="0"/>
        <w:spacing w:line="360" w:lineRule="auto"/>
        <w:ind w:right="49"/>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b/>
          <w:bCs/>
          <w:sz w:val="22"/>
          <w:szCs w:val="22"/>
        </w:rPr>
        <w:t>7. Manifestaciones</w:t>
      </w:r>
      <w:r w:rsidRPr="00C17D83">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30DAF449"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 xml:space="preserve"> </w:t>
      </w:r>
      <w:r w:rsidRPr="00C17D83">
        <w:rPr>
          <w:noProof/>
        </w:rPr>
        <w:drawing>
          <wp:anchor distT="0" distB="0" distL="114300" distR="114300" simplePos="0" relativeHeight="251658240" behindDoc="0" locked="0" layoutInCell="1" hidden="0" allowOverlap="1" wp14:anchorId="4875110A" wp14:editId="4E1B78E9">
            <wp:simplePos x="0" y="0"/>
            <wp:positionH relativeFrom="column">
              <wp:posOffset>2</wp:posOffset>
            </wp:positionH>
            <wp:positionV relativeFrom="paragraph">
              <wp:posOffset>0</wp:posOffset>
            </wp:positionV>
            <wp:extent cx="5612130" cy="1360170"/>
            <wp:effectExtent l="0" t="0" r="0"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612130" cy="1360170"/>
                    </a:xfrm>
                    <a:prstGeom prst="rect">
                      <a:avLst/>
                    </a:prstGeom>
                    <a:ln/>
                  </pic:spPr>
                </pic:pic>
              </a:graphicData>
            </a:graphic>
          </wp:anchor>
        </w:drawing>
      </w:r>
    </w:p>
    <w:p w14:paraId="5ADA5D46"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06392E95"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5ABCD009"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1885D52B"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614F9BAD"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46141982"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b/>
          <w:bCs/>
          <w:sz w:val="22"/>
          <w:szCs w:val="22"/>
        </w:rPr>
        <w:t xml:space="preserve">7. Cierre de instrucción. </w:t>
      </w:r>
      <w:r w:rsidRPr="00C17D83">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C17D83">
        <w:rPr>
          <w:rFonts w:ascii="Palatino Linotype" w:eastAsia="Palatino Linotype" w:hAnsi="Palatino Linotype" w:cs="Palatino Linotype"/>
          <w:b/>
          <w:bCs/>
          <w:sz w:val="22"/>
          <w:szCs w:val="22"/>
        </w:rPr>
        <w:t>veintisiete de febrero de dos mil veintiséis</w:t>
      </w:r>
      <w:r w:rsidRPr="00C17D83">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0C236C04"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45F39C7C"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DC72261"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4B7EBB34" w14:textId="77777777" w:rsidR="0023552C" w:rsidRPr="00C17D83" w:rsidRDefault="00B0711B">
      <w:pPr>
        <w:widowControl w:val="0"/>
        <w:spacing w:line="360" w:lineRule="auto"/>
        <w:jc w:val="center"/>
        <w:rPr>
          <w:rFonts w:ascii="Palatino Linotype" w:eastAsia="Palatino Linotype" w:hAnsi="Palatino Linotype" w:cs="Palatino Linotype"/>
          <w:b/>
          <w:bCs/>
          <w:sz w:val="22"/>
          <w:szCs w:val="22"/>
        </w:rPr>
      </w:pPr>
      <w:r w:rsidRPr="00C17D83">
        <w:rPr>
          <w:rFonts w:ascii="Palatino Linotype" w:eastAsia="Palatino Linotype" w:hAnsi="Palatino Linotype" w:cs="Palatino Linotype"/>
          <w:b/>
          <w:bCs/>
          <w:sz w:val="22"/>
          <w:szCs w:val="22"/>
        </w:rPr>
        <w:t>II. C O N S I D E R A N D O S</w:t>
      </w:r>
    </w:p>
    <w:p w14:paraId="57E09D2B" w14:textId="77777777" w:rsidR="0023552C" w:rsidRPr="00C17D83" w:rsidRDefault="0023552C">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5EFA6E4F"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b/>
          <w:bCs/>
          <w:sz w:val="22"/>
          <w:szCs w:val="22"/>
        </w:rPr>
        <w:t>Primero. Competencia.</w:t>
      </w:r>
      <w:r w:rsidRPr="00C17D83">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4866B7EC"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27AAAFCE"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b/>
          <w:bCs/>
          <w:sz w:val="22"/>
          <w:szCs w:val="22"/>
        </w:rPr>
        <w:lastRenderedPageBreak/>
        <w:t xml:space="preserve">Segundo. Oportunidad y Procedibilidad del Recurso de Revisión. </w:t>
      </w:r>
      <w:r w:rsidRPr="00C17D83">
        <w:rPr>
          <w:rFonts w:ascii="Palatino Linotype" w:eastAsia="Palatino Linotype" w:hAnsi="Palatino Linotype" w:cs="Palatino Linotype"/>
          <w:sz w:val="22"/>
          <w:szCs w:val="22"/>
        </w:rPr>
        <w:t>Por cuanto hace a la oportunidad del recurso de revisión</w:t>
      </w:r>
      <w:r w:rsidRPr="00C17D83">
        <w:rPr>
          <w:rFonts w:ascii="Palatino Linotype" w:eastAsia="Palatino Linotype" w:hAnsi="Palatino Linotype" w:cs="Palatino Linotype"/>
          <w:b/>
          <w:bCs/>
          <w:sz w:val="22"/>
          <w:szCs w:val="22"/>
        </w:rPr>
        <w:t xml:space="preserve"> </w:t>
      </w:r>
      <w:r w:rsidRPr="00C17D83">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5A2727DC"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2B30FB57"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 xml:space="preserve">Derivado de lo anterior, se constituye la figura jurídica de la </w:t>
      </w:r>
      <w:r w:rsidRPr="00C17D83">
        <w:rPr>
          <w:rFonts w:ascii="Palatino Linotype" w:eastAsia="Palatino Linotype" w:hAnsi="Palatino Linotype" w:cs="Palatino Linotype"/>
          <w:b/>
          <w:bCs/>
          <w:sz w:val="22"/>
          <w:szCs w:val="22"/>
        </w:rPr>
        <w:t>NEGATIVA FICTA</w:t>
      </w:r>
      <w:r w:rsidRPr="00C17D83">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1126F8F9"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1F2A1D0F"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 xml:space="preserve">De tal manera, en el presente recurso de revisión se actualizó la negativa ficta por parte del </w:t>
      </w:r>
      <w:r w:rsidRPr="00C17D83">
        <w:rPr>
          <w:rFonts w:ascii="Palatino Linotype" w:eastAsia="Palatino Linotype" w:hAnsi="Palatino Linotype" w:cs="Palatino Linotype"/>
          <w:b/>
          <w:bCs/>
          <w:sz w:val="22"/>
          <w:szCs w:val="22"/>
        </w:rPr>
        <w:t>SUJETO OBLIGADO</w:t>
      </w:r>
      <w:r w:rsidRPr="00C17D83">
        <w:rPr>
          <w:rFonts w:ascii="Palatino Linotype" w:eastAsia="Palatino Linotype" w:hAnsi="Palatino Linotype" w:cs="Palatino Linotype"/>
          <w:sz w:val="22"/>
          <w:szCs w:val="22"/>
        </w:rPr>
        <w:t xml:space="preserve"> al no haber respondido a la parte </w:t>
      </w:r>
      <w:r w:rsidRPr="00C17D83">
        <w:rPr>
          <w:rFonts w:ascii="Palatino Linotype" w:eastAsia="Palatino Linotype" w:hAnsi="Palatino Linotype" w:cs="Palatino Linotype"/>
          <w:b/>
          <w:bCs/>
          <w:sz w:val="22"/>
          <w:szCs w:val="22"/>
        </w:rPr>
        <w:t>RECURRENTE</w:t>
      </w:r>
      <w:r w:rsidRPr="00C17D83">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DA98F8F"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5CF522E2"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Si a ello se le suma lo previsto en el párrafo segundo del artículo 178, párrafo segundo</w:t>
      </w:r>
      <w:r w:rsidRPr="00C17D83">
        <w:rPr>
          <w:rFonts w:ascii="Palatino Linotype" w:eastAsia="Palatino Linotype" w:hAnsi="Palatino Linotype" w:cs="Palatino Linotype"/>
          <w:sz w:val="22"/>
          <w:szCs w:val="22"/>
          <w:vertAlign w:val="superscript"/>
        </w:rPr>
        <w:footnoteReference w:id="1"/>
      </w:r>
      <w:r w:rsidRPr="00C17D83">
        <w:rPr>
          <w:rFonts w:ascii="Palatino Linotype" w:eastAsia="Palatino Linotype" w:hAnsi="Palatino Linotype" w:cs="Palatino Linotype"/>
          <w:sz w:val="22"/>
          <w:szCs w:val="22"/>
        </w:rPr>
        <w:t xml:space="preserve"> de la Ley de Transparencia y Acceso a la Información Pública vigente en la entidad.</w:t>
      </w:r>
    </w:p>
    <w:p w14:paraId="4348324F"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43BEE45B"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0D4B40DE" w14:textId="77777777" w:rsidR="0023552C" w:rsidRPr="00C17D83" w:rsidRDefault="0023552C">
      <w:pPr>
        <w:spacing w:line="360" w:lineRule="auto"/>
        <w:jc w:val="both"/>
        <w:rPr>
          <w:i/>
          <w:iCs/>
          <w:sz w:val="22"/>
          <w:szCs w:val="22"/>
        </w:rPr>
      </w:pPr>
    </w:p>
    <w:p w14:paraId="1B0434E8" w14:textId="77777777" w:rsidR="0023552C" w:rsidRPr="00C17D83" w:rsidRDefault="00B0711B">
      <w:pPr>
        <w:ind w:left="567" w:right="616"/>
        <w:jc w:val="both"/>
        <w:rPr>
          <w:rFonts w:ascii="Palatino Linotype" w:eastAsia="Palatino Linotype" w:hAnsi="Palatino Linotype" w:cs="Palatino Linotype"/>
          <w:b/>
          <w:bCs/>
          <w:i/>
          <w:iCs/>
          <w:sz w:val="22"/>
          <w:szCs w:val="22"/>
        </w:rPr>
      </w:pPr>
      <w:r w:rsidRPr="00C17D83">
        <w:rPr>
          <w:rFonts w:ascii="Palatino Linotype" w:eastAsia="Palatino Linotype" w:hAnsi="Palatino Linotype" w:cs="Palatino Linotype"/>
          <w:i/>
          <w:iCs/>
          <w:sz w:val="22"/>
          <w:szCs w:val="22"/>
        </w:rPr>
        <w:t>“</w:t>
      </w:r>
      <w:r w:rsidRPr="00C17D83">
        <w:rPr>
          <w:rFonts w:ascii="Palatino Linotype" w:eastAsia="Palatino Linotype" w:hAnsi="Palatino Linotype" w:cs="Palatino Linotype"/>
          <w:b/>
          <w:bCs/>
          <w:i/>
          <w:iCs/>
          <w:sz w:val="22"/>
          <w:szCs w:val="22"/>
        </w:rPr>
        <w:t>CRITERIO 0001-15 NEGATIVA FICTA. PLAZO PARA INTERPONER EL RECURSO DE REVISIÓN TRATÁNDOSE DE</w:t>
      </w:r>
      <w:r w:rsidRPr="00C17D83">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0B6E5ADD" w14:textId="77777777" w:rsidR="0023552C" w:rsidRPr="00C17D83" w:rsidRDefault="0023552C">
      <w:pPr>
        <w:ind w:left="567" w:right="851"/>
        <w:jc w:val="both"/>
        <w:rPr>
          <w:rFonts w:ascii="Palatino Linotype" w:eastAsia="Palatino Linotype" w:hAnsi="Palatino Linotype" w:cs="Palatino Linotype"/>
          <w:i/>
          <w:iCs/>
          <w:sz w:val="22"/>
          <w:szCs w:val="22"/>
        </w:rPr>
      </w:pPr>
    </w:p>
    <w:p w14:paraId="23A074B4" w14:textId="77777777" w:rsidR="0023552C" w:rsidRPr="00C17D83" w:rsidRDefault="00B0711B">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C17D83">
        <w:rPr>
          <w:rFonts w:ascii="Palatino Linotype" w:eastAsia="Palatino Linotype" w:hAnsi="Palatino Linotype" w:cs="Palatino Linotype"/>
          <w:b/>
          <w:bCs/>
          <w:sz w:val="22"/>
          <w:szCs w:val="22"/>
        </w:rPr>
        <w:t>EL</w:t>
      </w:r>
      <w:r w:rsidRPr="00C17D83">
        <w:rPr>
          <w:rFonts w:ascii="Palatino Linotype" w:eastAsia="Palatino Linotype" w:hAnsi="Palatino Linotype" w:cs="Palatino Linotype"/>
          <w:sz w:val="22"/>
          <w:szCs w:val="22"/>
        </w:rPr>
        <w:t xml:space="preserve"> </w:t>
      </w:r>
      <w:r w:rsidRPr="00C17D83">
        <w:rPr>
          <w:rFonts w:ascii="Palatino Linotype" w:eastAsia="Palatino Linotype" w:hAnsi="Palatino Linotype" w:cs="Palatino Linotype"/>
          <w:b/>
          <w:bCs/>
          <w:sz w:val="22"/>
          <w:szCs w:val="22"/>
        </w:rPr>
        <w:t>SAIMEX</w:t>
      </w:r>
      <w:r w:rsidRPr="00C17D83">
        <w:rPr>
          <w:rFonts w:ascii="Palatino Linotype" w:eastAsia="Palatino Linotype" w:hAnsi="Palatino Linotype" w:cs="Palatino Linotype"/>
          <w:sz w:val="22"/>
          <w:szCs w:val="22"/>
        </w:rPr>
        <w:t>.</w:t>
      </w:r>
    </w:p>
    <w:p w14:paraId="5DA9DB81" w14:textId="77777777" w:rsidR="0023552C" w:rsidRPr="00C17D83" w:rsidRDefault="0023552C">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5856D3F4"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lastRenderedPageBreak/>
        <w:t xml:space="preserve">Ahora bien, resulta procedente la interposición del recurso de revisión, según lo aducido por la parte </w:t>
      </w:r>
      <w:r w:rsidRPr="00C17D83">
        <w:rPr>
          <w:rFonts w:ascii="Palatino Linotype" w:eastAsia="Palatino Linotype" w:hAnsi="Palatino Linotype" w:cs="Palatino Linotype"/>
          <w:b/>
          <w:bCs/>
          <w:sz w:val="22"/>
          <w:szCs w:val="22"/>
        </w:rPr>
        <w:t>RECURRENTE</w:t>
      </w:r>
      <w:r w:rsidRPr="00C17D83">
        <w:rPr>
          <w:rFonts w:ascii="Palatino Linotype" w:eastAsia="Palatino Linotype" w:hAnsi="Palatino Linotype" w:cs="Palatino Linotype"/>
          <w:sz w:val="22"/>
          <w:szCs w:val="22"/>
        </w:rPr>
        <w:t>, en términos del artículo 179, fracción VII del ordenamiento legal de la materia, que a la letra dice:</w:t>
      </w:r>
    </w:p>
    <w:p w14:paraId="160E2DA8"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38FA3CBB" w14:textId="77777777" w:rsidR="0023552C" w:rsidRPr="00C17D83" w:rsidRDefault="00B0711B">
      <w:pPr>
        <w:ind w:left="567" w:right="616"/>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i/>
          <w:iCs/>
          <w:sz w:val="22"/>
          <w:szCs w:val="22"/>
        </w:rPr>
        <w:t>“</w:t>
      </w:r>
      <w:r w:rsidRPr="00C17D83">
        <w:rPr>
          <w:rFonts w:ascii="Palatino Linotype" w:eastAsia="Palatino Linotype" w:hAnsi="Palatino Linotype" w:cs="Palatino Linotype"/>
          <w:b/>
          <w:bCs/>
          <w:sz w:val="22"/>
          <w:szCs w:val="22"/>
        </w:rPr>
        <w:t>Artículo 179.</w:t>
      </w:r>
      <w:r w:rsidRPr="00C17D83">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C17D83">
        <w:rPr>
          <w:rFonts w:ascii="Palatino Linotype" w:eastAsia="Palatino Linotype" w:hAnsi="Palatino Linotype" w:cs="Palatino Linotype"/>
          <w:sz w:val="22"/>
          <w:szCs w:val="22"/>
        </w:rPr>
        <w:t> </w:t>
      </w:r>
    </w:p>
    <w:p w14:paraId="72F89C56" w14:textId="77777777" w:rsidR="0023552C" w:rsidRPr="00C17D83" w:rsidRDefault="00B0711B">
      <w:pPr>
        <w:ind w:left="567" w:right="616"/>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w:t>
      </w:r>
    </w:p>
    <w:p w14:paraId="4692773E" w14:textId="77777777" w:rsidR="0023552C" w:rsidRPr="00C17D83" w:rsidRDefault="00B0711B">
      <w:pPr>
        <w:numPr>
          <w:ilvl w:val="0"/>
          <w:numId w:val="1"/>
        </w:numPr>
        <w:ind w:left="567" w:right="616" w:firstLine="0"/>
        <w:jc w:val="both"/>
        <w:rPr>
          <w:rFonts w:ascii="Palatino Linotype" w:eastAsia="Palatino Linotype" w:hAnsi="Palatino Linotype" w:cs="Palatino Linotype"/>
          <w:i/>
          <w:iCs/>
          <w:sz w:val="22"/>
          <w:szCs w:val="22"/>
        </w:rPr>
      </w:pPr>
      <w:r w:rsidRPr="00C17D83">
        <w:rPr>
          <w:rFonts w:ascii="Palatino Linotype" w:eastAsia="Palatino Linotype" w:hAnsi="Palatino Linotype" w:cs="Palatino Linotype"/>
          <w:i/>
          <w:iCs/>
          <w:sz w:val="22"/>
          <w:szCs w:val="22"/>
        </w:rPr>
        <w:t>La falta de respuesta a una solicitud de acceso a la información…</w:t>
      </w:r>
    </w:p>
    <w:p w14:paraId="7BF563DB" w14:textId="77777777" w:rsidR="0023552C" w:rsidRPr="00C17D83" w:rsidRDefault="0023552C">
      <w:pPr>
        <w:spacing w:line="360" w:lineRule="auto"/>
        <w:ind w:right="1041"/>
        <w:jc w:val="both"/>
        <w:rPr>
          <w:rFonts w:ascii="Palatino Linotype" w:eastAsia="Palatino Linotype" w:hAnsi="Palatino Linotype" w:cs="Palatino Linotype"/>
          <w:i/>
          <w:iCs/>
          <w:sz w:val="22"/>
          <w:szCs w:val="22"/>
        </w:rPr>
      </w:pPr>
    </w:p>
    <w:p w14:paraId="1004BCB3" w14:textId="77777777" w:rsidR="0023552C" w:rsidRPr="00C17D83" w:rsidRDefault="00B0711B">
      <w:pPr>
        <w:spacing w:line="360" w:lineRule="auto"/>
        <w:jc w:val="both"/>
        <w:rPr>
          <w:rFonts w:ascii="Palatino Linotype" w:eastAsia="Palatino Linotype" w:hAnsi="Palatino Linotype" w:cs="Palatino Linotype"/>
          <w:sz w:val="22"/>
          <w:szCs w:val="22"/>
        </w:rPr>
      </w:pPr>
      <w:bookmarkStart w:id="1" w:name="_heading=h.ibiie51sawl6" w:colFirst="0" w:colLast="0"/>
      <w:bookmarkEnd w:id="1"/>
      <w:r w:rsidRPr="00C17D83">
        <w:rPr>
          <w:rFonts w:ascii="Palatino Linotype" w:eastAsia="Palatino Linotype" w:hAnsi="Palatino Linotype" w:cs="Palatino Linotype"/>
          <w:b/>
          <w:bCs/>
          <w:sz w:val="22"/>
          <w:szCs w:val="22"/>
        </w:rPr>
        <w:t>Tercero. Análisis de las causales de improcedencia y sobreseimiento del recurso de revisión.</w:t>
      </w:r>
      <w:r w:rsidRPr="00C17D83">
        <w:rPr>
          <w:sz w:val="22"/>
          <w:szCs w:val="22"/>
        </w:rPr>
        <w:t xml:space="preserve"> </w:t>
      </w:r>
      <w:r w:rsidRPr="00C17D83">
        <w:rPr>
          <w:rFonts w:ascii="Palatino Linotype" w:eastAsia="Palatino Linotype" w:hAnsi="Palatino Linotype" w:cs="Palatino Linotype"/>
          <w:sz w:val="22"/>
          <w:szCs w:val="22"/>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0C7E77C" w14:textId="77777777" w:rsidR="0023552C" w:rsidRPr="00C17D83" w:rsidRDefault="0023552C">
      <w:pPr>
        <w:spacing w:line="360" w:lineRule="auto"/>
        <w:jc w:val="both"/>
        <w:rPr>
          <w:sz w:val="22"/>
          <w:szCs w:val="22"/>
        </w:rPr>
      </w:pPr>
    </w:p>
    <w:p w14:paraId="30084C53"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Siendo una facultad legal entrar al estudio de las causas de improcedencia que hagan valer las partes o que se adviertan de oficio por este Instituto;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 Estudio de causales de improcedencia que no son incompatibles con el derecho de acceso a la justicia, ya que éste no se coarta por regular causas de improcedencia y sobreseimiento con tales fines.</w:t>
      </w:r>
    </w:p>
    <w:p w14:paraId="4964E28B" w14:textId="77777777" w:rsidR="0023552C" w:rsidRPr="00C17D83" w:rsidRDefault="0023552C">
      <w:pPr>
        <w:spacing w:line="360" w:lineRule="auto"/>
        <w:jc w:val="both"/>
        <w:rPr>
          <w:sz w:val="22"/>
          <w:szCs w:val="22"/>
        </w:rPr>
      </w:pPr>
    </w:p>
    <w:p w14:paraId="3E53D8E5" w14:textId="77777777" w:rsidR="0023552C" w:rsidRPr="00C17D83" w:rsidRDefault="00B0711B">
      <w:pPr>
        <w:spacing w:line="360" w:lineRule="auto"/>
        <w:ind w:right="51"/>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lastRenderedPageBreak/>
        <w:t>De manera preliminar en el caso concreto conviene analizar si se actualiza alguna de las causales de sobreseimiento del recurso de revisión, para ello, en principio, es de recordar que la parte Recurrente solicitó textualmente lo siguiente:</w:t>
      </w:r>
    </w:p>
    <w:p w14:paraId="31B4A056" w14:textId="77777777" w:rsidR="0023552C" w:rsidRPr="00C17D83" w:rsidRDefault="0023552C">
      <w:pPr>
        <w:spacing w:line="360" w:lineRule="auto"/>
        <w:ind w:right="51"/>
        <w:jc w:val="both"/>
        <w:rPr>
          <w:rFonts w:ascii="Palatino Linotype" w:eastAsia="Palatino Linotype" w:hAnsi="Palatino Linotype" w:cs="Palatino Linotype"/>
          <w:sz w:val="22"/>
          <w:szCs w:val="22"/>
        </w:rPr>
      </w:pPr>
    </w:p>
    <w:p w14:paraId="7977C03B" w14:textId="77777777" w:rsidR="0023552C" w:rsidRPr="00C17D83" w:rsidRDefault="00B0711B">
      <w:pPr>
        <w:ind w:left="567" w:right="616"/>
        <w:jc w:val="both"/>
        <w:rPr>
          <w:rFonts w:ascii="Palatino Linotype" w:eastAsia="Palatino Linotype" w:hAnsi="Palatino Linotype" w:cs="Palatino Linotype"/>
          <w:i/>
          <w:iCs/>
          <w:sz w:val="22"/>
          <w:szCs w:val="22"/>
        </w:rPr>
      </w:pPr>
      <w:r w:rsidRPr="00C17D83">
        <w:rPr>
          <w:rFonts w:ascii="Palatino Linotype" w:eastAsia="Palatino Linotype" w:hAnsi="Palatino Linotype" w:cs="Palatino Linotype"/>
          <w:i/>
          <w:iCs/>
          <w:sz w:val="22"/>
          <w:szCs w:val="22"/>
        </w:rPr>
        <w:t xml:space="preserve">“¿La </w:t>
      </w:r>
      <w:proofErr w:type="gramStart"/>
      <w:r w:rsidRPr="00C17D83">
        <w:rPr>
          <w:rFonts w:ascii="Palatino Linotype" w:eastAsia="Palatino Linotype" w:hAnsi="Palatino Linotype" w:cs="Palatino Linotype"/>
          <w:i/>
          <w:iCs/>
          <w:sz w:val="22"/>
          <w:szCs w:val="22"/>
        </w:rPr>
        <w:t>Presidenta</w:t>
      </w:r>
      <w:proofErr w:type="gramEnd"/>
      <w:r w:rsidRPr="00C17D83">
        <w:rPr>
          <w:rFonts w:ascii="Palatino Linotype" w:eastAsia="Palatino Linotype" w:hAnsi="Palatino Linotype" w:cs="Palatino Linotype"/>
          <w:i/>
          <w:iCs/>
          <w:sz w:val="22"/>
          <w:szCs w:val="22"/>
        </w:rPr>
        <w:t xml:space="preserve"> Municipal de Tepotzotlán continuó tomando decisiones administrativas, financieras o de obra pública mientras se encontraba legalmente inhabilitada? En caso afirmativo, indique cuáles decisiones y bajo qué fundamento legal.” (Sic)</w:t>
      </w:r>
    </w:p>
    <w:p w14:paraId="02169218" w14:textId="77777777" w:rsidR="0023552C" w:rsidRPr="00C17D83" w:rsidRDefault="0023552C">
      <w:pPr>
        <w:ind w:left="851" w:right="616"/>
        <w:jc w:val="both"/>
        <w:rPr>
          <w:rFonts w:ascii="Palatino Linotype" w:eastAsia="Palatino Linotype" w:hAnsi="Palatino Linotype" w:cs="Palatino Linotype"/>
          <w:sz w:val="22"/>
          <w:szCs w:val="22"/>
        </w:rPr>
      </w:pPr>
    </w:p>
    <w:p w14:paraId="36EF6388" w14:textId="77777777" w:rsidR="0023552C" w:rsidRPr="00C17D83" w:rsidRDefault="0023552C">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8CA36D2" w14:textId="77777777" w:rsidR="0023552C" w:rsidRPr="00C17D83" w:rsidRDefault="00B0711B">
      <w:pPr>
        <w:spacing w:line="360" w:lineRule="auto"/>
        <w:ind w:right="49"/>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 xml:space="preserve">El Sujeto Obligado fue omiso en pronunciarse al respecto tanto en respuesta como en informe justificado, lo que, nos lleva a configurar la figura de la negativa ficta. </w:t>
      </w:r>
    </w:p>
    <w:p w14:paraId="20A5DBAD" w14:textId="77777777" w:rsidR="0023552C" w:rsidRPr="00C17D83" w:rsidRDefault="0023552C">
      <w:pPr>
        <w:spacing w:line="360" w:lineRule="auto"/>
        <w:ind w:right="49"/>
        <w:jc w:val="both"/>
        <w:rPr>
          <w:rFonts w:ascii="Palatino Linotype" w:eastAsia="Palatino Linotype" w:hAnsi="Palatino Linotype" w:cs="Palatino Linotype"/>
          <w:sz w:val="22"/>
          <w:szCs w:val="22"/>
        </w:rPr>
      </w:pPr>
    </w:p>
    <w:p w14:paraId="15E936F8" w14:textId="77777777" w:rsidR="0023552C" w:rsidRPr="00C17D83" w:rsidRDefault="00B0711B">
      <w:pPr>
        <w:spacing w:line="360" w:lineRule="auto"/>
        <w:ind w:right="49"/>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Ahora bien, si bien es cierto, la interposición del Recurso de Revisión resulta procedente en términos de la fracción VII de la Ley de Transparencia y Acceso a la Información Pública del Estado de México y Municipios, también lo es que del análisis realizado a la solicitud de información, se advirtió que estos versan en requerimientos que no pueden ser atendidas a través de la vía del Derecho de Acceso a la Información Pública, debido a que se trata de un ejercicio del derecho de petición de la parte Recurrente.</w:t>
      </w:r>
    </w:p>
    <w:p w14:paraId="2EEE87A2" w14:textId="77777777" w:rsidR="0023552C" w:rsidRPr="00C17D83" w:rsidRDefault="0023552C">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0FD62CE5" w14:textId="77777777" w:rsidR="0023552C" w:rsidRPr="00C17D83" w:rsidRDefault="00B0711B">
      <w:pPr>
        <w:spacing w:line="360" w:lineRule="auto"/>
        <w:jc w:val="both"/>
        <w:rPr>
          <w:rFonts w:ascii="Palatino Linotype" w:eastAsia="Palatino Linotype" w:hAnsi="Palatino Linotype" w:cs="Palatino Linotype"/>
          <w:i/>
          <w:iCs/>
          <w:sz w:val="22"/>
          <w:szCs w:val="22"/>
        </w:rPr>
      </w:pPr>
      <w:r w:rsidRPr="00C17D83">
        <w:rPr>
          <w:rFonts w:ascii="Palatino Linotype" w:eastAsia="Palatino Linotype" w:hAnsi="Palatino Linotype" w:cs="Palatino Linotype"/>
          <w:sz w:val="22"/>
          <w:szCs w:val="22"/>
        </w:rPr>
        <w:t xml:space="preserve">A efecto de sustentar lo anterior, es preciso mencionar que David Cienfuegos Salgado, concibe al derecho de petición como </w:t>
      </w:r>
      <w:r w:rsidRPr="00C17D83">
        <w:rPr>
          <w:rFonts w:ascii="Palatino Linotype" w:eastAsia="Palatino Linotype" w:hAnsi="Palatino Linotype" w:cs="Palatino Linotype"/>
          <w:i/>
          <w:iCs/>
          <w:sz w:val="22"/>
          <w:szCs w:val="22"/>
        </w:rPr>
        <w:t>“</w:t>
      </w:r>
      <w:r w:rsidRPr="00C17D83">
        <w:rPr>
          <w:rFonts w:ascii="Palatino Linotype" w:eastAsia="Palatino Linotype" w:hAnsi="Palatino Linotype" w:cs="Palatino Linotype"/>
          <w:b/>
          <w:bCs/>
          <w:i/>
          <w:iCs/>
          <w:sz w:val="22"/>
          <w:szCs w:val="22"/>
          <w:u w:val="single"/>
        </w:rPr>
        <w:t>el derecho de toda persona a ser escuchado por quienes ejercen el poder público</w:t>
      </w:r>
      <w:r w:rsidRPr="00C17D83">
        <w:rPr>
          <w:rFonts w:ascii="Palatino Linotype" w:eastAsia="Palatino Linotype" w:hAnsi="Palatino Linotype" w:cs="Palatino Linotype"/>
          <w:i/>
          <w:iCs/>
          <w:sz w:val="22"/>
          <w:szCs w:val="22"/>
        </w:rPr>
        <w:t xml:space="preserve">”  </w:t>
      </w:r>
    </w:p>
    <w:p w14:paraId="2684F4E8" w14:textId="77777777" w:rsidR="0023552C" w:rsidRPr="00C17D83" w:rsidRDefault="0023552C">
      <w:pPr>
        <w:spacing w:line="360" w:lineRule="auto"/>
        <w:jc w:val="both"/>
        <w:rPr>
          <w:rFonts w:ascii="Palatino Linotype" w:eastAsia="Palatino Linotype" w:hAnsi="Palatino Linotype" w:cs="Palatino Linotype"/>
          <w:i/>
          <w:iCs/>
          <w:sz w:val="22"/>
          <w:szCs w:val="22"/>
        </w:rPr>
      </w:pPr>
    </w:p>
    <w:p w14:paraId="55B42619"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 xml:space="preserve">De la misma manera, Miguel Carbonell en su libro </w:t>
      </w:r>
      <w:r w:rsidRPr="00C17D83">
        <w:rPr>
          <w:rFonts w:ascii="Palatino Linotype" w:eastAsia="Palatino Linotype" w:hAnsi="Palatino Linotype" w:cs="Palatino Linotype"/>
          <w:i/>
          <w:iCs/>
          <w:sz w:val="22"/>
          <w:szCs w:val="22"/>
        </w:rPr>
        <w:t xml:space="preserve">“Los derechos fundamentales” </w:t>
      </w:r>
      <w:r w:rsidRPr="00C17D83">
        <w:rPr>
          <w:rFonts w:ascii="Palatino Linotype" w:eastAsia="Palatino Linotype" w:hAnsi="Palatino Linotype" w:cs="Palatino Linotype"/>
          <w:sz w:val="22"/>
          <w:szCs w:val="22"/>
        </w:rPr>
        <w:t xml:space="preserve">refiere que el derecho de petición se ha entendido de dos distintas maneras, a saber: como un derecho fundamental de participación política ya que permite a los particulares trasladar a las autoridades sus </w:t>
      </w:r>
      <w:r w:rsidRPr="00C17D83">
        <w:rPr>
          <w:rFonts w:ascii="Palatino Linotype" w:eastAsia="Palatino Linotype" w:hAnsi="Palatino Linotype" w:cs="Palatino Linotype"/>
          <w:b/>
          <w:bCs/>
          <w:sz w:val="22"/>
          <w:szCs w:val="22"/>
        </w:rPr>
        <w:t>inquietudes, quejas</w:t>
      </w:r>
      <w:r w:rsidRPr="00C17D83">
        <w:rPr>
          <w:rFonts w:ascii="Palatino Linotype" w:eastAsia="Palatino Linotype" w:hAnsi="Palatino Linotype" w:cs="Palatino Linotype"/>
          <w:sz w:val="22"/>
          <w:szCs w:val="22"/>
        </w:rPr>
        <w:t xml:space="preserve">, sugerencias y requerimientos en cualquier materia o </w:t>
      </w:r>
      <w:r w:rsidRPr="00C17D83">
        <w:rPr>
          <w:rFonts w:ascii="Palatino Linotype" w:eastAsia="Palatino Linotype" w:hAnsi="Palatino Linotype" w:cs="Palatino Linotype"/>
          <w:sz w:val="22"/>
          <w:szCs w:val="22"/>
        </w:rPr>
        <w:lastRenderedPageBreak/>
        <w:t xml:space="preserve">asunto; y como una </w:t>
      </w:r>
      <w:r w:rsidRPr="00C17D83">
        <w:rPr>
          <w:rFonts w:ascii="Palatino Linotype" w:eastAsia="Palatino Linotype" w:hAnsi="Palatino Linotype" w:cs="Palatino Linotype"/>
          <w:b/>
          <w:bCs/>
          <w:sz w:val="22"/>
          <w:szCs w:val="22"/>
        </w:rPr>
        <w:t>forma específica de la libertad de expresión</w:t>
      </w:r>
      <w:r w:rsidRPr="00C17D83">
        <w:rPr>
          <w:rFonts w:ascii="Palatino Linotype" w:eastAsia="Palatino Linotype" w:hAnsi="Palatino Linotype" w:cs="Palatino Linotype"/>
          <w:sz w:val="22"/>
          <w:szCs w:val="22"/>
        </w:rPr>
        <w:t xml:space="preserve">, en tanto que permite expresarse frente a las autoridades. </w:t>
      </w:r>
    </w:p>
    <w:p w14:paraId="7B26614C"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0A6FA71C"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p>
    <w:p w14:paraId="786A9271" w14:textId="77777777" w:rsidR="0023552C" w:rsidRPr="00C17D83" w:rsidRDefault="0023552C">
      <w:pPr>
        <w:spacing w:line="360" w:lineRule="auto"/>
        <w:jc w:val="both"/>
        <w:rPr>
          <w:rFonts w:ascii="Palatino Linotype" w:eastAsia="Palatino Linotype" w:hAnsi="Palatino Linotype" w:cs="Palatino Linotype"/>
          <w:sz w:val="22"/>
          <w:szCs w:val="22"/>
          <w:vertAlign w:val="superscript"/>
        </w:rPr>
      </w:pPr>
    </w:p>
    <w:p w14:paraId="2B80FEE0"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 xml:space="preserve">Por otro lado, el autor anteriormente citado, indica que el </w:t>
      </w:r>
      <w:r w:rsidRPr="00C17D83">
        <w:rPr>
          <w:rFonts w:ascii="Palatino Linotype" w:eastAsia="Palatino Linotype" w:hAnsi="Palatino Linotype" w:cs="Palatino Linotype"/>
          <w:b/>
          <w:bCs/>
          <w:sz w:val="22"/>
          <w:szCs w:val="22"/>
        </w:rPr>
        <w:t>derecho de acceso a la información pública</w:t>
      </w:r>
      <w:r w:rsidRPr="00C17D83">
        <w:rPr>
          <w:rFonts w:ascii="Palatino Linotype" w:eastAsia="Palatino Linotype" w:hAnsi="Palatino Linotype" w:cs="Palatino Linotype"/>
          <w:sz w:val="22"/>
          <w:szCs w:val="22"/>
        </w:rPr>
        <w:t xml:space="preserve"> es el derecho de conocer la información de carácter público que se genera o está en posesión de los órganos del poder público o de los sujetos que utilizan o se benefician con recursos provenientes del Estado, es el derecho que tienen los ciudadanos para acceder a documentos y datos que obren en el poder del gobierno.</w:t>
      </w:r>
    </w:p>
    <w:p w14:paraId="0EBE9ABD"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41430373"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Por su parte Ernesto Villanueva define al derecho de acceso a la información pública como la prerrogativa de la persona para acceder a datos, registros y todo tipo de informaciones en poder de las entidades públicas y empresas privadas que ejercen gasto público o cumplen funciones de autoridad, con las excepciones taxativas que establezca la ley en una sociedad democrática.</w:t>
      </w:r>
    </w:p>
    <w:p w14:paraId="42E834DC"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6140ACD8" w14:textId="77777777" w:rsidR="0023552C" w:rsidRPr="00C17D83" w:rsidRDefault="00B0711B">
      <w:pPr>
        <w:spacing w:line="360" w:lineRule="auto"/>
        <w:ind w:right="99"/>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 xml:space="preserve">De lo anterior se puede concluir que la distinción entre el </w:t>
      </w:r>
      <w:r w:rsidRPr="00C17D83">
        <w:rPr>
          <w:rFonts w:ascii="Palatino Linotype" w:eastAsia="Palatino Linotype" w:hAnsi="Palatino Linotype" w:cs="Palatino Linotype"/>
          <w:b/>
          <w:bCs/>
          <w:sz w:val="22"/>
          <w:szCs w:val="22"/>
        </w:rPr>
        <w:t>derecho de petición</w:t>
      </w:r>
      <w:r w:rsidRPr="00C17D83">
        <w:rPr>
          <w:rFonts w:ascii="Palatino Linotype" w:eastAsia="Palatino Linotype" w:hAnsi="Palatino Linotype" w:cs="Palatino Linotype"/>
          <w:sz w:val="22"/>
          <w:szCs w:val="22"/>
        </w:rPr>
        <w:t xml:space="preserve"> y el derecho de acceso a la información descansa, principalmente, en que la pretensión del peticionario consiste generalmente en obligar a la autoridad responsable a que actúe en el sentido de contestar lo solicitado, mientras que en el derecho de acceso a la información pública la pretensión radica en que se permita el acceso a datos y todo tipo de documentación que </w:t>
      </w:r>
      <w:r w:rsidRPr="00C17D83">
        <w:rPr>
          <w:rFonts w:ascii="Palatino Linotype" w:eastAsia="Palatino Linotype" w:hAnsi="Palatino Linotype" w:cs="Palatino Linotype"/>
          <w:sz w:val="22"/>
          <w:szCs w:val="22"/>
        </w:rPr>
        <w:lastRenderedPageBreak/>
        <w:t>tenga el carácter de información pública, que sea generada, administrada o se encuentre en posesión de los considerados Sujetos Obligados por la Ley de la Materia.</w:t>
      </w:r>
    </w:p>
    <w:p w14:paraId="0933BAE8" w14:textId="77777777" w:rsidR="0023552C" w:rsidRPr="00C17D83" w:rsidRDefault="0023552C">
      <w:pPr>
        <w:spacing w:line="360" w:lineRule="auto"/>
        <w:ind w:right="99"/>
        <w:jc w:val="both"/>
        <w:rPr>
          <w:rFonts w:ascii="Palatino Linotype" w:eastAsia="Palatino Linotype" w:hAnsi="Palatino Linotype" w:cs="Palatino Linotype"/>
          <w:sz w:val="22"/>
          <w:szCs w:val="22"/>
        </w:rPr>
      </w:pPr>
    </w:p>
    <w:p w14:paraId="209600FE"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Ante ello, de conformidad con lo que establece el artículo 12 de la Ley de Transparencia y Acceso a la Información Pública del Estado de México y Municipios, los sujetos obligados no se encuentran constreñidos a entregar información que no obra en sus archivos o generarla conforme al interés de los solicitantes.</w:t>
      </w:r>
    </w:p>
    <w:p w14:paraId="35B0D848"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5C660AFC" w14:textId="77777777" w:rsidR="0023552C" w:rsidRPr="00C17D83" w:rsidRDefault="00B0711B">
      <w:pPr>
        <w:spacing w:line="360" w:lineRule="auto"/>
        <w:jc w:val="both"/>
        <w:rPr>
          <w:rFonts w:ascii="Palatino Linotype" w:eastAsia="Palatino Linotype" w:hAnsi="Palatino Linotype" w:cs="Palatino Linotype"/>
          <w:b/>
          <w:bCs/>
          <w:sz w:val="22"/>
          <w:szCs w:val="22"/>
        </w:rPr>
      </w:pPr>
      <w:r w:rsidRPr="00C17D83">
        <w:rPr>
          <w:rFonts w:ascii="Palatino Linotype" w:eastAsia="Palatino Linotype" w:hAnsi="Palatino Linotype" w:cs="Palatino Linotype"/>
          <w:b/>
          <w:bCs/>
          <w:sz w:val="22"/>
          <w:szCs w:val="22"/>
        </w:rPr>
        <w:t xml:space="preserve">En ese sentido, se tiene que, la solicitud de información se relaciona con el ejercicio del derecho de petición, por lo que esta no puede atenderse vía acceso a la información pública. </w:t>
      </w:r>
    </w:p>
    <w:p w14:paraId="51C054AA" w14:textId="77777777" w:rsidR="0023552C" w:rsidRPr="00C17D83" w:rsidRDefault="0023552C">
      <w:pPr>
        <w:spacing w:line="360" w:lineRule="auto"/>
        <w:ind w:right="96"/>
        <w:jc w:val="both"/>
        <w:rPr>
          <w:rFonts w:ascii="Palatino Linotype" w:eastAsia="Palatino Linotype" w:hAnsi="Palatino Linotype" w:cs="Palatino Linotype"/>
          <w:sz w:val="22"/>
          <w:szCs w:val="22"/>
        </w:rPr>
      </w:pPr>
    </w:p>
    <w:p w14:paraId="5A7CE5E8" w14:textId="77777777" w:rsidR="0023552C" w:rsidRPr="00C17D83" w:rsidRDefault="00B0711B">
      <w:pPr>
        <w:spacing w:line="360" w:lineRule="auto"/>
        <w:ind w:right="96"/>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Por ello, en virtud de los argumentos expuestos con anterioridad así como del análisis realizado a las constancias que obran en el expediente electrónico del SAIMEX, se determina sobreseer el presente recurso de revisión por actualizarse la causal de sobreseimiento prevista en la fracción IV del artículo 192 de la Ley de Transparencia y Acceso a la Información Pública del Estado de México y Municipios en su correlación con las causales de improcedencia contempladas en las fracciones VI del artículo 191 del ordenamiento legal en cita, los que se transcriben a continuación, para un mejor entendimiento:</w:t>
      </w:r>
    </w:p>
    <w:p w14:paraId="048CE18E" w14:textId="77777777" w:rsidR="0023552C" w:rsidRPr="00C17D83" w:rsidRDefault="0023552C">
      <w:pPr>
        <w:spacing w:line="360" w:lineRule="auto"/>
        <w:ind w:right="96"/>
        <w:jc w:val="both"/>
        <w:rPr>
          <w:rFonts w:ascii="Palatino Linotype" w:eastAsia="Palatino Linotype" w:hAnsi="Palatino Linotype" w:cs="Palatino Linotype"/>
          <w:sz w:val="22"/>
          <w:szCs w:val="22"/>
        </w:rPr>
      </w:pPr>
    </w:p>
    <w:p w14:paraId="2BB5CA1F" w14:textId="77777777" w:rsidR="0023552C" w:rsidRPr="00C17D83" w:rsidRDefault="00B0711B">
      <w:pPr>
        <w:tabs>
          <w:tab w:val="left" w:pos="7938"/>
        </w:tabs>
        <w:spacing w:line="276" w:lineRule="auto"/>
        <w:ind w:left="567" w:right="902"/>
        <w:jc w:val="both"/>
        <w:rPr>
          <w:rFonts w:ascii="Palatino Linotype" w:eastAsia="Palatino Linotype" w:hAnsi="Palatino Linotype" w:cs="Palatino Linotype"/>
          <w:i/>
          <w:iCs/>
          <w:sz w:val="22"/>
          <w:szCs w:val="22"/>
        </w:rPr>
      </w:pPr>
      <w:r w:rsidRPr="00C17D83">
        <w:rPr>
          <w:rFonts w:ascii="Palatino Linotype" w:eastAsia="Palatino Linotype" w:hAnsi="Palatino Linotype" w:cs="Palatino Linotype"/>
          <w:i/>
          <w:iCs/>
          <w:sz w:val="22"/>
          <w:szCs w:val="22"/>
        </w:rPr>
        <w:t>“</w:t>
      </w:r>
      <w:r w:rsidRPr="00C17D83">
        <w:rPr>
          <w:rFonts w:ascii="Palatino Linotype" w:eastAsia="Palatino Linotype" w:hAnsi="Palatino Linotype" w:cs="Palatino Linotype"/>
          <w:b/>
          <w:bCs/>
          <w:i/>
          <w:iCs/>
          <w:sz w:val="22"/>
          <w:szCs w:val="22"/>
        </w:rPr>
        <w:t>Artículo 191</w:t>
      </w:r>
      <w:r w:rsidRPr="00C17D83">
        <w:rPr>
          <w:rFonts w:ascii="Palatino Linotype" w:eastAsia="Palatino Linotype" w:hAnsi="Palatino Linotype" w:cs="Palatino Linotype"/>
          <w:i/>
          <w:iCs/>
          <w:sz w:val="22"/>
          <w:szCs w:val="22"/>
        </w:rPr>
        <w:t xml:space="preserve">. </w:t>
      </w:r>
      <w:r w:rsidRPr="00C17D83">
        <w:rPr>
          <w:rFonts w:ascii="Palatino Linotype" w:eastAsia="Palatino Linotype" w:hAnsi="Palatino Linotype" w:cs="Palatino Linotype"/>
          <w:b/>
          <w:bCs/>
          <w:i/>
          <w:iCs/>
          <w:sz w:val="22"/>
          <w:szCs w:val="22"/>
        </w:rPr>
        <w:t>El recurso</w:t>
      </w:r>
      <w:r w:rsidRPr="00C17D83">
        <w:rPr>
          <w:rFonts w:ascii="Palatino Linotype" w:eastAsia="Palatino Linotype" w:hAnsi="Palatino Linotype" w:cs="Palatino Linotype"/>
          <w:i/>
          <w:iCs/>
          <w:sz w:val="22"/>
          <w:szCs w:val="22"/>
        </w:rPr>
        <w:t xml:space="preserve"> </w:t>
      </w:r>
      <w:r w:rsidRPr="00C17D83">
        <w:rPr>
          <w:rFonts w:ascii="Palatino Linotype" w:eastAsia="Palatino Linotype" w:hAnsi="Palatino Linotype" w:cs="Palatino Linotype"/>
          <w:b/>
          <w:bCs/>
          <w:i/>
          <w:iCs/>
          <w:sz w:val="22"/>
          <w:szCs w:val="22"/>
        </w:rPr>
        <w:t xml:space="preserve">será </w:t>
      </w:r>
      <w:r w:rsidRPr="00C17D83">
        <w:rPr>
          <w:rFonts w:ascii="Palatino Linotype" w:eastAsia="Palatino Linotype" w:hAnsi="Palatino Linotype" w:cs="Palatino Linotype"/>
          <w:i/>
          <w:iCs/>
          <w:sz w:val="22"/>
          <w:szCs w:val="22"/>
        </w:rPr>
        <w:t xml:space="preserve">desechado por </w:t>
      </w:r>
      <w:r w:rsidRPr="00C17D83">
        <w:rPr>
          <w:rFonts w:ascii="Palatino Linotype" w:eastAsia="Palatino Linotype" w:hAnsi="Palatino Linotype" w:cs="Palatino Linotype"/>
          <w:b/>
          <w:bCs/>
          <w:i/>
          <w:iCs/>
          <w:sz w:val="22"/>
          <w:szCs w:val="22"/>
        </w:rPr>
        <w:t>improcedente cuando</w:t>
      </w:r>
      <w:r w:rsidRPr="00C17D83">
        <w:rPr>
          <w:rFonts w:ascii="Palatino Linotype" w:eastAsia="Palatino Linotype" w:hAnsi="Palatino Linotype" w:cs="Palatino Linotype"/>
          <w:i/>
          <w:iCs/>
          <w:sz w:val="22"/>
          <w:szCs w:val="22"/>
        </w:rPr>
        <w:t>:</w:t>
      </w:r>
    </w:p>
    <w:p w14:paraId="7817D050" w14:textId="77777777" w:rsidR="0023552C" w:rsidRPr="00C17D83" w:rsidRDefault="00B0711B">
      <w:pPr>
        <w:tabs>
          <w:tab w:val="left" w:pos="7938"/>
        </w:tabs>
        <w:spacing w:line="276" w:lineRule="auto"/>
        <w:ind w:left="567" w:right="902"/>
        <w:jc w:val="both"/>
        <w:rPr>
          <w:rFonts w:ascii="Palatino Linotype" w:eastAsia="Palatino Linotype" w:hAnsi="Palatino Linotype" w:cs="Palatino Linotype"/>
          <w:i/>
          <w:iCs/>
          <w:sz w:val="22"/>
          <w:szCs w:val="22"/>
        </w:rPr>
      </w:pPr>
      <w:r w:rsidRPr="00C17D83">
        <w:rPr>
          <w:rFonts w:ascii="Palatino Linotype" w:eastAsia="Palatino Linotype" w:hAnsi="Palatino Linotype" w:cs="Palatino Linotype"/>
          <w:i/>
          <w:iCs/>
          <w:sz w:val="22"/>
          <w:szCs w:val="22"/>
        </w:rPr>
        <w:t>…</w:t>
      </w:r>
    </w:p>
    <w:p w14:paraId="449F9116" w14:textId="77777777" w:rsidR="0023552C" w:rsidRPr="00C17D83" w:rsidRDefault="00B0711B">
      <w:pPr>
        <w:tabs>
          <w:tab w:val="left" w:pos="7938"/>
        </w:tabs>
        <w:spacing w:line="276" w:lineRule="auto"/>
        <w:ind w:left="567" w:right="902"/>
        <w:jc w:val="both"/>
        <w:rPr>
          <w:rFonts w:ascii="Palatino Linotype" w:eastAsia="Palatino Linotype" w:hAnsi="Palatino Linotype" w:cs="Palatino Linotype"/>
          <w:b/>
          <w:bCs/>
          <w:i/>
          <w:iCs/>
          <w:sz w:val="22"/>
          <w:szCs w:val="22"/>
        </w:rPr>
      </w:pPr>
      <w:r w:rsidRPr="00C17D83">
        <w:rPr>
          <w:rFonts w:ascii="Palatino Linotype" w:eastAsia="Palatino Linotype" w:hAnsi="Palatino Linotype" w:cs="Palatino Linotype"/>
          <w:b/>
          <w:bCs/>
          <w:i/>
          <w:iCs/>
          <w:sz w:val="22"/>
          <w:szCs w:val="22"/>
        </w:rPr>
        <w:t>VI. Se trate de una consulta</w:t>
      </w:r>
      <w:r w:rsidRPr="00C17D83">
        <w:rPr>
          <w:rFonts w:ascii="Palatino Linotype" w:eastAsia="Palatino Linotype" w:hAnsi="Palatino Linotype" w:cs="Palatino Linotype"/>
          <w:i/>
          <w:iCs/>
          <w:sz w:val="22"/>
          <w:szCs w:val="22"/>
        </w:rPr>
        <w:t>, o trámite en específico</w:t>
      </w:r>
      <w:r w:rsidRPr="00C17D83">
        <w:rPr>
          <w:rFonts w:ascii="Palatino Linotype" w:eastAsia="Palatino Linotype" w:hAnsi="Palatino Linotype" w:cs="Palatino Linotype"/>
          <w:b/>
          <w:bCs/>
          <w:i/>
          <w:iCs/>
          <w:sz w:val="22"/>
          <w:szCs w:val="22"/>
        </w:rPr>
        <w:t xml:space="preserve">; </w:t>
      </w:r>
    </w:p>
    <w:p w14:paraId="388DD4EE" w14:textId="77777777" w:rsidR="0023552C" w:rsidRPr="00C17D83" w:rsidRDefault="00B0711B">
      <w:pPr>
        <w:tabs>
          <w:tab w:val="left" w:pos="7938"/>
        </w:tabs>
        <w:spacing w:line="276" w:lineRule="auto"/>
        <w:ind w:left="567" w:right="902"/>
        <w:jc w:val="both"/>
        <w:rPr>
          <w:rFonts w:ascii="Palatino Linotype" w:eastAsia="Palatino Linotype" w:hAnsi="Palatino Linotype" w:cs="Palatino Linotype"/>
          <w:b/>
          <w:bCs/>
          <w:i/>
          <w:iCs/>
          <w:sz w:val="22"/>
          <w:szCs w:val="22"/>
        </w:rPr>
      </w:pPr>
      <w:r w:rsidRPr="00C17D83">
        <w:rPr>
          <w:rFonts w:ascii="Palatino Linotype" w:eastAsia="Palatino Linotype" w:hAnsi="Palatino Linotype" w:cs="Palatino Linotype"/>
          <w:b/>
          <w:bCs/>
          <w:i/>
          <w:iCs/>
          <w:sz w:val="22"/>
          <w:szCs w:val="22"/>
        </w:rPr>
        <w:t>…</w:t>
      </w:r>
    </w:p>
    <w:p w14:paraId="342E836E" w14:textId="77777777" w:rsidR="0023552C" w:rsidRPr="00C17D83" w:rsidRDefault="00B0711B">
      <w:pPr>
        <w:tabs>
          <w:tab w:val="left" w:pos="7938"/>
        </w:tabs>
        <w:spacing w:line="276" w:lineRule="auto"/>
        <w:ind w:left="567" w:right="902"/>
        <w:jc w:val="both"/>
        <w:rPr>
          <w:rFonts w:ascii="Palatino Linotype" w:eastAsia="Palatino Linotype" w:hAnsi="Palatino Linotype" w:cs="Palatino Linotype"/>
          <w:i/>
          <w:iCs/>
          <w:sz w:val="22"/>
          <w:szCs w:val="22"/>
        </w:rPr>
      </w:pPr>
      <w:r w:rsidRPr="00C17D83">
        <w:rPr>
          <w:rFonts w:ascii="Palatino Linotype" w:eastAsia="Palatino Linotype" w:hAnsi="Palatino Linotype" w:cs="Palatino Linotype"/>
          <w:b/>
          <w:bCs/>
          <w:i/>
          <w:iCs/>
          <w:sz w:val="22"/>
          <w:szCs w:val="22"/>
        </w:rPr>
        <w:t>Artículo 192.</w:t>
      </w:r>
      <w:r w:rsidRPr="00C17D83">
        <w:rPr>
          <w:rFonts w:ascii="Palatino Linotype" w:eastAsia="Palatino Linotype" w:hAnsi="Palatino Linotype" w:cs="Palatino Linotype"/>
          <w:i/>
          <w:iCs/>
          <w:sz w:val="22"/>
          <w:szCs w:val="22"/>
        </w:rPr>
        <w:t xml:space="preserve"> El recurso será sobreseído, en todo o en parte, cuando una vez admitido, se actualicen alguno de los siguientes supuestos:</w:t>
      </w:r>
    </w:p>
    <w:p w14:paraId="7774EC0C" w14:textId="77777777" w:rsidR="0023552C" w:rsidRPr="00C17D83" w:rsidRDefault="00B0711B">
      <w:pPr>
        <w:tabs>
          <w:tab w:val="left" w:pos="7938"/>
        </w:tabs>
        <w:spacing w:line="276" w:lineRule="auto"/>
        <w:ind w:left="567" w:right="902"/>
        <w:jc w:val="both"/>
        <w:rPr>
          <w:rFonts w:ascii="Palatino Linotype" w:eastAsia="Palatino Linotype" w:hAnsi="Palatino Linotype" w:cs="Palatino Linotype"/>
          <w:i/>
          <w:iCs/>
          <w:sz w:val="22"/>
          <w:szCs w:val="22"/>
        </w:rPr>
      </w:pPr>
      <w:r w:rsidRPr="00C17D83">
        <w:rPr>
          <w:rFonts w:ascii="Palatino Linotype" w:eastAsia="Palatino Linotype" w:hAnsi="Palatino Linotype" w:cs="Palatino Linotype"/>
          <w:i/>
          <w:iCs/>
          <w:sz w:val="22"/>
          <w:szCs w:val="22"/>
        </w:rPr>
        <w:lastRenderedPageBreak/>
        <w:t>…</w:t>
      </w:r>
    </w:p>
    <w:p w14:paraId="5B908770" w14:textId="77777777" w:rsidR="0023552C" w:rsidRPr="00C17D83" w:rsidRDefault="00B0711B">
      <w:pPr>
        <w:tabs>
          <w:tab w:val="left" w:pos="7938"/>
        </w:tabs>
        <w:spacing w:line="276" w:lineRule="auto"/>
        <w:ind w:left="567" w:right="902"/>
        <w:jc w:val="both"/>
        <w:rPr>
          <w:rFonts w:ascii="Palatino Linotype" w:eastAsia="Palatino Linotype" w:hAnsi="Palatino Linotype" w:cs="Palatino Linotype"/>
          <w:i/>
          <w:iCs/>
          <w:sz w:val="22"/>
          <w:szCs w:val="22"/>
        </w:rPr>
      </w:pPr>
      <w:r w:rsidRPr="00C17D83">
        <w:rPr>
          <w:rFonts w:ascii="Palatino Linotype" w:eastAsia="Palatino Linotype" w:hAnsi="Palatino Linotype" w:cs="Palatino Linotype"/>
          <w:b/>
          <w:bCs/>
          <w:i/>
          <w:iCs/>
          <w:sz w:val="22"/>
          <w:szCs w:val="22"/>
        </w:rPr>
        <w:t>IV</w:t>
      </w:r>
      <w:r w:rsidRPr="00C17D83">
        <w:rPr>
          <w:rFonts w:ascii="Palatino Linotype" w:eastAsia="Palatino Linotype" w:hAnsi="Palatino Linotype" w:cs="Palatino Linotype"/>
          <w:i/>
          <w:iCs/>
          <w:sz w:val="22"/>
          <w:szCs w:val="22"/>
        </w:rPr>
        <w:t xml:space="preserve">. Admitido el recurso de revisión, </w:t>
      </w:r>
      <w:r w:rsidRPr="00C17D83">
        <w:rPr>
          <w:rFonts w:ascii="Palatino Linotype" w:eastAsia="Palatino Linotype" w:hAnsi="Palatino Linotype" w:cs="Palatino Linotype"/>
          <w:b/>
          <w:bCs/>
          <w:i/>
          <w:iCs/>
          <w:sz w:val="22"/>
          <w:szCs w:val="22"/>
        </w:rPr>
        <w:t>aparezca alguna causal de improcedencia</w:t>
      </w:r>
      <w:r w:rsidRPr="00C17D83">
        <w:rPr>
          <w:rFonts w:ascii="Palatino Linotype" w:eastAsia="Palatino Linotype" w:hAnsi="Palatino Linotype" w:cs="Palatino Linotype"/>
          <w:i/>
          <w:iCs/>
          <w:sz w:val="22"/>
          <w:szCs w:val="22"/>
        </w:rPr>
        <w:t xml:space="preserve"> en los términos de la presente Ley. “</w:t>
      </w:r>
    </w:p>
    <w:p w14:paraId="52A8AFEC" w14:textId="77777777" w:rsidR="0023552C" w:rsidRPr="00C17D83" w:rsidRDefault="0023552C">
      <w:pPr>
        <w:tabs>
          <w:tab w:val="left" w:pos="7938"/>
        </w:tabs>
        <w:spacing w:line="360" w:lineRule="auto"/>
        <w:ind w:left="567" w:right="902"/>
        <w:jc w:val="both"/>
        <w:rPr>
          <w:rFonts w:ascii="Palatino Linotype" w:eastAsia="Palatino Linotype" w:hAnsi="Palatino Linotype" w:cs="Palatino Linotype"/>
          <w:i/>
          <w:iCs/>
          <w:sz w:val="22"/>
          <w:szCs w:val="22"/>
        </w:rPr>
      </w:pPr>
    </w:p>
    <w:p w14:paraId="2C71E194"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 xml:space="preserve">Siendo el </w:t>
      </w:r>
      <w:r w:rsidRPr="00C17D83">
        <w:rPr>
          <w:rFonts w:ascii="Palatino Linotype" w:eastAsia="Palatino Linotype" w:hAnsi="Palatino Linotype" w:cs="Palatino Linotype"/>
          <w:b/>
          <w:bCs/>
          <w:i/>
          <w:iCs/>
          <w:sz w:val="22"/>
          <w:szCs w:val="22"/>
        </w:rPr>
        <w:t>sobreseimiento</w:t>
      </w:r>
      <w:r w:rsidRPr="00C17D83">
        <w:rPr>
          <w:rFonts w:ascii="Palatino Linotype" w:eastAsia="Palatino Linotype" w:hAnsi="Palatino Linotype" w:cs="Palatino Linotype"/>
          <w:b/>
          <w:bCs/>
          <w:sz w:val="22"/>
          <w:szCs w:val="22"/>
        </w:rPr>
        <w:t xml:space="preserve"> </w:t>
      </w:r>
      <w:r w:rsidRPr="00C17D83">
        <w:rPr>
          <w:rFonts w:ascii="Palatino Linotype" w:eastAsia="Palatino Linotype" w:hAnsi="Palatino Linotype" w:cs="Palatino Linotype"/>
          <w:sz w:val="22"/>
          <w:szCs w:val="22"/>
        </w:rPr>
        <w:t>un acto que da por terminado el procedimiento administrativo de impugnación sin resolver el fondo de la cuestión planteada, por presentarse causas que impiden a la autoridad referirse a lo sustancial de lo planteado por el recurrente, los efectos del sobreseimiento consisten en dar por concluido el recurso administrativo sin entrar al estudio de fondo del asunto de que se trate; lo anterior con apoyo en el criterio del Poder Judicial de la Federación con rubro:</w:t>
      </w:r>
    </w:p>
    <w:p w14:paraId="27E7B35F"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7ED91DB9" w14:textId="77777777" w:rsidR="0023552C" w:rsidRPr="00C17D83" w:rsidRDefault="00B0711B">
      <w:pPr>
        <w:spacing w:line="276" w:lineRule="auto"/>
        <w:ind w:left="567" w:right="902"/>
        <w:jc w:val="both"/>
        <w:rPr>
          <w:rFonts w:ascii="Palatino Linotype" w:eastAsia="Palatino Linotype" w:hAnsi="Palatino Linotype" w:cs="Palatino Linotype"/>
          <w:b/>
          <w:bCs/>
          <w:i/>
          <w:iCs/>
          <w:sz w:val="22"/>
          <w:szCs w:val="22"/>
        </w:rPr>
      </w:pPr>
      <w:r w:rsidRPr="00C17D83">
        <w:rPr>
          <w:rFonts w:ascii="Palatino Linotype" w:eastAsia="Palatino Linotype" w:hAnsi="Palatino Linotype" w:cs="Palatino Linotype"/>
          <w:i/>
          <w:iCs/>
          <w:sz w:val="22"/>
          <w:szCs w:val="22"/>
        </w:rPr>
        <w:t>“</w:t>
      </w:r>
      <w:r w:rsidRPr="00C17D83">
        <w:rPr>
          <w:rFonts w:ascii="Palatino Linotype" w:eastAsia="Palatino Linotype" w:hAnsi="Palatino Linotype" w:cs="Palatino Linotype"/>
          <w:b/>
          <w:bCs/>
          <w:i/>
          <w:iCs/>
          <w:sz w:val="22"/>
          <w:szCs w:val="22"/>
        </w:rPr>
        <w:t xml:space="preserve">SOBRESEIMIENTO, NO PERMITE ENTRAR AL ESTUDIO DE LAS CUESTIONES DE FONDO. </w:t>
      </w:r>
      <w:r w:rsidRPr="00C17D83">
        <w:rPr>
          <w:rFonts w:ascii="Palatino Linotype" w:eastAsia="Palatino Linotype" w:hAnsi="Palatino Linotype" w:cs="Palatino Linotype"/>
          <w:i/>
          <w:iCs/>
          <w:sz w:val="22"/>
          <w:szCs w:val="22"/>
        </w:rPr>
        <w:t xml:space="preserve">No causa agravio la sentencia que no se ocupa de los razonamientos tendientes a demostrar la inconstitucionalidad de los actos reclamados de las autoridades responsables, que constituyen el problema de fondo, si se decreta el sobreseimiento del juicio.” </w:t>
      </w:r>
    </w:p>
    <w:p w14:paraId="6A5636B8"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087E1C12"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Cabe destacar que la decisión de este Organismo Colegiado de sobreseer el recurso de revisión no implica una limitación o negación a la justicia, según lo ha establecido el Poder Judicial Federal, en el criterio que es aplicable por analogía, con rubro:</w:t>
      </w:r>
    </w:p>
    <w:p w14:paraId="69078F3E"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620F19E9" w14:textId="77777777" w:rsidR="0023552C" w:rsidRPr="00C17D83" w:rsidRDefault="00B0711B">
      <w:pPr>
        <w:spacing w:line="276" w:lineRule="auto"/>
        <w:ind w:left="567" w:right="567"/>
        <w:jc w:val="both"/>
        <w:rPr>
          <w:rFonts w:ascii="Palatino Linotype" w:eastAsia="Palatino Linotype" w:hAnsi="Palatino Linotype" w:cs="Palatino Linotype"/>
          <w:b/>
          <w:bCs/>
          <w:i/>
          <w:iCs/>
          <w:sz w:val="22"/>
          <w:szCs w:val="22"/>
        </w:rPr>
      </w:pPr>
      <w:r w:rsidRPr="00C17D83">
        <w:rPr>
          <w:rFonts w:ascii="Palatino Linotype" w:eastAsia="Palatino Linotype" w:hAnsi="Palatino Linotype" w:cs="Palatino Linotype"/>
          <w:b/>
          <w:bCs/>
          <w:i/>
          <w:iCs/>
          <w:sz w:val="22"/>
          <w:szCs w:val="22"/>
        </w:rPr>
        <w:t xml:space="preserve">“DESECHAMIENTO O SOBRESEIMIENTO EN EL JUICIO DE AMPARO. NO IMPLICA DENEGACIÓN DE JUSTICIA NI GENERA INSEGURIDAD JURÍDICA” </w:t>
      </w:r>
      <w:r w:rsidRPr="00C17D83">
        <w:rPr>
          <w:rFonts w:ascii="Palatino Linotype" w:eastAsia="Palatino Linotype" w:hAnsi="Palatino Linotype" w:cs="Palatino Linotype"/>
          <w:i/>
          <w:iCs/>
          <w:sz w:val="22"/>
          <w:szCs w:val="22"/>
        </w:rPr>
        <w:t xml:space="preserve">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w:t>
      </w:r>
      <w:r w:rsidRPr="00C17D83">
        <w:rPr>
          <w:rFonts w:ascii="Palatino Linotype" w:eastAsia="Palatino Linotype" w:hAnsi="Palatino Linotype" w:cs="Palatino Linotype"/>
          <w:i/>
          <w:iCs/>
          <w:sz w:val="22"/>
          <w:szCs w:val="22"/>
        </w:rPr>
        <w:lastRenderedPageBreak/>
        <w:t xml:space="preserve">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w:t>
      </w:r>
    </w:p>
    <w:p w14:paraId="7861D80F"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5CAA9E2D" w14:textId="77777777" w:rsidR="0023552C" w:rsidRPr="00C17D83" w:rsidRDefault="00B0711B">
      <w:pPr>
        <w:spacing w:line="360" w:lineRule="auto"/>
        <w:ind w:right="49"/>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sz w:val="22"/>
          <w:szCs w:val="22"/>
        </w:rPr>
        <w:t>Así las cosas,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179, 181, 185, 191 fracción VI y 192, fracción IV, de la Ley de Transparencia y Acceso a la Información Pública del Estado de México y Municipios, este Pleno:</w:t>
      </w:r>
    </w:p>
    <w:p w14:paraId="1882FF63" w14:textId="77777777" w:rsidR="0023552C" w:rsidRPr="00C17D83" w:rsidRDefault="0023552C">
      <w:pPr>
        <w:spacing w:line="360" w:lineRule="auto"/>
        <w:ind w:right="49"/>
        <w:jc w:val="both"/>
        <w:rPr>
          <w:rFonts w:ascii="Palatino Linotype" w:eastAsia="Palatino Linotype" w:hAnsi="Palatino Linotype" w:cs="Palatino Linotype"/>
          <w:sz w:val="22"/>
          <w:szCs w:val="22"/>
        </w:rPr>
      </w:pPr>
    </w:p>
    <w:p w14:paraId="748C470A" w14:textId="77777777" w:rsidR="0023552C" w:rsidRPr="00C17D83" w:rsidRDefault="00B0711B">
      <w:pPr>
        <w:numPr>
          <w:ilvl w:val="0"/>
          <w:numId w:val="3"/>
        </w:num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C17D83">
        <w:rPr>
          <w:rFonts w:ascii="Palatino Linotype" w:eastAsia="Palatino Linotype" w:hAnsi="Palatino Linotype" w:cs="Palatino Linotype"/>
          <w:b/>
          <w:bCs/>
          <w:sz w:val="22"/>
          <w:szCs w:val="22"/>
        </w:rPr>
        <w:t>R E S U E L V E:</w:t>
      </w:r>
    </w:p>
    <w:p w14:paraId="448E2ED0" w14:textId="77777777" w:rsidR="0023552C" w:rsidRPr="00C17D83" w:rsidRDefault="0023552C">
      <w:pPr>
        <w:spacing w:line="360" w:lineRule="auto"/>
        <w:ind w:right="49"/>
        <w:jc w:val="both"/>
        <w:rPr>
          <w:rFonts w:ascii="Palatino Linotype" w:eastAsia="Palatino Linotype" w:hAnsi="Palatino Linotype" w:cs="Palatino Linotype"/>
          <w:b/>
          <w:bCs/>
          <w:sz w:val="22"/>
          <w:szCs w:val="22"/>
        </w:rPr>
      </w:pPr>
      <w:bookmarkStart w:id="2" w:name="_heading=h.3znysh7" w:colFirst="0" w:colLast="0"/>
      <w:bookmarkEnd w:id="2"/>
    </w:p>
    <w:p w14:paraId="1DA6B5DC" w14:textId="77777777" w:rsidR="0023552C" w:rsidRPr="00C17D83" w:rsidRDefault="00B0711B">
      <w:pPr>
        <w:spacing w:line="360" w:lineRule="auto"/>
        <w:jc w:val="both"/>
        <w:rPr>
          <w:rFonts w:ascii="Palatino Linotype" w:eastAsia="Palatino Linotype" w:hAnsi="Palatino Linotype" w:cs="Palatino Linotype"/>
          <w:b/>
          <w:bCs/>
          <w:sz w:val="22"/>
          <w:szCs w:val="22"/>
        </w:rPr>
      </w:pPr>
      <w:bookmarkStart w:id="3" w:name="_heading=h.auyd5bfpspp0" w:colFirst="0" w:colLast="0"/>
      <w:bookmarkEnd w:id="3"/>
      <w:r w:rsidRPr="00C17D83">
        <w:rPr>
          <w:rFonts w:ascii="Palatino Linotype" w:eastAsia="Palatino Linotype" w:hAnsi="Palatino Linotype" w:cs="Palatino Linotype"/>
          <w:b/>
          <w:bCs/>
          <w:sz w:val="22"/>
          <w:szCs w:val="22"/>
        </w:rPr>
        <w:t>Primero.</w:t>
      </w:r>
      <w:r w:rsidRPr="00C17D83">
        <w:rPr>
          <w:rFonts w:ascii="Palatino Linotype" w:eastAsia="Palatino Linotype" w:hAnsi="Palatino Linotype" w:cs="Palatino Linotype"/>
          <w:sz w:val="22"/>
          <w:szCs w:val="22"/>
        </w:rPr>
        <w:t xml:space="preserve"> Se </w:t>
      </w:r>
      <w:r w:rsidRPr="00C17D83">
        <w:rPr>
          <w:rFonts w:ascii="Palatino Linotype" w:eastAsia="Palatino Linotype" w:hAnsi="Palatino Linotype" w:cs="Palatino Linotype"/>
          <w:b/>
          <w:bCs/>
          <w:sz w:val="22"/>
          <w:szCs w:val="22"/>
        </w:rPr>
        <w:t>SOBRESEE</w:t>
      </w:r>
      <w:r w:rsidRPr="00C17D83">
        <w:rPr>
          <w:rFonts w:ascii="Palatino Linotype" w:eastAsia="Palatino Linotype" w:hAnsi="Palatino Linotype" w:cs="Palatino Linotype"/>
          <w:sz w:val="22"/>
          <w:szCs w:val="22"/>
        </w:rPr>
        <w:t xml:space="preserve"> el Recurso de Revisión número </w:t>
      </w:r>
      <w:r w:rsidRPr="00C17D83">
        <w:rPr>
          <w:rFonts w:ascii="Palatino Linotype" w:eastAsia="Palatino Linotype" w:hAnsi="Palatino Linotype" w:cs="Palatino Linotype"/>
          <w:b/>
          <w:bCs/>
          <w:sz w:val="22"/>
          <w:szCs w:val="22"/>
        </w:rPr>
        <w:t>02034/INFOEM/IP/RR/2026</w:t>
      </w:r>
      <w:r w:rsidRPr="00C17D83">
        <w:rPr>
          <w:rFonts w:ascii="Palatino Linotype" w:eastAsia="Palatino Linotype" w:hAnsi="Palatino Linotype" w:cs="Palatino Linotype"/>
          <w:sz w:val="22"/>
          <w:szCs w:val="22"/>
        </w:rPr>
        <w:t xml:space="preserve">, por actualizarse la causal de improcedencia prevista en la fracción IV del artículo 192, en relación con la fracción VI del artículo 191, ambos de la Ley de Transparencia vigente en la entidad, en términos del Considerando </w:t>
      </w:r>
      <w:r w:rsidRPr="00C17D83">
        <w:rPr>
          <w:rFonts w:ascii="Palatino Linotype" w:eastAsia="Palatino Linotype" w:hAnsi="Palatino Linotype" w:cs="Palatino Linotype"/>
          <w:b/>
          <w:bCs/>
          <w:sz w:val="22"/>
          <w:szCs w:val="22"/>
        </w:rPr>
        <w:t>TERCERO</w:t>
      </w:r>
      <w:r w:rsidRPr="00C17D83">
        <w:rPr>
          <w:rFonts w:ascii="Palatino Linotype" w:eastAsia="Palatino Linotype" w:hAnsi="Palatino Linotype" w:cs="Palatino Linotype"/>
          <w:sz w:val="22"/>
          <w:szCs w:val="22"/>
        </w:rPr>
        <w:t xml:space="preserve"> de la presente resolución.</w:t>
      </w:r>
    </w:p>
    <w:p w14:paraId="1F9B79AA"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2A971FD6" w14:textId="77777777" w:rsidR="0023552C" w:rsidRPr="00C17D83" w:rsidRDefault="00B0711B">
      <w:pPr>
        <w:spacing w:line="360" w:lineRule="auto"/>
        <w:jc w:val="both"/>
        <w:rPr>
          <w:rFonts w:ascii="Palatino Linotype" w:eastAsia="Palatino Linotype" w:hAnsi="Palatino Linotype" w:cs="Palatino Linotype"/>
          <w:b/>
          <w:bCs/>
          <w:sz w:val="22"/>
          <w:szCs w:val="22"/>
        </w:rPr>
      </w:pPr>
      <w:r w:rsidRPr="00C17D83">
        <w:rPr>
          <w:rFonts w:ascii="Palatino Linotype" w:eastAsia="Palatino Linotype" w:hAnsi="Palatino Linotype" w:cs="Palatino Linotype"/>
          <w:b/>
          <w:bCs/>
          <w:sz w:val="22"/>
          <w:szCs w:val="22"/>
        </w:rPr>
        <w:t>Segundo. Notifíquese vía SAIMEX</w:t>
      </w:r>
      <w:r w:rsidRPr="00C17D83">
        <w:rPr>
          <w:rFonts w:ascii="Palatino Linotype" w:eastAsia="Palatino Linotype" w:hAnsi="Palatino Linotype" w:cs="Palatino Linotype"/>
          <w:sz w:val="22"/>
          <w:szCs w:val="22"/>
        </w:rPr>
        <w:t>,</w:t>
      </w:r>
      <w:r w:rsidRPr="00C17D83">
        <w:rPr>
          <w:rFonts w:ascii="Palatino Linotype" w:eastAsia="Palatino Linotype" w:hAnsi="Palatino Linotype" w:cs="Palatino Linotype"/>
          <w:b/>
          <w:bCs/>
          <w:sz w:val="22"/>
          <w:szCs w:val="22"/>
        </w:rPr>
        <w:t xml:space="preserve"> </w:t>
      </w:r>
      <w:r w:rsidRPr="00C17D83">
        <w:rPr>
          <w:rFonts w:ascii="Palatino Linotype" w:eastAsia="Palatino Linotype" w:hAnsi="Palatino Linotype" w:cs="Palatino Linotype"/>
          <w:sz w:val="22"/>
          <w:szCs w:val="22"/>
        </w:rPr>
        <w:t xml:space="preserve">al </w:t>
      </w:r>
      <w:proofErr w:type="gramStart"/>
      <w:r w:rsidRPr="00C17D83">
        <w:rPr>
          <w:rFonts w:ascii="Palatino Linotype" w:eastAsia="Palatino Linotype" w:hAnsi="Palatino Linotype" w:cs="Palatino Linotype"/>
          <w:sz w:val="22"/>
          <w:szCs w:val="22"/>
        </w:rPr>
        <w:t>Responsable</w:t>
      </w:r>
      <w:proofErr w:type="gramEnd"/>
      <w:r w:rsidRPr="00C17D83">
        <w:rPr>
          <w:rFonts w:ascii="Palatino Linotype" w:eastAsia="Palatino Linotype" w:hAnsi="Palatino Linotype" w:cs="Palatino Linotype"/>
          <w:sz w:val="22"/>
          <w:szCs w:val="22"/>
        </w:rPr>
        <w:t xml:space="preserve"> de la Unidad de Transparencia del</w:t>
      </w:r>
      <w:r w:rsidRPr="00C17D83">
        <w:rPr>
          <w:rFonts w:ascii="Palatino Linotype" w:eastAsia="Palatino Linotype" w:hAnsi="Palatino Linotype" w:cs="Palatino Linotype"/>
          <w:b/>
          <w:bCs/>
          <w:sz w:val="22"/>
          <w:szCs w:val="22"/>
        </w:rPr>
        <w:t xml:space="preserve"> SUJETO OBLIGADO </w:t>
      </w:r>
      <w:r w:rsidRPr="00C17D83">
        <w:rPr>
          <w:rFonts w:ascii="Palatino Linotype" w:eastAsia="Palatino Linotype" w:hAnsi="Palatino Linotype" w:cs="Palatino Linotype"/>
          <w:sz w:val="22"/>
          <w:szCs w:val="22"/>
        </w:rPr>
        <w:t>la presente resolución, para su conocimiento, lo anterior en términos del artículo 189 de la Ley de Transparencia y Acceso a la Información Pública del Estado de México y Municipios.</w:t>
      </w:r>
    </w:p>
    <w:p w14:paraId="02AD2D9C"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48BB7D7B" w14:textId="77777777" w:rsidR="0023552C" w:rsidRPr="00C17D83" w:rsidRDefault="00B0711B">
      <w:pPr>
        <w:spacing w:line="360" w:lineRule="auto"/>
        <w:jc w:val="both"/>
        <w:rPr>
          <w:rFonts w:ascii="Palatino Linotype" w:eastAsia="Palatino Linotype" w:hAnsi="Palatino Linotype" w:cs="Palatino Linotype"/>
          <w:sz w:val="22"/>
          <w:szCs w:val="22"/>
        </w:rPr>
      </w:pPr>
      <w:r w:rsidRPr="00C17D83">
        <w:rPr>
          <w:rFonts w:ascii="Palatino Linotype" w:eastAsia="Palatino Linotype" w:hAnsi="Palatino Linotype" w:cs="Palatino Linotype"/>
          <w:b/>
          <w:bCs/>
          <w:sz w:val="22"/>
          <w:szCs w:val="22"/>
        </w:rPr>
        <w:lastRenderedPageBreak/>
        <w:t xml:space="preserve">Tercero.  Notifíquese vía SAIMEX, </w:t>
      </w:r>
      <w:r w:rsidRPr="00C17D83">
        <w:rPr>
          <w:rFonts w:ascii="Palatino Linotype" w:eastAsia="Palatino Linotype" w:hAnsi="Palatino Linotype" w:cs="Palatino Linotype"/>
          <w:sz w:val="22"/>
          <w:szCs w:val="22"/>
        </w:rPr>
        <w:t xml:space="preserve">la presente resolución al </w:t>
      </w:r>
      <w:r w:rsidRPr="00C17D83">
        <w:rPr>
          <w:rFonts w:ascii="Palatino Linotype" w:eastAsia="Palatino Linotype" w:hAnsi="Palatino Linotype" w:cs="Palatino Linotype"/>
          <w:b/>
          <w:bCs/>
          <w:sz w:val="22"/>
          <w:szCs w:val="22"/>
        </w:rPr>
        <w:t>RECURRENTE</w:t>
      </w:r>
      <w:r w:rsidRPr="00C17D83">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con lo estipulado por el artículo 196 de la Ley de Transparencia y Acceso a la Información Pública del Estado de México y Municipios.</w:t>
      </w:r>
    </w:p>
    <w:p w14:paraId="5BC9C049" w14:textId="77777777" w:rsidR="0023552C" w:rsidRPr="00C17D83" w:rsidRDefault="0023552C">
      <w:pPr>
        <w:spacing w:line="360" w:lineRule="auto"/>
        <w:jc w:val="both"/>
        <w:rPr>
          <w:rFonts w:ascii="Palatino Linotype" w:eastAsia="Palatino Linotype" w:hAnsi="Palatino Linotype" w:cs="Palatino Linotype"/>
          <w:sz w:val="22"/>
          <w:szCs w:val="22"/>
        </w:rPr>
      </w:pPr>
    </w:p>
    <w:p w14:paraId="65E290E0" w14:textId="77777777" w:rsidR="0023552C" w:rsidRPr="00C17D83" w:rsidRDefault="00B0711B">
      <w:pPr>
        <w:spacing w:line="360" w:lineRule="auto"/>
        <w:ind w:right="49"/>
        <w:jc w:val="both"/>
        <w:rPr>
          <w:rFonts w:ascii="Palatino Linotype" w:eastAsia="Palatino Linotype" w:hAnsi="Palatino Linotype" w:cs="Palatino Linotype"/>
          <w:sz w:val="22"/>
          <w:szCs w:val="22"/>
        </w:rPr>
        <w:sectPr w:rsidR="0023552C" w:rsidRPr="00C17D83">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4" w:name="_heading=h.1fob9te" w:colFirst="0" w:colLast="0"/>
      <w:bookmarkEnd w:id="4"/>
      <w:r w:rsidRPr="00C17D83">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14:paraId="3FDCD1D8" w14:textId="77777777" w:rsidR="0023552C" w:rsidRPr="00C17D83" w:rsidRDefault="0023552C">
      <w:pPr>
        <w:tabs>
          <w:tab w:val="left" w:pos="709"/>
        </w:tabs>
        <w:spacing w:line="360" w:lineRule="auto"/>
        <w:jc w:val="both"/>
        <w:rPr>
          <w:rFonts w:ascii="Palatino Linotype" w:eastAsia="Palatino Linotype" w:hAnsi="Palatino Linotype" w:cs="Palatino Linotype"/>
          <w:sz w:val="22"/>
          <w:szCs w:val="22"/>
        </w:rPr>
      </w:pPr>
    </w:p>
    <w:p w14:paraId="156B1799" w14:textId="77777777" w:rsidR="0023552C" w:rsidRPr="00C17D83" w:rsidRDefault="0023552C">
      <w:pPr>
        <w:rPr>
          <w:sz w:val="22"/>
          <w:szCs w:val="22"/>
        </w:rPr>
      </w:pPr>
    </w:p>
    <w:sectPr w:rsidR="0023552C" w:rsidRPr="00C17D83">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2EB82" w14:textId="77777777" w:rsidR="009E75E7" w:rsidRDefault="009E75E7">
      <w:r>
        <w:separator/>
      </w:r>
    </w:p>
  </w:endnote>
  <w:endnote w:type="continuationSeparator" w:id="0">
    <w:p w14:paraId="3ECF8BE1" w14:textId="77777777" w:rsidR="009E75E7" w:rsidRDefault="009E7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0EA6B8A-F475-AC43-A26F-DD63DBCB2799}"/>
    <w:embedBold r:id="rId2" w:fontKey="{FDF9EC54-E957-9D49-91EF-FDFCF4B24C05}"/>
    <w:embedItalic r:id="rId3" w:fontKey="{63A024D8-001E-3642-8DD4-6C165081877B}"/>
  </w:font>
  <w:font w:name="Calibri">
    <w:panose1 w:val="020F0502020204030204"/>
    <w:charset w:val="00"/>
    <w:family w:val="swiss"/>
    <w:pitch w:val="variable"/>
    <w:sig w:usb0="E4002EFF" w:usb1="C200247B" w:usb2="00000009" w:usb3="00000000" w:csb0="000001FF" w:csb1="00000000"/>
    <w:embedRegular r:id="rId4" w:fontKey="{2F88AA09-64A5-FB40-9EF1-0E664BF511A3}"/>
  </w:font>
  <w:font w:name="Segoe UI">
    <w:panose1 w:val="020B0502040204020203"/>
    <w:charset w:val="00"/>
    <w:family w:val="swiss"/>
    <w:notTrueType/>
    <w:pitch w:val="variable"/>
    <w:sig w:usb0="E4002EFF" w:usb1="C000E47F" w:usb2="00000009" w:usb3="00000000" w:csb0="000001FF" w:csb1="00000000"/>
    <w:embedRegular r:id="rId5" w:fontKey="{D5637C24-B73F-2449-908B-483C55C470AB}"/>
  </w:font>
  <w:font w:name="Georgia">
    <w:panose1 w:val="02040502050405020303"/>
    <w:charset w:val="00"/>
    <w:family w:val="roman"/>
    <w:pitch w:val="variable"/>
    <w:sig w:usb0="00000287" w:usb1="00000000" w:usb2="00000000" w:usb3="00000000" w:csb0="0000009F" w:csb1="00000000"/>
    <w:embedItalic r:id="rId6" w:fontKey="{E223053F-2F8F-0841-900B-068E19368FFF}"/>
  </w:font>
  <w:font w:name="Palatino Linotype">
    <w:panose1 w:val="02040502050505030304"/>
    <w:charset w:val="00"/>
    <w:family w:val="roman"/>
    <w:pitch w:val="variable"/>
    <w:sig w:usb0="E0000287" w:usb1="40000013" w:usb2="00000000" w:usb3="00000000" w:csb0="0000019F" w:csb1="00000000"/>
    <w:embedRegular r:id="rId7" w:fontKey="{38D24070-772D-EF4F-8F4A-776050853BD7}"/>
    <w:embedBold r:id="rId8" w:fontKey="{5C4B0383-64C0-E04F-AFF7-C3562AAE2488}"/>
    <w:embedItalic r:id="rId9" w:fontKey="{49F33201-A175-4A43-A87E-E651AC310DB6}"/>
    <w:embedBoldItalic r:id="rId10" w:fontKey="{505404AB-93A6-994D-821B-D0B608D3C7B7}"/>
  </w:font>
  <w:font w:name="Verdana">
    <w:panose1 w:val="020B0604030504040204"/>
    <w:charset w:val="00"/>
    <w:family w:val="swiss"/>
    <w:pitch w:val="variable"/>
    <w:sig w:usb0="A10006FF" w:usb1="4000205B" w:usb2="00000010" w:usb3="00000000" w:csb0="0000019F" w:csb1="00000000"/>
    <w:embedBold r:id="rId11" w:fontKey="{3334F8A5-B056-D84C-AA1C-B279EF81CBD8}"/>
  </w:font>
  <w:font w:name="Arial">
    <w:panose1 w:val="020B0604020202020204"/>
    <w:charset w:val="00"/>
    <w:family w:val="swiss"/>
    <w:pitch w:val="variable"/>
    <w:sig w:usb0="E0002EFF" w:usb1="C000785B" w:usb2="00000009" w:usb3="00000000" w:csb0="000001FF" w:csb1="00000000"/>
    <w:embedRegular r:id="rId12" w:fontKey="{EAB0B652-E40A-C844-B886-E985CCE46B67}"/>
    <w:embedBold r:id="rId13" w:fontKey="{66B0B753-CE1E-EE42-93FE-1C077285E783}"/>
  </w:font>
  <w:font w:name="Calibri Light">
    <w:panose1 w:val="020F0302020204030204"/>
    <w:charset w:val="00"/>
    <w:family w:val="swiss"/>
    <w:pitch w:val="variable"/>
    <w:sig w:usb0="E4002EFF" w:usb1="C200247B" w:usb2="00000009" w:usb3="00000000" w:csb0="000001FF" w:csb1="00000000"/>
    <w:embedRegular r:id="rId14" w:fontKey="{EEFB9FC4-9FB7-C346-8FB8-FD04C1F3F1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B8D33" w14:textId="77777777" w:rsidR="0023552C" w:rsidRDefault="00B0711B">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C17D83">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C17D83">
      <w:rPr>
        <w:rFonts w:ascii="Arial" w:eastAsia="Arial" w:hAnsi="Arial" w:cs="Arial"/>
        <w:b/>
        <w:bCs/>
        <w:noProof/>
        <w:color w:val="000000"/>
        <w:sz w:val="20"/>
        <w:szCs w:val="20"/>
      </w:rPr>
      <w:t>3</w:t>
    </w:r>
    <w:r>
      <w:rPr>
        <w:rFonts w:ascii="Arial" w:eastAsia="Arial" w:hAnsi="Arial" w:cs="Arial"/>
        <w:b/>
        <w:bCs/>
        <w:color w:val="000000"/>
        <w:sz w:val="20"/>
        <w:szCs w:val="20"/>
      </w:rPr>
      <w:fldChar w:fldCharType="end"/>
    </w:r>
  </w:p>
  <w:p w14:paraId="5CB4B3EB" w14:textId="77777777" w:rsidR="0023552C" w:rsidRDefault="0023552C">
    <w:pPr>
      <w:pBdr>
        <w:top w:val="nil"/>
        <w:left w:val="nil"/>
        <w:bottom w:val="nil"/>
        <w:right w:val="nil"/>
        <w:between w:val="nil"/>
      </w:pBdr>
      <w:tabs>
        <w:tab w:val="center" w:pos="4252"/>
        <w:tab w:val="right" w:pos="8504"/>
      </w:tabs>
      <w:rPr>
        <w:color w:val="000000"/>
      </w:rPr>
    </w:pPr>
  </w:p>
  <w:p w14:paraId="1B6728C6" w14:textId="77777777" w:rsidR="0023552C" w:rsidRDefault="0023552C">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E7CA" w14:textId="77777777" w:rsidR="0023552C" w:rsidRDefault="00B0711B">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C17D83">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C17D83">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p>
  <w:p w14:paraId="3C31EA27" w14:textId="77777777" w:rsidR="0023552C" w:rsidRDefault="0023552C">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5A97C" w14:textId="77777777" w:rsidR="009E75E7" w:rsidRDefault="009E75E7">
      <w:r>
        <w:separator/>
      </w:r>
    </w:p>
  </w:footnote>
  <w:footnote w:type="continuationSeparator" w:id="0">
    <w:p w14:paraId="04C0220F" w14:textId="77777777" w:rsidR="009E75E7" w:rsidRDefault="009E75E7">
      <w:r>
        <w:continuationSeparator/>
      </w:r>
    </w:p>
  </w:footnote>
  <w:footnote w:id="1">
    <w:p w14:paraId="53DFA875" w14:textId="77777777" w:rsidR="0023552C" w:rsidRDefault="00B0711B">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464E6EB0" w14:textId="77777777" w:rsidR="0023552C" w:rsidRDefault="00B0711B">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49F93C24" w14:textId="77777777" w:rsidR="0023552C" w:rsidRDefault="00B0711B">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2394" w14:textId="77777777" w:rsidR="0023552C" w:rsidRDefault="0023552C">
    <w:pPr>
      <w:widowControl w:val="0"/>
      <w:pBdr>
        <w:top w:val="nil"/>
        <w:left w:val="nil"/>
        <w:bottom w:val="nil"/>
        <w:right w:val="nil"/>
        <w:between w:val="nil"/>
      </w:pBdr>
      <w:spacing w:line="276" w:lineRule="auto"/>
      <w:rPr>
        <w:rFonts w:ascii="Calibri" w:eastAsia="Calibri" w:hAnsi="Calibri" w:cs="Calibri"/>
        <w:color w:val="000000"/>
      </w:rPr>
    </w:pPr>
  </w:p>
  <w:tbl>
    <w:tblPr>
      <w:tblStyle w:val="aa"/>
      <w:tblW w:w="5528" w:type="dxa"/>
      <w:tblInd w:w="3261" w:type="dxa"/>
      <w:tblLayout w:type="fixed"/>
      <w:tblLook w:val="0400" w:firstRow="0" w:lastRow="0" w:firstColumn="0" w:lastColumn="0" w:noHBand="0" w:noVBand="1"/>
    </w:tblPr>
    <w:tblGrid>
      <w:gridCol w:w="2552"/>
      <w:gridCol w:w="2976"/>
    </w:tblGrid>
    <w:tr w:rsidR="0023552C" w14:paraId="025533D5" w14:textId="77777777">
      <w:tc>
        <w:tcPr>
          <w:tcW w:w="2552" w:type="dxa"/>
          <w:vAlign w:val="center"/>
        </w:tcPr>
        <w:p w14:paraId="1462C966" w14:textId="77777777" w:rsidR="0023552C" w:rsidRDefault="00B0711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2CD4FF5C" w14:textId="77777777" w:rsidR="0023552C" w:rsidRDefault="00B0711B">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02034/INFOEM/IP/RR/2026 </w:t>
          </w:r>
        </w:p>
      </w:tc>
    </w:tr>
    <w:tr w:rsidR="0023552C" w14:paraId="2DFB23EC" w14:textId="77777777">
      <w:trPr>
        <w:trHeight w:val="228"/>
      </w:trPr>
      <w:tc>
        <w:tcPr>
          <w:tcW w:w="2552" w:type="dxa"/>
          <w:shd w:val="clear" w:color="auto" w:fill="auto"/>
          <w:vAlign w:val="center"/>
        </w:tcPr>
        <w:p w14:paraId="19B229D4" w14:textId="77777777" w:rsidR="0023552C" w:rsidRDefault="00B0711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62FB6D60" w14:textId="77777777" w:rsidR="0023552C" w:rsidRDefault="0023552C">
          <w:pPr>
            <w:rPr>
              <w:rFonts w:ascii="Palatino Linotype" w:eastAsia="Palatino Linotype" w:hAnsi="Palatino Linotype" w:cs="Palatino Linotype"/>
              <w:b/>
              <w:bCs/>
              <w:sz w:val="21"/>
              <w:szCs w:val="21"/>
            </w:rPr>
          </w:pPr>
        </w:p>
      </w:tc>
      <w:tc>
        <w:tcPr>
          <w:tcW w:w="2976" w:type="dxa"/>
          <w:shd w:val="clear" w:color="auto" w:fill="auto"/>
          <w:vAlign w:val="center"/>
        </w:tcPr>
        <w:p w14:paraId="629FF808" w14:textId="77777777" w:rsidR="0023552C" w:rsidRDefault="00B0711B">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23552C" w14:paraId="09EFB91B" w14:textId="77777777">
      <w:tc>
        <w:tcPr>
          <w:tcW w:w="2552" w:type="dxa"/>
          <w:vAlign w:val="center"/>
        </w:tcPr>
        <w:p w14:paraId="169DE67C" w14:textId="77777777" w:rsidR="0023552C" w:rsidRDefault="00B0711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429FDD0B" w14:textId="77777777" w:rsidR="0023552C" w:rsidRDefault="00B0711B">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4C9CE692" w14:textId="77777777" w:rsidR="0023552C" w:rsidRDefault="00B0711B">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14:anchorId="29F015B5" wp14:editId="7A7D7FFD">
          <wp:simplePos x="0" y="0"/>
          <wp:positionH relativeFrom="column">
            <wp:posOffset>-689271</wp:posOffset>
          </wp:positionH>
          <wp:positionV relativeFrom="paragraph">
            <wp:posOffset>-1171009</wp:posOffset>
          </wp:positionV>
          <wp:extent cx="7635875" cy="9943465"/>
          <wp:effectExtent l="0" t="0" r="0" b="0"/>
          <wp:wrapNone/>
          <wp:docPr id="2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D71C" w14:textId="77777777" w:rsidR="0023552C" w:rsidRDefault="00B0711B">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rPr>
      <w:drawing>
        <wp:anchor distT="0" distB="0" distL="0" distR="0" simplePos="0" relativeHeight="251659264" behindDoc="1" locked="0" layoutInCell="1" hidden="0" allowOverlap="1" wp14:anchorId="3BA418CD" wp14:editId="21584F1C">
          <wp:simplePos x="0" y="0"/>
          <wp:positionH relativeFrom="column">
            <wp:posOffset>-675559</wp:posOffset>
          </wp:positionH>
          <wp:positionV relativeFrom="paragraph">
            <wp:posOffset>-341823</wp:posOffset>
          </wp:positionV>
          <wp:extent cx="7635875" cy="9943465"/>
          <wp:effectExtent l="0" t="0" r="0" b="0"/>
          <wp:wrapNone/>
          <wp:docPr id="2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b"/>
      <w:tblW w:w="6238" w:type="dxa"/>
      <w:tblInd w:w="3119" w:type="dxa"/>
      <w:tblLayout w:type="fixed"/>
      <w:tblLook w:val="0400" w:firstRow="0" w:lastRow="0" w:firstColumn="0" w:lastColumn="0" w:noHBand="0" w:noVBand="1"/>
    </w:tblPr>
    <w:tblGrid>
      <w:gridCol w:w="2551"/>
      <w:gridCol w:w="3687"/>
    </w:tblGrid>
    <w:tr w:rsidR="0023552C" w14:paraId="1C90C953" w14:textId="77777777">
      <w:tc>
        <w:tcPr>
          <w:tcW w:w="2551" w:type="dxa"/>
          <w:vAlign w:val="center"/>
        </w:tcPr>
        <w:p w14:paraId="3F7E2177" w14:textId="77777777" w:rsidR="0023552C" w:rsidRDefault="00B0711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64D6B954" w14:textId="77777777" w:rsidR="0023552C" w:rsidRDefault="00B0711B">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02034/INFOEM/IP/RR/2026</w:t>
          </w:r>
        </w:p>
      </w:tc>
    </w:tr>
    <w:tr w:rsidR="0023552C" w14:paraId="2346EFC8" w14:textId="77777777">
      <w:tc>
        <w:tcPr>
          <w:tcW w:w="2551" w:type="dxa"/>
          <w:vAlign w:val="center"/>
        </w:tcPr>
        <w:p w14:paraId="798827A7" w14:textId="77777777" w:rsidR="0023552C" w:rsidRDefault="00B0711B">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77661BD7" w14:textId="457D5D65" w:rsidR="0023552C" w:rsidRDefault="00CF4856">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23552C" w14:paraId="5CA63588" w14:textId="77777777">
      <w:trPr>
        <w:trHeight w:val="228"/>
      </w:trPr>
      <w:tc>
        <w:tcPr>
          <w:tcW w:w="2551" w:type="dxa"/>
          <w:vAlign w:val="center"/>
        </w:tcPr>
        <w:p w14:paraId="73699C0D" w14:textId="77777777" w:rsidR="0023552C" w:rsidRDefault="00B0711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35949B1B" w14:textId="77777777" w:rsidR="0023552C" w:rsidRDefault="0023552C">
          <w:pPr>
            <w:rPr>
              <w:rFonts w:ascii="Palatino Linotype" w:eastAsia="Palatino Linotype" w:hAnsi="Palatino Linotype" w:cs="Palatino Linotype"/>
              <w:b/>
              <w:bCs/>
              <w:sz w:val="21"/>
              <w:szCs w:val="21"/>
            </w:rPr>
          </w:pPr>
        </w:p>
      </w:tc>
      <w:tc>
        <w:tcPr>
          <w:tcW w:w="3687" w:type="dxa"/>
          <w:vAlign w:val="center"/>
        </w:tcPr>
        <w:p w14:paraId="210F225E" w14:textId="77777777" w:rsidR="0023552C" w:rsidRDefault="00B0711B">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23552C" w14:paraId="625FCE2F" w14:textId="77777777">
      <w:tc>
        <w:tcPr>
          <w:tcW w:w="2551" w:type="dxa"/>
          <w:vAlign w:val="center"/>
        </w:tcPr>
        <w:p w14:paraId="6F6083E3" w14:textId="77777777" w:rsidR="0023552C" w:rsidRDefault="00B0711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64B0815E" w14:textId="77777777" w:rsidR="0023552C" w:rsidRDefault="00B0711B">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1075D584" w14:textId="77777777" w:rsidR="0023552C" w:rsidRDefault="0023552C">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89F6C" w14:textId="77777777" w:rsidR="0023552C" w:rsidRDefault="00B0711B">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3088DFEE" w14:textId="77777777" w:rsidR="0023552C" w:rsidRDefault="0023552C">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D06A5"/>
    <w:multiLevelType w:val="multilevel"/>
    <w:tmpl w:val="42EA791A"/>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17854D5"/>
    <w:multiLevelType w:val="multilevel"/>
    <w:tmpl w:val="7D42C2F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CC1283D"/>
    <w:multiLevelType w:val="multilevel"/>
    <w:tmpl w:val="EC24C30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46174202">
    <w:abstractNumId w:val="0"/>
  </w:num>
  <w:num w:numId="2" w16cid:durableId="1585719216">
    <w:abstractNumId w:val="2"/>
  </w:num>
  <w:num w:numId="3" w16cid:durableId="356390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52C"/>
    <w:rsid w:val="0023552C"/>
    <w:rsid w:val="0088154B"/>
    <w:rsid w:val="009E75E7"/>
    <w:rsid w:val="00B0711B"/>
    <w:rsid w:val="00C17D83"/>
    <w:rsid w:val="00CF48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35418"/>
  <w15:docId w15:val="{590D4E27-668E-47A5-B46E-55A294852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top w:w="0" w:type="dxa"/>
        <w:left w:w="115" w:type="dxa"/>
        <w:bottom w:w="0" w:type="dxa"/>
        <w:right w:w="115" w:type="dxa"/>
      </w:tblCellMar>
    </w:tblPr>
  </w:style>
  <w:style w:type="table" w:customStyle="1" w:styleId="a9">
    <w:basedOn w:val="TableNormal1"/>
    <w:tblPr>
      <w:tblStyleRowBandSize w:val="1"/>
      <w:tblStyleColBandSize w:val="1"/>
      <w:tblCellMar>
        <w:top w:w="0" w:type="dxa"/>
        <w:left w:w="115" w:type="dxa"/>
        <w:bottom w:w="0"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4yeuAt7gNZPOSqzOojrmPhKyGw==">CgMxLjAyCGguZ2pkZ3hzMg5oLmliaWllNTFzYXdsNjIJaC4zem55c2g3Mg5oLmF1eWQ1YmZwc3BwMDIJaC4xZm9iOXRlOAByITFsVFFpaXI2S2FFcW1uX1YtOFJra3lnZUc4b0lZOTlsOA==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3708</Words>
  <Characters>20397</Characters>
  <Application>Microsoft Office Word</Application>
  <DocSecurity>0</DocSecurity>
  <Lines>169</Lines>
  <Paragraphs>48</Paragraphs>
  <ScaleCrop>false</ScaleCrop>
  <Company/>
  <LinksUpToDate>false</LinksUpToDate>
  <CharactersWithSpaces>24057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dcterms:created xsi:type="dcterms:W3CDTF">2026-03-26T02:20:00Z</dcterms:created>
  <dcterms:modified xsi:type="dcterms:W3CDTF">2026-03-26T02:20:00Z</dcterms:modified>
</cp:coreProperties>
</file>