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77CD" w:rsidRPr="00DE1A3C" w:rsidRDefault="00EF0BFD">
      <w:pPr>
        <w:tabs>
          <w:tab w:val="left" w:pos="0"/>
        </w:tabs>
        <w:spacing w:line="360" w:lineRule="auto"/>
        <w:jc w:val="both"/>
        <w:rPr>
          <w:rFonts w:ascii="Palatino Linotype" w:eastAsia="Palatino Linotype" w:hAnsi="Palatino Linotype" w:cs="Palatino Linotype"/>
        </w:rPr>
      </w:pPr>
      <w:bookmarkStart w:id="0" w:name="_heading=h.sre9h05q4v0b" w:colFirst="0" w:colLast="0"/>
      <w:bookmarkEnd w:id="0"/>
      <w:r w:rsidRPr="00DE1A3C">
        <w:rPr>
          <w:rFonts w:ascii="Palatino Linotype" w:eastAsia="Palatino Linotype" w:hAnsi="Palatino Linotype" w:cs="Palatino Linotype"/>
        </w:rPr>
        <w:t>Resolución del Pleno del Instituto de Transparencia, Acceso a la Información Pública y Protección de Datos Personales del Estado de México y Municipios, con domicilio en Metepec, Estado de México; de fecha siete</w:t>
      </w:r>
      <w:r w:rsidR="00DE1A3C">
        <w:rPr>
          <w:rFonts w:ascii="Palatino Linotype" w:eastAsia="Palatino Linotype" w:hAnsi="Palatino Linotype" w:cs="Palatino Linotype"/>
        </w:rPr>
        <w:t xml:space="preserve"> (07)</w:t>
      </w:r>
      <w:r w:rsidRPr="00DE1A3C">
        <w:rPr>
          <w:rFonts w:ascii="Palatino Linotype" w:eastAsia="Palatino Linotype" w:hAnsi="Palatino Linotype" w:cs="Palatino Linotype"/>
        </w:rPr>
        <w:t xml:space="preserve"> de mayo de dos mil veintiséis.</w:t>
      </w:r>
    </w:p>
    <w:p w:rsidR="005E77CD" w:rsidRPr="00DE1A3C" w:rsidRDefault="005E77CD">
      <w:pPr>
        <w:tabs>
          <w:tab w:val="left" w:pos="567"/>
        </w:tabs>
        <w:spacing w:line="360" w:lineRule="auto"/>
        <w:jc w:val="both"/>
        <w:rPr>
          <w:rFonts w:ascii="Palatino Linotype" w:eastAsia="Palatino Linotype" w:hAnsi="Palatino Linotype" w:cs="Palatino Linotype"/>
        </w:rPr>
      </w:pPr>
    </w:p>
    <w:p w:rsidR="005E77CD" w:rsidRPr="00DE1A3C" w:rsidRDefault="00EF0BFD">
      <w:pPr>
        <w:pBdr>
          <w:top w:val="nil"/>
          <w:left w:val="nil"/>
          <w:bottom w:val="nil"/>
          <w:right w:val="nil"/>
          <w:between w:val="nil"/>
        </w:pBdr>
        <w:spacing w:line="360" w:lineRule="auto"/>
        <w:jc w:val="both"/>
        <w:rPr>
          <w:rFonts w:ascii="Palatino Linotype" w:eastAsia="Palatino Linotype" w:hAnsi="Palatino Linotype" w:cs="Palatino Linotype"/>
          <w:color w:val="000000"/>
        </w:rPr>
      </w:pPr>
      <w:bookmarkStart w:id="1" w:name="_heading=h.gjdgxs" w:colFirst="0" w:colLast="0"/>
      <w:bookmarkEnd w:id="1"/>
      <w:r w:rsidRPr="00DE1A3C">
        <w:rPr>
          <w:rFonts w:ascii="Palatino Linotype" w:eastAsia="Palatino Linotype" w:hAnsi="Palatino Linotype" w:cs="Palatino Linotype"/>
          <w:color w:val="000000"/>
        </w:rPr>
        <w:t xml:space="preserve">VISTOS los expedientes electrónicos formados con motivo de los Recursos de Revisión </w:t>
      </w:r>
      <w:r w:rsidRPr="00DE1A3C">
        <w:rPr>
          <w:rFonts w:ascii="Palatino Linotype" w:eastAsia="Palatino Linotype" w:hAnsi="Palatino Linotype" w:cs="Palatino Linotype"/>
          <w:b/>
          <w:bCs/>
          <w:color w:val="000000"/>
        </w:rPr>
        <w:t xml:space="preserve">01353/INFOEM/IP/RR/2026 y 01358/INFOEM/IP/RR/2026, </w:t>
      </w:r>
      <w:r w:rsidRPr="00DE1A3C">
        <w:rPr>
          <w:rFonts w:ascii="Palatino Linotype" w:eastAsia="Palatino Linotype" w:hAnsi="Palatino Linotype" w:cs="Palatino Linotype"/>
          <w:color w:val="000000"/>
        </w:rPr>
        <w:t xml:space="preserve">acumulados, promovidos por   </w:t>
      </w:r>
      <w:r w:rsidRPr="00DE1A3C">
        <w:rPr>
          <w:rFonts w:ascii="Palatino Linotype" w:eastAsia="Palatino Linotype" w:hAnsi="Palatino Linotype" w:cs="Palatino Linotype"/>
          <w:b/>
          <w:bCs/>
          <w:color w:val="000000"/>
        </w:rPr>
        <w:t>una persona que no proporcionó datos de identificación</w:t>
      </w:r>
      <w:r w:rsidRPr="00DE1A3C">
        <w:rPr>
          <w:rFonts w:ascii="Palatino Linotype" w:eastAsia="Palatino Linotype" w:hAnsi="Palatino Linotype" w:cs="Palatino Linotype"/>
          <w:color w:val="000000"/>
        </w:rPr>
        <w:t xml:space="preserve">, a través del Sistema de Acceso a la Información Mexiquense (SAIMEX), a quien en lo sucesivo se le identificará como </w:t>
      </w:r>
      <w:r w:rsidRPr="00DE1A3C">
        <w:rPr>
          <w:rFonts w:ascii="Palatino Linotype" w:eastAsia="Palatino Linotype" w:hAnsi="Palatino Linotype" w:cs="Palatino Linotype"/>
          <w:b/>
          <w:bCs/>
          <w:color w:val="000000"/>
        </w:rPr>
        <w:t>EL RECURRENTE</w:t>
      </w:r>
      <w:r w:rsidR="00A9013A" w:rsidRPr="00DE1A3C">
        <w:rPr>
          <w:rFonts w:ascii="Palatino Linotype" w:eastAsia="Palatino Linotype" w:hAnsi="Palatino Linotype" w:cs="Palatino Linotype"/>
          <w:color w:val="000000"/>
        </w:rPr>
        <w:t>, en contra de la falta de respuesta</w:t>
      </w:r>
      <w:r w:rsidRPr="00DE1A3C">
        <w:rPr>
          <w:rFonts w:ascii="Palatino Linotype" w:eastAsia="Palatino Linotype" w:hAnsi="Palatino Linotype" w:cs="Palatino Linotype"/>
          <w:color w:val="000000"/>
        </w:rPr>
        <w:t xml:space="preserve"> del </w:t>
      </w:r>
      <w:r w:rsidRPr="00DE1A3C">
        <w:rPr>
          <w:rFonts w:ascii="Palatino Linotype" w:eastAsia="Palatino Linotype" w:hAnsi="Palatino Linotype" w:cs="Palatino Linotype"/>
          <w:b/>
          <w:bCs/>
          <w:color w:val="000000"/>
        </w:rPr>
        <w:t>Ayuntamiento de Toluca</w:t>
      </w:r>
      <w:r w:rsidRPr="00DE1A3C">
        <w:rPr>
          <w:rFonts w:ascii="Palatino Linotype" w:eastAsia="Palatino Linotype" w:hAnsi="Palatino Linotype" w:cs="Palatino Linotype"/>
          <w:color w:val="000000"/>
        </w:rPr>
        <w:t xml:space="preserve">, en lo sucesivo </w:t>
      </w:r>
      <w:r w:rsidRPr="00DE1A3C">
        <w:rPr>
          <w:rFonts w:ascii="Palatino Linotype" w:eastAsia="Palatino Linotype" w:hAnsi="Palatino Linotype" w:cs="Palatino Linotype"/>
          <w:b/>
          <w:bCs/>
          <w:color w:val="000000"/>
        </w:rPr>
        <w:t>EL SUJETO OBLIGADO</w:t>
      </w:r>
      <w:r w:rsidRPr="00DE1A3C">
        <w:rPr>
          <w:rFonts w:ascii="Palatino Linotype" w:eastAsia="Palatino Linotype" w:hAnsi="Palatino Linotype" w:cs="Palatino Linotype"/>
          <w:color w:val="000000"/>
        </w:rPr>
        <w:t>, se procede a dictar la presente resolución, con base en los siguientes:</w:t>
      </w:r>
    </w:p>
    <w:p w:rsidR="005E77CD" w:rsidRPr="00DE1A3C" w:rsidRDefault="005E77CD">
      <w:pPr>
        <w:spacing w:line="360" w:lineRule="auto"/>
        <w:jc w:val="both"/>
        <w:rPr>
          <w:rFonts w:ascii="Palatino Linotype" w:eastAsia="Palatino Linotype" w:hAnsi="Palatino Linotype" w:cs="Palatino Linotype"/>
        </w:rPr>
      </w:pPr>
    </w:p>
    <w:p w:rsidR="005E77CD" w:rsidRPr="00DE1A3C" w:rsidRDefault="00EF0BFD">
      <w:pPr>
        <w:pStyle w:val="Ttulo1"/>
        <w:tabs>
          <w:tab w:val="left" w:pos="567"/>
        </w:tabs>
        <w:spacing w:before="0" w:line="360" w:lineRule="auto"/>
        <w:jc w:val="center"/>
        <w:rPr>
          <w:b w:val="0"/>
          <w:bCs w:val="0"/>
        </w:rPr>
      </w:pPr>
      <w:bookmarkStart w:id="2" w:name="_heading=h.30j0zll" w:colFirst="0" w:colLast="0"/>
      <w:bookmarkEnd w:id="2"/>
      <w:r w:rsidRPr="00DE1A3C">
        <w:t>A N T E C E D E N T E S</w:t>
      </w:r>
    </w:p>
    <w:p w:rsidR="005E77CD" w:rsidRPr="00DE1A3C" w:rsidRDefault="005E77CD">
      <w:pPr>
        <w:pStyle w:val="Ttulo1"/>
        <w:tabs>
          <w:tab w:val="left" w:pos="567"/>
        </w:tabs>
        <w:spacing w:before="0" w:line="360" w:lineRule="auto"/>
      </w:pPr>
    </w:p>
    <w:p w:rsidR="005E77CD" w:rsidRPr="00DE1A3C" w:rsidRDefault="00EF0BFD">
      <w:pPr>
        <w:numPr>
          <w:ilvl w:val="0"/>
          <w:numId w:val="12"/>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E1A3C">
        <w:rPr>
          <w:rFonts w:ascii="Palatino Linotype" w:eastAsia="Palatino Linotype" w:hAnsi="Palatino Linotype" w:cs="Palatino Linotype"/>
          <w:color w:val="000000"/>
        </w:rPr>
        <w:t xml:space="preserve">El dos de enero de dos mil veintiséis, se presentó ante el </w:t>
      </w:r>
      <w:r w:rsidRPr="00DE1A3C">
        <w:rPr>
          <w:rFonts w:ascii="Palatino Linotype" w:eastAsia="Palatino Linotype" w:hAnsi="Palatino Linotype" w:cs="Palatino Linotype"/>
          <w:b/>
          <w:bCs/>
          <w:color w:val="000000"/>
        </w:rPr>
        <w:t>SUJETO OBLIGADO</w:t>
      </w:r>
      <w:r w:rsidRPr="00DE1A3C">
        <w:rPr>
          <w:rFonts w:ascii="Palatino Linotype" w:eastAsia="Palatino Linotype" w:hAnsi="Palatino Linotype" w:cs="Palatino Linotype"/>
          <w:color w:val="000000"/>
        </w:rPr>
        <w:t xml:space="preserve"> vía </w:t>
      </w:r>
      <w:r w:rsidRPr="00DE1A3C">
        <w:rPr>
          <w:rFonts w:ascii="Palatino Linotype" w:eastAsia="Palatino Linotype" w:hAnsi="Palatino Linotype" w:cs="Palatino Linotype"/>
          <w:b/>
          <w:bCs/>
          <w:color w:val="000000"/>
        </w:rPr>
        <w:t>SAIMEX</w:t>
      </w:r>
      <w:r w:rsidRPr="00DE1A3C">
        <w:rPr>
          <w:rFonts w:ascii="Palatino Linotype" w:eastAsia="Palatino Linotype" w:hAnsi="Palatino Linotype" w:cs="Palatino Linotype"/>
          <w:color w:val="000000"/>
        </w:rPr>
        <w:t>, las solicitudes de información pública registradas con los números</w:t>
      </w:r>
      <w:r w:rsidRPr="00DE1A3C">
        <w:rPr>
          <w:rFonts w:ascii="Palatino Linotype" w:eastAsia="Palatino Linotype" w:hAnsi="Palatino Linotype" w:cs="Palatino Linotype"/>
          <w:b/>
          <w:bCs/>
          <w:color w:val="000000"/>
        </w:rPr>
        <w:t xml:space="preserve"> 00085/TOLUCA/IP/2026 y 00080/TOLUC/IP/2026, </w:t>
      </w:r>
      <w:r w:rsidRPr="00DE1A3C">
        <w:rPr>
          <w:rFonts w:ascii="Palatino Linotype" w:eastAsia="Palatino Linotype" w:hAnsi="Palatino Linotype" w:cs="Palatino Linotype"/>
          <w:color w:val="000000"/>
        </w:rPr>
        <w:t>mediante las cuales se solicitó la siguiente información:</w:t>
      </w:r>
    </w:p>
    <w:p w:rsidR="005E77CD" w:rsidRPr="00DE1A3C" w:rsidRDefault="005E77CD">
      <w:pPr>
        <w:spacing w:line="480" w:lineRule="auto"/>
        <w:rPr>
          <w:rFonts w:ascii="Palatino Linotype" w:eastAsia="Palatino Linotype" w:hAnsi="Palatino Linotype" w:cs="Palatino Linotype"/>
        </w:rPr>
      </w:pPr>
    </w:p>
    <w:p w:rsidR="005E77CD" w:rsidRPr="00DE1A3C" w:rsidRDefault="00EF0BFD">
      <w:pPr>
        <w:pBdr>
          <w:top w:val="nil"/>
          <w:left w:val="nil"/>
          <w:bottom w:val="nil"/>
          <w:right w:val="nil"/>
          <w:between w:val="nil"/>
        </w:pBdr>
        <w:ind w:left="1134" w:right="900"/>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b/>
          <w:bCs/>
          <w:color w:val="000000"/>
        </w:rPr>
        <w:t>Solicitud</w:t>
      </w:r>
      <w:r w:rsidRPr="00DE1A3C">
        <w:rPr>
          <w:rFonts w:ascii="Palatino Linotype" w:eastAsia="Palatino Linotype" w:hAnsi="Palatino Linotype" w:cs="Palatino Linotype"/>
          <w:b/>
          <w:bCs/>
          <w:i/>
          <w:iCs/>
          <w:color w:val="000000"/>
        </w:rPr>
        <w:t xml:space="preserve"> </w:t>
      </w:r>
      <w:r w:rsidRPr="00DE1A3C">
        <w:rPr>
          <w:rFonts w:ascii="Palatino Linotype" w:eastAsia="Palatino Linotype" w:hAnsi="Palatino Linotype" w:cs="Palatino Linotype"/>
          <w:b/>
          <w:bCs/>
          <w:color w:val="000000"/>
        </w:rPr>
        <w:t>00085/TOLUCA/IP/2026</w:t>
      </w:r>
      <w:r w:rsidRPr="00DE1A3C">
        <w:rPr>
          <w:rFonts w:ascii="Palatino Linotype" w:eastAsia="Palatino Linotype" w:hAnsi="Palatino Linotype" w:cs="Palatino Linotype"/>
          <w:b/>
          <w:bCs/>
          <w:i/>
          <w:iCs/>
          <w:color w:val="000000"/>
        </w:rPr>
        <w:t>:</w:t>
      </w:r>
      <w:r w:rsidRPr="00DE1A3C">
        <w:rPr>
          <w:rFonts w:ascii="Palatino Linotype" w:eastAsia="Palatino Linotype" w:hAnsi="Palatino Linotype" w:cs="Palatino Linotype"/>
          <w:i/>
          <w:iCs/>
          <w:color w:val="000000"/>
        </w:rPr>
        <w:t xml:space="preserve"> </w:t>
      </w:r>
    </w:p>
    <w:p w:rsidR="005E77CD" w:rsidRPr="00DE1A3C" w:rsidRDefault="00EF0BFD">
      <w:pPr>
        <w:pBdr>
          <w:top w:val="nil"/>
          <w:left w:val="nil"/>
          <w:bottom w:val="nil"/>
          <w:right w:val="nil"/>
          <w:between w:val="nil"/>
        </w:pBdr>
        <w:spacing w:line="276" w:lineRule="auto"/>
        <w:ind w:left="1134" w:right="900"/>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“se solicitan todos los oficios que se recibieron y lo que se emitieron en el mes de septiembre 2025 en la Director General de Planeación, Gestión Urbana y Ciudad Inteligente” (Sic).”</w:t>
      </w:r>
    </w:p>
    <w:p w:rsidR="005E77CD" w:rsidRPr="00DE1A3C" w:rsidRDefault="005E77CD">
      <w:pPr>
        <w:pBdr>
          <w:top w:val="nil"/>
          <w:left w:val="nil"/>
          <w:bottom w:val="nil"/>
          <w:right w:val="nil"/>
          <w:between w:val="nil"/>
        </w:pBdr>
        <w:spacing w:line="360" w:lineRule="auto"/>
        <w:ind w:left="1134" w:right="900"/>
        <w:jc w:val="both"/>
        <w:rPr>
          <w:rFonts w:ascii="Palatino Linotype" w:eastAsia="Palatino Linotype" w:hAnsi="Palatino Linotype" w:cs="Palatino Linotype"/>
          <w:i/>
          <w:iCs/>
          <w:color w:val="000000"/>
        </w:rPr>
      </w:pPr>
    </w:p>
    <w:p w:rsidR="005E77CD" w:rsidRPr="00DE1A3C" w:rsidRDefault="00EF0BFD">
      <w:pPr>
        <w:ind w:left="1276" w:right="964"/>
        <w:jc w:val="both"/>
        <w:rPr>
          <w:rFonts w:ascii="Palatino Linotype" w:eastAsia="Palatino Linotype" w:hAnsi="Palatino Linotype" w:cs="Palatino Linotype"/>
          <w:b/>
          <w:bCs/>
          <w:i/>
          <w:iCs/>
        </w:rPr>
      </w:pPr>
      <w:r w:rsidRPr="00DE1A3C">
        <w:rPr>
          <w:rFonts w:ascii="Palatino Linotype" w:eastAsia="Palatino Linotype" w:hAnsi="Palatino Linotype" w:cs="Palatino Linotype"/>
          <w:b/>
          <w:bCs/>
        </w:rPr>
        <w:lastRenderedPageBreak/>
        <w:t>Solicitud 00080/TOLUCA/IP/2026</w:t>
      </w:r>
      <w:r w:rsidRPr="00DE1A3C">
        <w:rPr>
          <w:rFonts w:ascii="Palatino Linotype" w:eastAsia="Palatino Linotype" w:hAnsi="Palatino Linotype" w:cs="Palatino Linotype"/>
          <w:b/>
          <w:bCs/>
          <w:i/>
          <w:iCs/>
        </w:rPr>
        <w:t xml:space="preserve">: </w:t>
      </w:r>
    </w:p>
    <w:p w:rsidR="005E77CD" w:rsidRPr="00DE1A3C" w:rsidRDefault="00EF0BFD">
      <w:pPr>
        <w:spacing w:line="276" w:lineRule="auto"/>
        <w:ind w:left="1276" w:right="964"/>
        <w:jc w:val="both"/>
        <w:rPr>
          <w:rFonts w:ascii="Palatino Linotype" w:eastAsia="Palatino Linotype" w:hAnsi="Palatino Linotype" w:cs="Palatino Linotype"/>
          <w:i/>
          <w:iCs/>
        </w:rPr>
      </w:pPr>
      <w:r w:rsidRPr="00DE1A3C">
        <w:rPr>
          <w:rFonts w:ascii="Palatino Linotype" w:eastAsia="Palatino Linotype" w:hAnsi="Palatino Linotype" w:cs="Palatino Linotype"/>
          <w:i/>
          <w:iCs/>
        </w:rPr>
        <w:t>“</w:t>
      </w:r>
      <w:r w:rsidRPr="00DE1A3C">
        <w:rPr>
          <w:rFonts w:ascii="Palatino Linotype" w:eastAsia="Palatino Linotype" w:hAnsi="Palatino Linotype" w:cs="Palatino Linotype"/>
          <w:i/>
          <w:iCs/>
          <w:color w:val="000000"/>
        </w:rPr>
        <w:t>se solicitan todos los oficios que se recibieron y lo que se emitieron en el mes de abril 2025 en la Director General de Planeación, Gestión Urbana y Ciudad Inteligente</w:t>
      </w:r>
      <w:r w:rsidRPr="00DE1A3C">
        <w:rPr>
          <w:rFonts w:ascii="Palatino Linotype" w:eastAsia="Palatino Linotype" w:hAnsi="Palatino Linotype" w:cs="Palatino Linotype"/>
          <w:i/>
          <w:iCs/>
        </w:rPr>
        <w:t>” (Sic)</w:t>
      </w:r>
    </w:p>
    <w:p w:rsidR="005E77CD" w:rsidRPr="00DE1A3C" w:rsidRDefault="005E77CD">
      <w:pPr>
        <w:pBdr>
          <w:top w:val="nil"/>
          <w:left w:val="nil"/>
          <w:bottom w:val="nil"/>
          <w:right w:val="nil"/>
          <w:between w:val="nil"/>
        </w:pBdr>
        <w:spacing w:line="360" w:lineRule="auto"/>
        <w:jc w:val="both"/>
        <w:rPr>
          <w:rFonts w:ascii="Palatino Linotype" w:eastAsia="Palatino Linotype" w:hAnsi="Palatino Linotype" w:cs="Palatino Linotype"/>
          <w:i/>
          <w:iCs/>
          <w:color w:val="000000"/>
        </w:rPr>
      </w:pPr>
    </w:p>
    <w:p w:rsidR="005E77CD" w:rsidRPr="00DE1A3C" w:rsidRDefault="00EF0BFD">
      <w:pPr>
        <w:numPr>
          <w:ilvl w:val="0"/>
          <w:numId w:val="11"/>
        </w:numPr>
        <w:pBdr>
          <w:top w:val="nil"/>
          <w:left w:val="nil"/>
          <w:bottom w:val="nil"/>
          <w:right w:val="nil"/>
          <w:between w:val="nil"/>
        </w:pBdr>
        <w:spacing w:line="360" w:lineRule="auto"/>
        <w:ind w:left="709" w:right="474"/>
        <w:jc w:val="both"/>
        <w:rPr>
          <w:rFonts w:ascii="Palatino Linotype" w:eastAsia="Palatino Linotype" w:hAnsi="Palatino Linotype" w:cs="Palatino Linotype"/>
          <w:color w:val="000000"/>
        </w:rPr>
      </w:pPr>
      <w:r w:rsidRPr="00DE1A3C">
        <w:rPr>
          <w:rFonts w:ascii="Palatino Linotype" w:eastAsia="Palatino Linotype" w:hAnsi="Palatino Linotype" w:cs="Palatino Linotype"/>
          <w:b/>
          <w:bCs/>
          <w:color w:val="000000"/>
        </w:rPr>
        <w:t>Modalidad de entrega</w:t>
      </w:r>
      <w:r w:rsidRPr="00DE1A3C">
        <w:rPr>
          <w:rFonts w:ascii="Palatino Linotype" w:eastAsia="Palatino Linotype" w:hAnsi="Palatino Linotype" w:cs="Palatino Linotype"/>
          <w:color w:val="000000"/>
        </w:rPr>
        <w:t>: Vía SAIMEX.</w:t>
      </w:r>
    </w:p>
    <w:p w:rsidR="005E77CD" w:rsidRPr="00DE1A3C" w:rsidRDefault="005E77CD">
      <w:pPr>
        <w:pBdr>
          <w:top w:val="nil"/>
          <w:left w:val="nil"/>
          <w:bottom w:val="nil"/>
          <w:right w:val="nil"/>
          <w:between w:val="nil"/>
        </w:pBdr>
        <w:ind w:right="476"/>
        <w:jc w:val="both"/>
        <w:rPr>
          <w:rFonts w:ascii="Palatino Linotype" w:eastAsia="Palatino Linotype" w:hAnsi="Palatino Linotype" w:cs="Palatino Linotype"/>
          <w:i/>
          <w:iCs/>
          <w:color w:val="000000"/>
        </w:rPr>
      </w:pPr>
    </w:p>
    <w:p w:rsidR="005E77CD" w:rsidRPr="00DE1A3C" w:rsidRDefault="00EF0BFD" w:rsidP="00DE1A3C">
      <w:pPr>
        <w:pStyle w:val="Prrafodelista"/>
        <w:numPr>
          <w:ilvl w:val="0"/>
          <w:numId w:val="12"/>
        </w:numPr>
        <w:pBdr>
          <w:top w:val="nil"/>
          <w:left w:val="nil"/>
          <w:bottom w:val="nil"/>
          <w:right w:val="nil"/>
          <w:between w:val="nil"/>
        </w:pBdr>
        <w:spacing w:line="360" w:lineRule="auto"/>
        <w:ind w:left="0" w:right="-141" w:firstLine="0"/>
        <w:jc w:val="both"/>
        <w:rPr>
          <w:rFonts w:ascii="Palatino Linotype" w:eastAsia="Palatino Linotype" w:hAnsi="Palatino Linotype" w:cs="Palatino Linotype"/>
          <w:b/>
          <w:bCs/>
          <w:color w:val="000000"/>
        </w:rPr>
      </w:pPr>
      <w:r w:rsidRPr="00DE1A3C">
        <w:rPr>
          <w:rFonts w:ascii="Palatino Linotype" w:eastAsia="Palatino Linotype" w:hAnsi="Palatino Linotype" w:cs="Palatino Linotype"/>
          <w:color w:val="000000"/>
        </w:rPr>
        <w:t>Derivado de lo anterior</w:t>
      </w:r>
      <w:r w:rsidRPr="00DE1A3C">
        <w:rPr>
          <w:rFonts w:ascii="Palatino Linotype" w:eastAsia="Palatino Linotype" w:hAnsi="Palatino Linotype" w:cs="Palatino Linotype"/>
          <w:b/>
          <w:bCs/>
          <w:color w:val="000000"/>
        </w:rPr>
        <w:t>, EL SUJETO OBLIGADO</w:t>
      </w:r>
      <w:r w:rsidRPr="00DE1A3C">
        <w:rPr>
          <w:rFonts w:ascii="Palatino Linotype" w:eastAsia="Palatino Linotype" w:hAnsi="Palatino Linotype" w:cs="Palatino Linotype"/>
          <w:color w:val="000000"/>
        </w:rPr>
        <w:t xml:space="preserve"> no proporcionó respuesta a las solicitudes de información dentro del plazo de quince días establecido en el artículo 163 de la Ley de Transparencia y Acceso a la Información Pública del Estado de México y Municipios.</w:t>
      </w:r>
    </w:p>
    <w:p w:rsidR="005E77CD" w:rsidRPr="00DE1A3C" w:rsidRDefault="005E77CD">
      <w:pPr>
        <w:pBdr>
          <w:top w:val="nil"/>
          <w:left w:val="nil"/>
          <w:bottom w:val="nil"/>
          <w:right w:val="nil"/>
          <w:between w:val="nil"/>
        </w:pBdr>
        <w:spacing w:line="360" w:lineRule="auto"/>
        <w:ind w:right="-141"/>
        <w:jc w:val="both"/>
        <w:rPr>
          <w:rFonts w:ascii="Palatino Linotype" w:eastAsia="Palatino Linotype" w:hAnsi="Palatino Linotype" w:cs="Palatino Linotype"/>
          <w:b/>
          <w:bCs/>
          <w:color w:val="000000"/>
        </w:rPr>
      </w:pPr>
    </w:p>
    <w:p w:rsidR="005E77CD" w:rsidRPr="00DE1A3C" w:rsidRDefault="00EF0BFD">
      <w:pPr>
        <w:numPr>
          <w:ilvl w:val="0"/>
          <w:numId w:val="12"/>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color w:val="000000"/>
        </w:rPr>
      </w:pPr>
      <w:r w:rsidRPr="00DE1A3C">
        <w:rPr>
          <w:rFonts w:ascii="Palatino Linotype" w:eastAsia="Palatino Linotype" w:hAnsi="Palatino Linotype" w:cs="Palatino Linotype"/>
          <w:color w:val="000000"/>
        </w:rPr>
        <w:t>Ante la falta de respuesta</w:t>
      </w:r>
      <w:r w:rsidRPr="00DE1A3C">
        <w:rPr>
          <w:rFonts w:ascii="Palatino Linotype" w:eastAsia="Palatino Linotype" w:hAnsi="Palatino Linotype" w:cs="Palatino Linotype"/>
          <w:b/>
          <w:bCs/>
          <w:color w:val="000000"/>
        </w:rPr>
        <w:t xml:space="preserve"> </w:t>
      </w:r>
      <w:r w:rsidRPr="00DE1A3C">
        <w:rPr>
          <w:rFonts w:ascii="Palatino Linotype" w:eastAsia="Palatino Linotype" w:hAnsi="Palatino Linotype" w:cs="Palatino Linotype"/>
          <w:color w:val="000000"/>
        </w:rPr>
        <w:t xml:space="preserve">del </w:t>
      </w:r>
      <w:r w:rsidRPr="00DE1A3C">
        <w:rPr>
          <w:rFonts w:ascii="Palatino Linotype" w:eastAsia="Palatino Linotype" w:hAnsi="Palatino Linotype" w:cs="Palatino Linotype"/>
          <w:b/>
          <w:bCs/>
          <w:color w:val="000000"/>
        </w:rPr>
        <w:t>SUJETO OBLIGADO</w:t>
      </w:r>
      <w:r w:rsidRPr="00DE1A3C">
        <w:rPr>
          <w:rFonts w:ascii="Palatino Linotype" w:eastAsia="Palatino Linotype" w:hAnsi="Palatino Linotype" w:cs="Palatino Linotype"/>
          <w:color w:val="000000"/>
        </w:rPr>
        <w:t xml:space="preserve">, </w:t>
      </w:r>
      <w:r w:rsidRPr="00DE1A3C">
        <w:rPr>
          <w:rFonts w:ascii="Palatino Linotype" w:eastAsia="Palatino Linotype" w:hAnsi="Palatino Linotype" w:cs="Palatino Linotype"/>
          <w:b/>
          <w:bCs/>
          <w:color w:val="000000"/>
        </w:rPr>
        <w:t>EL RECURRENTE</w:t>
      </w:r>
      <w:r w:rsidRPr="00DE1A3C">
        <w:rPr>
          <w:rFonts w:ascii="Palatino Linotype" w:eastAsia="Palatino Linotype" w:hAnsi="Palatino Linotype" w:cs="Palatino Linotype"/>
          <w:color w:val="000000"/>
        </w:rPr>
        <w:t xml:space="preserve"> interpuso los recursos de Revisión el </w:t>
      </w:r>
      <w:r w:rsidRPr="00DE1A3C">
        <w:rPr>
          <w:rFonts w:ascii="Palatino Linotype" w:eastAsia="Palatino Linotype" w:hAnsi="Palatino Linotype" w:cs="Palatino Linotype"/>
          <w:b/>
          <w:bCs/>
          <w:color w:val="000000"/>
        </w:rPr>
        <w:t xml:space="preserve">cuatro de febrero de dos mil veintiséis, </w:t>
      </w:r>
      <w:r w:rsidRPr="00DE1A3C">
        <w:rPr>
          <w:rFonts w:ascii="Palatino Linotype" w:eastAsia="Palatino Linotype" w:hAnsi="Palatino Linotype" w:cs="Palatino Linotype"/>
          <w:color w:val="000000"/>
        </w:rPr>
        <w:t xml:space="preserve">registrados en el </w:t>
      </w:r>
      <w:r w:rsidRPr="00DE1A3C">
        <w:rPr>
          <w:rFonts w:ascii="Palatino Linotype" w:eastAsia="Palatino Linotype" w:hAnsi="Palatino Linotype" w:cs="Palatino Linotype"/>
          <w:b/>
          <w:bCs/>
          <w:color w:val="000000"/>
        </w:rPr>
        <w:t xml:space="preserve">SAIMEX </w:t>
      </w:r>
      <w:r w:rsidRPr="00DE1A3C">
        <w:rPr>
          <w:rFonts w:ascii="Palatino Linotype" w:eastAsia="Palatino Linotype" w:hAnsi="Palatino Linotype" w:cs="Palatino Linotype"/>
          <w:color w:val="000000"/>
        </w:rPr>
        <w:t xml:space="preserve">con números de expediente </w:t>
      </w:r>
      <w:r w:rsidRPr="00DE1A3C">
        <w:rPr>
          <w:rFonts w:ascii="Palatino Linotype" w:eastAsia="Palatino Linotype" w:hAnsi="Palatino Linotype" w:cs="Palatino Linotype"/>
          <w:b/>
          <w:bCs/>
          <w:color w:val="000000"/>
        </w:rPr>
        <w:t xml:space="preserve">01353/INFOEM/IP/RR/2026 y 01358/INFOEM/IP/RR/2026, </w:t>
      </w:r>
      <w:r w:rsidRPr="00DE1A3C">
        <w:rPr>
          <w:rFonts w:ascii="Palatino Linotype" w:eastAsia="Palatino Linotype" w:hAnsi="Palatino Linotype" w:cs="Palatino Linotype"/>
          <w:color w:val="000000"/>
        </w:rPr>
        <w:t xml:space="preserve">en contra de las respuestas emitidas por el </w:t>
      </w:r>
      <w:r w:rsidRPr="00DE1A3C">
        <w:rPr>
          <w:rFonts w:ascii="Palatino Linotype" w:eastAsia="Palatino Linotype" w:hAnsi="Palatino Linotype" w:cs="Palatino Linotype"/>
          <w:b/>
          <w:bCs/>
          <w:color w:val="000000"/>
        </w:rPr>
        <w:t>SUJETO OBLIGADO</w:t>
      </w:r>
      <w:r w:rsidRPr="00DE1A3C">
        <w:rPr>
          <w:rFonts w:ascii="Palatino Linotype" w:eastAsia="Palatino Linotype" w:hAnsi="Palatino Linotype" w:cs="Palatino Linotype"/>
          <w:color w:val="000000"/>
        </w:rPr>
        <w:t>, señalando las siguientes razones o motivos de inconformidad en ambos recursos de revisión:</w:t>
      </w:r>
    </w:p>
    <w:p w:rsidR="005E77CD" w:rsidRPr="00DE1A3C" w:rsidRDefault="005E77CD">
      <w:pPr>
        <w:spacing w:line="360" w:lineRule="auto"/>
        <w:jc w:val="both"/>
        <w:rPr>
          <w:rFonts w:ascii="Palatino Linotype" w:eastAsia="Palatino Linotype" w:hAnsi="Palatino Linotype" w:cs="Palatino Linotype"/>
        </w:rPr>
      </w:pPr>
    </w:p>
    <w:p w:rsidR="005E77CD" w:rsidRPr="00DE1A3C" w:rsidRDefault="00EF0BFD">
      <w:pPr>
        <w:spacing w:line="360" w:lineRule="auto"/>
        <w:jc w:val="both"/>
        <w:rPr>
          <w:rFonts w:ascii="Palatino Linotype" w:eastAsia="Palatino Linotype" w:hAnsi="Palatino Linotype" w:cs="Palatino Linotype"/>
          <w:b/>
          <w:bCs/>
        </w:rPr>
      </w:pPr>
      <w:r w:rsidRPr="00DE1A3C">
        <w:rPr>
          <w:rFonts w:ascii="Palatino Linotype" w:eastAsia="Palatino Linotype" w:hAnsi="Palatino Linotype" w:cs="Palatino Linotype"/>
          <w:b/>
          <w:bCs/>
        </w:rPr>
        <w:t>1353/INFOEM/IP/RR/2026(</w:t>
      </w:r>
      <w:r w:rsidRPr="00DE1A3C">
        <w:rPr>
          <w:rFonts w:ascii="Palatino Linotype" w:eastAsia="Palatino Linotype" w:hAnsi="Palatino Linotype" w:cs="Palatino Linotype"/>
          <w:i/>
          <w:iCs/>
        </w:rPr>
        <w:t>00085/TOLUCA/IP/2026</w:t>
      </w:r>
      <w:r w:rsidRPr="00DE1A3C">
        <w:rPr>
          <w:rFonts w:ascii="Palatino Linotype" w:eastAsia="Palatino Linotype" w:hAnsi="Palatino Linotype" w:cs="Palatino Linotype"/>
          <w:b/>
          <w:bCs/>
        </w:rPr>
        <w:t>):</w:t>
      </w:r>
    </w:p>
    <w:p w:rsidR="005E77CD" w:rsidRPr="00DE1A3C" w:rsidRDefault="00EF0BFD">
      <w:pPr>
        <w:numPr>
          <w:ilvl w:val="0"/>
          <w:numId w:val="13"/>
        </w:numPr>
        <w:pBdr>
          <w:top w:val="nil"/>
          <w:left w:val="nil"/>
          <w:bottom w:val="nil"/>
          <w:right w:val="nil"/>
          <w:between w:val="nil"/>
        </w:pBdr>
        <w:spacing w:line="276" w:lineRule="auto"/>
        <w:jc w:val="both"/>
        <w:rPr>
          <w:rFonts w:ascii="Palatino Linotype" w:eastAsia="Palatino Linotype" w:hAnsi="Palatino Linotype" w:cs="Palatino Linotype"/>
          <w:b/>
          <w:bCs/>
          <w:i/>
          <w:iCs/>
          <w:color w:val="000000"/>
        </w:rPr>
      </w:pPr>
      <w:bookmarkStart w:id="3" w:name="_heading=h.5kg40p14o6xs" w:colFirst="0" w:colLast="0"/>
      <w:bookmarkEnd w:id="3"/>
      <w:r w:rsidRPr="00DE1A3C">
        <w:rPr>
          <w:rFonts w:ascii="Palatino Linotype" w:eastAsia="Palatino Linotype" w:hAnsi="Palatino Linotype" w:cs="Palatino Linotype"/>
          <w:b/>
          <w:bCs/>
          <w:color w:val="000000"/>
        </w:rPr>
        <w:t>ACTO IMPUGNADO</w:t>
      </w:r>
      <w:r w:rsidRPr="00DE1A3C">
        <w:rPr>
          <w:rFonts w:ascii="Palatino Linotype" w:eastAsia="Palatino Linotype" w:hAnsi="Palatino Linotype" w:cs="Palatino Linotype"/>
          <w:color w:val="000000"/>
        </w:rPr>
        <w:t xml:space="preserve">: </w:t>
      </w:r>
      <w:r w:rsidRPr="00DE1A3C">
        <w:rPr>
          <w:rFonts w:ascii="Palatino Linotype" w:eastAsia="Palatino Linotype" w:hAnsi="Palatino Linotype" w:cs="Palatino Linotype"/>
          <w:b/>
          <w:bCs/>
          <w:i/>
          <w:iCs/>
          <w:color w:val="000000"/>
        </w:rPr>
        <w:t>“</w:t>
      </w:r>
      <w:r w:rsidRPr="00DE1A3C">
        <w:rPr>
          <w:rFonts w:ascii="Palatino Linotype" w:eastAsia="Palatino Linotype" w:hAnsi="Palatino Linotype" w:cs="Palatino Linotype"/>
          <w:i/>
          <w:iCs/>
          <w:color w:val="000000"/>
        </w:rPr>
        <w:t>El sujeto obligado incumplió con su obligación de garantizar el derecho de acceso a la información, no entregó la información solicitada no dan respuesta , dicha omisión vulnera lo dispuesto en el artículo 6° de la Carta Magna la Ley de Transparencia y Acceso a la Información Pública del Estado de México y Municipios. y su calendario marca que es el día 16 para interponer mi recurso pero es de fecha 12 de enero la solicitud siendo el día 1 de 15 para hacer la interposición de mi recurso</w:t>
      </w:r>
      <w:r w:rsidRPr="00DE1A3C">
        <w:rPr>
          <w:rFonts w:ascii="Palatino Linotype" w:eastAsia="Palatino Linotype" w:hAnsi="Palatino Linotype" w:cs="Palatino Linotype"/>
          <w:b/>
          <w:bCs/>
          <w:i/>
          <w:iCs/>
          <w:color w:val="000000"/>
        </w:rPr>
        <w:t>”(Sic)</w:t>
      </w:r>
    </w:p>
    <w:p w:rsidR="005E77CD" w:rsidRPr="00DE1A3C" w:rsidRDefault="005E77CD">
      <w:pPr>
        <w:spacing w:line="276" w:lineRule="auto"/>
        <w:ind w:left="142"/>
        <w:jc w:val="both"/>
        <w:rPr>
          <w:rFonts w:ascii="Palatino Linotype" w:eastAsia="Palatino Linotype" w:hAnsi="Palatino Linotype" w:cs="Palatino Linotype"/>
          <w:b/>
          <w:bCs/>
          <w:i/>
          <w:iCs/>
          <w:color w:val="000000"/>
        </w:rPr>
      </w:pPr>
    </w:p>
    <w:p w:rsidR="005E77CD" w:rsidRPr="00DE1A3C" w:rsidRDefault="00EF0BFD">
      <w:pPr>
        <w:numPr>
          <w:ilvl w:val="0"/>
          <w:numId w:val="13"/>
        </w:numPr>
        <w:pBdr>
          <w:top w:val="nil"/>
          <w:left w:val="nil"/>
          <w:bottom w:val="nil"/>
          <w:right w:val="nil"/>
          <w:between w:val="nil"/>
        </w:pBdr>
        <w:spacing w:line="276" w:lineRule="auto"/>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b/>
          <w:bCs/>
          <w:color w:val="000000"/>
        </w:rPr>
        <w:t>RAZONES O MOTIVOS DE INCONFORMIDAD</w:t>
      </w:r>
      <w:r w:rsidRPr="00DE1A3C">
        <w:rPr>
          <w:rFonts w:ascii="Palatino Linotype" w:eastAsia="Palatino Linotype" w:hAnsi="Palatino Linotype" w:cs="Palatino Linotype"/>
          <w:color w:val="000000"/>
        </w:rPr>
        <w:t>:</w:t>
      </w:r>
      <w:r w:rsidRPr="00DE1A3C">
        <w:rPr>
          <w:rFonts w:ascii="Palatino Linotype" w:eastAsia="Palatino Linotype" w:hAnsi="Palatino Linotype" w:cs="Palatino Linotype"/>
          <w:b/>
          <w:bCs/>
          <w:color w:val="000000"/>
        </w:rPr>
        <w:t xml:space="preserve"> </w:t>
      </w:r>
      <w:r w:rsidRPr="00DE1A3C">
        <w:rPr>
          <w:rFonts w:ascii="Palatino Linotype" w:eastAsia="Palatino Linotype" w:hAnsi="Palatino Linotype" w:cs="Palatino Linotype"/>
          <w:i/>
          <w:iCs/>
          <w:color w:val="000000"/>
        </w:rPr>
        <w:t xml:space="preserve">“El sujeto obligado incumplió con su obligación de garantizar el derecho de acceso a la información, no entregó la información </w:t>
      </w:r>
      <w:r w:rsidRPr="00DE1A3C">
        <w:rPr>
          <w:rFonts w:ascii="Palatino Linotype" w:eastAsia="Palatino Linotype" w:hAnsi="Palatino Linotype" w:cs="Palatino Linotype"/>
          <w:i/>
          <w:iCs/>
          <w:color w:val="000000"/>
        </w:rPr>
        <w:lastRenderedPageBreak/>
        <w:t>solicitada no dan respuesta , dicha omisión vulnera lo dispuesto en el artículo 6° de la Carta Magna la Ley de Transparencia y Acceso a la Información Pública del Estado de México y Municipios. y su calendario marca que es el día 16 para interponer mi recurso pero es de fecha 12 de enero la solicitud siendo el día 1 de 15 para hacer la interposición de mi recurso”(Sic)</w:t>
      </w:r>
    </w:p>
    <w:p w:rsidR="005E77CD" w:rsidRPr="00DE1A3C" w:rsidRDefault="005E77CD">
      <w:pPr>
        <w:spacing w:line="360" w:lineRule="auto"/>
        <w:ind w:left="425"/>
        <w:jc w:val="both"/>
        <w:rPr>
          <w:rFonts w:ascii="Palatino Linotype" w:eastAsia="Palatino Linotype" w:hAnsi="Palatino Linotype" w:cs="Palatino Linotype"/>
          <w:b/>
          <w:bCs/>
          <w:i/>
          <w:iCs/>
          <w:color w:val="000000"/>
        </w:rPr>
      </w:pPr>
    </w:p>
    <w:p w:rsidR="005E77CD" w:rsidRPr="00DE1A3C" w:rsidRDefault="00EF0BFD">
      <w:pPr>
        <w:spacing w:line="360" w:lineRule="auto"/>
        <w:jc w:val="both"/>
        <w:rPr>
          <w:rFonts w:ascii="Palatino Linotype" w:eastAsia="Palatino Linotype" w:hAnsi="Palatino Linotype" w:cs="Palatino Linotype"/>
          <w:b/>
          <w:bCs/>
        </w:rPr>
      </w:pPr>
      <w:r w:rsidRPr="00DE1A3C">
        <w:rPr>
          <w:rFonts w:ascii="Palatino Linotype" w:eastAsia="Palatino Linotype" w:hAnsi="Palatino Linotype" w:cs="Palatino Linotype"/>
          <w:b/>
          <w:bCs/>
        </w:rPr>
        <w:t xml:space="preserve"> 01358/INFOEM/IP/RR/2026(</w:t>
      </w:r>
      <w:r w:rsidRPr="00DE1A3C">
        <w:rPr>
          <w:rFonts w:ascii="Palatino Linotype" w:eastAsia="Palatino Linotype" w:hAnsi="Palatino Linotype" w:cs="Palatino Linotype"/>
          <w:i/>
          <w:iCs/>
        </w:rPr>
        <w:t>00080/TOLUCA/IP/2026</w:t>
      </w:r>
      <w:r w:rsidRPr="00DE1A3C">
        <w:rPr>
          <w:rFonts w:ascii="Palatino Linotype" w:eastAsia="Palatino Linotype" w:hAnsi="Palatino Linotype" w:cs="Palatino Linotype"/>
          <w:b/>
          <w:bCs/>
        </w:rPr>
        <w:t xml:space="preserve">): </w:t>
      </w:r>
    </w:p>
    <w:p w:rsidR="005E77CD" w:rsidRPr="00DE1A3C" w:rsidRDefault="00EF0BFD">
      <w:pPr>
        <w:numPr>
          <w:ilvl w:val="0"/>
          <w:numId w:val="13"/>
        </w:numPr>
        <w:pBdr>
          <w:top w:val="nil"/>
          <w:left w:val="nil"/>
          <w:bottom w:val="nil"/>
          <w:right w:val="nil"/>
          <w:between w:val="nil"/>
        </w:pBdr>
        <w:spacing w:line="276" w:lineRule="auto"/>
        <w:jc w:val="both"/>
        <w:rPr>
          <w:rFonts w:ascii="Palatino Linotype" w:eastAsia="Palatino Linotype" w:hAnsi="Palatino Linotype" w:cs="Palatino Linotype"/>
          <w:b/>
          <w:bCs/>
          <w:i/>
          <w:iCs/>
          <w:color w:val="000000"/>
        </w:rPr>
      </w:pPr>
      <w:r w:rsidRPr="00DE1A3C">
        <w:rPr>
          <w:rFonts w:ascii="Palatino Linotype" w:eastAsia="Palatino Linotype" w:hAnsi="Palatino Linotype" w:cs="Palatino Linotype"/>
          <w:b/>
          <w:bCs/>
          <w:color w:val="000000"/>
        </w:rPr>
        <w:t>ACTO IMPUGNADO</w:t>
      </w:r>
      <w:r w:rsidRPr="00DE1A3C">
        <w:rPr>
          <w:rFonts w:ascii="Palatino Linotype" w:eastAsia="Palatino Linotype" w:hAnsi="Palatino Linotype" w:cs="Palatino Linotype"/>
          <w:color w:val="000000"/>
        </w:rPr>
        <w:t xml:space="preserve">: </w:t>
      </w:r>
      <w:r w:rsidRPr="00DE1A3C">
        <w:rPr>
          <w:rFonts w:ascii="Palatino Linotype" w:eastAsia="Palatino Linotype" w:hAnsi="Palatino Linotype" w:cs="Palatino Linotype"/>
          <w:b/>
          <w:bCs/>
          <w:i/>
          <w:iCs/>
          <w:color w:val="000000"/>
        </w:rPr>
        <w:t>“</w:t>
      </w:r>
      <w:r w:rsidRPr="00DE1A3C">
        <w:rPr>
          <w:rFonts w:ascii="Palatino Linotype" w:eastAsia="Palatino Linotype" w:hAnsi="Palatino Linotype" w:cs="Palatino Linotype"/>
          <w:i/>
          <w:iCs/>
          <w:color w:val="000000"/>
        </w:rPr>
        <w:t>El sujeto obligado incumplió con su obligación de garantizar el derecho de acceso a la información, no entregó la información solicitada no dan respuesta , dicha omisión vulnera lo dispuesto en el artículo 6° de la Carta Magna la Ley de Transparencia y Acceso a la Información Pública del Estado de México y Municipios. y su calendario marca que es el día 16 para interponer mi recurso pero es de fecha 12 de enero la solicitud siendo el día 1 de 15 para hacer la interposición de mi recurso</w:t>
      </w:r>
      <w:r w:rsidRPr="00DE1A3C">
        <w:rPr>
          <w:rFonts w:ascii="Palatino Linotype" w:eastAsia="Palatino Linotype" w:hAnsi="Palatino Linotype" w:cs="Palatino Linotype"/>
          <w:b/>
          <w:bCs/>
          <w:i/>
          <w:iCs/>
          <w:color w:val="000000"/>
        </w:rPr>
        <w:t>”(Sic)</w:t>
      </w:r>
    </w:p>
    <w:p w:rsidR="005E77CD" w:rsidRPr="00DE1A3C" w:rsidRDefault="005E77CD">
      <w:pPr>
        <w:spacing w:line="276" w:lineRule="auto"/>
        <w:ind w:left="142"/>
        <w:jc w:val="both"/>
        <w:rPr>
          <w:rFonts w:ascii="Palatino Linotype" w:eastAsia="Palatino Linotype" w:hAnsi="Palatino Linotype" w:cs="Palatino Linotype"/>
          <w:b/>
          <w:bCs/>
          <w:i/>
          <w:iCs/>
          <w:color w:val="000000"/>
        </w:rPr>
      </w:pPr>
    </w:p>
    <w:p w:rsidR="005E77CD" w:rsidRPr="00DE1A3C" w:rsidRDefault="00EF0BFD">
      <w:pPr>
        <w:numPr>
          <w:ilvl w:val="0"/>
          <w:numId w:val="13"/>
        </w:numPr>
        <w:pBdr>
          <w:top w:val="nil"/>
          <w:left w:val="nil"/>
          <w:bottom w:val="nil"/>
          <w:right w:val="nil"/>
          <w:between w:val="nil"/>
        </w:pBdr>
        <w:spacing w:line="276" w:lineRule="auto"/>
        <w:jc w:val="both"/>
        <w:rPr>
          <w:rFonts w:ascii="Palatino Linotype" w:eastAsia="Palatino Linotype" w:hAnsi="Palatino Linotype" w:cs="Palatino Linotype"/>
          <w:i/>
          <w:iCs/>
          <w:color w:val="000000"/>
        </w:rPr>
      </w:pPr>
      <w:bookmarkStart w:id="4" w:name="_heading=h.k5l0lbz0opdk" w:colFirst="0" w:colLast="0"/>
      <w:bookmarkEnd w:id="4"/>
      <w:r w:rsidRPr="00DE1A3C">
        <w:rPr>
          <w:rFonts w:ascii="Palatino Linotype" w:eastAsia="Palatino Linotype" w:hAnsi="Palatino Linotype" w:cs="Palatino Linotype"/>
          <w:b/>
          <w:bCs/>
          <w:color w:val="000000"/>
        </w:rPr>
        <w:t>RAZONES O MOTIVOS DE INCONFORMIDAD</w:t>
      </w:r>
      <w:r w:rsidRPr="00DE1A3C">
        <w:rPr>
          <w:rFonts w:ascii="Palatino Linotype" w:eastAsia="Palatino Linotype" w:hAnsi="Palatino Linotype" w:cs="Palatino Linotype"/>
          <w:color w:val="000000"/>
        </w:rPr>
        <w:t xml:space="preserve">: </w:t>
      </w:r>
      <w:r w:rsidRPr="00DE1A3C">
        <w:rPr>
          <w:rFonts w:ascii="Palatino Linotype" w:eastAsia="Palatino Linotype" w:hAnsi="Palatino Linotype" w:cs="Palatino Linotype"/>
          <w:b/>
          <w:bCs/>
          <w:color w:val="000000"/>
        </w:rPr>
        <w:t xml:space="preserve"> </w:t>
      </w:r>
      <w:r w:rsidRPr="00DE1A3C">
        <w:rPr>
          <w:rFonts w:ascii="Palatino Linotype" w:eastAsia="Palatino Linotype" w:hAnsi="Palatino Linotype" w:cs="Palatino Linotype"/>
          <w:i/>
          <w:iCs/>
          <w:color w:val="000000"/>
        </w:rPr>
        <w:t>“El sujeto obligado incumplió con su obligación de garantizar el derecho de acceso a la información, no entregó la información solicitada no dan respuesta , dicha omisión vulnera lo dispuesto en el artículo 6° de la Carta Magna la Ley de Transparencia y Acceso a la Información Pública del Estado de México y Municipios. y su calendario marca que es el día 16 para interponer mi recurso pero es de fecha 12 de enero la solicitud siendo el día 1 de 15 para hacer la interposición de mi recurso”(Sic)</w:t>
      </w:r>
    </w:p>
    <w:p w:rsidR="005E77CD" w:rsidRPr="00DE1A3C" w:rsidRDefault="005E77CD" w:rsidP="00DE1A3C">
      <w:pPr>
        <w:pBdr>
          <w:top w:val="nil"/>
          <w:left w:val="nil"/>
          <w:bottom w:val="nil"/>
          <w:right w:val="nil"/>
          <w:between w:val="nil"/>
        </w:pBdr>
        <w:spacing w:line="360" w:lineRule="auto"/>
        <w:ind w:right="-141"/>
        <w:jc w:val="both"/>
        <w:rPr>
          <w:rFonts w:ascii="Palatino Linotype" w:eastAsia="Palatino Linotype" w:hAnsi="Palatino Linotype" w:cs="Palatino Linotype"/>
          <w:i/>
          <w:iCs/>
          <w:color w:val="000000"/>
        </w:rPr>
      </w:pPr>
    </w:p>
    <w:p w:rsidR="005E77CD" w:rsidRPr="00DE1A3C" w:rsidRDefault="00EF0BFD">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color w:val="000000"/>
        </w:rPr>
      </w:pPr>
      <w:r w:rsidRPr="00DE1A3C">
        <w:rPr>
          <w:rFonts w:ascii="Palatino Linotype" w:eastAsia="Palatino Linotype" w:hAnsi="Palatino Linotype" w:cs="Palatino Linotype"/>
          <w:color w:val="000000"/>
        </w:rPr>
        <w:t xml:space="preserve">La Comisionada Ponente con fundamento en lo dispuesto por el artículo 185 fracción II de la ley de la materia, a través de acuerdos de admisión </w:t>
      </w:r>
      <w:r w:rsidRPr="00DE1A3C">
        <w:rPr>
          <w:rFonts w:ascii="Palatino Linotype" w:eastAsia="Palatino Linotype" w:hAnsi="Palatino Linotype" w:cs="Palatino Linotype"/>
        </w:rPr>
        <w:t>del</w:t>
      </w:r>
      <w:r w:rsidRPr="00DE1A3C">
        <w:rPr>
          <w:rFonts w:ascii="Palatino Linotype" w:eastAsia="Palatino Linotype" w:hAnsi="Palatino Linotype" w:cs="Palatino Linotype"/>
          <w:color w:val="000000"/>
        </w:rPr>
        <w:t xml:space="preserve"> </w:t>
      </w:r>
      <w:r w:rsidRPr="00DE1A3C">
        <w:rPr>
          <w:rFonts w:ascii="Palatino Linotype" w:eastAsia="Palatino Linotype" w:hAnsi="Palatino Linotype" w:cs="Palatino Linotype"/>
          <w:b/>
          <w:bCs/>
          <w:color w:val="000000"/>
        </w:rPr>
        <w:t>cinco de febrero de dos mil veintiséis</w:t>
      </w:r>
      <w:r w:rsidRPr="00DE1A3C">
        <w:rPr>
          <w:rFonts w:ascii="Palatino Linotype" w:eastAsia="Palatino Linotype" w:hAnsi="Palatino Linotype" w:cs="Palatino Linotype"/>
          <w:color w:val="000000"/>
        </w:rPr>
        <w:t xml:space="preserve">, puso a disposición de las partes el expediente electrónico vía </w:t>
      </w:r>
      <w:r w:rsidRPr="00DE1A3C">
        <w:rPr>
          <w:rFonts w:ascii="Palatino Linotype" w:eastAsia="Palatino Linotype" w:hAnsi="Palatino Linotype" w:cs="Palatino Linotype"/>
          <w:b/>
          <w:bCs/>
          <w:color w:val="000000"/>
        </w:rPr>
        <w:t xml:space="preserve">SAIMEX </w:t>
      </w:r>
      <w:r w:rsidRPr="00DE1A3C">
        <w:rPr>
          <w:rFonts w:ascii="Palatino Linotype" w:eastAsia="Palatino Linotype" w:hAnsi="Palatino Linotype" w:cs="Palatino Linotype"/>
          <w:color w:val="000000"/>
        </w:rPr>
        <w:t xml:space="preserve">a efecto de que en un plazo máximo de siete días </w:t>
      </w:r>
      <w:r w:rsidRPr="00DE1A3C">
        <w:rPr>
          <w:rFonts w:ascii="Palatino Linotype" w:eastAsia="Palatino Linotype" w:hAnsi="Palatino Linotype" w:cs="Palatino Linotype"/>
        </w:rPr>
        <w:t>manifestara</w:t>
      </w:r>
      <w:r w:rsidRPr="00DE1A3C">
        <w:rPr>
          <w:rFonts w:ascii="Palatino Linotype" w:eastAsia="Palatino Linotype" w:hAnsi="Palatino Linotype" w:cs="Palatino Linotype"/>
          <w:color w:val="000000"/>
        </w:rPr>
        <w:t xml:space="preserve"> lo que a su derecho conviniera, </w:t>
      </w:r>
      <w:r w:rsidRPr="00DE1A3C">
        <w:rPr>
          <w:rFonts w:ascii="Palatino Linotype" w:eastAsia="Palatino Linotype" w:hAnsi="Palatino Linotype" w:cs="Palatino Linotype"/>
        </w:rPr>
        <w:t>ofreciera</w:t>
      </w:r>
      <w:r w:rsidRPr="00DE1A3C">
        <w:rPr>
          <w:rFonts w:ascii="Palatino Linotype" w:eastAsia="Palatino Linotype" w:hAnsi="Palatino Linotype" w:cs="Palatino Linotype"/>
          <w:color w:val="000000"/>
        </w:rPr>
        <w:t xml:space="preserve"> pruebas y alegatos según corresponda a los casos concretos, y el </w:t>
      </w:r>
      <w:r w:rsidRPr="00DE1A3C">
        <w:rPr>
          <w:rFonts w:ascii="Palatino Linotype" w:eastAsia="Palatino Linotype" w:hAnsi="Palatino Linotype" w:cs="Palatino Linotype"/>
          <w:b/>
          <w:bCs/>
          <w:color w:val="000000"/>
        </w:rPr>
        <w:t>SUJETO OBLIGADO</w:t>
      </w:r>
      <w:r w:rsidRPr="00DE1A3C">
        <w:rPr>
          <w:rFonts w:ascii="Palatino Linotype" w:eastAsia="Palatino Linotype" w:hAnsi="Palatino Linotype" w:cs="Palatino Linotype"/>
          <w:color w:val="000000"/>
        </w:rPr>
        <w:t xml:space="preserve"> presentará el Informe Justificado procedente.</w:t>
      </w:r>
    </w:p>
    <w:p w:rsidR="005E77CD" w:rsidRPr="00DE1A3C" w:rsidRDefault="005E77CD">
      <w:pPr>
        <w:rPr>
          <w:rFonts w:ascii="Palatino Linotype" w:eastAsia="Palatino Linotype" w:hAnsi="Palatino Linotype" w:cs="Palatino Linotype"/>
        </w:rPr>
      </w:pPr>
    </w:p>
    <w:p w:rsidR="005E77CD" w:rsidRPr="00DE1A3C" w:rsidRDefault="00EF0BFD">
      <w:pPr>
        <w:numPr>
          <w:ilvl w:val="0"/>
          <w:numId w:val="7"/>
        </w:numPr>
        <w:spacing w:line="360" w:lineRule="auto"/>
        <w:jc w:val="both"/>
        <w:rPr>
          <w:rFonts w:ascii="Palatino Linotype" w:eastAsia="Palatino Linotype" w:hAnsi="Palatino Linotype" w:cs="Palatino Linotype"/>
          <w:b/>
          <w:bCs/>
        </w:rPr>
      </w:pPr>
      <w:bookmarkStart w:id="5" w:name="_heading=h.2et92p0" w:colFirst="0" w:colLast="0"/>
      <w:bookmarkEnd w:id="5"/>
      <w:r w:rsidRPr="00DE1A3C">
        <w:rPr>
          <w:rFonts w:ascii="Palatino Linotype" w:eastAsia="Palatino Linotype" w:hAnsi="Palatino Linotype" w:cs="Palatino Linotype"/>
        </w:rPr>
        <w:lastRenderedPageBreak/>
        <w:t xml:space="preserve">El </w:t>
      </w:r>
      <w:r w:rsidRPr="00DE1A3C">
        <w:rPr>
          <w:rFonts w:ascii="Palatino Linotype" w:eastAsia="Palatino Linotype" w:hAnsi="Palatino Linotype" w:cs="Palatino Linotype"/>
          <w:b/>
          <w:bCs/>
        </w:rPr>
        <w:t xml:space="preserve">SUJETO OBLIGADO </w:t>
      </w:r>
      <w:r w:rsidRPr="00DE1A3C">
        <w:rPr>
          <w:rFonts w:ascii="Palatino Linotype" w:eastAsia="Palatino Linotype" w:hAnsi="Palatino Linotype" w:cs="Palatino Linotype"/>
        </w:rPr>
        <w:t xml:space="preserve">rindió  informe justificado correspondiente en fecha diecisiete de febrero de la presente anualidad mediante archivos pdf que medularmente contienen lo siguiente: </w:t>
      </w:r>
    </w:p>
    <w:p w:rsidR="005E77CD" w:rsidRPr="00DE1A3C" w:rsidRDefault="005E77CD">
      <w:pPr>
        <w:pBdr>
          <w:top w:val="nil"/>
          <w:left w:val="nil"/>
          <w:bottom w:val="nil"/>
          <w:right w:val="nil"/>
          <w:between w:val="nil"/>
        </w:pBdr>
        <w:ind w:left="720"/>
        <w:rPr>
          <w:rFonts w:ascii="Palatino Linotype" w:eastAsia="Palatino Linotype" w:hAnsi="Palatino Linotype" w:cs="Palatino Linotype"/>
          <w:b/>
          <w:bCs/>
          <w:color w:val="000000"/>
        </w:rPr>
      </w:pPr>
    </w:p>
    <w:p w:rsidR="005E77CD" w:rsidRPr="00DE1A3C" w:rsidRDefault="00EF0BFD">
      <w:pPr>
        <w:ind w:left="1134" w:right="851"/>
        <w:jc w:val="both"/>
        <w:rPr>
          <w:rFonts w:ascii="Palatino Linotype" w:eastAsia="Palatino Linotype" w:hAnsi="Palatino Linotype" w:cs="Palatino Linotype"/>
          <w:i/>
          <w:iCs/>
        </w:rPr>
      </w:pPr>
      <w:r w:rsidRPr="00DE1A3C">
        <w:rPr>
          <w:rFonts w:ascii="Palatino Linotype" w:eastAsia="Palatino Linotype" w:hAnsi="Palatino Linotype" w:cs="Palatino Linotype"/>
          <w:b/>
          <w:bCs/>
        </w:rPr>
        <w:t xml:space="preserve">1353-ANEXOS-2026-INNOV.pdf: </w:t>
      </w:r>
      <w:r w:rsidRPr="00DE1A3C">
        <w:rPr>
          <w:rFonts w:ascii="Palatino Linotype" w:eastAsia="Palatino Linotype" w:hAnsi="Palatino Linotype" w:cs="Palatino Linotype"/>
          <w:i/>
          <w:iCs/>
        </w:rPr>
        <w:t>Refiere que adjunta los oficios solicitados en formato pdf, en versión pública.</w:t>
      </w:r>
    </w:p>
    <w:p w:rsidR="005E77CD" w:rsidRPr="00DE1A3C" w:rsidRDefault="005E77CD">
      <w:pPr>
        <w:ind w:left="1134" w:right="851"/>
        <w:jc w:val="both"/>
        <w:rPr>
          <w:rFonts w:ascii="Palatino Linotype" w:eastAsia="Palatino Linotype" w:hAnsi="Palatino Linotype" w:cs="Palatino Linotype"/>
          <w:b/>
          <w:bCs/>
        </w:rPr>
      </w:pPr>
    </w:p>
    <w:p w:rsidR="005E77CD" w:rsidRPr="00DE1A3C" w:rsidRDefault="00EF0BFD">
      <w:pPr>
        <w:ind w:left="1134" w:right="851"/>
        <w:jc w:val="both"/>
        <w:rPr>
          <w:rFonts w:ascii="Palatino Linotype" w:eastAsia="Palatino Linotype" w:hAnsi="Palatino Linotype" w:cs="Palatino Linotype"/>
          <w:i/>
          <w:iCs/>
        </w:rPr>
      </w:pPr>
      <w:r w:rsidRPr="00DE1A3C">
        <w:rPr>
          <w:rFonts w:ascii="Palatino Linotype" w:eastAsia="Palatino Linotype" w:hAnsi="Palatino Linotype" w:cs="Palatino Linotype"/>
          <w:b/>
          <w:bCs/>
        </w:rPr>
        <w:t xml:space="preserve">1358-ANEXOS-2026-INNOV.pdf: </w:t>
      </w:r>
      <w:r w:rsidRPr="00DE1A3C">
        <w:rPr>
          <w:rFonts w:ascii="Palatino Linotype" w:eastAsia="Palatino Linotype" w:hAnsi="Palatino Linotype" w:cs="Palatino Linotype"/>
          <w:i/>
          <w:iCs/>
        </w:rPr>
        <w:t>Refiere que adjunta los oficios solicitados en formato pdf, en versión pública.</w:t>
      </w:r>
    </w:p>
    <w:p w:rsidR="005E77CD" w:rsidRPr="00DE1A3C" w:rsidRDefault="005E77CD">
      <w:pPr>
        <w:ind w:left="1134" w:right="851"/>
        <w:jc w:val="both"/>
        <w:rPr>
          <w:rFonts w:ascii="Palatino Linotype" w:eastAsia="Palatino Linotype" w:hAnsi="Palatino Linotype" w:cs="Palatino Linotype"/>
          <w:b/>
          <w:bCs/>
        </w:rPr>
      </w:pPr>
    </w:p>
    <w:p w:rsidR="005E77CD" w:rsidRPr="00DE1A3C" w:rsidRDefault="00EF0BFD">
      <w:pPr>
        <w:pBdr>
          <w:top w:val="nil"/>
          <w:left w:val="nil"/>
          <w:bottom w:val="nil"/>
          <w:right w:val="nil"/>
          <w:between w:val="nil"/>
        </w:pBdr>
        <w:ind w:left="1134"/>
        <w:rPr>
          <w:rFonts w:ascii="Palatino Linotype" w:eastAsia="Palatino Linotype" w:hAnsi="Palatino Linotype" w:cs="Palatino Linotype"/>
          <w:i/>
          <w:iCs/>
          <w:color w:val="000000"/>
        </w:rPr>
      </w:pPr>
      <w:r w:rsidRPr="00DE1A3C">
        <w:rPr>
          <w:rFonts w:ascii="Palatino Linotype" w:eastAsia="Palatino Linotype" w:hAnsi="Palatino Linotype" w:cs="Palatino Linotype"/>
          <w:b/>
          <w:bCs/>
          <w:color w:val="000000"/>
        </w:rPr>
        <w:t xml:space="preserve">Ratificación 01358.pdf: </w:t>
      </w:r>
      <w:r w:rsidRPr="00DE1A3C">
        <w:rPr>
          <w:rFonts w:ascii="Palatino Linotype" w:eastAsia="Palatino Linotype" w:hAnsi="Palatino Linotype" w:cs="Palatino Linotype"/>
          <w:i/>
          <w:iCs/>
          <w:color w:val="000000"/>
        </w:rPr>
        <w:t>Ratifica la respuesta inicial para el recurso 01358/INFOEM/IP/RR/2026</w:t>
      </w:r>
    </w:p>
    <w:p w:rsidR="005E77CD" w:rsidRPr="00DE1A3C" w:rsidRDefault="005E77CD">
      <w:pPr>
        <w:ind w:left="720"/>
        <w:rPr>
          <w:rFonts w:ascii="Palatino Linotype" w:eastAsia="Palatino Linotype" w:hAnsi="Palatino Linotype" w:cs="Palatino Linotype"/>
          <w:i/>
          <w:iCs/>
        </w:rPr>
      </w:pPr>
    </w:p>
    <w:p w:rsidR="005E77CD" w:rsidRPr="00DE1A3C" w:rsidRDefault="00EF0BFD">
      <w:pPr>
        <w:numPr>
          <w:ilvl w:val="0"/>
          <w:numId w:val="7"/>
        </w:numPr>
        <w:spacing w:line="360" w:lineRule="auto"/>
        <w:jc w:val="both"/>
        <w:rPr>
          <w:rFonts w:ascii="Palatino Linotype" w:eastAsia="Palatino Linotype" w:hAnsi="Palatino Linotype" w:cs="Palatino Linotype"/>
          <w:b/>
          <w:bCs/>
          <w:color w:val="000000"/>
        </w:rPr>
      </w:pPr>
      <w:r w:rsidRPr="00DE1A3C">
        <w:rPr>
          <w:rFonts w:ascii="Palatino Linotype" w:eastAsia="Palatino Linotype" w:hAnsi="Palatino Linotype" w:cs="Palatino Linotype"/>
        </w:rPr>
        <w:t>Por su parte, la parte</w:t>
      </w:r>
      <w:r w:rsidRPr="00DE1A3C">
        <w:rPr>
          <w:rFonts w:ascii="Palatino Linotype" w:eastAsia="Palatino Linotype" w:hAnsi="Palatino Linotype" w:cs="Palatino Linotype"/>
          <w:b/>
          <w:bCs/>
        </w:rPr>
        <w:t xml:space="preserve"> RECURRENTE </w:t>
      </w:r>
      <w:r w:rsidRPr="00DE1A3C">
        <w:rPr>
          <w:rFonts w:ascii="Palatino Linotype" w:eastAsia="Palatino Linotype" w:hAnsi="Palatino Linotype" w:cs="Palatino Linotype"/>
        </w:rPr>
        <w:t xml:space="preserve">dejó de realizar manifestaciones que a su derecho conviniera y asistiera. </w:t>
      </w:r>
    </w:p>
    <w:p w:rsidR="005E77CD" w:rsidRPr="00DE1A3C" w:rsidRDefault="005E77CD">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p>
    <w:p w:rsidR="005E77CD" w:rsidRPr="00DE1A3C" w:rsidRDefault="00EF0BFD">
      <w:pPr>
        <w:numPr>
          <w:ilvl w:val="0"/>
          <w:numId w:val="7"/>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DE1A3C">
        <w:rPr>
          <w:rFonts w:ascii="Palatino Linotype" w:eastAsia="Palatino Linotype" w:hAnsi="Palatino Linotype" w:cs="Palatino Linotype"/>
          <w:color w:val="000000"/>
        </w:rPr>
        <w:t xml:space="preserve">Finalmente, mediante acuerdo del </w:t>
      </w:r>
      <w:r w:rsidRPr="00DE1A3C">
        <w:rPr>
          <w:rFonts w:ascii="Palatino Linotype" w:eastAsia="Palatino Linotype" w:hAnsi="Palatino Linotype" w:cs="Palatino Linotype"/>
          <w:b/>
          <w:bCs/>
          <w:color w:val="000000"/>
        </w:rPr>
        <w:t>seis de mayo de dos mil veintiséis</w:t>
      </w:r>
      <w:r w:rsidRPr="00DE1A3C">
        <w:rPr>
          <w:rFonts w:ascii="Palatino Linotype" w:eastAsia="Palatino Linotype" w:hAnsi="Palatino Linotype" w:cs="Palatino Linotype"/>
          <w:color w:val="000000"/>
        </w:rPr>
        <w:t>, se decretó el cierre de instrucción, por lo que no habiendo más que hacer constar, y</w:t>
      </w:r>
    </w:p>
    <w:p w:rsidR="005E77CD" w:rsidRPr="00DE1A3C" w:rsidRDefault="005E77CD">
      <w:pPr>
        <w:pBdr>
          <w:top w:val="nil"/>
          <w:left w:val="nil"/>
          <w:bottom w:val="nil"/>
          <w:right w:val="nil"/>
          <w:between w:val="nil"/>
        </w:pBdr>
        <w:spacing w:line="720" w:lineRule="auto"/>
        <w:ind w:left="720"/>
        <w:rPr>
          <w:rFonts w:ascii="Palatino Linotype" w:eastAsia="Palatino Linotype" w:hAnsi="Palatino Linotype" w:cs="Palatino Linotype"/>
          <w:b/>
          <w:bCs/>
          <w:color w:val="000000"/>
        </w:rPr>
      </w:pPr>
    </w:p>
    <w:p w:rsidR="005E77CD" w:rsidRPr="00DE1A3C" w:rsidRDefault="00EF0BFD">
      <w:pPr>
        <w:pStyle w:val="Ttulo1"/>
        <w:tabs>
          <w:tab w:val="left" w:pos="567"/>
        </w:tabs>
        <w:spacing w:before="0" w:line="360" w:lineRule="auto"/>
        <w:jc w:val="center"/>
      </w:pPr>
      <w:bookmarkStart w:id="6" w:name="_heading=h.tyjcwt" w:colFirst="0" w:colLast="0"/>
      <w:bookmarkEnd w:id="6"/>
      <w:r w:rsidRPr="00DE1A3C">
        <w:t>C O N S I D E R A N D O</w:t>
      </w:r>
    </w:p>
    <w:p w:rsidR="005E77CD" w:rsidRPr="00DE1A3C" w:rsidRDefault="005E77CD">
      <w:pPr>
        <w:spacing w:line="360" w:lineRule="auto"/>
        <w:rPr>
          <w:rFonts w:ascii="Palatino Linotype" w:eastAsia="Palatino Linotype" w:hAnsi="Palatino Linotype" w:cs="Palatino Linotype"/>
        </w:rPr>
      </w:pPr>
    </w:p>
    <w:p w:rsidR="005E77CD" w:rsidRPr="00DE1A3C" w:rsidRDefault="00EF0BFD">
      <w:pPr>
        <w:pStyle w:val="Ttulo1"/>
        <w:tabs>
          <w:tab w:val="left" w:pos="567"/>
        </w:tabs>
        <w:spacing w:before="0" w:line="360" w:lineRule="auto"/>
      </w:pPr>
      <w:bookmarkStart w:id="7" w:name="_heading=h.3dy6vkm" w:colFirst="0" w:colLast="0"/>
      <w:bookmarkEnd w:id="7"/>
      <w:r w:rsidRPr="00DE1A3C">
        <w:t>PRIMERO. De la competencia</w:t>
      </w:r>
    </w:p>
    <w:p w:rsidR="005E77CD" w:rsidRPr="00DE1A3C" w:rsidRDefault="00EF0BFD">
      <w:pPr>
        <w:numPr>
          <w:ilvl w:val="0"/>
          <w:numId w:val="7"/>
        </w:num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rPr>
      </w:pPr>
      <w:r w:rsidRPr="00DE1A3C">
        <w:rPr>
          <w:rFonts w:ascii="Palatino Linotype" w:eastAsia="Palatino Linotype" w:hAnsi="Palatino Linotype" w:cs="Palatino Linotype"/>
        </w:rPr>
        <w:t xml:space="preserve"> 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w:t>
      </w:r>
      <w:r w:rsidRPr="00DE1A3C">
        <w:rPr>
          <w:rFonts w:ascii="Palatino Linotype" w:eastAsia="Palatino Linotype" w:hAnsi="Palatino Linotype" w:cs="Palatino Linotype"/>
        </w:rPr>
        <w:lastRenderedPageBreak/>
        <w:t>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rsidR="005E77CD" w:rsidRPr="00DE1A3C" w:rsidRDefault="005E77CD">
      <w:pPr>
        <w:pBdr>
          <w:top w:val="nil"/>
          <w:left w:val="nil"/>
          <w:bottom w:val="nil"/>
          <w:right w:val="nil"/>
          <w:between w:val="nil"/>
        </w:pBdr>
        <w:tabs>
          <w:tab w:val="left" w:pos="426"/>
          <w:tab w:val="left" w:pos="567"/>
        </w:tabs>
        <w:spacing w:line="360" w:lineRule="auto"/>
        <w:jc w:val="both"/>
        <w:rPr>
          <w:rFonts w:ascii="Palatino Linotype" w:eastAsia="Palatino Linotype" w:hAnsi="Palatino Linotype" w:cs="Palatino Linotype"/>
          <w:color w:val="000000"/>
        </w:rPr>
      </w:pPr>
    </w:p>
    <w:p w:rsidR="005E77CD" w:rsidRPr="00DE1A3C" w:rsidRDefault="00EF0BFD">
      <w:pPr>
        <w:pStyle w:val="Ttulo2"/>
        <w:spacing w:before="0" w:line="360" w:lineRule="auto"/>
      </w:pPr>
      <w:bookmarkStart w:id="8" w:name="_heading=h.1t3h5sf" w:colFirst="0" w:colLast="0"/>
      <w:bookmarkEnd w:id="8"/>
      <w:r w:rsidRPr="00DE1A3C">
        <w:t>SEGUNDO. De la oportunidad y procedencia.</w:t>
      </w:r>
    </w:p>
    <w:p w:rsidR="005E77CD" w:rsidRPr="00DE1A3C" w:rsidRDefault="00EF0BFD">
      <w:pPr>
        <w:numPr>
          <w:ilvl w:val="0"/>
          <w:numId w:val="8"/>
        </w:numPr>
        <w:pBdr>
          <w:top w:val="nil"/>
          <w:left w:val="nil"/>
          <w:bottom w:val="nil"/>
          <w:right w:val="nil"/>
          <w:between w:val="nil"/>
        </w:pBdr>
        <w:spacing w:line="360" w:lineRule="auto"/>
        <w:ind w:left="0" w:right="-141" w:firstLine="0"/>
        <w:jc w:val="both"/>
        <w:rPr>
          <w:rFonts w:ascii="Palatino Linotype" w:eastAsia="Palatino Linotype" w:hAnsi="Palatino Linotype" w:cs="Palatino Linotype"/>
          <w:b/>
          <w:bCs/>
          <w:color w:val="000000"/>
        </w:rPr>
      </w:pPr>
      <w:r w:rsidRPr="00DE1A3C">
        <w:rPr>
          <w:rFonts w:ascii="Palatino Linotype" w:eastAsia="Palatino Linotype" w:hAnsi="Palatino Linotype" w:cs="Palatino Linotype"/>
          <w:color w:val="000000"/>
        </w:rPr>
        <w:t xml:space="preserve"> El artículo 178 de la Ley de Transparencia y Acceso a la Información Pública del Estado de México y Municipios establece que el solicitante podrá interponer, por sí mismo o a través de su representante, de manera directa o por medios electrónicos, recurso de revisión ante el Instituto o ante la Unidad de Transparencia que haya conocido de la solicitud dentro de los quince días hábiles, siguientes a la fecha de la notificación de la respuesta y que ante la falta de respuesta del</w:t>
      </w:r>
      <w:r w:rsidRPr="00DE1A3C">
        <w:rPr>
          <w:rFonts w:ascii="Palatino Linotype" w:eastAsia="Palatino Linotype" w:hAnsi="Palatino Linotype" w:cs="Palatino Linotype"/>
          <w:b/>
          <w:bCs/>
          <w:color w:val="000000"/>
        </w:rPr>
        <w:t xml:space="preserve"> SUJETO OBLIGADO</w:t>
      </w:r>
      <w:r w:rsidRPr="00DE1A3C">
        <w:rPr>
          <w:rFonts w:ascii="Palatino Linotype" w:eastAsia="Palatino Linotype" w:hAnsi="Palatino Linotype" w:cs="Palatino Linotype"/>
          <w:color w:val="000000"/>
        </w:rPr>
        <w:t>, dentro de los plazos establecidos en la Ley de Transparencia Local, a una solicitud de acceso a la información pública, el recurso podrá ser interpuesto en cualquier momento, por lo que la interposición del presente recurso de revisión resulta oportuna.</w:t>
      </w:r>
    </w:p>
    <w:p w:rsidR="005E77CD" w:rsidRPr="00DE1A3C" w:rsidRDefault="005E77C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E77CD" w:rsidRPr="00DE1A3C" w:rsidRDefault="00EF0BFD">
      <w:pPr>
        <w:numPr>
          <w:ilvl w:val="0"/>
          <w:numId w:val="3"/>
        </w:numPr>
        <w:pBdr>
          <w:top w:val="nil"/>
          <w:left w:val="nil"/>
          <w:bottom w:val="nil"/>
          <w:right w:val="nil"/>
          <w:between w:val="nil"/>
        </w:pBdr>
        <w:spacing w:line="360" w:lineRule="auto"/>
        <w:ind w:left="0" w:right="27" w:firstLine="0"/>
        <w:jc w:val="both"/>
        <w:rPr>
          <w:rFonts w:ascii="Palatino Linotype" w:eastAsia="Palatino Linotype" w:hAnsi="Palatino Linotype" w:cs="Palatino Linotype"/>
          <w:color w:val="000000"/>
        </w:rPr>
      </w:pPr>
      <w:r w:rsidRPr="00DE1A3C">
        <w:rPr>
          <w:rFonts w:ascii="Palatino Linotype" w:eastAsia="Palatino Linotype" w:hAnsi="Palatino Linotype" w:cs="Palatino Linotype"/>
          <w:color w:val="000000"/>
        </w:rPr>
        <w:t>Por otro lado, es de suma importancia señalar que la parte recurrente no proporciona un nombre completo o datos de identificación como se advierte en el detalle de seguimiento del SAIMEX, no obstante lo anterior, no proporcionar el nombre completo no es motivo para archivar la solicitud de acceso a la información pública como concluida, conforme a lo previsto en el artículo 155, penúltimo párrafo de la Ley de Transparencia y Acceso a la Información Pública del Estado de México y Municipios que establece lo siguiente:</w:t>
      </w:r>
    </w:p>
    <w:p w:rsidR="005E77CD" w:rsidRPr="00DE1A3C" w:rsidRDefault="005E77CD">
      <w:pPr>
        <w:spacing w:line="360" w:lineRule="auto"/>
        <w:ind w:right="27"/>
        <w:jc w:val="both"/>
        <w:rPr>
          <w:rFonts w:ascii="Palatino Linotype" w:eastAsia="Palatino Linotype" w:hAnsi="Palatino Linotype" w:cs="Palatino Linotype"/>
        </w:rPr>
      </w:pPr>
    </w:p>
    <w:p w:rsidR="005E77CD" w:rsidRPr="00DE1A3C" w:rsidRDefault="00EF0BFD">
      <w:pPr>
        <w:pBdr>
          <w:top w:val="nil"/>
          <w:left w:val="nil"/>
          <w:bottom w:val="nil"/>
          <w:right w:val="nil"/>
          <w:between w:val="nil"/>
        </w:pBdr>
        <w:tabs>
          <w:tab w:val="left" w:pos="7938"/>
        </w:tabs>
        <w:ind w:left="1134" w:right="851"/>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w:t>
      </w:r>
      <w:r w:rsidRPr="00DE1A3C">
        <w:rPr>
          <w:rFonts w:ascii="Palatino Linotype" w:eastAsia="Palatino Linotype" w:hAnsi="Palatino Linotype" w:cs="Palatino Linotype"/>
          <w:b/>
          <w:bCs/>
          <w:i/>
          <w:iCs/>
          <w:color w:val="000000"/>
        </w:rPr>
        <w:t>Las solicitudes anónimas</w:t>
      </w:r>
      <w:r w:rsidRPr="00DE1A3C">
        <w:rPr>
          <w:rFonts w:ascii="Palatino Linotype" w:eastAsia="Palatino Linotype" w:hAnsi="Palatino Linotype" w:cs="Palatino Linotype"/>
          <w:i/>
          <w:iCs/>
          <w:color w:val="000000"/>
        </w:rPr>
        <w:t xml:space="preserve">, con nombre incompleto o seudónimo </w:t>
      </w:r>
      <w:r w:rsidRPr="00DE1A3C">
        <w:rPr>
          <w:rFonts w:ascii="Palatino Linotype" w:eastAsia="Palatino Linotype" w:hAnsi="Palatino Linotype" w:cs="Palatino Linotype"/>
          <w:b/>
          <w:bCs/>
          <w:i/>
          <w:iCs/>
          <w:color w:val="000000"/>
        </w:rPr>
        <w:t xml:space="preserve">serán procedentes para su trámite por parte del sujeto obligado ante quien se </w:t>
      </w:r>
      <w:r w:rsidRPr="00DE1A3C">
        <w:rPr>
          <w:rFonts w:ascii="Palatino Linotype" w:eastAsia="Palatino Linotype" w:hAnsi="Palatino Linotype" w:cs="Palatino Linotype"/>
          <w:b/>
          <w:bCs/>
          <w:i/>
          <w:iCs/>
          <w:color w:val="000000"/>
        </w:rPr>
        <w:lastRenderedPageBreak/>
        <w:t>presente</w:t>
      </w:r>
      <w:r w:rsidRPr="00DE1A3C">
        <w:rPr>
          <w:rFonts w:ascii="Palatino Linotype" w:eastAsia="Palatino Linotype" w:hAnsi="Palatino Linotype" w:cs="Palatino Linotype"/>
          <w:i/>
          <w:iCs/>
          <w:color w:val="000000"/>
        </w:rPr>
        <w:t xml:space="preserve">. No podrá requerirse información adicional con motivo del nombre proporcionado por el solicitante.” </w:t>
      </w:r>
      <w:r w:rsidRPr="00DE1A3C">
        <w:rPr>
          <w:rFonts w:ascii="Palatino Linotype" w:eastAsia="Palatino Linotype" w:hAnsi="Palatino Linotype" w:cs="Palatino Linotype"/>
          <w:color w:val="000000"/>
        </w:rPr>
        <w:t>(Sic)</w:t>
      </w:r>
    </w:p>
    <w:p w:rsidR="005E77CD" w:rsidRPr="00DE1A3C" w:rsidRDefault="005E77CD">
      <w:pPr>
        <w:pBdr>
          <w:top w:val="nil"/>
          <w:left w:val="nil"/>
          <w:bottom w:val="nil"/>
          <w:right w:val="nil"/>
          <w:between w:val="nil"/>
        </w:pBdr>
        <w:spacing w:line="360" w:lineRule="auto"/>
        <w:ind w:right="851"/>
        <w:rPr>
          <w:rFonts w:ascii="Palatino Linotype" w:eastAsia="Palatino Linotype" w:hAnsi="Palatino Linotype" w:cs="Palatino Linotype"/>
          <w:i/>
          <w:iCs/>
          <w:color w:val="000000"/>
        </w:rPr>
      </w:pPr>
    </w:p>
    <w:p w:rsidR="005E77CD" w:rsidRPr="00DE1A3C" w:rsidRDefault="00EF0BFD">
      <w:pPr>
        <w:numPr>
          <w:ilvl w:val="0"/>
          <w:numId w:val="3"/>
        </w:numPr>
        <w:pBdr>
          <w:top w:val="nil"/>
          <w:left w:val="nil"/>
          <w:bottom w:val="nil"/>
          <w:right w:val="nil"/>
          <w:between w:val="nil"/>
        </w:pBdr>
        <w:spacing w:line="360" w:lineRule="auto"/>
        <w:ind w:left="0" w:right="27" w:firstLine="0"/>
        <w:jc w:val="both"/>
        <w:rPr>
          <w:rFonts w:ascii="Palatino Linotype" w:eastAsia="Palatino Linotype" w:hAnsi="Palatino Linotype" w:cs="Palatino Linotype"/>
          <w:color w:val="000000"/>
        </w:rPr>
      </w:pPr>
      <w:r w:rsidRPr="00DE1A3C">
        <w:rPr>
          <w:rFonts w:ascii="Palatino Linotype" w:eastAsia="Palatino Linotype" w:hAnsi="Palatino Linotype" w:cs="Palatino Linotype"/>
          <w:color w:val="000000"/>
        </w:rPr>
        <w:t>Robusteciendo lo anterior se encuentra lo dispuesto en el artículo 6, Apartado A, fracciones III de la Constitución Política de los Estados Unidos Mexicanos que establece:</w:t>
      </w:r>
    </w:p>
    <w:p w:rsidR="005E77CD" w:rsidRPr="00DE1A3C" w:rsidRDefault="005E77CD">
      <w:pPr>
        <w:spacing w:line="360" w:lineRule="auto"/>
        <w:ind w:right="27"/>
        <w:jc w:val="both"/>
        <w:rPr>
          <w:rFonts w:ascii="Palatino Linotype" w:eastAsia="Palatino Linotype" w:hAnsi="Palatino Linotype" w:cs="Palatino Linotype"/>
          <w:i/>
          <w:iCs/>
        </w:rPr>
      </w:pPr>
    </w:p>
    <w:p w:rsidR="005E77CD" w:rsidRPr="00DE1A3C" w:rsidRDefault="00EF0BFD">
      <w:pPr>
        <w:pBdr>
          <w:top w:val="nil"/>
          <w:left w:val="nil"/>
          <w:bottom w:val="nil"/>
          <w:right w:val="nil"/>
          <w:between w:val="nil"/>
        </w:pBdr>
        <w:ind w:left="1134" w:right="851"/>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w:t>
      </w:r>
      <w:r w:rsidRPr="00DE1A3C">
        <w:rPr>
          <w:rFonts w:ascii="Palatino Linotype" w:eastAsia="Palatino Linotype" w:hAnsi="Palatino Linotype" w:cs="Palatino Linotype"/>
          <w:b/>
          <w:bCs/>
          <w:i/>
          <w:iCs/>
          <w:color w:val="000000"/>
        </w:rPr>
        <w:t>Artículo 6.-</w:t>
      </w:r>
      <w:r w:rsidRPr="00DE1A3C">
        <w:rPr>
          <w:rFonts w:ascii="Palatino Linotype" w:eastAsia="Palatino Linotype" w:hAnsi="Palatino Linotype" w:cs="Palatino Linotype"/>
          <w:i/>
          <w:iCs/>
          <w:color w:val="000000"/>
        </w:rPr>
        <w:t xml:space="preserve"> 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rsidR="005E77CD" w:rsidRPr="00DE1A3C" w:rsidRDefault="00EF0BFD">
      <w:pPr>
        <w:pBdr>
          <w:top w:val="nil"/>
          <w:left w:val="nil"/>
          <w:bottom w:val="nil"/>
          <w:right w:val="nil"/>
          <w:between w:val="nil"/>
        </w:pBdr>
        <w:ind w:left="1134" w:right="851"/>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Para efectos de lo dispuesto en el presente artículo se observará lo siguiente:</w:t>
      </w:r>
    </w:p>
    <w:p w:rsidR="005E77CD" w:rsidRPr="00DE1A3C" w:rsidRDefault="00EF0BFD">
      <w:pPr>
        <w:pBdr>
          <w:top w:val="nil"/>
          <w:left w:val="nil"/>
          <w:bottom w:val="nil"/>
          <w:right w:val="nil"/>
          <w:between w:val="nil"/>
        </w:pBdr>
        <w:ind w:left="1134" w:right="851"/>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A. Para el ejercicio del derecho de acceso a la información, la Federación, los Estados y el Distrito Federal, en el ámbito de sus respectivas competencias, se regirán por los siguientes principios y bases:</w:t>
      </w:r>
    </w:p>
    <w:p w:rsidR="005E77CD" w:rsidRPr="00DE1A3C" w:rsidRDefault="00EF0BFD">
      <w:pPr>
        <w:pBdr>
          <w:top w:val="nil"/>
          <w:left w:val="nil"/>
          <w:bottom w:val="nil"/>
          <w:right w:val="nil"/>
          <w:between w:val="nil"/>
        </w:pBdr>
        <w:ind w:left="1134" w:right="851"/>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III. Toda persona, sin necesidad de acreditar interés alguno o justificar su utilización, tendrá acceso gratuito a la información pública, a sus datos personales o a la rectificación de éstos.”</w:t>
      </w:r>
      <w:r w:rsidRPr="00DE1A3C">
        <w:rPr>
          <w:rFonts w:ascii="Palatino Linotype" w:eastAsia="Palatino Linotype" w:hAnsi="Palatino Linotype" w:cs="Palatino Linotype"/>
          <w:color w:val="000000"/>
        </w:rPr>
        <w:t>(Sic)</w:t>
      </w:r>
    </w:p>
    <w:p w:rsidR="005E77CD" w:rsidRPr="00DE1A3C" w:rsidRDefault="005E77CD">
      <w:pPr>
        <w:pBdr>
          <w:top w:val="nil"/>
          <w:left w:val="nil"/>
          <w:bottom w:val="nil"/>
          <w:right w:val="nil"/>
          <w:between w:val="nil"/>
        </w:pBdr>
        <w:spacing w:line="360" w:lineRule="auto"/>
        <w:ind w:right="851"/>
        <w:rPr>
          <w:rFonts w:ascii="Palatino Linotype" w:eastAsia="Palatino Linotype" w:hAnsi="Palatino Linotype" w:cs="Palatino Linotype"/>
          <w:i/>
          <w:iCs/>
          <w:color w:val="000000"/>
        </w:rPr>
      </w:pPr>
    </w:p>
    <w:p w:rsidR="005E77CD" w:rsidRPr="00DE1A3C" w:rsidRDefault="00EF0BFD">
      <w:pPr>
        <w:numPr>
          <w:ilvl w:val="0"/>
          <w:numId w:val="3"/>
        </w:numPr>
        <w:pBdr>
          <w:top w:val="nil"/>
          <w:left w:val="nil"/>
          <w:bottom w:val="nil"/>
          <w:right w:val="nil"/>
          <w:between w:val="nil"/>
        </w:pBdr>
        <w:spacing w:line="360" w:lineRule="auto"/>
        <w:ind w:left="0" w:right="27" w:firstLine="0"/>
        <w:jc w:val="both"/>
        <w:rPr>
          <w:rFonts w:ascii="Palatino Linotype" w:eastAsia="Palatino Linotype" w:hAnsi="Palatino Linotype" w:cs="Palatino Linotype"/>
          <w:color w:val="000000"/>
        </w:rPr>
      </w:pPr>
      <w:r w:rsidRPr="00DE1A3C">
        <w:rPr>
          <w:rFonts w:ascii="Palatino Linotype" w:eastAsia="Palatino Linotype" w:hAnsi="Palatino Linotype" w:cs="Palatino Linotype"/>
          <w:color w:val="000000"/>
        </w:rPr>
        <w:t>Así como el artículo 5 fracción III, párrafo vigésimo noveno, trigésimo y trigésimo primero, de la Constitución Política del Estado Libre y Soberano de México, que determina lo siguiente:</w:t>
      </w:r>
    </w:p>
    <w:p w:rsidR="005E77CD" w:rsidRPr="00DE1A3C" w:rsidRDefault="005E77CD">
      <w:pPr>
        <w:spacing w:line="360" w:lineRule="auto"/>
        <w:ind w:right="27"/>
        <w:jc w:val="both"/>
        <w:rPr>
          <w:rFonts w:ascii="Palatino Linotype" w:eastAsia="Palatino Linotype" w:hAnsi="Palatino Linotype" w:cs="Palatino Linotype"/>
        </w:rPr>
      </w:pPr>
    </w:p>
    <w:p w:rsidR="005E77CD" w:rsidRPr="00DE1A3C" w:rsidRDefault="00EF0BFD">
      <w:pPr>
        <w:pBdr>
          <w:top w:val="nil"/>
          <w:left w:val="nil"/>
          <w:bottom w:val="nil"/>
          <w:right w:val="nil"/>
          <w:between w:val="nil"/>
        </w:pBdr>
        <w:ind w:left="1134" w:right="851"/>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w:t>
      </w:r>
      <w:r w:rsidRPr="00DE1A3C">
        <w:rPr>
          <w:rFonts w:ascii="Palatino Linotype" w:eastAsia="Palatino Linotype" w:hAnsi="Palatino Linotype" w:cs="Palatino Linotype"/>
          <w:b/>
          <w:bCs/>
          <w:i/>
          <w:iCs/>
          <w:color w:val="000000"/>
        </w:rPr>
        <w:t>Artículo 5.-</w:t>
      </w:r>
      <w:r w:rsidRPr="00DE1A3C">
        <w:rPr>
          <w:rFonts w:ascii="Palatino Linotype" w:eastAsia="Palatino Linotype" w:hAnsi="Palatino Linotype" w:cs="Palatino Linotype"/>
          <w:i/>
          <w:iCs/>
          <w:color w:val="000000"/>
        </w:rPr>
        <w:t xml:space="preserve">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establece”.(Sic)</w:t>
      </w:r>
    </w:p>
    <w:p w:rsidR="005E77CD" w:rsidRPr="00DE1A3C" w:rsidRDefault="00EF0BFD">
      <w:pPr>
        <w:ind w:left="1134" w:right="851"/>
        <w:jc w:val="both"/>
        <w:rPr>
          <w:rFonts w:ascii="Palatino Linotype" w:eastAsia="Palatino Linotype" w:hAnsi="Palatino Linotype" w:cs="Palatino Linotype"/>
          <w:i/>
          <w:iCs/>
        </w:rPr>
      </w:pPr>
      <w:r w:rsidRPr="00DE1A3C">
        <w:rPr>
          <w:rFonts w:ascii="Palatino Linotype" w:eastAsia="Palatino Linotype" w:hAnsi="Palatino Linotype" w:cs="Palatino Linotype"/>
          <w:i/>
          <w:iCs/>
        </w:rPr>
        <w:t>…</w:t>
      </w:r>
    </w:p>
    <w:p w:rsidR="005E77CD" w:rsidRPr="00DE1A3C" w:rsidRDefault="00EF0BFD">
      <w:pPr>
        <w:pBdr>
          <w:top w:val="nil"/>
          <w:left w:val="nil"/>
          <w:bottom w:val="nil"/>
          <w:right w:val="nil"/>
          <w:between w:val="nil"/>
        </w:pBdr>
        <w:ind w:left="1134" w:right="851"/>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lastRenderedPageBreak/>
        <w:t>Toda persona en el Estado de México, tiene derecho al libre acceso a la información plural y oportuna, así como a buscar recibir y difundir información e ideas de toda índole por cualquier medio de expresión.</w:t>
      </w:r>
    </w:p>
    <w:p w:rsidR="005E77CD" w:rsidRPr="00DE1A3C" w:rsidRDefault="00EF0BFD">
      <w:pPr>
        <w:ind w:left="1134" w:right="851"/>
        <w:jc w:val="both"/>
        <w:rPr>
          <w:rFonts w:ascii="Palatino Linotype" w:eastAsia="Palatino Linotype" w:hAnsi="Palatino Linotype" w:cs="Palatino Linotype"/>
          <w:i/>
          <w:iCs/>
        </w:rPr>
      </w:pPr>
      <w:r w:rsidRPr="00DE1A3C">
        <w:rPr>
          <w:rFonts w:ascii="Palatino Linotype" w:eastAsia="Palatino Linotype" w:hAnsi="Palatino Linotype" w:cs="Palatino Linotype"/>
          <w:i/>
          <w:iCs/>
        </w:rPr>
        <w:t>...</w:t>
      </w:r>
    </w:p>
    <w:p w:rsidR="005E77CD" w:rsidRPr="00DE1A3C" w:rsidRDefault="00EF0BFD">
      <w:pPr>
        <w:pBdr>
          <w:top w:val="nil"/>
          <w:left w:val="nil"/>
          <w:bottom w:val="nil"/>
          <w:right w:val="nil"/>
          <w:between w:val="nil"/>
        </w:pBdr>
        <w:ind w:left="1134" w:right="851"/>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El derecho a la información será garantizado por el Estado. La ley establecerá las previsiones que permitan asegurar la protección, el respeto y la difusión de este derecho.</w:t>
      </w:r>
    </w:p>
    <w:p w:rsidR="005E77CD" w:rsidRPr="00DE1A3C" w:rsidRDefault="005E77CD">
      <w:pPr>
        <w:pBdr>
          <w:top w:val="nil"/>
          <w:left w:val="nil"/>
          <w:bottom w:val="nil"/>
          <w:right w:val="nil"/>
          <w:between w:val="nil"/>
        </w:pBdr>
        <w:ind w:left="1134" w:right="851"/>
        <w:jc w:val="both"/>
        <w:rPr>
          <w:rFonts w:ascii="Palatino Linotype" w:eastAsia="Palatino Linotype" w:hAnsi="Palatino Linotype" w:cs="Palatino Linotype"/>
          <w:i/>
          <w:iCs/>
          <w:color w:val="000000"/>
        </w:rPr>
      </w:pPr>
    </w:p>
    <w:p w:rsidR="005E77CD" w:rsidRPr="00DE1A3C" w:rsidRDefault="00EF0BFD">
      <w:pPr>
        <w:pBdr>
          <w:top w:val="nil"/>
          <w:left w:val="nil"/>
          <w:bottom w:val="nil"/>
          <w:right w:val="nil"/>
          <w:between w:val="nil"/>
        </w:pBdr>
        <w:ind w:left="1134" w:right="851"/>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Para garantizar el ejercicio del derecho de transparencia, acceso a la información pública y protección de datos personales, los poderes públicos y los organismos autónomos, transparentarán sus acciones, en términos de las disposiciones aplicables, la información será oportuna, clara, veraz y de fácil acceso. Este derecho se regirá por los principios y bases siguientes:</w:t>
      </w:r>
    </w:p>
    <w:p w:rsidR="005E77CD" w:rsidRPr="00DE1A3C" w:rsidRDefault="00EF0BFD">
      <w:pPr>
        <w:pBdr>
          <w:top w:val="nil"/>
          <w:left w:val="nil"/>
          <w:bottom w:val="nil"/>
          <w:right w:val="nil"/>
          <w:between w:val="nil"/>
        </w:pBdr>
        <w:ind w:left="1134" w:right="851"/>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III. Toda persona, sin necesidad de acreditar interés alguno o justificar su utilización, tendrá acceso gratuito a la información pública, a sus datos personales o a la rectificación de éstos;</w:t>
      </w:r>
    </w:p>
    <w:p w:rsidR="005E77CD" w:rsidRPr="00DE1A3C" w:rsidRDefault="00EF0BFD">
      <w:pPr>
        <w:ind w:left="1134" w:right="851"/>
        <w:jc w:val="both"/>
        <w:rPr>
          <w:rFonts w:ascii="Palatino Linotype" w:eastAsia="Palatino Linotype" w:hAnsi="Palatino Linotype" w:cs="Palatino Linotype"/>
          <w:i/>
          <w:iCs/>
        </w:rPr>
      </w:pPr>
      <w:r w:rsidRPr="00DE1A3C">
        <w:rPr>
          <w:rFonts w:ascii="Palatino Linotype" w:eastAsia="Palatino Linotype" w:hAnsi="Palatino Linotype" w:cs="Palatino Linotype"/>
          <w:i/>
          <w:iCs/>
        </w:rPr>
        <w:t>...</w:t>
      </w:r>
    </w:p>
    <w:p w:rsidR="005E77CD" w:rsidRPr="00DE1A3C" w:rsidRDefault="00EF0BFD">
      <w:pPr>
        <w:pBdr>
          <w:top w:val="nil"/>
          <w:left w:val="nil"/>
          <w:bottom w:val="nil"/>
          <w:right w:val="nil"/>
          <w:between w:val="nil"/>
        </w:pBdr>
        <w:ind w:left="1134" w:right="851"/>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VIII.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(Sic)</w:t>
      </w:r>
    </w:p>
    <w:p w:rsidR="005E77CD" w:rsidRPr="00DE1A3C" w:rsidRDefault="005E77CD">
      <w:pPr>
        <w:pBdr>
          <w:top w:val="nil"/>
          <w:left w:val="nil"/>
          <w:bottom w:val="nil"/>
          <w:right w:val="nil"/>
          <w:between w:val="nil"/>
        </w:pBdr>
        <w:spacing w:line="360" w:lineRule="auto"/>
        <w:ind w:right="27"/>
        <w:rPr>
          <w:rFonts w:ascii="Palatino Linotype" w:eastAsia="Palatino Linotype" w:hAnsi="Palatino Linotype" w:cs="Palatino Linotype"/>
          <w:i/>
          <w:iCs/>
          <w:color w:val="000000"/>
        </w:rPr>
      </w:pPr>
    </w:p>
    <w:p w:rsidR="005E77CD" w:rsidRPr="00DE1A3C" w:rsidRDefault="00EF0BFD">
      <w:pPr>
        <w:numPr>
          <w:ilvl w:val="0"/>
          <w:numId w:val="3"/>
        </w:numPr>
        <w:pBdr>
          <w:top w:val="nil"/>
          <w:left w:val="nil"/>
          <w:bottom w:val="nil"/>
          <w:right w:val="nil"/>
          <w:between w:val="nil"/>
        </w:pBdr>
        <w:spacing w:line="360" w:lineRule="auto"/>
        <w:ind w:left="0" w:right="27" w:firstLine="0"/>
        <w:jc w:val="both"/>
        <w:rPr>
          <w:rFonts w:ascii="Palatino Linotype" w:eastAsia="Palatino Linotype" w:hAnsi="Palatino Linotype" w:cs="Palatino Linotype"/>
          <w:color w:val="000000"/>
        </w:rPr>
      </w:pPr>
      <w:r w:rsidRPr="00DE1A3C">
        <w:rPr>
          <w:rFonts w:ascii="Palatino Linotype" w:eastAsia="Palatino Linotype" w:hAnsi="Palatino Linotype" w:cs="Palatino Linotype"/>
          <w:color w:val="000000"/>
        </w:rPr>
        <w:t>Por otra parte, del contenido del artículo 1 de la Constitución Política de los Estados Unidos mexicanos, se destaca lo siguiente:</w:t>
      </w:r>
    </w:p>
    <w:p w:rsidR="005E77CD" w:rsidRPr="00DE1A3C" w:rsidRDefault="005E77CD">
      <w:pPr>
        <w:spacing w:line="360" w:lineRule="auto"/>
        <w:ind w:right="851"/>
        <w:jc w:val="both"/>
        <w:rPr>
          <w:rFonts w:ascii="Palatino Linotype" w:eastAsia="Palatino Linotype" w:hAnsi="Palatino Linotype" w:cs="Palatino Linotype"/>
        </w:rPr>
      </w:pPr>
    </w:p>
    <w:p w:rsidR="005E77CD" w:rsidRPr="00DE1A3C" w:rsidRDefault="00EF0BFD">
      <w:pPr>
        <w:pBdr>
          <w:top w:val="nil"/>
          <w:left w:val="nil"/>
          <w:bottom w:val="nil"/>
          <w:right w:val="nil"/>
          <w:between w:val="nil"/>
        </w:pBdr>
        <w:tabs>
          <w:tab w:val="left" w:pos="7938"/>
        </w:tabs>
        <w:ind w:left="1134" w:right="851"/>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w:t>
      </w:r>
      <w:r w:rsidRPr="00DE1A3C">
        <w:rPr>
          <w:rFonts w:ascii="Palatino Linotype" w:eastAsia="Palatino Linotype" w:hAnsi="Palatino Linotype" w:cs="Palatino Linotype"/>
          <w:b/>
          <w:bCs/>
          <w:i/>
          <w:iCs/>
          <w:color w:val="000000"/>
        </w:rPr>
        <w:t>Artículo 1</w:t>
      </w:r>
      <w:r w:rsidRPr="00DE1A3C">
        <w:rPr>
          <w:rFonts w:ascii="Palatino Linotype" w:eastAsia="Palatino Linotype" w:hAnsi="Palatino Linotype" w:cs="Palatino Linotype"/>
          <w:i/>
          <w:iCs/>
          <w:color w:val="000000"/>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rsidR="005E77CD" w:rsidRPr="00DE1A3C" w:rsidRDefault="00EF0BFD">
      <w:pPr>
        <w:pBdr>
          <w:top w:val="nil"/>
          <w:left w:val="nil"/>
          <w:bottom w:val="nil"/>
          <w:right w:val="nil"/>
          <w:between w:val="nil"/>
        </w:pBdr>
        <w:tabs>
          <w:tab w:val="left" w:pos="7938"/>
        </w:tabs>
        <w:ind w:left="1134" w:right="851"/>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lastRenderedPageBreak/>
        <w:t>Las normas relativas a los derechos humanos se interpretarán de conformidad con esta Constitución y con los tratados internacionales de la materia favoreciendo en todo tiempo a las personas la protección más amplia.</w:t>
      </w:r>
    </w:p>
    <w:p w:rsidR="005E77CD" w:rsidRPr="00DE1A3C" w:rsidRDefault="00EF0BFD">
      <w:pPr>
        <w:pBdr>
          <w:top w:val="nil"/>
          <w:left w:val="nil"/>
          <w:bottom w:val="nil"/>
          <w:right w:val="nil"/>
          <w:between w:val="nil"/>
        </w:pBdr>
        <w:tabs>
          <w:tab w:val="left" w:pos="7938"/>
        </w:tabs>
        <w:ind w:left="1134" w:right="851"/>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Todas las autoridades, en el ámbito de sus competencias, tienen la obligación de promover, respetar, proteger y garantizar los derechos humanos de conformidad con los principios de universalidad, interdependencia, indivisibilidad y progresividad. En consecuencia, el Estado deberá prevenir, investigar, sancionar y reparar las violaciones a los derechos humanos, en los términos que establezca la ley.”(Sic)</w:t>
      </w:r>
    </w:p>
    <w:p w:rsidR="005E77CD" w:rsidRPr="00DE1A3C" w:rsidRDefault="005E77CD">
      <w:pPr>
        <w:pBdr>
          <w:top w:val="nil"/>
          <w:left w:val="nil"/>
          <w:bottom w:val="nil"/>
          <w:right w:val="nil"/>
          <w:between w:val="nil"/>
        </w:pBdr>
        <w:spacing w:line="360" w:lineRule="auto"/>
        <w:ind w:right="851"/>
        <w:rPr>
          <w:rFonts w:ascii="Palatino Linotype" w:eastAsia="Palatino Linotype" w:hAnsi="Palatino Linotype" w:cs="Palatino Linotype"/>
          <w:i/>
          <w:iCs/>
          <w:color w:val="000000"/>
        </w:rPr>
      </w:pPr>
    </w:p>
    <w:p w:rsidR="005E77CD" w:rsidRPr="00DE1A3C" w:rsidRDefault="00EF0BFD">
      <w:pPr>
        <w:numPr>
          <w:ilvl w:val="0"/>
          <w:numId w:val="3"/>
        </w:numPr>
        <w:pBdr>
          <w:top w:val="nil"/>
          <w:left w:val="nil"/>
          <w:bottom w:val="nil"/>
          <w:right w:val="nil"/>
          <w:between w:val="nil"/>
        </w:pBdr>
        <w:spacing w:line="360" w:lineRule="auto"/>
        <w:ind w:left="0" w:right="27" w:firstLine="0"/>
        <w:jc w:val="both"/>
        <w:rPr>
          <w:rFonts w:ascii="Palatino Linotype" w:eastAsia="Palatino Linotype" w:hAnsi="Palatino Linotype" w:cs="Palatino Linotype"/>
          <w:color w:val="000000"/>
        </w:rPr>
      </w:pPr>
      <w:r w:rsidRPr="00DE1A3C">
        <w:rPr>
          <w:rFonts w:ascii="Palatino Linotype" w:eastAsia="Palatino Linotype" w:hAnsi="Palatino Linotype" w:cs="Palatino Linotype"/>
          <w:color w:val="000000"/>
        </w:rPr>
        <w:t xml:space="preserve">Esto es, que el derecho humano de acceso a la información pública, se aprecia que toda persona, sin necesidad de acreditar interés alguno o justificar su interposición, deberá tener acceso a la información pública, es decir, dicho </w:t>
      </w:r>
      <w:r w:rsidRPr="00DE1A3C">
        <w:rPr>
          <w:rFonts w:ascii="Palatino Linotype" w:eastAsia="Palatino Linotype" w:hAnsi="Palatino Linotype" w:cs="Palatino Linotype"/>
          <w:i/>
          <w:iCs/>
          <w:color w:val="000000"/>
        </w:rPr>
        <w:t>derecho fundamental exime a quien lo ejerce</w:t>
      </w:r>
      <w:r w:rsidRPr="00DE1A3C">
        <w:rPr>
          <w:rFonts w:ascii="Palatino Linotype" w:eastAsia="Palatino Linotype" w:hAnsi="Palatino Linotype" w:cs="Palatino Linotype"/>
          <w:color w:val="000000"/>
        </w:rPr>
        <w:t>,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rsidR="005E77CD" w:rsidRPr="00DE1A3C" w:rsidRDefault="005E77CD">
      <w:pPr>
        <w:pBdr>
          <w:top w:val="nil"/>
          <w:left w:val="nil"/>
          <w:bottom w:val="nil"/>
          <w:right w:val="nil"/>
          <w:between w:val="nil"/>
        </w:pBdr>
        <w:spacing w:line="360" w:lineRule="auto"/>
        <w:ind w:left="360" w:right="27"/>
        <w:jc w:val="both"/>
        <w:rPr>
          <w:rFonts w:ascii="Palatino Linotype" w:eastAsia="Palatino Linotype" w:hAnsi="Palatino Linotype" w:cs="Palatino Linotype"/>
        </w:rPr>
      </w:pPr>
    </w:p>
    <w:p w:rsidR="005E77CD" w:rsidRPr="00DE1A3C" w:rsidRDefault="00EF0BFD">
      <w:pPr>
        <w:numPr>
          <w:ilvl w:val="0"/>
          <w:numId w:val="3"/>
        </w:numPr>
        <w:pBdr>
          <w:top w:val="nil"/>
          <w:left w:val="nil"/>
          <w:bottom w:val="nil"/>
          <w:right w:val="nil"/>
          <w:between w:val="nil"/>
        </w:pBdr>
        <w:spacing w:line="360" w:lineRule="auto"/>
        <w:ind w:left="0" w:right="27" w:firstLine="0"/>
        <w:jc w:val="both"/>
        <w:rPr>
          <w:rFonts w:ascii="Palatino Linotype" w:eastAsia="Palatino Linotype" w:hAnsi="Palatino Linotype" w:cs="Palatino Linotype"/>
          <w:color w:val="000000"/>
        </w:rPr>
      </w:pPr>
      <w:r w:rsidRPr="00DE1A3C">
        <w:rPr>
          <w:rFonts w:ascii="Palatino Linotype" w:eastAsia="Palatino Linotype" w:hAnsi="Palatino Linotype" w:cs="Palatino Linotype"/>
          <w:color w:val="000000"/>
        </w:rPr>
        <w:t>Lo que se fortalece con el Criterio 6/2014 del entonces Instituto Federal de Acceso a la Información y Protección de Datos, ahora Instituto Nacional de Transparencia Acceso a la Información y Protección de Datos Personales, el cual se reproduce para una mayor referencia:</w:t>
      </w:r>
    </w:p>
    <w:p w:rsidR="005E77CD" w:rsidRPr="00DE1A3C" w:rsidRDefault="005E77CD">
      <w:pPr>
        <w:spacing w:line="360" w:lineRule="auto"/>
        <w:ind w:right="27"/>
        <w:jc w:val="both"/>
        <w:rPr>
          <w:rFonts w:ascii="Palatino Linotype" w:eastAsia="Palatino Linotype" w:hAnsi="Palatino Linotype" w:cs="Palatino Linotype"/>
        </w:rPr>
      </w:pPr>
    </w:p>
    <w:p w:rsidR="005E77CD" w:rsidRPr="00DE1A3C" w:rsidRDefault="00EF0BFD">
      <w:pPr>
        <w:pBdr>
          <w:top w:val="nil"/>
          <w:left w:val="nil"/>
          <w:bottom w:val="nil"/>
          <w:right w:val="nil"/>
          <w:between w:val="nil"/>
        </w:pBdr>
        <w:ind w:left="1060" w:right="851"/>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 xml:space="preserve">“Acceso a información gubernamental. No debe condicionarse a que el solicitante acredite su personalidad, demuestre interés alguno o justifique su utilización. De conformidad con lo dispuesto en los artículos 6º., apartado A, fracción III de la Constitución Política de los Estados Unidos Mexicanos, y 1º, 2º, 4º y 40 de la Ley Federal de Transparencia y Acceso a la Información Pública Gubernamental, la respuesta a una solicitud de acceso a información y entrega de la misma, no debe estar condicionada a que el particular acredite su personalidad, demuestre interés alguno o justifique su utilización, en virtud de que los sujetos obligados no deben </w:t>
      </w:r>
      <w:r w:rsidRPr="00DE1A3C">
        <w:rPr>
          <w:rFonts w:ascii="Palatino Linotype" w:eastAsia="Palatino Linotype" w:hAnsi="Palatino Linotype" w:cs="Palatino Linotype"/>
          <w:i/>
          <w:iCs/>
          <w:color w:val="000000"/>
        </w:rPr>
        <w:lastRenderedPageBreak/>
        <w:t>requerir al solicitante mayores requisitos que los establecidos en la Ley. En este sentido, las dependencias y entidades, sólo deberán asegurarse de que, en su caso, se haya cubierto el pago de reproducción y envío de la información, mediante la exhibición del recibo correspondiente.”(Sic)</w:t>
      </w:r>
    </w:p>
    <w:p w:rsidR="005E77CD" w:rsidRPr="00DE1A3C" w:rsidRDefault="005E77CD">
      <w:pPr>
        <w:spacing w:line="360" w:lineRule="auto"/>
        <w:ind w:right="851"/>
        <w:jc w:val="both"/>
        <w:rPr>
          <w:rFonts w:ascii="Palatino Linotype" w:eastAsia="Palatino Linotype" w:hAnsi="Palatino Linotype" w:cs="Palatino Linotype"/>
          <w:color w:val="7030A0"/>
        </w:rPr>
      </w:pPr>
    </w:p>
    <w:p w:rsidR="005E77CD" w:rsidRPr="00DE1A3C" w:rsidRDefault="00EF0BFD">
      <w:pPr>
        <w:numPr>
          <w:ilvl w:val="0"/>
          <w:numId w:val="9"/>
        </w:numPr>
        <w:spacing w:line="360" w:lineRule="auto"/>
        <w:jc w:val="both"/>
        <w:rPr>
          <w:rFonts w:ascii="Palatino Linotype" w:eastAsia="Palatino Linotype" w:hAnsi="Palatino Linotype" w:cs="Palatino Linotype"/>
          <w:b/>
          <w:bCs/>
        </w:rPr>
      </w:pPr>
      <w:r w:rsidRPr="00DE1A3C">
        <w:rPr>
          <w:rFonts w:ascii="Palatino Linotype" w:eastAsia="Palatino Linotype" w:hAnsi="Palatino Linotype" w:cs="Palatino Linotype"/>
        </w:rPr>
        <w:t>Consecuentemente, el escrito contiene las formalidades previstas por el artículo 180 último párrafo de la Ley de la materia actual, por lo que es procedente que este Instituto de Transparencia, Acceso a la Información Pública y Protección de Datos Personales del Estado de México y Municipios, conozca y resuelva el presente recurso.</w:t>
      </w:r>
    </w:p>
    <w:p w:rsidR="005E77CD" w:rsidRPr="00DE1A3C" w:rsidRDefault="005E77CD">
      <w:pPr>
        <w:spacing w:line="360" w:lineRule="auto"/>
        <w:rPr>
          <w:rFonts w:ascii="Palatino Linotype" w:eastAsia="Palatino Linotype" w:hAnsi="Palatino Linotype" w:cs="Palatino Linotype"/>
        </w:rPr>
      </w:pPr>
    </w:p>
    <w:p w:rsidR="005E77CD" w:rsidRPr="00DE1A3C" w:rsidRDefault="00EF0BFD">
      <w:pPr>
        <w:pStyle w:val="Ttulo1"/>
        <w:spacing w:before="0" w:line="360" w:lineRule="auto"/>
      </w:pPr>
      <w:r w:rsidRPr="00DE1A3C">
        <w:t xml:space="preserve">TERCERO. Del planteamiento de la </w:t>
      </w:r>
      <w:r w:rsidRPr="00DE1A3C">
        <w:rPr>
          <w:i/>
          <w:iCs/>
        </w:rPr>
        <w:t>Litis</w:t>
      </w:r>
      <w:r w:rsidRPr="00DE1A3C">
        <w:t>.</w:t>
      </w:r>
    </w:p>
    <w:p w:rsidR="005E77CD" w:rsidRPr="00DE1A3C" w:rsidRDefault="00EF0BFD">
      <w:pPr>
        <w:numPr>
          <w:ilvl w:val="0"/>
          <w:numId w:val="9"/>
        </w:numPr>
        <w:pBdr>
          <w:top w:val="nil"/>
          <w:left w:val="nil"/>
          <w:bottom w:val="nil"/>
          <w:right w:val="nil"/>
          <w:between w:val="nil"/>
        </w:pBdr>
        <w:spacing w:line="360" w:lineRule="auto"/>
        <w:jc w:val="both"/>
        <w:rPr>
          <w:rFonts w:ascii="Palatino Linotype" w:eastAsia="Palatino Linotype" w:hAnsi="Palatino Linotype" w:cs="Palatino Linotype"/>
          <w:i/>
          <w:iCs/>
        </w:rPr>
      </w:pPr>
      <w:r w:rsidRPr="00DE1A3C">
        <w:rPr>
          <w:rFonts w:ascii="Palatino Linotype" w:eastAsia="Palatino Linotype" w:hAnsi="Palatino Linotype" w:cs="Palatino Linotype"/>
        </w:rPr>
        <w:t xml:space="preserve">La parte </w:t>
      </w:r>
      <w:r w:rsidRPr="00DE1A3C">
        <w:rPr>
          <w:rFonts w:ascii="Palatino Linotype" w:eastAsia="Palatino Linotype" w:hAnsi="Palatino Linotype" w:cs="Palatino Linotype"/>
          <w:b/>
          <w:bCs/>
        </w:rPr>
        <w:t>RECURRENTE</w:t>
      </w:r>
      <w:r w:rsidRPr="00DE1A3C">
        <w:rPr>
          <w:rFonts w:ascii="Palatino Linotype" w:eastAsia="Palatino Linotype" w:hAnsi="Palatino Linotype" w:cs="Palatino Linotype"/>
        </w:rPr>
        <w:t xml:space="preserve"> solicitó  </w:t>
      </w:r>
      <w:r w:rsidRPr="00DE1A3C">
        <w:rPr>
          <w:rFonts w:ascii="Palatino Linotype" w:eastAsia="Palatino Linotype" w:hAnsi="Palatino Linotype" w:cs="Palatino Linotype"/>
          <w:i/>
          <w:iCs/>
        </w:rPr>
        <w:t>los oficios generados y recibidos por la Dirección General de Innovación y Gestión Urbana de los meses de abril y septiembre de 2025.</w:t>
      </w:r>
    </w:p>
    <w:p w:rsidR="005E77CD" w:rsidRPr="00DE1A3C" w:rsidRDefault="005E77CD">
      <w:pPr>
        <w:pBdr>
          <w:top w:val="nil"/>
          <w:left w:val="nil"/>
          <w:bottom w:val="nil"/>
          <w:right w:val="nil"/>
          <w:between w:val="nil"/>
        </w:pBdr>
        <w:spacing w:line="360" w:lineRule="auto"/>
        <w:jc w:val="both"/>
        <w:rPr>
          <w:rFonts w:ascii="Palatino Linotype" w:eastAsia="Palatino Linotype" w:hAnsi="Palatino Linotype" w:cs="Palatino Linotype"/>
        </w:rPr>
      </w:pPr>
    </w:p>
    <w:p w:rsidR="005E77CD" w:rsidRPr="00DE1A3C" w:rsidRDefault="00EF0BFD">
      <w:pPr>
        <w:numPr>
          <w:ilvl w:val="0"/>
          <w:numId w:val="9"/>
        </w:numPr>
        <w:pBdr>
          <w:top w:val="nil"/>
          <w:left w:val="nil"/>
          <w:bottom w:val="nil"/>
          <w:right w:val="nil"/>
          <w:between w:val="nil"/>
        </w:pBdr>
        <w:spacing w:line="360" w:lineRule="auto"/>
        <w:jc w:val="both"/>
        <w:rPr>
          <w:rFonts w:ascii="Palatino Linotype" w:eastAsia="Palatino Linotype" w:hAnsi="Palatino Linotype" w:cs="Palatino Linotype"/>
          <w:i/>
          <w:iCs/>
        </w:rPr>
      </w:pPr>
      <w:r w:rsidRPr="00DE1A3C">
        <w:rPr>
          <w:rFonts w:ascii="Palatino Linotype" w:eastAsia="Palatino Linotype" w:hAnsi="Palatino Linotype" w:cs="Palatino Linotype"/>
          <w:color w:val="000000"/>
        </w:rPr>
        <w:t xml:space="preserve">El </w:t>
      </w:r>
      <w:r w:rsidRPr="00DE1A3C">
        <w:rPr>
          <w:rFonts w:ascii="Palatino Linotype" w:eastAsia="Palatino Linotype" w:hAnsi="Palatino Linotype" w:cs="Palatino Linotype"/>
          <w:b/>
          <w:bCs/>
          <w:color w:val="000000"/>
        </w:rPr>
        <w:t xml:space="preserve">SUJETO OBLIGADO </w:t>
      </w:r>
      <w:r w:rsidRPr="00DE1A3C">
        <w:rPr>
          <w:rFonts w:ascii="Palatino Linotype" w:eastAsia="Palatino Linotype" w:hAnsi="Palatino Linotype" w:cs="Palatino Linotype"/>
          <w:color w:val="000000"/>
        </w:rPr>
        <w:t>emitió informe justificado  en términos del numeral quinto de la presente resolución.</w:t>
      </w:r>
    </w:p>
    <w:p w:rsidR="005E77CD" w:rsidRPr="00DE1A3C" w:rsidRDefault="005E77CD">
      <w:pPr>
        <w:pBdr>
          <w:top w:val="nil"/>
          <w:left w:val="nil"/>
          <w:bottom w:val="nil"/>
          <w:right w:val="nil"/>
          <w:between w:val="nil"/>
        </w:pBdr>
        <w:spacing w:line="360" w:lineRule="auto"/>
        <w:jc w:val="both"/>
        <w:rPr>
          <w:rFonts w:ascii="Palatino Linotype" w:eastAsia="Palatino Linotype" w:hAnsi="Palatino Linotype" w:cs="Palatino Linotype"/>
          <w:i/>
          <w:iCs/>
        </w:rPr>
      </w:pPr>
    </w:p>
    <w:p w:rsidR="005E77CD" w:rsidRPr="00DE1A3C" w:rsidRDefault="00EF0BFD">
      <w:pPr>
        <w:numPr>
          <w:ilvl w:val="0"/>
          <w:numId w:val="9"/>
        </w:numPr>
        <w:pBdr>
          <w:top w:val="nil"/>
          <w:left w:val="nil"/>
          <w:bottom w:val="nil"/>
          <w:right w:val="nil"/>
          <w:between w:val="nil"/>
        </w:pBdr>
        <w:spacing w:line="360" w:lineRule="auto"/>
        <w:jc w:val="both"/>
        <w:rPr>
          <w:rFonts w:ascii="Palatino Linotype" w:eastAsia="Palatino Linotype" w:hAnsi="Palatino Linotype" w:cs="Palatino Linotype"/>
          <w:b/>
          <w:bCs/>
          <w:i/>
          <w:iCs/>
        </w:rPr>
      </w:pPr>
      <w:r w:rsidRPr="00DE1A3C">
        <w:rPr>
          <w:rFonts w:ascii="Palatino Linotype" w:eastAsia="Palatino Linotype" w:hAnsi="Palatino Linotype" w:cs="Palatino Linotype"/>
          <w:color w:val="000000"/>
        </w:rPr>
        <w:t xml:space="preserve">Posteriormente, la parte </w:t>
      </w:r>
      <w:r w:rsidRPr="00DE1A3C">
        <w:rPr>
          <w:rFonts w:ascii="Palatino Linotype" w:eastAsia="Palatino Linotype" w:hAnsi="Palatino Linotype" w:cs="Palatino Linotype"/>
          <w:b/>
          <w:bCs/>
          <w:color w:val="000000"/>
        </w:rPr>
        <w:t xml:space="preserve">RECURRENTE </w:t>
      </w:r>
      <w:r w:rsidRPr="00DE1A3C">
        <w:rPr>
          <w:rFonts w:ascii="Palatino Linotype" w:eastAsia="Palatino Linotype" w:hAnsi="Palatino Linotype" w:cs="Palatino Linotype"/>
          <w:color w:val="000000"/>
        </w:rPr>
        <w:t xml:space="preserve">interpuso recurso de revisión en el que se inconformó por </w:t>
      </w:r>
      <w:r w:rsidRPr="00DE1A3C">
        <w:rPr>
          <w:rFonts w:ascii="Palatino Linotype" w:eastAsia="Palatino Linotype" w:hAnsi="Palatino Linotype" w:cs="Palatino Linotype"/>
          <w:b/>
          <w:bCs/>
          <w:color w:val="000000"/>
        </w:rPr>
        <w:t>la negativa de la información.</w:t>
      </w:r>
    </w:p>
    <w:p w:rsidR="005E77CD" w:rsidRPr="00DE1A3C" w:rsidRDefault="005E77CD">
      <w:pPr>
        <w:pBdr>
          <w:top w:val="nil"/>
          <w:left w:val="nil"/>
          <w:bottom w:val="nil"/>
          <w:right w:val="nil"/>
          <w:between w:val="nil"/>
        </w:pBdr>
        <w:spacing w:line="360" w:lineRule="auto"/>
        <w:jc w:val="both"/>
        <w:rPr>
          <w:rFonts w:ascii="Palatino Linotype" w:eastAsia="Palatino Linotype" w:hAnsi="Palatino Linotype" w:cs="Palatino Linotype"/>
          <w:i/>
          <w:iCs/>
        </w:rPr>
      </w:pPr>
    </w:p>
    <w:p w:rsidR="005E77CD" w:rsidRPr="00DE1A3C" w:rsidRDefault="00EF0BFD">
      <w:pPr>
        <w:numPr>
          <w:ilvl w:val="0"/>
          <w:numId w:val="9"/>
        </w:numPr>
        <w:pBdr>
          <w:top w:val="nil"/>
          <w:left w:val="nil"/>
          <w:bottom w:val="nil"/>
          <w:right w:val="nil"/>
          <w:between w:val="nil"/>
        </w:pBdr>
        <w:spacing w:line="360" w:lineRule="auto"/>
        <w:jc w:val="both"/>
        <w:rPr>
          <w:rFonts w:ascii="Palatino Linotype" w:eastAsia="Palatino Linotype" w:hAnsi="Palatino Linotype" w:cs="Palatino Linotype"/>
          <w:i/>
          <w:iCs/>
        </w:rPr>
      </w:pPr>
      <w:r w:rsidRPr="00DE1A3C">
        <w:rPr>
          <w:rFonts w:ascii="Palatino Linotype" w:eastAsia="Palatino Linotype" w:hAnsi="Palatino Linotype" w:cs="Palatino Linotype"/>
          <w:color w:val="000000"/>
        </w:rPr>
        <w:t xml:space="preserve">En dichas condiciones, la </w:t>
      </w:r>
      <w:r w:rsidRPr="00DE1A3C">
        <w:rPr>
          <w:rFonts w:ascii="Palatino Linotype" w:eastAsia="Palatino Linotype" w:hAnsi="Palatino Linotype" w:cs="Palatino Linotype"/>
          <w:i/>
          <w:iCs/>
          <w:color w:val="000000"/>
        </w:rPr>
        <w:t>Litis</w:t>
      </w:r>
      <w:r w:rsidRPr="00DE1A3C">
        <w:rPr>
          <w:rFonts w:ascii="Palatino Linotype" w:eastAsia="Palatino Linotype" w:hAnsi="Palatino Linotype" w:cs="Palatino Linotype"/>
          <w:color w:val="000000"/>
        </w:rPr>
        <w:t xml:space="preserve"> a resolver en este recurso se circunscribe a determinar si se actualizan las causales de procedencia previstas en el artículo 179, </w:t>
      </w:r>
      <w:r w:rsidRPr="00DE1A3C">
        <w:rPr>
          <w:rFonts w:ascii="Palatino Linotype" w:eastAsia="Palatino Linotype" w:hAnsi="Palatino Linotype" w:cs="Palatino Linotype"/>
          <w:b/>
          <w:bCs/>
          <w:color w:val="000000"/>
        </w:rPr>
        <w:t xml:space="preserve">fracción I  </w:t>
      </w:r>
      <w:r w:rsidRPr="00DE1A3C">
        <w:rPr>
          <w:rFonts w:ascii="Palatino Linotype" w:eastAsia="Palatino Linotype" w:hAnsi="Palatino Linotype" w:cs="Palatino Linotype"/>
          <w:color w:val="000000"/>
        </w:rPr>
        <w:t>de la Ley</w:t>
      </w:r>
      <w:r w:rsidRPr="00DE1A3C">
        <w:rPr>
          <w:rFonts w:ascii="Palatino Linotype" w:eastAsia="Palatino Linotype" w:hAnsi="Palatino Linotype" w:cs="Palatino Linotype"/>
          <w:b/>
          <w:bCs/>
          <w:color w:val="000000"/>
        </w:rPr>
        <w:t xml:space="preserve"> de Transparencia y Acceso a la Información Pública del Estado de </w:t>
      </w:r>
      <w:r w:rsidRPr="00DE1A3C">
        <w:rPr>
          <w:rFonts w:ascii="Palatino Linotype" w:eastAsia="Palatino Linotype" w:hAnsi="Palatino Linotype" w:cs="Palatino Linotype"/>
          <w:color w:val="000000"/>
        </w:rPr>
        <w:t>México</w:t>
      </w:r>
      <w:r w:rsidRPr="00DE1A3C">
        <w:rPr>
          <w:rFonts w:ascii="Palatino Linotype" w:eastAsia="Palatino Linotype" w:hAnsi="Palatino Linotype" w:cs="Palatino Linotype"/>
          <w:b/>
          <w:bCs/>
          <w:color w:val="000000"/>
        </w:rPr>
        <w:t xml:space="preserve"> y Municipios</w:t>
      </w:r>
      <w:r w:rsidRPr="00DE1A3C">
        <w:rPr>
          <w:rFonts w:ascii="Palatino Linotype" w:eastAsia="Palatino Linotype" w:hAnsi="Palatino Linotype" w:cs="Palatino Linotype"/>
          <w:color w:val="000000"/>
        </w:rPr>
        <w:t>.</w:t>
      </w:r>
    </w:p>
    <w:p w:rsidR="005E77CD" w:rsidRPr="00DE1A3C" w:rsidRDefault="005E77CD">
      <w:pPr>
        <w:pBdr>
          <w:top w:val="nil"/>
          <w:left w:val="nil"/>
          <w:bottom w:val="nil"/>
          <w:right w:val="nil"/>
          <w:between w:val="nil"/>
        </w:pBdr>
        <w:spacing w:line="360" w:lineRule="auto"/>
        <w:jc w:val="both"/>
        <w:rPr>
          <w:rFonts w:ascii="Palatino Linotype" w:eastAsia="Palatino Linotype" w:hAnsi="Palatino Linotype" w:cs="Palatino Linotype"/>
          <w:i/>
          <w:iCs/>
        </w:rPr>
      </w:pPr>
    </w:p>
    <w:p w:rsidR="005E77CD" w:rsidRPr="00DE1A3C" w:rsidRDefault="00EF0BFD">
      <w:pPr>
        <w:pStyle w:val="Ttulo1"/>
        <w:spacing w:before="0" w:line="360" w:lineRule="auto"/>
      </w:pPr>
      <w:r w:rsidRPr="00DE1A3C">
        <w:lastRenderedPageBreak/>
        <w:t>CUARTO. Del estudio y resolución del asunto.</w:t>
      </w:r>
    </w:p>
    <w:p w:rsidR="005E77CD" w:rsidRPr="00DE1A3C" w:rsidRDefault="00EF0BFD">
      <w:pPr>
        <w:numPr>
          <w:ilvl w:val="0"/>
          <w:numId w:val="9"/>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E1A3C">
        <w:rPr>
          <w:rFonts w:ascii="Palatino Linotype" w:eastAsia="Palatino Linotype" w:hAnsi="Palatino Linotype" w:cs="Palatino Linotype"/>
          <w:color w:val="000000"/>
        </w:rPr>
        <w:t xml:space="preserve">Acotada la </w:t>
      </w:r>
      <w:r w:rsidRPr="00DE1A3C">
        <w:rPr>
          <w:rFonts w:ascii="Palatino Linotype" w:eastAsia="Palatino Linotype" w:hAnsi="Palatino Linotype" w:cs="Palatino Linotype"/>
          <w:i/>
          <w:iCs/>
          <w:color w:val="000000"/>
        </w:rPr>
        <w:t>Litis</w:t>
      </w:r>
      <w:r w:rsidRPr="00DE1A3C">
        <w:rPr>
          <w:rFonts w:ascii="Palatino Linotype" w:eastAsia="Palatino Linotype" w:hAnsi="Palatino Linotype" w:cs="Palatino Linotype"/>
          <w:color w:val="000000"/>
        </w:rPr>
        <w:t xml:space="preserve"> del asunto de mérito, es dable puntualizar inicialmente en términos generales, que el Derecho de Acceso a la Información Pública es un Derecho Humano reconocido en el Pacto de Derechos Civiles y Políticos en su artículo 19.2; en la Convención Americana sobre Derechos Humanos en su artículo 13.1, así como en el artículo 6°, apartado A), fracción I de la Constitución Política de los Estados Unidos Mexicanos, el cual establece que toda la información en posesión de cualquier autoridad es pública y sólo podrá ser reservada temporalmente por razones de interés público.</w:t>
      </w:r>
    </w:p>
    <w:p w:rsidR="005E77CD" w:rsidRPr="00DE1A3C" w:rsidRDefault="005E77CD">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5E77CD" w:rsidRPr="00DE1A3C" w:rsidRDefault="00EF0BFD">
      <w:pPr>
        <w:numPr>
          <w:ilvl w:val="0"/>
          <w:numId w:val="9"/>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E1A3C">
        <w:rPr>
          <w:rFonts w:ascii="Palatino Linotype" w:eastAsia="Palatino Linotype" w:hAnsi="Palatino Linotype" w:cs="Palatino Linotype"/>
          <w:color w:val="000000"/>
        </w:rPr>
        <w:t>Por su parte, la Ley General de Transparencia y Acceso a la Información Pública, dispone en su artículo 70 que la información que corresponde a las Obligaciones de Transparencia debe estar disponible para cualquier persona de manera permanente y actualizada. En materia local, el artículo 5°, fracción I de la Constitución Política del Estado Libre y Soberano de México, es coincidente con la Constitución Federal, en el sentido de la publicidad de toda la información, con la única restricción de proteger el interés público, así como la información referente a la intimidad de la vida privada y la imagen de las personas, con las excepciones que establezca la ley reglamentaria.</w:t>
      </w:r>
    </w:p>
    <w:p w:rsidR="005E77CD" w:rsidRPr="00DE1A3C" w:rsidRDefault="005E77CD">
      <w:pPr>
        <w:spacing w:line="360" w:lineRule="auto"/>
        <w:jc w:val="both"/>
        <w:rPr>
          <w:rFonts w:ascii="Palatino Linotype" w:eastAsia="Palatino Linotype" w:hAnsi="Palatino Linotype" w:cs="Palatino Linotype"/>
        </w:rPr>
      </w:pPr>
    </w:p>
    <w:p w:rsidR="005E77CD" w:rsidRPr="00DE1A3C" w:rsidRDefault="00EF0BFD">
      <w:pPr>
        <w:numPr>
          <w:ilvl w:val="0"/>
          <w:numId w:val="9"/>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E1A3C">
        <w:rPr>
          <w:rFonts w:ascii="Palatino Linotype" w:eastAsia="Palatino Linotype" w:hAnsi="Palatino Linotype" w:cs="Palatino Linotype"/>
          <w:color w:val="000000"/>
        </w:rPr>
        <w:t xml:space="preserve">En el mismo sentido, la Ley de Transparencia y Acceso a la Información Pública del Estado de México y Municipios (Reglamentaria del artículo 5° de la Constitución Local), establece en su artículo 12 que quienes generen, recopilen, administren, manejen, procesen, archiven o conserven información pública serán responsables de la misma, del mismo modo, el artículo 18 establece que los Sujetos Obligados deberán documentar todo acto que derive </w:t>
      </w:r>
      <w:r w:rsidRPr="00DE1A3C">
        <w:rPr>
          <w:rFonts w:ascii="Palatino Linotype" w:eastAsia="Palatino Linotype" w:hAnsi="Palatino Linotype" w:cs="Palatino Linotype"/>
          <w:color w:val="000000"/>
        </w:rPr>
        <w:lastRenderedPageBreak/>
        <w:t>del ejercicio de sus facultades, competencias o funciones desde su origen la eventual publicidad y reutilización de la información que generen.</w:t>
      </w:r>
    </w:p>
    <w:p w:rsidR="005E77CD" w:rsidRPr="00DE1A3C" w:rsidRDefault="005E77CD">
      <w:p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p>
    <w:p w:rsidR="005E77CD" w:rsidRPr="00DE1A3C" w:rsidRDefault="00EF0BFD">
      <w:pPr>
        <w:numPr>
          <w:ilvl w:val="0"/>
          <w:numId w:val="9"/>
        </w:numPr>
        <w:pBdr>
          <w:top w:val="nil"/>
          <w:left w:val="nil"/>
          <w:bottom w:val="nil"/>
          <w:right w:val="nil"/>
          <w:between w:val="nil"/>
        </w:pBdr>
        <w:spacing w:line="360" w:lineRule="auto"/>
        <w:ind w:right="48"/>
        <w:jc w:val="both"/>
        <w:rPr>
          <w:rFonts w:ascii="Palatino Linotype" w:eastAsia="Palatino Linotype" w:hAnsi="Palatino Linotype" w:cs="Palatino Linotype"/>
          <w:color w:val="000000"/>
        </w:rPr>
      </w:pPr>
      <w:r w:rsidRPr="00DE1A3C">
        <w:rPr>
          <w:rFonts w:ascii="Palatino Linotype" w:eastAsia="Palatino Linotype" w:hAnsi="Palatino Linotype" w:cs="Palatino Linotype"/>
          <w:color w:val="000000"/>
        </w:rPr>
        <w:t>Finalmente,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5E77CD" w:rsidRPr="00DE1A3C" w:rsidRDefault="005E77CD">
      <w:pPr>
        <w:pBdr>
          <w:top w:val="nil"/>
          <w:left w:val="nil"/>
          <w:bottom w:val="nil"/>
          <w:right w:val="nil"/>
          <w:between w:val="nil"/>
        </w:pBdr>
        <w:spacing w:line="360" w:lineRule="auto"/>
        <w:ind w:right="757"/>
        <w:jc w:val="both"/>
        <w:rPr>
          <w:rFonts w:ascii="Palatino Linotype" w:eastAsia="Palatino Linotype" w:hAnsi="Palatino Linotype" w:cs="Palatino Linotype"/>
          <w:b/>
          <w:bCs/>
          <w:color w:val="000000"/>
        </w:rPr>
      </w:pPr>
    </w:p>
    <w:p w:rsidR="005E77CD" w:rsidRPr="00DE1A3C" w:rsidRDefault="00EF0BFD">
      <w:pPr>
        <w:numPr>
          <w:ilvl w:val="0"/>
          <w:numId w:val="9"/>
        </w:num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r w:rsidRPr="00DE1A3C">
        <w:rPr>
          <w:rFonts w:ascii="Palatino Linotype" w:eastAsia="Palatino Linotype" w:hAnsi="Palatino Linotype" w:cs="Palatino Linotype"/>
          <w:color w:val="000000"/>
        </w:rPr>
        <w:t xml:space="preserve">Ante la falta de respuesta del Sujeto Obligado, la parte </w:t>
      </w:r>
      <w:r w:rsidRPr="00DE1A3C">
        <w:rPr>
          <w:rFonts w:ascii="Palatino Linotype" w:eastAsia="Palatino Linotype" w:hAnsi="Palatino Linotype" w:cs="Palatino Linotype"/>
          <w:b/>
          <w:bCs/>
          <w:color w:val="000000"/>
        </w:rPr>
        <w:t xml:space="preserve">RECURRENTE </w:t>
      </w:r>
      <w:r w:rsidRPr="00DE1A3C">
        <w:rPr>
          <w:rFonts w:ascii="Palatino Linotype" w:eastAsia="Palatino Linotype" w:hAnsi="Palatino Linotype" w:cs="Palatino Linotype"/>
          <w:color w:val="000000"/>
        </w:rPr>
        <w:t>interpuso recurso de revisión en el que se inconformó por la negativa a la entrega de la información por parte de aquel.</w:t>
      </w:r>
    </w:p>
    <w:p w:rsidR="005E77CD" w:rsidRPr="00DE1A3C" w:rsidRDefault="005E77CD">
      <w:pPr>
        <w:pBdr>
          <w:top w:val="nil"/>
          <w:left w:val="nil"/>
          <w:bottom w:val="nil"/>
          <w:right w:val="nil"/>
          <w:between w:val="nil"/>
        </w:pBdr>
        <w:ind w:left="720"/>
        <w:rPr>
          <w:rFonts w:ascii="Palatino Linotype" w:eastAsia="Palatino Linotype" w:hAnsi="Palatino Linotype" w:cs="Palatino Linotype"/>
          <w:color w:val="000000"/>
        </w:rPr>
      </w:pPr>
    </w:p>
    <w:p w:rsidR="005E77CD" w:rsidRPr="00DE1A3C" w:rsidRDefault="00EF0BFD">
      <w:pPr>
        <w:numPr>
          <w:ilvl w:val="0"/>
          <w:numId w:val="9"/>
        </w:numPr>
        <w:spacing w:line="360" w:lineRule="auto"/>
        <w:ind w:right="49"/>
        <w:jc w:val="both"/>
        <w:rPr>
          <w:rFonts w:ascii="Palatino Linotype" w:eastAsia="Palatino Linotype" w:hAnsi="Palatino Linotype" w:cs="Palatino Linotype"/>
          <w:i/>
          <w:iCs/>
        </w:rPr>
      </w:pPr>
      <w:r w:rsidRPr="00DE1A3C">
        <w:rPr>
          <w:rFonts w:ascii="Palatino Linotype" w:eastAsia="Palatino Linotype" w:hAnsi="Palatino Linotype" w:cs="Palatino Linotype"/>
        </w:rPr>
        <w:t xml:space="preserve">Así como lo dispuesto por la </w:t>
      </w:r>
      <w:r w:rsidRPr="00DE1A3C">
        <w:rPr>
          <w:rFonts w:ascii="Palatino Linotype" w:eastAsia="Palatino Linotype" w:hAnsi="Palatino Linotype" w:cs="Palatino Linotype"/>
          <w:b/>
          <w:bCs/>
        </w:rPr>
        <w:t xml:space="preserve">Ley de Transparencia y Acceso a la Información Pública del </w:t>
      </w:r>
      <w:r w:rsidRPr="00DE1A3C">
        <w:rPr>
          <w:rFonts w:ascii="Palatino Linotype" w:eastAsia="Palatino Linotype" w:hAnsi="Palatino Linotype" w:cs="Palatino Linotype"/>
          <w:color w:val="000000"/>
        </w:rPr>
        <w:t>Estado</w:t>
      </w:r>
      <w:r w:rsidRPr="00DE1A3C">
        <w:rPr>
          <w:rFonts w:ascii="Palatino Linotype" w:eastAsia="Palatino Linotype" w:hAnsi="Palatino Linotype" w:cs="Palatino Linotype"/>
          <w:b/>
          <w:bCs/>
        </w:rPr>
        <w:t xml:space="preserve"> de México y Municipios</w:t>
      </w:r>
      <w:r w:rsidRPr="00DE1A3C">
        <w:rPr>
          <w:rFonts w:ascii="Palatino Linotype" w:eastAsia="Palatino Linotype" w:hAnsi="Palatino Linotype" w:cs="Palatino Linotype"/>
        </w:rPr>
        <w:t xml:space="preserve"> en su artículo 3, el cual establece que la información pública generada, administrada o en posesión de los sujetos obligados en ejercicio de sus atribuciones, será accesible de manera permanente a cualquier persona, privilegiando el principio de máxima publicidad de la información, por lo que deberán apegarse en todo momento a los criterios de publicidad, veracidad, oportunidad entre otros, numeral en comento que a la letra señala:</w:t>
      </w:r>
    </w:p>
    <w:p w:rsidR="005E77CD" w:rsidRPr="00DE1A3C" w:rsidRDefault="005E77CD">
      <w:pPr>
        <w:pBdr>
          <w:top w:val="nil"/>
          <w:left w:val="nil"/>
          <w:bottom w:val="nil"/>
          <w:right w:val="nil"/>
          <w:between w:val="nil"/>
        </w:pBdr>
        <w:jc w:val="both"/>
        <w:rPr>
          <w:rFonts w:ascii="Palatino Linotype" w:eastAsia="Palatino Linotype" w:hAnsi="Palatino Linotype" w:cs="Palatino Linotype"/>
          <w:i/>
          <w:iCs/>
          <w:color w:val="000000"/>
        </w:rPr>
      </w:pPr>
    </w:p>
    <w:p w:rsidR="005E77CD" w:rsidRPr="00DE1A3C" w:rsidRDefault="00EF0BFD">
      <w:pPr>
        <w:pBdr>
          <w:top w:val="nil"/>
          <w:left w:val="nil"/>
          <w:bottom w:val="nil"/>
          <w:right w:val="nil"/>
          <w:between w:val="nil"/>
        </w:pBdr>
        <w:tabs>
          <w:tab w:val="left" w:pos="7938"/>
        </w:tabs>
        <w:ind w:left="1134" w:right="1418"/>
        <w:jc w:val="both"/>
        <w:rPr>
          <w:rFonts w:ascii="Palatino Linotype" w:eastAsia="Palatino Linotype" w:hAnsi="Palatino Linotype" w:cs="Palatino Linotype"/>
          <w:b/>
          <w:bCs/>
          <w:i/>
          <w:iCs/>
          <w:color w:val="000000"/>
        </w:rPr>
      </w:pPr>
      <w:r w:rsidRPr="00DE1A3C">
        <w:rPr>
          <w:rFonts w:ascii="Palatino Linotype" w:eastAsia="Palatino Linotype" w:hAnsi="Palatino Linotype" w:cs="Palatino Linotype"/>
          <w:i/>
          <w:iCs/>
          <w:color w:val="000000"/>
        </w:rPr>
        <w:t xml:space="preserve">Artículo 3.- La información pública generada, administrada o en posesión de los Sujetos Obligados en ejercicio de sus atribuciones, será accesible de manera permanente a cualquier persona, privilegiando el principio de máxima publicidad de la información. </w:t>
      </w:r>
      <w:r w:rsidRPr="00DE1A3C">
        <w:rPr>
          <w:rFonts w:ascii="Palatino Linotype" w:eastAsia="Palatino Linotype" w:hAnsi="Palatino Linotype" w:cs="Palatino Linotype"/>
          <w:b/>
          <w:bCs/>
          <w:i/>
          <w:iCs/>
          <w:color w:val="000000"/>
        </w:rPr>
        <w:t xml:space="preserve">Los Sujetos Obligados deben poner en práctica, políticas y programas de acceso a la información </w:t>
      </w:r>
      <w:r w:rsidRPr="00DE1A3C">
        <w:rPr>
          <w:rFonts w:ascii="Palatino Linotype" w:eastAsia="Palatino Linotype" w:hAnsi="Palatino Linotype" w:cs="Palatino Linotype"/>
          <w:b/>
          <w:bCs/>
          <w:i/>
          <w:iCs/>
          <w:color w:val="000000"/>
        </w:rPr>
        <w:lastRenderedPageBreak/>
        <w:t>que se apeguen a criterios de publicidad, veracidad, oportunidad, precisión y suficiencia en beneficio de los solicitantes.</w:t>
      </w:r>
    </w:p>
    <w:p w:rsidR="005E77CD" w:rsidRPr="00DE1A3C" w:rsidRDefault="005E77CD">
      <w:pPr>
        <w:pBdr>
          <w:top w:val="nil"/>
          <w:left w:val="nil"/>
          <w:bottom w:val="nil"/>
          <w:right w:val="nil"/>
          <w:between w:val="nil"/>
        </w:pBdr>
        <w:spacing w:line="360" w:lineRule="auto"/>
        <w:ind w:left="567" w:right="680"/>
        <w:jc w:val="both"/>
        <w:rPr>
          <w:rFonts w:ascii="Palatino Linotype" w:eastAsia="Palatino Linotype" w:hAnsi="Palatino Linotype" w:cs="Palatino Linotype"/>
          <w:b/>
          <w:bCs/>
          <w:i/>
          <w:iCs/>
          <w:color w:val="000000"/>
        </w:rPr>
      </w:pPr>
    </w:p>
    <w:p w:rsidR="005E77CD" w:rsidRPr="00DE1A3C" w:rsidRDefault="00EF0BFD">
      <w:pPr>
        <w:numPr>
          <w:ilvl w:val="0"/>
          <w:numId w:val="9"/>
        </w:numPr>
        <w:spacing w:line="360" w:lineRule="auto"/>
        <w:ind w:right="49"/>
        <w:jc w:val="both"/>
        <w:rPr>
          <w:rFonts w:ascii="Palatino Linotype" w:eastAsia="Palatino Linotype" w:hAnsi="Palatino Linotype" w:cs="Palatino Linotype"/>
          <w:color w:val="000000"/>
        </w:rPr>
      </w:pPr>
      <w:r w:rsidRPr="00DE1A3C">
        <w:rPr>
          <w:rFonts w:ascii="Palatino Linotype" w:eastAsia="Palatino Linotype" w:hAnsi="Palatino Linotype" w:cs="Palatino Linotype"/>
        </w:rPr>
        <w:t xml:space="preserve">Numerales que compelen al </w:t>
      </w:r>
      <w:r w:rsidRPr="00DE1A3C">
        <w:rPr>
          <w:rFonts w:ascii="Palatino Linotype" w:eastAsia="Palatino Linotype" w:hAnsi="Palatino Linotype" w:cs="Palatino Linotype"/>
          <w:b/>
          <w:bCs/>
        </w:rPr>
        <w:t>SUJETO OBLIGADO</w:t>
      </w:r>
      <w:r w:rsidRPr="00DE1A3C">
        <w:rPr>
          <w:rFonts w:ascii="Palatino Linotype" w:eastAsia="Palatino Linotype" w:hAnsi="Palatino Linotype" w:cs="Palatino Linotype"/>
        </w:rPr>
        <w:t xml:space="preserve"> apegarse en todo momento a los criterios ya expuestos, impidiendo a este Órgano Colegiado cuestionar la veracidad de la información.</w:t>
      </w:r>
    </w:p>
    <w:p w:rsidR="005E77CD" w:rsidRPr="00DE1A3C" w:rsidRDefault="005E77CD">
      <w:pPr>
        <w:pBdr>
          <w:top w:val="nil"/>
          <w:left w:val="nil"/>
          <w:bottom w:val="nil"/>
          <w:right w:val="nil"/>
          <w:between w:val="nil"/>
        </w:pBdr>
        <w:spacing w:line="360" w:lineRule="auto"/>
        <w:jc w:val="both"/>
        <w:rPr>
          <w:rFonts w:ascii="Palatino Linotype" w:eastAsia="Palatino Linotype" w:hAnsi="Palatino Linotype" w:cs="Palatino Linotype"/>
          <w:b/>
          <w:bCs/>
          <w:color w:val="000000"/>
        </w:rPr>
      </w:pPr>
    </w:p>
    <w:p w:rsidR="005E77CD" w:rsidRPr="00DE1A3C" w:rsidRDefault="00EF0BFD">
      <w:pPr>
        <w:numPr>
          <w:ilvl w:val="0"/>
          <w:numId w:val="14"/>
        </w:numPr>
        <w:pBdr>
          <w:top w:val="nil"/>
          <w:left w:val="nil"/>
          <w:bottom w:val="nil"/>
          <w:right w:val="nil"/>
          <w:between w:val="nil"/>
        </w:pBdr>
        <w:spacing w:line="360" w:lineRule="auto"/>
        <w:ind w:left="0" w:firstLine="0"/>
        <w:jc w:val="both"/>
        <w:rPr>
          <w:rFonts w:ascii="Palatino Linotype" w:eastAsia="Palatino Linotype" w:hAnsi="Palatino Linotype" w:cs="Palatino Linotype"/>
          <w:b/>
          <w:bCs/>
          <w:color w:val="000000"/>
        </w:rPr>
      </w:pPr>
      <w:r w:rsidRPr="00DE1A3C">
        <w:rPr>
          <w:rFonts w:ascii="Palatino Linotype" w:eastAsia="Palatino Linotype" w:hAnsi="Palatino Linotype" w:cs="Palatino Linotype"/>
          <w:color w:val="000000"/>
        </w:rPr>
        <w:t>Resulta importante establecer, que el servidor público habilitado que emitió la respuesta en cita y admite ser poseedor de la información, por lo cual, no es necesario estudiar si este es competente para conocer y en su caso dar respuesta a la solicitud, pues al mencionar que pone a disposición la información solicitada en versión pública e incluso refiere que tales versiones se sustentan en sendos acuerdos emitidos por el Comité de Transparencia, es que se concluye que este reconoce contar con la misma, no obstante omitir adjuntar tales documentales.</w:t>
      </w:r>
    </w:p>
    <w:p w:rsidR="005E77CD" w:rsidRPr="00DE1A3C" w:rsidRDefault="005E77CD">
      <w:pPr>
        <w:pBdr>
          <w:top w:val="nil"/>
          <w:left w:val="nil"/>
          <w:bottom w:val="nil"/>
          <w:right w:val="nil"/>
          <w:between w:val="nil"/>
        </w:pBdr>
        <w:spacing w:line="360" w:lineRule="auto"/>
        <w:ind w:right="49"/>
        <w:jc w:val="both"/>
        <w:rPr>
          <w:rFonts w:ascii="Palatino Linotype" w:eastAsia="Palatino Linotype" w:hAnsi="Palatino Linotype" w:cs="Palatino Linotype"/>
          <w:i/>
          <w:iCs/>
          <w:color w:val="000000"/>
        </w:rPr>
      </w:pPr>
    </w:p>
    <w:p w:rsidR="005E77CD" w:rsidRPr="00DE1A3C" w:rsidRDefault="00EF0BFD">
      <w:pPr>
        <w:numPr>
          <w:ilvl w:val="0"/>
          <w:numId w:val="14"/>
        </w:numPr>
        <w:pBdr>
          <w:top w:val="nil"/>
          <w:left w:val="nil"/>
          <w:bottom w:val="nil"/>
          <w:right w:val="nil"/>
          <w:between w:val="nil"/>
        </w:pBdr>
        <w:spacing w:line="360" w:lineRule="auto"/>
        <w:ind w:left="0" w:right="49" w:firstLine="0"/>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rPr>
        <w:t>Al respecto, se precisa que se obvia el análisis de la competencia por parte del SUJETO OBLIGADO, para generar, administrar o poseer la información solicitada, dado que éste ha asumido la misma, en razón de que en su respuesta admitió contar con dicha información.</w:t>
      </w:r>
    </w:p>
    <w:p w:rsidR="005E77CD" w:rsidRPr="00DE1A3C" w:rsidRDefault="005E77CD">
      <w:pPr>
        <w:pBdr>
          <w:top w:val="nil"/>
          <w:left w:val="nil"/>
          <w:bottom w:val="nil"/>
          <w:right w:val="nil"/>
          <w:between w:val="nil"/>
        </w:pBdr>
        <w:rPr>
          <w:rFonts w:ascii="Palatino Linotype" w:eastAsia="Palatino Linotype" w:hAnsi="Palatino Linotype" w:cs="Palatino Linotype"/>
          <w:color w:val="000000"/>
        </w:rPr>
      </w:pPr>
    </w:p>
    <w:p w:rsidR="005E77CD" w:rsidRPr="00DE1A3C" w:rsidRDefault="00EF0BFD">
      <w:pPr>
        <w:numPr>
          <w:ilvl w:val="0"/>
          <w:numId w:val="14"/>
        </w:numPr>
        <w:pBdr>
          <w:top w:val="nil"/>
          <w:left w:val="nil"/>
          <w:bottom w:val="nil"/>
          <w:right w:val="nil"/>
          <w:between w:val="nil"/>
        </w:pBdr>
        <w:spacing w:line="360" w:lineRule="auto"/>
        <w:ind w:left="0" w:right="113" w:firstLine="0"/>
        <w:jc w:val="both"/>
        <w:rPr>
          <w:rFonts w:ascii="Palatino Linotype" w:eastAsia="Palatino Linotype" w:hAnsi="Palatino Linotype" w:cs="Palatino Linotype"/>
          <w:color w:val="000000"/>
        </w:rPr>
      </w:pPr>
      <w:r w:rsidRPr="00DE1A3C">
        <w:rPr>
          <w:rFonts w:ascii="Palatino Linotype" w:eastAsia="Palatino Linotype" w:hAnsi="Palatino Linotype" w:cs="Palatino Linotype"/>
          <w:color w:val="000000"/>
        </w:rPr>
        <w:t>En efecto, el hecho de que EL SUJETO OBLIGADO haya admitido contar con la información pública solicitada, acepta que la genera, posee y administra, en ejercicio de sus funciones de derecho público, motivo por el cual se actualiza el supuesto jurídico, previsto en el artículo 12 de la Ley de Transparencia y Acceso a la Información Pública del Estado de México y Municipios.</w:t>
      </w:r>
    </w:p>
    <w:p w:rsidR="005E77CD" w:rsidRPr="00DE1A3C" w:rsidRDefault="005E77CD">
      <w:pPr>
        <w:pBdr>
          <w:top w:val="nil"/>
          <w:left w:val="nil"/>
          <w:bottom w:val="nil"/>
          <w:right w:val="nil"/>
          <w:between w:val="nil"/>
        </w:pBdr>
        <w:ind w:left="720"/>
        <w:rPr>
          <w:rFonts w:ascii="Palatino Linotype" w:eastAsia="Palatino Linotype" w:hAnsi="Palatino Linotype" w:cs="Palatino Linotype"/>
          <w:color w:val="000000"/>
        </w:rPr>
      </w:pPr>
    </w:p>
    <w:p w:rsidR="005E77CD" w:rsidRPr="00DE1A3C" w:rsidRDefault="00EF0BFD">
      <w:pPr>
        <w:shd w:val="clear" w:color="auto" w:fill="FFFFFF"/>
        <w:ind w:left="1134" w:right="1418"/>
        <w:jc w:val="both"/>
        <w:rPr>
          <w:rFonts w:ascii="Palatino Linotype" w:eastAsia="Palatino Linotype" w:hAnsi="Palatino Linotype" w:cs="Palatino Linotype"/>
          <w:i/>
          <w:iCs/>
          <w:color w:val="222222"/>
        </w:rPr>
      </w:pPr>
      <w:r w:rsidRPr="00DE1A3C">
        <w:rPr>
          <w:rFonts w:ascii="Palatino Linotype" w:eastAsia="Palatino Linotype" w:hAnsi="Palatino Linotype" w:cs="Palatino Linotype"/>
          <w:i/>
          <w:iCs/>
          <w:color w:val="222222"/>
        </w:rPr>
        <w:lastRenderedPageBreak/>
        <w:t>“</w:t>
      </w:r>
      <w:r w:rsidRPr="00DE1A3C">
        <w:rPr>
          <w:rFonts w:ascii="Palatino Linotype" w:eastAsia="Palatino Linotype" w:hAnsi="Palatino Linotype" w:cs="Palatino Linotype"/>
          <w:b/>
          <w:bCs/>
          <w:i/>
          <w:iCs/>
          <w:color w:val="222222"/>
        </w:rPr>
        <w:t>Artículo 12.</w:t>
      </w:r>
      <w:r w:rsidRPr="00DE1A3C">
        <w:rPr>
          <w:rFonts w:ascii="Palatino Linotype" w:eastAsia="Palatino Linotype" w:hAnsi="Palatino Linotype" w:cs="Palatino Linotype"/>
          <w:i/>
          <w:iCs/>
          <w:color w:val="222222"/>
        </w:rPr>
        <w:t> Quienes generen, recopilen, administren, manejen, procesen, archiven o conserven información pública serán responsables de la misma en los términos de las disposiciones jurídicas aplicables.</w:t>
      </w:r>
    </w:p>
    <w:p w:rsidR="005E77CD" w:rsidRPr="00DE1A3C" w:rsidRDefault="005E77CD">
      <w:pPr>
        <w:shd w:val="clear" w:color="auto" w:fill="FFFFFF"/>
        <w:ind w:left="1134" w:right="1418"/>
        <w:jc w:val="both"/>
        <w:rPr>
          <w:rFonts w:ascii="Palatino Linotype" w:eastAsia="Palatino Linotype" w:hAnsi="Palatino Linotype" w:cs="Palatino Linotype"/>
          <w:color w:val="222222"/>
        </w:rPr>
      </w:pPr>
    </w:p>
    <w:p w:rsidR="005E77CD" w:rsidRPr="00DE1A3C" w:rsidRDefault="00EF0BFD">
      <w:pPr>
        <w:shd w:val="clear" w:color="auto" w:fill="FFFFFF"/>
        <w:ind w:left="1134" w:right="1418"/>
        <w:jc w:val="both"/>
        <w:rPr>
          <w:rFonts w:ascii="Palatino Linotype" w:eastAsia="Palatino Linotype" w:hAnsi="Palatino Linotype" w:cs="Palatino Linotype"/>
          <w:i/>
          <w:iCs/>
          <w:color w:val="222222"/>
        </w:rPr>
      </w:pPr>
      <w:r w:rsidRPr="00DE1A3C">
        <w:rPr>
          <w:rFonts w:ascii="Palatino Linotype" w:eastAsia="Palatino Linotype" w:hAnsi="Palatino Linotype" w:cs="Palatino Linotype"/>
          <w:i/>
          <w:iCs/>
          <w:color w:val="2222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rsidR="005E77CD" w:rsidRPr="00DE1A3C" w:rsidRDefault="005E77CD">
      <w:pPr>
        <w:spacing w:line="360" w:lineRule="auto"/>
        <w:ind w:right="113"/>
        <w:jc w:val="both"/>
        <w:rPr>
          <w:rFonts w:ascii="Palatino Linotype" w:eastAsia="Palatino Linotype" w:hAnsi="Palatino Linotype" w:cs="Palatino Linotype"/>
        </w:rPr>
      </w:pPr>
    </w:p>
    <w:p w:rsidR="005E77CD" w:rsidRPr="00DE1A3C" w:rsidRDefault="00EF0BFD">
      <w:pPr>
        <w:numPr>
          <w:ilvl w:val="0"/>
          <w:numId w:val="14"/>
        </w:numPr>
        <w:pBdr>
          <w:top w:val="nil"/>
          <w:left w:val="nil"/>
          <w:bottom w:val="nil"/>
          <w:right w:val="nil"/>
          <w:between w:val="nil"/>
        </w:pBdr>
        <w:spacing w:line="360" w:lineRule="auto"/>
        <w:ind w:left="0" w:right="113" w:firstLine="0"/>
        <w:jc w:val="both"/>
        <w:rPr>
          <w:rFonts w:ascii="Palatino Linotype" w:eastAsia="Palatino Linotype" w:hAnsi="Palatino Linotype" w:cs="Palatino Linotype"/>
          <w:color w:val="000000"/>
        </w:rPr>
      </w:pPr>
      <w:r w:rsidRPr="00DE1A3C">
        <w:rPr>
          <w:rFonts w:ascii="Palatino Linotype" w:eastAsia="Palatino Linotype" w:hAnsi="Palatino Linotype" w:cs="Palatino Linotype"/>
          <w:color w:val="000000"/>
        </w:rPr>
        <w:t>Así, el estudio de la naturaleza jurídica de la información pública solicitada, tiene por objeto determinar si ésta la genera, posee o administra EL SUJETO OBLIGADO; sin embargo, en aquellos casos en que éste la asume, a nada práctico nos conduciría su estudio, ya que se insiste, dicha información, fue admitida por el mismo; por lo que, la genera, posee y administra, en ejercicio de sus funciones de derecho público, motivo por el cual, se actualiza el supuesto jurídico, previsto en el artículo 12 de la Ley de la materia, anteriormente referido.</w:t>
      </w:r>
    </w:p>
    <w:p w:rsidR="005E77CD" w:rsidRPr="00DE1A3C" w:rsidRDefault="005E77CD">
      <w:pPr>
        <w:spacing w:line="360" w:lineRule="auto"/>
        <w:ind w:right="113"/>
        <w:jc w:val="both"/>
        <w:rPr>
          <w:rFonts w:ascii="Palatino Linotype" w:eastAsia="Palatino Linotype" w:hAnsi="Palatino Linotype" w:cs="Palatino Linotype"/>
        </w:rPr>
      </w:pPr>
    </w:p>
    <w:p w:rsidR="005E77CD" w:rsidRPr="00DE1A3C" w:rsidRDefault="00EF0BFD">
      <w:pPr>
        <w:numPr>
          <w:ilvl w:val="0"/>
          <w:numId w:val="14"/>
        </w:numPr>
        <w:pBdr>
          <w:top w:val="nil"/>
          <w:left w:val="nil"/>
          <w:bottom w:val="nil"/>
          <w:right w:val="nil"/>
          <w:between w:val="nil"/>
        </w:pBdr>
        <w:spacing w:line="360" w:lineRule="auto"/>
        <w:ind w:left="0" w:right="142" w:firstLine="0"/>
        <w:jc w:val="both"/>
        <w:rPr>
          <w:rFonts w:ascii="Palatino Linotype" w:eastAsia="Palatino Linotype" w:hAnsi="Palatino Linotype" w:cs="Palatino Linotype"/>
          <w:color w:val="000000"/>
        </w:rPr>
      </w:pPr>
      <w:r w:rsidRPr="00DE1A3C">
        <w:rPr>
          <w:rFonts w:ascii="Palatino Linotype" w:eastAsia="Palatino Linotype" w:hAnsi="Palatino Linotype" w:cs="Palatino Linotype"/>
          <w:color w:val="000000"/>
        </w:rPr>
        <w:t>Ahora bien con respecto a la información solicitada, siendo esta la relativa a los oficios recibidos y emitidos por la Dirección de Innovación, Planeación y Gestión Urbana de los meses de abril y septiembre de dos mil veinticinco, los cuales no tienen una definición exacta por la legislación archivística, para lo cual, debemos entonces identificarlo como documentos utilizados para la interoperabilidad de la gestión documental de los Sujetos Obligados, se generan a partir del ejercicio de funciones y del trabajo coordinado de las instituciones públicas, ya sea al interior o al exterior.</w:t>
      </w:r>
    </w:p>
    <w:p w:rsidR="005E77CD" w:rsidRPr="00DE1A3C" w:rsidRDefault="005E77CD">
      <w:pPr>
        <w:tabs>
          <w:tab w:val="left" w:pos="4962"/>
        </w:tabs>
        <w:spacing w:line="360" w:lineRule="auto"/>
        <w:ind w:right="142"/>
        <w:jc w:val="both"/>
        <w:rPr>
          <w:rFonts w:ascii="Palatino Linotype" w:eastAsia="Palatino Linotype" w:hAnsi="Palatino Linotype" w:cs="Palatino Linotype"/>
          <w:color w:val="000000"/>
        </w:rPr>
      </w:pPr>
    </w:p>
    <w:p w:rsidR="005E77CD" w:rsidRPr="00DE1A3C" w:rsidRDefault="00EF0BFD">
      <w:pPr>
        <w:numPr>
          <w:ilvl w:val="0"/>
          <w:numId w:val="14"/>
        </w:numPr>
        <w:pBdr>
          <w:top w:val="nil"/>
          <w:left w:val="nil"/>
          <w:bottom w:val="nil"/>
          <w:right w:val="nil"/>
          <w:between w:val="nil"/>
        </w:pBdr>
        <w:spacing w:line="360" w:lineRule="auto"/>
        <w:ind w:left="0" w:right="142" w:firstLine="0"/>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color w:val="000000"/>
        </w:rPr>
        <w:lastRenderedPageBreak/>
        <w:t xml:space="preserve">Si bien la legislación no los define, podemos definirlo gramaticalmente a través de lo que señala la Real Academia de la Lengua Española, en su sexta acepción, que define al oficio como </w:t>
      </w:r>
      <w:r w:rsidRPr="00DE1A3C">
        <w:rPr>
          <w:rFonts w:ascii="Palatino Linotype" w:eastAsia="Palatino Linotype" w:hAnsi="Palatino Linotype" w:cs="Palatino Linotype"/>
          <w:i/>
          <w:iCs/>
          <w:color w:val="000000"/>
        </w:rPr>
        <w:t>“m. Comunicación escrita, referente a los asuntos de las Administraciones públicas.”.</w:t>
      </w:r>
    </w:p>
    <w:p w:rsidR="005E77CD" w:rsidRPr="00DE1A3C" w:rsidRDefault="005E77CD">
      <w:pPr>
        <w:tabs>
          <w:tab w:val="left" w:pos="4962"/>
        </w:tabs>
        <w:spacing w:line="360" w:lineRule="auto"/>
        <w:ind w:right="142"/>
        <w:jc w:val="both"/>
        <w:rPr>
          <w:rFonts w:ascii="Palatino Linotype" w:eastAsia="Palatino Linotype" w:hAnsi="Palatino Linotype" w:cs="Palatino Linotype"/>
          <w:i/>
          <w:iCs/>
          <w:color w:val="000000"/>
        </w:rPr>
      </w:pPr>
    </w:p>
    <w:p w:rsidR="005E77CD" w:rsidRPr="00DE1A3C" w:rsidRDefault="00EF0BFD">
      <w:pPr>
        <w:numPr>
          <w:ilvl w:val="0"/>
          <w:numId w:val="14"/>
        </w:numPr>
        <w:pBdr>
          <w:top w:val="nil"/>
          <w:left w:val="nil"/>
          <w:bottom w:val="nil"/>
          <w:right w:val="nil"/>
          <w:between w:val="nil"/>
        </w:pBdr>
        <w:spacing w:line="360" w:lineRule="auto"/>
        <w:ind w:left="0" w:right="142" w:firstLine="0"/>
        <w:jc w:val="both"/>
        <w:rPr>
          <w:rFonts w:ascii="Palatino Linotype" w:eastAsia="Palatino Linotype" w:hAnsi="Palatino Linotype" w:cs="Palatino Linotype"/>
          <w:color w:val="000000"/>
        </w:rPr>
      </w:pPr>
      <w:r w:rsidRPr="00DE1A3C">
        <w:rPr>
          <w:rFonts w:ascii="Palatino Linotype" w:eastAsia="Palatino Linotype" w:hAnsi="Palatino Linotype" w:cs="Palatino Linotype"/>
          <w:color w:val="000000"/>
        </w:rPr>
        <w:t>Esto guarda plena congruencia con lo mandatado en el artículo 18 de la Ley de Transparencia y Acceso a la Información Pública del Estado de México y Municipios, que contempla que los Sujetos Obligados, deberán documentar todo acto que derive del ejercicio de sus funciones en los siguientes términos:</w:t>
      </w:r>
    </w:p>
    <w:p w:rsidR="005E77CD" w:rsidRPr="00DE1A3C" w:rsidRDefault="005E77CD">
      <w:pPr>
        <w:tabs>
          <w:tab w:val="left" w:pos="4962"/>
        </w:tabs>
        <w:spacing w:line="360" w:lineRule="auto"/>
        <w:ind w:right="142"/>
        <w:jc w:val="both"/>
        <w:rPr>
          <w:rFonts w:ascii="Palatino Linotype" w:eastAsia="Palatino Linotype" w:hAnsi="Palatino Linotype" w:cs="Palatino Linotype"/>
          <w:color w:val="000000"/>
        </w:rPr>
      </w:pPr>
    </w:p>
    <w:p w:rsidR="005E77CD" w:rsidRPr="00DE1A3C" w:rsidRDefault="00EF0BFD">
      <w:pPr>
        <w:tabs>
          <w:tab w:val="left" w:pos="7938"/>
        </w:tabs>
        <w:spacing w:line="360" w:lineRule="auto"/>
        <w:ind w:left="1276" w:right="851"/>
        <w:jc w:val="both"/>
        <w:rPr>
          <w:rFonts w:ascii="Palatino Linotype" w:eastAsia="Palatino Linotype" w:hAnsi="Palatino Linotype" w:cs="Palatino Linotype"/>
          <w:i/>
          <w:iCs/>
        </w:rPr>
      </w:pPr>
      <w:r w:rsidRPr="00DE1A3C">
        <w:rPr>
          <w:rFonts w:ascii="Palatino Linotype" w:eastAsia="Palatino Linotype" w:hAnsi="Palatino Linotype" w:cs="Palatino Linotype"/>
          <w:i/>
          <w:iCs/>
        </w:rPr>
        <w:t>Artículo 18. Los sujetos obligados deberán documentar todo acto que derive del ejercicio de sus facultades, competencias o funciones, considerando desde su origen la eventual publicidad y reutilización de la información que generen.</w:t>
      </w:r>
    </w:p>
    <w:p w:rsidR="005E77CD" w:rsidRPr="00DE1A3C" w:rsidRDefault="005E77CD">
      <w:pPr>
        <w:tabs>
          <w:tab w:val="left" w:pos="4962"/>
        </w:tabs>
        <w:spacing w:line="360" w:lineRule="auto"/>
        <w:ind w:right="142"/>
        <w:jc w:val="both"/>
        <w:rPr>
          <w:rFonts w:ascii="Palatino Linotype" w:eastAsia="Palatino Linotype" w:hAnsi="Palatino Linotype" w:cs="Palatino Linotype"/>
          <w:color w:val="000000"/>
        </w:rPr>
      </w:pPr>
    </w:p>
    <w:p w:rsidR="005E77CD" w:rsidRPr="00DE1A3C" w:rsidRDefault="00EF0BFD">
      <w:pPr>
        <w:numPr>
          <w:ilvl w:val="0"/>
          <w:numId w:val="14"/>
        </w:numPr>
        <w:pBdr>
          <w:top w:val="nil"/>
          <w:left w:val="nil"/>
          <w:bottom w:val="nil"/>
          <w:right w:val="nil"/>
          <w:between w:val="nil"/>
        </w:pBdr>
        <w:spacing w:line="360" w:lineRule="auto"/>
        <w:ind w:left="0" w:right="142" w:firstLine="0"/>
        <w:jc w:val="both"/>
        <w:rPr>
          <w:rFonts w:ascii="Palatino Linotype" w:eastAsia="Palatino Linotype" w:hAnsi="Palatino Linotype" w:cs="Palatino Linotype"/>
          <w:color w:val="000000"/>
        </w:rPr>
      </w:pPr>
      <w:r w:rsidRPr="00DE1A3C">
        <w:rPr>
          <w:rFonts w:ascii="Palatino Linotype" w:eastAsia="Palatino Linotype" w:hAnsi="Palatino Linotype" w:cs="Palatino Linotype"/>
          <w:color w:val="000000"/>
        </w:rPr>
        <w:t>En este contexto entonces, podemos afirmar que el oficio es un documento administrativo de carácter formal, que sirve como medio de comunicación en el ámbito público para tratar asuntos oficiales. Es una herramienta esencial en la gestión pública y su validez radica en su naturaleza formal y en el hecho de ser emitido por la autoridad competente dentro de una institución, siguiendo conductos regulares y jerárquicos.</w:t>
      </w:r>
    </w:p>
    <w:p w:rsidR="005E77CD" w:rsidRPr="00DE1A3C" w:rsidRDefault="005E77CD">
      <w:pPr>
        <w:spacing w:line="360" w:lineRule="auto"/>
        <w:ind w:right="142"/>
        <w:jc w:val="both"/>
        <w:rPr>
          <w:rFonts w:ascii="Palatino Linotype" w:eastAsia="Palatino Linotype" w:hAnsi="Palatino Linotype" w:cs="Palatino Linotype"/>
          <w:color w:val="000000"/>
        </w:rPr>
      </w:pPr>
    </w:p>
    <w:p w:rsidR="005E77CD" w:rsidRPr="00DE1A3C" w:rsidRDefault="00EF0BFD">
      <w:pPr>
        <w:numPr>
          <w:ilvl w:val="0"/>
          <w:numId w:val="14"/>
        </w:numPr>
        <w:pBdr>
          <w:top w:val="nil"/>
          <w:left w:val="nil"/>
          <w:bottom w:val="nil"/>
          <w:right w:val="nil"/>
          <w:between w:val="nil"/>
        </w:pBdr>
        <w:spacing w:line="360" w:lineRule="auto"/>
        <w:ind w:left="0" w:right="142" w:firstLine="0"/>
        <w:jc w:val="both"/>
        <w:rPr>
          <w:rFonts w:ascii="Palatino Linotype" w:eastAsia="Palatino Linotype" w:hAnsi="Palatino Linotype" w:cs="Palatino Linotype"/>
          <w:color w:val="000000"/>
        </w:rPr>
      </w:pPr>
      <w:r w:rsidRPr="00DE1A3C">
        <w:rPr>
          <w:rFonts w:ascii="Palatino Linotype" w:eastAsia="Palatino Linotype" w:hAnsi="Palatino Linotype" w:cs="Palatino Linotype"/>
          <w:color w:val="000000"/>
        </w:rPr>
        <w:t xml:space="preserve">Con independencia del nombre interno que reciba, esto es, oficio, memorándum, tarjeta informativa, etc., por oficio, se refiere a los medios de comunicación interna o externa, que sirven como memoria documental del ejercicio de las comunicaciones internas a interinstitucionales para el ejercicio de las atribuciones y/o funciones de los Sujetos </w:t>
      </w:r>
      <w:r w:rsidRPr="00DE1A3C">
        <w:rPr>
          <w:rFonts w:ascii="Palatino Linotype" w:eastAsia="Palatino Linotype" w:hAnsi="Palatino Linotype" w:cs="Palatino Linotype"/>
          <w:color w:val="000000"/>
        </w:rPr>
        <w:lastRenderedPageBreak/>
        <w:t>Obligados. En este contexto, el Particular, solicitó todos los documentos generados con estas características del periodo indicado en líneas previas.</w:t>
      </w:r>
    </w:p>
    <w:p w:rsidR="005E77CD" w:rsidRPr="00DE1A3C" w:rsidRDefault="005E77CD">
      <w:pPr>
        <w:tabs>
          <w:tab w:val="left" w:pos="4962"/>
        </w:tabs>
        <w:spacing w:line="360" w:lineRule="auto"/>
        <w:ind w:right="142"/>
        <w:jc w:val="both"/>
        <w:rPr>
          <w:rFonts w:ascii="Palatino Linotype" w:eastAsia="Palatino Linotype" w:hAnsi="Palatino Linotype" w:cs="Palatino Linotype"/>
          <w:color w:val="000000"/>
        </w:rPr>
      </w:pPr>
    </w:p>
    <w:p w:rsidR="005E77CD" w:rsidRPr="00DE1A3C" w:rsidRDefault="00EF0BFD">
      <w:pPr>
        <w:numPr>
          <w:ilvl w:val="0"/>
          <w:numId w:val="14"/>
        </w:numPr>
        <w:pBdr>
          <w:top w:val="nil"/>
          <w:left w:val="nil"/>
          <w:bottom w:val="nil"/>
          <w:right w:val="nil"/>
          <w:between w:val="nil"/>
        </w:pBdr>
        <w:spacing w:line="360" w:lineRule="auto"/>
        <w:ind w:left="0" w:right="142" w:firstLine="0"/>
        <w:jc w:val="both"/>
        <w:rPr>
          <w:rFonts w:ascii="Palatino Linotype" w:eastAsia="Palatino Linotype" w:hAnsi="Palatino Linotype" w:cs="Palatino Linotype"/>
          <w:color w:val="000000"/>
        </w:rPr>
      </w:pPr>
      <w:r w:rsidRPr="00DE1A3C">
        <w:rPr>
          <w:rFonts w:ascii="Palatino Linotype" w:eastAsia="Palatino Linotype" w:hAnsi="Palatino Linotype" w:cs="Palatino Linotype"/>
          <w:color w:val="000000"/>
        </w:rPr>
        <w:t>Además, debemos señalar que estos documentos, además llevan para su identificación metadatos para la identificación de unicidad de los documentos, con la finalidad de otorgar un orden al Sistema de Archivos y Gestión Documental que llevan al interior los Sujetos Obligados, pues debemos señalar que cada uno de estos documentos, es un acto administrativo que causa efectos de derecho. Es así, que a través de estos metadatos, los Sujetos Obligados, pueden conocer información como de manera enunciativa puede ser la fecha, el área emisora, el año de generación y el número consecutivo de oficio. Esto implica que si bien, no hay una normatividad que constriña a los Sujetos Obligados a llevar un orden homologado a nivel municipal, estatal ni federal, dichos documentos, al tener el carácter de documentos públicos y formar parte de un Sistema Institucional de Archivos, deben estar sistematizados.</w:t>
      </w:r>
    </w:p>
    <w:p w:rsidR="005E77CD" w:rsidRPr="00DE1A3C" w:rsidRDefault="005E77CD">
      <w:pPr>
        <w:pBdr>
          <w:top w:val="nil"/>
          <w:left w:val="nil"/>
          <w:bottom w:val="nil"/>
          <w:right w:val="nil"/>
          <w:between w:val="nil"/>
        </w:pBdr>
        <w:ind w:left="720"/>
        <w:rPr>
          <w:rFonts w:ascii="Palatino Linotype" w:eastAsia="Palatino Linotype" w:hAnsi="Palatino Linotype" w:cs="Palatino Linotype"/>
          <w:color w:val="000000"/>
        </w:rPr>
      </w:pPr>
    </w:p>
    <w:p w:rsidR="005E77CD" w:rsidRPr="00DE1A3C" w:rsidRDefault="00EF0BFD">
      <w:pPr>
        <w:numPr>
          <w:ilvl w:val="0"/>
          <w:numId w:val="15"/>
        </w:numPr>
        <w:spacing w:line="360" w:lineRule="auto"/>
        <w:ind w:left="0" w:firstLine="0"/>
        <w:jc w:val="both"/>
        <w:rPr>
          <w:rFonts w:ascii="Palatino Linotype" w:eastAsia="Palatino Linotype" w:hAnsi="Palatino Linotype" w:cs="Palatino Linotype"/>
        </w:rPr>
      </w:pPr>
      <w:r w:rsidRPr="00DE1A3C">
        <w:rPr>
          <w:rFonts w:ascii="Palatino Linotype" w:eastAsia="Palatino Linotype" w:hAnsi="Palatino Linotype" w:cs="Palatino Linotype"/>
        </w:rPr>
        <w:t>Ahora bien, de acuerdo al artículo 163 y 166 de la Ley de Transparencia del Estado de México, la respuesta a la solicitud de información se deberá notificar al interesado en el menor tiempo posible y solo se tiene por cumplida cuando el solicitante tenga a su disposición la información requerida:</w:t>
      </w:r>
    </w:p>
    <w:p w:rsidR="005E77CD" w:rsidRPr="00DE1A3C" w:rsidRDefault="005E77CD">
      <w:pPr>
        <w:pBdr>
          <w:top w:val="nil"/>
          <w:left w:val="nil"/>
          <w:bottom w:val="nil"/>
          <w:right w:val="nil"/>
          <w:between w:val="nil"/>
        </w:pBdr>
        <w:ind w:left="720"/>
        <w:rPr>
          <w:rFonts w:ascii="Palatino Linotype" w:eastAsia="Palatino Linotype" w:hAnsi="Palatino Linotype" w:cs="Palatino Linotype"/>
          <w:color w:val="000000"/>
        </w:rPr>
      </w:pPr>
    </w:p>
    <w:p w:rsidR="005E77CD" w:rsidRPr="00DE1A3C" w:rsidRDefault="00EF0BFD">
      <w:pPr>
        <w:pBdr>
          <w:top w:val="nil"/>
          <w:left w:val="nil"/>
          <w:bottom w:val="nil"/>
          <w:right w:val="nil"/>
          <w:between w:val="nil"/>
        </w:pBdr>
        <w:tabs>
          <w:tab w:val="left" w:pos="7938"/>
        </w:tabs>
        <w:spacing w:line="276" w:lineRule="auto"/>
        <w:ind w:left="1134" w:right="851"/>
        <w:jc w:val="both"/>
        <w:rPr>
          <w:rFonts w:ascii="Palatino Linotype" w:eastAsia="Palatino Linotype" w:hAnsi="Palatino Linotype" w:cs="Palatino Linotype"/>
          <w:b/>
          <w:bCs/>
          <w:i/>
          <w:iCs/>
          <w:color w:val="000000"/>
        </w:rPr>
      </w:pPr>
      <w:r w:rsidRPr="00DE1A3C">
        <w:rPr>
          <w:rFonts w:ascii="Palatino Linotype" w:eastAsia="Palatino Linotype" w:hAnsi="Palatino Linotype" w:cs="Palatino Linotype"/>
          <w:i/>
          <w:iCs/>
          <w:color w:val="000000"/>
        </w:rPr>
        <w:t>“</w:t>
      </w:r>
      <w:r w:rsidRPr="00DE1A3C">
        <w:rPr>
          <w:rFonts w:ascii="Palatino Linotype" w:eastAsia="Palatino Linotype" w:hAnsi="Palatino Linotype" w:cs="Palatino Linotype"/>
          <w:b/>
          <w:bCs/>
          <w:i/>
          <w:iCs/>
          <w:color w:val="000000"/>
        </w:rPr>
        <w:t>Artículo 163.</w:t>
      </w:r>
      <w:r w:rsidRPr="00DE1A3C">
        <w:rPr>
          <w:rFonts w:ascii="Palatino Linotype" w:eastAsia="Palatino Linotype" w:hAnsi="Palatino Linotype" w:cs="Palatino Linotype"/>
          <w:i/>
          <w:iCs/>
          <w:color w:val="000000"/>
        </w:rPr>
        <w:t xml:space="preserve"> La Unidad de Transparencia deberá notificar la respuesta a la solicitud al interesado en el menor tiempo posible, que no podrá exceder de quince días hábiles, contados a partir del día siguiente a la presentación de aquélla. </w:t>
      </w:r>
    </w:p>
    <w:p w:rsidR="005E77CD" w:rsidRPr="00DE1A3C" w:rsidRDefault="00EF0BFD">
      <w:pPr>
        <w:pBdr>
          <w:top w:val="nil"/>
          <w:left w:val="nil"/>
          <w:bottom w:val="nil"/>
          <w:right w:val="nil"/>
          <w:between w:val="nil"/>
        </w:pBdr>
        <w:tabs>
          <w:tab w:val="left" w:pos="7938"/>
        </w:tabs>
        <w:spacing w:line="276" w:lineRule="auto"/>
        <w:ind w:left="1134" w:right="851"/>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w:t>
      </w:r>
    </w:p>
    <w:p w:rsidR="005E77CD" w:rsidRPr="00DE1A3C" w:rsidRDefault="005E77CD">
      <w:pPr>
        <w:pBdr>
          <w:top w:val="nil"/>
          <w:left w:val="nil"/>
          <w:bottom w:val="nil"/>
          <w:right w:val="nil"/>
          <w:between w:val="nil"/>
        </w:pBdr>
        <w:tabs>
          <w:tab w:val="left" w:pos="7938"/>
        </w:tabs>
        <w:spacing w:line="276" w:lineRule="auto"/>
        <w:ind w:left="1134" w:right="851"/>
        <w:jc w:val="both"/>
        <w:rPr>
          <w:rFonts w:ascii="Palatino Linotype" w:eastAsia="Palatino Linotype" w:hAnsi="Palatino Linotype" w:cs="Palatino Linotype"/>
          <w:b/>
          <w:bCs/>
          <w:i/>
          <w:iCs/>
          <w:color w:val="000000"/>
        </w:rPr>
      </w:pPr>
    </w:p>
    <w:p w:rsidR="005E77CD" w:rsidRPr="00DE1A3C" w:rsidRDefault="00EF0BFD">
      <w:pPr>
        <w:pBdr>
          <w:top w:val="nil"/>
          <w:left w:val="nil"/>
          <w:bottom w:val="nil"/>
          <w:right w:val="nil"/>
          <w:between w:val="nil"/>
        </w:pBdr>
        <w:tabs>
          <w:tab w:val="left" w:pos="7938"/>
        </w:tabs>
        <w:spacing w:line="276" w:lineRule="auto"/>
        <w:ind w:left="1134" w:right="851"/>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lastRenderedPageBreak/>
        <w:t>“</w:t>
      </w:r>
      <w:r w:rsidRPr="00DE1A3C">
        <w:rPr>
          <w:rFonts w:ascii="Palatino Linotype" w:eastAsia="Palatino Linotype" w:hAnsi="Palatino Linotype" w:cs="Palatino Linotype"/>
          <w:b/>
          <w:bCs/>
          <w:i/>
          <w:iCs/>
          <w:color w:val="000000"/>
        </w:rPr>
        <w:t>Artículo 166.</w:t>
      </w:r>
      <w:r w:rsidRPr="00DE1A3C">
        <w:rPr>
          <w:rFonts w:ascii="Palatino Linotype" w:eastAsia="Palatino Linotype" w:hAnsi="Palatino Linotype" w:cs="Palatino Linotype"/>
          <w:i/>
          <w:iCs/>
          <w:color w:val="000000"/>
        </w:rPr>
        <w:t xml:space="preserve"> La obligación de acceso a la información pública se tendrá por cumplida cuando el solicitante tenga a su disposición la información requerida, o cuando realice la consulta de la misma en el lugar en el que ésta se localice.”</w:t>
      </w:r>
    </w:p>
    <w:p w:rsidR="005E77CD" w:rsidRPr="00DE1A3C" w:rsidRDefault="005E77CD">
      <w:pPr>
        <w:spacing w:line="360" w:lineRule="auto"/>
        <w:jc w:val="both"/>
        <w:rPr>
          <w:rFonts w:ascii="Palatino Linotype" w:eastAsia="Palatino Linotype" w:hAnsi="Palatino Linotype" w:cs="Palatino Linotype"/>
        </w:rPr>
      </w:pPr>
    </w:p>
    <w:p w:rsidR="005E77CD" w:rsidRPr="00DE1A3C" w:rsidRDefault="00EF0BFD">
      <w:pPr>
        <w:numPr>
          <w:ilvl w:val="0"/>
          <w:numId w:val="15"/>
        </w:numPr>
        <w:spacing w:line="360" w:lineRule="auto"/>
        <w:ind w:left="0" w:firstLine="0"/>
        <w:jc w:val="both"/>
        <w:rPr>
          <w:rFonts w:ascii="Palatino Linotype" w:eastAsia="Palatino Linotype" w:hAnsi="Palatino Linotype" w:cs="Palatino Linotype"/>
        </w:rPr>
      </w:pPr>
      <w:r w:rsidRPr="00DE1A3C">
        <w:rPr>
          <w:rFonts w:ascii="Palatino Linotype" w:eastAsia="Palatino Linotype" w:hAnsi="Palatino Linotype" w:cs="Palatino Linotype"/>
        </w:rPr>
        <w:t xml:space="preserve">En este caso, la solicitud de información que formuló el recurrente como parte de su derecho de acceso a la información pública, no fue atendida, dado que el </w:t>
      </w:r>
      <w:r w:rsidRPr="00DE1A3C">
        <w:rPr>
          <w:rFonts w:ascii="Palatino Linotype" w:eastAsia="Palatino Linotype" w:hAnsi="Palatino Linotype" w:cs="Palatino Linotype"/>
          <w:b/>
          <w:bCs/>
        </w:rPr>
        <w:t>SUJETO OBLIGADO</w:t>
      </w:r>
      <w:r w:rsidRPr="00DE1A3C">
        <w:rPr>
          <w:rFonts w:ascii="Palatino Linotype" w:eastAsia="Palatino Linotype" w:hAnsi="Palatino Linotype" w:cs="Palatino Linotype"/>
        </w:rPr>
        <w:t xml:space="preserve"> fue omiso en emitir una respuesta, pues si bien se señaló que se le daba respuesta a través de oficios adjuntos, lo cierto es que no se remitió archivo alguno que colmara lo solicitado.</w:t>
      </w:r>
    </w:p>
    <w:p w:rsidR="005E77CD" w:rsidRPr="00DE1A3C" w:rsidRDefault="005E77CD">
      <w:pPr>
        <w:spacing w:line="360" w:lineRule="auto"/>
        <w:jc w:val="both"/>
        <w:rPr>
          <w:rFonts w:ascii="Palatino Linotype" w:eastAsia="Palatino Linotype" w:hAnsi="Palatino Linotype" w:cs="Palatino Linotype"/>
        </w:rPr>
      </w:pPr>
    </w:p>
    <w:p w:rsidR="005E77CD" w:rsidRPr="00DE1A3C" w:rsidRDefault="00EF0BFD">
      <w:pPr>
        <w:numPr>
          <w:ilvl w:val="0"/>
          <w:numId w:val="15"/>
        </w:numPr>
        <w:spacing w:line="360" w:lineRule="auto"/>
        <w:ind w:left="0" w:firstLine="0"/>
        <w:jc w:val="both"/>
        <w:rPr>
          <w:rFonts w:ascii="Palatino Linotype" w:eastAsia="Palatino Linotype" w:hAnsi="Palatino Linotype" w:cs="Palatino Linotype"/>
        </w:rPr>
      </w:pPr>
      <w:r w:rsidRPr="00DE1A3C">
        <w:rPr>
          <w:rFonts w:ascii="Palatino Linotype" w:eastAsia="Palatino Linotype" w:hAnsi="Palatino Linotype" w:cs="Palatino Linotype"/>
        </w:rPr>
        <w:t xml:space="preserve">Por tanto, en cumplimiento a las obligaciones que la Constitución Federal, la Constitución Estatal y la Ley de la materia el </w:t>
      </w:r>
      <w:r w:rsidRPr="00DE1A3C">
        <w:rPr>
          <w:rFonts w:ascii="Palatino Linotype" w:eastAsia="Palatino Linotype" w:hAnsi="Palatino Linotype" w:cs="Palatino Linotype"/>
          <w:b/>
          <w:bCs/>
        </w:rPr>
        <w:t>SUJETO OBLIGADO</w:t>
      </w:r>
      <w:r w:rsidRPr="00DE1A3C">
        <w:rPr>
          <w:rFonts w:ascii="Palatino Linotype" w:eastAsia="Palatino Linotype" w:hAnsi="Palatino Linotype" w:cs="Palatino Linotype"/>
        </w:rPr>
        <w:t xml:space="preserve"> está constreñido a dar atención a las solicitudes de información que a través del </w:t>
      </w:r>
      <w:r w:rsidRPr="00DE1A3C">
        <w:rPr>
          <w:rFonts w:ascii="Palatino Linotype" w:eastAsia="Palatino Linotype" w:hAnsi="Palatino Linotype" w:cs="Palatino Linotype"/>
          <w:b/>
          <w:bCs/>
        </w:rPr>
        <w:t>SAIMEX</w:t>
      </w:r>
      <w:r w:rsidRPr="00DE1A3C">
        <w:rPr>
          <w:rFonts w:ascii="Palatino Linotype" w:eastAsia="Palatino Linotype" w:hAnsi="Palatino Linotype" w:cs="Palatino Linotype"/>
        </w:rPr>
        <w:t xml:space="preserve"> o de vía directa que le sean presentadas en ejercicio del derecho humano de acceso a la información pública, lo cual, en el caso no aconteció, pues tal y como se ha acreditado de la revisión del expediente electrónico formado en el </w:t>
      </w:r>
      <w:r w:rsidRPr="00DE1A3C">
        <w:rPr>
          <w:rFonts w:ascii="Palatino Linotype" w:eastAsia="Palatino Linotype" w:hAnsi="Palatino Linotype" w:cs="Palatino Linotype"/>
          <w:b/>
          <w:bCs/>
        </w:rPr>
        <w:t>SAIME</w:t>
      </w:r>
      <w:r w:rsidRPr="00DE1A3C">
        <w:rPr>
          <w:rFonts w:ascii="Palatino Linotype" w:eastAsia="Palatino Linotype" w:hAnsi="Palatino Linotype" w:cs="Palatino Linotype"/>
        </w:rPr>
        <w:t xml:space="preserve">X, el </w:t>
      </w:r>
      <w:r w:rsidRPr="00DE1A3C">
        <w:rPr>
          <w:rFonts w:ascii="Palatino Linotype" w:eastAsia="Palatino Linotype" w:hAnsi="Palatino Linotype" w:cs="Palatino Linotype"/>
          <w:b/>
          <w:bCs/>
        </w:rPr>
        <w:t>SUJETO OBLIGADO</w:t>
      </w:r>
      <w:r w:rsidRPr="00DE1A3C">
        <w:rPr>
          <w:rFonts w:ascii="Palatino Linotype" w:eastAsia="Palatino Linotype" w:hAnsi="Palatino Linotype" w:cs="Palatino Linotype"/>
        </w:rPr>
        <w:t xml:space="preserve"> fue omiso en dar respuesta a la solicitud planteada por el motivo antes señalado.</w:t>
      </w:r>
    </w:p>
    <w:p w:rsidR="005E77CD" w:rsidRPr="00DE1A3C" w:rsidRDefault="005E77CD">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5E77CD" w:rsidRPr="00DE1A3C" w:rsidRDefault="00EF0BFD">
      <w:pPr>
        <w:numPr>
          <w:ilvl w:val="0"/>
          <w:numId w:val="15"/>
        </w:numPr>
        <w:spacing w:line="360" w:lineRule="auto"/>
        <w:ind w:left="0" w:firstLine="0"/>
        <w:jc w:val="both"/>
        <w:rPr>
          <w:rFonts w:ascii="Palatino Linotype" w:eastAsia="Palatino Linotype" w:hAnsi="Palatino Linotype" w:cs="Palatino Linotype"/>
        </w:rPr>
      </w:pPr>
      <w:r w:rsidRPr="00DE1A3C">
        <w:rPr>
          <w:rFonts w:ascii="Palatino Linotype" w:eastAsia="Palatino Linotype" w:hAnsi="Palatino Linotype" w:cs="Palatino Linotype"/>
        </w:rPr>
        <w:t>En ese sentido, es menester revisar lo que mandata nuestra Ley de Transparencia local, en su artículo 12, el cual establece que quienes generen, recopilen, administren, manejen, procesen, archiven o conserven información pública serán responsables de la misma, del mismo modo, el artículo 18 establece que los Sujetos Obligados deberán documentar todo acto que derive del ejercicio de sus facultades, competencias o funciones desde su origen la eventual publicidad y reutilización de la información que generen.</w:t>
      </w:r>
    </w:p>
    <w:p w:rsidR="005E77CD" w:rsidRPr="00DE1A3C" w:rsidRDefault="005E77CD">
      <w:pPr>
        <w:spacing w:line="360" w:lineRule="auto"/>
        <w:jc w:val="both"/>
        <w:rPr>
          <w:rFonts w:ascii="Palatino Linotype" w:eastAsia="Palatino Linotype" w:hAnsi="Palatino Linotype" w:cs="Palatino Linotype"/>
        </w:rPr>
      </w:pPr>
    </w:p>
    <w:p w:rsidR="005E77CD" w:rsidRPr="00DE1A3C" w:rsidRDefault="00EF0BFD">
      <w:pPr>
        <w:numPr>
          <w:ilvl w:val="0"/>
          <w:numId w:val="15"/>
        </w:numPr>
        <w:spacing w:line="360" w:lineRule="auto"/>
        <w:ind w:left="0" w:right="-141" w:firstLine="0"/>
        <w:jc w:val="both"/>
        <w:rPr>
          <w:rFonts w:ascii="Palatino Linotype" w:eastAsia="Palatino Linotype" w:hAnsi="Palatino Linotype" w:cs="Palatino Linotype"/>
        </w:rPr>
      </w:pPr>
      <w:r w:rsidRPr="00DE1A3C">
        <w:rPr>
          <w:rFonts w:ascii="Palatino Linotype" w:eastAsia="Palatino Linotype" w:hAnsi="Palatino Linotype" w:cs="Palatino Linotype"/>
        </w:rPr>
        <w:lastRenderedPageBreak/>
        <w:t>Asimismo, es relevante mencionar que el artículo 19 del ordenamiento local de la materia señala que se presume que la información debe existir si se refiere a las facultades, competencias y funciones que los ordenamientos jurídicos aplicables otorgan a los sujetos obligados y en caso de que dichas facultades no se hayan ejercido, se deberá motivar la respuesta en función de las causas que motivaron tal circunstancia.</w:t>
      </w:r>
    </w:p>
    <w:p w:rsidR="005E77CD" w:rsidRPr="00DE1A3C" w:rsidRDefault="005E77CD">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5E77CD" w:rsidRPr="00DE1A3C" w:rsidRDefault="00EF0BFD">
      <w:pPr>
        <w:numPr>
          <w:ilvl w:val="0"/>
          <w:numId w:val="15"/>
        </w:numPr>
        <w:spacing w:line="360" w:lineRule="auto"/>
        <w:ind w:left="0" w:right="-141" w:firstLine="0"/>
        <w:jc w:val="both"/>
        <w:rPr>
          <w:rFonts w:ascii="Palatino Linotype" w:eastAsia="Palatino Linotype" w:hAnsi="Palatino Linotype" w:cs="Palatino Linotype"/>
        </w:rPr>
      </w:pPr>
      <w:r w:rsidRPr="00DE1A3C">
        <w:rPr>
          <w:rFonts w:ascii="Palatino Linotype" w:eastAsia="Palatino Linotype" w:hAnsi="Palatino Linotype" w:cs="Palatino Linotype"/>
        </w:rPr>
        <w:t>Los artículos antes citados, refieren que el derecho de acceso a la información pública es un derecho humano que abarca el solicitar, investigar, difundir y buscar información que se encuentre en los archivos de los sujetos obligados, ya sea porque estos las generaron o la poseen en atención a sus funciones, por lo que se le considera un bien común de dominio público, toda vez que al tratarse de acciones ejercidas por un servidor público, este lo hace en representación del Estado, por lo que le pertenece a todos y debe ser accesible a cualquier persona, ya sea que los particulares la puedan consultar por encontrarse publicada en cualquier medio de difusión o porque la requieren a través de una solicitud de acceso a la información, siempre y cuando no encuadre en una de las excepciones contempladas por la ley.</w:t>
      </w:r>
    </w:p>
    <w:p w:rsidR="005E77CD" w:rsidRPr="00DE1A3C" w:rsidRDefault="005E77CD">
      <w:pPr>
        <w:pBdr>
          <w:top w:val="nil"/>
          <w:left w:val="nil"/>
          <w:bottom w:val="nil"/>
          <w:right w:val="nil"/>
          <w:between w:val="nil"/>
        </w:pBdr>
        <w:spacing w:line="360" w:lineRule="auto"/>
        <w:ind w:left="720"/>
        <w:rPr>
          <w:rFonts w:ascii="Palatino Linotype" w:eastAsia="Palatino Linotype" w:hAnsi="Palatino Linotype" w:cs="Palatino Linotype"/>
          <w:color w:val="000000"/>
        </w:rPr>
      </w:pPr>
    </w:p>
    <w:p w:rsidR="005E77CD" w:rsidRPr="00DE1A3C" w:rsidRDefault="00EF0BFD">
      <w:pPr>
        <w:numPr>
          <w:ilvl w:val="0"/>
          <w:numId w:val="15"/>
        </w:numPr>
        <w:pBdr>
          <w:top w:val="nil"/>
          <w:left w:val="nil"/>
          <w:bottom w:val="nil"/>
          <w:right w:val="nil"/>
          <w:between w:val="nil"/>
        </w:pBdr>
        <w:spacing w:line="360" w:lineRule="auto"/>
        <w:ind w:left="0" w:right="-141" w:firstLine="0"/>
        <w:jc w:val="both"/>
        <w:rPr>
          <w:rFonts w:ascii="Palatino Linotype" w:eastAsia="Palatino Linotype" w:hAnsi="Palatino Linotype" w:cs="Palatino Linotype"/>
          <w:color w:val="000000"/>
        </w:rPr>
      </w:pPr>
      <w:r w:rsidRPr="00DE1A3C">
        <w:rPr>
          <w:rFonts w:ascii="Palatino Linotype" w:eastAsia="Palatino Linotype" w:hAnsi="Palatino Linotype" w:cs="Palatino Linotype"/>
          <w:color w:val="000000"/>
        </w:rPr>
        <w:t xml:space="preserve">Ahora bien, es de suma importancia señalar los objetivos de la Ley de Transparencia y Acceso a la Información Pública del Estado de México y Municipios, en relación con la obligación de acceso por parte de los Sujetos Obligados, lo cuales se encuentran establecidos en el artículo 2° de dicho ordenamiento jurídico y son los siguientes: </w:t>
      </w:r>
    </w:p>
    <w:p w:rsidR="005E77CD" w:rsidRPr="00DE1A3C" w:rsidRDefault="005E77C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E77CD" w:rsidRPr="00DE1A3C" w:rsidRDefault="00EF0BFD">
      <w:pPr>
        <w:pBdr>
          <w:top w:val="nil"/>
          <w:left w:val="nil"/>
          <w:bottom w:val="nil"/>
          <w:right w:val="nil"/>
          <w:between w:val="nil"/>
        </w:pBdr>
        <w:spacing w:line="276" w:lineRule="auto"/>
        <w:ind w:left="1134" w:right="851" w:firstLine="10"/>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 xml:space="preserve">● Proveer lo necesario para garantizar a toda persona el derecho de acceso a la información pública, a través de procedimientos sencillos, expeditos, oportunos y gratuitos; </w:t>
      </w:r>
    </w:p>
    <w:p w:rsidR="005E77CD" w:rsidRPr="00DE1A3C" w:rsidRDefault="005E77CD">
      <w:pPr>
        <w:pBdr>
          <w:top w:val="nil"/>
          <w:left w:val="nil"/>
          <w:bottom w:val="nil"/>
          <w:right w:val="nil"/>
          <w:between w:val="nil"/>
        </w:pBdr>
        <w:spacing w:line="276" w:lineRule="auto"/>
        <w:ind w:left="1134" w:right="851" w:firstLine="10"/>
        <w:jc w:val="both"/>
        <w:rPr>
          <w:rFonts w:ascii="Palatino Linotype" w:eastAsia="Palatino Linotype" w:hAnsi="Palatino Linotype" w:cs="Palatino Linotype"/>
          <w:i/>
          <w:iCs/>
          <w:color w:val="000000"/>
        </w:rPr>
      </w:pPr>
    </w:p>
    <w:p w:rsidR="005E77CD" w:rsidRPr="00DE1A3C" w:rsidRDefault="00EF0BFD">
      <w:pPr>
        <w:pBdr>
          <w:top w:val="nil"/>
          <w:left w:val="nil"/>
          <w:bottom w:val="nil"/>
          <w:right w:val="nil"/>
          <w:between w:val="nil"/>
        </w:pBdr>
        <w:spacing w:line="276" w:lineRule="auto"/>
        <w:ind w:left="1134" w:right="851" w:firstLine="10"/>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 xml:space="preserve">● Transparentar la gestión pública, mediante la difusión de la información generada por los Sujetos Obligados, y </w:t>
      </w:r>
    </w:p>
    <w:p w:rsidR="005E77CD" w:rsidRPr="00DE1A3C" w:rsidRDefault="005E77CD">
      <w:pPr>
        <w:pBdr>
          <w:top w:val="nil"/>
          <w:left w:val="nil"/>
          <w:bottom w:val="nil"/>
          <w:right w:val="nil"/>
          <w:between w:val="nil"/>
        </w:pBdr>
        <w:spacing w:line="276" w:lineRule="auto"/>
        <w:ind w:left="1134" w:right="851" w:firstLine="10"/>
        <w:jc w:val="both"/>
        <w:rPr>
          <w:rFonts w:ascii="Palatino Linotype" w:eastAsia="Palatino Linotype" w:hAnsi="Palatino Linotype" w:cs="Palatino Linotype"/>
          <w:i/>
          <w:iCs/>
          <w:color w:val="000000"/>
        </w:rPr>
      </w:pPr>
    </w:p>
    <w:p w:rsidR="005E77CD" w:rsidRPr="00DE1A3C" w:rsidRDefault="00EF0BFD">
      <w:pPr>
        <w:pBdr>
          <w:top w:val="nil"/>
          <w:left w:val="nil"/>
          <w:bottom w:val="nil"/>
          <w:right w:val="nil"/>
          <w:between w:val="nil"/>
        </w:pBdr>
        <w:spacing w:line="276" w:lineRule="auto"/>
        <w:ind w:left="1134" w:right="851" w:firstLine="10"/>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 Promover, fomentar y difundir la cultura de la transparencia en el ejercicio de la función pública, el acceso a la información y la participación ciudadana, así como, la rendición de cuentas.</w:t>
      </w:r>
    </w:p>
    <w:p w:rsidR="005E77CD" w:rsidRPr="00DE1A3C" w:rsidRDefault="005E77C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E77CD" w:rsidRPr="00DE1A3C" w:rsidRDefault="00EF0BFD">
      <w:pPr>
        <w:numPr>
          <w:ilvl w:val="0"/>
          <w:numId w:val="1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E1A3C">
        <w:rPr>
          <w:rFonts w:ascii="Palatino Linotype" w:eastAsia="Palatino Linotype" w:hAnsi="Palatino Linotype" w:cs="Palatino Linotype"/>
          <w:color w:val="000000"/>
        </w:rPr>
        <w:t>Conforme a lo anterior, se deprende que los objetivos de la Ley de la materia, son establecer las bases que regirán las formas para garantizar el derecho de acceso a la información, mediante procesos sencillos y expeditos, la promoción, fomentación y difusión de la cultura de transparencia y la rendición de cuentas, a través de establecimiento de políticas públicas y mecanismos que garanticen la publicidad de información oportuna, verificable, comprensible, actualizada y completa.</w:t>
      </w:r>
    </w:p>
    <w:p w:rsidR="005E77CD" w:rsidRPr="00DE1A3C" w:rsidRDefault="005E77C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E77CD" w:rsidRPr="00DE1A3C" w:rsidRDefault="00EF0BFD">
      <w:pPr>
        <w:numPr>
          <w:ilvl w:val="0"/>
          <w:numId w:val="1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E1A3C">
        <w:rPr>
          <w:rFonts w:ascii="Palatino Linotype" w:eastAsia="Palatino Linotype" w:hAnsi="Palatino Linotype" w:cs="Palatino Linotype"/>
          <w:color w:val="000000"/>
        </w:rPr>
        <w:t>En ese orden de ideas, para la atención de las solicitudes de acceso a la información, debe privilegiarse el principio de máxima publicidad el cual dispone que toda la información en posesión de los sujetos obligados será pública, completa, oportuna y accesible, sujeta a un claro régimen de excepciones que deberán estar definidas y ser legítimas y estrictamente necesarias en una sociedad democrática.</w:t>
      </w:r>
    </w:p>
    <w:p w:rsidR="005E77CD" w:rsidRPr="00DE1A3C" w:rsidRDefault="005E77C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E77CD" w:rsidRPr="00DE1A3C" w:rsidRDefault="00EF0BFD">
      <w:pPr>
        <w:numPr>
          <w:ilvl w:val="0"/>
          <w:numId w:val="1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E1A3C">
        <w:rPr>
          <w:rFonts w:ascii="Palatino Linotype" w:eastAsia="Palatino Linotype" w:hAnsi="Palatino Linotype" w:cs="Palatino Linotype"/>
          <w:color w:val="000000"/>
        </w:rPr>
        <w:t>Para lograr lo anterior, los Sujetos Obligados deben seguir el procedimiento para la atención a las solicitudes de acceso a la información, establecido en los artículos 151, 159, 160, 162, 163, 164, 165 y 166, de la Ley de Transparencia y Acceso a la Información Pública del Estado de México y Municipios, el cual es el siguiente:</w:t>
      </w:r>
    </w:p>
    <w:p w:rsidR="005E77CD" w:rsidRPr="00DE1A3C" w:rsidRDefault="005E77C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E77CD" w:rsidRPr="00DE1A3C" w:rsidRDefault="00EF0BFD">
      <w:pPr>
        <w:numPr>
          <w:ilvl w:val="0"/>
          <w:numId w:val="16"/>
        </w:numPr>
        <w:pBdr>
          <w:top w:val="nil"/>
          <w:left w:val="nil"/>
          <w:bottom w:val="nil"/>
          <w:right w:val="nil"/>
          <w:between w:val="nil"/>
        </w:pBdr>
        <w:tabs>
          <w:tab w:val="left" w:pos="8364"/>
        </w:tabs>
        <w:spacing w:line="276" w:lineRule="auto"/>
        <w:ind w:left="1134" w:right="709"/>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lastRenderedPageBreak/>
        <w:t>Las Unidades de Transparencia de los Sujetos Obligados deben garantizar las medidas y condiciones de accesibilidad para que toda persona puede ejercer el derecho de acceso a la información; por lo que, son las responsables de hacer las notificaciones correspondientes, además de llevar a cabo de todas las gestiones necesarias para facilitar el acceso de la información;</w:t>
      </w:r>
    </w:p>
    <w:p w:rsidR="005E77CD" w:rsidRPr="00DE1A3C" w:rsidRDefault="005E77CD">
      <w:pPr>
        <w:pBdr>
          <w:top w:val="nil"/>
          <w:left w:val="nil"/>
          <w:bottom w:val="nil"/>
          <w:right w:val="nil"/>
          <w:between w:val="nil"/>
        </w:pBdr>
        <w:spacing w:line="276" w:lineRule="auto"/>
        <w:ind w:left="1134"/>
        <w:jc w:val="both"/>
        <w:rPr>
          <w:rFonts w:ascii="Palatino Linotype" w:eastAsia="Palatino Linotype" w:hAnsi="Palatino Linotype" w:cs="Palatino Linotype"/>
          <w:i/>
          <w:iCs/>
          <w:color w:val="000000"/>
        </w:rPr>
      </w:pPr>
    </w:p>
    <w:p w:rsidR="005E77CD" w:rsidRPr="00DE1A3C" w:rsidRDefault="00EF0BFD">
      <w:pPr>
        <w:numPr>
          <w:ilvl w:val="0"/>
          <w:numId w:val="16"/>
        </w:numPr>
        <w:pBdr>
          <w:top w:val="nil"/>
          <w:left w:val="nil"/>
          <w:bottom w:val="nil"/>
          <w:right w:val="nil"/>
          <w:between w:val="nil"/>
        </w:pBdr>
        <w:spacing w:line="276" w:lineRule="auto"/>
        <w:ind w:left="1134" w:right="567"/>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Los Sujetos Obligados podrán requerirle a los Solicitantes, que complementen, corrijan o amplíen su solicitud de información, cuando resulten los datos proporcionados insuficientes, incorrectos, incompletos o erróneos; solicitar dicha aclaración, interrumpirá el plazo para dar respuesta y comenzará a computarse el día siguiente al desahogo de esta.</w:t>
      </w:r>
    </w:p>
    <w:p w:rsidR="005E77CD" w:rsidRPr="00DE1A3C" w:rsidRDefault="005E77CD">
      <w:pPr>
        <w:pBdr>
          <w:top w:val="nil"/>
          <w:left w:val="nil"/>
          <w:bottom w:val="nil"/>
          <w:right w:val="nil"/>
          <w:between w:val="nil"/>
        </w:pBdr>
        <w:spacing w:line="276" w:lineRule="auto"/>
        <w:ind w:left="1134"/>
        <w:rPr>
          <w:rFonts w:ascii="Palatino Linotype" w:eastAsia="Palatino Linotype" w:hAnsi="Palatino Linotype" w:cs="Palatino Linotype"/>
          <w:i/>
          <w:iCs/>
          <w:color w:val="000000"/>
        </w:rPr>
      </w:pPr>
    </w:p>
    <w:p w:rsidR="005E77CD" w:rsidRPr="00DE1A3C" w:rsidRDefault="00EF0BFD">
      <w:pPr>
        <w:numPr>
          <w:ilvl w:val="0"/>
          <w:numId w:val="16"/>
        </w:numPr>
        <w:pBdr>
          <w:top w:val="nil"/>
          <w:left w:val="nil"/>
          <w:bottom w:val="nil"/>
          <w:right w:val="nil"/>
          <w:between w:val="nil"/>
        </w:pBdr>
        <w:tabs>
          <w:tab w:val="left" w:pos="8647"/>
        </w:tabs>
        <w:spacing w:line="276" w:lineRule="auto"/>
        <w:ind w:left="1134" w:right="709"/>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Las respuestas a los requerimientos informativos deberán notificarse al interesado en el menor tiempo posible, que no podrá exceder quince días, contados a partir del día siguiente a la presentación de ésta. Excepcionalmente, el plazo referido podrá ampliarse por siete días hábiles más, cuando existan razones fundadas y motivadas, a través del Comité de Transparencia;</w:t>
      </w:r>
    </w:p>
    <w:p w:rsidR="005E77CD" w:rsidRPr="00DE1A3C" w:rsidRDefault="005E77CD">
      <w:pPr>
        <w:pBdr>
          <w:top w:val="nil"/>
          <w:left w:val="nil"/>
          <w:bottom w:val="nil"/>
          <w:right w:val="nil"/>
          <w:between w:val="nil"/>
        </w:pBdr>
        <w:spacing w:line="276" w:lineRule="auto"/>
        <w:ind w:left="1134"/>
        <w:rPr>
          <w:rFonts w:ascii="Palatino Linotype" w:eastAsia="Palatino Linotype" w:hAnsi="Palatino Linotype" w:cs="Palatino Linotype"/>
          <w:i/>
          <w:iCs/>
          <w:color w:val="000000"/>
        </w:rPr>
      </w:pPr>
    </w:p>
    <w:p w:rsidR="005E77CD" w:rsidRPr="00DE1A3C" w:rsidRDefault="00EF0BFD">
      <w:pPr>
        <w:numPr>
          <w:ilvl w:val="0"/>
          <w:numId w:val="16"/>
        </w:numPr>
        <w:pBdr>
          <w:top w:val="nil"/>
          <w:left w:val="nil"/>
          <w:bottom w:val="nil"/>
          <w:right w:val="nil"/>
          <w:between w:val="nil"/>
        </w:pBdr>
        <w:spacing w:line="276" w:lineRule="auto"/>
        <w:ind w:left="1134" w:right="567"/>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Las Unidades de Transparencia garantizarán que las solicitudes se turnen a todas las áreas competentes que cuenten con la información o deban tenerla de acuerdo a sus facultades, funciones y atribuciones, para que realicen una búsqueda exhaustiva y razonable de la documentación solicitada, con el fin de que proporcionen las expresiones documentales que se encuentren en sus archivos o que estén constreñidos a elaborar;</w:t>
      </w:r>
    </w:p>
    <w:p w:rsidR="005E77CD" w:rsidRPr="00DE1A3C" w:rsidRDefault="005E77CD">
      <w:pPr>
        <w:pBdr>
          <w:top w:val="nil"/>
          <w:left w:val="nil"/>
          <w:bottom w:val="nil"/>
          <w:right w:val="nil"/>
          <w:between w:val="nil"/>
        </w:pBdr>
        <w:spacing w:line="276" w:lineRule="auto"/>
        <w:ind w:left="1134"/>
        <w:rPr>
          <w:rFonts w:ascii="Palatino Linotype" w:eastAsia="Palatino Linotype" w:hAnsi="Palatino Linotype" w:cs="Palatino Linotype"/>
          <w:i/>
          <w:iCs/>
          <w:color w:val="000000"/>
        </w:rPr>
      </w:pPr>
    </w:p>
    <w:p w:rsidR="005E77CD" w:rsidRPr="00DE1A3C" w:rsidRDefault="00EF0BFD">
      <w:pPr>
        <w:numPr>
          <w:ilvl w:val="0"/>
          <w:numId w:val="16"/>
        </w:numPr>
        <w:pBdr>
          <w:top w:val="nil"/>
          <w:left w:val="nil"/>
          <w:bottom w:val="nil"/>
          <w:right w:val="nil"/>
          <w:between w:val="nil"/>
        </w:pBdr>
        <w:spacing w:line="276" w:lineRule="auto"/>
        <w:ind w:left="1134" w:right="425"/>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El acceso se dará en la modalidad de entrega y en su caso, de envío elegido por el solicitante, cuando no pueda entregarse en dicha modalidad, el Sujeto Obligado deberá ofrecer otras; por lo cual, deberá fundamentar y motivar la necesidad de modificar el medio de entrega, y</w:t>
      </w:r>
    </w:p>
    <w:p w:rsidR="005E77CD" w:rsidRPr="00DE1A3C" w:rsidRDefault="005E77CD">
      <w:pPr>
        <w:pBdr>
          <w:top w:val="nil"/>
          <w:left w:val="nil"/>
          <w:bottom w:val="nil"/>
          <w:right w:val="nil"/>
          <w:between w:val="nil"/>
        </w:pBdr>
        <w:spacing w:line="276" w:lineRule="auto"/>
        <w:ind w:left="1134"/>
        <w:rPr>
          <w:rFonts w:ascii="Palatino Linotype" w:eastAsia="Palatino Linotype" w:hAnsi="Palatino Linotype" w:cs="Palatino Linotype"/>
          <w:i/>
          <w:iCs/>
          <w:color w:val="000000"/>
        </w:rPr>
      </w:pPr>
    </w:p>
    <w:p w:rsidR="005E77CD" w:rsidRPr="00DE1A3C" w:rsidRDefault="00EF0BFD">
      <w:pPr>
        <w:numPr>
          <w:ilvl w:val="0"/>
          <w:numId w:val="16"/>
        </w:numPr>
        <w:pBdr>
          <w:top w:val="nil"/>
          <w:left w:val="nil"/>
          <w:bottom w:val="nil"/>
          <w:right w:val="nil"/>
          <w:between w:val="nil"/>
        </w:pBdr>
        <w:tabs>
          <w:tab w:val="left" w:pos="8364"/>
        </w:tabs>
        <w:spacing w:line="276" w:lineRule="auto"/>
        <w:ind w:left="1134" w:right="567"/>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lastRenderedPageBreak/>
        <w:t>Las Unidades de Transparencia, tendrán disponible la información requerida durante un plazo mínimo de sesenta días hábiles, contados a partir de que el solicitante hubiere realizado, en su caso, el pago respectivo, el cual deberá efectuarse en un plazo no mayor a treinta días hábiles; por lo que, una vez trascurrida dicha temporalidad, los Sujetos Obligados darán por concluida la solicitud y procederán de ser el caso, a la destrucción del material.</w:t>
      </w:r>
    </w:p>
    <w:p w:rsidR="005E77CD" w:rsidRPr="00DE1A3C" w:rsidRDefault="005E77C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E77CD" w:rsidRPr="00DE1A3C" w:rsidRDefault="00EF0BFD">
      <w:pPr>
        <w:numPr>
          <w:ilvl w:val="0"/>
          <w:numId w:val="1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E1A3C">
        <w:rPr>
          <w:rFonts w:ascii="Palatino Linotype" w:eastAsia="Palatino Linotype" w:hAnsi="Palatino Linotype" w:cs="Palatino Linotype"/>
          <w:color w:val="000000"/>
        </w:rPr>
        <w:t xml:space="preserve">Una vez establecido lo anterior, es de indicar que el agravio del Particular consistió en que no se le proporcionó la información requerida, no obstante que el </w:t>
      </w:r>
      <w:r w:rsidRPr="00DE1A3C">
        <w:rPr>
          <w:rFonts w:ascii="Palatino Linotype" w:eastAsia="Palatino Linotype" w:hAnsi="Palatino Linotype" w:cs="Palatino Linotype"/>
          <w:b/>
          <w:bCs/>
          <w:color w:val="000000"/>
        </w:rPr>
        <w:t>SUJETO OBLIGADO</w:t>
      </w:r>
      <w:r w:rsidRPr="00DE1A3C">
        <w:rPr>
          <w:rFonts w:ascii="Palatino Linotype" w:eastAsia="Palatino Linotype" w:hAnsi="Palatino Linotype" w:cs="Palatino Linotype"/>
          <w:color w:val="000000"/>
        </w:rPr>
        <w:t xml:space="preserve"> en respuesta informó que se adjuntaba los oficio referidos en las solicitudes, sin embargo tales no fueron agregados; ante tal situación este Instituto verificó que, en efecto, no se agregaron las documentales de referencia en el Sistema de Acceso a la Información Mexiquense (SAIMEX), como ha quedado establecido.</w:t>
      </w:r>
    </w:p>
    <w:p w:rsidR="005E77CD" w:rsidRPr="00DE1A3C" w:rsidRDefault="005E77CD">
      <w:pPr>
        <w:pBdr>
          <w:top w:val="nil"/>
          <w:left w:val="nil"/>
          <w:bottom w:val="nil"/>
          <w:right w:val="nil"/>
          <w:between w:val="nil"/>
        </w:pBdr>
        <w:spacing w:line="360" w:lineRule="auto"/>
        <w:jc w:val="both"/>
        <w:rPr>
          <w:rFonts w:ascii="Palatino Linotype" w:eastAsia="Palatino Linotype" w:hAnsi="Palatino Linotype" w:cs="Palatino Linotype"/>
        </w:rPr>
      </w:pPr>
    </w:p>
    <w:p w:rsidR="005E77CD" w:rsidRPr="00DE1A3C" w:rsidRDefault="00EF0BFD">
      <w:pPr>
        <w:numPr>
          <w:ilvl w:val="0"/>
          <w:numId w:val="1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E1A3C">
        <w:rPr>
          <w:rFonts w:ascii="Palatino Linotype" w:eastAsia="Palatino Linotype" w:hAnsi="Palatino Linotype" w:cs="Palatino Linotype"/>
          <w:color w:val="000000"/>
        </w:rPr>
        <w:t xml:space="preserve">Conforme a lo anterior, se colige que, tal como lo precisó la persona Recurrente, el Ayuntamiento de Toluca, no emitió respuesta para dar contestación a la solicitud de acceso a la información pública, por lo que es evidente que el agravio es FUNDADO.  </w:t>
      </w:r>
    </w:p>
    <w:p w:rsidR="005E77CD" w:rsidRPr="00DE1A3C" w:rsidRDefault="005E77CD">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rsidR="005E77CD" w:rsidRPr="00DE1A3C" w:rsidRDefault="00EF0BFD">
      <w:pPr>
        <w:pBdr>
          <w:top w:val="nil"/>
          <w:left w:val="nil"/>
          <w:bottom w:val="nil"/>
          <w:right w:val="nil"/>
          <w:between w:val="nil"/>
        </w:pBdr>
        <w:spacing w:line="360" w:lineRule="auto"/>
        <w:jc w:val="both"/>
        <w:rPr>
          <w:rFonts w:ascii="Palatino Linotype" w:eastAsia="Palatino Linotype" w:hAnsi="Palatino Linotype" w:cs="Palatino Linotype"/>
        </w:rPr>
      </w:pPr>
      <w:r w:rsidRPr="00DE1A3C">
        <w:rPr>
          <w:rFonts w:ascii="Palatino Linotype" w:eastAsia="Palatino Linotype" w:hAnsi="Palatino Linotype" w:cs="Palatino Linotype"/>
          <w:b/>
          <w:bCs/>
          <w:color w:val="000000"/>
        </w:rPr>
        <w:t xml:space="preserve">QUINTO. </w:t>
      </w:r>
    </w:p>
    <w:p w:rsidR="005E77CD" w:rsidRPr="00DE1A3C" w:rsidRDefault="00EF0BFD">
      <w:pPr>
        <w:keepNext/>
        <w:keepLines/>
        <w:spacing w:after="160"/>
        <w:rPr>
          <w:rFonts w:ascii="Palatino Linotype" w:eastAsia="Palatino Linotype" w:hAnsi="Palatino Linotype" w:cs="Palatino Linotype"/>
          <w:b/>
          <w:bCs/>
          <w:color w:val="000000"/>
        </w:rPr>
      </w:pPr>
      <w:r w:rsidRPr="00DE1A3C">
        <w:rPr>
          <w:rFonts w:ascii="Palatino Linotype" w:eastAsia="Palatino Linotype" w:hAnsi="Palatino Linotype" w:cs="Palatino Linotype"/>
          <w:b/>
          <w:bCs/>
          <w:color w:val="000000"/>
        </w:rPr>
        <w:t xml:space="preserve"> De la versión pública.</w:t>
      </w:r>
    </w:p>
    <w:p w:rsidR="005E77CD" w:rsidRPr="00DE1A3C" w:rsidRDefault="00EF0BFD">
      <w:pPr>
        <w:keepNext/>
        <w:keepLines/>
        <w:numPr>
          <w:ilvl w:val="0"/>
          <w:numId w:val="4"/>
        </w:numPr>
        <w:tabs>
          <w:tab w:val="left" w:pos="284"/>
        </w:tabs>
        <w:spacing w:after="160"/>
        <w:ind w:left="0" w:firstLine="0"/>
        <w:rPr>
          <w:rFonts w:ascii="Palatino Linotype" w:eastAsia="Palatino Linotype" w:hAnsi="Palatino Linotype" w:cs="Palatino Linotype"/>
          <w:b/>
          <w:bCs/>
          <w:color w:val="000000"/>
        </w:rPr>
      </w:pPr>
      <w:bookmarkStart w:id="9" w:name="_heading=h.8porszv8ww1h" w:colFirst="0" w:colLast="0"/>
      <w:bookmarkEnd w:id="9"/>
      <w:r w:rsidRPr="00DE1A3C">
        <w:rPr>
          <w:rFonts w:ascii="Palatino Linotype" w:eastAsia="Palatino Linotype" w:hAnsi="Palatino Linotype" w:cs="Palatino Linotype"/>
          <w:b/>
          <w:bCs/>
          <w:color w:val="000000"/>
        </w:rPr>
        <w:t xml:space="preserve">Nociones generales. </w:t>
      </w:r>
    </w:p>
    <w:p w:rsidR="005E77CD" w:rsidRPr="00DE1A3C" w:rsidRDefault="00EF0BFD">
      <w:pPr>
        <w:numPr>
          <w:ilvl w:val="0"/>
          <w:numId w:val="5"/>
        </w:numPr>
        <w:tabs>
          <w:tab w:val="left" w:pos="284"/>
        </w:tabs>
        <w:spacing w:line="360" w:lineRule="auto"/>
        <w:ind w:left="0" w:right="49" w:firstLine="0"/>
        <w:jc w:val="both"/>
        <w:rPr>
          <w:rFonts w:ascii="Palatino Linotype" w:eastAsia="Palatino Linotype" w:hAnsi="Palatino Linotype" w:cs="Palatino Linotype"/>
          <w:color w:val="000000"/>
        </w:rPr>
      </w:pPr>
      <w:r w:rsidRPr="00DE1A3C">
        <w:rPr>
          <w:rFonts w:ascii="Palatino Linotype" w:eastAsia="Palatino Linotype" w:hAnsi="Palatino Linotype" w:cs="Palatino Linotype"/>
          <w:color w:val="000000"/>
        </w:rPr>
        <w:t xml:space="preserve">Debe destacarse, que debido a la información solicitada por el </w:t>
      </w:r>
      <w:r w:rsidRPr="00DE1A3C">
        <w:rPr>
          <w:rFonts w:ascii="Palatino Linotype" w:eastAsia="Palatino Linotype" w:hAnsi="Palatino Linotype" w:cs="Palatino Linotype"/>
          <w:b/>
          <w:bCs/>
          <w:color w:val="000000"/>
        </w:rPr>
        <w:t xml:space="preserve">RECURRENTE, </w:t>
      </w:r>
      <w:r w:rsidRPr="00DE1A3C">
        <w:rPr>
          <w:rFonts w:ascii="Palatino Linotype" w:eastAsia="Palatino Linotype" w:hAnsi="Palatino Linotype" w:cs="Palatino Linotype"/>
          <w:color w:val="000000"/>
        </w:rPr>
        <w:t xml:space="preserve">pueden obrar datos personales susceptibles de protegerse, así como información susceptible de clasificarse como confidencial,  por lo que, el </w:t>
      </w:r>
      <w:r w:rsidRPr="00DE1A3C">
        <w:rPr>
          <w:rFonts w:ascii="Palatino Linotype" w:eastAsia="Palatino Linotype" w:hAnsi="Palatino Linotype" w:cs="Palatino Linotype"/>
          <w:b/>
          <w:bCs/>
          <w:color w:val="000000"/>
        </w:rPr>
        <w:t xml:space="preserve">SUJETO OBLIGADO </w:t>
      </w:r>
      <w:r w:rsidRPr="00DE1A3C">
        <w:rPr>
          <w:rFonts w:ascii="Palatino Linotype" w:eastAsia="Palatino Linotype" w:hAnsi="Palatino Linotype" w:cs="Palatino Linotype"/>
          <w:color w:val="000000"/>
        </w:rPr>
        <w:t xml:space="preserve">deberá de hacer la adecuada versión pública, protegiendo los datos que no son susceptibles de ser proporcionados. </w:t>
      </w:r>
    </w:p>
    <w:p w:rsidR="005E77CD" w:rsidRPr="00DE1A3C" w:rsidRDefault="00EF0BFD" w:rsidP="00DE1A3C">
      <w:pPr>
        <w:numPr>
          <w:ilvl w:val="0"/>
          <w:numId w:val="5"/>
        </w:numPr>
        <w:spacing w:line="360" w:lineRule="auto"/>
        <w:ind w:left="0" w:right="49" w:firstLine="0"/>
        <w:jc w:val="both"/>
        <w:rPr>
          <w:rFonts w:ascii="Palatino Linotype" w:eastAsia="Palatino Linotype" w:hAnsi="Palatino Linotype" w:cs="Palatino Linotype"/>
          <w:color w:val="000000"/>
        </w:rPr>
      </w:pPr>
      <w:r w:rsidRPr="00DE1A3C">
        <w:rPr>
          <w:rFonts w:ascii="Palatino Linotype" w:eastAsia="Palatino Linotype" w:hAnsi="Palatino Linotype" w:cs="Palatino Linotype"/>
          <w:color w:val="000000"/>
        </w:rPr>
        <w:lastRenderedPageBreak/>
        <w:t>No pasa desapercibido para este Órgano Garante que los sujetos obligados</w:t>
      </w:r>
      <w:r w:rsidRPr="00DE1A3C">
        <w:rPr>
          <w:rFonts w:ascii="Palatino Linotype" w:eastAsia="Palatino Linotype" w:hAnsi="Palatino Linotype" w:cs="Palatino Linotype"/>
          <w:b/>
          <w:bCs/>
          <w:color w:val="000000"/>
        </w:rPr>
        <w:t xml:space="preserve"> </w:t>
      </w:r>
      <w:r w:rsidRPr="00DE1A3C">
        <w:rPr>
          <w:rFonts w:ascii="Palatino Linotype" w:eastAsia="Palatino Linotype" w:hAnsi="Palatino Linotype" w:cs="Palatino Linotype"/>
          <w:color w:val="000000"/>
        </w:rPr>
        <w:t>serán responsables de los datos personales en su posesión y que, en caso de localizarse datos concernientes a terceros, éstos no podrán difundir, distribuir o comercializar los datos personales.  Cabe destacar que, para la realización de la clasificación de la información, se deben seguir una serie de pasos y procedimientos, por lo que es menester reiterar los mismos:</w:t>
      </w:r>
    </w:p>
    <w:tbl>
      <w:tblPr>
        <w:tblStyle w:val="a"/>
        <w:tblW w:w="9918" w:type="dxa"/>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2689"/>
        <w:gridCol w:w="7229"/>
      </w:tblGrid>
      <w:tr w:rsidR="005E77CD" w:rsidRPr="00DE1A3C" w:rsidTr="00DE1A3C">
        <w:tc>
          <w:tcPr>
            <w:tcW w:w="2689" w:type="dxa"/>
          </w:tcPr>
          <w:p w:rsidR="005E77CD" w:rsidRPr="00DE1A3C" w:rsidRDefault="00EF0BFD" w:rsidP="00DE1A3C">
            <w:pPr>
              <w:spacing w:line="360" w:lineRule="auto"/>
              <w:rPr>
                <w:rFonts w:ascii="Palatino Linotype" w:eastAsia="Palatino Linotype" w:hAnsi="Palatino Linotype" w:cs="Palatino Linotype"/>
              </w:rPr>
            </w:pPr>
            <w:r w:rsidRPr="00DE1A3C">
              <w:rPr>
                <w:rFonts w:ascii="Palatino Linotype" w:eastAsia="Palatino Linotype" w:hAnsi="Palatino Linotype" w:cs="Palatino Linotype"/>
              </w:rPr>
              <w:t>a) Requisitos previos.</w:t>
            </w:r>
          </w:p>
        </w:tc>
        <w:tc>
          <w:tcPr>
            <w:tcW w:w="7229" w:type="dxa"/>
          </w:tcPr>
          <w:p w:rsidR="005E77CD" w:rsidRPr="00DE1A3C" w:rsidRDefault="00EF0BFD" w:rsidP="00DE1A3C">
            <w:pPr>
              <w:spacing w:line="276" w:lineRule="auto"/>
              <w:ind w:right="49"/>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 xml:space="preserve">Los artículos 100 y 122 de la Ley Estatal y de la Ley General, respectivamente, señalan que si los Sujetos Obligados determinan que la información actualiza alguno de los supuestos de clasificación, es deber de los titulares de las áreas proponer su clasificación y no del Comité de Transparencia. </w:t>
            </w:r>
          </w:p>
          <w:p w:rsidR="005E77CD" w:rsidRPr="00DE1A3C" w:rsidRDefault="00EF0BFD" w:rsidP="00DE1A3C">
            <w:pPr>
              <w:spacing w:line="276" w:lineRule="auto"/>
              <w:ind w:right="49"/>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Al hacerlo tienen que precisar de qué información se trata, señalando el supuesto de clasificación (confidencialidad o reserva).</w:t>
            </w:r>
          </w:p>
          <w:p w:rsidR="005E77CD" w:rsidRPr="00DE1A3C" w:rsidRDefault="00EF0BFD" w:rsidP="00DE1A3C">
            <w:pPr>
              <w:spacing w:line="276" w:lineRule="auto"/>
              <w:ind w:right="49"/>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Además, se debe señalar el procedimiento, de los tres que establecen los artículos 132 y 106 de la Ley Estatal y General, respectivamente.</w:t>
            </w:r>
          </w:p>
          <w:p w:rsidR="005E77CD" w:rsidRPr="00DE1A3C" w:rsidRDefault="00EF0BFD" w:rsidP="00DE1A3C">
            <w:pPr>
              <w:spacing w:line="276" w:lineRule="auto"/>
              <w:jc w:val="both"/>
              <w:rPr>
                <w:rFonts w:ascii="Palatino Linotype" w:eastAsia="Palatino Linotype" w:hAnsi="Palatino Linotype" w:cs="Palatino Linotype"/>
                <w:i/>
                <w:iCs/>
              </w:rPr>
            </w:pPr>
            <w:r w:rsidRPr="00DE1A3C">
              <w:rPr>
                <w:rFonts w:ascii="Palatino Linotype" w:eastAsia="Palatino Linotype" w:hAnsi="Palatino Linotype" w:cs="Palatino Linotype"/>
                <w:i/>
                <w:iCs/>
                <w:color w:val="000000"/>
              </w:rPr>
              <w:t xml:space="preserve">El último de estos requisitos previos consiste en que no se pueden emitir acuerdos de carácter general ni particular, esto es, </w:t>
            </w:r>
            <w:r w:rsidRPr="00DE1A3C">
              <w:rPr>
                <w:rFonts w:ascii="Palatino Linotype" w:eastAsia="Palatino Linotype" w:hAnsi="Palatino Linotype" w:cs="Palatino Linotype"/>
                <w:i/>
                <w:iCs/>
                <w:color w:val="000000"/>
                <w:u w:val="single"/>
              </w:rPr>
              <w:t>no se puede hacer un acuerdo para clasificar de manera general todos los documentos de un expediente o área, sin</w:t>
            </w:r>
            <w:r w:rsidRPr="00DE1A3C">
              <w:rPr>
                <w:rFonts w:ascii="Palatino Linotype" w:eastAsia="Palatino Linotype" w:hAnsi="Palatino Linotype" w:cs="Palatino Linotype"/>
                <w:i/>
                <w:iCs/>
                <w:color w:val="000000"/>
              </w:rPr>
              <w:t xml:space="preserve"> individualizar su análisis y tampoco se puede hacer un acuerdo por cada dato que se vaya a clasificar dentro de un documento con diez datos, por ejemplo, susceptibles de ser clasificados.</w:t>
            </w:r>
          </w:p>
        </w:tc>
      </w:tr>
      <w:tr w:rsidR="005E77CD" w:rsidRPr="00DE1A3C" w:rsidTr="00DE1A3C">
        <w:tc>
          <w:tcPr>
            <w:tcW w:w="2689" w:type="dxa"/>
          </w:tcPr>
          <w:p w:rsidR="005E77CD" w:rsidRPr="00DE1A3C" w:rsidRDefault="00EF0BFD" w:rsidP="00DE1A3C">
            <w:pPr>
              <w:spacing w:line="360" w:lineRule="auto"/>
              <w:rPr>
                <w:rFonts w:ascii="Palatino Linotype" w:eastAsia="Palatino Linotype" w:hAnsi="Palatino Linotype" w:cs="Palatino Linotype"/>
              </w:rPr>
            </w:pPr>
            <w:r w:rsidRPr="00DE1A3C">
              <w:rPr>
                <w:rFonts w:ascii="Palatino Linotype" w:eastAsia="Palatino Linotype" w:hAnsi="Palatino Linotype" w:cs="Palatino Linotype"/>
              </w:rPr>
              <w:t>b) Supuestos de clasificación.</w:t>
            </w:r>
          </w:p>
        </w:tc>
        <w:tc>
          <w:tcPr>
            <w:tcW w:w="7229" w:type="dxa"/>
            <w:shd w:val="clear" w:color="auto" w:fill="F2F2F2"/>
          </w:tcPr>
          <w:p w:rsidR="005E77CD" w:rsidRPr="00DE1A3C" w:rsidRDefault="00EF0BFD" w:rsidP="00DE1A3C">
            <w:pPr>
              <w:spacing w:line="276" w:lineRule="auto"/>
              <w:ind w:right="49"/>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Las disposiciones constitucionales y legales en la materia establecen los dos supuestos generales para clasificar la información: por reserva y por confidencialidad.</w:t>
            </w:r>
          </w:p>
          <w:p w:rsidR="005E77CD" w:rsidRPr="00DE1A3C" w:rsidRDefault="00EF0BFD" w:rsidP="00DE1A3C">
            <w:pPr>
              <w:spacing w:line="276" w:lineRule="auto"/>
              <w:ind w:right="49"/>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 xml:space="preserve">Los artículos 116 y 143 de la Ley Estatal y de la Ley General, respectivamente, señalan los supuestos para que la información pueda ser clasificada como confidencial. Mientras que los artículos 105 y 130 de la Ley Estatal y de la Ley General, respectivamente, señalan que la aplicación de estos supuestos debe realizarse de manera restrictiva y limitada, por lo que debe acreditarse que se cumple con esta condición y </w:t>
            </w:r>
            <w:r w:rsidRPr="00DE1A3C">
              <w:rPr>
                <w:rFonts w:ascii="Palatino Linotype" w:eastAsia="Palatino Linotype" w:hAnsi="Palatino Linotype" w:cs="Palatino Linotype"/>
                <w:i/>
                <w:iCs/>
                <w:color w:val="000000"/>
              </w:rPr>
              <w:lastRenderedPageBreak/>
              <w:t>no se pueden ampliar las excepciones o supuestos de clasificación aduciendo analogía o mayoría de razón.</w:t>
            </w:r>
          </w:p>
          <w:p w:rsidR="005E77CD" w:rsidRPr="00DE1A3C" w:rsidRDefault="00EF0BFD" w:rsidP="00DE1A3C">
            <w:pPr>
              <w:spacing w:line="276" w:lineRule="auto"/>
              <w:jc w:val="both"/>
              <w:rPr>
                <w:rFonts w:ascii="Palatino Linotype" w:eastAsia="Palatino Linotype" w:hAnsi="Palatino Linotype" w:cs="Palatino Linotype"/>
                <w:i/>
                <w:iCs/>
              </w:rPr>
            </w:pPr>
            <w:r w:rsidRPr="00DE1A3C">
              <w:rPr>
                <w:rFonts w:ascii="Palatino Linotype" w:eastAsia="Palatino Linotype" w:hAnsi="Palatino Linotype" w:cs="Palatino Linotype"/>
                <w:i/>
                <w:iCs/>
                <w:color w:val="000000"/>
              </w:rPr>
              <w:t xml:space="preserve">El </w:t>
            </w:r>
            <w:r w:rsidRPr="00DE1A3C">
              <w:rPr>
                <w:rFonts w:ascii="Palatino Linotype" w:eastAsia="Palatino Linotype" w:hAnsi="Palatino Linotype" w:cs="Palatino Linotype"/>
                <w:b/>
                <w:bCs/>
                <w:i/>
                <w:iCs/>
                <w:color w:val="000000"/>
              </w:rPr>
              <w:t>Sujeto Obligado</w:t>
            </w:r>
            <w:r w:rsidRPr="00DE1A3C">
              <w:rPr>
                <w:rFonts w:ascii="Palatino Linotype" w:eastAsia="Palatino Linotype" w:hAnsi="Palatino Linotype" w:cs="Palatino Linotype"/>
                <w:i/>
                <w:iCs/>
                <w:color w:val="000000"/>
              </w:rPr>
              <w:t xml:space="preserve"> debe identificar claramente el tipo de información y hacer un juicio de subsunción o encaje para acreditar que el supuesto de hecho corresponde estrictamente con la hipótesis jurídica. Esto también lo debe de realizar el servidor público habilitado y el titular del área que administra la información.</w:t>
            </w:r>
          </w:p>
        </w:tc>
      </w:tr>
      <w:tr w:rsidR="005E77CD" w:rsidRPr="00DE1A3C" w:rsidTr="00DE1A3C">
        <w:tc>
          <w:tcPr>
            <w:tcW w:w="2689" w:type="dxa"/>
          </w:tcPr>
          <w:p w:rsidR="005E77CD" w:rsidRPr="00DE1A3C" w:rsidRDefault="00EF0BFD" w:rsidP="00DE1A3C">
            <w:pPr>
              <w:spacing w:line="360" w:lineRule="auto"/>
              <w:rPr>
                <w:rFonts w:ascii="Palatino Linotype" w:eastAsia="Palatino Linotype" w:hAnsi="Palatino Linotype" w:cs="Palatino Linotype"/>
              </w:rPr>
            </w:pPr>
            <w:r w:rsidRPr="00DE1A3C">
              <w:rPr>
                <w:rFonts w:ascii="Palatino Linotype" w:eastAsia="Palatino Linotype" w:hAnsi="Palatino Linotype" w:cs="Palatino Linotype"/>
              </w:rPr>
              <w:lastRenderedPageBreak/>
              <w:t>c) Formalidades para emitir el acuerdo de clasificación.</w:t>
            </w:r>
          </w:p>
        </w:tc>
        <w:tc>
          <w:tcPr>
            <w:tcW w:w="7229" w:type="dxa"/>
          </w:tcPr>
          <w:p w:rsidR="005E77CD" w:rsidRPr="00DE1A3C" w:rsidRDefault="00EF0BFD" w:rsidP="00DE1A3C">
            <w:pPr>
              <w:spacing w:line="276" w:lineRule="auto"/>
              <w:ind w:right="49"/>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 xml:space="preserve">El Comité de Transparencia, según lo dispuesto en los artículos cuenta con las facultades para aprobar, modificar o revocar la clasificación de la información que haya propuesto. </w:t>
            </w:r>
          </w:p>
          <w:p w:rsidR="005E77CD" w:rsidRPr="00DE1A3C" w:rsidRDefault="00EF0BFD" w:rsidP="00DE1A3C">
            <w:pPr>
              <w:spacing w:line="276" w:lineRule="auto"/>
              <w:ind w:right="49"/>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 xml:space="preserve">Es necesario que </w:t>
            </w:r>
            <w:r w:rsidRPr="00DE1A3C">
              <w:rPr>
                <w:rFonts w:ascii="Palatino Linotype" w:eastAsia="Palatino Linotype" w:hAnsi="Palatino Linotype" w:cs="Palatino Linotype"/>
                <w:b/>
                <w:bCs/>
                <w:i/>
                <w:iCs/>
                <w:color w:val="000000"/>
                <w:u w:val="single"/>
              </w:rPr>
              <w:t>el acto reúna con los requisitos elementales</w:t>
            </w:r>
            <w:r w:rsidRPr="00DE1A3C">
              <w:rPr>
                <w:rFonts w:ascii="Palatino Linotype" w:eastAsia="Palatino Linotype" w:hAnsi="Palatino Linotype" w:cs="Palatino Linotype"/>
                <w:i/>
                <w:iCs/>
                <w:color w:val="000000"/>
              </w:rPr>
              <w:t>, entre ellos, que la autoridad que va a emitir el acto de autoridad sea la legalmente facultada para ello.</w:t>
            </w:r>
          </w:p>
          <w:p w:rsidR="005E77CD" w:rsidRPr="00DE1A3C" w:rsidRDefault="00EF0BFD" w:rsidP="00DE1A3C">
            <w:pPr>
              <w:spacing w:line="276" w:lineRule="auto"/>
              <w:jc w:val="both"/>
              <w:rPr>
                <w:rFonts w:ascii="Palatino Linotype" w:eastAsia="Palatino Linotype" w:hAnsi="Palatino Linotype" w:cs="Palatino Linotype"/>
                <w:i/>
                <w:iCs/>
              </w:rPr>
            </w:pPr>
            <w:r w:rsidRPr="00DE1A3C">
              <w:rPr>
                <w:rFonts w:ascii="Palatino Linotype" w:eastAsia="Palatino Linotype" w:hAnsi="Palatino Linotype" w:cs="Palatino Linotype"/>
                <w:i/>
                <w:iCs/>
                <w:color w:val="000000"/>
              </w:rPr>
              <w:t>La decisión de aprobar, modificar o revocar la clasificación deberá de asentarse en un documento que registre la determinación a la que se llegue después de un análisis minucioso a partir de lo propuesto por el Titular del área que administra la información, cuyo análisis debe integrarse en la agenda de los asuntos a tratar en las sesiones, se insiste, a partir de las decisiones adoptadas previamente por los titulares de áreas y que son sujetas a control, en primera instancia, por el Comité de Transparencia.</w:t>
            </w:r>
          </w:p>
        </w:tc>
      </w:tr>
      <w:tr w:rsidR="005E77CD" w:rsidRPr="00DE1A3C" w:rsidTr="00DE1A3C">
        <w:tc>
          <w:tcPr>
            <w:tcW w:w="2689" w:type="dxa"/>
          </w:tcPr>
          <w:p w:rsidR="005E77CD" w:rsidRPr="00DE1A3C" w:rsidRDefault="005E77CD" w:rsidP="00DE1A3C">
            <w:pPr>
              <w:spacing w:line="360" w:lineRule="auto"/>
              <w:rPr>
                <w:rFonts w:ascii="Palatino Linotype" w:eastAsia="Palatino Linotype" w:hAnsi="Palatino Linotype" w:cs="Palatino Linotype"/>
              </w:rPr>
            </w:pPr>
          </w:p>
          <w:p w:rsidR="005E77CD" w:rsidRPr="00DE1A3C" w:rsidRDefault="00EF0BFD" w:rsidP="00DE1A3C">
            <w:pPr>
              <w:spacing w:line="360" w:lineRule="auto"/>
              <w:jc w:val="both"/>
              <w:rPr>
                <w:rFonts w:ascii="Palatino Linotype" w:eastAsia="Palatino Linotype" w:hAnsi="Palatino Linotype" w:cs="Palatino Linotype"/>
              </w:rPr>
            </w:pPr>
            <w:r w:rsidRPr="00DE1A3C">
              <w:rPr>
                <w:rFonts w:ascii="Palatino Linotype" w:eastAsia="Palatino Linotype" w:hAnsi="Palatino Linotype" w:cs="Palatino Linotype"/>
                <w:color w:val="000000"/>
              </w:rPr>
              <w:t xml:space="preserve">d) Requisitos de fondo del acuerdo de clasificación. </w:t>
            </w:r>
          </w:p>
        </w:tc>
        <w:tc>
          <w:tcPr>
            <w:tcW w:w="7229" w:type="dxa"/>
            <w:shd w:val="clear" w:color="auto" w:fill="F2F2F2"/>
          </w:tcPr>
          <w:p w:rsidR="005E77CD" w:rsidRPr="00DE1A3C" w:rsidRDefault="00EF0BFD" w:rsidP="00DE1A3C">
            <w:pPr>
              <w:spacing w:line="276" w:lineRule="auto"/>
              <w:ind w:right="49"/>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 xml:space="preserve">Como se ha señalado antes, al hacer el juicio de subsunción o encaje entre el supuesto de hecho y la hipótesis jurídica, se debe acreditar la estricta correspondencia entre un elemento y otro. Ahora, en esta parte del procedimiento, que se desahoga en sede del Comité de Transparencia, la ley señala que la carga de la prueba, para justificar las restricciones, corresponde a los </w:t>
            </w:r>
            <w:r w:rsidRPr="00DE1A3C">
              <w:rPr>
                <w:rFonts w:ascii="Palatino Linotype" w:eastAsia="Palatino Linotype" w:hAnsi="Palatino Linotype" w:cs="Palatino Linotype"/>
                <w:b/>
                <w:bCs/>
                <w:i/>
                <w:iCs/>
                <w:color w:val="000000"/>
              </w:rPr>
              <w:t>Sujetos Obligados</w:t>
            </w:r>
            <w:r w:rsidRPr="00DE1A3C">
              <w:rPr>
                <w:rFonts w:ascii="Palatino Linotype" w:eastAsia="Palatino Linotype" w:hAnsi="Palatino Linotype" w:cs="Palatino Linotype"/>
                <w:i/>
                <w:iCs/>
                <w:color w:val="000000"/>
              </w:rPr>
              <w:t xml:space="preserve">, por lo que deberán fundar y motivar debidamente la clasificación. </w:t>
            </w:r>
          </w:p>
          <w:p w:rsidR="005E77CD" w:rsidRPr="00DE1A3C" w:rsidRDefault="00EF0BFD" w:rsidP="00DE1A3C">
            <w:pPr>
              <w:spacing w:line="276" w:lineRule="auto"/>
              <w:ind w:right="49"/>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 xml:space="preserve">De lo anterior, se desprende que para una correcta </w:t>
            </w:r>
            <w:r w:rsidRPr="00DE1A3C">
              <w:rPr>
                <w:rFonts w:ascii="Palatino Linotype" w:eastAsia="Palatino Linotype" w:hAnsi="Palatino Linotype" w:cs="Palatino Linotype"/>
                <w:b/>
                <w:bCs/>
                <w:i/>
                <w:iCs/>
                <w:color w:val="000000"/>
              </w:rPr>
              <w:t>clasificación total o parcial</w:t>
            </w:r>
            <w:r w:rsidRPr="00DE1A3C">
              <w:rPr>
                <w:rFonts w:ascii="Palatino Linotype" w:eastAsia="Palatino Linotype" w:hAnsi="Palatino Linotype" w:cs="Palatino Linotype"/>
                <w:i/>
                <w:iCs/>
                <w:color w:val="000000"/>
              </w:rPr>
              <w:t xml:space="preserve">, esto es determinar los datos que se suprimen en las versiones públicas, es necesario fundar y motivar, de manera correcta, la clasificación; considerando que todo acto que la autoridad pronuncie en </w:t>
            </w:r>
            <w:r w:rsidRPr="00DE1A3C">
              <w:rPr>
                <w:rFonts w:ascii="Palatino Linotype" w:eastAsia="Palatino Linotype" w:hAnsi="Palatino Linotype" w:cs="Palatino Linotype"/>
                <w:i/>
                <w:iCs/>
                <w:color w:val="000000"/>
              </w:rPr>
              <w:lastRenderedPageBreak/>
              <w:t>el ejercicio de sus atribuciones, debe expresar los fundamentos legales que le dieron origen y las razones por las que se deben aplicar al caso concreto.</w:t>
            </w:r>
          </w:p>
          <w:p w:rsidR="005E77CD" w:rsidRPr="00DE1A3C" w:rsidRDefault="00EF0BFD" w:rsidP="00DE1A3C">
            <w:pPr>
              <w:spacing w:line="276" w:lineRule="auto"/>
              <w:ind w:right="49"/>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Así, en un acto de autoridad se cumple con la debida fundamentación cuando se cita el precepto legal aplicable al caso concreto y la debida motivación cuando se expresan las razones, motivos o circunstancias que tomó en cuenta la autoridad para adecuar el hecho a los fundamentos de derecho. De este modo, la persona que se sienta afectada pueda impugnar la decisión, permitiéndole una real y auténtica defensa.</w:t>
            </w:r>
          </w:p>
          <w:p w:rsidR="005E77CD" w:rsidRPr="00DE1A3C" w:rsidRDefault="00EF0BFD" w:rsidP="00DE1A3C">
            <w:pPr>
              <w:spacing w:line="276" w:lineRule="auto"/>
              <w:ind w:right="49"/>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En ese mismo sentido, el numeral trigésimo tercero fracción V de los Lineamientos Generales, precisa que para motivar la clasificación se deben acreditar las circunstancias de tiempo, modo y lugar.</w:t>
            </w:r>
          </w:p>
          <w:p w:rsidR="005E77CD" w:rsidRPr="00DE1A3C" w:rsidRDefault="00EF0BFD" w:rsidP="00DE1A3C">
            <w:pPr>
              <w:spacing w:line="276" w:lineRule="auto"/>
              <w:ind w:right="49"/>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 xml:space="preserve">Ahora bien, </w:t>
            </w:r>
            <w:r w:rsidRPr="00DE1A3C">
              <w:rPr>
                <w:rFonts w:ascii="Palatino Linotype" w:eastAsia="Palatino Linotype" w:hAnsi="Palatino Linotype" w:cs="Palatino Linotype"/>
                <w:b/>
                <w:bCs/>
                <w:i/>
                <w:iCs/>
                <w:color w:val="000000"/>
                <w:u w:val="single"/>
              </w:rPr>
              <w:t>para cada caso además de fundar y motivar</w:t>
            </w:r>
            <w:r w:rsidRPr="00DE1A3C">
              <w:rPr>
                <w:rFonts w:ascii="Palatino Linotype" w:eastAsia="Palatino Linotype" w:hAnsi="Palatino Linotype" w:cs="Palatino Linotype"/>
                <w:i/>
                <w:iCs/>
                <w:color w:val="000000"/>
              </w:rPr>
              <w:t>, se debe identificar con claridad que datos contenidos en las documentales que son susceptibles de suprimirse, por ejemplo; Clave Única de Registro de Población (CURP), Registro Federal de Contribuyentes (R.F.C.), claves de seguros, préstamos o descuentos personales, secretos bancario, fiduciario, industrial, comercial, fiscal, bursátil y postal, cuya titularidad corresponda a particulares, entre otros.</w:t>
            </w:r>
          </w:p>
        </w:tc>
      </w:tr>
      <w:tr w:rsidR="005E77CD" w:rsidRPr="00DE1A3C" w:rsidTr="00DE1A3C">
        <w:tc>
          <w:tcPr>
            <w:tcW w:w="2689" w:type="dxa"/>
          </w:tcPr>
          <w:p w:rsidR="005E77CD" w:rsidRPr="00DE1A3C" w:rsidRDefault="00EF0BFD" w:rsidP="00DE1A3C">
            <w:pPr>
              <w:spacing w:line="360" w:lineRule="auto"/>
              <w:ind w:right="49"/>
              <w:rPr>
                <w:rFonts w:ascii="Palatino Linotype" w:eastAsia="Palatino Linotype" w:hAnsi="Palatino Linotype" w:cs="Palatino Linotype"/>
              </w:rPr>
            </w:pPr>
            <w:r w:rsidRPr="00DE1A3C">
              <w:rPr>
                <w:rFonts w:ascii="Palatino Linotype" w:eastAsia="Palatino Linotype" w:hAnsi="Palatino Linotype" w:cs="Palatino Linotype"/>
              </w:rPr>
              <w:lastRenderedPageBreak/>
              <w:t>e) Condiciones especiales de la clasificación de la información como confidencial.</w:t>
            </w:r>
          </w:p>
        </w:tc>
        <w:tc>
          <w:tcPr>
            <w:tcW w:w="7229" w:type="dxa"/>
          </w:tcPr>
          <w:p w:rsidR="005E77CD" w:rsidRPr="00DE1A3C" w:rsidRDefault="00EF0BFD" w:rsidP="00DE1A3C">
            <w:pPr>
              <w:spacing w:line="276" w:lineRule="auto"/>
              <w:ind w:right="49"/>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 xml:space="preserve">Los artículos 148 y 120 de la Ley Estatal y de la Ley General, respectivamente, establecen que aun tratándose de datos personales, se podrán proporcionar, incluso sin solicitar el consentimiento de su titular. </w:t>
            </w:r>
          </w:p>
          <w:p w:rsidR="005E77CD" w:rsidRPr="00DE1A3C" w:rsidRDefault="00EF0BFD" w:rsidP="00DE1A3C">
            <w:pPr>
              <w:spacing w:line="276" w:lineRule="auto"/>
              <w:ind w:right="49"/>
              <w:jc w:val="both"/>
              <w:rPr>
                <w:rFonts w:ascii="Palatino Linotype" w:eastAsia="Palatino Linotype" w:hAnsi="Palatino Linotype" w:cs="Palatino Linotype"/>
                <w:i/>
                <w:iCs/>
                <w:color w:val="000000"/>
              </w:rPr>
            </w:pPr>
            <w:r w:rsidRPr="00DE1A3C">
              <w:rPr>
                <w:rFonts w:ascii="Palatino Linotype" w:eastAsia="Palatino Linotype" w:hAnsi="Palatino Linotype" w:cs="Palatino Linotype"/>
                <w:i/>
                <w:iCs/>
                <w:color w:val="000000"/>
              </w:rPr>
              <w:t xml:space="preserve">En el caso de lo señalado en la fracción IV, será el Instituto quien deba aplicar la prueba de interés público, considerando también que como recientemente ha discutido la Suprema Corte de Justicia de la Nación, los servidores públicos nos encontramos sujetos a un régimen menor de protección. </w:t>
            </w:r>
          </w:p>
          <w:p w:rsidR="005E77CD" w:rsidRPr="00DE1A3C" w:rsidRDefault="00EF0BFD" w:rsidP="00DE1A3C">
            <w:pPr>
              <w:spacing w:line="276" w:lineRule="auto"/>
              <w:rPr>
                <w:rFonts w:ascii="Palatino Linotype" w:eastAsia="Palatino Linotype" w:hAnsi="Palatino Linotype" w:cs="Palatino Linotype"/>
                <w:i/>
                <w:iCs/>
              </w:rPr>
            </w:pPr>
            <w:r w:rsidRPr="00DE1A3C">
              <w:rPr>
                <w:rFonts w:ascii="Palatino Linotype" w:eastAsia="Palatino Linotype" w:hAnsi="Palatino Linotype" w:cs="Palatino Linotype"/>
                <w:i/>
                <w:iCs/>
                <w:color w:val="000000"/>
              </w:rPr>
              <w:t>Pero si la información que se pretende clasificar como confidencial no se encuentra en los supuestos de los artículos señalados y es posible, se deberá consultar al titular de los datos si permite o no el acceso. De no ser posible, la realización de la consulta, procede, fundando y motivando, la clasificación.</w:t>
            </w:r>
          </w:p>
        </w:tc>
      </w:tr>
    </w:tbl>
    <w:p w:rsidR="005E77CD" w:rsidRPr="00DE1A3C" w:rsidRDefault="005E77CD">
      <w:pPr>
        <w:tabs>
          <w:tab w:val="left" w:pos="284"/>
        </w:tabs>
        <w:spacing w:after="160" w:line="360" w:lineRule="auto"/>
        <w:rPr>
          <w:rFonts w:ascii="Palatino Linotype" w:eastAsia="Palatino Linotype" w:hAnsi="Palatino Linotype" w:cs="Palatino Linotype"/>
          <w:color w:val="000000"/>
        </w:rPr>
      </w:pPr>
    </w:p>
    <w:p w:rsidR="005E77CD" w:rsidRPr="00DE1A3C" w:rsidRDefault="00EF0BFD">
      <w:pPr>
        <w:numPr>
          <w:ilvl w:val="0"/>
          <w:numId w:val="5"/>
        </w:numPr>
        <w:pBdr>
          <w:top w:val="nil"/>
          <w:left w:val="nil"/>
          <w:bottom w:val="nil"/>
          <w:right w:val="nil"/>
          <w:between w:val="nil"/>
        </w:pBdr>
        <w:spacing w:line="360" w:lineRule="auto"/>
        <w:ind w:left="0" w:firstLine="0"/>
        <w:jc w:val="both"/>
        <w:rPr>
          <w:rFonts w:ascii="Palatino Linotype" w:eastAsia="Palatino Linotype" w:hAnsi="Palatino Linotype" w:cs="Palatino Linotype"/>
          <w:color w:val="000000"/>
        </w:rPr>
      </w:pPr>
      <w:r w:rsidRPr="00DE1A3C">
        <w:rPr>
          <w:rFonts w:ascii="Palatino Linotype" w:eastAsia="Palatino Linotype" w:hAnsi="Palatino Linotype" w:cs="Palatino Linotype"/>
          <w:color w:val="000000"/>
        </w:rPr>
        <w:lastRenderedPageBreak/>
        <w:t>Para tal situación, el Sujeto Obligado deberá seguir el procedimiento establecido en el artículo 168 de la Ley de Transparencia y Acceso a la Información Pública del Estado de México y Municipios; esto es, que el área competente deberá elaborar la versión pública, así como emitir el Acuerdo, por parte del Comité de Transparencia, donde confirme la clasificación de los datos o documentos, fundando y motivando la clasificación.</w:t>
      </w:r>
    </w:p>
    <w:p w:rsidR="005E77CD" w:rsidRPr="00DE1A3C" w:rsidRDefault="005E77CD">
      <w:pPr>
        <w:pBdr>
          <w:top w:val="nil"/>
          <w:left w:val="nil"/>
          <w:bottom w:val="nil"/>
          <w:right w:val="nil"/>
          <w:between w:val="nil"/>
        </w:pBdr>
        <w:spacing w:line="360" w:lineRule="auto"/>
        <w:jc w:val="both"/>
        <w:rPr>
          <w:rFonts w:ascii="Palatino Linotype" w:eastAsia="Palatino Linotype" w:hAnsi="Palatino Linotype" w:cs="Palatino Linotype"/>
        </w:rPr>
      </w:pPr>
    </w:p>
    <w:p w:rsidR="005E77CD" w:rsidRPr="00DE1A3C" w:rsidRDefault="00EF0BFD">
      <w:pPr>
        <w:numPr>
          <w:ilvl w:val="0"/>
          <w:numId w:val="5"/>
        </w:numPr>
        <w:tabs>
          <w:tab w:val="left" w:pos="284"/>
        </w:tabs>
        <w:spacing w:line="360" w:lineRule="auto"/>
        <w:ind w:left="0" w:firstLine="0"/>
        <w:jc w:val="both"/>
        <w:rPr>
          <w:rFonts w:ascii="Palatino Linotype" w:eastAsia="Palatino Linotype" w:hAnsi="Palatino Linotype" w:cs="Palatino Linotype"/>
          <w:color w:val="000000"/>
        </w:rPr>
      </w:pPr>
      <w:r w:rsidRPr="00DE1A3C">
        <w:rPr>
          <w:rFonts w:ascii="Palatino Linotype" w:eastAsia="Palatino Linotype" w:hAnsi="Palatino Linotype" w:cs="Palatino Linotype"/>
          <w:color w:val="000000"/>
        </w:rPr>
        <w:t xml:space="preserve"> </w:t>
      </w:r>
      <w:r w:rsidRPr="00DE1A3C">
        <w:rPr>
          <w:rFonts w:ascii="Palatino Linotype" w:eastAsia="Palatino Linotype" w:hAnsi="Palatino Linotype" w:cs="Palatino Linotype"/>
        </w:rPr>
        <w:t xml:space="preserve">Si el servidor público incumple con estas formalidades y entrega la información sin proteger los datos personales incumple con lo que estipula las disposiciones legales establecidas, </w:t>
      </w:r>
      <w:r w:rsidR="00A9013A" w:rsidRPr="00DE1A3C">
        <w:rPr>
          <w:rFonts w:ascii="Palatino Linotype" w:eastAsia="Palatino Linotype" w:hAnsi="Palatino Linotype" w:cs="Palatino Linotype"/>
        </w:rPr>
        <w:t>resulta lo</w:t>
      </w:r>
      <w:r w:rsidRPr="00DE1A3C">
        <w:rPr>
          <w:rFonts w:ascii="Palatino Linotype" w:eastAsia="Palatino Linotype" w:hAnsi="Palatino Linotype" w:cs="Palatino Linotype"/>
        </w:rPr>
        <w:t xml:space="preserve"> mismo que si entrega un documento testado sin el debido acuerdo de clasificación.</w:t>
      </w:r>
    </w:p>
    <w:p w:rsidR="005E77CD" w:rsidRPr="00DE1A3C" w:rsidRDefault="005E77CD">
      <w:pPr>
        <w:tabs>
          <w:tab w:val="left" w:pos="284"/>
        </w:tabs>
        <w:spacing w:line="360" w:lineRule="auto"/>
        <w:jc w:val="both"/>
        <w:rPr>
          <w:rFonts w:ascii="Palatino Linotype" w:eastAsia="Palatino Linotype" w:hAnsi="Palatino Linotype" w:cs="Palatino Linotype"/>
          <w:color w:val="000000"/>
        </w:rPr>
      </w:pPr>
    </w:p>
    <w:p w:rsidR="005E77CD" w:rsidRPr="00DE1A3C" w:rsidRDefault="00EF0BFD">
      <w:pPr>
        <w:numPr>
          <w:ilvl w:val="0"/>
          <w:numId w:val="6"/>
        </w:numPr>
        <w:spacing w:line="360" w:lineRule="auto"/>
        <w:ind w:left="0" w:right="49" w:firstLine="0"/>
        <w:jc w:val="both"/>
        <w:rPr>
          <w:rFonts w:ascii="Palatino Linotype" w:eastAsia="Palatino Linotype" w:hAnsi="Palatino Linotype" w:cs="Palatino Linotype"/>
          <w:color w:val="000000"/>
        </w:rPr>
      </w:pPr>
      <w:r w:rsidRPr="00DE1A3C">
        <w:rPr>
          <w:rFonts w:ascii="Palatino Linotype" w:eastAsia="Palatino Linotype" w:hAnsi="Palatino Linotype" w:cs="Palatino Linotype"/>
          <w:color w:val="000000"/>
        </w:rPr>
        <w:t xml:space="preserve">Por lo anteriormente expuesto y fundado, este </w:t>
      </w:r>
      <w:r w:rsidRPr="00DE1A3C">
        <w:rPr>
          <w:rFonts w:ascii="Palatino Linotype" w:eastAsia="Palatino Linotype" w:hAnsi="Palatino Linotype" w:cs="Palatino Linotype"/>
          <w:b/>
          <w:bCs/>
          <w:color w:val="000000"/>
        </w:rPr>
        <w:t>ÓRGANO GARANTE</w:t>
      </w:r>
      <w:r w:rsidRPr="00DE1A3C">
        <w:rPr>
          <w:rFonts w:ascii="Palatino Linotype" w:eastAsia="Palatino Linotype" w:hAnsi="Palatino Linotype" w:cs="Palatino Linotype"/>
          <w:color w:val="000000"/>
        </w:rPr>
        <w:t xml:space="preserve"> emite los siguientes:</w:t>
      </w:r>
    </w:p>
    <w:p w:rsidR="005E77CD" w:rsidRPr="00DE1A3C" w:rsidRDefault="005E77CD">
      <w:pPr>
        <w:pBdr>
          <w:top w:val="nil"/>
          <w:left w:val="nil"/>
          <w:bottom w:val="nil"/>
          <w:right w:val="nil"/>
          <w:between w:val="nil"/>
        </w:pBdr>
        <w:spacing w:line="480" w:lineRule="auto"/>
        <w:ind w:right="48"/>
        <w:jc w:val="both"/>
        <w:rPr>
          <w:rFonts w:ascii="Palatino Linotype" w:eastAsia="Palatino Linotype" w:hAnsi="Palatino Linotype" w:cs="Palatino Linotype"/>
          <w:color w:val="000000"/>
        </w:rPr>
      </w:pPr>
    </w:p>
    <w:p w:rsidR="005E77CD" w:rsidRPr="00DE1A3C" w:rsidRDefault="00EF0BFD">
      <w:pPr>
        <w:pStyle w:val="Ttulo1"/>
        <w:spacing w:before="0" w:line="360" w:lineRule="auto"/>
        <w:jc w:val="center"/>
        <w:rPr>
          <w:b w:val="0"/>
          <w:bCs w:val="0"/>
        </w:rPr>
      </w:pPr>
      <w:r w:rsidRPr="00DE1A3C">
        <w:t>R E S O L U T I V O S</w:t>
      </w:r>
    </w:p>
    <w:p w:rsidR="005E77CD" w:rsidRPr="00DE1A3C" w:rsidRDefault="005E77CD">
      <w:pPr>
        <w:spacing w:line="360" w:lineRule="auto"/>
        <w:rPr>
          <w:rFonts w:ascii="Palatino Linotype" w:eastAsia="Palatino Linotype" w:hAnsi="Palatino Linotype" w:cs="Palatino Linotype"/>
        </w:rPr>
      </w:pPr>
    </w:p>
    <w:p w:rsidR="005E77CD" w:rsidRPr="00DE1A3C" w:rsidRDefault="00EF0BFD">
      <w:pPr>
        <w:spacing w:line="360" w:lineRule="auto"/>
        <w:jc w:val="both"/>
        <w:rPr>
          <w:rFonts w:ascii="Palatino Linotype" w:eastAsia="Palatino Linotype" w:hAnsi="Palatino Linotype" w:cs="Palatino Linotype"/>
        </w:rPr>
      </w:pPr>
      <w:r w:rsidRPr="00DE1A3C">
        <w:rPr>
          <w:rFonts w:ascii="Palatino Linotype" w:eastAsia="Palatino Linotype" w:hAnsi="Palatino Linotype" w:cs="Palatino Linotype"/>
          <w:b/>
          <w:bCs/>
        </w:rPr>
        <w:t>PRIMERO</w:t>
      </w:r>
      <w:r w:rsidRPr="00DE1A3C">
        <w:rPr>
          <w:rFonts w:ascii="Palatino Linotype" w:eastAsia="Palatino Linotype" w:hAnsi="Palatino Linotype" w:cs="Palatino Linotype"/>
        </w:rPr>
        <w:t xml:space="preserve">. Resultan fundadas las razones o motivos de </w:t>
      </w:r>
      <w:r w:rsidR="00A9013A" w:rsidRPr="00DE1A3C">
        <w:rPr>
          <w:rFonts w:ascii="Palatino Linotype" w:eastAsia="Palatino Linotype" w:hAnsi="Palatino Linotype" w:cs="Palatino Linotype"/>
        </w:rPr>
        <w:t>inconformidad hechos valer en los</w:t>
      </w:r>
      <w:r w:rsidRPr="00DE1A3C">
        <w:rPr>
          <w:rFonts w:ascii="Palatino Linotype" w:eastAsia="Palatino Linotype" w:hAnsi="Palatino Linotype" w:cs="Palatino Linotype"/>
        </w:rPr>
        <w:t xml:space="preserve"> Recursos de Revisión </w:t>
      </w:r>
      <w:r w:rsidRPr="00DE1A3C">
        <w:rPr>
          <w:rFonts w:ascii="Palatino Linotype" w:eastAsia="Palatino Linotype" w:hAnsi="Palatino Linotype" w:cs="Palatino Linotype"/>
          <w:b/>
          <w:bCs/>
        </w:rPr>
        <w:t>01353/INFOEM/IP/RR/</w:t>
      </w:r>
      <w:r w:rsidR="00A9013A" w:rsidRPr="00DE1A3C">
        <w:rPr>
          <w:rFonts w:ascii="Palatino Linotype" w:eastAsia="Palatino Linotype" w:hAnsi="Palatino Linotype" w:cs="Palatino Linotype"/>
          <w:b/>
          <w:bCs/>
        </w:rPr>
        <w:t xml:space="preserve">2026 y 01358/INFOEM/IP/RR/2026 </w:t>
      </w:r>
      <w:r w:rsidRPr="00DE1A3C">
        <w:rPr>
          <w:rFonts w:ascii="Palatino Linotype" w:eastAsia="Palatino Linotype" w:hAnsi="Palatino Linotype" w:cs="Palatino Linotype"/>
        </w:rPr>
        <w:t xml:space="preserve">en términos del </w:t>
      </w:r>
      <w:r w:rsidRPr="00DE1A3C">
        <w:rPr>
          <w:rFonts w:ascii="Palatino Linotype" w:eastAsia="Palatino Linotype" w:hAnsi="Palatino Linotype" w:cs="Palatino Linotype"/>
          <w:b/>
          <w:bCs/>
        </w:rPr>
        <w:t xml:space="preserve">Considerando CUARTO y QUINTO </w:t>
      </w:r>
      <w:r w:rsidRPr="00DE1A3C">
        <w:rPr>
          <w:rFonts w:ascii="Palatino Linotype" w:eastAsia="Palatino Linotype" w:hAnsi="Palatino Linotype" w:cs="Palatino Linotype"/>
        </w:rPr>
        <w:t>de la presente resolución.</w:t>
      </w:r>
    </w:p>
    <w:p w:rsidR="005E77CD" w:rsidRPr="00DE1A3C" w:rsidRDefault="005E77CD">
      <w:pPr>
        <w:spacing w:line="360" w:lineRule="auto"/>
        <w:jc w:val="both"/>
        <w:rPr>
          <w:rFonts w:ascii="Palatino Linotype" w:eastAsia="Palatino Linotype" w:hAnsi="Palatino Linotype" w:cs="Palatino Linotype"/>
        </w:rPr>
      </w:pPr>
    </w:p>
    <w:p w:rsidR="005E77CD" w:rsidRPr="00DE1A3C" w:rsidRDefault="00EF0BFD">
      <w:pPr>
        <w:spacing w:line="360" w:lineRule="auto"/>
        <w:jc w:val="both"/>
        <w:rPr>
          <w:rFonts w:ascii="Palatino Linotype" w:eastAsia="Palatino Linotype" w:hAnsi="Palatino Linotype" w:cs="Palatino Linotype"/>
          <w:color w:val="000000"/>
        </w:rPr>
      </w:pPr>
      <w:bookmarkStart w:id="10" w:name="_heading=h.26in1rg" w:colFirst="0" w:colLast="0"/>
      <w:bookmarkEnd w:id="10"/>
      <w:r w:rsidRPr="00DE1A3C">
        <w:rPr>
          <w:rFonts w:ascii="Palatino Linotype" w:eastAsia="Palatino Linotype" w:hAnsi="Palatino Linotype" w:cs="Palatino Linotype"/>
          <w:b/>
          <w:bCs/>
        </w:rPr>
        <w:t xml:space="preserve">SEGUNDO. </w:t>
      </w:r>
      <w:r w:rsidRPr="00DE1A3C">
        <w:rPr>
          <w:rFonts w:ascii="Palatino Linotype" w:eastAsia="Palatino Linotype" w:hAnsi="Palatino Linotype" w:cs="Palatino Linotype"/>
          <w:color w:val="000000"/>
        </w:rPr>
        <w:t xml:space="preserve">Se </w:t>
      </w:r>
      <w:r w:rsidRPr="00DE1A3C">
        <w:rPr>
          <w:rFonts w:ascii="Palatino Linotype" w:eastAsia="Palatino Linotype" w:hAnsi="Palatino Linotype" w:cs="Palatino Linotype"/>
          <w:b/>
          <w:bCs/>
          <w:color w:val="000000"/>
        </w:rPr>
        <w:t xml:space="preserve">ORDENA </w:t>
      </w:r>
      <w:r w:rsidRPr="00DE1A3C">
        <w:rPr>
          <w:rFonts w:ascii="Palatino Linotype" w:eastAsia="Palatino Linotype" w:hAnsi="Palatino Linotype" w:cs="Palatino Linotype"/>
          <w:color w:val="000000"/>
        </w:rPr>
        <w:t xml:space="preserve">al </w:t>
      </w:r>
      <w:r w:rsidRPr="00DE1A3C">
        <w:rPr>
          <w:rFonts w:ascii="Palatino Linotype" w:eastAsia="Palatino Linotype" w:hAnsi="Palatino Linotype" w:cs="Palatino Linotype"/>
          <w:b/>
          <w:bCs/>
          <w:color w:val="000000"/>
        </w:rPr>
        <w:t xml:space="preserve">SUJETO OBLIGADO, </w:t>
      </w:r>
      <w:r w:rsidRPr="00DE1A3C">
        <w:rPr>
          <w:rFonts w:ascii="Palatino Linotype" w:eastAsia="Palatino Linotype" w:hAnsi="Palatino Linotype" w:cs="Palatino Linotype"/>
          <w:color w:val="000000"/>
        </w:rPr>
        <w:t xml:space="preserve">a efecto de entregar vía Sistema de Acceso a la Información Mexiquense </w:t>
      </w:r>
      <w:r w:rsidRPr="00DE1A3C">
        <w:rPr>
          <w:rFonts w:ascii="Palatino Linotype" w:eastAsia="Palatino Linotype" w:hAnsi="Palatino Linotype" w:cs="Palatino Linotype"/>
          <w:b/>
          <w:bCs/>
          <w:color w:val="000000"/>
        </w:rPr>
        <w:t>(SAIMEX)</w:t>
      </w:r>
      <w:r w:rsidRPr="00DE1A3C">
        <w:rPr>
          <w:rFonts w:ascii="Palatino Linotype" w:eastAsia="Palatino Linotype" w:hAnsi="Palatino Linotype" w:cs="Palatino Linotype"/>
          <w:color w:val="000000"/>
        </w:rPr>
        <w:t>, la siguiente información de ser procedente en versión pública, generada del uno al treinta de abril y del uno al treinta de septiembre de dos mil veinticinco:</w:t>
      </w:r>
    </w:p>
    <w:p w:rsidR="005E77CD" w:rsidRPr="00DE1A3C" w:rsidRDefault="00EF0BFD">
      <w:pPr>
        <w:numPr>
          <w:ilvl w:val="3"/>
          <w:numId w:val="10"/>
        </w:numPr>
        <w:pBdr>
          <w:top w:val="nil"/>
          <w:left w:val="nil"/>
          <w:bottom w:val="nil"/>
          <w:right w:val="nil"/>
          <w:between w:val="nil"/>
        </w:pBdr>
        <w:spacing w:line="360" w:lineRule="auto"/>
        <w:ind w:left="1701" w:right="851"/>
        <w:jc w:val="both"/>
        <w:rPr>
          <w:rFonts w:ascii="Palatino Linotype" w:eastAsia="Palatino Linotype" w:hAnsi="Palatino Linotype" w:cs="Palatino Linotype"/>
          <w:b/>
          <w:bCs/>
          <w:i/>
          <w:iCs/>
          <w:color w:val="000000"/>
        </w:rPr>
      </w:pPr>
      <w:r w:rsidRPr="00DE1A3C">
        <w:rPr>
          <w:rFonts w:ascii="Palatino Linotype" w:eastAsia="Palatino Linotype" w:hAnsi="Palatino Linotype" w:cs="Palatino Linotype"/>
          <w:b/>
          <w:bCs/>
          <w:i/>
          <w:iCs/>
          <w:color w:val="000000"/>
        </w:rPr>
        <w:lastRenderedPageBreak/>
        <w:t xml:space="preserve">Oficios generados y recibidos por la Dirección General de Innovación, planeación y Gestión Urbana. </w:t>
      </w:r>
    </w:p>
    <w:p w:rsidR="005E77CD" w:rsidRPr="00DE1A3C" w:rsidRDefault="00EF0BFD">
      <w:pPr>
        <w:ind w:left="1418" w:right="851"/>
        <w:jc w:val="both"/>
        <w:rPr>
          <w:rFonts w:ascii="Palatino Linotype" w:eastAsia="Palatino Linotype" w:hAnsi="Palatino Linotype" w:cs="Palatino Linotype"/>
          <w:b/>
          <w:bCs/>
          <w:i/>
          <w:iCs/>
        </w:rPr>
      </w:pPr>
      <w:r w:rsidRPr="00DE1A3C">
        <w:rPr>
          <w:rFonts w:ascii="Palatino Linotype" w:eastAsia="Palatino Linotype" w:hAnsi="Palatino Linotype" w:cs="Palatino Linotype"/>
          <w:i/>
          <w:iCs/>
        </w:rPr>
        <w:t xml:space="preserve">Para efectos del punto dos, de ser procedente, se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dentro del soporte documental respectivo objeto de las versiones públicas que se formulen y se pongan a disposición del </w:t>
      </w:r>
      <w:r w:rsidRPr="00DE1A3C">
        <w:rPr>
          <w:rFonts w:ascii="Palatino Linotype" w:eastAsia="Palatino Linotype" w:hAnsi="Palatino Linotype" w:cs="Palatino Linotype"/>
          <w:b/>
          <w:bCs/>
          <w:i/>
          <w:iCs/>
        </w:rPr>
        <w:t>RECURRENTE.</w:t>
      </w:r>
    </w:p>
    <w:p w:rsidR="005E77CD" w:rsidRPr="00DE1A3C" w:rsidRDefault="005E77CD">
      <w:pPr>
        <w:ind w:left="1418" w:right="851"/>
        <w:jc w:val="both"/>
        <w:rPr>
          <w:rFonts w:ascii="Palatino Linotype" w:eastAsia="Palatino Linotype" w:hAnsi="Palatino Linotype" w:cs="Palatino Linotype"/>
          <w:b/>
          <w:bCs/>
          <w:i/>
          <w:iCs/>
        </w:rPr>
      </w:pPr>
    </w:p>
    <w:p w:rsidR="005E77CD" w:rsidRPr="00DE1A3C" w:rsidRDefault="00EF0BFD">
      <w:pPr>
        <w:spacing w:line="276" w:lineRule="auto"/>
        <w:ind w:left="1418" w:right="851"/>
        <w:jc w:val="both"/>
        <w:rPr>
          <w:rFonts w:ascii="Palatino Linotype" w:eastAsia="Palatino Linotype" w:hAnsi="Palatino Linotype" w:cs="Palatino Linotype"/>
          <w:i/>
          <w:iCs/>
        </w:rPr>
      </w:pPr>
      <w:bookmarkStart w:id="11" w:name="_heading=h.59gz85rqt8i9" w:colFirst="0" w:colLast="0"/>
      <w:bookmarkEnd w:id="11"/>
      <w:r w:rsidRPr="00DE1A3C">
        <w:rPr>
          <w:rFonts w:ascii="Palatino Linotype" w:eastAsia="Palatino Linotype" w:hAnsi="Palatino Linotype" w:cs="Palatino Linotype"/>
          <w:i/>
          <w:iCs/>
        </w:rPr>
        <w:t>Para el caso de que, por el ejercicio de sus funciones el Sujeto Obligado hubiese cancelado o bien por no hubiese generado algún oficio, bastará con que así lo haga del conocimiento de la parte Recurrente, de manera precisa y clara.</w:t>
      </w:r>
    </w:p>
    <w:p w:rsidR="005E77CD" w:rsidRPr="00DE1A3C" w:rsidRDefault="005E77CD">
      <w:pPr>
        <w:ind w:left="1560" w:right="851"/>
        <w:jc w:val="both"/>
        <w:rPr>
          <w:rFonts w:ascii="Palatino Linotype" w:eastAsia="Palatino Linotype" w:hAnsi="Palatino Linotype" w:cs="Palatino Linotype"/>
          <w:b/>
          <w:bCs/>
          <w:i/>
          <w:iCs/>
        </w:rPr>
      </w:pPr>
    </w:p>
    <w:p w:rsidR="005E77CD" w:rsidRPr="00DE1A3C" w:rsidRDefault="005E77CD">
      <w:pPr>
        <w:spacing w:line="360" w:lineRule="auto"/>
        <w:jc w:val="both"/>
        <w:rPr>
          <w:rFonts w:ascii="Palatino Linotype" w:eastAsia="Palatino Linotype" w:hAnsi="Palatino Linotype" w:cs="Palatino Linotype"/>
          <w:b/>
          <w:bCs/>
        </w:rPr>
      </w:pPr>
    </w:p>
    <w:p w:rsidR="005E77CD" w:rsidRPr="00DE1A3C" w:rsidRDefault="00EF0BFD">
      <w:pPr>
        <w:tabs>
          <w:tab w:val="left" w:pos="8080"/>
        </w:tabs>
        <w:spacing w:line="360" w:lineRule="auto"/>
        <w:ind w:right="49"/>
        <w:jc w:val="both"/>
        <w:rPr>
          <w:rFonts w:ascii="Palatino Linotype" w:eastAsia="Palatino Linotype" w:hAnsi="Palatino Linotype" w:cs="Palatino Linotype"/>
          <w:b/>
          <w:bCs/>
        </w:rPr>
      </w:pPr>
      <w:bookmarkStart w:id="12" w:name="_heading=h.lnxbz9" w:colFirst="0" w:colLast="0"/>
      <w:bookmarkEnd w:id="12"/>
      <w:r w:rsidRPr="00DE1A3C">
        <w:rPr>
          <w:rFonts w:ascii="Palatino Linotype" w:eastAsia="Palatino Linotype" w:hAnsi="Palatino Linotype" w:cs="Palatino Linotype"/>
          <w:b/>
          <w:bCs/>
        </w:rPr>
        <w:t xml:space="preserve">TERCERO. NOTIFÍQUESE </w:t>
      </w:r>
      <w:r w:rsidRPr="00DE1A3C">
        <w:rPr>
          <w:rFonts w:ascii="Palatino Linotype" w:eastAsia="Palatino Linotype" w:hAnsi="Palatino Linotype" w:cs="Palatino Linotype"/>
        </w:rPr>
        <w:t xml:space="preserve">la presente resolución al Titular de la Unidad de Transparencia del Sujeto Obligado vía SAIMEX, para que conforme al artículo 186 último párrafo, 189 segundo párrafo y 194 de la Ley de Transparencia y Acceso a la Información Pública del Estado de México y Municipios; </w:t>
      </w:r>
      <w:r w:rsidRPr="00DE1A3C">
        <w:rPr>
          <w:rFonts w:ascii="Palatino Linotype" w:eastAsia="Palatino Linotype" w:hAnsi="Palatino Linotype" w:cs="Palatino Linotype"/>
          <w:b/>
          <w:bCs/>
        </w:rPr>
        <w:t>dé cumplimiento a lo ordenado dentro del plazo de diez días hábiles,</w:t>
      </w:r>
      <w:r w:rsidRPr="00DE1A3C">
        <w:rPr>
          <w:rFonts w:ascii="Palatino Linotype" w:eastAsia="Palatino Linotype" w:hAnsi="Palatino Linotype" w:cs="Palatino Linotype"/>
        </w:rPr>
        <w:t xml:space="preserve">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rsidR="005E77CD" w:rsidRPr="00DE1A3C" w:rsidRDefault="005E77CD">
      <w:pPr>
        <w:tabs>
          <w:tab w:val="left" w:pos="8080"/>
        </w:tabs>
        <w:spacing w:line="360" w:lineRule="auto"/>
        <w:ind w:right="49"/>
        <w:jc w:val="both"/>
        <w:rPr>
          <w:rFonts w:ascii="Palatino Linotype" w:eastAsia="Palatino Linotype" w:hAnsi="Palatino Linotype" w:cs="Palatino Linotype"/>
        </w:rPr>
      </w:pPr>
    </w:p>
    <w:p w:rsidR="005E77CD" w:rsidRPr="00DE1A3C" w:rsidRDefault="00EF0BFD">
      <w:pPr>
        <w:tabs>
          <w:tab w:val="left" w:pos="8080"/>
        </w:tabs>
        <w:spacing w:line="360" w:lineRule="auto"/>
        <w:ind w:right="49"/>
        <w:jc w:val="both"/>
        <w:rPr>
          <w:rFonts w:ascii="Palatino Linotype" w:eastAsia="Palatino Linotype" w:hAnsi="Palatino Linotype" w:cs="Palatino Linotype"/>
        </w:rPr>
      </w:pPr>
      <w:r w:rsidRPr="00DE1A3C">
        <w:rPr>
          <w:rFonts w:ascii="Palatino Linotype" w:eastAsia="Palatino Linotype" w:hAnsi="Palatino Linotype" w:cs="Palatino Linotype"/>
          <w:b/>
          <w:bCs/>
        </w:rPr>
        <w:t xml:space="preserve">CUARTO. </w:t>
      </w:r>
      <w:r w:rsidRPr="00DE1A3C">
        <w:rPr>
          <w:rFonts w:ascii="Palatino Linotype" w:eastAsia="Palatino Linotype" w:hAnsi="Palatino Linotype" w:cs="Palatino Linotype"/>
        </w:rPr>
        <w:t>Notifíquese a la parte</w:t>
      </w:r>
      <w:r w:rsidRPr="00DE1A3C">
        <w:rPr>
          <w:rFonts w:ascii="Palatino Linotype" w:eastAsia="Palatino Linotype" w:hAnsi="Palatino Linotype" w:cs="Palatino Linotype"/>
          <w:b/>
          <w:bCs/>
        </w:rPr>
        <w:t xml:space="preserve"> RECURRENTE</w:t>
      </w:r>
      <w:r w:rsidRPr="00DE1A3C">
        <w:rPr>
          <w:rFonts w:ascii="Palatino Linotype" w:eastAsia="Palatino Linotype" w:hAnsi="Palatino Linotype" w:cs="Palatino Linotype"/>
        </w:rPr>
        <w:t xml:space="preserve"> la presente resolución, vía </w:t>
      </w:r>
      <w:r w:rsidRPr="00DE1A3C">
        <w:rPr>
          <w:rFonts w:ascii="Palatino Linotype" w:eastAsia="Palatino Linotype" w:hAnsi="Palatino Linotype" w:cs="Palatino Linotype"/>
          <w:b/>
          <w:bCs/>
        </w:rPr>
        <w:t>SAIMEX.</w:t>
      </w:r>
    </w:p>
    <w:p w:rsidR="005E77CD" w:rsidRPr="00DE1A3C" w:rsidRDefault="005E77CD">
      <w:pPr>
        <w:spacing w:line="360" w:lineRule="auto"/>
        <w:jc w:val="both"/>
        <w:rPr>
          <w:rFonts w:ascii="Palatino Linotype" w:eastAsia="Palatino Linotype" w:hAnsi="Palatino Linotype" w:cs="Palatino Linotype"/>
        </w:rPr>
      </w:pPr>
    </w:p>
    <w:p w:rsidR="005E77CD" w:rsidRPr="00DE1A3C" w:rsidRDefault="00EF0BFD">
      <w:pPr>
        <w:tabs>
          <w:tab w:val="left" w:pos="8080"/>
        </w:tabs>
        <w:spacing w:line="360" w:lineRule="auto"/>
        <w:ind w:right="49"/>
        <w:jc w:val="both"/>
        <w:rPr>
          <w:rFonts w:ascii="Palatino Linotype" w:eastAsia="Palatino Linotype" w:hAnsi="Palatino Linotype" w:cs="Palatino Linotype"/>
          <w:color w:val="000000"/>
          <w:shd w:val="clear" w:color="auto" w:fill="FAFAFA"/>
        </w:rPr>
      </w:pPr>
      <w:bookmarkStart w:id="13" w:name="_heading=h.35nkun2" w:colFirst="0" w:colLast="0"/>
      <w:bookmarkEnd w:id="13"/>
      <w:r w:rsidRPr="00DE1A3C">
        <w:rPr>
          <w:rFonts w:ascii="Palatino Linotype" w:eastAsia="Palatino Linotype" w:hAnsi="Palatino Linotype" w:cs="Palatino Linotype"/>
          <w:b/>
          <w:bCs/>
        </w:rPr>
        <w:lastRenderedPageBreak/>
        <w:t xml:space="preserve">QUINTO. </w:t>
      </w:r>
      <w:r w:rsidRPr="00DE1A3C">
        <w:rPr>
          <w:rFonts w:ascii="Palatino Linotype" w:eastAsia="Palatino Linotype" w:hAnsi="Palatino Linotype" w:cs="Palatino Linotype"/>
          <w:b/>
          <w:bCs/>
          <w:color w:val="000000"/>
          <w:shd w:val="clear" w:color="auto" w:fill="FAFAFA"/>
        </w:rPr>
        <w:t>Gírese </w:t>
      </w:r>
      <w:r w:rsidRPr="00DE1A3C">
        <w:rPr>
          <w:rFonts w:ascii="Palatino Linotype" w:eastAsia="Palatino Linotype" w:hAnsi="Palatino Linotype" w:cs="Palatino Linotype"/>
          <w:color w:val="000000"/>
          <w:shd w:val="clear" w:color="auto" w:fill="FAFAFA"/>
        </w:rPr>
        <w:t>oficio a la Secretaría Técnica del Pleno de este Instituto para hacer del conocimiento del Órgano Interno de Control competente la presente resolución, a fin de que de conformidad con el artículo 190 de la Ley de Transparencia y Acceso a la Información Pública del Estado de México y Municipios se determine lo conducente, en términos de lo señalado en el Considerando </w:t>
      </w:r>
      <w:r w:rsidRPr="00DE1A3C">
        <w:rPr>
          <w:rFonts w:ascii="Palatino Linotype" w:eastAsia="Palatino Linotype" w:hAnsi="Palatino Linotype" w:cs="Palatino Linotype"/>
          <w:b/>
          <w:bCs/>
          <w:color w:val="000000"/>
          <w:shd w:val="clear" w:color="auto" w:fill="FAFAFA"/>
        </w:rPr>
        <w:t>CUARTO</w:t>
      </w:r>
      <w:r w:rsidRPr="00DE1A3C">
        <w:rPr>
          <w:rFonts w:ascii="Palatino Linotype" w:eastAsia="Palatino Linotype" w:hAnsi="Palatino Linotype" w:cs="Palatino Linotype"/>
          <w:color w:val="000000"/>
          <w:shd w:val="clear" w:color="auto" w:fill="FAFAFA"/>
        </w:rPr>
        <w:t>.</w:t>
      </w:r>
    </w:p>
    <w:p w:rsidR="005E77CD" w:rsidRPr="00DE1A3C" w:rsidRDefault="005E77CD">
      <w:pPr>
        <w:tabs>
          <w:tab w:val="left" w:pos="8080"/>
        </w:tabs>
        <w:spacing w:line="360" w:lineRule="auto"/>
        <w:ind w:right="49"/>
        <w:jc w:val="both"/>
        <w:rPr>
          <w:rFonts w:ascii="Palatino Linotype" w:eastAsia="Palatino Linotype" w:hAnsi="Palatino Linotype" w:cs="Palatino Linotype"/>
        </w:rPr>
      </w:pPr>
    </w:p>
    <w:p w:rsidR="005E77CD" w:rsidRPr="00DE1A3C" w:rsidRDefault="00EF0BFD">
      <w:pPr>
        <w:shd w:val="clear" w:color="auto" w:fill="FFFFFF"/>
        <w:spacing w:line="360" w:lineRule="auto"/>
        <w:jc w:val="both"/>
        <w:rPr>
          <w:rFonts w:ascii="Palatino Linotype" w:eastAsia="Palatino Linotype" w:hAnsi="Palatino Linotype" w:cs="Palatino Linotype"/>
          <w:color w:val="000000"/>
          <w:shd w:val="clear" w:color="auto" w:fill="FAFAFA"/>
        </w:rPr>
      </w:pPr>
      <w:r w:rsidRPr="00DE1A3C">
        <w:rPr>
          <w:rFonts w:ascii="Palatino Linotype" w:eastAsia="Palatino Linotype" w:hAnsi="Palatino Linotype" w:cs="Palatino Linotype"/>
          <w:b/>
          <w:bCs/>
        </w:rPr>
        <w:t>SEXTO.</w:t>
      </w:r>
      <w:r w:rsidRPr="00DE1A3C">
        <w:rPr>
          <w:rFonts w:ascii="Palatino Linotype" w:eastAsia="Palatino Linotype" w:hAnsi="Palatino Linotype" w:cs="Palatino Linotype"/>
        </w:rPr>
        <w:t xml:space="preserve"> </w:t>
      </w:r>
      <w:r w:rsidRPr="00DE1A3C">
        <w:rPr>
          <w:rFonts w:ascii="Palatino Linotype" w:eastAsia="Palatino Linotype" w:hAnsi="Palatino Linotype" w:cs="Palatino Linotype"/>
          <w:color w:val="000000"/>
          <w:shd w:val="clear" w:color="auto" w:fill="FAFAFA"/>
        </w:rPr>
        <w:t>Hágase del conocimiento del </w:t>
      </w:r>
      <w:r w:rsidRPr="00DE1A3C">
        <w:rPr>
          <w:rFonts w:ascii="Palatino Linotype" w:eastAsia="Palatino Linotype" w:hAnsi="Palatino Linotype" w:cs="Palatino Linotype"/>
          <w:b/>
          <w:bCs/>
          <w:color w:val="000000"/>
          <w:shd w:val="clear" w:color="auto" w:fill="FAFAFA"/>
        </w:rPr>
        <w:t>RECURRENTE</w:t>
      </w:r>
      <w:r w:rsidRPr="00DE1A3C">
        <w:rPr>
          <w:rFonts w:ascii="Palatino Linotype" w:eastAsia="Palatino Linotype" w:hAnsi="Palatino Linotype" w:cs="Palatino Linotype"/>
          <w:color w:val="000000"/>
          <w:shd w:val="clear" w:color="auto" w:fill="FAFAFA"/>
        </w:rPr>
        <w:t> que la respuesta que dé </w:t>
      </w:r>
      <w:r w:rsidRPr="00DE1A3C">
        <w:rPr>
          <w:rFonts w:ascii="Palatino Linotype" w:eastAsia="Palatino Linotype" w:hAnsi="Palatino Linotype" w:cs="Palatino Linotype"/>
          <w:b/>
          <w:bCs/>
          <w:color w:val="000000"/>
          <w:shd w:val="clear" w:color="auto" w:fill="FAFAFA"/>
        </w:rPr>
        <w:t>EL SUJETO OBLIGADO</w:t>
      </w:r>
      <w:r w:rsidRPr="00DE1A3C">
        <w:rPr>
          <w:rFonts w:ascii="Palatino Linotype" w:eastAsia="Palatino Linotype" w:hAnsi="Palatino Linotype" w:cs="Palatino Linotype"/>
          <w:color w:val="000000"/>
          <w:shd w:val="clear" w:color="auto" w:fill="FAFAFA"/>
        </w:rPr>
        <w:t> derivada de la presente resolución es susceptible de ser impugnada nuevamente, mediante recurso de revisión, ante el Instituto, en términos del artículo 179, último párrafo de la Ley de Transparencia y Acceso a la Información Pública del Estado de México y Municipios.</w:t>
      </w:r>
    </w:p>
    <w:p w:rsidR="00A9013A" w:rsidRPr="00DE1A3C" w:rsidRDefault="00A9013A">
      <w:pPr>
        <w:shd w:val="clear" w:color="auto" w:fill="FFFFFF"/>
        <w:spacing w:line="360" w:lineRule="auto"/>
        <w:jc w:val="both"/>
        <w:rPr>
          <w:rFonts w:ascii="Palatino Linotype" w:eastAsia="Palatino Linotype" w:hAnsi="Palatino Linotype" w:cs="Palatino Linotype"/>
          <w:color w:val="000000"/>
          <w:shd w:val="clear" w:color="auto" w:fill="FAFAFA"/>
        </w:rPr>
      </w:pPr>
    </w:p>
    <w:p w:rsidR="00A9013A" w:rsidRPr="00DE1A3C" w:rsidRDefault="00A9013A" w:rsidP="00A9013A">
      <w:pPr>
        <w:shd w:val="clear" w:color="auto" w:fill="FFFFFF"/>
        <w:spacing w:line="360" w:lineRule="auto"/>
        <w:ind w:right="51"/>
        <w:jc w:val="both"/>
        <w:rPr>
          <w:rFonts w:ascii="Palatino Linotype" w:eastAsia="Palatino Linotype" w:hAnsi="Palatino Linotype" w:cs="Palatino Linotype"/>
        </w:rPr>
      </w:pPr>
      <w:r w:rsidRPr="00DE1A3C">
        <w:rPr>
          <w:rFonts w:ascii="Palatino Linotype" w:eastAsia="Palatino Linotype" w:hAnsi="Palatino Linotype" w:cs="Palatino Linotype"/>
          <w:b/>
        </w:rPr>
        <w:t xml:space="preserve">SÉPTIMO. </w:t>
      </w:r>
      <w:r w:rsidRPr="00DE1A3C">
        <w:rPr>
          <w:rFonts w:ascii="Palatino Linotype" w:eastAsia="Palatino Linotype" w:hAnsi="Palatino Linotype" w:cs="Palatino Linotype"/>
        </w:rPr>
        <w:t>Se hace del conocimiento del</w:t>
      </w:r>
      <w:r w:rsidRPr="00DE1A3C">
        <w:rPr>
          <w:rFonts w:ascii="Palatino Linotype" w:eastAsia="Palatino Linotype" w:hAnsi="Palatino Linotype" w:cs="Palatino Linotype"/>
          <w:b/>
        </w:rPr>
        <w:t xml:space="preserve"> RECURRENTE </w:t>
      </w:r>
      <w:r w:rsidRPr="00DE1A3C">
        <w:rPr>
          <w:rFonts w:ascii="Palatino Linotype" w:eastAsia="Palatino Linotype" w:hAnsi="Palatino Linotype" w:cs="Palatino Linotype"/>
        </w:rPr>
        <w:t>que, de conformidad con lo establecido en el artículo 196 de la Ley de Transparencia y Acceso a la Información Pública del Estado de México y Municipios, en caso de que considere que la Resolución le cause algún perjuicio podrá impugnar vía juicio de amparo en los términos de las leyes aplicables.</w:t>
      </w:r>
    </w:p>
    <w:p w:rsidR="00A9013A" w:rsidRPr="00DE1A3C" w:rsidRDefault="00A9013A">
      <w:pPr>
        <w:shd w:val="clear" w:color="auto" w:fill="FFFFFF"/>
        <w:spacing w:line="360" w:lineRule="auto"/>
        <w:jc w:val="both"/>
        <w:rPr>
          <w:rFonts w:ascii="Palatino Linotype" w:eastAsia="Palatino Linotype" w:hAnsi="Palatino Linotype" w:cs="Palatino Linotype"/>
          <w:color w:val="000000"/>
          <w:shd w:val="clear" w:color="auto" w:fill="FAFAFA"/>
        </w:rPr>
      </w:pPr>
    </w:p>
    <w:p w:rsidR="00A9013A" w:rsidRPr="00DE1A3C" w:rsidRDefault="00A9013A" w:rsidP="00A9013A">
      <w:pPr>
        <w:spacing w:before="240" w:after="240" w:line="360" w:lineRule="auto"/>
        <w:ind w:firstLine="1"/>
        <w:jc w:val="both"/>
        <w:rPr>
          <w:rFonts w:ascii="Palatino Linotype" w:hAnsi="Palatino Linotype"/>
        </w:rPr>
      </w:pPr>
      <w:bookmarkStart w:id="14" w:name="_heading=h.dipqbfvvq8qp" w:colFirst="0" w:colLast="0"/>
      <w:bookmarkStart w:id="15" w:name="_Hlk99014733"/>
      <w:bookmarkEnd w:id="14"/>
      <w:r w:rsidRPr="00DE1A3C">
        <w:rPr>
          <w:rFonts w:ascii="Palatino Linotype" w:hAnsi="Palatino Linotype" w:cs="Palatino Linotype"/>
        </w:rPr>
        <w:t xml:space="preserve">ASÍ LO RESUELVE, POR UNANIMIDAD DE VOTOS, EL PLENO DEL INSTITUTO DE TRANSPARENCIA, ACCESO A LA INFORMACIÓN PÚBLICA Y PROTECCIÓN DE DATOS PERSONALES DEL ESTADO DE MÉXICO Y MUNICIPIOS, CONFORMADO POR LOS COMISIONADOS JOSÉ MARTÍNEZ VILCHIS (AUSENCIA JUSTIFICADA), MARÍA DEL ROSARIO MEJÍA AYALA, SHARON CRISTINA MORALES MARTÍNEZ, LUIS GUSTAVO PARRA NORIEGA Y GUADALUPE RAMÍREZ PEÑA; EN LA DÉCIMA SEXTA </w:t>
      </w:r>
      <w:r w:rsidRPr="00DE1A3C">
        <w:rPr>
          <w:rFonts w:ascii="Palatino Linotype" w:hAnsi="Palatino Linotype" w:cs="Palatino Linotype"/>
        </w:rPr>
        <w:lastRenderedPageBreak/>
        <w:t xml:space="preserve">SESIÓN ORDINARIA, CELEBRADA EL SIETE (07) DE MAYO DE DOS MIL VEINTISÉIS, ANTE EL SECRETARIO TÉCNICO DEL PLENO </w:t>
      </w:r>
      <w:r w:rsidRPr="00DE1A3C">
        <w:rPr>
          <w:rFonts w:ascii="Palatino Linotype" w:hAnsi="Palatino Linotype" w:cs="Palatino Linotype"/>
          <w:color w:val="000000" w:themeColor="text1"/>
        </w:rPr>
        <w:t>ALEXIS TAPIA RAMÍREZ.</w:t>
      </w:r>
    </w:p>
    <w:bookmarkEnd w:id="15"/>
    <w:p w:rsidR="005E77CD" w:rsidRPr="00DE1A3C" w:rsidRDefault="005E77CD">
      <w:pPr>
        <w:spacing w:line="360" w:lineRule="auto"/>
        <w:jc w:val="both"/>
        <w:rPr>
          <w:rFonts w:ascii="Palatino Linotype" w:eastAsia="Palatino Linotype" w:hAnsi="Palatino Linotype" w:cs="Palatino Linotype"/>
        </w:rPr>
      </w:pPr>
    </w:p>
    <w:p w:rsidR="005E77CD" w:rsidRPr="00DE1A3C" w:rsidRDefault="005E77CD">
      <w:pPr>
        <w:pStyle w:val="Ttulo2"/>
        <w:spacing w:before="0" w:line="360" w:lineRule="auto"/>
      </w:pPr>
    </w:p>
    <w:p w:rsidR="00373A7B" w:rsidRPr="00DE1A3C" w:rsidRDefault="00373A7B" w:rsidP="00373A7B"/>
    <w:p w:rsidR="00373A7B" w:rsidRPr="00DE1A3C" w:rsidRDefault="00373A7B" w:rsidP="00373A7B"/>
    <w:p w:rsidR="00373A7B" w:rsidRPr="00DE1A3C" w:rsidRDefault="00373A7B" w:rsidP="00373A7B"/>
    <w:p w:rsidR="00373A7B" w:rsidRPr="00DE1A3C" w:rsidRDefault="00373A7B" w:rsidP="00373A7B"/>
    <w:p w:rsidR="00373A7B" w:rsidRDefault="00373A7B" w:rsidP="00373A7B"/>
    <w:p w:rsidR="00DE1A3C" w:rsidRDefault="00DE1A3C" w:rsidP="00373A7B"/>
    <w:p w:rsidR="00DE1A3C" w:rsidRDefault="00DE1A3C" w:rsidP="00373A7B"/>
    <w:p w:rsidR="00DE1A3C" w:rsidRDefault="00DE1A3C" w:rsidP="00373A7B"/>
    <w:p w:rsidR="00DE1A3C" w:rsidRDefault="00DE1A3C" w:rsidP="00373A7B"/>
    <w:p w:rsidR="00DE1A3C" w:rsidRDefault="00DE1A3C" w:rsidP="00373A7B"/>
    <w:p w:rsidR="00DE1A3C" w:rsidRDefault="00DE1A3C" w:rsidP="00373A7B"/>
    <w:p w:rsidR="00DE1A3C" w:rsidRDefault="00DE1A3C" w:rsidP="00373A7B"/>
    <w:p w:rsidR="00DE1A3C" w:rsidRDefault="00DE1A3C" w:rsidP="00373A7B"/>
    <w:p w:rsidR="00DE1A3C" w:rsidRDefault="00DE1A3C" w:rsidP="00373A7B"/>
    <w:p w:rsidR="00DE1A3C" w:rsidRDefault="00DE1A3C" w:rsidP="00373A7B"/>
    <w:p w:rsidR="00DE1A3C" w:rsidRDefault="00DE1A3C" w:rsidP="00373A7B"/>
    <w:p w:rsidR="00DE1A3C" w:rsidRDefault="00DE1A3C" w:rsidP="00373A7B"/>
    <w:p w:rsidR="00DE1A3C" w:rsidRDefault="00DE1A3C" w:rsidP="00373A7B"/>
    <w:p w:rsidR="00DE1A3C" w:rsidRDefault="00DE1A3C" w:rsidP="00373A7B"/>
    <w:p w:rsidR="00DE1A3C" w:rsidRDefault="00DE1A3C" w:rsidP="00373A7B"/>
    <w:p w:rsidR="00DE1A3C" w:rsidRDefault="00DE1A3C" w:rsidP="00373A7B"/>
    <w:p w:rsidR="00DE1A3C" w:rsidRDefault="00DE1A3C" w:rsidP="00373A7B"/>
    <w:p w:rsidR="00DE1A3C" w:rsidRDefault="00DE1A3C" w:rsidP="00373A7B"/>
    <w:p w:rsidR="00DE1A3C" w:rsidRDefault="00DE1A3C" w:rsidP="00373A7B"/>
    <w:p w:rsidR="00DE1A3C" w:rsidRDefault="00DE1A3C" w:rsidP="00373A7B"/>
    <w:p w:rsidR="00DE1A3C" w:rsidRDefault="00DE1A3C" w:rsidP="00373A7B"/>
    <w:p w:rsidR="00DE1A3C" w:rsidRDefault="00DE1A3C" w:rsidP="00373A7B"/>
    <w:p w:rsidR="00DE1A3C" w:rsidRDefault="00DE1A3C" w:rsidP="00373A7B"/>
    <w:p w:rsidR="00DE1A3C" w:rsidRDefault="00DE1A3C" w:rsidP="00373A7B"/>
    <w:p w:rsidR="00DE1A3C" w:rsidRDefault="00DE1A3C" w:rsidP="00373A7B"/>
    <w:p w:rsidR="00DE1A3C" w:rsidRDefault="00DE1A3C" w:rsidP="00373A7B"/>
    <w:p w:rsidR="00DE1A3C" w:rsidRDefault="00DE1A3C" w:rsidP="00373A7B"/>
    <w:p w:rsidR="00DE1A3C" w:rsidRDefault="00DE1A3C" w:rsidP="00373A7B"/>
    <w:p w:rsidR="00DE1A3C" w:rsidRDefault="00DE1A3C" w:rsidP="00373A7B"/>
    <w:p w:rsidR="00DE1A3C" w:rsidRDefault="00DE1A3C" w:rsidP="00373A7B"/>
    <w:p w:rsidR="00DE1A3C" w:rsidRDefault="00DE1A3C" w:rsidP="00373A7B">
      <w:bookmarkStart w:id="16" w:name="_GoBack"/>
      <w:bookmarkEnd w:id="16"/>
    </w:p>
    <w:p w:rsidR="00DE1A3C" w:rsidRPr="00DE1A3C" w:rsidRDefault="00DE1A3C" w:rsidP="00373A7B"/>
    <w:sectPr w:rsidR="00DE1A3C" w:rsidRPr="00DE1A3C" w:rsidSect="00DE1A3C">
      <w:headerReference w:type="default" r:id="rId8"/>
      <w:footerReference w:type="default" r:id="rId9"/>
      <w:headerReference w:type="first" r:id="rId10"/>
      <w:footerReference w:type="first" r:id="rId11"/>
      <w:pgSz w:w="12240" w:h="15840"/>
      <w:pgMar w:top="1691" w:right="758" w:bottom="1701" w:left="1701" w:header="708" w:footer="708"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173" w:rsidRDefault="00224173">
      <w:r>
        <w:separator/>
      </w:r>
    </w:p>
  </w:endnote>
  <w:endnote w:type="continuationSeparator" w:id="0">
    <w:p w:rsidR="00224173" w:rsidRDefault="002241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Palatino Linotype">
    <w:panose1 w:val="02040502050505030304"/>
    <w:charset w:val="00"/>
    <w:family w:val="roman"/>
    <w:pitch w:val="variable"/>
    <w:sig w:usb0="E0000287" w:usb1="40000013" w:usb2="00000000" w:usb3="00000000" w:csb0="0000019F" w:csb1="00000000"/>
    <w:embedRegular r:id="rId1" w:fontKey="{94D95346-D771-4EB9-B12B-D71A94CC0F69}"/>
    <w:embedBold r:id="rId2" w:fontKey="{73C3128C-A4A8-491D-A6E6-165265012BD2}"/>
    <w:embedItalic r:id="rId3" w:fontKey="{A35789E8-1183-4DC6-9B55-5FC039AFC036}"/>
    <w:embedBoldItalic r:id="rId4" w:fontKey="{940E3B59-9B6C-47FA-B293-4164CBAB08AA}"/>
  </w:font>
  <w:font w:name="Times New Roman">
    <w:panose1 w:val="02020603050405020304"/>
    <w:charset w:val="00"/>
    <w:family w:val="roman"/>
    <w:pitch w:val="variable"/>
    <w:sig w:usb0="E0002EFF" w:usb1="C000785B" w:usb2="00000009" w:usb3="00000000" w:csb0="000001FF" w:csb1="00000000"/>
  </w:font>
  <w:font w:name="Noto Sans Symbols">
    <w:altName w:val="Times New Roman"/>
    <w:charset w:val="00"/>
    <w:family w:val="auto"/>
    <w:pitch w:val="default"/>
    <w:embedRegular r:id="rId5" w:fontKey="{3FA4B430-7E71-400A-AB76-3585E1D07C0A}"/>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embedRegular r:id="rId6" w:fontKey="{B77046E4-AA1E-4A00-8A77-EB58A5DA499A}"/>
    <w:embedBold r:id="rId7" w:fontKey="{DB653DDD-AB18-4C5C-B053-347B54B4BD77}"/>
  </w:font>
  <w:font w:name="Calibri">
    <w:panose1 w:val="020F0502020204030204"/>
    <w:charset w:val="00"/>
    <w:family w:val="swiss"/>
    <w:pitch w:val="variable"/>
    <w:sig w:usb0="E4002EFF" w:usb1="C200247B" w:usb2="00000009" w:usb3="00000000" w:csb0="000001FF" w:csb1="00000000"/>
    <w:embedRegular r:id="rId8" w:fontKey="{36EDD15E-B9B0-4E55-98C1-2F2D5DF73282}"/>
    <w:embedItalic r:id="rId9" w:fontKey="{E66CC257-3381-486E-A5BF-96311D241684}"/>
  </w:font>
  <w:font w:name="Georgia">
    <w:panose1 w:val="02040502050405020303"/>
    <w:charset w:val="00"/>
    <w:family w:val="roman"/>
    <w:pitch w:val="variable"/>
    <w:sig w:usb0="00000287" w:usb1="00000000" w:usb2="00000000" w:usb3="00000000" w:csb0="0000009F" w:csb1="00000000"/>
    <w:embedItalic r:id="rId10" w:fontKey="{ACC81F69-FEED-446E-9897-CEC9399B0F99}"/>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7CD" w:rsidRDefault="00EF0BFD">
    <w:pPr>
      <w:pBdr>
        <w:top w:val="nil"/>
        <w:left w:val="nil"/>
        <w:bottom w:val="nil"/>
        <w:right w:val="nil"/>
        <w:between w:val="nil"/>
      </w:pBdr>
      <w:tabs>
        <w:tab w:val="center" w:pos="4252"/>
        <w:tab w:val="right" w:pos="8504"/>
      </w:tabs>
      <w:jc w:val="right"/>
      <w:rPr>
        <w:rFonts w:ascii="Palatino Linotype" w:eastAsia="Palatino Linotype" w:hAnsi="Palatino Linotype" w:cs="Palatino Linotype"/>
        <w:b/>
        <w:bCs/>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PAGE</w:instrText>
    </w:r>
    <w:r>
      <w:rPr>
        <w:rFonts w:ascii="Palatino Linotype" w:eastAsia="Palatino Linotype" w:hAnsi="Palatino Linotype" w:cs="Palatino Linotype"/>
        <w:b/>
        <w:bCs/>
        <w:color w:val="000000"/>
        <w:sz w:val="22"/>
        <w:szCs w:val="22"/>
      </w:rPr>
      <w:fldChar w:fldCharType="separate"/>
    </w:r>
    <w:r w:rsidR="00DE1A3C">
      <w:rPr>
        <w:rFonts w:ascii="Palatino Linotype" w:eastAsia="Palatino Linotype" w:hAnsi="Palatino Linotype" w:cs="Palatino Linotype"/>
        <w:b/>
        <w:bCs/>
        <w:noProof/>
        <w:color w:val="000000"/>
        <w:sz w:val="22"/>
        <w:szCs w:val="22"/>
      </w:rPr>
      <w:t>21</w:t>
    </w:r>
    <w:r>
      <w:rPr>
        <w:rFonts w:ascii="Palatino Linotype" w:eastAsia="Palatino Linotype" w:hAnsi="Palatino Linotype" w:cs="Palatino Linotype"/>
        <w:b/>
        <w:bCs/>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b/>
        <w:bCs/>
        <w:color w:val="000000"/>
        <w:sz w:val="22"/>
        <w:szCs w:val="22"/>
      </w:rPr>
      <w:fldChar w:fldCharType="begin"/>
    </w:r>
    <w:r>
      <w:rPr>
        <w:rFonts w:ascii="Palatino Linotype" w:eastAsia="Palatino Linotype" w:hAnsi="Palatino Linotype" w:cs="Palatino Linotype"/>
        <w:b/>
        <w:bCs/>
        <w:color w:val="000000"/>
        <w:sz w:val="22"/>
        <w:szCs w:val="22"/>
      </w:rPr>
      <w:instrText>NUMPAGES</w:instrText>
    </w:r>
    <w:r>
      <w:rPr>
        <w:rFonts w:ascii="Palatino Linotype" w:eastAsia="Palatino Linotype" w:hAnsi="Palatino Linotype" w:cs="Palatino Linotype"/>
        <w:b/>
        <w:bCs/>
        <w:color w:val="000000"/>
        <w:sz w:val="22"/>
        <w:szCs w:val="22"/>
      </w:rPr>
      <w:fldChar w:fldCharType="separate"/>
    </w:r>
    <w:r w:rsidR="00DE1A3C">
      <w:rPr>
        <w:rFonts w:ascii="Palatino Linotype" w:eastAsia="Palatino Linotype" w:hAnsi="Palatino Linotype" w:cs="Palatino Linotype"/>
        <w:b/>
        <w:bCs/>
        <w:noProof/>
        <w:color w:val="000000"/>
        <w:sz w:val="22"/>
        <w:szCs w:val="22"/>
      </w:rPr>
      <w:t>28</w:t>
    </w:r>
    <w:r>
      <w:rPr>
        <w:rFonts w:ascii="Palatino Linotype" w:eastAsia="Palatino Linotype" w:hAnsi="Palatino Linotype" w:cs="Palatino Linotype"/>
        <w:b/>
        <w:bCs/>
        <w:color w:val="000000"/>
        <w:sz w:val="22"/>
        <w:szCs w:val="22"/>
      </w:rPr>
      <w:fldChar w:fldCharType="end"/>
    </w:r>
  </w:p>
  <w:p w:rsidR="005E77CD" w:rsidRDefault="005E77CD">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8"/>
        <w:szCs w:val="28"/>
      </w:rPr>
    </w:pPr>
  </w:p>
  <w:p w:rsidR="005E77CD" w:rsidRDefault="005E77C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E77CD" w:rsidRDefault="00EF0BFD">
    <w:pPr>
      <w:pBdr>
        <w:top w:val="nil"/>
        <w:left w:val="nil"/>
        <w:bottom w:val="nil"/>
        <w:right w:val="nil"/>
        <w:between w:val="nil"/>
      </w:pBdr>
      <w:tabs>
        <w:tab w:val="center" w:pos="4252"/>
        <w:tab w:val="right" w:pos="8504"/>
      </w:tabs>
      <w:jc w:val="right"/>
      <w:rPr>
        <w:rFonts w:ascii="Palatino Linotype" w:eastAsia="Palatino Linotype" w:hAnsi="Palatino Linotype" w:cs="Palatino Linotype"/>
        <w:color w:val="000000"/>
        <w:sz w:val="22"/>
        <w:szCs w:val="22"/>
      </w:rPr>
    </w:pPr>
    <w:r>
      <w:rPr>
        <w:rFonts w:ascii="Palatino Linotype" w:eastAsia="Palatino Linotype" w:hAnsi="Palatino Linotype" w:cs="Palatino Linotype"/>
        <w:color w:val="000000"/>
        <w:sz w:val="22"/>
        <w:szCs w:val="22"/>
      </w:rPr>
      <w:t xml:space="preserve">Página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PAGE</w:instrText>
    </w:r>
    <w:r>
      <w:rPr>
        <w:rFonts w:ascii="Palatino Linotype" w:eastAsia="Palatino Linotype" w:hAnsi="Palatino Linotype" w:cs="Palatino Linotype"/>
        <w:color w:val="000000"/>
        <w:sz w:val="22"/>
        <w:szCs w:val="22"/>
      </w:rPr>
      <w:fldChar w:fldCharType="separate"/>
    </w:r>
    <w:r w:rsidR="00DE1A3C">
      <w:rPr>
        <w:rFonts w:ascii="Palatino Linotype" w:eastAsia="Palatino Linotype" w:hAnsi="Palatino Linotype" w:cs="Palatino Linotype"/>
        <w:noProof/>
        <w:color w:val="000000"/>
        <w:sz w:val="22"/>
        <w:szCs w:val="22"/>
      </w:rPr>
      <w:t>1</w:t>
    </w:r>
    <w:r>
      <w:rPr>
        <w:rFonts w:ascii="Palatino Linotype" w:eastAsia="Palatino Linotype" w:hAnsi="Palatino Linotype" w:cs="Palatino Linotype"/>
        <w:color w:val="000000"/>
        <w:sz w:val="22"/>
        <w:szCs w:val="22"/>
      </w:rPr>
      <w:fldChar w:fldCharType="end"/>
    </w:r>
    <w:r>
      <w:rPr>
        <w:rFonts w:ascii="Palatino Linotype" w:eastAsia="Palatino Linotype" w:hAnsi="Palatino Linotype" w:cs="Palatino Linotype"/>
        <w:color w:val="000000"/>
        <w:sz w:val="22"/>
        <w:szCs w:val="22"/>
      </w:rPr>
      <w:t xml:space="preserve"> de </w:t>
    </w:r>
    <w:r>
      <w:rPr>
        <w:rFonts w:ascii="Palatino Linotype" w:eastAsia="Palatino Linotype" w:hAnsi="Palatino Linotype" w:cs="Palatino Linotype"/>
        <w:color w:val="000000"/>
        <w:sz w:val="22"/>
        <w:szCs w:val="22"/>
      </w:rPr>
      <w:fldChar w:fldCharType="begin"/>
    </w:r>
    <w:r>
      <w:rPr>
        <w:rFonts w:ascii="Palatino Linotype" w:eastAsia="Palatino Linotype" w:hAnsi="Palatino Linotype" w:cs="Palatino Linotype"/>
        <w:color w:val="000000"/>
        <w:sz w:val="22"/>
        <w:szCs w:val="22"/>
      </w:rPr>
      <w:instrText>NUMPAGES</w:instrText>
    </w:r>
    <w:r>
      <w:rPr>
        <w:rFonts w:ascii="Palatino Linotype" w:eastAsia="Palatino Linotype" w:hAnsi="Palatino Linotype" w:cs="Palatino Linotype"/>
        <w:color w:val="000000"/>
        <w:sz w:val="22"/>
        <w:szCs w:val="22"/>
      </w:rPr>
      <w:fldChar w:fldCharType="separate"/>
    </w:r>
    <w:r w:rsidR="00DE1A3C">
      <w:rPr>
        <w:rFonts w:ascii="Palatino Linotype" w:eastAsia="Palatino Linotype" w:hAnsi="Palatino Linotype" w:cs="Palatino Linotype"/>
        <w:noProof/>
        <w:color w:val="000000"/>
        <w:sz w:val="22"/>
        <w:szCs w:val="22"/>
      </w:rPr>
      <w:t>28</w:t>
    </w:r>
    <w:r>
      <w:rPr>
        <w:rFonts w:ascii="Palatino Linotype" w:eastAsia="Palatino Linotype" w:hAnsi="Palatino Linotype" w:cs="Palatino Linotype"/>
        <w:color w:val="000000"/>
        <w:sz w:val="22"/>
        <w:szCs w:val="22"/>
      </w:rPr>
      <w:fldChar w:fldCharType="end"/>
    </w:r>
  </w:p>
  <w:p w:rsidR="005E77CD" w:rsidRDefault="005E77CD">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2"/>
        <w:szCs w:val="22"/>
      </w:rPr>
    </w:pPr>
  </w:p>
  <w:p w:rsidR="005E77CD" w:rsidRDefault="005E77C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173" w:rsidRDefault="00224173">
      <w:r>
        <w:separator/>
      </w:r>
    </w:p>
  </w:footnote>
  <w:footnote w:type="continuationSeparator" w:id="0">
    <w:p w:rsidR="00224173" w:rsidRDefault="0022417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0"/>
      <w:tblW w:w="7270" w:type="dxa"/>
      <w:tblInd w:w="3078" w:type="dxa"/>
      <w:tblBorders>
        <w:top w:val="nil"/>
        <w:left w:val="nil"/>
        <w:bottom w:val="nil"/>
        <w:right w:val="nil"/>
        <w:insideH w:val="nil"/>
        <w:insideV w:val="nil"/>
      </w:tblBorders>
      <w:tblLayout w:type="fixed"/>
      <w:tblLook w:val="0400" w:firstRow="0" w:lastRow="0" w:firstColumn="0" w:lastColumn="0" w:noHBand="0" w:noVBand="1"/>
    </w:tblPr>
    <w:tblGrid>
      <w:gridCol w:w="2876"/>
      <w:gridCol w:w="4394"/>
    </w:tblGrid>
    <w:tr w:rsidR="005E77CD" w:rsidTr="00DE1A3C">
      <w:trPr>
        <w:trHeight w:val="138"/>
      </w:trPr>
      <w:tc>
        <w:tcPr>
          <w:tcW w:w="2876" w:type="dxa"/>
          <w:vAlign w:val="center"/>
        </w:tcPr>
        <w:p w:rsidR="005E77CD" w:rsidRPr="00DE1A3C" w:rsidRDefault="00DE1A3C">
          <w:pPr>
            <w:rPr>
              <w:rFonts w:ascii="Palatino Linotype" w:eastAsia="Palatino Linotype" w:hAnsi="Palatino Linotype" w:cs="Palatino Linotype"/>
              <w:b/>
              <w:bCs/>
              <w:sz w:val="24"/>
            </w:rPr>
          </w:pPr>
          <w:r>
            <w:rPr>
              <w:noProof/>
              <w:lang w:val="es-MX"/>
            </w:rPr>
            <w:drawing>
              <wp:anchor distT="0" distB="0" distL="0" distR="0" simplePos="0" relativeHeight="251661312" behindDoc="1" locked="0" layoutInCell="1" hidden="0" allowOverlap="1" wp14:anchorId="641D42D4" wp14:editId="5199A538">
                <wp:simplePos x="0" y="0"/>
                <wp:positionH relativeFrom="page">
                  <wp:posOffset>-3068955</wp:posOffset>
                </wp:positionH>
                <wp:positionV relativeFrom="paragraph">
                  <wp:posOffset>-638175</wp:posOffset>
                </wp:positionV>
                <wp:extent cx="7809865" cy="10165715"/>
                <wp:effectExtent l="0" t="0" r="635" b="6985"/>
                <wp:wrapNone/>
                <wp:docPr id="10"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65" cy="10165715"/>
                        </a:xfrm>
                        <a:prstGeom prst="rect">
                          <a:avLst/>
                        </a:prstGeom>
                        <a:ln/>
                      </pic:spPr>
                    </pic:pic>
                  </a:graphicData>
                </a:graphic>
                <wp14:sizeRelH relativeFrom="margin">
                  <wp14:pctWidth>0</wp14:pctWidth>
                </wp14:sizeRelH>
                <wp14:sizeRelV relativeFrom="margin">
                  <wp14:pctHeight>0</wp14:pctHeight>
                </wp14:sizeRelV>
              </wp:anchor>
            </w:drawing>
          </w:r>
          <w:r w:rsidR="00EF0BFD" w:rsidRPr="00DE1A3C">
            <w:rPr>
              <w:rFonts w:ascii="Palatino Linotype" w:eastAsia="Palatino Linotype" w:hAnsi="Palatino Linotype" w:cs="Palatino Linotype"/>
              <w:b/>
              <w:bCs/>
              <w:sz w:val="24"/>
            </w:rPr>
            <w:t>Recurso de Revisión:</w:t>
          </w:r>
        </w:p>
      </w:tc>
      <w:tc>
        <w:tcPr>
          <w:tcW w:w="4394" w:type="dxa"/>
          <w:vAlign w:val="center"/>
        </w:tcPr>
        <w:p w:rsidR="005E77CD" w:rsidRPr="00DE1A3C" w:rsidRDefault="00EF0BFD">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4"/>
              <w:highlight w:val="yellow"/>
            </w:rPr>
          </w:pPr>
          <w:r w:rsidRPr="00DE1A3C">
            <w:rPr>
              <w:rFonts w:ascii="Palatino Linotype" w:eastAsia="Palatino Linotype" w:hAnsi="Palatino Linotype" w:cs="Palatino Linotype"/>
              <w:color w:val="000000"/>
              <w:sz w:val="24"/>
            </w:rPr>
            <w:t>01353/INFOEM/IP/RR/2026 y acum</w:t>
          </w:r>
        </w:p>
      </w:tc>
    </w:tr>
    <w:tr w:rsidR="005E77CD" w:rsidTr="00DE1A3C">
      <w:trPr>
        <w:trHeight w:val="321"/>
      </w:trPr>
      <w:tc>
        <w:tcPr>
          <w:tcW w:w="2876" w:type="dxa"/>
          <w:vAlign w:val="center"/>
        </w:tcPr>
        <w:p w:rsidR="005E77CD" w:rsidRPr="00DE1A3C" w:rsidRDefault="00EF0BFD">
          <w:pPr>
            <w:rPr>
              <w:rFonts w:ascii="Palatino Linotype" w:eastAsia="Palatino Linotype" w:hAnsi="Palatino Linotype" w:cs="Palatino Linotype"/>
              <w:b/>
              <w:bCs/>
              <w:sz w:val="24"/>
            </w:rPr>
          </w:pPr>
          <w:r w:rsidRPr="00DE1A3C">
            <w:rPr>
              <w:rFonts w:ascii="Palatino Linotype" w:eastAsia="Palatino Linotype" w:hAnsi="Palatino Linotype" w:cs="Palatino Linotype"/>
              <w:b/>
              <w:bCs/>
              <w:sz w:val="24"/>
            </w:rPr>
            <w:t>Sujeto Obligado:</w:t>
          </w:r>
        </w:p>
      </w:tc>
      <w:tc>
        <w:tcPr>
          <w:tcW w:w="4394" w:type="dxa"/>
          <w:vAlign w:val="center"/>
        </w:tcPr>
        <w:p w:rsidR="005E77CD" w:rsidRPr="00DE1A3C" w:rsidRDefault="00EF0BFD">
          <w:pPr>
            <w:rPr>
              <w:rFonts w:ascii="Palatino Linotype" w:eastAsia="Palatino Linotype" w:hAnsi="Palatino Linotype" w:cs="Palatino Linotype"/>
              <w:sz w:val="24"/>
            </w:rPr>
          </w:pPr>
          <w:r w:rsidRPr="00DE1A3C">
            <w:rPr>
              <w:rFonts w:ascii="Palatino Linotype" w:eastAsia="Palatino Linotype" w:hAnsi="Palatino Linotype" w:cs="Palatino Linotype"/>
              <w:sz w:val="24"/>
            </w:rPr>
            <w:t>Ayuntamiento de Toluca</w:t>
          </w:r>
        </w:p>
      </w:tc>
    </w:tr>
    <w:tr w:rsidR="005E77CD" w:rsidTr="00DE1A3C">
      <w:trPr>
        <w:trHeight w:val="321"/>
      </w:trPr>
      <w:tc>
        <w:tcPr>
          <w:tcW w:w="2876" w:type="dxa"/>
          <w:vAlign w:val="center"/>
        </w:tcPr>
        <w:p w:rsidR="005E77CD" w:rsidRPr="00DE1A3C" w:rsidRDefault="00EF0BFD">
          <w:pPr>
            <w:rPr>
              <w:rFonts w:ascii="Palatino Linotype" w:eastAsia="Palatino Linotype" w:hAnsi="Palatino Linotype" w:cs="Palatino Linotype"/>
              <w:b/>
              <w:bCs/>
              <w:sz w:val="24"/>
            </w:rPr>
          </w:pPr>
          <w:r w:rsidRPr="00DE1A3C">
            <w:rPr>
              <w:rFonts w:ascii="Palatino Linotype" w:eastAsia="Palatino Linotype" w:hAnsi="Palatino Linotype" w:cs="Palatino Linotype"/>
              <w:b/>
              <w:bCs/>
              <w:sz w:val="24"/>
            </w:rPr>
            <w:t>Comisionada Ponente:</w:t>
          </w:r>
        </w:p>
      </w:tc>
      <w:tc>
        <w:tcPr>
          <w:tcW w:w="4394" w:type="dxa"/>
          <w:vAlign w:val="center"/>
        </w:tcPr>
        <w:p w:rsidR="005E77CD" w:rsidRPr="00DE1A3C" w:rsidRDefault="00EF0BFD">
          <w:pPr>
            <w:pBdr>
              <w:top w:val="nil"/>
              <w:left w:val="nil"/>
              <w:bottom w:val="nil"/>
              <w:right w:val="nil"/>
              <w:between w:val="nil"/>
            </w:pBdr>
            <w:tabs>
              <w:tab w:val="center" w:pos="4252"/>
              <w:tab w:val="right" w:pos="8504"/>
            </w:tabs>
            <w:rPr>
              <w:rFonts w:ascii="Palatino Linotype" w:eastAsia="Palatino Linotype" w:hAnsi="Palatino Linotype" w:cs="Palatino Linotype"/>
              <w:color w:val="000000"/>
              <w:sz w:val="24"/>
            </w:rPr>
          </w:pPr>
          <w:r w:rsidRPr="00DE1A3C">
            <w:rPr>
              <w:rFonts w:ascii="Palatino Linotype" w:eastAsia="Palatino Linotype" w:hAnsi="Palatino Linotype" w:cs="Palatino Linotype"/>
              <w:color w:val="000000"/>
              <w:sz w:val="24"/>
            </w:rPr>
            <w:t>María del Rosario Mejía Ayala</w:t>
          </w:r>
        </w:p>
      </w:tc>
    </w:tr>
  </w:tbl>
  <w:p w:rsidR="005E77CD" w:rsidRDefault="005E77CD">
    <w:pPr>
      <w:pBdr>
        <w:top w:val="nil"/>
        <w:left w:val="nil"/>
        <w:bottom w:val="nil"/>
        <w:right w:val="nil"/>
        <w:between w:val="nil"/>
      </w:pBdr>
      <w:tabs>
        <w:tab w:val="center" w:pos="4252"/>
        <w:tab w:val="right" w:pos="8504"/>
      </w:tabs>
      <w:rPr>
        <w:color w:val="000000"/>
      </w:rPr>
    </w:pPr>
  </w:p>
  <w:p w:rsidR="005E77CD" w:rsidRDefault="005E77CD"/>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a1"/>
      <w:tblW w:w="7171" w:type="dxa"/>
      <w:tblInd w:w="2799"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400" w:firstRow="0" w:lastRow="0" w:firstColumn="0" w:lastColumn="0" w:noHBand="0" w:noVBand="1"/>
    </w:tblPr>
    <w:tblGrid>
      <w:gridCol w:w="2866"/>
      <w:gridCol w:w="255"/>
      <w:gridCol w:w="4050"/>
    </w:tblGrid>
    <w:tr w:rsidR="005E77CD" w:rsidTr="00DE1A3C">
      <w:trPr>
        <w:trHeight w:val="138"/>
      </w:trPr>
      <w:tc>
        <w:tcPr>
          <w:tcW w:w="2866" w:type="dxa"/>
          <w:vAlign w:val="center"/>
        </w:tcPr>
        <w:p w:rsidR="005E77CD" w:rsidRPr="00DE1A3C" w:rsidRDefault="00EF0BFD">
          <w:pPr>
            <w:rPr>
              <w:rFonts w:ascii="Palatino Linotype" w:eastAsia="Palatino Linotype" w:hAnsi="Palatino Linotype" w:cs="Palatino Linotype"/>
              <w:b/>
              <w:bCs/>
              <w:sz w:val="24"/>
            </w:rPr>
          </w:pPr>
          <w:r w:rsidRPr="00DE1A3C">
            <w:rPr>
              <w:rFonts w:ascii="Palatino Linotype" w:eastAsia="Palatino Linotype" w:hAnsi="Palatino Linotype" w:cs="Palatino Linotype"/>
              <w:b/>
              <w:bCs/>
              <w:sz w:val="24"/>
            </w:rPr>
            <w:t>Recurso de Revisión:</w:t>
          </w:r>
        </w:p>
      </w:tc>
      <w:tc>
        <w:tcPr>
          <w:tcW w:w="255" w:type="dxa"/>
          <w:vAlign w:val="center"/>
        </w:tcPr>
        <w:p w:rsidR="005E77CD" w:rsidRPr="00DE1A3C" w:rsidRDefault="005E77CD">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bCs/>
              <w:color w:val="000000"/>
              <w:sz w:val="24"/>
            </w:rPr>
          </w:pPr>
        </w:p>
      </w:tc>
      <w:tc>
        <w:tcPr>
          <w:tcW w:w="4050" w:type="dxa"/>
          <w:vAlign w:val="center"/>
        </w:tcPr>
        <w:p w:rsidR="005E77CD" w:rsidRPr="00DE1A3C" w:rsidRDefault="00EF0BFD">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r w:rsidRPr="00DE1A3C">
            <w:rPr>
              <w:rFonts w:ascii="Palatino Linotype" w:eastAsia="Palatino Linotype" w:hAnsi="Palatino Linotype" w:cs="Palatino Linotype"/>
              <w:color w:val="000000"/>
              <w:sz w:val="24"/>
            </w:rPr>
            <w:t>01353/INFOEM/IP/RR/2026 y acum.</w:t>
          </w:r>
        </w:p>
      </w:tc>
    </w:tr>
    <w:tr w:rsidR="005E77CD" w:rsidTr="00DE1A3C">
      <w:trPr>
        <w:trHeight w:val="227"/>
      </w:trPr>
      <w:tc>
        <w:tcPr>
          <w:tcW w:w="2866" w:type="dxa"/>
          <w:vAlign w:val="center"/>
        </w:tcPr>
        <w:p w:rsidR="005E77CD" w:rsidRPr="00DE1A3C" w:rsidRDefault="00EF0BFD">
          <w:pPr>
            <w:rPr>
              <w:rFonts w:ascii="Palatino Linotype" w:eastAsia="Palatino Linotype" w:hAnsi="Palatino Linotype" w:cs="Palatino Linotype"/>
              <w:b/>
              <w:bCs/>
              <w:sz w:val="24"/>
            </w:rPr>
          </w:pPr>
          <w:r w:rsidRPr="00DE1A3C">
            <w:rPr>
              <w:rFonts w:ascii="Palatino Linotype" w:eastAsia="Palatino Linotype" w:hAnsi="Palatino Linotype" w:cs="Palatino Linotype"/>
              <w:b/>
              <w:bCs/>
              <w:sz w:val="24"/>
            </w:rPr>
            <w:t>Recurrente:</w:t>
          </w:r>
        </w:p>
      </w:tc>
      <w:tc>
        <w:tcPr>
          <w:tcW w:w="255" w:type="dxa"/>
          <w:vAlign w:val="center"/>
        </w:tcPr>
        <w:p w:rsidR="005E77CD" w:rsidRPr="00DE1A3C" w:rsidRDefault="005E77CD">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bCs/>
              <w:color w:val="000000"/>
              <w:sz w:val="24"/>
            </w:rPr>
          </w:pPr>
        </w:p>
      </w:tc>
      <w:tc>
        <w:tcPr>
          <w:tcW w:w="4050" w:type="dxa"/>
          <w:vAlign w:val="center"/>
        </w:tcPr>
        <w:p w:rsidR="005E77CD" w:rsidRPr="00DE1A3C" w:rsidRDefault="005E77CD">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p>
      </w:tc>
    </w:tr>
    <w:tr w:rsidR="005E77CD" w:rsidTr="00DE1A3C">
      <w:trPr>
        <w:trHeight w:val="232"/>
      </w:trPr>
      <w:tc>
        <w:tcPr>
          <w:tcW w:w="2866" w:type="dxa"/>
          <w:vAlign w:val="center"/>
        </w:tcPr>
        <w:p w:rsidR="005E77CD" w:rsidRPr="00DE1A3C" w:rsidRDefault="00EF0BFD">
          <w:pPr>
            <w:rPr>
              <w:rFonts w:ascii="Palatino Linotype" w:eastAsia="Palatino Linotype" w:hAnsi="Palatino Linotype" w:cs="Palatino Linotype"/>
              <w:b/>
              <w:bCs/>
              <w:sz w:val="24"/>
            </w:rPr>
          </w:pPr>
          <w:r w:rsidRPr="00DE1A3C">
            <w:rPr>
              <w:rFonts w:ascii="Palatino Linotype" w:eastAsia="Palatino Linotype" w:hAnsi="Palatino Linotype" w:cs="Palatino Linotype"/>
              <w:b/>
              <w:bCs/>
              <w:sz w:val="24"/>
            </w:rPr>
            <w:t>Sujeto Obligado:</w:t>
          </w:r>
        </w:p>
      </w:tc>
      <w:tc>
        <w:tcPr>
          <w:tcW w:w="255" w:type="dxa"/>
          <w:vAlign w:val="center"/>
        </w:tcPr>
        <w:p w:rsidR="005E77CD" w:rsidRPr="00DE1A3C" w:rsidRDefault="005E77CD">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bCs/>
              <w:color w:val="000000"/>
              <w:sz w:val="24"/>
            </w:rPr>
          </w:pPr>
        </w:p>
      </w:tc>
      <w:tc>
        <w:tcPr>
          <w:tcW w:w="4050" w:type="dxa"/>
          <w:vAlign w:val="center"/>
        </w:tcPr>
        <w:p w:rsidR="005E77CD" w:rsidRPr="00DE1A3C" w:rsidRDefault="00EF0BFD">
          <w:pPr>
            <w:ind w:right="-73"/>
            <w:rPr>
              <w:sz w:val="24"/>
            </w:rPr>
          </w:pPr>
          <w:r w:rsidRPr="00DE1A3C">
            <w:rPr>
              <w:rFonts w:ascii="Palatino Linotype" w:eastAsia="Palatino Linotype" w:hAnsi="Palatino Linotype" w:cs="Palatino Linotype"/>
              <w:sz w:val="24"/>
            </w:rPr>
            <w:t>Ayuntamiento de Toluca</w:t>
          </w:r>
        </w:p>
      </w:tc>
    </w:tr>
    <w:tr w:rsidR="005E77CD" w:rsidTr="00DE1A3C">
      <w:trPr>
        <w:trHeight w:val="320"/>
      </w:trPr>
      <w:tc>
        <w:tcPr>
          <w:tcW w:w="2866" w:type="dxa"/>
          <w:vAlign w:val="center"/>
        </w:tcPr>
        <w:p w:rsidR="005E77CD" w:rsidRPr="00DE1A3C" w:rsidRDefault="00EF0BFD">
          <w:pPr>
            <w:rPr>
              <w:rFonts w:ascii="Palatino Linotype" w:eastAsia="Palatino Linotype" w:hAnsi="Palatino Linotype" w:cs="Palatino Linotype"/>
              <w:b/>
              <w:bCs/>
              <w:sz w:val="24"/>
            </w:rPr>
          </w:pPr>
          <w:r w:rsidRPr="00DE1A3C">
            <w:rPr>
              <w:rFonts w:ascii="Palatino Linotype" w:eastAsia="Palatino Linotype" w:hAnsi="Palatino Linotype" w:cs="Palatino Linotype"/>
              <w:b/>
              <w:bCs/>
              <w:sz w:val="24"/>
            </w:rPr>
            <w:t>Comisionada Ponente:</w:t>
          </w:r>
        </w:p>
      </w:tc>
      <w:tc>
        <w:tcPr>
          <w:tcW w:w="255" w:type="dxa"/>
          <w:vAlign w:val="center"/>
        </w:tcPr>
        <w:p w:rsidR="005E77CD" w:rsidRPr="00DE1A3C" w:rsidRDefault="005E77CD">
          <w:pPr>
            <w:pBdr>
              <w:top w:val="nil"/>
              <w:left w:val="nil"/>
              <w:bottom w:val="nil"/>
              <w:right w:val="nil"/>
              <w:between w:val="nil"/>
            </w:pBdr>
            <w:tabs>
              <w:tab w:val="center" w:pos="4252"/>
              <w:tab w:val="right" w:pos="8504"/>
            </w:tabs>
            <w:jc w:val="center"/>
            <w:rPr>
              <w:rFonts w:ascii="Palatino Linotype" w:eastAsia="Palatino Linotype" w:hAnsi="Palatino Linotype" w:cs="Palatino Linotype"/>
              <w:b/>
              <w:bCs/>
              <w:color w:val="000000"/>
              <w:sz w:val="24"/>
            </w:rPr>
          </w:pPr>
        </w:p>
      </w:tc>
      <w:tc>
        <w:tcPr>
          <w:tcW w:w="4050" w:type="dxa"/>
          <w:vAlign w:val="center"/>
        </w:tcPr>
        <w:p w:rsidR="005E77CD" w:rsidRPr="00DE1A3C" w:rsidRDefault="00EF0BFD">
          <w:pPr>
            <w:pBdr>
              <w:top w:val="nil"/>
              <w:left w:val="nil"/>
              <w:bottom w:val="nil"/>
              <w:right w:val="nil"/>
              <w:between w:val="nil"/>
            </w:pBdr>
            <w:tabs>
              <w:tab w:val="center" w:pos="4252"/>
              <w:tab w:val="right" w:pos="8504"/>
            </w:tabs>
            <w:ind w:right="-73"/>
            <w:rPr>
              <w:rFonts w:ascii="Palatino Linotype" w:eastAsia="Palatino Linotype" w:hAnsi="Palatino Linotype" w:cs="Palatino Linotype"/>
              <w:color w:val="000000"/>
              <w:sz w:val="24"/>
            </w:rPr>
          </w:pPr>
          <w:r w:rsidRPr="00DE1A3C">
            <w:rPr>
              <w:rFonts w:ascii="Palatino Linotype" w:eastAsia="Palatino Linotype" w:hAnsi="Palatino Linotype" w:cs="Palatino Linotype"/>
              <w:color w:val="000000"/>
              <w:sz w:val="24"/>
            </w:rPr>
            <w:t>María del Rosario Mejía Ayala</w:t>
          </w:r>
        </w:p>
      </w:tc>
    </w:tr>
  </w:tbl>
  <w:p w:rsidR="005E77CD" w:rsidRDefault="00DE1A3C">
    <w:pPr>
      <w:pBdr>
        <w:top w:val="nil"/>
        <w:left w:val="nil"/>
        <w:bottom w:val="nil"/>
        <w:right w:val="nil"/>
        <w:between w:val="nil"/>
      </w:pBdr>
      <w:tabs>
        <w:tab w:val="center" w:pos="4252"/>
        <w:tab w:val="right" w:pos="8504"/>
      </w:tabs>
      <w:rPr>
        <w:color w:val="000000"/>
      </w:rPr>
    </w:pPr>
    <w:r>
      <w:rPr>
        <w:noProof/>
        <w:lang w:val="es-MX"/>
      </w:rPr>
      <w:drawing>
        <wp:anchor distT="0" distB="0" distL="0" distR="0" simplePos="0" relativeHeight="251659264" behindDoc="1" locked="0" layoutInCell="1" hidden="0" allowOverlap="1">
          <wp:simplePos x="0" y="0"/>
          <wp:positionH relativeFrom="page">
            <wp:align>left</wp:align>
          </wp:positionH>
          <wp:positionV relativeFrom="paragraph">
            <wp:posOffset>-1246673</wp:posOffset>
          </wp:positionV>
          <wp:extent cx="7809876" cy="10165823"/>
          <wp:effectExtent l="0" t="0" r="635" b="6985"/>
          <wp:wrapNone/>
          <wp:docPr id="1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7809876" cy="10165823"/>
                  </a:xfrm>
                  <a:prstGeom prst="rect">
                    <a:avLst/>
                  </a:prstGeom>
                  <a:ln/>
                </pic:spPr>
              </pic:pic>
            </a:graphicData>
          </a:graphic>
        </wp:anchor>
      </w:drawing>
    </w:r>
  </w:p>
  <w:p w:rsidR="005E77CD" w:rsidRDefault="005E77CD"/>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3C13D37"/>
    <w:multiLevelType w:val="multilevel"/>
    <w:tmpl w:val="4C28FB26"/>
    <w:lvl w:ilvl="0">
      <w:start w:val="16"/>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DC5C74"/>
    <w:multiLevelType w:val="multilevel"/>
    <w:tmpl w:val="4EB289D4"/>
    <w:lvl w:ilvl="0">
      <w:start w:val="3"/>
      <w:numFmt w:val="decimal"/>
      <w:lvlText w:val="%1."/>
      <w:lvlJc w:val="left"/>
      <w:pPr>
        <w:ind w:left="720" w:hanging="36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15:restartNumberingAfterBreak="0">
    <w:nsid w:val="0E0208A5"/>
    <w:multiLevelType w:val="multilevel"/>
    <w:tmpl w:val="A8846D64"/>
    <w:lvl w:ilvl="0">
      <w:start w:val="1"/>
      <w:numFmt w:val="bullet"/>
      <w:lvlText w:val="●"/>
      <w:lvlJc w:val="left"/>
      <w:pPr>
        <w:ind w:left="1146" w:hanging="360"/>
      </w:pPr>
      <w:rPr>
        <w:rFonts w:ascii="Noto Sans Symbols" w:eastAsia="Noto Sans Symbols" w:hAnsi="Noto Sans Symbols" w:cs="Noto Sans Symbols"/>
      </w:rPr>
    </w:lvl>
    <w:lvl w:ilvl="1">
      <w:start w:val="1"/>
      <w:numFmt w:val="bullet"/>
      <w:lvlText w:val="o"/>
      <w:lvlJc w:val="left"/>
      <w:pPr>
        <w:ind w:left="1866" w:hanging="360"/>
      </w:pPr>
      <w:rPr>
        <w:rFonts w:ascii="Courier New" w:eastAsia="Courier New" w:hAnsi="Courier New" w:cs="Courier New"/>
      </w:rPr>
    </w:lvl>
    <w:lvl w:ilvl="2">
      <w:start w:val="1"/>
      <w:numFmt w:val="bullet"/>
      <w:lvlText w:val="▪"/>
      <w:lvlJc w:val="left"/>
      <w:pPr>
        <w:ind w:left="2586" w:hanging="360"/>
      </w:pPr>
      <w:rPr>
        <w:rFonts w:ascii="Noto Sans Symbols" w:eastAsia="Noto Sans Symbols" w:hAnsi="Noto Sans Symbols" w:cs="Noto Sans Symbols"/>
      </w:rPr>
    </w:lvl>
    <w:lvl w:ilvl="3">
      <w:start w:val="1"/>
      <w:numFmt w:val="bullet"/>
      <w:lvlText w:val="●"/>
      <w:lvlJc w:val="left"/>
      <w:pPr>
        <w:ind w:left="3306" w:hanging="360"/>
      </w:pPr>
      <w:rPr>
        <w:rFonts w:ascii="Noto Sans Symbols" w:eastAsia="Noto Sans Symbols" w:hAnsi="Noto Sans Symbols" w:cs="Noto Sans Symbols"/>
      </w:rPr>
    </w:lvl>
    <w:lvl w:ilvl="4">
      <w:start w:val="1"/>
      <w:numFmt w:val="bullet"/>
      <w:lvlText w:val="o"/>
      <w:lvlJc w:val="left"/>
      <w:pPr>
        <w:ind w:left="4026" w:hanging="360"/>
      </w:pPr>
      <w:rPr>
        <w:rFonts w:ascii="Courier New" w:eastAsia="Courier New" w:hAnsi="Courier New" w:cs="Courier New"/>
      </w:rPr>
    </w:lvl>
    <w:lvl w:ilvl="5">
      <w:start w:val="1"/>
      <w:numFmt w:val="bullet"/>
      <w:lvlText w:val="▪"/>
      <w:lvlJc w:val="left"/>
      <w:pPr>
        <w:ind w:left="4746" w:hanging="360"/>
      </w:pPr>
      <w:rPr>
        <w:rFonts w:ascii="Noto Sans Symbols" w:eastAsia="Noto Sans Symbols" w:hAnsi="Noto Sans Symbols" w:cs="Noto Sans Symbols"/>
      </w:rPr>
    </w:lvl>
    <w:lvl w:ilvl="6">
      <w:start w:val="1"/>
      <w:numFmt w:val="bullet"/>
      <w:lvlText w:val="●"/>
      <w:lvlJc w:val="left"/>
      <w:pPr>
        <w:ind w:left="5466" w:hanging="360"/>
      </w:pPr>
      <w:rPr>
        <w:rFonts w:ascii="Noto Sans Symbols" w:eastAsia="Noto Sans Symbols" w:hAnsi="Noto Sans Symbols" w:cs="Noto Sans Symbols"/>
      </w:rPr>
    </w:lvl>
    <w:lvl w:ilvl="7">
      <w:start w:val="1"/>
      <w:numFmt w:val="bullet"/>
      <w:lvlText w:val="o"/>
      <w:lvlJc w:val="left"/>
      <w:pPr>
        <w:ind w:left="6186" w:hanging="360"/>
      </w:pPr>
      <w:rPr>
        <w:rFonts w:ascii="Courier New" w:eastAsia="Courier New" w:hAnsi="Courier New" w:cs="Courier New"/>
      </w:rPr>
    </w:lvl>
    <w:lvl w:ilvl="8">
      <w:start w:val="1"/>
      <w:numFmt w:val="bullet"/>
      <w:lvlText w:val="▪"/>
      <w:lvlJc w:val="left"/>
      <w:pPr>
        <w:ind w:left="6906" w:hanging="360"/>
      </w:pPr>
      <w:rPr>
        <w:rFonts w:ascii="Noto Sans Symbols" w:eastAsia="Noto Sans Symbols" w:hAnsi="Noto Sans Symbols" w:cs="Noto Sans Symbols"/>
      </w:rPr>
    </w:lvl>
  </w:abstractNum>
  <w:abstractNum w:abstractNumId="3" w15:restartNumberingAfterBreak="0">
    <w:nsid w:val="1A200498"/>
    <w:multiLevelType w:val="multilevel"/>
    <w:tmpl w:val="BF0E184A"/>
    <w:lvl w:ilvl="0">
      <w:start w:val="4"/>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AD8079D"/>
    <w:multiLevelType w:val="multilevel"/>
    <w:tmpl w:val="A3EE91F0"/>
    <w:lvl w:ilvl="0">
      <w:start w:val="1"/>
      <w:numFmt w:val="decimal"/>
      <w:lvlText w:val="%1."/>
      <w:lvlJc w:val="left"/>
      <w:pPr>
        <w:ind w:left="928"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216E3B21"/>
    <w:multiLevelType w:val="multilevel"/>
    <w:tmpl w:val="33F6CC3A"/>
    <w:lvl w:ilvl="0">
      <w:start w:val="1"/>
      <w:numFmt w:val="bullet"/>
      <w:lvlText w:val="●"/>
      <w:lvlJc w:val="left"/>
      <w:pPr>
        <w:ind w:left="785" w:hanging="360"/>
      </w:pPr>
      <w:rPr>
        <w:rFonts w:ascii="Noto Sans Symbols" w:eastAsia="Noto Sans Symbols" w:hAnsi="Noto Sans Symbols" w:cs="Noto Sans Symbols"/>
      </w:rPr>
    </w:lvl>
    <w:lvl w:ilvl="1">
      <w:start w:val="1"/>
      <w:numFmt w:val="bullet"/>
      <w:lvlText w:val="o"/>
      <w:lvlJc w:val="left"/>
      <w:pPr>
        <w:ind w:left="2444" w:hanging="360"/>
      </w:pPr>
      <w:rPr>
        <w:rFonts w:ascii="Courier New" w:eastAsia="Courier New" w:hAnsi="Courier New" w:cs="Courier New"/>
      </w:rPr>
    </w:lvl>
    <w:lvl w:ilvl="2">
      <w:start w:val="1"/>
      <w:numFmt w:val="bullet"/>
      <w:lvlText w:val="▪"/>
      <w:lvlJc w:val="left"/>
      <w:pPr>
        <w:ind w:left="3164" w:hanging="360"/>
      </w:pPr>
      <w:rPr>
        <w:rFonts w:ascii="Noto Sans Symbols" w:eastAsia="Noto Sans Symbols" w:hAnsi="Noto Sans Symbols" w:cs="Noto Sans Symbols"/>
      </w:rPr>
    </w:lvl>
    <w:lvl w:ilvl="3">
      <w:start w:val="1"/>
      <w:numFmt w:val="bullet"/>
      <w:lvlText w:val="●"/>
      <w:lvlJc w:val="left"/>
      <w:pPr>
        <w:ind w:left="3884" w:hanging="360"/>
      </w:pPr>
      <w:rPr>
        <w:rFonts w:ascii="Noto Sans Symbols" w:eastAsia="Noto Sans Symbols" w:hAnsi="Noto Sans Symbols" w:cs="Noto Sans Symbols"/>
      </w:rPr>
    </w:lvl>
    <w:lvl w:ilvl="4">
      <w:start w:val="1"/>
      <w:numFmt w:val="bullet"/>
      <w:lvlText w:val="o"/>
      <w:lvlJc w:val="left"/>
      <w:pPr>
        <w:ind w:left="4604" w:hanging="360"/>
      </w:pPr>
      <w:rPr>
        <w:rFonts w:ascii="Courier New" w:eastAsia="Courier New" w:hAnsi="Courier New" w:cs="Courier New"/>
      </w:rPr>
    </w:lvl>
    <w:lvl w:ilvl="5">
      <w:start w:val="1"/>
      <w:numFmt w:val="bullet"/>
      <w:lvlText w:val="▪"/>
      <w:lvlJc w:val="left"/>
      <w:pPr>
        <w:ind w:left="5324" w:hanging="360"/>
      </w:pPr>
      <w:rPr>
        <w:rFonts w:ascii="Noto Sans Symbols" w:eastAsia="Noto Sans Symbols" w:hAnsi="Noto Sans Symbols" w:cs="Noto Sans Symbols"/>
      </w:rPr>
    </w:lvl>
    <w:lvl w:ilvl="6">
      <w:start w:val="1"/>
      <w:numFmt w:val="bullet"/>
      <w:lvlText w:val="●"/>
      <w:lvlJc w:val="left"/>
      <w:pPr>
        <w:ind w:left="6044" w:hanging="360"/>
      </w:pPr>
      <w:rPr>
        <w:rFonts w:ascii="Noto Sans Symbols" w:eastAsia="Noto Sans Symbols" w:hAnsi="Noto Sans Symbols" w:cs="Noto Sans Symbols"/>
      </w:rPr>
    </w:lvl>
    <w:lvl w:ilvl="7">
      <w:start w:val="1"/>
      <w:numFmt w:val="bullet"/>
      <w:lvlText w:val="o"/>
      <w:lvlJc w:val="left"/>
      <w:pPr>
        <w:ind w:left="6764" w:hanging="360"/>
      </w:pPr>
      <w:rPr>
        <w:rFonts w:ascii="Courier New" w:eastAsia="Courier New" w:hAnsi="Courier New" w:cs="Courier New"/>
      </w:rPr>
    </w:lvl>
    <w:lvl w:ilvl="8">
      <w:start w:val="1"/>
      <w:numFmt w:val="bullet"/>
      <w:lvlText w:val="▪"/>
      <w:lvlJc w:val="left"/>
      <w:pPr>
        <w:ind w:left="7484" w:hanging="360"/>
      </w:pPr>
      <w:rPr>
        <w:rFonts w:ascii="Noto Sans Symbols" w:eastAsia="Noto Sans Symbols" w:hAnsi="Noto Sans Symbols" w:cs="Noto Sans Symbols"/>
      </w:rPr>
    </w:lvl>
  </w:abstractNum>
  <w:abstractNum w:abstractNumId="6" w15:restartNumberingAfterBreak="0">
    <w:nsid w:val="2269404F"/>
    <w:multiLevelType w:val="multilevel"/>
    <w:tmpl w:val="99340B48"/>
    <w:lvl w:ilvl="0">
      <w:start w:val="9"/>
      <w:numFmt w:val="decimal"/>
      <w:lvlText w:val="%1."/>
      <w:lvlJc w:val="left"/>
      <w:pPr>
        <w:ind w:left="720" w:hanging="36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22BE0185"/>
    <w:multiLevelType w:val="multilevel"/>
    <w:tmpl w:val="E8B60F4E"/>
    <w:lvl w:ilvl="0">
      <w:start w:val="28"/>
      <w:numFmt w:val="decimal"/>
      <w:lvlText w:val="%1."/>
      <w:lvlJc w:val="left"/>
      <w:pPr>
        <w:ind w:left="360" w:hanging="360"/>
      </w:pPr>
      <w:rPr>
        <w:b/>
        <w:bCs/>
        <w:i w:val="0"/>
        <w:iCs w:val="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EEB1A11"/>
    <w:multiLevelType w:val="multilevel"/>
    <w:tmpl w:val="8CB8FC1E"/>
    <w:lvl w:ilvl="0">
      <w:start w:val="1"/>
      <w:numFmt w:val="upperRoman"/>
      <w:lvlText w:val="%1."/>
      <w:lvlJc w:val="left"/>
      <w:pPr>
        <w:ind w:left="1080" w:hanging="72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3D301297"/>
    <w:multiLevelType w:val="multilevel"/>
    <w:tmpl w:val="C9A692D2"/>
    <w:lvl w:ilvl="0">
      <w:start w:val="65"/>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49D96097"/>
    <w:multiLevelType w:val="multilevel"/>
    <w:tmpl w:val="924ABFA0"/>
    <w:lvl w:ilvl="0">
      <w:start w:val="38"/>
      <w:numFmt w:val="decimal"/>
      <w:lvlText w:val="%1."/>
      <w:lvlJc w:val="left"/>
      <w:pPr>
        <w:ind w:left="644" w:hanging="358"/>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5A1C2534"/>
    <w:multiLevelType w:val="multilevel"/>
    <w:tmpl w:val="E1B0E092"/>
    <w:lvl w:ilvl="0">
      <w:start w:val="50"/>
      <w:numFmt w:val="decimal"/>
      <w:lvlText w:val="%1."/>
      <w:lvlJc w:val="left"/>
      <w:pPr>
        <w:ind w:left="644" w:hanging="358"/>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1C75C15"/>
    <w:multiLevelType w:val="multilevel"/>
    <w:tmpl w:val="D5D04636"/>
    <w:lvl w:ilvl="0">
      <w:start w:val="2"/>
      <w:numFmt w:val="decimal"/>
      <w:lvlText w:val="%1."/>
      <w:lvlJc w:val="left"/>
      <w:pPr>
        <w:ind w:left="0" w:firstLine="0"/>
      </w:pPr>
      <w:rPr>
        <w:rFonts w:ascii="Palatino Linotype" w:eastAsia="Palatino Linotype" w:hAnsi="Palatino Linotype" w:cs="Palatino Linotype"/>
        <w:b/>
        <w:bCs/>
        <w:i w:val="0"/>
        <w:iCs w:val="0"/>
        <w:sz w:val="24"/>
        <w:szCs w:val="24"/>
      </w:rPr>
    </w:lvl>
    <w:lvl w:ilvl="1">
      <w:start w:val="1"/>
      <w:numFmt w:val="lowerLetter"/>
      <w:lvlText w:val="%2)"/>
      <w:lvlJc w:val="left"/>
      <w:pPr>
        <w:ind w:left="1440" w:hanging="360"/>
      </w:pPr>
      <w:rPr>
        <w:b/>
        <w:bCs/>
        <w:i w:val="0"/>
        <w:iCs w:val="0"/>
      </w:rPr>
    </w:lvl>
    <w:lvl w:ilvl="2">
      <w:start w:val="1"/>
      <w:numFmt w:val="bullet"/>
      <w:lvlText w:val="⮚"/>
      <w:lvlJc w:val="left"/>
      <w:pPr>
        <w:ind w:left="2340" w:hanging="360"/>
      </w:pPr>
      <w:rPr>
        <w:rFonts w:ascii="Noto Sans Symbols" w:eastAsia="Noto Sans Symbols" w:hAnsi="Noto Sans Symbols" w:cs="Noto Sans Symbols"/>
        <w:strike w:val="0"/>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6AB61760"/>
    <w:multiLevelType w:val="multilevel"/>
    <w:tmpl w:val="D496F9F0"/>
    <w:lvl w:ilvl="0">
      <w:start w:val="54"/>
      <w:numFmt w:val="decimal"/>
      <w:lvlText w:val="%1."/>
      <w:lvlJc w:val="left"/>
      <w:pPr>
        <w:ind w:left="928" w:hanging="360"/>
      </w:pPr>
      <w:rPr>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79D41B8A"/>
    <w:multiLevelType w:val="multilevel"/>
    <w:tmpl w:val="7BB2FA4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7CE51F1A"/>
    <w:multiLevelType w:val="multilevel"/>
    <w:tmpl w:val="9F50553C"/>
    <w:lvl w:ilvl="0">
      <w:start w:val="10"/>
      <w:numFmt w:val="decimal"/>
      <w:lvlText w:val="%1."/>
      <w:lvlJc w:val="left"/>
      <w:pPr>
        <w:ind w:left="360" w:hanging="360"/>
      </w:pPr>
      <w:rPr>
        <w:rFonts w:ascii="Palatino Linotype" w:eastAsia="Palatino Linotype" w:hAnsi="Palatino Linotype" w:cs="Palatino Linotype"/>
        <w:b/>
        <w:bCs/>
        <w:i w:val="0"/>
        <w:iCs w:val="0"/>
        <w:color w:val="000000"/>
        <w:sz w:val="24"/>
        <w:szCs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2"/>
  </w:num>
  <w:num w:numId="2">
    <w:abstractNumId w:val="1"/>
  </w:num>
  <w:num w:numId="3">
    <w:abstractNumId w:val="15"/>
  </w:num>
  <w:num w:numId="4">
    <w:abstractNumId w:val="8"/>
  </w:num>
  <w:num w:numId="5">
    <w:abstractNumId w:val="11"/>
  </w:num>
  <w:num w:numId="6">
    <w:abstractNumId w:val="13"/>
  </w:num>
  <w:num w:numId="7">
    <w:abstractNumId w:val="3"/>
  </w:num>
  <w:num w:numId="8">
    <w:abstractNumId w:val="6"/>
  </w:num>
  <w:num w:numId="9">
    <w:abstractNumId w:val="0"/>
  </w:num>
  <w:num w:numId="10">
    <w:abstractNumId w:val="9"/>
  </w:num>
  <w:num w:numId="11">
    <w:abstractNumId w:val="2"/>
  </w:num>
  <w:num w:numId="12">
    <w:abstractNumId w:val="4"/>
  </w:num>
  <w:num w:numId="13">
    <w:abstractNumId w:val="5"/>
  </w:num>
  <w:num w:numId="14">
    <w:abstractNumId w:val="7"/>
  </w:num>
  <w:num w:numId="15">
    <w:abstractNumId w:val="10"/>
  </w:num>
  <w:num w:numId="1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embedTrueTypeFonts/>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77CD"/>
    <w:rsid w:val="001C2C82"/>
    <w:rsid w:val="00224173"/>
    <w:rsid w:val="00247FED"/>
    <w:rsid w:val="00373A7B"/>
    <w:rsid w:val="005E77CD"/>
    <w:rsid w:val="00A9013A"/>
    <w:rsid w:val="00DE1A3C"/>
    <w:rsid w:val="00EF0BFD"/>
    <w:rsid w:val="00F6534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84DED464-FCE6-4F1E-99C0-0631682CC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mbria" w:eastAsia="Cambria" w:hAnsi="Cambria" w:cs="Cambria"/>
        <w:sz w:val="24"/>
        <w:szCs w:val="24"/>
        <w:lang w:val="es-ES_tradnl" w:eastAsia="es-MX"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Ttulo1">
    <w:name w:val="heading 1"/>
    <w:basedOn w:val="Normal"/>
    <w:next w:val="Normal"/>
    <w:pPr>
      <w:keepNext/>
      <w:keepLines/>
      <w:spacing w:before="240" w:line="259" w:lineRule="auto"/>
      <w:outlineLvl w:val="0"/>
    </w:pPr>
    <w:rPr>
      <w:rFonts w:ascii="Palatino Linotype" w:eastAsia="Palatino Linotype" w:hAnsi="Palatino Linotype" w:cs="Palatino Linotype"/>
      <w:b/>
      <w:bCs/>
      <w:color w:val="000000"/>
    </w:rPr>
  </w:style>
  <w:style w:type="paragraph" w:styleId="Ttulo2">
    <w:name w:val="heading 2"/>
    <w:basedOn w:val="Normal"/>
    <w:next w:val="Normal"/>
    <w:pPr>
      <w:keepNext/>
      <w:keepLines/>
      <w:spacing w:before="40" w:line="259" w:lineRule="auto"/>
      <w:outlineLvl w:val="1"/>
    </w:pPr>
    <w:rPr>
      <w:rFonts w:ascii="Palatino Linotype" w:eastAsia="Palatino Linotype" w:hAnsi="Palatino Linotype" w:cs="Palatino Linotype"/>
      <w:b/>
      <w:bCs/>
      <w:color w:val="000000"/>
    </w:rPr>
  </w:style>
  <w:style w:type="paragraph" w:styleId="Ttulo3">
    <w:name w:val="heading 3"/>
    <w:basedOn w:val="Normal"/>
    <w:next w:val="Normal"/>
    <w:pPr>
      <w:keepNext/>
      <w:keepLines/>
      <w:spacing w:before="40"/>
      <w:outlineLvl w:val="2"/>
    </w:pPr>
    <w:rPr>
      <w:rFonts w:ascii="Calibri" w:eastAsia="Calibri" w:hAnsi="Calibri" w:cs="Calibri"/>
      <w:color w:val="243F61"/>
    </w:rPr>
  </w:style>
  <w:style w:type="paragraph" w:styleId="Ttulo4">
    <w:name w:val="heading 4"/>
    <w:basedOn w:val="Normal"/>
    <w:next w:val="Normal"/>
    <w:pPr>
      <w:keepNext/>
      <w:keepLines/>
      <w:spacing w:before="40"/>
      <w:outlineLvl w:val="3"/>
    </w:pPr>
    <w:rPr>
      <w:rFonts w:ascii="Calibri" w:eastAsia="Calibri" w:hAnsi="Calibri" w:cs="Calibri"/>
      <w:i/>
      <w:iCs/>
      <w:color w:val="366091"/>
    </w:rPr>
  </w:style>
  <w:style w:type="paragraph" w:styleId="Ttulo5">
    <w:name w:val="heading 5"/>
    <w:basedOn w:val="Normal"/>
    <w:next w:val="Normal"/>
    <w:pPr>
      <w:keepNext/>
      <w:keepLines/>
      <w:spacing w:before="220" w:after="40"/>
      <w:outlineLvl w:val="4"/>
    </w:pPr>
    <w:rPr>
      <w:b/>
      <w:bCs/>
      <w:sz w:val="22"/>
      <w:szCs w:val="22"/>
    </w:rPr>
  </w:style>
  <w:style w:type="paragraph" w:styleId="Ttulo6">
    <w:name w:val="heading 6"/>
    <w:basedOn w:val="Normal"/>
    <w:next w:val="Normal"/>
    <w:pPr>
      <w:keepNext/>
      <w:keepLines/>
      <w:spacing w:before="200" w:after="40"/>
      <w:outlineLvl w:val="5"/>
    </w:pPr>
    <w:rPr>
      <w:b/>
      <w:bCs/>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Puesto">
    <w:name w:val="Title"/>
    <w:basedOn w:val="Normal"/>
    <w:next w:val="Normal"/>
    <w:pPr>
      <w:keepNext/>
      <w:keepLines/>
      <w:spacing w:before="480" w:after="120"/>
    </w:pPr>
    <w:rPr>
      <w:b/>
      <w:bCs/>
      <w:sz w:val="72"/>
      <w:szCs w:val="72"/>
    </w:rPr>
  </w:style>
  <w:style w:type="paragraph" w:styleId="Subttulo">
    <w:name w:val="Subtitle"/>
    <w:basedOn w:val="Normal"/>
    <w:next w:val="Normal"/>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rPr>
      <w:sz w:val="22"/>
      <w:szCs w:val="22"/>
    </w:rPr>
    <w:tblPr>
      <w:tblStyleRowBandSize w:val="1"/>
      <w:tblStyleColBandSize w:val="1"/>
      <w:tblCellMar>
        <w:top w:w="0" w:type="dxa"/>
        <w:left w:w="108" w:type="dxa"/>
        <w:bottom w:w="0" w:type="dxa"/>
        <w:right w:w="108" w:type="dxa"/>
      </w:tblCellMar>
    </w:tblPr>
  </w:style>
  <w:style w:type="table" w:customStyle="1" w:styleId="a1">
    <w:basedOn w:val="TableNormal"/>
    <w:rPr>
      <w:sz w:val="22"/>
      <w:szCs w:val="22"/>
    </w:rPr>
    <w:tblPr>
      <w:tblStyleRowBandSize w:val="1"/>
      <w:tblStyleColBandSize w:val="1"/>
      <w:tblCellMar>
        <w:top w:w="0" w:type="dxa"/>
        <w:left w:w="108" w:type="dxa"/>
        <w:bottom w:w="0" w:type="dxa"/>
        <w:right w:w="108" w:type="dxa"/>
      </w:tblCellMar>
    </w:tblPr>
  </w:style>
  <w:style w:type="paragraph" w:styleId="Encabezado">
    <w:name w:val="header"/>
    <w:basedOn w:val="Normal"/>
    <w:link w:val="EncabezadoCar"/>
    <w:uiPriority w:val="99"/>
    <w:unhideWhenUsed/>
    <w:rsid w:val="00DE1A3C"/>
    <w:pPr>
      <w:tabs>
        <w:tab w:val="center" w:pos="4419"/>
        <w:tab w:val="right" w:pos="8838"/>
      </w:tabs>
    </w:pPr>
  </w:style>
  <w:style w:type="character" w:customStyle="1" w:styleId="EncabezadoCar">
    <w:name w:val="Encabezado Car"/>
    <w:basedOn w:val="Fuentedeprrafopredeter"/>
    <w:link w:val="Encabezado"/>
    <w:uiPriority w:val="99"/>
    <w:rsid w:val="00DE1A3C"/>
  </w:style>
  <w:style w:type="paragraph" w:styleId="Piedepgina">
    <w:name w:val="footer"/>
    <w:basedOn w:val="Normal"/>
    <w:link w:val="PiedepginaCar"/>
    <w:uiPriority w:val="99"/>
    <w:unhideWhenUsed/>
    <w:rsid w:val="00DE1A3C"/>
    <w:pPr>
      <w:tabs>
        <w:tab w:val="center" w:pos="4419"/>
        <w:tab w:val="right" w:pos="8838"/>
      </w:tabs>
    </w:pPr>
  </w:style>
  <w:style w:type="character" w:customStyle="1" w:styleId="PiedepginaCar">
    <w:name w:val="Pie de página Car"/>
    <w:basedOn w:val="Fuentedeprrafopredeter"/>
    <w:link w:val="Piedepgina"/>
    <w:uiPriority w:val="99"/>
    <w:rsid w:val="00DE1A3C"/>
  </w:style>
  <w:style w:type="paragraph" w:styleId="Prrafodelista">
    <w:name w:val="List Paragraph"/>
    <w:basedOn w:val="Normal"/>
    <w:uiPriority w:val="34"/>
    <w:qFormat/>
    <w:rsid w:val="00DE1A3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kELDTUBpKKCOg48S//wHSAACkWQ==">CgMxLjAyDmguc3JlOWgwNXE0djBiMghoLmdqZGd4czIJaC4zMGowemxsMg5oLjVrZzQwcDE0bzZ4czIOaC5rNWwwbGJ6MG9wZGsyCWguMmV0OTJwMDIIaC50eWpjd3QyCWguM2R5NnZrbTIJaC4xdDNoNXNmMg5oLjhwb3JzenY4d3cxaDIJaC4yNmluMXJnMg5oLjU5Z3o4NXJxdDhpOTIIaC5sbnhiejkyCWguMzVua3VuMjIOaC5kaXBxYmZ2dnE4cXA4AHIhMTBqU044YnZJdjUxWmMxWGRPLTlQN3RWbUtFTXJ5cmZj</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28</Pages>
  <Words>6837</Words>
  <Characters>37609</Characters>
  <Application>Microsoft Office Word</Application>
  <DocSecurity>0</DocSecurity>
  <Lines>313</Lines>
  <Paragraphs>88</Paragraphs>
  <ScaleCrop>false</ScaleCrop>
  <HeadingPairs>
    <vt:vector size="2" baseType="variant">
      <vt:variant>
        <vt:lpstr>Título</vt:lpstr>
      </vt:variant>
      <vt:variant>
        <vt:i4>1</vt:i4>
      </vt:variant>
    </vt:vector>
  </HeadingPairs>
  <TitlesOfParts>
    <vt:vector size="1" baseType="lpstr">
      <vt:lpstr/>
    </vt:vector>
  </TitlesOfParts>
  <Company>HP Inc.</Company>
  <LinksUpToDate>false</LinksUpToDate>
  <CharactersWithSpaces>44358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INFOEM574</dc:creator>
  <cp:lastModifiedBy>Cuenta Microsoft</cp:lastModifiedBy>
  <cp:revision>6</cp:revision>
  <cp:lastPrinted>2026-05-08T20:49:00Z</cp:lastPrinted>
  <dcterms:created xsi:type="dcterms:W3CDTF">2026-05-07T19:33:00Z</dcterms:created>
  <dcterms:modified xsi:type="dcterms:W3CDTF">2026-05-12T23:22:00Z</dcterms:modified>
</cp:coreProperties>
</file>