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C69" w:rsidRPr="00A3137F" w:rsidRDefault="00E77C69" w:rsidP="00E77C69">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A3137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3137F">
        <w:rPr>
          <w:rFonts w:ascii="Palatino Linotype" w:eastAsia="Palatino Linotype" w:hAnsi="Palatino Linotype" w:cs="Palatino Linotype"/>
          <w:b/>
        </w:rPr>
        <w:t>de fecha cinco</w:t>
      </w:r>
      <w:r w:rsidR="00A3137F" w:rsidRPr="00A3137F">
        <w:rPr>
          <w:rFonts w:ascii="Palatino Linotype" w:eastAsia="Palatino Linotype" w:hAnsi="Palatino Linotype" w:cs="Palatino Linotype"/>
          <w:b/>
        </w:rPr>
        <w:t xml:space="preserve"> (05)</w:t>
      </w:r>
      <w:r w:rsidRPr="00A3137F">
        <w:rPr>
          <w:rFonts w:ascii="Palatino Linotype" w:eastAsia="Palatino Linotype" w:hAnsi="Palatino Linotype" w:cs="Palatino Linotype"/>
          <w:b/>
        </w:rPr>
        <w:t xml:space="preserve"> de febrero de dos mil veintiséis.</w:t>
      </w:r>
    </w:p>
    <w:p w:rsidR="00E77C69" w:rsidRPr="00A3137F" w:rsidRDefault="00E77C69" w:rsidP="00E77C69">
      <w:pPr>
        <w:tabs>
          <w:tab w:val="left" w:pos="3465"/>
        </w:tabs>
        <w:spacing w:line="360" w:lineRule="auto"/>
        <w:ind w:right="-787"/>
        <w:jc w:val="both"/>
        <w:rPr>
          <w:rFonts w:ascii="Palatino Linotype" w:eastAsia="Palatino Linotype" w:hAnsi="Palatino Linotype" w:cs="Palatino Linotype"/>
        </w:rPr>
      </w:pPr>
    </w:p>
    <w:p w:rsidR="00E77C69" w:rsidRPr="00A3137F" w:rsidRDefault="00E77C69" w:rsidP="00E77C69">
      <w:pPr>
        <w:spacing w:line="360" w:lineRule="auto"/>
        <w:ind w:right="-787"/>
        <w:jc w:val="both"/>
        <w:rPr>
          <w:rFonts w:ascii="Palatino Linotype" w:eastAsia="Palatino Linotype" w:hAnsi="Palatino Linotype" w:cs="Palatino Linotype"/>
        </w:rPr>
      </w:pPr>
      <w:r w:rsidRPr="00A3137F">
        <w:rPr>
          <w:rFonts w:ascii="Palatino Linotype" w:eastAsia="Palatino Linotype" w:hAnsi="Palatino Linotype" w:cs="Palatino Linotype"/>
          <w:b/>
        </w:rPr>
        <w:t>VISTO</w:t>
      </w:r>
      <w:r w:rsidRPr="00A3137F">
        <w:rPr>
          <w:rFonts w:ascii="Palatino Linotype" w:eastAsia="Palatino Linotype" w:hAnsi="Palatino Linotype" w:cs="Palatino Linotype"/>
        </w:rPr>
        <w:t xml:space="preserve"> el expediente electrónico formado con motivo del recurso de revisión </w:t>
      </w:r>
      <w:r w:rsidRPr="00A3137F">
        <w:rPr>
          <w:rFonts w:ascii="Palatino Linotype" w:eastAsia="Palatino Linotype" w:hAnsi="Palatino Linotype" w:cs="Palatino Linotype"/>
          <w:b/>
        </w:rPr>
        <w:t xml:space="preserve">10623/INFOEM/IP/RR/2025, </w:t>
      </w:r>
      <w:r w:rsidRPr="00A3137F">
        <w:rPr>
          <w:rFonts w:ascii="Palatino Linotype" w:eastAsia="Palatino Linotype" w:hAnsi="Palatino Linotype" w:cs="Palatino Linotype"/>
        </w:rPr>
        <w:t>promovido por</w:t>
      </w:r>
      <w:r w:rsidRPr="00A3137F">
        <w:rPr>
          <w:rFonts w:ascii="Palatino Linotype" w:eastAsia="Palatino Linotype" w:hAnsi="Palatino Linotype" w:cs="Palatino Linotype"/>
          <w:b/>
        </w:rPr>
        <w:t xml:space="preserve"> </w:t>
      </w:r>
      <w:r w:rsidRPr="00A3137F">
        <w:rPr>
          <w:rFonts w:ascii="Palatino Linotype" w:eastAsia="Palatino Linotype" w:hAnsi="Palatino Linotype" w:cs="Palatino Linotype"/>
          <w:b/>
          <w:bCs/>
        </w:rPr>
        <w:t xml:space="preserve">una persona que </w:t>
      </w:r>
      <w:r w:rsidR="00DA106B">
        <w:rPr>
          <w:rFonts w:ascii="Palatino Linotype" w:eastAsia="Palatino Linotype" w:hAnsi="Palatino Linotype" w:cs="Palatino Linotype"/>
          <w:b/>
          <w:bCs/>
        </w:rPr>
        <w:t xml:space="preserve">se registró como XXXX, </w:t>
      </w:r>
      <w:r w:rsidRPr="00A3137F">
        <w:rPr>
          <w:rFonts w:ascii="Palatino Linotype" w:eastAsia="Palatino Linotype" w:hAnsi="Palatino Linotype" w:cs="Palatino Linotype"/>
        </w:rPr>
        <w:t xml:space="preserve"> a quien en lo sucesivo se le identificará como </w:t>
      </w:r>
      <w:r w:rsidRPr="00A3137F">
        <w:rPr>
          <w:rFonts w:ascii="Palatino Linotype" w:eastAsia="Palatino Linotype" w:hAnsi="Palatino Linotype" w:cs="Palatino Linotype"/>
          <w:b/>
        </w:rPr>
        <w:t>EL RECURRENTE</w:t>
      </w:r>
      <w:r w:rsidRPr="00A3137F">
        <w:rPr>
          <w:rFonts w:ascii="Palatino Linotype" w:eastAsia="Palatino Linotype" w:hAnsi="Palatino Linotype" w:cs="Palatino Linotype"/>
        </w:rPr>
        <w:t xml:space="preserve">, en contra de la respuesta del </w:t>
      </w:r>
      <w:r w:rsidRPr="00A3137F">
        <w:rPr>
          <w:rFonts w:ascii="Palatino Linotype" w:eastAsia="Palatino Linotype" w:hAnsi="Palatino Linotype" w:cs="Palatino Linotype"/>
          <w:b/>
        </w:rPr>
        <w:t xml:space="preserve">Organismo Público Descentralizado para la Prestación de Los Servicios de Agua Potable Alcantarillado y Saneamiento del Municipio de Naucalpan de Juárez, </w:t>
      </w:r>
      <w:r w:rsidRPr="00A3137F">
        <w:rPr>
          <w:rFonts w:ascii="Palatino Linotype" w:eastAsia="Palatino Linotype" w:hAnsi="Palatino Linotype" w:cs="Palatino Linotype"/>
        </w:rPr>
        <w:t>en adelante el</w:t>
      </w:r>
      <w:r w:rsidRPr="00A3137F">
        <w:rPr>
          <w:rFonts w:ascii="Palatino Linotype" w:eastAsia="Palatino Linotype" w:hAnsi="Palatino Linotype" w:cs="Palatino Linotype"/>
          <w:b/>
        </w:rPr>
        <w:t xml:space="preserve"> SUJETO OBLIGADO</w:t>
      </w:r>
      <w:r w:rsidRPr="00A3137F">
        <w:rPr>
          <w:rFonts w:ascii="Palatino Linotype" w:eastAsia="Palatino Linotype" w:hAnsi="Palatino Linotype" w:cs="Palatino Linotype"/>
        </w:rPr>
        <w:t>, se procede a dictar la presente resolución, con base en los siguientes:</w:t>
      </w:r>
    </w:p>
    <w:p w:rsidR="00E77C69" w:rsidRPr="00A3137F" w:rsidRDefault="00E77C69" w:rsidP="00E77C69">
      <w:pPr>
        <w:spacing w:line="360" w:lineRule="auto"/>
        <w:ind w:right="-787"/>
        <w:jc w:val="both"/>
        <w:rPr>
          <w:rFonts w:ascii="Palatino Linotype" w:eastAsia="Palatino Linotype" w:hAnsi="Palatino Linotype" w:cs="Palatino Linotype"/>
          <w:b/>
        </w:rPr>
      </w:pPr>
    </w:p>
    <w:p w:rsidR="00E77C69" w:rsidRPr="00A3137F" w:rsidRDefault="00E77C69" w:rsidP="00E77C69">
      <w:pPr>
        <w:pStyle w:val="Ttulo1"/>
        <w:spacing w:before="0" w:line="360" w:lineRule="auto"/>
        <w:ind w:right="-787"/>
        <w:jc w:val="center"/>
        <w:rPr>
          <w:rFonts w:ascii="Palatino Linotype" w:eastAsia="Palatino Linotype" w:hAnsi="Palatino Linotype" w:cs="Palatino Linotype"/>
          <w:b/>
          <w:color w:val="000000"/>
          <w:sz w:val="24"/>
          <w:szCs w:val="24"/>
        </w:rPr>
      </w:pPr>
      <w:r w:rsidRPr="00A3137F">
        <w:rPr>
          <w:rFonts w:ascii="Palatino Linotype" w:eastAsia="Palatino Linotype" w:hAnsi="Palatino Linotype" w:cs="Palatino Linotype"/>
          <w:b/>
          <w:color w:val="000000"/>
          <w:sz w:val="24"/>
          <w:szCs w:val="24"/>
        </w:rPr>
        <w:t>A N T E C E D E N T E S</w:t>
      </w:r>
    </w:p>
    <w:p w:rsidR="00E77C69" w:rsidRPr="00A3137F" w:rsidRDefault="00E77C69" w:rsidP="00E77C69">
      <w:pPr>
        <w:ind w:right="-787"/>
        <w:rPr>
          <w:rFonts w:ascii="Palatino Linotype" w:hAnsi="Palatino Linotype"/>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eastAsia="Palatino Linotype" w:hAnsi="Palatino Linotype" w:cs="Palatino Linotype"/>
          <w:color w:val="000000"/>
        </w:rPr>
        <w:t>El día</w:t>
      </w:r>
      <w:r w:rsidRPr="00A3137F">
        <w:rPr>
          <w:rFonts w:ascii="Palatino Linotype" w:eastAsia="Palatino Linotype" w:hAnsi="Palatino Linotype" w:cs="Palatino Linotype"/>
          <w:b/>
          <w:color w:val="000000"/>
        </w:rPr>
        <w:t xml:space="preserve"> doce de agosto de dos mil veinticinco, </w:t>
      </w:r>
      <w:r w:rsidRPr="00A3137F">
        <w:rPr>
          <w:rFonts w:ascii="Palatino Linotype" w:eastAsia="Palatino Linotype" w:hAnsi="Palatino Linotype" w:cs="Palatino Linotype"/>
          <w:color w:val="000000"/>
        </w:rPr>
        <w:t xml:space="preserve">se presentó ante el </w:t>
      </w:r>
      <w:r w:rsidRPr="00A3137F">
        <w:rPr>
          <w:rFonts w:ascii="Palatino Linotype" w:eastAsia="Palatino Linotype" w:hAnsi="Palatino Linotype" w:cs="Palatino Linotype"/>
          <w:b/>
          <w:color w:val="000000"/>
        </w:rPr>
        <w:t>SUJETO OBLIGADO</w:t>
      </w:r>
      <w:r w:rsidRPr="00A3137F">
        <w:rPr>
          <w:rFonts w:ascii="Palatino Linotype" w:eastAsia="Palatino Linotype" w:hAnsi="Palatino Linotype" w:cs="Palatino Linotype"/>
          <w:color w:val="000000"/>
        </w:rPr>
        <w:t xml:space="preserve"> vía Sistema de Acceso a la Información, la solicitud de información pública registrada con el número</w:t>
      </w:r>
      <w:r w:rsidRPr="00A3137F">
        <w:rPr>
          <w:rFonts w:ascii="Palatino Linotype" w:eastAsia="Palatino Linotype" w:hAnsi="Palatino Linotype" w:cs="Palatino Linotype"/>
          <w:b/>
          <w:color w:val="000000"/>
        </w:rPr>
        <w:t xml:space="preserve"> 00334/OASNAUCAL/IP/2025; </w:t>
      </w:r>
      <w:r w:rsidRPr="00A3137F">
        <w:rPr>
          <w:rFonts w:ascii="Palatino Linotype" w:eastAsia="Palatino Linotype" w:hAnsi="Palatino Linotype" w:cs="Palatino Linotype"/>
        </w:rPr>
        <w:t>en la que</w:t>
      </w:r>
      <w:r w:rsidRPr="00A3137F">
        <w:rPr>
          <w:rFonts w:ascii="Palatino Linotype" w:eastAsia="Palatino Linotype" w:hAnsi="Palatino Linotype" w:cs="Palatino Linotype"/>
          <w:color w:val="000000"/>
        </w:rPr>
        <w:t xml:space="preserve"> se solicitó la siguiente información:</w:t>
      </w:r>
    </w:p>
    <w:p w:rsidR="00E77C69" w:rsidRPr="00A3137F" w:rsidRDefault="00E77C69" w:rsidP="00E77C69">
      <w:pPr>
        <w:pBdr>
          <w:top w:val="nil"/>
          <w:left w:val="nil"/>
          <w:bottom w:val="nil"/>
          <w:right w:val="nil"/>
          <w:between w:val="nil"/>
        </w:pBdr>
        <w:spacing w:line="360" w:lineRule="auto"/>
        <w:ind w:left="1134" w:right="900"/>
        <w:jc w:val="both"/>
        <w:rPr>
          <w:rFonts w:ascii="Palatino Linotype" w:eastAsia="Palatino Linotype" w:hAnsi="Palatino Linotype" w:cs="Palatino Linotype"/>
          <w:color w:val="000000"/>
        </w:rPr>
      </w:pPr>
    </w:p>
    <w:p w:rsidR="00E77C69" w:rsidRPr="00A3137F" w:rsidRDefault="00E77C69" w:rsidP="00E77C54">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i/>
          <w:color w:val="000000"/>
        </w:rPr>
        <w:t>“</w:t>
      </w:r>
      <w:r w:rsidR="00E77C54" w:rsidRPr="00A3137F">
        <w:rPr>
          <w:rFonts w:ascii="Palatino Linotype" w:eastAsia="Palatino Linotype" w:hAnsi="Palatino Linotype" w:cs="Palatino Linotype"/>
          <w:i/>
          <w:color w:val="000000"/>
        </w:rPr>
        <w:t>FUENTES DE ABASTECIMIENTO DE REBOMBEO CON LOS QUE CUENTA EL ORGANISMO, TODA LA INFORMACION TECNICA Y LAS FECHAS DE LOS ULTIMOS MANTENIMIENTO SPREVENTIVOS O CORRECTIVOS REALIZADOS A CADA UNO DEL 2019 A LA FECHA</w:t>
      </w:r>
      <w:r w:rsidRPr="00A3137F">
        <w:rPr>
          <w:rFonts w:ascii="Palatino Linotype" w:eastAsia="Palatino Linotype" w:hAnsi="Palatino Linotype" w:cs="Palatino Linotype"/>
          <w:i/>
          <w:color w:val="000000"/>
        </w:rPr>
        <w:t>.”</w:t>
      </w:r>
    </w:p>
    <w:p w:rsidR="00E77C69" w:rsidRPr="00A3137F" w:rsidRDefault="00E77C69" w:rsidP="00A3137F">
      <w:pPr>
        <w:numPr>
          <w:ilvl w:val="0"/>
          <w:numId w:val="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A3137F">
        <w:rPr>
          <w:rFonts w:ascii="Palatino Linotype" w:eastAsia="Palatino Linotype" w:hAnsi="Palatino Linotype" w:cs="Palatino Linotype"/>
          <w:color w:val="000000"/>
        </w:rPr>
        <w:lastRenderedPageBreak/>
        <w:t>Se eligió como modalidad de entrega de la información: vía Sistema de Acceso a la Información</w:t>
      </w:r>
      <w:r w:rsidRPr="00A3137F">
        <w:rPr>
          <w:rFonts w:ascii="Palatino Linotype" w:eastAsia="Palatino Linotype" w:hAnsi="Palatino Linotype" w:cs="Palatino Linotype"/>
          <w:b/>
          <w:color w:val="000000"/>
        </w:rPr>
        <w:t>.</w:t>
      </w:r>
    </w:p>
    <w:p w:rsidR="00E77C54" w:rsidRPr="00A3137F" w:rsidRDefault="00E77C54" w:rsidP="00E77C54">
      <w:pPr>
        <w:pBdr>
          <w:top w:val="nil"/>
          <w:left w:val="nil"/>
          <w:bottom w:val="nil"/>
          <w:right w:val="nil"/>
          <w:between w:val="nil"/>
        </w:pBdr>
        <w:spacing w:line="360" w:lineRule="auto"/>
        <w:ind w:left="851" w:right="-787"/>
        <w:jc w:val="both"/>
        <w:rPr>
          <w:rFonts w:ascii="Palatino Linotype" w:eastAsia="Palatino Linotype" w:hAnsi="Palatino Linotype" w:cs="Palatino Linotype"/>
          <w:color w:val="000000"/>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t xml:space="preserve">El </w:t>
      </w:r>
      <w:r w:rsidR="00E77C54" w:rsidRPr="00A3137F">
        <w:rPr>
          <w:rFonts w:ascii="Palatino Linotype" w:hAnsi="Palatino Linotype"/>
          <w:b/>
          <w:color w:val="000000"/>
        </w:rPr>
        <w:t xml:space="preserve">veintiuno </w:t>
      </w:r>
      <w:r w:rsidRPr="00A3137F">
        <w:rPr>
          <w:rFonts w:ascii="Palatino Linotype" w:hAnsi="Palatino Linotype"/>
          <w:b/>
          <w:color w:val="000000"/>
        </w:rPr>
        <w:t xml:space="preserve">de agosto de dos mil veinticinco, </w:t>
      </w:r>
      <w:r w:rsidRPr="00A3137F">
        <w:rPr>
          <w:rFonts w:ascii="Palatino Linotype" w:hAnsi="Palatino Linotype"/>
          <w:color w:val="000000"/>
        </w:rPr>
        <w:t xml:space="preserve">el </w:t>
      </w:r>
      <w:r w:rsidRPr="00A3137F">
        <w:rPr>
          <w:rFonts w:ascii="Palatino Linotype" w:hAnsi="Palatino Linotype"/>
          <w:b/>
          <w:color w:val="000000"/>
        </w:rPr>
        <w:t xml:space="preserve">SUJETO OBLIGADO </w:t>
      </w:r>
      <w:r w:rsidRPr="00A3137F">
        <w:rPr>
          <w:rFonts w:ascii="Palatino Linotype" w:hAnsi="Palatino Linotype"/>
          <w:color w:val="000000"/>
        </w:rPr>
        <w:t xml:space="preserve">entrego </w:t>
      </w:r>
      <w:r w:rsidR="007B31C4" w:rsidRPr="00A3137F">
        <w:rPr>
          <w:rFonts w:ascii="Palatino Linotype" w:hAnsi="Palatino Linotype"/>
          <w:color w:val="000000"/>
        </w:rPr>
        <w:t xml:space="preserve">dos archivos electrónicos </w:t>
      </w:r>
      <w:r w:rsidRPr="00A3137F">
        <w:rPr>
          <w:rFonts w:ascii="Palatino Linotype" w:hAnsi="Palatino Linotype"/>
          <w:color w:val="000000"/>
        </w:rPr>
        <w:t>en formato PDF, cuyo contenido</w:t>
      </w:r>
      <w:r w:rsidR="007B31C4" w:rsidRPr="00A3137F">
        <w:rPr>
          <w:rFonts w:ascii="Palatino Linotype" w:hAnsi="Palatino Linotype"/>
          <w:color w:val="000000"/>
        </w:rPr>
        <w:t xml:space="preserve"> a</w:t>
      </w:r>
      <w:r w:rsidRPr="00A3137F">
        <w:rPr>
          <w:rFonts w:ascii="Palatino Linotype" w:hAnsi="Palatino Linotype"/>
          <w:color w:val="000000"/>
        </w:rPr>
        <w:t xml:space="preserve"> grosso modo es el siguiente. </w:t>
      </w:r>
    </w:p>
    <w:p w:rsidR="007B31C4" w:rsidRPr="00A3137F" w:rsidRDefault="007B31C4" w:rsidP="007B31C4">
      <w:pPr>
        <w:pStyle w:val="Prrafodelista"/>
        <w:ind w:left="1134" w:right="900"/>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2025.pdf: </w:t>
      </w:r>
      <w:r w:rsidRPr="00A3137F">
        <w:rPr>
          <w:rFonts w:ascii="Palatino Linotype" w:eastAsia="Palatino Linotype" w:hAnsi="Palatino Linotype" w:cs="Palatino Linotype"/>
          <w:i/>
          <w:color w:val="000000"/>
        </w:rPr>
        <w:t xml:space="preserve">oficio de la Subgerente de Transparencia, mediante el cual informa </w:t>
      </w:r>
      <w:r w:rsidR="005100FA" w:rsidRPr="00A3137F">
        <w:rPr>
          <w:rFonts w:ascii="Palatino Linotype" w:eastAsia="Palatino Linotype" w:hAnsi="Palatino Linotype" w:cs="Palatino Linotype"/>
          <w:i/>
          <w:color w:val="000000"/>
        </w:rPr>
        <w:t xml:space="preserve">que la Dirección de Construcción y Operación Hidráulica como área habilitada entrega la relación de rebombeos y los mantenimientos preventivos y correctivos realizados desde 2019. </w:t>
      </w:r>
    </w:p>
    <w:p w:rsidR="00E77C69" w:rsidRPr="00A3137F" w:rsidRDefault="007B31C4" w:rsidP="007B31C4">
      <w:pPr>
        <w:pStyle w:val="Prrafodelista"/>
        <w:ind w:left="1134" w:right="900"/>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 2.pdf: </w:t>
      </w:r>
      <w:r w:rsidR="005100FA" w:rsidRPr="00A3137F">
        <w:rPr>
          <w:rFonts w:ascii="Palatino Linotype" w:eastAsia="Palatino Linotype" w:hAnsi="Palatino Linotype" w:cs="Palatino Linotype"/>
          <w:i/>
          <w:color w:val="000000"/>
        </w:rPr>
        <w:t xml:space="preserve">documento que contiene el número de rembobeos con los que cuenta el Organismo del Agua y los mantenimientos realizados desde el 2019. </w:t>
      </w:r>
    </w:p>
    <w:p w:rsidR="005100FA" w:rsidRPr="00A3137F" w:rsidRDefault="005100FA" w:rsidP="007B31C4">
      <w:pPr>
        <w:pStyle w:val="Prrafodelista"/>
        <w:ind w:left="1134" w:right="900"/>
        <w:jc w:val="both"/>
        <w:rPr>
          <w:rFonts w:ascii="Palatino Linotype" w:eastAsia="Palatino Linotype" w:hAnsi="Palatino Linotype" w:cs="Palatino Linotype"/>
          <w:i/>
          <w:color w:val="000000"/>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Theme="minorEastAsia" w:hAnsi="Palatino Linotype" w:cs="Arial"/>
          <w:i/>
          <w:lang w:val="es-ES_tradnl" w:eastAsia="es-ES"/>
        </w:rPr>
      </w:pPr>
      <w:r w:rsidRPr="00A3137F">
        <w:rPr>
          <w:rFonts w:ascii="Palatino Linotype" w:eastAsia="Calibri" w:hAnsi="Palatino Linotype" w:cs="Arial"/>
          <w:lang w:val="es-AR" w:eastAsia="es-ES"/>
        </w:rPr>
        <w:t xml:space="preserve">El </w:t>
      </w:r>
      <w:r w:rsidR="005100FA" w:rsidRPr="00A3137F">
        <w:rPr>
          <w:rFonts w:ascii="Palatino Linotype" w:eastAsia="Calibri" w:hAnsi="Palatino Linotype" w:cs="Arial"/>
          <w:b/>
          <w:lang w:val="es-AR" w:eastAsia="es-ES"/>
        </w:rPr>
        <w:t>nueve de septiembre</w:t>
      </w:r>
      <w:r w:rsidRPr="00A3137F">
        <w:rPr>
          <w:rFonts w:ascii="Palatino Linotype" w:eastAsia="Calibri" w:hAnsi="Palatino Linotype" w:cs="Arial"/>
          <w:b/>
          <w:lang w:val="es-AR" w:eastAsia="es-ES"/>
        </w:rPr>
        <w:t xml:space="preserve"> de dos mil veinticinco</w:t>
      </w:r>
      <w:r w:rsidRPr="00A3137F">
        <w:rPr>
          <w:rFonts w:ascii="Palatino Linotype" w:hAnsi="Palatino Linotype" w:cs="Arial"/>
          <w:lang w:eastAsia="es-ES"/>
        </w:rPr>
        <w:t xml:space="preserve">, </w:t>
      </w:r>
      <w:r w:rsidRPr="00A3137F">
        <w:rPr>
          <w:rFonts w:ascii="Palatino Linotype" w:eastAsiaTheme="minorEastAsia" w:hAnsi="Palatino Linotype"/>
          <w:bCs/>
          <w:lang w:val="es-ES_tradnl" w:eastAsia="es-ES"/>
        </w:rPr>
        <w:t xml:space="preserve">el </w:t>
      </w:r>
      <w:r w:rsidRPr="00A3137F">
        <w:rPr>
          <w:rFonts w:ascii="Palatino Linotype" w:eastAsiaTheme="minorEastAsia" w:hAnsi="Palatino Linotype"/>
          <w:b/>
          <w:lang w:val="es-ES_tradnl" w:eastAsia="es-ES"/>
        </w:rPr>
        <w:t>RECURRENTE</w:t>
      </w:r>
      <w:r w:rsidRPr="00A3137F">
        <w:rPr>
          <w:rFonts w:ascii="Palatino Linotype" w:hAnsi="Palatino Linotype" w:cs="Arial"/>
          <w:lang w:eastAsia="es-ES"/>
        </w:rPr>
        <w:t xml:space="preserve"> interpuso el recurso de revisión, en contra de la respuesta, señalando lo siguiente:</w:t>
      </w:r>
      <w:bookmarkStart w:id="1" w:name="_Toc462307683"/>
      <w:bookmarkStart w:id="2" w:name="_Toc472427085"/>
      <w:bookmarkStart w:id="3" w:name="_Toc472500652"/>
    </w:p>
    <w:p w:rsidR="00E77C69" w:rsidRPr="00A3137F" w:rsidRDefault="00E77C69" w:rsidP="00E77C69">
      <w:pPr>
        <w:spacing w:line="360" w:lineRule="auto"/>
        <w:ind w:right="567"/>
        <w:contextualSpacing/>
        <w:rPr>
          <w:rFonts w:ascii="Palatino Linotype" w:eastAsiaTheme="minorEastAsia" w:hAnsi="Palatino Linotype" w:cs="Arial"/>
          <w:i/>
          <w:lang w:val="es-ES_tradnl" w:eastAsia="es-ES"/>
        </w:rPr>
      </w:pPr>
    </w:p>
    <w:p w:rsidR="00E77C69" w:rsidRPr="00A3137F" w:rsidRDefault="00A3137F" w:rsidP="00A3137F">
      <w:pPr>
        <w:pStyle w:val="Prrafodelista"/>
        <w:numPr>
          <w:ilvl w:val="0"/>
          <w:numId w:val="9"/>
        </w:numPr>
        <w:ind w:right="-142"/>
        <w:jc w:val="both"/>
        <w:rPr>
          <w:rFonts w:ascii="Palatino Linotype" w:hAnsi="Palatino Linotype"/>
          <w:i/>
        </w:rPr>
      </w:pPr>
      <w:r w:rsidRPr="00A3137F">
        <w:rPr>
          <w:rFonts w:ascii="Palatino Linotype" w:eastAsiaTheme="minorEastAsia" w:hAnsi="Palatino Linotype"/>
          <w:b/>
          <w:lang w:val="es-ES_tradnl" w:eastAsia="es-ES"/>
        </w:rPr>
        <w:t>ACTO IMPUGNADO</w:t>
      </w:r>
      <w:r w:rsidR="00E77C69" w:rsidRPr="00A3137F">
        <w:rPr>
          <w:rFonts w:ascii="Palatino Linotype" w:eastAsiaTheme="minorEastAsia" w:hAnsi="Palatino Linotype"/>
          <w:b/>
          <w:i/>
          <w:lang w:val="es-ES_tradnl" w:eastAsia="es-ES"/>
        </w:rPr>
        <w:t>:</w:t>
      </w:r>
      <w:r w:rsidR="00E77C69" w:rsidRPr="00A3137F">
        <w:rPr>
          <w:rFonts w:ascii="Palatino Linotype" w:hAnsi="Palatino Linotype"/>
          <w:i/>
          <w:color w:val="000000"/>
        </w:rPr>
        <w:t xml:space="preserve"> “</w:t>
      </w:r>
      <w:r w:rsidR="005100FA" w:rsidRPr="00A3137F">
        <w:rPr>
          <w:rFonts w:ascii="Palatino Linotype" w:hAnsi="Palatino Linotype"/>
          <w:i/>
          <w:color w:val="000000"/>
        </w:rPr>
        <w:t xml:space="preserve">documento que no contiene logos institucionales y que parece ser falso </w:t>
      </w:r>
      <w:r w:rsidR="00E77C69" w:rsidRPr="00A3137F">
        <w:rPr>
          <w:rFonts w:ascii="Palatino Linotype" w:hAnsi="Palatino Linotype"/>
          <w:i/>
          <w:color w:val="000000"/>
        </w:rPr>
        <w:t>“ (Sic)</w:t>
      </w:r>
    </w:p>
    <w:p w:rsidR="00E77C69" w:rsidRPr="00A3137F" w:rsidRDefault="00E77C69" w:rsidP="00A3137F">
      <w:pPr>
        <w:pStyle w:val="Prrafodelista"/>
        <w:ind w:left="0" w:right="-142"/>
        <w:jc w:val="both"/>
        <w:rPr>
          <w:rFonts w:ascii="Palatino Linotype" w:hAnsi="Palatino Linotype"/>
          <w:i/>
        </w:rPr>
      </w:pPr>
    </w:p>
    <w:p w:rsidR="00E77C69" w:rsidRPr="00A3137F" w:rsidRDefault="00A3137F" w:rsidP="00A3137F">
      <w:pPr>
        <w:pStyle w:val="Prrafodelista"/>
        <w:numPr>
          <w:ilvl w:val="0"/>
          <w:numId w:val="9"/>
        </w:numPr>
        <w:ind w:right="-142"/>
        <w:jc w:val="both"/>
        <w:rPr>
          <w:rFonts w:ascii="Palatino Linotype" w:eastAsiaTheme="majorEastAsia" w:hAnsi="Palatino Linotype" w:cstheme="majorBidi"/>
          <w:i/>
          <w:iCs/>
          <w:lang w:eastAsia="es-ES"/>
        </w:rPr>
      </w:pPr>
      <w:r w:rsidRPr="00A3137F">
        <w:rPr>
          <w:rFonts w:ascii="Palatino Linotype" w:eastAsiaTheme="minorEastAsia" w:hAnsi="Palatino Linotype"/>
          <w:b/>
          <w:lang w:val="es-ES_tradnl" w:eastAsia="es-ES"/>
        </w:rPr>
        <w:t>RAZONES O MOTIVOS DE INCONFORMIDAD</w:t>
      </w:r>
      <w:r w:rsidR="00E77C69" w:rsidRPr="00A3137F">
        <w:rPr>
          <w:rFonts w:ascii="Palatino Linotype" w:eastAsiaTheme="minorEastAsia" w:hAnsi="Palatino Linotype"/>
          <w:b/>
          <w:i/>
          <w:iCs/>
          <w:lang w:val="es-ES_tradnl" w:eastAsia="es-ES"/>
        </w:rPr>
        <w:t>:</w:t>
      </w:r>
      <w:bookmarkEnd w:id="1"/>
      <w:bookmarkEnd w:id="2"/>
      <w:bookmarkEnd w:id="3"/>
      <w:r w:rsidR="00E77C69" w:rsidRPr="00A3137F">
        <w:rPr>
          <w:rFonts w:ascii="Palatino Linotype" w:eastAsiaTheme="majorEastAsia" w:hAnsi="Palatino Linotype" w:cstheme="majorBidi"/>
          <w:b/>
          <w:i/>
          <w:iCs/>
          <w:color w:val="2E74B5" w:themeColor="accent1" w:themeShade="BF"/>
          <w:lang w:eastAsia="es-ES"/>
        </w:rPr>
        <w:t xml:space="preserve"> </w:t>
      </w:r>
      <w:r w:rsidR="00E77C69" w:rsidRPr="00A3137F">
        <w:rPr>
          <w:rFonts w:ascii="Palatino Linotype" w:eastAsiaTheme="majorEastAsia" w:hAnsi="Palatino Linotype" w:cstheme="majorBidi"/>
          <w:i/>
          <w:iCs/>
          <w:lang w:eastAsia="es-ES"/>
        </w:rPr>
        <w:t>“</w:t>
      </w:r>
      <w:r w:rsidR="005100FA" w:rsidRPr="00A3137F">
        <w:rPr>
          <w:rFonts w:ascii="Palatino Linotype" w:hAnsi="Palatino Linotype"/>
          <w:i/>
          <w:iCs/>
          <w:color w:val="000000"/>
        </w:rPr>
        <w:t>documentos cortados con firma de una servidora en una sola hoja, no hay acta de comite donde diga que esa informacion es la verdadera proporcionada por el area y se adjunta como otro archivo por separado. pareciendo que la informacion es falsa pues no contiene logos institucionales o ni rubricas de quienes las proporcionan</w:t>
      </w:r>
      <w:r w:rsidR="00E77C69" w:rsidRPr="00A3137F">
        <w:rPr>
          <w:rFonts w:ascii="Palatino Linotype" w:hAnsi="Palatino Linotype"/>
          <w:i/>
          <w:iCs/>
          <w:color w:val="000000"/>
        </w:rPr>
        <w:t>.</w:t>
      </w:r>
      <w:r w:rsidR="00E77C69" w:rsidRPr="00A3137F">
        <w:rPr>
          <w:rFonts w:ascii="Palatino Linotype" w:eastAsiaTheme="majorEastAsia" w:hAnsi="Palatino Linotype" w:cstheme="majorBidi"/>
          <w:i/>
          <w:iCs/>
          <w:lang w:eastAsia="es-ES"/>
        </w:rPr>
        <w:t>” (Sic)</w:t>
      </w:r>
    </w:p>
    <w:p w:rsidR="00E77C69" w:rsidRPr="00A3137F" w:rsidRDefault="00E77C69" w:rsidP="00E77C69">
      <w:pPr>
        <w:pBdr>
          <w:top w:val="nil"/>
          <w:left w:val="nil"/>
          <w:bottom w:val="nil"/>
          <w:right w:val="nil"/>
          <w:between w:val="nil"/>
        </w:pBdr>
        <w:tabs>
          <w:tab w:val="left" w:pos="0"/>
        </w:tabs>
        <w:ind w:left="1134" w:right="-787"/>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i/>
          <w:color w:val="000000"/>
        </w:rPr>
        <w:t xml:space="preserve"> </w:t>
      </w:r>
    </w:p>
    <w:p w:rsidR="00E77C69" w:rsidRPr="00A3137F" w:rsidRDefault="00A3137F"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Pr>
          <w:rFonts w:ascii="Palatino Linotype" w:eastAsia="Palatino Linotype" w:hAnsi="Palatino Linotype" w:cs="Palatino Linotype"/>
          <w:color w:val="000000"/>
        </w:rPr>
        <w:t>La Comisionada p</w:t>
      </w:r>
      <w:r w:rsidR="00E77C69" w:rsidRPr="00A3137F">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fecha </w:t>
      </w:r>
      <w:r w:rsidR="00BE553C" w:rsidRPr="00A3137F">
        <w:rPr>
          <w:rFonts w:ascii="Palatino Linotype" w:eastAsia="Palatino Linotype" w:hAnsi="Palatino Linotype" w:cs="Palatino Linotype"/>
          <w:b/>
          <w:color w:val="000000"/>
        </w:rPr>
        <w:t xml:space="preserve">doce </w:t>
      </w:r>
      <w:r w:rsidR="00E77C69" w:rsidRPr="00A3137F">
        <w:rPr>
          <w:rFonts w:ascii="Palatino Linotype" w:eastAsia="Palatino Linotype" w:hAnsi="Palatino Linotype" w:cs="Palatino Linotype"/>
          <w:b/>
          <w:color w:val="000000"/>
        </w:rPr>
        <w:t>de septiembre de dos mil veinticinco</w:t>
      </w:r>
      <w:r w:rsidR="00E77C69" w:rsidRPr="00A3137F">
        <w:rPr>
          <w:rFonts w:ascii="Palatino Linotype" w:eastAsia="Palatino Linotype" w:hAnsi="Palatino Linotype" w:cs="Palatino Linotype"/>
          <w:color w:val="000000"/>
        </w:rPr>
        <w:t xml:space="preserve">, puso a disposición de las partes el expediente electrónico vía </w:t>
      </w:r>
      <w:r w:rsidR="00E77C69" w:rsidRPr="00A3137F">
        <w:rPr>
          <w:rFonts w:ascii="Palatino Linotype" w:eastAsia="Palatino Linotype" w:hAnsi="Palatino Linotype" w:cs="Palatino Linotype"/>
          <w:b/>
          <w:color w:val="000000"/>
        </w:rPr>
        <w:t xml:space="preserve">SAIMEX </w:t>
      </w:r>
      <w:r w:rsidR="00E77C69" w:rsidRPr="00A3137F">
        <w:rPr>
          <w:rFonts w:ascii="Palatino Linotype" w:eastAsia="Palatino Linotype" w:hAnsi="Palatino Linotype" w:cs="Palatino Linotype"/>
          <w:color w:val="000000"/>
        </w:rPr>
        <w:t xml:space="preserve">a </w:t>
      </w:r>
      <w:r w:rsidR="00E77C69" w:rsidRPr="00A3137F">
        <w:rPr>
          <w:rFonts w:ascii="Palatino Linotype" w:eastAsia="Palatino Linotype" w:hAnsi="Palatino Linotype" w:cs="Palatino Linotype"/>
          <w:color w:val="000000"/>
        </w:rPr>
        <w:lastRenderedPageBreak/>
        <w:t xml:space="preserve">efecto de que en un plazo máximo de siete días </w:t>
      </w:r>
      <w:r w:rsidR="00E77C69" w:rsidRPr="00A3137F">
        <w:rPr>
          <w:rFonts w:ascii="Palatino Linotype" w:eastAsia="Palatino Linotype" w:hAnsi="Palatino Linotype" w:cs="Palatino Linotype"/>
        </w:rPr>
        <w:t>manifestara</w:t>
      </w:r>
      <w:r w:rsidR="00E77C69" w:rsidRPr="00A3137F">
        <w:rPr>
          <w:rFonts w:ascii="Palatino Linotype" w:eastAsia="Palatino Linotype" w:hAnsi="Palatino Linotype" w:cs="Palatino Linotype"/>
          <w:color w:val="000000"/>
        </w:rPr>
        <w:t xml:space="preserve"> lo que a su derecho conviniera, </w:t>
      </w:r>
      <w:r w:rsidR="00E77C69" w:rsidRPr="00A3137F">
        <w:rPr>
          <w:rFonts w:ascii="Palatino Linotype" w:eastAsia="Palatino Linotype" w:hAnsi="Palatino Linotype" w:cs="Palatino Linotype"/>
        </w:rPr>
        <w:t>ofreciera</w:t>
      </w:r>
      <w:r w:rsidR="00E77C69" w:rsidRPr="00A3137F">
        <w:rPr>
          <w:rFonts w:ascii="Palatino Linotype" w:eastAsia="Palatino Linotype" w:hAnsi="Palatino Linotype" w:cs="Palatino Linotype"/>
          <w:color w:val="000000"/>
        </w:rPr>
        <w:t xml:space="preserve"> pruebas y alegatos según corresponda a los casos concretos, y el </w:t>
      </w:r>
      <w:r w:rsidR="00E77C69" w:rsidRPr="00A3137F">
        <w:rPr>
          <w:rFonts w:ascii="Palatino Linotype" w:eastAsia="Palatino Linotype" w:hAnsi="Palatino Linotype" w:cs="Palatino Linotype"/>
          <w:b/>
          <w:color w:val="000000"/>
        </w:rPr>
        <w:t>SUJETO OBLIGADO</w:t>
      </w:r>
      <w:r w:rsidR="00E77C69" w:rsidRPr="00A3137F">
        <w:rPr>
          <w:rFonts w:ascii="Palatino Linotype" w:eastAsia="Palatino Linotype" w:hAnsi="Palatino Linotype" w:cs="Palatino Linotype"/>
          <w:color w:val="000000"/>
        </w:rPr>
        <w:t xml:space="preserve"> presentará el Informe Justificado procedente.</w:t>
      </w:r>
    </w:p>
    <w:p w:rsidR="00E77C69" w:rsidRPr="00A3137F" w:rsidRDefault="00E77C69" w:rsidP="00E77C69">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i/>
          <w:color w:val="000000"/>
        </w:rPr>
      </w:pPr>
      <w:r w:rsidRPr="00A3137F">
        <w:rPr>
          <w:rFonts w:ascii="Palatino Linotype" w:eastAsia="Palatino Linotype" w:hAnsi="Palatino Linotype" w:cs="Palatino Linotype"/>
          <w:color w:val="000000"/>
        </w:rPr>
        <w:t xml:space="preserve">De lo anterior y tal como se muestra en el expediente electrónico del recurso de revisión el </w:t>
      </w:r>
      <w:r w:rsidRPr="00A3137F">
        <w:rPr>
          <w:rFonts w:ascii="Palatino Linotype" w:eastAsia="Palatino Linotype" w:hAnsi="Palatino Linotype" w:cs="Palatino Linotype"/>
          <w:b/>
          <w:color w:val="000000"/>
        </w:rPr>
        <w:t>SUJETO OBLIGADO</w:t>
      </w:r>
      <w:r w:rsidR="00BE553C" w:rsidRPr="00A3137F">
        <w:rPr>
          <w:rFonts w:ascii="Palatino Linotype" w:eastAsia="Palatino Linotype" w:hAnsi="Palatino Linotype" w:cs="Palatino Linotype"/>
          <w:b/>
          <w:color w:val="000000"/>
        </w:rPr>
        <w:t xml:space="preserve"> </w:t>
      </w:r>
      <w:r w:rsidR="00BE553C" w:rsidRPr="00A3137F">
        <w:rPr>
          <w:rFonts w:ascii="Palatino Linotype" w:eastAsia="Palatino Linotype" w:hAnsi="Palatino Linotype" w:cs="Palatino Linotype"/>
          <w:color w:val="000000"/>
        </w:rPr>
        <w:t xml:space="preserve">y el </w:t>
      </w:r>
      <w:r w:rsidR="00BE553C" w:rsidRPr="00A3137F">
        <w:rPr>
          <w:rFonts w:ascii="Palatino Linotype" w:eastAsia="Palatino Linotype" w:hAnsi="Palatino Linotype" w:cs="Palatino Linotype"/>
          <w:b/>
          <w:color w:val="000000"/>
        </w:rPr>
        <w:t>RECURRENTE</w:t>
      </w:r>
      <w:r w:rsidRPr="00A3137F">
        <w:rPr>
          <w:rFonts w:ascii="Palatino Linotype" w:eastAsia="Palatino Linotype" w:hAnsi="Palatino Linotype" w:cs="Palatino Linotype"/>
          <w:b/>
          <w:color w:val="000000"/>
        </w:rPr>
        <w:t xml:space="preserve"> </w:t>
      </w:r>
      <w:r w:rsidRPr="00A3137F">
        <w:rPr>
          <w:rFonts w:ascii="Palatino Linotype" w:eastAsia="Palatino Linotype" w:hAnsi="Palatino Linotype" w:cs="Palatino Linotype"/>
          <w:color w:val="000000"/>
        </w:rPr>
        <w:t>fue</w:t>
      </w:r>
      <w:r w:rsidR="00BE553C" w:rsidRPr="00A3137F">
        <w:rPr>
          <w:rFonts w:ascii="Palatino Linotype" w:eastAsia="Palatino Linotype" w:hAnsi="Palatino Linotype" w:cs="Palatino Linotype"/>
          <w:color w:val="000000"/>
        </w:rPr>
        <w:t>ron</w:t>
      </w:r>
      <w:r w:rsidRPr="00A3137F">
        <w:rPr>
          <w:rFonts w:ascii="Palatino Linotype" w:eastAsia="Palatino Linotype" w:hAnsi="Palatino Linotype" w:cs="Palatino Linotype"/>
          <w:color w:val="000000"/>
        </w:rPr>
        <w:t xml:space="preserve"> omiso</w:t>
      </w:r>
      <w:r w:rsidR="00BE553C" w:rsidRPr="00A3137F">
        <w:rPr>
          <w:rFonts w:ascii="Palatino Linotype" w:eastAsia="Palatino Linotype" w:hAnsi="Palatino Linotype" w:cs="Palatino Linotype"/>
          <w:color w:val="000000"/>
        </w:rPr>
        <w:t>s</w:t>
      </w:r>
      <w:r w:rsidRPr="00A3137F">
        <w:rPr>
          <w:rFonts w:ascii="Palatino Linotype" w:eastAsia="Palatino Linotype" w:hAnsi="Palatino Linotype" w:cs="Palatino Linotype"/>
          <w:color w:val="000000"/>
        </w:rPr>
        <w:t xml:space="preserve"> en manifestar lo que a su</w:t>
      </w:r>
      <w:r w:rsidR="00BE553C" w:rsidRPr="00A3137F">
        <w:rPr>
          <w:rFonts w:ascii="Palatino Linotype" w:eastAsia="Palatino Linotype" w:hAnsi="Palatino Linotype" w:cs="Palatino Linotype"/>
          <w:color w:val="000000"/>
        </w:rPr>
        <w:t xml:space="preserve"> derecho conviniera y asistiera, respectivamente. </w:t>
      </w:r>
    </w:p>
    <w:p w:rsidR="00E77C69" w:rsidRPr="00A3137F" w:rsidRDefault="00E77C69" w:rsidP="00E77C69">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eastAsia="Palatino Linotype" w:hAnsi="Palatino Linotype" w:cs="Palatino Linotype"/>
          <w:color w:val="000000"/>
        </w:rPr>
        <w:t>El</w:t>
      </w:r>
      <w:r w:rsidRPr="00A3137F">
        <w:rPr>
          <w:rFonts w:ascii="Palatino Linotype" w:hAnsi="Palatino Linotype"/>
          <w:color w:val="000000"/>
        </w:rPr>
        <w:t xml:space="preserve"> </w:t>
      </w:r>
      <w:r w:rsidR="00BE553C" w:rsidRPr="00A3137F">
        <w:rPr>
          <w:rFonts w:ascii="Palatino Linotype" w:hAnsi="Palatino Linotype"/>
          <w:b/>
          <w:color w:val="000000"/>
        </w:rPr>
        <w:t>veintinueve de enero de dos mil veintiséis</w:t>
      </w:r>
      <w:r w:rsidRPr="00A3137F">
        <w:rPr>
          <w:rFonts w:ascii="Palatino Linotype" w:hAnsi="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A3137F">
        <w:rPr>
          <w:rFonts w:ascii="Palatino Linotype" w:hAnsi="Palatino Linotype"/>
          <w:color w:val="000000"/>
        </w:rPr>
        <w:t>.</w:t>
      </w:r>
      <w:r w:rsidRPr="00A3137F">
        <w:rPr>
          <w:rFonts w:ascii="Palatino Linotype" w:hAnsi="Palatino Linotype"/>
          <w:color w:val="000000"/>
        </w:rPr>
        <w:t xml:space="preserve"> </w:t>
      </w:r>
    </w:p>
    <w:p w:rsidR="00E77C69" w:rsidRPr="00A3137F" w:rsidRDefault="00E77C69" w:rsidP="00E77C69">
      <w:pPr>
        <w:pStyle w:val="Prrafodelista"/>
        <w:jc w:val="center"/>
        <w:rPr>
          <w:rFonts w:ascii="Palatino Linotype" w:hAnsi="Palatino Linotype"/>
          <w:color w:val="000000"/>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eastAsia="Palatino Linotype" w:hAnsi="Palatino Linotype" w:cs="Palatino Linotype"/>
          <w:color w:val="000000"/>
        </w:rPr>
        <w:t>Finalmente</w:t>
      </w:r>
      <w:r w:rsidRPr="00A3137F">
        <w:rPr>
          <w:rFonts w:ascii="Palatino Linotype" w:hAnsi="Palatino Linotype"/>
          <w:color w:val="000000"/>
        </w:rPr>
        <w:t>, la Comisionada Ponente mediante acuerdo de fecha</w:t>
      </w:r>
      <w:r w:rsidRPr="00A3137F">
        <w:rPr>
          <w:rFonts w:ascii="Palatino Linotype" w:hAnsi="Palatino Linotype"/>
          <w:b/>
          <w:color w:val="000000"/>
        </w:rPr>
        <w:t xml:space="preserve"> </w:t>
      </w:r>
      <w:r w:rsidR="00BE553C" w:rsidRPr="00A3137F">
        <w:rPr>
          <w:rFonts w:ascii="Palatino Linotype" w:hAnsi="Palatino Linotype"/>
          <w:b/>
          <w:color w:val="000000"/>
        </w:rPr>
        <w:t>veintinueve de enero de dos mil veintiséis</w:t>
      </w:r>
      <w:r w:rsidRPr="00A3137F">
        <w:rPr>
          <w:rFonts w:ascii="Palatino Linotype" w:hAnsi="Palatino Linotype"/>
          <w:color w:val="000000"/>
        </w:rPr>
        <w:t>, decretó el cierre de instrucción de los expedientes, por lo que no habiendo más que hacer constar, y</w:t>
      </w:r>
      <w:r w:rsidR="00A3137F">
        <w:rPr>
          <w:rFonts w:ascii="Palatino Linotype" w:hAnsi="Palatino Linotype"/>
          <w:color w:val="000000"/>
        </w:rPr>
        <w:t xml:space="preserve"> </w:t>
      </w:r>
    </w:p>
    <w:p w:rsidR="00E77C69" w:rsidRPr="00A3137F" w:rsidRDefault="00E77C69" w:rsidP="00E77C69">
      <w:pPr>
        <w:pBdr>
          <w:top w:val="nil"/>
          <w:left w:val="nil"/>
          <w:bottom w:val="nil"/>
          <w:right w:val="nil"/>
          <w:between w:val="nil"/>
        </w:pBdr>
        <w:spacing w:line="360" w:lineRule="auto"/>
        <w:ind w:right="-787"/>
        <w:rPr>
          <w:rFonts w:ascii="Palatino Linotype" w:eastAsia="Palatino Linotype" w:hAnsi="Palatino Linotype" w:cs="Palatino Linotype"/>
          <w:b/>
          <w:color w:val="000000"/>
        </w:rPr>
      </w:pPr>
      <w:bookmarkStart w:id="4" w:name="_heading=h.3znysh7" w:colFirst="0" w:colLast="0"/>
      <w:bookmarkEnd w:id="4"/>
    </w:p>
    <w:p w:rsidR="00E77C69" w:rsidRPr="00A3137F" w:rsidRDefault="00E77C69" w:rsidP="00E77C69">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A3137F">
        <w:rPr>
          <w:rFonts w:ascii="Palatino Linotype" w:eastAsia="Palatino Linotype" w:hAnsi="Palatino Linotype" w:cs="Palatino Linotype"/>
          <w:b/>
          <w:color w:val="000000"/>
        </w:rPr>
        <w:t>C O N S I D E R A N D O</w:t>
      </w:r>
    </w:p>
    <w:p w:rsidR="00E77C69" w:rsidRPr="00A3137F" w:rsidRDefault="00E77C69" w:rsidP="00E77C69">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E77C69" w:rsidRPr="00A3137F" w:rsidRDefault="00E77C69" w:rsidP="00E77C69">
      <w:pPr>
        <w:pStyle w:val="Ttulo2"/>
        <w:spacing w:before="0" w:line="360" w:lineRule="auto"/>
        <w:ind w:right="-787"/>
        <w:rPr>
          <w:rFonts w:ascii="Palatino Linotype" w:eastAsia="Palatino Linotype" w:hAnsi="Palatino Linotype" w:cs="Palatino Linotype"/>
          <w:b/>
          <w:color w:val="000000"/>
          <w:sz w:val="24"/>
          <w:szCs w:val="24"/>
        </w:rPr>
      </w:pPr>
      <w:bookmarkStart w:id="5" w:name="_heading=h.2et92p0" w:colFirst="0" w:colLast="0"/>
      <w:bookmarkEnd w:id="5"/>
      <w:r w:rsidRPr="00A3137F">
        <w:rPr>
          <w:rFonts w:ascii="Palatino Linotype" w:eastAsia="Palatino Linotype" w:hAnsi="Palatino Linotype" w:cs="Palatino Linotype"/>
          <w:b/>
          <w:color w:val="000000"/>
          <w:sz w:val="24"/>
          <w:szCs w:val="24"/>
        </w:rPr>
        <w:t>PRIMERO. De la competencia</w:t>
      </w: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b/>
        </w:rPr>
      </w:pPr>
      <w:bookmarkStart w:id="6" w:name="_Toc491791304"/>
      <w:bookmarkStart w:id="7" w:name="_Toc83128580"/>
      <w:r w:rsidRPr="00A3137F">
        <w:rPr>
          <w:rFonts w:ascii="Palatino Linotype" w:hAnsi="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w:t>
      </w:r>
      <w:r w:rsidRPr="00A3137F">
        <w:rPr>
          <w:rFonts w:ascii="Palatino Linotype" w:hAnsi="Palatino Linotype"/>
          <w:color w:val="000000"/>
        </w:rPr>
        <w:lastRenderedPageBreak/>
        <w:t>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77C69" w:rsidRPr="00A3137F" w:rsidRDefault="00E77C69" w:rsidP="00E77C69">
      <w:pPr>
        <w:pBdr>
          <w:top w:val="nil"/>
          <w:left w:val="nil"/>
          <w:bottom w:val="nil"/>
          <w:right w:val="nil"/>
          <w:between w:val="nil"/>
        </w:pBdr>
        <w:spacing w:line="360" w:lineRule="auto"/>
        <w:ind w:right="-787"/>
        <w:jc w:val="both"/>
        <w:rPr>
          <w:rFonts w:ascii="Palatino Linotype" w:hAnsi="Palatino Linotype"/>
          <w:b/>
        </w:rPr>
      </w:pPr>
    </w:p>
    <w:p w:rsidR="00E77C69" w:rsidRPr="00A3137F" w:rsidRDefault="00E77C69" w:rsidP="00E77C69">
      <w:pPr>
        <w:pStyle w:val="Prrafodelista"/>
        <w:spacing w:line="360" w:lineRule="auto"/>
        <w:ind w:left="0"/>
        <w:jc w:val="both"/>
        <w:rPr>
          <w:rFonts w:ascii="Palatino Linotype" w:hAnsi="Palatino Linotype"/>
          <w:b/>
        </w:rPr>
      </w:pPr>
      <w:r w:rsidRPr="00A3137F">
        <w:rPr>
          <w:rFonts w:ascii="Palatino Linotype" w:hAnsi="Palatino Linotype"/>
          <w:b/>
        </w:rPr>
        <w:t>SEGUNDO. De la oportunidad y procedencia.</w:t>
      </w:r>
      <w:bookmarkEnd w:id="6"/>
      <w:bookmarkEnd w:id="7"/>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rPr>
      </w:pPr>
      <w:r w:rsidRPr="00A3137F">
        <w:rPr>
          <w:rFonts w:ascii="Palatino Linotype" w:eastAsia="Calibri" w:hAnsi="Palatino Linotype" w:cs="Arial"/>
        </w:rPr>
        <w:t xml:space="preserve">El medio de impugnación fue presentado a través del </w:t>
      </w:r>
      <w:r w:rsidRPr="00A3137F">
        <w:rPr>
          <w:rFonts w:ascii="Palatino Linotype" w:eastAsia="Calibri" w:hAnsi="Palatino Linotype" w:cs="Arial"/>
          <w:b/>
        </w:rPr>
        <w:t>SAIMEX,</w:t>
      </w:r>
      <w:r w:rsidRPr="00A3137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3137F">
        <w:rPr>
          <w:rFonts w:ascii="Palatino Linotype" w:eastAsia="Calibri" w:hAnsi="Palatino Linotype" w:cs="Arial"/>
          <w:b/>
        </w:rPr>
        <w:t>SUJETO OBLIGADO</w:t>
      </w:r>
      <w:r w:rsidRPr="00A3137F">
        <w:rPr>
          <w:rFonts w:ascii="Palatino Linotype" w:eastAsia="Calibri" w:hAnsi="Palatino Linotype" w:cs="Arial"/>
        </w:rPr>
        <w:t xml:space="preserve"> entregó su respuesta el </w:t>
      </w:r>
      <w:r w:rsidR="00A2699C" w:rsidRPr="00A3137F">
        <w:rPr>
          <w:rFonts w:ascii="Palatino Linotype" w:eastAsia="Calibri" w:hAnsi="Palatino Linotype" w:cs="Arial"/>
          <w:b/>
          <w:bCs/>
        </w:rPr>
        <w:t xml:space="preserve">veintiuno </w:t>
      </w:r>
      <w:r w:rsidRPr="00A3137F">
        <w:rPr>
          <w:rFonts w:ascii="Palatino Linotype" w:eastAsia="Calibri" w:hAnsi="Palatino Linotype" w:cs="Arial"/>
          <w:b/>
          <w:bCs/>
        </w:rPr>
        <w:t>de agosto dos mil veinticinco</w:t>
      </w:r>
      <w:r w:rsidRPr="00A3137F">
        <w:rPr>
          <w:rFonts w:ascii="Palatino Linotype" w:eastAsia="Calibri" w:hAnsi="Palatino Linotype" w:cs="Arial"/>
        </w:rPr>
        <w:t xml:space="preserve">, </w:t>
      </w:r>
      <w:r w:rsidRPr="00A3137F">
        <w:rPr>
          <w:rFonts w:ascii="Palatino Linotype" w:hAnsi="Palatino Linotype" w:cs="Arial"/>
        </w:rPr>
        <w:t xml:space="preserve">de tal forma que el plazo para interponer el recurso de revisión fue del </w:t>
      </w:r>
      <w:r w:rsidR="00A2699C" w:rsidRPr="00A3137F">
        <w:rPr>
          <w:rFonts w:ascii="Palatino Linotype" w:hAnsi="Palatino Linotype" w:cs="Arial"/>
          <w:b/>
        </w:rPr>
        <w:t xml:space="preserve">veintidós </w:t>
      </w:r>
      <w:r w:rsidRPr="00A3137F">
        <w:rPr>
          <w:rFonts w:ascii="Palatino Linotype" w:hAnsi="Palatino Linotype" w:cs="Arial"/>
          <w:b/>
        </w:rPr>
        <w:t xml:space="preserve">de agosto al </w:t>
      </w:r>
      <w:r w:rsidR="00A2699C" w:rsidRPr="00A3137F">
        <w:rPr>
          <w:rFonts w:ascii="Palatino Linotype" w:hAnsi="Palatino Linotype" w:cs="Arial"/>
          <w:b/>
        </w:rPr>
        <w:t xml:space="preserve">once </w:t>
      </w:r>
      <w:r w:rsidRPr="00A3137F">
        <w:rPr>
          <w:rFonts w:ascii="Palatino Linotype" w:hAnsi="Palatino Linotype" w:cs="Arial"/>
          <w:b/>
        </w:rPr>
        <w:t xml:space="preserve">de septiembre </w:t>
      </w:r>
      <w:r w:rsidRPr="00A3137F">
        <w:rPr>
          <w:rFonts w:ascii="Palatino Linotype" w:hAnsi="Palatino Linotype" w:cs="Arial"/>
          <w:b/>
          <w:bCs/>
        </w:rPr>
        <w:t>de dos mil veinticinco</w:t>
      </w:r>
      <w:r w:rsidRPr="00A3137F">
        <w:rPr>
          <w:rFonts w:ascii="Palatino Linotype" w:hAnsi="Palatino Linotype" w:cs="Arial"/>
        </w:rPr>
        <w:t xml:space="preserve">; en consecuencia, el ahora </w:t>
      </w:r>
      <w:r w:rsidRPr="00A3137F">
        <w:rPr>
          <w:rFonts w:ascii="Palatino Linotype" w:hAnsi="Palatino Linotype" w:cs="Arial"/>
          <w:b/>
        </w:rPr>
        <w:t>RECURRENTE</w:t>
      </w:r>
      <w:r w:rsidRPr="00A3137F">
        <w:rPr>
          <w:rFonts w:ascii="Palatino Linotype" w:hAnsi="Palatino Linotype" w:cs="Arial"/>
        </w:rPr>
        <w:t xml:space="preserve"> presentó su inconformidad el día </w:t>
      </w:r>
      <w:r w:rsidR="00A2699C" w:rsidRPr="00A3137F">
        <w:rPr>
          <w:rFonts w:ascii="Palatino Linotype" w:hAnsi="Palatino Linotype" w:cs="Arial"/>
          <w:b/>
          <w:bCs/>
        </w:rPr>
        <w:t>nueve de septiembre</w:t>
      </w:r>
      <w:r w:rsidRPr="00A3137F">
        <w:rPr>
          <w:rFonts w:ascii="Palatino Linotype" w:hAnsi="Palatino Linotype" w:cs="Arial"/>
          <w:b/>
          <w:bCs/>
        </w:rPr>
        <w:t xml:space="preserve"> de dos mil veinticinco</w:t>
      </w:r>
      <w:r w:rsidRPr="00A3137F">
        <w:rPr>
          <w:rFonts w:ascii="Palatino Linotype" w:hAnsi="Palatino Linotype" w:cs="Arial"/>
        </w:rPr>
        <w:t>; por lo que se estima que la inconformidad se presentó dentro del lapso legalmente establecido para tal efecto.</w:t>
      </w:r>
    </w:p>
    <w:p w:rsidR="00E77C69" w:rsidRPr="00A3137F" w:rsidRDefault="00E77C69" w:rsidP="00E77C69">
      <w:pPr>
        <w:pStyle w:val="Prrafodelista"/>
        <w:rPr>
          <w:rFonts w:ascii="Palatino Linotype" w:eastAsia="Calibri" w:hAnsi="Palatino Linotype" w:cs="Arial"/>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77C69" w:rsidRPr="00A3137F" w:rsidRDefault="00E77C69" w:rsidP="00E77C69">
      <w:pPr>
        <w:ind w:left="1134" w:right="900"/>
        <w:jc w:val="both"/>
        <w:rPr>
          <w:rFonts w:ascii="Palatino Linotype" w:eastAsia="Palatino Linotype" w:hAnsi="Palatino Linotype" w:cs="Palatino Linotype"/>
        </w:rPr>
      </w:pP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lastRenderedPageBreak/>
        <w:t>"</w:t>
      </w:r>
      <w:r w:rsidRPr="00A3137F">
        <w:rPr>
          <w:rFonts w:ascii="Palatino Linotype" w:eastAsia="Palatino Linotype" w:hAnsi="Palatino Linotype" w:cs="Palatino Linotype"/>
          <w:b/>
          <w:i/>
        </w:rPr>
        <w:t>Las solicitudes anónimas</w:t>
      </w:r>
      <w:r w:rsidRPr="00A3137F">
        <w:rPr>
          <w:rFonts w:ascii="Palatino Linotype" w:eastAsia="Palatino Linotype" w:hAnsi="Palatino Linotype" w:cs="Palatino Linotype"/>
          <w:i/>
        </w:rPr>
        <w:t xml:space="preserve">, con nombre incompleto o seudónimo </w:t>
      </w:r>
      <w:r w:rsidRPr="00A3137F">
        <w:rPr>
          <w:rFonts w:ascii="Palatino Linotype" w:eastAsia="Palatino Linotype" w:hAnsi="Palatino Linotype" w:cs="Palatino Linotype"/>
          <w:b/>
          <w:i/>
        </w:rPr>
        <w:t>serán procedentes para su trámite por parte del sujeto obligado ante quien se presente</w:t>
      </w:r>
      <w:r w:rsidRPr="00A3137F">
        <w:rPr>
          <w:rFonts w:ascii="Palatino Linotype" w:eastAsia="Palatino Linotype" w:hAnsi="Palatino Linotype" w:cs="Palatino Linotype"/>
          <w:i/>
        </w:rPr>
        <w:t>. No podrá requerirse información adicional con motivo del nombre proporcionado por el solicitante."</w:t>
      </w:r>
    </w:p>
    <w:p w:rsidR="00E77C69" w:rsidRPr="00A3137F" w:rsidRDefault="00E77C69" w:rsidP="00E77C69">
      <w:pPr>
        <w:spacing w:line="360" w:lineRule="auto"/>
        <w:jc w:val="both"/>
        <w:rPr>
          <w:rFonts w:ascii="Palatino Linotype" w:eastAsia="Palatino Linotype" w:hAnsi="Palatino Linotype" w:cs="Palatino Linotype"/>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Robusteciendo lo anterior se encuentra lo dispuesto en el artículo 6, Apartado A, fracciones III de la Constitución Política de los Estados Unidos Mexicanos que establece:</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r w:rsidRPr="00A3137F">
        <w:rPr>
          <w:rFonts w:ascii="Palatino Linotype" w:eastAsia="Palatino Linotype" w:hAnsi="Palatino Linotype" w:cs="Palatino Linotype"/>
          <w:b/>
          <w:i/>
        </w:rPr>
        <w:t>Artículo 6.-</w:t>
      </w:r>
      <w:r w:rsidRPr="00A3137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Para efectos de lo dispuesto en el presente artículo se observará lo siguiente:</w:t>
      </w:r>
    </w:p>
    <w:p w:rsidR="00E77C69" w:rsidRPr="00A3137F" w:rsidRDefault="00E77C69" w:rsidP="00E77C69">
      <w:pPr>
        <w:ind w:left="1134" w:right="900"/>
        <w:jc w:val="both"/>
        <w:rPr>
          <w:rFonts w:ascii="Palatino Linotype" w:eastAsia="Palatino Linotype" w:hAnsi="Palatino Linotype" w:cs="Palatino Linotype"/>
          <w:i/>
        </w:rPr>
      </w:pP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77C69" w:rsidRPr="00A3137F" w:rsidRDefault="00E77C69" w:rsidP="00E77C69">
      <w:pPr>
        <w:ind w:left="1134" w:right="900"/>
        <w:jc w:val="both"/>
        <w:rPr>
          <w:rFonts w:ascii="Palatino Linotype" w:eastAsia="Palatino Linotype" w:hAnsi="Palatino Linotype" w:cs="Palatino Linotype"/>
          <w:i/>
        </w:rPr>
      </w:pP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A3137F">
        <w:rPr>
          <w:rFonts w:ascii="Palatino Linotype" w:eastAsia="Palatino Linotype" w:hAnsi="Palatino Linotype" w:cs="Palatino Linotype"/>
        </w:rPr>
        <w:t>(Sic)</w:t>
      </w:r>
    </w:p>
    <w:p w:rsidR="00E77C69" w:rsidRDefault="00E77C69" w:rsidP="00E77C69">
      <w:pPr>
        <w:ind w:left="1134" w:right="900"/>
        <w:jc w:val="both"/>
        <w:rPr>
          <w:rFonts w:ascii="Palatino Linotype" w:eastAsia="Palatino Linotype" w:hAnsi="Palatino Linotype" w:cs="Palatino Linotype"/>
          <w:i/>
        </w:rPr>
      </w:pPr>
    </w:p>
    <w:p w:rsidR="00A3137F" w:rsidRPr="00A3137F" w:rsidRDefault="00A3137F" w:rsidP="00E77C69">
      <w:pPr>
        <w:ind w:left="1134" w:right="900"/>
        <w:jc w:val="both"/>
        <w:rPr>
          <w:rFonts w:ascii="Palatino Linotype" w:eastAsia="Palatino Linotype" w:hAnsi="Palatino Linotype" w:cs="Palatino Linotype"/>
          <w:i/>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r w:rsidRPr="00A3137F">
        <w:rPr>
          <w:rFonts w:ascii="Palatino Linotype" w:eastAsia="Palatino Linotype" w:hAnsi="Palatino Linotype" w:cs="Palatino Linotype"/>
          <w:b/>
          <w:i/>
        </w:rPr>
        <w:t>Artículo 5.-</w:t>
      </w:r>
      <w:r w:rsidRPr="00A3137F">
        <w:rPr>
          <w:rFonts w:ascii="Palatino Linotype" w:eastAsia="Palatino Linotype" w:hAnsi="Palatino Linotype" w:cs="Palatino Linotype"/>
          <w:i/>
        </w:rPr>
        <w:t xml:space="preserve"> En el Estado de México todas las personas gozarán de los derechos humanos reconocidos en la Constitución Política de los Estados </w:t>
      </w:r>
      <w:r w:rsidRPr="00A3137F">
        <w:rPr>
          <w:rFonts w:ascii="Palatino Linotype" w:eastAsia="Palatino Linotype" w:hAnsi="Palatino Linotype" w:cs="Palatino Linotype"/>
          <w:i/>
        </w:rPr>
        <w:lastRenderedPageBreak/>
        <w:t>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3137F">
        <w:rPr>
          <w:rFonts w:ascii="Palatino Linotype" w:eastAsia="Palatino Linotype" w:hAnsi="Palatino Linotype" w:cs="Palatino Linotype"/>
        </w:rPr>
        <w:t>(Sic)</w:t>
      </w:r>
    </w:p>
    <w:p w:rsidR="00E77C69" w:rsidRPr="00A3137F" w:rsidRDefault="00E77C69" w:rsidP="00E77C69">
      <w:pPr>
        <w:spacing w:line="360" w:lineRule="auto"/>
        <w:ind w:left="426" w:right="476"/>
        <w:jc w:val="both"/>
        <w:rPr>
          <w:rFonts w:ascii="Palatino Linotype" w:eastAsia="Palatino Linotype" w:hAnsi="Palatino Linotype" w:cs="Palatino Linotype"/>
          <w:i/>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lastRenderedPageBreak/>
        <w:t>Por otra parte, del contenido del artículo 1 de la Constitución Política de los Estados Unidos mexicanos, se destaca lo siguiente:</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w:t>
      </w:r>
      <w:r w:rsidRPr="00A3137F">
        <w:rPr>
          <w:rFonts w:ascii="Palatino Linotype" w:eastAsia="Palatino Linotype" w:hAnsi="Palatino Linotype" w:cs="Palatino Linotype"/>
          <w:b/>
          <w:i/>
        </w:rPr>
        <w:t>Artículo 1</w:t>
      </w:r>
      <w:r w:rsidRPr="00A3137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E77C69" w:rsidRPr="00A3137F" w:rsidRDefault="00E77C69" w:rsidP="00E77C69">
      <w:pPr>
        <w:ind w:left="1134" w:right="900"/>
        <w:jc w:val="both"/>
        <w:rPr>
          <w:rFonts w:ascii="Palatino Linotype" w:eastAsia="Palatino Linotype" w:hAnsi="Palatino Linotype" w:cs="Palatino Linotype"/>
          <w:i/>
        </w:rPr>
      </w:pPr>
      <w:r w:rsidRPr="00A3137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77C69" w:rsidRPr="00A3137F" w:rsidRDefault="00E77C69" w:rsidP="00E77C69">
      <w:pPr>
        <w:spacing w:line="360" w:lineRule="auto"/>
        <w:ind w:left="426" w:right="474"/>
        <w:jc w:val="both"/>
        <w:rPr>
          <w:rFonts w:ascii="Palatino Linotype" w:eastAsia="Palatino Linotype" w:hAnsi="Palatino Linotype" w:cs="Palatino Linotype"/>
          <w:i/>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A3137F">
        <w:rPr>
          <w:rFonts w:ascii="Palatino Linotype" w:eastAsia="Palatino Linotype" w:hAnsi="Palatino Linotype" w:cs="Palatino Linotype"/>
          <w:lang w:val="es-ES" w:eastAsia="en-US"/>
        </w:rPr>
        <w:t xml:space="preserve"> </w:t>
      </w:r>
      <w:r w:rsidRPr="00A3137F">
        <w:rPr>
          <w:rFonts w:ascii="Palatino Linotype" w:eastAsia="Palatino Linotype" w:hAnsi="Palatino Linotype" w:cs="Palatino Linotype"/>
          <w:i/>
          <w:lang w:val="es-ES" w:eastAsia="en-US"/>
        </w:rPr>
        <w:t>derecho fundamental exime a quien lo ejerce</w:t>
      </w:r>
      <w:r w:rsidRPr="00A3137F">
        <w:rPr>
          <w:rFonts w:ascii="Palatino Linotype" w:eastAsia="Palatino Linotype" w:hAnsi="Palatino Linotype" w:cs="Palatino Linotype"/>
          <w:lang w:val="es-ES" w:eastAsia="en-US"/>
        </w:rPr>
        <w:t xml:space="preserve">, </w:t>
      </w:r>
      <w:r w:rsidRPr="00A3137F">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77C69" w:rsidRPr="00A3137F" w:rsidRDefault="00E77C69" w:rsidP="00E77C69">
      <w:pPr>
        <w:spacing w:line="360" w:lineRule="auto"/>
        <w:jc w:val="both"/>
        <w:rPr>
          <w:rFonts w:ascii="Palatino Linotype" w:eastAsia="Calibri" w:hAnsi="Palatino Linotype" w:cs="Arial"/>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 xml:space="preserve">En consecuencia, dado lo expuesto y fundado con anterioridad, se estima que el requisito relativo al nombre del </w:t>
      </w:r>
      <w:r w:rsidRPr="00A3137F">
        <w:rPr>
          <w:rFonts w:ascii="Palatino Linotype" w:eastAsia="Calibri" w:hAnsi="Palatino Linotype" w:cs="Arial"/>
          <w:b/>
        </w:rPr>
        <w:t>RECURRENTE</w:t>
      </w:r>
      <w:r w:rsidRPr="00A3137F">
        <w:rPr>
          <w:rFonts w:ascii="Palatino Linotype" w:eastAsia="Calibri" w:hAnsi="Palatino Linotype" w:cs="Arial"/>
        </w:rPr>
        <w:t xml:space="preserve"> no constituye un presupuesto indispensable </w:t>
      </w:r>
      <w:r w:rsidRPr="00A3137F">
        <w:rPr>
          <w:rFonts w:ascii="Palatino Linotype" w:eastAsia="Calibri" w:hAnsi="Palatino Linotype" w:cs="Arial"/>
        </w:rPr>
        <w:lastRenderedPageBreak/>
        <w:t>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77C69" w:rsidRPr="00A3137F" w:rsidRDefault="00E77C69" w:rsidP="00E77C69">
      <w:pPr>
        <w:pStyle w:val="Prrafodelista"/>
        <w:rPr>
          <w:rFonts w:ascii="Palatino Linotype" w:eastAsia="Calibri" w:hAnsi="Palatino Linotype" w:cs="Arial"/>
        </w:rPr>
      </w:pPr>
    </w:p>
    <w:p w:rsidR="00E77C69" w:rsidRPr="00A3137F" w:rsidRDefault="00E77C69" w:rsidP="00E77C6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Arial"/>
        </w:rPr>
      </w:pPr>
      <w:r w:rsidRPr="00A3137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77C69" w:rsidRPr="00A3137F" w:rsidRDefault="00E77C69" w:rsidP="00E77C69">
      <w:pPr>
        <w:pBdr>
          <w:top w:val="nil"/>
          <w:left w:val="nil"/>
          <w:bottom w:val="nil"/>
          <w:right w:val="nil"/>
          <w:between w:val="nil"/>
        </w:pBdr>
        <w:spacing w:line="360" w:lineRule="auto"/>
        <w:ind w:right="-787"/>
        <w:jc w:val="both"/>
        <w:rPr>
          <w:rFonts w:ascii="Palatino Linotype" w:hAnsi="Palatino Linotype"/>
          <w:color w:val="000000"/>
        </w:rPr>
      </w:pPr>
    </w:p>
    <w:p w:rsidR="00EA4BE4" w:rsidRPr="00A3137F" w:rsidRDefault="00EA4BE4" w:rsidP="00EA4BE4">
      <w:pPr>
        <w:keepNext/>
        <w:keepLines/>
        <w:spacing w:line="360" w:lineRule="auto"/>
        <w:ind w:right="48"/>
        <w:outlineLvl w:val="0"/>
        <w:rPr>
          <w:rFonts w:ascii="Palatino Linotype" w:eastAsia="MS Gothic" w:hAnsi="Palatino Linotype" w:cstheme="majorBidi"/>
          <w:b/>
          <w:lang w:val="es-ES_tradnl" w:eastAsia="es-ES"/>
        </w:rPr>
      </w:pPr>
      <w:bookmarkStart w:id="8" w:name="_heading=h.2s8eyo1" w:colFirst="0" w:colLast="0"/>
      <w:bookmarkStart w:id="9" w:name="_Toc70417465"/>
      <w:bookmarkStart w:id="10" w:name="_Toc80812774"/>
      <w:bookmarkStart w:id="11" w:name="_Toc90654866"/>
      <w:bookmarkEnd w:id="8"/>
      <w:r w:rsidRPr="00A3137F">
        <w:rPr>
          <w:rFonts w:ascii="Palatino Linotype" w:eastAsia="MS Gothic" w:hAnsi="Palatino Linotype" w:cstheme="majorBidi"/>
          <w:b/>
          <w:lang w:val="es-ES_tradnl" w:eastAsia="es-ES"/>
        </w:rPr>
        <w:t xml:space="preserve">TERCERO. </w:t>
      </w:r>
      <w:bookmarkEnd w:id="9"/>
      <w:bookmarkEnd w:id="10"/>
      <w:bookmarkEnd w:id="11"/>
      <w:r w:rsidRPr="00A3137F">
        <w:rPr>
          <w:rFonts w:ascii="Palatino Linotype" w:hAnsi="Palatino Linotype"/>
          <w:b/>
        </w:rPr>
        <w:t>De las causales del sobreseimiento.</w:t>
      </w: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Tahoma"/>
          <w:iCs/>
          <w:lang w:val="es-ES" w:eastAsia="es-ES_tradnl"/>
        </w:rPr>
      </w:pPr>
      <w:r w:rsidRPr="00A3137F">
        <w:rPr>
          <w:rFonts w:ascii="Palatino Linotype" w:eastAsia="Calibri" w:hAnsi="Palatino Linotype" w:cs="Tahoma"/>
          <w:iCs/>
          <w:lang w:val="es-ES" w:eastAsia="es-ES_tradnl"/>
        </w:rPr>
        <w:t xml:space="preserve">El </w:t>
      </w:r>
      <w:r w:rsidRPr="00A3137F">
        <w:rPr>
          <w:rFonts w:ascii="Palatino Linotype" w:eastAsia="Calibri" w:hAnsi="Palatino Linotype" w:cs="Arial"/>
        </w:rPr>
        <w:t>recurso</w:t>
      </w:r>
      <w:r w:rsidRPr="00A3137F">
        <w:rPr>
          <w:rFonts w:ascii="Palatino Linotype" w:hAnsi="Palatino Linotype" w:cs="Arial"/>
        </w:rPr>
        <w:t xml:space="preserve"> revisión tiene como finalidad reparar cualquier posible afectación al Derecho de Acceso a la Información Pública en términos del Título Octavo de la Ley de </w:t>
      </w:r>
      <w:r w:rsidRPr="00A3137F">
        <w:rPr>
          <w:rFonts w:ascii="Palatino Linotype" w:eastAsia="Calibri" w:hAnsi="Palatino Linotype" w:cs="Arial"/>
        </w:rPr>
        <w:t>Transparencia, Acceso a la Información Pública del Estado de México y Municipios</w:t>
      </w:r>
      <w:r w:rsidRPr="00A3137F">
        <w:rPr>
          <w:rFonts w:ascii="Palatino Linotype" w:hAnsi="Palatino Linotype" w:cs="Arial"/>
        </w:rPr>
        <w:t xml:space="preserve">, y determinar la confirmación; revocación o modificación; desechamiento o </w:t>
      </w:r>
      <w:r w:rsidRPr="00A3137F">
        <w:rPr>
          <w:rFonts w:ascii="Palatino Linotype" w:hAnsi="Palatino Linotype" w:cs="Arial"/>
          <w:b/>
          <w:u w:val="single"/>
        </w:rPr>
        <w:t>sobreseimiento</w:t>
      </w:r>
      <w:r w:rsidRPr="00A3137F">
        <w:rPr>
          <w:rFonts w:ascii="Palatino Linotype" w:hAnsi="Palatino Linotype" w:cs="Arial"/>
        </w:rPr>
        <w:t xml:space="preserve">; y, en su caso, ordenar la entrega de la información respecto a la falta de respuesta por parte del </w:t>
      </w:r>
      <w:r w:rsidRPr="00A3137F">
        <w:rPr>
          <w:rFonts w:ascii="Palatino Linotype" w:hAnsi="Palatino Linotype" w:cs="Arial"/>
          <w:b/>
        </w:rPr>
        <w:t>SUJETO</w:t>
      </w:r>
      <w:r w:rsidRPr="00A3137F">
        <w:rPr>
          <w:rFonts w:ascii="Palatino Linotype" w:hAnsi="Palatino Linotype" w:cs="Arial"/>
        </w:rPr>
        <w:t xml:space="preserve"> </w:t>
      </w:r>
      <w:r w:rsidRPr="00A3137F">
        <w:rPr>
          <w:rFonts w:ascii="Palatino Linotype" w:hAnsi="Palatino Linotype" w:cs="Arial"/>
          <w:b/>
        </w:rPr>
        <w:t>OBLIGADO</w:t>
      </w:r>
      <w:r w:rsidRPr="00A3137F">
        <w:rPr>
          <w:rFonts w:ascii="Palatino Linotype" w:hAnsi="Palatino Linotype" w:cs="Arial"/>
        </w:rPr>
        <w:t>.</w:t>
      </w:r>
    </w:p>
    <w:p w:rsidR="00EA4BE4" w:rsidRPr="00A3137F" w:rsidRDefault="00EA4BE4" w:rsidP="00EA4BE4">
      <w:pPr>
        <w:pStyle w:val="Prrafodelista"/>
        <w:tabs>
          <w:tab w:val="left" w:pos="0"/>
        </w:tabs>
        <w:spacing w:line="360" w:lineRule="auto"/>
        <w:ind w:left="0"/>
        <w:jc w:val="both"/>
        <w:rPr>
          <w:rFonts w:ascii="Palatino Linotype" w:eastAsia="Calibri" w:hAnsi="Palatino Linotype" w:cs="Tahoma"/>
          <w:iCs/>
          <w:lang w:val="es-ES" w:eastAsia="es-ES_tradnl"/>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Tahoma"/>
          <w:iCs/>
          <w:lang w:val="es-ES" w:eastAsia="es-ES_tradnl"/>
        </w:rPr>
      </w:pPr>
      <w:r w:rsidRPr="00A3137F">
        <w:rPr>
          <w:rFonts w:ascii="Palatino Linotype" w:eastAsia="Calibri" w:hAnsi="Palatino Linotype" w:cs="Tahoma"/>
          <w:iCs/>
          <w:lang w:val="es-ES" w:eastAsia="es-ES_tradnl"/>
        </w:rPr>
        <w:lastRenderedPageBreak/>
        <w:t xml:space="preserve">De </w:t>
      </w:r>
      <w:r w:rsidRPr="00A3137F">
        <w:rPr>
          <w:rFonts w:ascii="Palatino Linotype" w:eastAsia="Calibri" w:hAnsi="Palatino Linotype" w:cs="Arial"/>
        </w:rPr>
        <w:t>acuerdo</w:t>
      </w:r>
      <w:r w:rsidRPr="00A3137F">
        <w:rPr>
          <w:rFonts w:ascii="Palatino Linotype" w:eastAsia="Calibri" w:hAnsi="Palatino Linotype"/>
        </w:rPr>
        <w:t xml:space="preserve"> con el precepto legal contenido en la fracción IV del artículo 192 de la </w:t>
      </w:r>
      <w:r w:rsidRPr="00A3137F">
        <w:rPr>
          <w:rFonts w:ascii="Palatino Linotype" w:eastAsia="Calibri" w:hAnsi="Palatino Linotype"/>
          <w:b/>
        </w:rPr>
        <w:t>Ley de Transparencia y Acceso a la Información Pública del Estado de México y Municipios</w:t>
      </w:r>
      <w:r w:rsidRPr="00A3137F">
        <w:rPr>
          <w:rFonts w:ascii="Palatino Linotype" w:eastAsia="Calibri" w:hAnsi="Palatino Linotype"/>
        </w:rPr>
        <w:t>, el recurso será sobreseído, cuando una vez admitido, aparezca alguna causal de improcedencia en términos de la misma Ley.</w:t>
      </w:r>
    </w:p>
    <w:p w:rsidR="00EA4BE4" w:rsidRPr="00A3137F" w:rsidRDefault="00EA4BE4" w:rsidP="00EA4BE4">
      <w:pPr>
        <w:spacing w:line="360" w:lineRule="auto"/>
        <w:ind w:right="49"/>
        <w:contextualSpacing/>
        <w:jc w:val="both"/>
        <w:rPr>
          <w:rFonts w:ascii="Palatino Linotype" w:eastAsiaTheme="minorEastAsia" w:hAnsi="Palatino Linotype"/>
          <w:lang w:val="es-ES_tradnl" w:eastAsia="es-ES"/>
        </w:rPr>
      </w:pPr>
    </w:p>
    <w:p w:rsidR="00EA4BE4" w:rsidRPr="00A3137F" w:rsidRDefault="00EA4BE4" w:rsidP="00A3137F">
      <w:pPr>
        <w:keepNext/>
        <w:keepLines/>
        <w:numPr>
          <w:ilvl w:val="1"/>
          <w:numId w:val="6"/>
        </w:numPr>
        <w:spacing w:line="360" w:lineRule="auto"/>
        <w:ind w:left="0" w:firstLine="0"/>
        <w:outlineLvl w:val="1"/>
        <w:rPr>
          <w:rFonts w:ascii="Palatino Linotype" w:eastAsiaTheme="majorEastAsia" w:hAnsi="Palatino Linotype" w:cstheme="majorBidi"/>
          <w:b/>
          <w:iCs/>
        </w:rPr>
      </w:pPr>
      <w:bookmarkStart w:id="12" w:name="_Toc365136"/>
      <w:r w:rsidRPr="00A3137F">
        <w:rPr>
          <w:rFonts w:ascii="Palatino Linotype" w:eastAsiaTheme="majorEastAsia" w:hAnsi="Palatino Linotype" w:cstheme="majorBidi"/>
          <w:b/>
          <w:iCs/>
        </w:rPr>
        <w:t xml:space="preserve"> De la solicitud de información</w:t>
      </w:r>
      <w:bookmarkEnd w:id="12"/>
      <w:r w:rsidRPr="00A3137F">
        <w:rPr>
          <w:rFonts w:ascii="Palatino Linotype" w:eastAsiaTheme="majorEastAsia" w:hAnsi="Palatino Linotype" w:cstheme="majorBidi"/>
          <w:b/>
          <w:iCs/>
        </w:rPr>
        <w:t xml:space="preserve"> </w:t>
      </w:r>
    </w:p>
    <w:p w:rsidR="002D7D22" w:rsidRPr="00A3137F" w:rsidRDefault="002D7D22"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b/>
          <w:bCs/>
          <w:i/>
          <w:iCs/>
        </w:rPr>
      </w:pPr>
      <w:r w:rsidRPr="00A3137F">
        <w:rPr>
          <w:rFonts w:ascii="Palatino Linotype" w:hAnsi="Palatino Linotype"/>
          <w:bCs/>
          <w:iCs/>
        </w:rPr>
        <w:t xml:space="preserve">En esa línea se debe de analizar la respuesta proporcionada a la solicitud de información que emitió el </w:t>
      </w:r>
      <w:r w:rsidRPr="00A3137F">
        <w:rPr>
          <w:rFonts w:ascii="Palatino Linotype" w:hAnsi="Palatino Linotype"/>
          <w:b/>
          <w:bCs/>
          <w:iCs/>
        </w:rPr>
        <w:t xml:space="preserve">SUJETO OBLIGADO, </w:t>
      </w:r>
      <w:r w:rsidRPr="00A3137F">
        <w:rPr>
          <w:rFonts w:ascii="Palatino Linotype" w:hAnsi="Palatino Linotype"/>
          <w:bCs/>
          <w:iCs/>
        </w:rPr>
        <w:t xml:space="preserve">mediante el siguiente cuadro. </w:t>
      </w:r>
    </w:p>
    <w:p w:rsidR="002D7D22" w:rsidRPr="00A3137F" w:rsidRDefault="002D7D22" w:rsidP="002D7D22">
      <w:pPr>
        <w:pBdr>
          <w:top w:val="nil"/>
          <w:left w:val="nil"/>
          <w:bottom w:val="nil"/>
          <w:right w:val="nil"/>
          <w:between w:val="nil"/>
        </w:pBdr>
        <w:tabs>
          <w:tab w:val="left" w:pos="0"/>
        </w:tabs>
        <w:spacing w:line="360" w:lineRule="auto"/>
        <w:ind w:right="-787"/>
        <w:jc w:val="both"/>
        <w:rPr>
          <w:rFonts w:ascii="Palatino Linotype" w:hAnsi="Palatino Linotype"/>
          <w:b/>
          <w:bCs/>
          <w:i/>
          <w:iCs/>
        </w:rPr>
      </w:pPr>
    </w:p>
    <w:tbl>
      <w:tblPr>
        <w:tblStyle w:val="Tablaconcuadrcula"/>
        <w:tblW w:w="9918" w:type="dxa"/>
        <w:tblLayout w:type="fixed"/>
        <w:tblLook w:val="04A0" w:firstRow="1" w:lastRow="0" w:firstColumn="1" w:lastColumn="0" w:noHBand="0" w:noVBand="1"/>
      </w:tblPr>
      <w:tblGrid>
        <w:gridCol w:w="2689"/>
        <w:gridCol w:w="2551"/>
        <w:gridCol w:w="1775"/>
        <w:gridCol w:w="2903"/>
      </w:tblGrid>
      <w:tr w:rsidR="002D7D22" w:rsidRPr="00A3137F" w:rsidTr="00A3137F">
        <w:tc>
          <w:tcPr>
            <w:tcW w:w="2689" w:type="dxa"/>
          </w:tcPr>
          <w:p w:rsidR="002D7D22" w:rsidRPr="00A3137F" w:rsidRDefault="002D7D22" w:rsidP="00A3137F">
            <w:pPr>
              <w:tabs>
                <w:tab w:val="left" w:pos="0"/>
              </w:tabs>
              <w:jc w:val="center"/>
              <w:rPr>
                <w:rFonts w:ascii="Palatino Linotype" w:hAnsi="Palatino Linotype"/>
                <w:b/>
                <w:bCs/>
                <w:i/>
                <w:iCs/>
              </w:rPr>
            </w:pPr>
            <w:r w:rsidRPr="00A3137F">
              <w:rPr>
                <w:rFonts w:ascii="Palatino Linotype" w:hAnsi="Palatino Linotype"/>
                <w:b/>
                <w:bCs/>
                <w:i/>
                <w:iCs/>
              </w:rPr>
              <w:t>Información solicitada</w:t>
            </w:r>
          </w:p>
        </w:tc>
        <w:tc>
          <w:tcPr>
            <w:tcW w:w="2551" w:type="dxa"/>
          </w:tcPr>
          <w:p w:rsidR="002D7D22" w:rsidRPr="00A3137F" w:rsidRDefault="002D7D22" w:rsidP="00A3137F">
            <w:pPr>
              <w:tabs>
                <w:tab w:val="left" w:pos="0"/>
              </w:tabs>
              <w:ind w:right="-787"/>
              <w:jc w:val="center"/>
              <w:rPr>
                <w:rFonts w:ascii="Palatino Linotype" w:hAnsi="Palatino Linotype"/>
                <w:b/>
                <w:bCs/>
                <w:i/>
                <w:iCs/>
              </w:rPr>
            </w:pPr>
            <w:r w:rsidRPr="00A3137F">
              <w:rPr>
                <w:rFonts w:ascii="Palatino Linotype" w:hAnsi="Palatino Linotype"/>
                <w:b/>
                <w:bCs/>
                <w:i/>
                <w:iCs/>
              </w:rPr>
              <w:t>Respuesta</w:t>
            </w:r>
          </w:p>
        </w:tc>
        <w:tc>
          <w:tcPr>
            <w:tcW w:w="1775" w:type="dxa"/>
          </w:tcPr>
          <w:p w:rsidR="002D7D22" w:rsidRPr="00A3137F" w:rsidRDefault="002D7D22" w:rsidP="00A3137F">
            <w:pPr>
              <w:tabs>
                <w:tab w:val="left" w:pos="0"/>
              </w:tabs>
              <w:ind w:right="-787"/>
              <w:jc w:val="center"/>
              <w:rPr>
                <w:rFonts w:ascii="Palatino Linotype" w:hAnsi="Palatino Linotype"/>
                <w:b/>
                <w:bCs/>
                <w:i/>
                <w:iCs/>
              </w:rPr>
            </w:pPr>
            <w:r w:rsidRPr="00A3137F">
              <w:rPr>
                <w:rFonts w:ascii="Palatino Linotype" w:hAnsi="Palatino Linotype"/>
                <w:b/>
                <w:bCs/>
                <w:i/>
                <w:iCs/>
              </w:rPr>
              <w:t>manifestaciones</w:t>
            </w:r>
          </w:p>
        </w:tc>
        <w:tc>
          <w:tcPr>
            <w:tcW w:w="2903" w:type="dxa"/>
          </w:tcPr>
          <w:p w:rsidR="002D7D22" w:rsidRPr="00A3137F" w:rsidRDefault="002D7D22" w:rsidP="00A3137F">
            <w:pPr>
              <w:tabs>
                <w:tab w:val="left" w:pos="0"/>
              </w:tabs>
              <w:ind w:right="-787"/>
              <w:jc w:val="center"/>
              <w:rPr>
                <w:rFonts w:ascii="Palatino Linotype" w:hAnsi="Palatino Linotype"/>
                <w:b/>
                <w:bCs/>
                <w:i/>
                <w:iCs/>
              </w:rPr>
            </w:pPr>
            <w:r w:rsidRPr="00A3137F">
              <w:rPr>
                <w:rFonts w:ascii="Palatino Linotype" w:hAnsi="Palatino Linotype"/>
                <w:b/>
                <w:bCs/>
                <w:i/>
                <w:iCs/>
              </w:rPr>
              <w:t>colma</w:t>
            </w:r>
          </w:p>
        </w:tc>
      </w:tr>
      <w:tr w:rsidR="002D7D22" w:rsidRPr="00A3137F" w:rsidTr="00A3137F">
        <w:tc>
          <w:tcPr>
            <w:tcW w:w="2689" w:type="dxa"/>
          </w:tcPr>
          <w:p w:rsidR="002D7D22" w:rsidRPr="00A3137F" w:rsidRDefault="002D7D22" w:rsidP="002D7D22">
            <w:pPr>
              <w:tabs>
                <w:tab w:val="left" w:pos="0"/>
              </w:tabs>
              <w:ind w:right="105"/>
              <w:jc w:val="both"/>
              <w:rPr>
                <w:rFonts w:ascii="Palatino Linotype" w:hAnsi="Palatino Linotype"/>
                <w:b/>
                <w:bCs/>
                <w:i/>
                <w:iCs/>
              </w:rPr>
            </w:pPr>
            <w:r w:rsidRPr="00A3137F">
              <w:rPr>
                <w:rFonts w:ascii="Palatino Linotype" w:hAnsi="Palatino Linotype"/>
                <w:b/>
                <w:bCs/>
                <w:i/>
                <w:iCs/>
              </w:rPr>
              <w:t>1.- Fuentes de abastecimiento de rebombeo con los que cuenta el organismo</w:t>
            </w:r>
          </w:p>
        </w:tc>
        <w:tc>
          <w:tcPr>
            <w:tcW w:w="2551" w:type="dxa"/>
          </w:tcPr>
          <w:p w:rsidR="002D7D22" w:rsidRPr="00A3137F" w:rsidRDefault="002D7D22" w:rsidP="002D7D22">
            <w:pPr>
              <w:contextualSpacing/>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2025.pdf: </w:t>
            </w:r>
            <w:r w:rsidRPr="00A3137F">
              <w:rPr>
                <w:rFonts w:ascii="Palatino Linotype" w:eastAsia="Palatino Linotype" w:hAnsi="Palatino Linotype" w:cs="Palatino Linotype"/>
                <w:i/>
                <w:color w:val="000000"/>
              </w:rPr>
              <w:t xml:space="preserve">oficio de la Subgerente de Transparencia, mediante el cual informa que la Dirección de Construcción y Operación Hidráulica como área habilitada entrega la relación de rebombeos y los mantenimientos preventivos y correctivos realizados desde 2019. </w:t>
            </w:r>
          </w:p>
          <w:p w:rsidR="002D7D22" w:rsidRPr="00A3137F" w:rsidRDefault="002D7D22" w:rsidP="002D7D22">
            <w:pPr>
              <w:contextualSpacing/>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 2.pdf: </w:t>
            </w:r>
            <w:r w:rsidRPr="00A3137F">
              <w:rPr>
                <w:rFonts w:ascii="Palatino Linotype" w:eastAsia="Palatino Linotype" w:hAnsi="Palatino Linotype" w:cs="Palatino Linotype"/>
                <w:i/>
                <w:color w:val="000000"/>
              </w:rPr>
              <w:t xml:space="preserve">documento que contiene el número de rembobeos con los que cuenta el </w:t>
            </w:r>
            <w:r w:rsidRPr="00A3137F">
              <w:rPr>
                <w:rFonts w:ascii="Palatino Linotype" w:eastAsia="Palatino Linotype" w:hAnsi="Palatino Linotype" w:cs="Palatino Linotype"/>
                <w:i/>
                <w:color w:val="000000"/>
              </w:rPr>
              <w:lastRenderedPageBreak/>
              <w:t xml:space="preserve">Organismo del Agua y los mantenimientos realizados desde el 2019. </w:t>
            </w:r>
          </w:p>
          <w:p w:rsidR="002D7D22" w:rsidRPr="00A3137F" w:rsidRDefault="002D7D22" w:rsidP="002D7D22">
            <w:pPr>
              <w:tabs>
                <w:tab w:val="left" w:pos="0"/>
              </w:tabs>
              <w:jc w:val="both"/>
              <w:rPr>
                <w:rFonts w:ascii="Palatino Linotype" w:hAnsi="Palatino Linotype"/>
                <w:b/>
                <w:bCs/>
                <w:i/>
                <w:iCs/>
              </w:rPr>
            </w:pPr>
          </w:p>
        </w:tc>
        <w:tc>
          <w:tcPr>
            <w:tcW w:w="1775" w:type="dxa"/>
          </w:tcPr>
          <w:p w:rsidR="002D7D22" w:rsidRPr="00A3137F" w:rsidRDefault="002D7D22" w:rsidP="002D7D22">
            <w:pPr>
              <w:tabs>
                <w:tab w:val="left" w:pos="0"/>
              </w:tabs>
              <w:ind w:right="34"/>
              <w:jc w:val="both"/>
              <w:rPr>
                <w:rFonts w:ascii="Palatino Linotype" w:hAnsi="Palatino Linotype"/>
                <w:bCs/>
                <w:i/>
                <w:iCs/>
              </w:rPr>
            </w:pPr>
            <w:r w:rsidRPr="00A3137F">
              <w:rPr>
                <w:rFonts w:ascii="Palatino Linotype" w:hAnsi="Palatino Linotype"/>
                <w:bCs/>
                <w:i/>
                <w:iCs/>
              </w:rPr>
              <w:lastRenderedPageBreak/>
              <w:t>No hay pronunciamiento</w:t>
            </w:r>
          </w:p>
        </w:tc>
        <w:tc>
          <w:tcPr>
            <w:tcW w:w="2903" w:type="dxa"/>
          </w:tcPr>
          <w:p w:rsidR="002D7D22" w:rsidRPr="00A3137F" w:rsidRDefault="002D7D22" w:rsidP="002D7D22">
            <w:pPr>
              <w:tabs>
                <w:tab w:val="left" w:pos="0"/>
              </w:tabs>
              <w:ind w:right="22"/>
              <w:jc w:val="both"/>
              <w:rPr>
                <w:rFonts w:ascii="Palatino Linotype" w:hAnsi="Palatino Linotype"/>
                <w:bCs/>
                <w:i/>
                <w:iCs/>
              </w:rPr>
            </w:pPr>
            <w:r w:rsidRPr="00A3137F">
              <w:rPr>
                <w:rFonts w:ascii="Palatino Linotype" w:hAnsi="Palatino Linotype"/>
                <w:bCs/>
                <w:i/>
                <w:iCs/>
              </w:rPr>
              <w:t>Colma toda vez que se entregan las fuentes de abastecimiento de rebombeos con las que cuenta el organismo</w:t>
            </w:r>
          </w:p>
        </w:tc>
      </w:tr>
      <w:tr w:rsidR="002D7D22" w:rsidRPr="00A3137F" w:rsidTr="00A3137F">
        <w:tc>
          <w:tcPr>
            <w:tcW w:w="2689" w:type="dxa"/>
          </w:tcPr>
          <w:p w:rsidR="002D7D22" w:rsidRPr="00A3137F" w:rsidRDefault="002D7D22" w:rsidP="002D7D22">
            <w:pPr>
              <w:tabs>
                <w:tab w:val="left" w:pos="0"/>
              </w:tabs>
              <w:jc w:val="both"/>
              <w:rPr>
                <w:rFonts w:ascii="Palatino Linotype" w:hAnsi="Palatino Linotype"/>
                <w:b/>
                <w:bCs/>
                <w:i/>
                <w:iCs/>
              </w:rPr>
            </w:pPr>
            <w:r w:rsidRPr="00A3137F">
              <w:rPr>
                <w:rFonts w:ascii="Palatino Linotype" w:hAnsi="Palatino Linotype"/>
                <w:b/>
                <w:bCs/>
                <w:i/>
                <w:iCs/>
              </w:rPr>
              <w:t>2.- la información técnica y las fechas de los últimos mantenimiento preventivos o correctivos realizados a cada uno del 2019 a la fecha</w:t>
            </w:r>
          </w:p>
        </w:tc>
        <w:tc>
          <w:tcPr>
            <w:tcW w:w="2551" w:type="dxa"/>
          </w:tcPr>
          <w:p w:rsidR="002D7D22" w:rsidRPr="00A3137F" w:rsidRDefault="002D7D22" w:rsidP="002D7D22">
            <w:pPr>
              <w:contextualSpacing/>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2025.pdf: </w:t>
            </w:r>
            <w:r w:rsidRPr="00A3137F">
              <w:rPr>
                <w:rFonts w:ascii="Palatino Linotype" w:eastAsia="Palatino Linotype" w:hAnsi="Palatino Linotype" w:cs="Palatino Linotype"/>
                <w:i/>
                <w:color w:val="000000"/>
              </w:rPr>
              <w:t xml:space="preserve">oficio de la Subgerente de Transparencia, mediante el cual informa que la Dirección de Construcción y Operación Hidráulica como área habilitada entrega la relación de rebombeos y los mantenimientos preventivos y correctivos realizados desde 2019. </w:t>
            </w:r>
          </w:p>
          <w:p w:rsidR="002D7D22" w:rsidRPr="00A3137F" w:rsidRDefault="002D7D22" w:rsidP="002D7D22">
            <w:pPr>
              <w:contextualSpacing/>
              <w:jc w:val="both"/>
              <w:rPr>
                <w:rFonts w:ascii="Palatino Linotype" w:eastAsia="Palatino Linotype" w:hAnsi="Palatino Linotype" w:cs="Palatino Linotype"/>
                <w:i/>
                <w:color w:val="000000"/>
              </w:rPr>
            </w:pPr>
            <w:r w:rsidRPr="00A3137F">
              <w:rPr>
                <w:rFonts w:ascii="Palatino Linotype" w:eastAsia="Palatino Linotype" w:hAnsi="Palatino Linotype" w:cs="Palatino Linotype"/>
                <w:b/>
                <w:i/>
                <w:color w:val="000000"/>
              </w:rPr>
              <w:t xml:space="preserve">SGT O 240 2025 2.pdf: </w:t>
            </w:r>
            <w:r w:rsidRPr="00A3137F">
              <w:rPr>
                <w:rFonts w:ascii="Palatino Linotype" w:eastAsia="Palatino Linotype" w:hAnsi="Palatino Linotype" w:cs="Palatino Linotype"/>
                <w:i/>
                <w:color w:val="000000"/>
              </w:rPr>
              <w:t xml:space="preserve">documento que contiene el número de rembobeos con los que cuenta el Organismo del Agua y los mantenimientos realizados desde el 2019. </w:t>
            </w:r>
          </w:p>
          <w:p w:rsidR="002D7D22" w:rsidRPr="00A3137F" w:rsidRDefault="002D7D22" w:rsidP="002D7D22">
            <w:pPr>
              <w:tabs>
                <w:tab w:val="left" w:pos="0"/>
              </w:tabs>
              <w:jc w:val="both"/>
              <w:rPr>
                <w:rFonts w:ascii="Palatino Linotype" w:hAnsi="Palatino Linotype"/>
                <w:b/>
                <w:bCs/>
                <w:i/>
                <w:iCs/>
              </w:rPr>
            </w:pPr>
          </w:p>
        </w:tc>
        <w:tc>
          <w:tcPr>
            <w:tcW w:w="1775" w:type="dxa"/>
          </w:tcPr>
          <w:p w:rsidR="002D7D22" w:rsidRPr="00A3137F" w:rsidRDefault="002D7D22" w:rsidP="002D7D22">
            <w:pPr>
              <w:tabs>
                <w:tab w:val="left" w:pos="0"/>
              </w:tabs>
              <w:ind w:right="34"/>
              <w:jc w:val="both"/>
              <w:rPr>
                <w:rFonts w:ascii="Palatino Linotype" w:hAnsi="Palatino Linotype"/>
                <w:bCs/>
                <w:i/>
                <w:iCs/>
              </w:rPr>
            </w:pPr>
            <w:r w:rsidRPr="00A3137F">
              <w:rPr>
                <w:rFonts w:ascii="Palatino Linotype" w:hAnsi="Palatino Linotype"/>
                <w:bCs/>
                <w:i/>
                <w:iCs/>
              </w:rPr>
              <w:t>No hay pronunciamiento</w:t>
            </w:r>
          </w:p>
        </w:tc>
        <w:tc>
          <w:tcPr>
            <w:tcW w:w="2903" w:type="dxa"/>
          </w:tcPr>
          <w:p w:rsidR="002D7D22" w:rsidRPr="00A3137F" w:rsidRDefault="00C22FA1" w:rsidP="00C22FA1">
            <w:pPr>
              <w:tabs>
                <w:tab w:val="left" w:pos="0"/>
              </w:tabs>
              <w:ind w:right="164"/>
              <w:jc w:val="both"/>
              <w:rPr>
                <w:rFonts w:ascii="Palatino Linotype" w:hAnsi="Palatino Linotype"/>
                <w:bCs/>
                <w:i/>
                <w:iCs/>
              </w:rPr>
            </w:pPr>
            <w:r w:rsidRPr="00A3137F">
              <w:rPr>
                <w:rFonts w:ascii="Palatino Linotype" w:hAnsi="Palatino Linotype"/>
                <w:bCs/>
                <w:i/>
                <w:iCs/>
              </w:rPr>
              <w:t>Colma toda vez que se entrega la información técnica de los rebombeos y las fechas de los últimos mantenimientos</w:t>
            </w:r>
          </w:p>
        </w:tc>
      </w:tr>
    </w:tbl>
    <w:p w:rsidR="00EA4BE4" w:rsidRPr="00A3137F" w:rsidRDefault="00EA4BE4" w:rsidP="00EA4BE4">
      <w:pPr>
        <w:rPr>
          <w:rFonts w:ascii="Palatino Linotype" w:eastAsia="Calibri" w:hAnsi="Palatino Linotype" w:cs="Tahoma"/>
          <w:color w:val="000000"/>
          <w:lang w:val="es-ES"/>
        </w:rPr>
      </w:pPr>
    </w:p>
    <w:p w:rsidR="00EA4BE4" w:rsidRPr="00A3137F" w:rsidRDefault="00EA4BE4" w:rsidP="00EA4BE4">
      <w:pPr>
        <w:spacing w:line="360" w:lineRule="auto"/>
        <w:ind w:right="49"/>
        <w:contextualSpacing/>
        <w:jc w:val="both"/>
        <w:rPr>
          <w:rFonts w:ascii="Palatino Linotype" w:hAnsi="Palatino Linotype"/>
          <w:b/>
          <w:bCs/>
          <w:i/>
          <w:iCs/>
          <w:color w:val="000000"/>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t xml:space="preserve">De la </w:t>
      </w:r>
      <w:r w:rsidRPr="00A3137F">
        <w:rPr>
          <w:rFonts w:ascii="Palatino Linotype" w:eastAsia="Calibri" w:hAnsi="Palatino Linotype" w:cs="Arial"/>
        </w:rPr>
        <w:t>respuesta</w:t>
      </w:r>
      <w:r w:rsidRPr="00A3137F">
        <w:rPr>
          <w:rFonts w:ascii="Palatino Linotype" w:hAnsi="Palatino Linotype"/>
          <w:color w:val="000000"/>
        </w:rPr>
        <w:t xml:space="preserve"> proporcionada, el </w:t>
      </w:r>
      <w:r w:rsidRPr="00A3137F">
        <w:rPr>
          <w:rFonts w:ascii="Palatino Linotype" w:hAnsi="Palatino Linotype"/>
          <w:b/>
          <w:bCs/>
          <w:color w:val="000000"/>
        </w:rPr>
        <w:t>RECURRENTE</w:t>
      </w:r>
      <w:r w:rsidRPr="00A3137F">
        <w:rPr>
          <w:rFonts w:ascii="Palatino Linotype" w:hAnsi="Palatino Linotype"/>
          <w:color w:val="000000"/>
        </w:rPr>
        <w:t xml:space="preserve"> por medio del recurso de revisión, manifestó lo siguiente:</w:t>
      </w:r>
    </w:p>
    <w:p w:rsidR="00EA4BE4" w:rsidRPr="00A3137F" w:rsidRDefault="00EA4BE4" w:rsidP="00EA4BE4">
      <w:pPr>
        <w:spacing w:line="360" w:lineRule="auto"/>
        <w:ind w:right="567"/>
        <w:contextualSpacing/>
        <w:rPr>
          <w:rFonts w:ascii="Palatino Linotype" w:eastAsiaTheme="minorEastAsia" w:hAnsi="Palatino Linotype" w:cs="Arial"/>
          <w:i/>
          <w:lang w:val="es-ES_tradnl" w:eastAsia="es-ES"/>
        </w:rPr>
      </w:pPr>
    </w:p>
    <w:p w:rsidR="00EA4BE4" w:rsidRPr="00A3137F" w:rsidRDefault="00A3137F" w:rsidP="00A3137F">
      <w:pPr>
        <w:pStyle w:val="Prrafodelista"/>
        <w:numPr>
          <w:ilvl w:val="0"/>
          <w:numId w:val="10"/>
        </w:numPr>
        <w:ind w:right="425"/>
        <w:jc w:val="both"/>
        <w:rPr>
          <w:rFonts w:ascii="Palatino Linotype" w:hAnsi="Palatino Linotype"/>
          <w:i/>
        </w:rPr>
      </w:pPr>
      <w:r w:rsidRPr="00A3137F">
        <w:rPr>
          <w:rFonts w:ascii="Palatino Linotype" w:eastAsiaTheme="minorEastAsia" w:hAnsi="Palatino Linotype"/>
          <w:b/>
          <w:lang w:val="es-ES_tradnl" w:eastAsia="es-ES"/>
        </w:rPr>
        <w:lastRenderedPageBreak/>
        <w:t>ACTO IMPUGNADO</w:t>
      </w:r>
      <w:r w:rsidR="00EA4BE4" w:rsidRPr="00A3137F">
        <w:rPr>
          <w:rFonts w:ascii="Palatino Linotype" w:eastAsiaTheme="minorEastAsia" w:hAnsi="Palatino Linotype"/>
          <w:b/>
          <w:i/>
          <w:lang w:val="es-ES_tradnl" w:eastAsia="es-ES"/>
        </w:rPr>
        <w:t>:</w:t>
      </w:r>
      <w:r w:rsidR="00EA4BE4" w:rsidRPr="00A3137F">
        <w:rPr>
          <w:rFonts w:ascii="Palatino Linotype" w:hAnsi="Palatino Linotype"/>
          <w:i/>
          <w:color w:val="000000"/>
        </w:rPr>
        <w:t xml:space="preserve"> “</w:t>
      </w:r>
      <w:r w:rsidR="00A50DA8" w:rsidRPr="00A3137F">
        <w:rPr>
          <w:rFonts w:ascii="Palatino Linotype" w:hAnsi="Palatino Linotype"/>
          <w:i/>
          <w:color w:val="000000"/>
        </w:rPr>
        <w:t xml:space="preserve">documento que no contiene logos institucionales y que parece ser falso </w:t>
      </w:r>
      <w:r w:rsidR="00EA4BE4" w:rsidRPr="00A3137F">
        <w:rPr>
          <w:rFonts w:ascii="Palatino Linotype" w:hAnsi="Palatino Linotype"/>
          <w:i/>
          <w:color w:val="000000"/>
        </w:rPr>
        <w:t>“ (Sic)</w:t>
      </w:r>
    </w:p>
    <w:p w:rsidR="00EA4BE4" w:rsidRPr="00A3137F" w:rsidRDefault="00EA4BE4" w:rsidP="00A3137F">
      <w:pPr>
        <w:pStyle w:val="Prrafodelista"/>
        <w:ind w:left="0" w:right="425"/>
        <w:jc w:val="both"/>
        <w:rPr>
          <w:rFonts w:ascii="Palatino Linotype" w:hAnsi="Palatino Linotype"/>
          <w:i/>
        </w:rPr>
      </w:pPr>
    </w:p>
    <w:p w:rsidR="00EA4BE4" w:rsidRPr="00A3137F" w:rsidRDefault="00A3137F" w:rsidP="00A3137F">
      <w:pPr>
        <w:pStyle w:val="Prrafodelista"/>
        <w:numPr>
          <w:ilvl w:val="0"/>
          <w:numId w:val="10"/>
        </w:numPr>
        <w:ind w:right="425"/>
        <w:jc w:val="both"/>
        <w:rPr>
          <w:rFonts w:ascii="Palatino Linotype" w:eastAsiaTheme="majorEastAsia" w:hAnsi="Palatino Linotype" w:cstheme="majorBidi"/>
          <w:i/>
          <w:iCs/>
          <w:lang w:val="es-ES" w:eastAsia="es-ES"/>
        </w:rPr>
      </w:pPr>
      <w:r w:rsidRPr="00A3137F">
        <w:rPr>
          <w:rFonts w:ascii="Palatino Linotype" w:eastAsiaTheme="minorEastAsia" w:hAnsi="Palatino Linotype"/>
          <w:b/>
          <w:lang w:val="es-ES_tradnl" w:eastAsia="es-ES"/>
        </w:rPr>
        <w:t>RAZONES O MOTIVOS DE INCONFORMIDAD</w:t>
      </w:r>
      <w:r w:rsidR="00EA4BE4" w:rsidRPr="00A3137F">
        <w:rPr>
          <w:rFonts w:ascii="Palatino Linotype" w:eastAsiaTheme="minorEastAsia" w:hAnsi="Palatino Linotype"/>
          <w:b/>
          <w:i/>
          <w:iCs/>
          <w:lang w:val="es-ES_tradnl" w:eastAsia="es-ES"/>
        </w:rPr>
        <w:t>:</w:t>
      </w:r>
      <w:r w:rsidR="00EA4BE4" w:rsidRPr="00A3137F">
        <w:rPr>
          <w:rFonts w:ascii="Palatino Linotype" w:eastAsiaTheme="majorEastAsia" w:hAnsi="Palatino Linotype" w:cstheme="majorBidi"/>
          <w:b/>
          <w:i/>
          <w:iCs/>
          <w:color w:val="2E74B5" w:themeColor="accent1" w:themeShade="BF"/>
          <w:lang w:val="es-ES" w:eastAsia="es-ES"/>
        </w:rPr>
        <w:t xml:space="preserve"> </w:t>
      </w:r>
      <w:r w:rsidR="00EA4BE4" w:rsidRPr="00A3137F">
        <w:rPr>
          <w:rFonts w:ascii="Palatino Linotype" w:eastAsiaTheme="majorEastAsia" w:hAnsi="Palatino Linotype" w:cstheme="majorBidi"/>
          <w:i/>
          <w:iCs/>
          <w:lang w:val="es-ES" w:eastAsia="es-ES"/>
        </w:rPr>
        <w:t>“</w:t>
      </w:r>
      <w:r w:rsidR="00A50DA8" w:rsidRPr="00A3137F">
        <w:rPr>
          <w:rFonts w:ascii="Palatino Linotype" w:hAnsi="Palatino Linotype"/>
          <w:i/>
          <w:iCs/>
          <w:color w:val="000000"/>
        </w:rPr>
        <w:t>documentos cortados con firma de una servidora en una sola hoja, no hay acta de comite donde diga que esa informacion es la verdadera proporcionada por el area y se adjunta como otro archivo por separado. pareciendo que la informacion es falsa pues no contiene logos institucionales o ni rubricas de quienes las proporcionan</w:t>
      </w:r>
      <w:r w:rsidR="00EA4BE4" w:rsidRPr="00A3137F">
        <w:rPr>
          <w:rFonts w:ascii="Palatino Linotype" w:eastAsiaTheme="majorEastAsia" w:hAnsi="Palatino Linotype" w:cstheme="majorBidi"/>
          <w:i/>
          <w:iCs/>
          <w:lang w:val="es-ES" w:eastAsia="es-ES"/>
        </w:rPr>
        <w:t>” (Sic)</w:t>
      </w:r>
    </w:p>
    <w:p w:rsidR="00EA4BE4" w:rsidRPr="00A3137F" w:rsidRDefault="00EA4BE4" w:rsidP="00EA4BE4">
      <w:pPr>
        <w:spacing w:line="360" w:lineRule="auto"/>
        <w:ind w:right="49"/>
        <w:contextualSpacing/>
        <w:jc w:val="both"/>
        <w:rPr>
          <w:rFonts w:ascii="Palatino Linotype" w:hAnsi="Palatino Linotype"/>
          <w:color w:val="000000"/>
        </w:rPr>
      </w:pPr>
    </w:p>
    <w:p w:rsidR="00BF69EA" w:rsidRPr="00A3137F" w:rsidRDefault="00BF69EA"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t xml:space="preserve">De lo expuesto, se advierte que de los motivos de inconformidad el </w:t>
      </w:r>
      <w:r w:rsidRPr="00A3137F">
        <w:rPr>
          <w:rFonts w:ascii="Palatino Linotype" w:hAnsi="Palatino Linotype"/>
          <w:b/>
          <w:color w:val="000000"/>
        </w:rPr>
        <w:t xml:space="preserve">RECURRENTE </w:t>
      </w:r>
      <w:r w:rsidRPr="00A3137F">
        <w:rPr>
          <w:rFonts w:ascii="Palatino Linotype" w:hAnsi="Palatino Linotype"/>
          <w:color w:val="000000"/>
        </w:rPr>
        <w:t xml:space="preserve">duda de la veracidad de la información que entregada por el </w:t>
      </w:r>
      <w:r w:rsidRPr="00A3137F">
        <w:rPr>
          <w:rFonts w:ascii="Palatino Linotype" w:hAnsi="Palatino Linotype"/>
          <w:b/>
          <w:color w:val="000000"/>
        </w:rPr>
        <w:t xml:space="preserve">SUJETO OBLIGADO. </w:t>
      </w:r>
    </w:p>
    <w:p w:rsidR="00BF69EA" w:rsidRPr="00A3137F" w:rsidRDefault="00BF69EA" w:rsidP="00BF69EA">
      <w:pPr>
        <w:pBdr>
          <w:top w:val="nil"/>
          <w:left w:val="nil"/>
          <w:bottom w:val="nil"/>
          <w:right w:val="nil"/>
          <w:between w:val="nil"/>
        </w:pBdr>
        <w:tabs>
          <w:tab w:val="left" w:pos="0"/>
        </w:tabs>
        <w:spacing w:line="360" w:lineRule="auto"/>
        <w:ind w:right="-787"/>
        <w:jc w:val="both"/>
        <w:rPr>
          <w:rFonts w:ascii="Palatino Linotype" w:hAnsi="Palatino Linotype"/>
          <w:color w:val="000000"/>
        </w:rPr>
      </w:pPr>
    </w:p>
    <w:p w:rsidR="00BF69EA" w:rsidRPr="00A3137F" w:rsidRDefault="00BF69EA"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t xml:space="preserve">En esa línea se tiene que la Dirección de Construcción y Operación Hidráulica, de conformidad con el Reglamento Interior del Organismo del Agua, tiene las siguientes funciones. </w:t>
      </w:r>
    </w:p>
    <w:p w:rsidR="00BF69EA" w:rsidRPr="00A3137F" w:rsidRDefault="00BF69EA" w:rsidP="00BF69EA">
      <w:pPr>
        <w:pBdr>
          <w:top w:val="nil"/>
          <w:left w:val="nil"/>
          <w:bottom w:val="nil"/>
          <w:right w:val="nil"/>
          <w:between w:val="nil"/>
        </w:pBdr>
        <w:ind w:left="1134" w:right="277"/>
        <w:jc w:val="both"/>
        <w:rPr>
          <w:rFonts w:ascii="Palatino Linotype" w:hAnsi="Palatino Linotype"/>
          <w:b/>
          <w:i/>
          <w:color w:val="000000"/>
        </w:rPr>
      </w:pPr>
      <w:r w:rsidRPr="00A3137F">
        <w:rPr>
          <w:rFonts w:ascii="Palatino Linotype" w:hAnsi="Palatino Linotype"/>
          <w:b/>
          <w:i/>
          <w:color w:val="000000"/>
        </w:rPr>
        <w:t xml:space="preserve">Artículo 44.- La Dirección de Construcción y Operación Hidráulica, estará a cargo de un titular, a quien se le denominará Director de Construcción y Operación Hidráulica, quien responderá directamente del desempeño de sus funciones ante el Director General y quien tendrá las siguientes atribuciones y facultades relativas a su cargo: </w:t>
      </w:r>
    </w:p>
    <w:p w:rsidR="00BF69EA" w:rsidRPr="00A3137F" w:rsidRDefault="00BF69EA" w:rsidP="00BF69EA">
      <w:pPr>
        <w:pStyle w:val="Prrafodelista"/>
        <w:numPr>
          <w:ilvl w:val="0"/>
          <w:numId w:val="7"/>
        </w:numPr>
        <w:pBdr>
          <w:top w:val="nil"/>
          <w:left w:val="nil"/>
          <w:bottom w:val="nil"/>
          <w:right w:val="nil"/>
          <w:between w:val="nil"/>
        </w:pBdr>
        <w:ind w:left="1134" w:right="277" w:firstLine="0"/>
        <w:jc w:val="both"/>
        <w:rPr>
          <w:rFonts w:ascii="Palatino Linotype" w:hAnsi="Palatino Linotype"/>
          <w:i/>
          <w:color w:val="000000"/>
        </w:rPr>
      </w:pPr>
      <w:r w:rsidRPr="00A3137F">
        <w:rPr>
          <w:rFonts w:ascii="Palatino Linotype" w:hAnsi="Palatino Linotype"/>
          <w:i/>
          <w:color w:val="000000"/>
        </w:rPr>
        <w:t xml:space="preserve">Representar al Organismo, ante las instancias de la Administración Pública Centralizada y Descentralizada, Federal, Estatales o Municipales;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II. Instrumentar a través de sus áreas administrativas, las acciones necesarias para que los usuarios no domésticos, desarrolladores de conjuntos urbanos, comercios, industrias, condominios, entre otros, que descargan aguas residuales, cumplan con las disposiciones en materia de calidad del agua, mediante la emisión de requerimientos necesarios para la implementación de medidas correctivas y/o de seguridad, la construcción de sistemas particulares de tratamiento, o en su caso, promover el diseño, construcción, operación y mantenimiento de sistemas públicos de tratamiento de aguas residuales;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lastRenderedPageBreak/>
        <w:t xml:space="preserve">III. Emitir el Permiso de Descargas de Aguas Residuales, así como la actualización del mismo;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IV. Comisionar a los servidores públicos que funjan como notificadores y verificadores, para el ejercicio de las diligencias emitidas en razón del manejo, conducción y disposición de aguas residuales dentro del territorio del Municipio y a cargo de la Subgerencia de Efluentes y Calidad del Agua;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V. Emitir, ordenar y ejecutar por conducto de los servidores públicos que para tal efecto habilite, las órdenes de visita de inspección y verificación, así como del requerimiento y notificación;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b/>
          <w:i/>
          <w:color w:val="000000"/>
        </w:rPr>
      </w:pPr>
      <w:r w:rsidRPr="00A3137F">
        <w:rPr>
          <w:rFonts w:ascii="Palatino Linotype" w:hAnsi="Palatino Linotype"/>
          <w:b/>
          <w:i/>
          <w:color w:val="000000"/>
        </w:rPr>
        <w:t xml:space="preserve">VI. Coordinar a través del área administrativa correspondiente, que se mantenga en condiciones óptimas la operación de los sistemas de agua potable, drenaje, alcantarillado y saneamiento del Organismo;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b/>
          <w:i/>
          <w:color w:val="000000"/>
        </w:rPr>
      </w:pPr>
      <w:r w:rsidRPr="00A3137F">
        <w:rPr>
          <w:rFonts w:ascii="Palatino Linotype" w:hAnsi="Palatino Linotype"/>
          <w:b/>
          <w:i/>
          <w:color w:val="000000"/>
        </w:rPr>
        <w:t xml:space="preserve">VII. Coordinar a través del área administrativa correspondiente, las acciones tendientes al mantenimiento de los equipos de desinfección de las fuentes de agua que administra y opera el Organismo;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VIII. Supervisar y vigilar a través del área administrativa correspondiente, las acciones tendientes a la aplicación de gas cloro o, en su caso, hipoclorito de sodio al agua en bloque que se suministra o conduce, supervisando la bitácora de control, para el registro de las mismas;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IX. Nombrar a los responsables de supervisar, ejecutar y vigilar las acciones de desinfección del agua en bloque, u objetos de conducción, en cumplimiento a las Normas Oficiales Mexicanas aplicables;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 Analizar en coordinación con la Gerencia Técnica las solicitudes de ampliación de obra o de prórroga de tiempo, a fin de determinar su procedencia y mantener el registro y control de las obras de construcción, debiendo suscribir el instrumento jurídico correspondiente, mismo que formará parte integrante del contrato original de obra;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b/>
          <w:i/>
          <w:color w:val="000000"/>
        </w:rPr>
      </w:pPr>
      <w:r w:rsidRPr="00A3137F">
        <w:rPr>
          <w:rFonts w:ascii="Palatino Linotype" w:hAnsi="Palatino Linotype"/>
          <w:b/>
          <w:i/>
          <w:color w:val="000000"/>
        </w:rPr>
        <w:t xml:space="preserve">XI. Promover las acciones necesarias de mantenimiento y operación de la infraestructura hidráulica actual, así como la planeación y programación de nuevas obras para mejorar y garantizar los servicios proporcionados;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lastRenderedPageBreak/>
        <w:t xml:space="preserve">XII. Instrumentar e implementar procedimientos técnicos para la formulación y desarrollo de los planes y programas institucionales en materia de agua, drenaje y saneamiento, así como su evaluación correspondiente;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XIII. Vigilar a través de las áreas administrativas correspondientes que la operación de los sistemas de agua potable y drenaje se realicen en condiciones de seguridad, calidad, higiene y funcionalidad adecuadas;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XIV. Supervisar el control de los reportes que se reciben diariamente, a fin de que sean atendidos de manera oportuna por las áreas administrativas competentes a su cargo;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XV. Coordinar con autoridades Federales y Estatales, así como con la comunidad y el sector privado, las acciones para el eficiente funcionamiento de los sistemas de agua potable, alcantarillado y saneamiento;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XVI. Implementar las acciones técnicas de mejora que sean necesarias, previa autorización del Director General;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XVII. Gestionar proyectos a corto, mediano y largo plazo en materia de agua potable, alcantarillado y saneamiento que promuevan el desarrollo sustentable del Municipio;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XVIII. Integrar los reportes e informar a su superior jerárquico del avance de las obras y programas que se lleven a cabo con los recursos Federales y Estatales;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XIX. Dictar las medidas necesarias a efecto de que se lleve un control del consumo de combustibles y lubricantes de cada maquinaria y equipo operativo;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 Recibir, revisar y evaluar los reportes de supervisión de los proyectos y obras que se desarrollen en materia de agua potable, alcantarillado y saneamiento;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XXI. Verificar y validar la facturación emitida por la Comisión Federal de Electricidad a cargo del Organismo;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XXII. Gestionar y/o asignar al personal para realizar los trámites que sean necesarios ante la Comisión Federal de Electricidad para la contratación y el suministro de energía eléctrica en las instalaciones del Organismo;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XXIII. Efectuar y/o asignar al personal encargado para realizar estudios a fin de hacer más eficiente el consumo de energía eléctrica;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XXIV. Dictaminar a través de las áreas administrativas adscritas, el debido cumplimiento de las obligaciones establecidas en el Dictamen Técnico de Factibilidad Única de Servicios y el convenio de factibilidad condicionada </w:t>
      </w:r>
      <w:r w:rsidRPr="00A3137F">
        <w:rPr>
          <w:rFonts w:ascii="Palatino Linotype" w:hAnsi="Palatino Linotype"/>
          <w:i/>
          <w:color w:val="000000"/>
        </w:rPr>
        <w:lastRenderedPageBreak/>
        <w:t xml:space="preserve">celebrados con los usuarios a solicitud de la Subgerencia de Factibilidades y en su caso reportar su incumplimiento;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XXV. Emitir las opiniones y recomendaciones técnicas a considerar en el Dictamen Técnico de Factibilidad Única de Servicios para los servicios de agua potable, drenaje, alcantarillado y tratamiento de aguas residuales a solicitud de la Subgerencia de Factibilidades;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XXVI. Emitir la Cédula Informativa Hidráulica y Sanitaria;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Verificar que se integre en tiempo y forma junto con las áreas administrativas correspondientes, el programa anual de obra de acuerdo a los proyectos estratégicos del Organismo y el presupuesto correspondiente, así como sus modificaciones y presentarlos al Consejo Directivo;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XXVIII. Emitir el Permiso de Distribución de Agua en Pipa;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XXIX. Delegar a las áreas administrativas a su cargo las atribuciones necesarias para su correcto funcionamiento, mediante los mecanismos aplicables para tales efectos;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XXX. Otorgar el Permiso de Distribución y/o renovación anualmente, y la evaluación de factibilidad para la distribución de agua potable en auto tanques o análogos en el territorio municipal, en términos de la normatividad aplicable;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XXXI. Emitir, ordenar y ejecutar por conducto de los servidores públicos que para tal efecto habilite, las órdenes de visita de inspección y verificación sobre el cumplimiento del Permiso de Distribución y Dictamen de Factibilidad para la Distribución de Agua y decretar las medidas de seguridad que el permisionario deba acatar;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XXXII. Llevar un registro de los Permisos de Distribución otorgados, contando con un expediente para cada uno de ellos, en el que consten los datos de identificación de los permisionarios y de los vehículos para la distribución de agua potable en auto tanques o análogos en el territorio municipal, así como, solicitar la realización de las gestiones necesarias para la publicación de dicho registro en los periódicos oficiales “Gaceta de Gobierno” y “Gaceta Municipal”;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XXXIII. Realizar los estudios y evaluaciones necesarios sobre los recursos hídricos, comportamiento del subsuelo, su potencial y limitaciones para expedir factibilidad de servicio de agua potable;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lastRenderedPageBreak/>
        <w:t xml:space="preserve">XXXIV. Actuar como autoridad administrativa, para dar respuestas a las peticiones e instancias realizadas por los particulares;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 xml:space="preserve">XXXV. Atender por sí mismo, o a través de su enlace, los requerimientos de Transparencia y Acceso a la Información Pública; y </w:t>
      </w:r>
    </w:p>
    <w:p w:rsidR="00BF69EA" w:rsidRPr="00A3137F" w:rsidRDefault="00BF69EA" w:rsidP="00BF69EA">
      <w:pPr>
        <w:pStyle w:val="Prrafodelista"/>
        <w:pBdr>
          <w:top w:val="nil"/>
          <w:left w:val="nil"/>
          <w:bottom w:val="nil"/>
          <w:right w:val="nil"/>
          <w:between w:val="nil"/>
        </w:pBdr>
        <w:ind w:left="1134" w:right="277"/>
        <w:jc w:val="both"/>
        <w:rPr>
          <w:rFonts w:ascii="Palatino Linotype" w:hAnsi="Palatino Linotype"/>
          <w:i/>
          <w:color w:val="000000"/>
        </w:rPr>
      </w:pPr>
      <w:r w:rsidRPr="00A3137F">
        <w:rPr>
          <w:rFonts w:ascii="Palatino Linotype" w:hAnsi="Palatino Linotype"/>
          <w:i/>
          <w:color w:val="000000"/>
        </w:rPr>
        <w:t>XXXVI. Las demás que le confiera su jefe inmediato, las leyes, reglamentos y demás disposiciones jurídicas y normativas aplicables.</w:t>
      </w:r>
    </w:p>
    <w:p w:rsidR="00BF69EA" w:rsidRPr="00A3137F" w:rsidRDefault="00BF69EA" w:rsidP="00BF69EA">
      <w:pPr>
        <w:pBdr>
          <w:top w:val="nil"/>
          <w:left w:val="nil"/>
          <w:bottom w:val="nil"/>
          <w:right w:val="nil"/>
          <w:between w:val="nil"/>
        </w:pBdr>
        <w:ind w:right="277"/>
        <w:jc w:val="both"/>
        <w:rPr>
          <w:rFonts w:ascii="Palatino Linotype" w:hAnsi="Palatino Linotype"/>
          <w:i/>
          <w:color w:val="000000"/>
        </w:rPr>
      </w:pPr>
    </w:p>
    <w:p w:rsidR="00BF69EA" w:rsidRPr="00A3137F" w:rsidRDefault="00BF69EA"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t xml:space="preserve">De lo anterior, se tiene que el </w:t>
      </w:r>
      <w:r w:rsidRPr="00A3137F">
        <w:rPr>
          <w:rFonts w:ascii="Palatino Linotype" w:hAnsi="Palatino Linotype"/>
          <w:b/>
          <w:color w:val="000000"/>
        </w:rPr>
        <w:t xml:space="preserve">SUJETO OBLIGADO </w:t>
      </w:r>
      <w:r w:rsidRPr="00A3137F">
        <w:rPr>
          <w:rFonts w:ascii="Palatino Linotype" w:hAnsi="Palatino Linotype"/>
          <w:color w:val="000000"/>
        </w:rPr>
        <w:t xml:space="preserve">turno la solicitud de información al área habilitada de administrar la información solicitada, situación por la cual se tiene que se realizó la correcta búsqueda exhaustiva de la información solicitada. </w:t>
      </w:r>
    </w:p>
    <w:p w:rsidR="000650CD" w:rsidRPr="00A3137F" w:rsidRDefault="000650CD" w:rsidP="000650CD">
      <w:pPr>
        <w:pStyle w:val="Prrafodelista"/>
        <w:rPr>
          <w:rFonts w:ascii="Palatino Linotype" w:eastAsia="Calibri" w:hAnsi="Palatino Linotype" w:cs="Calibri"/>
          <w:color w:val="000000"/>
        </w:rPr>
      </w:pPr>
    </w:p>
    <w:p w:rsidR="000650CD" w:rsidRPr="00A3137F" w:rsidRDefault="000650CD" w:rsidP="000650CD">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Calibri"/>
          <w:color w:val="000000"/>
        </w:rPr>
      </w:pPr>
      <w:r w:rsidRPr="00A3137F">
        <w:rPr>
          <w:rFonts w:ascii="Palatino Linotype" w:eastAsia="Calibri" w:hAnsi="Palatino Linotype" w:cs="Calibri"/>
          <w:color w:val="000000"/>
        </w:rPr>
        <w:t xml:space="preserve">Seguidamente, se debe de señalar que el </w:t>
      </w:r>
      <w:r w:rsidRPr="00A3137F">
        <w:rPr>
          <w:rFonts w:ascii="Palatino Linotype" w:eastAsia="Calibri" w:hAnsi="Palatino Linotype" w:cs="Calibri"/>
          <w:b/>
          <w:color w:val="000000"/>
        </w:rPr>
        <w:t xml:space="preserve">RECURRENTE </w:t>
      </w:r>
      <w:r w:rsidRPr="00A3137F">
        <w:rPr>
          <w:rFonts w:ascii="Palatino Linotype" w:eastAsia="Calibri" w:hAnsi="Palatino Linotype" w:cs="Calibri"/>
          <w:color w:val="000000"/>
        </w:rPr>
        <w:t xml:space="preserve">en sus motivos de inconformidad señala que el </w:t>
      </w:r>
      <w:r w:rsidRPr="00A3137F">
        <w:rPr>
          <w:rFonts w:ascii="Palatino Linotype" w:hAnsi="Palatino Linotype"/>
          <w:color w:val="000000"/>
        </w:rPr>
        <w:t>documento</w:t>
      </w:r>
      <w:r w:rsidRPr="00A3137F">
        <w:rPr>
          <w:rFonts w:ascii="Palatino Linotype" w:eastAsia="Calibri" w:hAnsi="Palatino Linotype" w:cs="Calibri"/>
          <w:color w:val="000000"/>
        </w:rPr>
        <w:t xml:space="preserve"> no viene acompañado de la firma o de los sellos oficiales, situación por la cual de manera orientadora se inserta el siguiente criterio del entonces Instituto Nacional de Transparencia. </w:t>
      </w:r>
    </w:p>
    <w:p w:rsidR="000650CD" w:rsidRPr="00A3137F" w:rsidRDefault="000650CD" w:rsidP="000650CD">
      <w:pPr>
        <w:ind w:left="1134" w:right="277"/>
        <w:jc w:val="both"/>
        <w:rPr>
          <w:rFonts w:ascii="Palatino Linotype" w:eastAsia="Calibri" w:hAnsi="Palatino Linotype" w:cs="Calibri"/>
          <w:b/>
          <w:i/>
          <w:color w:val="000000"/>
        </w:rPr>
      </w:pPr>
      <w:r w:rsidRPr="00A3137F">
        <w:rPr>
          <w:rFonts w:ascii="Palatino Linotype" w:eastAsia="Calibri" w:hAnsi="Palatino Linotype" w:cs="Calibri"/>
          <w:b/>
          <w:i/>
          <w:color w:val="000000"/>
        </w:rPr>
        <w:t xml:space="preserve">07/19 Documentos sin firma o membrete. </w:t>
      </w:r>
    </w:p>
    <w:p w:rsidR="000650CD" w:rsidRPr="00A3137F" w:rsidRDefault="000650CD" w:rsidP="000650CD">
      <w:pPr>
        <w:ind w:left="1134" w:right="277"/>
        <w:jc w:val="both"/>
        <w:rPr>
          <w:rFonts w:ascii="Palatino Linotype" w:eastAsia="Calibri" w:hAnsi="Palatino Linotype" w:cs="Calibri"/>
          <w:i/>
          <w:color w:val="000000"/>
        </w:rPr>
      </w:pPr>
      <w:r w:rsidRPr="00A3137F">
        <w:rPr>
          <w:rFonts w:ascii="Palatino Linotype" w:eastAsia="Calibri" w:hAnsi="Palatino Linotype" w:cs="Calibri"/>
          <w:i/>
          <w:color w:val="000000"/>
        </w:rPr>
        <w:t xml:space="preserve">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 </w:t>
      </w:r>
      <w:hyperlink r:id="rId7" w:history="1">
        <w:r w:rsidRPr="00A3137F">
          <w:rPr>
            <w:rStyle w:val="Hipervnculo"/>
            <w:rFonts w:ascii="Palatino Linotype" w:eastAsia="Calibri" w:hAnsi="Palatino Linotype" w:cs="Calibri"/>
            <w:i/>
          </w:rPr>
          <w:t>http://criteriosdeinterpretacion.inai.org.mx/Criterios/07-19.docx</w:t>
        </w:r>
      </w:hyperlink>
    </w:p>
    <w:p w:rsidR="000650CD" w:rsidRDefault="000650CD" w:rsidP="000650CD">
      <w:pPr>
        <w:ind w:left="1134" w:right="277"/>
        <w:jc w:val="both"/>
        <w:rPr>
          <w:rFonts w:ascii="Palatino Linotype" w:eastAsia="Calibri" w:hAnsi="Palatino Linotype" w:cs="Calibri"/>
          <w:i/>
          <w:color w:val="000000"/>
        </w:rPr>
      </w:pPr>
    </w:p>
    <w:p w:rsidR="00A3137F" w:rsidRPr="00A3137F" w:rsidRDefault="00A3137F" w:rsidP="000650CD">
      <w:pPr>
        <w:ind w:left="1134" w:right="277"/>
        <w:jc w:val="both"/>
        <w:rPr>
          <w:rFonts w:ascii="Palatino Linotype" w:eastAsia="Calibri" w:hAnsi="Palatino Linotype" w:cs="Calibri"/>
          <w:i/>
          <w:color w:val="000000"/>
        </w:rPr>
      </w:pPr>
    </w:p>
    <w:p w:rsidR="000650CD" w:rsidRPr="00A3137F" w:rsidRDefault="000650CD" w:rsidP="000650CD">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Calibri" w:hAnsi="Palatino Linotype" w:cs="Calibri"/>
          <w:color w:val="000000"/>
        </w:rPr>
      </w:pPr>
      <w:r w:rsidRPr="00A3137F">
        <w:rPr>
          <w:rFonts w:ascii="Palatino Linotype" w:eastAsia="Calibri" w:hAnsi="Palatino Linotype" w:cs="Calibri"/>
          <w:color w:val="000000"/>
        </w:rPr>
        <w:t xml:space="preserve">De lo anterior, se colige que la información entregada en el Sistema de Acceso a la </w:t>
      </w:r>
      <w:r w:rsidRPr="00A3137F">
        <w:rPr>
          <w:rFonts w:ascii="Palatino Linotype" w:hAnsi="Palatino Linotype"/>
          <w:color w:val="000000"/>
        </w:rPr>
        <w:t>Información</w:t>
      </w:r>
      <w:r w:rsidRPr="00A3137F">
        <w:rPr>
          <w:rFonts w:ascii="Palatino Linotype" w:eastAsia="Calibri" w:hAnsi="Palatino Linotype" w:cs="Calibri"/>
          <w:color w:val="000000"/>
        </w:rPr>
        <w:t xml:space="preserve"> es válida aún y cuando a la hoja le hiciera falta la firma de quien suscribe o el membrete del </w:t>
      </w:r>
      <w:r w:rsidRPr="00A3137F">
        <w:rPr>
          <w:rFonts w:ascii="Palatino Linotype" w:eastAsia="Calibri" w:hAnsi="Palatino Linotype" w:cs="Calibri"/>
          <w:b/>
          <w:color w:val="000000"/>
        </w:rPr>
        <w:t xml:space="preserve">SUJETO OBLIGADO, </w:t>
      </w:r>
      <w:r w:rsidRPr="00A3137F">
        <w:rPr>
          <w:rFonts w:ascii="Palatino Linotype" w:eastAsia="Calibri" w:hAnsi="Palatino Linotype" w:cs="Calibri"/>
          <w:color w:val="000000"/>
        </w:rPr>
        <w:t xml:space="preserve">toda vez que al ser un sistema en el que se entrega información, la misma se tiene por cierta. </w:t>
      </w:r>
    </w:p>
    <w:p w:rsidR="000650CD" w:rsidRPr="00A3137F" w:rsidRDefault="000650CD" w:rsidP="000650CD">
      <w:pPr>
        <w:rPr>
          <w:rFonts w:ascii="Palatino Linotype" w:hAnsi="Palatino Linotype"/>
          <w:color w:val="000000"/>
        </w:rPr>
      </w:pPr>
    </w:p>
    <w:p w:rsidR="000650CD" w:rsidRPr="00A3137F" w:rsidRDefault="000650CD"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A3137F">
        <w:rPr>
          <w:rFonts w:ascii="Palatino Linotype" w:hAnsi="Palatino Linotype"/>
          <w:color w:val="000000"/>
        </w:rPr>
        <w:lastRenderedPageBreak/>
        <w:t xml:space="preserve">Ahora bien, no se debe perder de vista que el </w:t>
      </w:r>
      <w:r w:rsidRPr="00A3137F">
        <w:rPr>
          <w:rFonts w:ascii="Palatino Linotype" w:hAnsi="Palatino Linotype"/>
          <w:b/>
          <w:color w:val="000000"/>
        </w:rPr>
        <w:t xml:space="preserve">RECURRENTE </w:t>
      </w:r>
      <w:r w:rsidRPr="00A3137F">
        <w:rPr>
          <w:rFonts w:ascii="Palatino Linotype" w:hAnsi="Palatino Linotype"/>
          <w:color w:val="000000"/>
        </w:rPr>
        <w:t xml:space="preserve">manifiesta en sus motivos de inconformidad que la información que se le entrega es falsa, toda vez que no se entrega el Acta del Comité de Transparencia, de lo cual se debe de precisar que las Actas del Comité de Transparencia de acuerdo con la Ley de Transparencia y Acceso a la  Información Pública del Estado de México y Municipios, regula que las actas del comité se elaboran para </w:t>
      </w:r>
      <w:r w:rsidR="00A3137F" w:rsidRPr="00A3137F">
        <w:rPr>
          <w:rFonts w:ascii="Palatino Linotype" w:hAnsi="Palatino Linotype"/>
          <w:color w:val="000000"/>
        </w:rPr>
        <w:t>la</w:t>
      </w:r>
      <w:r w:rsidRPr="00A3137F">
        <w:rPr>
          <w:rFonts w:ascii="Palatino Linotype" w:hAnsi="Palatino Linotype"/>
          <w:color w:val="000000"/>
        </w:rPr>
        <w:t xml:space="preserve"> clasificación de la información como confidencial o reservada, cuando se emite el acuerdo de inexistencia o la declaratoria de incompetencia, situaciones que en el presente recurso de revisión no se materializan, situación por la cual la respuesta del </w:t>
      </w:r>
      <w:r w:rsidRPr="00A3137F">
        <w:rPr>
          <w:rFonts w:ascii="Palatino Linotype" w:hAnsi="Palatino Linotype"/>
          <w:b/>
          <w:color w:val="000000"/>
        </w:rPr>
        <w:t xml:space="preserve">SUJETO OBLIGADO </w:t>
      </w:r>
      <w:r w:rsidRPr="00A3137F">
        <w:rPr>
          <w:rFonts w:ascii="Palatino Linotype" w:hAnsi="Palatino Linotype"/>
          <w:color w:val="000000"/>
        </w:rPr>
        <w:t xml:space="preserve">se tiene como buena y satisfactoria al derecho de acceso a la información. </w:t>
      </w:r>
    </w:p>
    <w:p w:rsidR="000650CD" w:rsidRPr="00A3137F" w:rsidRDefault="000650CD" w:rsidP="000650CD">
      <w:pPr>
        <w:pStyle w:val="Prrafodelista"/>
        <w:rPr>
          <w:rFonts w:ascii="Palatino Linotype" w:hAnsi="Palatino Linotype"/>
          <w:color w:val="000000"/>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rPr>
      </w:pPr>
      <w:r w:rsidRPr="00A3137F">
        <w:rPr>
          <w:rFonts w:ascii="Palatino Linotype" w:hAnsi="Palatino Linotype" w:cs="Arial"/>
          <w:color w:val="000000"/>
        </w:rPr>
        <w:t xml:space="preserve">Señalado lo anterior, se determina que el </w:t>
      </w:r>
      <w:r w:rsidR="000650CD" w:rsidRPr="00A3137F">
        <w:rPr>
          <w:rFonts w:ascii="Palatino Linotype" w:hAnsi="Palatino Linotype" w:cs="Arial"/>
          <w:b/>
          <w:color w:val="000000"/>
        </w:rPr>
        <w:t xml:space="preserve">RECURRENTE </w:t>
      </w:r>
      <w:r w:rsidR="000650CD" w:rsidRPr="00A3137F">
        <w:rPr>
          <w:rFonts w:ascii="Palatino Linotype" w:hAnsi="Palatino Linotype" w:cs="Arial"/>
          <w:color w:val="000000"/>
        </w:rPr>
        <w:t xml:space="preserve">duda de la veracidad dela  la información que le fue entregada por el </w:t>
      </w:r>
      <w:r w:rsidR="000650CD" w:rsidRPr="00A3137F">
        <w:rPr>
          <w:rFonts w:ascii="Palatino Linotype" w:hAnsi="Palatino Linotype" w:cs="Arial"/>
          <w:b/>
          <w:color w:val="000000"/>
        </w:rPr>
        <w:t xml:space="preserve">SUJETO OBLIGADO </w:t>
      </w:r>
      <w:r w:rsidRPr="00A3137F">
        <w:rPr>
          <w:rFonts w:ascii="Palatino Linotype" w:eastAsia="Calibri" w:hAnsi="Palatino Linotype" w:cs="Arial"/>
        </w:rPr>
        <w:t>el recurso de revisión sea desechado por improcedente, de acuerdo con el artículo 191 de la citada ley:</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b/>
          <w:bCs/>
          <w:i/>
        </w:rPr>
        <w:t>“Artículo 191.</w:t>
      </w:r>
      <w:r w:rsidRPr="00A3137F">
        <w:rPr>
          <w:rFonts w:ascii="Palatino Linotype" w:hAnsi="Palatino Linotype"/>
          <w:i/>
        </w:rPr>
        <w:t xml:space="preserve"> El recurso será desechado por improcedente cuando:</w:t>
      </w:r>
    </w:p>
    <w:p w:rsidR="00EA4BE4" w:rsidRPr="00A3137F" w:rsidRDefault="00EA4BE4" w:rsidP="00EA4BE4">
      <w:pPr>
        <w:pStyle w:val="Prrafodelista"/>
        <w:ind w:left="1134" w:right="1106"/>
        <w:jc w:val="both"/>
        <w:rPr>
          <w:rFonts w:ascii="Palatino Linotype" w:hAnsi="Palatino Linotype"/>
          <w:i/>
        </w:rPr>
      </w:pP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 xml:space="preserve">I. Sea extemporáneo por haber transcurrido el plazo establecido en la presente Ley, a partir de la respuesta; </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 xml:space="preserve">II. Se esté tramitando ante el Poder Judicial de la Federación algún recurso o medio de defensa interpuesto por el recurrente; </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 xml:space="preserve">III. No actualice alguno de los supuestos previstos en la presente Ley; </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 xml:space="preserve">IV. No se haya desahogado la prevención en los términos establecidos en la presente Ley; </w:t>
      </w:r>
    </w:p>
    <w:p w:rsidR="00EA4BE4" w:rsidRPr="00A3137F" w:rsidRDefault="00EA4BE4" w:rsidP="00EA4BE4">
      <w:pPr>
        <w:pStyle w:val="Prrafodelista"/>
        <w:ind w:left="1134" w:right="1106"/>
        <w:jc w:val="both"/>
        <w:rPr>
          <w:rFonts w:ascii="Palatino Linotype" w:hAnsi="Palatino Linotype"/>
          <w:b/>
          <w:i/>
        </w:rPr>
      </w:pPr>
      <w:r w:rsidRPr="00A3137F">
        <w:rPr>
          <w:rFonts w:ascii="Palatino Linotype" w:hAnsi="Palatino Linotype"/>
          <w:b/>
          <w:i/>
        </w:rPr>
        <w:t xml:space="preserve">V. Se impugne la veracidad de la información proporcionada; </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 xml:space="preserve">VI. Se trate de una consulta, o trámite en específico; y </w:t>
      </w:r>
    </w:p>
    <w:p w:rsidR="00EA4BE4" w:rsidRPr="00A3137F" w:rsidRDefault="00EA4BE4" w:rsidP="00EA4BE4">
      <w:pPr>
        <w:pStyle w:val="Prrafodelista"/>
        <w:ind w:left="1134" w:right="1106"/>
        <w:jc w:val="both"/>
        <w:rPr>
          <w:rFonts w:ascii="Palatino Linotype" w:hAnsi="Palatino Linotype"/>
        </w:rPr>
      </w:pPr>
      <w:r w:rsidRPr="00A3137F">
        <w:rPr>
          <w:rFonts w:ascii="Palatino Linotype" w:hAnsi="Palatino Linotype"/>
          <w:i/>
        </w:rPr>
        <w:t>VII. El recurrente amplíe su solicitud en el recurso de revisión, únicamente respecto de los nuevos contenidos.”</w:t>
      </w: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rPr>
      </w:pPr>
      <w:r w:rsidRPr="00A3137F">
        <w:rPr>
          <w:rFonts w:ascii="Palatino Linotype" w:eastAsia="Calibri" w:hAnsi="Palatino Linotype" w:cs="Arial"/>
        </w:rPr>
        <w:lastRenderedPageBreak/>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EA4BE4" w:rsidRPr="00A3137F" w:rsidRDefault="00EA4BE4" w:rsidP="00EA4BE4">
      <w:pPr>
        <w:pStyle w:val="Prrafodelista"/>
        <w:ind w:left="1134" w:right="1106"/>
        <w:jc w:val="both"/>
        <w:rPr>
          <w:rFonts w:ascii="Palatino Linotype" w:eastAsia="Calibri" w:hAnsi="Palatino Linotype" w:cs="Arial"/>
          <w:i/>
        </w:rPr>
      </w:pPr>
      <w:r w:rsidRPr="00A3137F">
        <w:rPr>
          <w:rFonts w:ascii="Palatino Linotype" w:hAnsi="Palatino Linotype"/>
          <w:b/>
          <w:bCs/>
          <w:i/>
        </w:rPr>
        <w:t>“Artículo 192.</w:t>
      </w:r>
      <w:r w:rsidRPr="00A3137F">
        <w:rPr>
          <w:rFonts w:ascii="Palatino Linotype" w:hAnsi="Palatino Linotype"/>
          <w:i/>
        </w:rPr>
        <w:t xml:space="preserve"> El recurso será sobreseído, en todo o en parte, cuando una vez admitido, se actualicen alguno de los siguientes supuestos:</w:t>
      </w:r>
    </w:p>
    <w:p w:rsidR="00EA4BE4" w:rsidRPr="00A3137F" w:rsidRDefault="00EA4BE4" w:rsidP="00EA4BE4">
      <w:pPr>
        <w:pStyle w:val="Prrafodelista"/>
        <w:ind w:left="1134" w:right="1106"/>
        <w:jc w:val="both"/>
        <w:rPr>
          <w:rFonts w:ascii="Palatino Linotype" w:hAnsi="Palatino Linotype"/>
          <w:i/>
        </w:rPr>
      </w:pPr>
      <w:r w:rsidRPr="00A3137F">
        <w:rPr>
          <w:rFonts w:ascii="Palatino Linotype" w:hAnsi="Palatino Linotype"/>
          <w:i/>
        </w:rPr>
        <w:t>(…)</w:t>
      </w:r>
    </w:p>
    <w:p w:rsidR="00EA4BE4" w:rsidRPr="00A3137F" w:rsidRDefault="00EA4BE4" w:rsidP="00EA4BE4">
      <w:pPr>
        <w:pStyle w:val="Prrafodelista"/>
        <w:ind w:left="1134" w:right="1106"/>
        <w:jc w:val="both"/>
        <w:rPr>
          <w:rFonts w:ascii="Palatino Linotype" w:hAnsi="Palatino Linotype"/>
          <w:b/>
          <w:i/>
        </w:rPr>
      </w:pPr>
      <w:r w:rsidRPr="00A3137F">
        <w:rPr>
          <w:rFonts w:ascii="Palatino Linotype" w:hAnsi="Palatino Linotype"/>
          <w:b/>
          <w:i/>
        </w:rPr>
        <w:t xml:space="preserve">IV. Admitido el recurso de revisión, aparezca alguna causal de improcedencia en los términos de la presente Ley; y </w:t>
      </w:r>
    </w:p>
    <w:p w:rsidR="00EA4BE4" w:rsidRPr="00A3137F" w:rsidRDefault="00EA4BE4" w:rsidP="00EA4BE4">
      <w:pPr>
        <w:pStyle w:val="Prrafodelista"/>
        <w:ind w:left="1134" w:right="1106"/>
        <w:jc w:val="both"/>
        <w:rPr>
          <w:rFonts w:ascii="Palatino Linotype" w:eastAsia="Calibri" w:hAnsi="Palatino Linotype" w:cs="Arial"/>
          <w:i/>
        </w:rPr>
      </w:pPr>
      <w:r w:rsidRPr="00A3137F">
        <w:rPr>
          <w:rFonts w:ascii="Palatino Linotype" w:hAnsi="Palatino Linotype"/>
          <w:i/>
        </w:rPr>
        <w:t xml:space="preserve">V. Cuando por cualquier motivo quede sin materia el recurso.” </w:t>
      </w:r>
    </w:p>
    <w:p w:rsidR="00EA4BE4" w:rsidRPr="00A3137F" w:rsidRDefault="00EA4BE4" w:rsidP="00EA4BE4">
      <w:pPr>
        <w:pStyle w:val="Prrafodelista"/>
        <w:spacing w:line="360" w:lineRule="auto"/>
        <w:ind w:left="0" w:right="-2"/>
        <w:jc w:val="both"/>
        <w:rPr>
          <w:rFonts w:ascii="Palatino Linotype" w:hAnsi="Palatino Linotype" w:cs="Arial"/>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s="Arial"/>
        </w:rPr>
      </w:pPr>
      <w:r w:rsidRPr="00A3137F">
        <w:rPr>
          <w:rFonts w:ascii="Palatino Linotype" w:eastAsia="Calibri" w:hAnsi="Palatino Linotype" w:cs="Arial"/>
        </w:rPr>
        <w:t>Es así como, el recurso de revisión actualiza la causal de sobreseimiento establecida en la fracción IV del artículo 1</w:t>
      </w:r>
      <w:r w:rsidR="000650CD" w:rsidRPr="00A3137F">
        <w:rPr>
          <w:rFonts w:ascii="Palatino Linotype" w:eastAsia="Calibri" w:hAnsi="Palatino Linotype" w:cs="Arial"/>
        </w:rPr>
        <w:t xml:space="preserve">92, en relación a la fracción V </w:t>
      </w:r>
      <w:r w:rsidRPr="00A3137F">
        <w:rPr>
          <w:rFonts w:ascii="Palatino Linotype" w:eastAsia="Calibri" w:hAnsi="Palatino Linotype" w:cs="Arial"/>
        </w:rPr>
        <w:t xml:space="preserve"> del artículo 191, ambos de la Ley de Transparencia y Acceso a la Información Pública del Estado de México y Municipios.</w:t>
      </w:r>
    </w:p>
    <w:p w:rsidR="00EA4BE4" w:rsidRPr="00A3137F" w:rsidRDefault="00EA4BE4" w:rsidP="00EA4BE4">
      <w:pPr>
        <w:pStyle w:val="Prrafodelista"/>
        <w:spacing w:line="360" w:lineRule="auto"/>
        <w:ind w:left="0" w:right="-28"/>
        <w:jc w:val="both"/>
        <w:rPr>
          <w:rFonts w:ascii="Palatino Linotype" w:hAnsi="Palatino Linotype" w:cs="Arial"/>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Theme="minorEastAsia" w:hAnsi="Palatino Linotype"/>
          <w:lang w:val="es-ES_tradnl" w:eastAsia="es-ES"/>
        </w:rPr>
      </w:pPr>
      <w:r w:rsidRPr="00A3137F">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rsidR="00EA4BE4" w:rsidRPr="00A3137F" w:rsidRDefault="00EA4BE4" w:rsidP="00EA4BE4">
      <w:pPr>
        <w:spacing w:line="360" w:lineRule="auto"/>
        <w:ind w:right="-28"/>
        <w:contextualSpacing/>
        <w:jc w:val="both"/>
        <w:rPr>
          <w:rFonts w:ascii="Palatino Linotype" w:eastAsiaTheme="minorEastAsia" w:hAnsi="Palatino Linotype"/>
          <w:lang w:val="es-ES_tradnl" w:eastAsia="es-ES"/>
        </w:rPr>
      </w:pPr>
    </w:p>
    <w:p w:rsidR="00EA4BE4" w:rsidRPr="00A3137F" w:rsidRDefault="00EA4BE4" w:rsidP="00EA4BE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lang w:val="es-ES_tradnl"/>
        </w:rPr>
      </w:pPr>
      <w:r w:rsidRPr="00A3137F">
        <w:rPr>
          <w:rFonts w:ascii="Palatino Linotype" w:eastAsia="Calibri" w:hAnsi="Palatino Linotype"/>
        </w:rPr>
        <w:t xml:space="preserve">Por lo anteriormente expuesto y fundado, este </w:t>
      </w:r>
      <w:r w:rsidRPr="00A3137F">
        <w:rPr>
          <w:rFonts w:ascii="Palatino Linotype" w:eastAsia="Calibri" w:hAnsi="Palatino Linotype"/>
          <w:b/>
          <w:bCs/>
        </w:rPr>
        <w:t>ÓRGANO GARANTE</w:t>
      </w:r>
      <w:r w:rsidRPr="00A3137F">
        <w:rPr>
          <w:rFonts w:ascii="Palatino Linotype" w:eastAsia="Calibri" w:hAnsi="Palatino Linotype"/>
        </w:rPr>
        <w:t xml:space="preserve"> emite los siguientes:</w:t>
      </w:r>
      <w:bookmarkStart w:id="13" w:name="_Toc528153792"/>
      <w:bookmarkStart w:id="14" w:name="_Toc71158406"/>
      <w:bookmarkStart w:id="15" w:name="_Toc90654868"/>
      <w:r w:rsidRPr="00A3137F">
        <w:rPr>
          <w:rFonts w:ascii="Palatino Linotype" w:hAnsi="Palatino Linotype"/>
          <w:color w:val="000000"/>
          <w:lang w:val="es-ES_tradnl"/>
        </w:rPr>
        <w:t xml:space="preserve"> </w:t>
      </w:r>
      <w:r w:rsidR="00A3137F">
        <w:rPr>
          <w:rFonts w:ascii="Palatino Linotype" w:hAnsi="Palatino Linotype"/>
          <w:color w:val="000000"/>
          <w:lang w:val="es-ES_tradnl"/>
        </w:rPr>
        <w:t>------------------------------------------------------------------------------------------------------------</w:t>
      </w:r>
    </w:p>
    <w:p w:rsidR="00EA4BE4" w:rsidRPr="00A3137F" w:rsidRDefault="00EA4BE4" w:rsidP="00EA4BE4">
      <w:pPr>
        <w:spacing w:line="360" w:lineRule="auto"/>
        <w:ind w:right="-28"/>
        <w:contextualSpacing/>
        <w:jc w:val="both"/>
        <w:rPr>
          <w:rFonts w:ascii="Palatino Linotype" w:hAnsi="Palatino Linotype"/>
          <w:color w:val="000000"/>
          <w:lang w:val="es-ES_tradnl"/>
        </w:rPr>
      </w:pPr>
    </w:p>
    <w:p w:rsidR="00EA4BE4" w:rsidRPr="00A3137F" w:rsidRDefault="00EA4BE4" w:rsidP="00EA4BE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A3137F">
        <w:rPr>
          <w:rFonts w:ascii="Palatino Linotype" w:eastAsiaTheme="majorEastAsia" w:hAnsi="Palatino Linotype" w:cstheme="majorBidi"/>
          <w:b/>
          <w:color w:val="000000" w:themeColor="text1"/>
          <w:lang w:eastAsia="en-US"/>
        </w:rPr>
        <w:lastRenderedPageBreak/>
        <w:t>R E S O L U T I V O S</w:t>
      </w:r>
      <w:bookmarkEnd w:id="13"/>
      <w:bookmarkEnd w:id="14"/>
      <w:bookmarkEnd w:id="15"/>
    </w:p>
    <w:p w:rsidR="00EA4BE4" w:rsidRPr="00A3137F" w:rsidRDefault="00EA4BE4" w:rsidP="00EA4BE4">
      <w:pPr>
        <w:keepNext/>
        <w:keepLines/>
        <w:spacing w:line="360" w:lineRule="auto"/>
        <w:outlineLvl w:val="0"/>
        <w:rPr>
          <w:rFonts w:ascii="Palatino Linotype" w:eastAsiaTheme="majorEastAsia" w:hAnsi="Palatino Linotype" w:cstheme="majorBidi"/>
          <w:b/>
          <w:color w:val="000000" w:themeColor="text1"/>
          <w:lang w:eastAsia="en-US"/>
        </w:rPr>
      </w:pPr>
    </w:p>
    <w:p w:rsidR="00EA4BE4" w:rsidRPr="00A3137F" w:rsidRDefault="00EA4BE4" w:rsidP="00EA4BE4">
      <w:pPr>
        <w:pBdr>
          <w:top w:val="nil"/>
          <w:left w:val="nil"/>
          <w:bottom w:val="nil"/>
          <w:right w:val="nil"/>
          <w:between w:val="nil"/>
        </w:pBdr>
        <w:tabs>
          <w:tab w:val="left" w:pos="0"/>
        </w:tabs>
        <w:spacing w:line="360" w:lineRule="auto"/>
        <w:ind w:right="-787"/>
        <w:jc w:val="both"/>
        <w:rPr>
          <w:rFonts w:ascii="Palatino Linotype" w:eastAsiaTheme="minorEastAsia" w:hAnsi="Palatino Linotype" w:cs="Arial"/>
          <w:bCs/>
          <w:lang w:val="es-ES_tradnl" w:eastAsia="es-ES"/>
        </w:rPr>
      </w:pPr>
      <w:r w:rsidRPr="00A3137F">
        <w:rPr>
          <w:rFonts w:ascii="Palatino Linotype" w:hAnsi="Palatino Linotype" w:cs="Arial"/>
          <w:b/>
          <w:lang w:val="es-ES_tradnl" w:eastAsia="es-ES"/>
        </w:rPr>
        <w:t xml:space="preserve">PRIMERO. </w:t>
      </w:r>
      <w:r w:rsidRPr="00A3137F">
        <w:rPr>
          <w:rFonts w:ascii="Palatino Linotype" w:eastAsia="Calibri" w:hAnsi="Palatino Linotype" w:cs="Arial"/>
        </w:rPr>
        <w:t>Se</w:t>
      </w:r>
      <w:r w:rsidRPr="00A3137F">
        <w:rPr>
          <w:rFonts w:ascii="Palatino Linotype" w:hAnsi="Palatino Linotype"/>
          <w:lang w:val="es-ES"/>
        </w:rPr>
        <w:t xml:space="preserve"> </w:t>
      </w:r>
      <w:r w:rsidRPr="00A3137F">
        <w:rPr>
          <w:rFonts w:ascii="Palatino Linotype" w:hAnsi="Palatino Linotype"/>
          <w:b/>
          <w:lang w:val="es-ES"/>
        </w:rPr>
        <w:t xml:space="preserve">SOBRESEE el </w:t>
      </w:r>
      <w:r w:rsidRPr="00A3137F">
        <w:rPr>
          <w:rFonts w:ascii="Palatino Linotype" w:hAnsi="Palatino Linotype"/>
          <w:lang w:val="es-ES"/>
        </w:rPr>
        <w:t xml:space="preserve">recurso de revisión número </w:t>
      </w:r>
      <w:r w:rsidR="000650CD" w:rsidRPr="00A3137F">
        <w:rPr>
          <w:rFonts w:ascii="Palatino Linotype" w:hAnsi="Palatino Linotype"/>
          <w:b/>
          <w:lang w:val="es-ES"/>
        </w:rPr>
        <w:t>10623</w:t>
      </w:r>
      <w:r w:rsidRPr="00A3137F">
        <w:rPr>
          <w:rFonts w:ascii="Palatino Linotype" w:hAnsi="Palatino Linotype"/>
          <w:b/>
          <w:lang w:val="es-ES"/>
        </w:rPr>
        <w:t>/INFOEM/IP/RR/2025</w:t>
      </w:r>
      <w:r w:rsidRPr="00A3137F">
        <w:rPr>
          <w:rFonts w:ascii="Palatino Linotype" w:hAnsi="Palatino Linotype"/>
          <w:lang w:val="es-ES"/>
        </w:rPr>
        <w:t xml:space="preserve">, conforme al artículo </w:t>
      </w:r>
      <w:r w:rsidRPr="00A3137F">
        <w:rPr>
          <w:rFonts w:ascii="Palatino Linotype" w:hAnsi="Palatino Linotype"/>
          <w:b/>
          <w:lang w:val="es-ES"/>
        </w:rPr>
        <w:t>192 fracción IV</w:t>
      </w:r>
      <w:r w:rsidRPr="00A3137F">
        <w:rPr>
          <w:rFonts w:ascii="Palatino Linotype" w:hAnsi="Palatino Linotype"/>
          <w:lang w:val="es-ES"/>
        </w:rPr>
        <w:t>,</w:t>
      </w:r>
      <w:r w:rsidR="000650CD" w:rsidRPr="00A3137F">
        <w:rPr>
          <w:rFonts w:ascii="Palatino Linotype" w:hAnsi="Palatino Linotype"/>
          <w:lang w:val="es-ES"/>
        </w:rPr>
        <w:t xml:space="preserve"> </w:t>
      </w:r>
      <w:r w:rsidR="000650CD" w:rsidRPr="00A3137F">
        <w:rPr>
          <w:rFonts w:ascii="Palatino Linotype" w:eastAsia="Calibri" w:hAnsi="Palatino Linotype" w:cs="Arial"/>
        </w:rPr>
        <w:t>en relación a la fracción V  del artículo 191</w:t>
      </w:r>
      <w:r w:rsidRPr="00A3137F">
        <w:rPr>
          <w:rFonts w:ascii="Palatino Linotype" w:hAnsi="Palatino Linotype"/>
          <w:lang w:val="es-ES"/>
        </w:rPr>
        <w:t xml:space="preserve"> de la Ley de Transparencia y Acceso a la Información Pública del Estado de México y Municipios, en términos del </w:t>
      </w:r>
      <w:r w:rsidRPr="00A3137F">
        <w:rPr>
          <w:rFonts w:ascii="Palatino Linotype" w:hAnsi="Palatino Linotype"/>
          <w:b/>
          <w:lang w:val="es-ES"/>
        </w:rPr>
        <w:t>Considerando TERCERO</w:t>
      </w:r>
      <w:r w:rsidRPr="00A3137F">
        <w:rPr>
          <w:rFonts w:ascii="Palatino Linotype" w:hAnsi="Palatino Linotype"/>
          <w:lang w:val="es-ES"/>
        </w:rPr>
        <w:t xml:space="preserve"> de la presente resolución.</w:t>
      </w:r>
    </w:p>
    <w:p w:rsidR="00EA4BE4" w:rsidRPr="00A3137F" w:rsidRDefault="00EA4BE4" w:rsidP="00EA4BE4">
      <w:pPr>
        <w:spacing w:line="360" w:lineRule="auto"/>
        <w:jc w:val="both"/>
        <w:rPr>
          <w:rFonts w:ascii="Palatino Linotype" w:hAnsi="Palatino Linotype"/>
          <w:lang w:val="es-ES_tradnl" w:eastAsia="es-ES"/>
        </w:rPr>
      </w:pPr>
    </w:p>
    <w:p w:rsidR="00EA4BE4" w:rsidRPr="00A3137F" w:rsidRDefault="00EA4BE4" w:rsidP="00EA4BE4">
      <w:pPr>
        <w:pBdr>
          <w:top w:val="nil"/>
          <w:left w:val="nil"/>
          <w:bottom w:val="nil"/>
          <w:right w:val="nil"/>
          <w:between w:val="nil"/>
        </w:pBdr>
        <w:tabs>
          <w:tab w:val="left" w:pos="0"/>
        </w:tabs>
        <w:spacing w:line="360" w:lineRule="auto"/>
        <w:ind w:right="-787"/>
        <w:jc w:val="both"/>
        <w:rPr>
          <w:rFonts w:ascii="Palatino Linotype" w:eastAsia="Calibri" w:hAnsi="Palatino Linotype" w:cs="Arial"/>
          <w:lang w:val="es-ES" w:eastAsia="es-ES"/>
        </w:rPr>
      </w:pPr>
      <w:r w:rsidRPr="00A3137F">
        <w:rPr>
          <w:rFonts w:ascii="Palatino Linotype" w:eastAsiaTheme="minorEastAsia" w:hAnsi="Palatino Linotype"/>
          <w:b/>
          <w:lang w:val="es-ES_tradnl" w:eastAsia="es-ES"/>
        </w:rPr>
        <w:t>SEGUNDO.</w:t>
      </w:r>
      <w:r w:rsidRPr="00A3137F">
        <w:rPr>
          <w:rFonts w:ascii="Palatino Linotype" w:eastAsiaTheme="majorEastAsia" w:hAnsi="Palatino Linotype" w:cstheme="majorBidi"/>
          <w:b/>
          <w:color w:val="2E74B5" w:themeColor="accent1" w:themeShade="BF"/>
          <w:lang w:val="es-ES_tradnl" w:eastAsia="es-ES"/>
        </w:rPr>
        <w:t xml:space="preserve"> </w:t>
      </w:r>
      <w:r w:rsidR="008223EE" w:rsidRPr="00A3137F">
        <w:rPr>
          <w:rFonts w:ascii="Palatino Linotype" w:eastAsia="Calibri" w:hAnsi="Palatino Linotype" w:cs="Arial"/>
          <w:b/>
          <w:bCs/>
          <w:lang w:val="es-ES"/>
        </w:rPr>
        <w:t>Notifíquese</w:t>
      </w:r>
      <w:r w:rsidRPr="00A3137F">
        <w:rPr>
          <w:rFonts w:ascii="Palatino Linotype" w:eastAsia="Calibri" w:hAnsi="Palatino Linotype" w:cs="Arial"/>
          <w:b/>
          <w:bCs/>
          <w:lang w:val="es-ES"/>
        </w:rPr>
        <w:t xml:space="preserve"> </w:t>
      </w:r>
      <w:r w:rsidRPr="00A3137F">
        <w:rPr>
          <w:rFonts w:ascii="Palatino Linotype" w:eastAsia="Calibri" w:hAnsi="Palatino Linotype" w:cs="Arial"/>
          <w:bCs/>
          <w:lang w:val="es-ES"/>
        </w:rPr>
        <w:t xml:space="preserve">a través del Sistema de Acceso a la Información Mexiquense </w:t>
      </w:r>
      <w:r w:rsidRPr="00A3137F">
        <w:rPr>
          <w:rFonts w:ascii="Palatino Linotype" w:eastAsia="Calibri" w:hAnsi="Palatino Linotype" w:cs="Arial"/>
          <w:b/>
          <w:bCs/>
          <w:lang w:val="es-ES"/>
        </w:rPr>
        <w:t xml:space="preserve">(SAIMEX) </w:t>
      </w:r>
      <w:r w:rsidRPr="00A3137F">
        <w:rPr>
          <w:rFonts w:ascii="Palatino Linotype" w:eastAsia="Calibri" w:hAnsi="Palatino Linotype" w:cs="Arial"/>
          <w:bCs/>
          <w:lang w:val="es-ES"/>
        </w:rPr>
        <w:t xml:space="preserve">la </w:t>
      </w:r>
      <w:r w:rsidRPr="00A3137F">
        <w:rPr>
          <w:rFonts w:ascii="Palatino Linotype" w:eastAsia="Calibri" w:hAnsi="Palatino Linotype" w:cs="Arial"/>
        </w:rPr>
        <w:t>presente</w:t>
      </w:r>
      <w:r w:rsidRPr="00A3137F">
        <w:rPr>
          <w:rFonts w:ascii="Palatino Linotype" w:eastAsia="Calibri" w:hAnsi="Palatino Linotype" w:cs="Arial"/>
          <w:bCs/>
          <w:lang w:val="es-ES"/>
        </w:rPr>
        <w:t xml:space="preserve"> resolución al Titular de la Unidad de Transparencia del</w:t>
      </w:r>
      <w:r w:rsidRPr="00A3137F">
        <w:rPr>
          <w:rFonts w:ascii="Palatino Linotype" w:eastAsia="Calibri" w:hAnsi="Palatino Linotype" w:cs="Arial"/>
          <w:b/>
          <w:bCs/>
          <w:lang w:val="es-ES"/>
        </w:rPr>
        <w:t xml:space="preserve"> SUJETO OBLIGADO.</w:t>
      </w:r>
    </w:p>
    <w:p w:rsidR="00EA4BE4" w:rsidRPr="00A3137F" w:rsidRDefault="00EA4BE4" w:rsidP="00EA4BE4">
      <w:pPr>
        <w:spacing w:line="360" w:lineRule="auto"/>
        <w:jc w:val="both"/>
        <w:rPr>
          <w:rFonts w:ascii="Palatino Linotype" w:eastAsia="Calibri" w:hAnsi="Palatino Linotype" w:cs="Arial"/>
          <w:lang w:val="es-ES" w:eastAsia="es-ES"/>
        </w:rPr>
      </w:pPr>
    </w:p>
    <w:p w:rsidR="00EA4BE4" w:rsidRPr="00A3137F" w:rsidRDefault="00EA4BE4" w:rsidP="00EA4BE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themeColor="text1"/>
          <w:lang w:val="es-ES_tradnl" w:eastAsia="es-ES"/>
        </w:rPr>
      </w:pPr>
      <w:r w:rsidRPr="00A3137F">
        <w:rPr>
          <w:rFonts w:ascii="Palatino Linotype" w:eastAsia="Palatino Linotype" w:hAnsi="Palatino Linotype" w:cs="Palatino Linotype"/>
          <w:b/>
          <w:lang w:val="es-ES_tradnl" w:eastAsia="es-ES"/>
        </w:rPr>
        <w:t xml:space="preserve">TERCERO. </w:t>
      </w:r>
      <w:r w:rsidRPr="00A3137F">
        <w:rPr>
          <w:rFonts w:ascii="Palatino Linotype" w:hAnsi="Palatino Linotype"/>
          <w:b/>
          <w:bCs/>
          <w:lang w:val="es-ES"/>
        </w:rPr>
        <w:t xml:space="preserve">Notifíquese </w:t>
      </w:r>
      <w:r w:rsidRPr="00A3137F">
        <w:rPr>
          <w:rFonts w:ascii="Palatino Linotype" w:hAnsi="Palatino Linotype"/>
          <w:bCs/>
          <w:lang w:val="es-ES"/>
        </w:rPr>
        <w:t xml:space="preserve">al </w:t>
      </w:r>
      <w:r w:rsidRPr="00A3137F">
        <w:rPr>
          <w:rFonts w:ascii="Palatino Linotype" w:hAnsi="Palatino Linotype"/>
          <w:b/>
          <w:bCs/>
          <w:lang w:val="es-ES"/>
        </w:rPr>
        <w:t>RECURRENTE</w:t>
      </w:r>
      <w:r w:rsidRPr="00A3137F">
        <w:rPr>
          <w:rFonts w:ascii="Palatino Linotype" w:hAnsi="Palatino Linotype"/>
        </w:rPr>
        <w:t xml:space="preserve"> </w:t>
      </w:r>
      <w:r w:rsidRPr="00A3137F">
        <w:rPr>
          <w:rFonts w:ascii="Palatino Linotype" w:hAnsi="Palatino Linotype"/>
          <w:lang w:val="es-ES"/>
        </w:rPr>
        <w:t xml:space="preserve">la presente resolución, </w:t>
      </w:r>
      <w:r w:rsidRPr="00A3137F">
        <w:rPr>
          <w:rFonts w:ascii="Palatino Linotype" w:eastAsia="Calibri" w:hAnsi="Palatino Linotype" w:cs="Arial"/>
          <w:bCs/>
          <w:lang w:val="es-ES"/>
        </w:rPr>
        <w:t xml:space="preserve">a través del Sistema de Acceso a la Información Mexiquense </w:t>
      </w:r>
      <w:r w:rsidRPr="00A3137F">
        <w:rPr>
          <w:rFonts w:ascii="Palatino Linotype" w:eastAsia="Calibri" w:hAnsi="Palatino Linotype" w:cs="Arial"/>
          <w:b/>
          <w:bCs/>
          <w:lang w:val="es-ES"/>
        </w:rPr>
        <w:t>(SAIMEX).</w:t>
      </w:r>
    </w:p>
    <w:p w:rsidR="00EA4BE4" w:rsidRPr="00A3137F" w:rsidRDefault="00EA4BE4" w:rsidP="00EA4BE4">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rsidR="00EA4BE4" w:rsidRPr="00A3137F" w:rsidRDefault="00EA4BE4" w:rsidP="00EA4BE4">
      <w:pPr>
        <w:pBdr>
          <w:top w:val="nil"/>
          <w:left w:val="nil"/>
          <w:bottom w:val="nil"/>
          <w:right w:val="nil"/>
          <w:between w:val="nil"/>
        </w:pBdr>
        <w:tabs>
          <w:tab w:val="left" w:pos="0"/>
        </w:tabs>
        <w:spacing w:line="360" w:lineRule="auto"/>
        <w:ind w:right="-787"/>
        <w:jc w:val="both"/>
        <w:rPr>
          <w:rFonts w:ascii="Palatino Linotype" w:eastAsiaTheme="minorEastAsia" w:hAnsi="Palatino Linotype"/>
          <w:color w:val="000000" w:themeColor="text1"/>
          <w:lang w:val="es-ES_tradnl" w:eastAsia="es-ES"/>
        </w:rPr>
      </w:pPr>
      <w:r w:rsidRPr="00A3137F">
        <w:rPr>
          <w:rFonts w:ascii="Palatino Linotype" w:hAnsi="Palatino Linotype" w:cs="Arial"/>
          <w:b/>
          <w:color w:val="000000" w:themeColor="text1"/>
          <w:lang w:val="es-ES_tradnl" w:eastAsia="es-ES"/>
        </w:rPr>
        <w:t xml:space="preserve">CUARTO. </w:t>
      </w:r>
      <w:r w:rsidRPr="00A3137F">
        <w:rPr>
          <w:rFonts w:ascii="Palatino Linotype" w:eastAsia="MS Mincho" w:hAnsi="Palatino Linotype"/>
          <w:lang w:val="es-ES"/>
        </w:rPr>
        <w:t xml:space="preserve">Se hace del conocimiento del </w:t>
      </w:r>
      <w:r w:rsidRPr="00A3137F">
        <w:rPr>
          <w:rFonts w:ascii="Palatino Linotype" w:hAnsi="Palatino Linotype"/>
          <w:b/>
          <w:bCs/>
          <w:lang w:val="es-ES"/>
        </w:rPr>
        <w:t>RECURRENTE</w:t>
      </w:r>
      <w:r w:rsidRPr="00A3137F">
        <w:rPr>
          <w:rFonts w:ascii="Palatino Linotype" w:hAnsi="Palatino Linotype"/>
        </w:rPr>
        <w:t xml:space="preserve"> </w:t>
      </w:r>
      <w:r w:rsidRPr="00A3137F">
        <w:rPr>
          <w:rFonts w:ascii="Palatino Linotype" w:eastAsia="MS Mincho" w:hAnsi="Palatino Linotype"/>
          <w:lang w:val="es-ES"/>
        </w:rPr>
        <w:t xml:space="preserve">que, de conformidad con lo establecido en el artículo 196 de la Ley de Transparencia y Acceso a la Información Pública del Estado </w:t>
      </w:r>
      <w:r w:rsidRPr="00A3137F">
        <w:rPr>
          <w:rFonts w:ascii="Palatino Linotype" w:eastAsia="Calibri" w:hAnsi="Palatino Linotype" w:cs="Arial"/>
        </w:rPr>
        <w:t>de</w:t>
      </w:r>
      <w:r w:rsidRPr="00A3137F">
        <w:rPr>
          <w:rFonts w:ascii="Palatino Linotype" w:eastAsia="MS Mincho" w:hAnsi="Palatino Linotype"/>
          <w:lang w:val="es-ES"/>
        </w:rPr>
        <w:t xml:space="preserve"> México y Municipios, en caso de que considere que la resolución le cause algún perjuicio podrá impugnarla </w:t>
      </w:r>
      <w:r w:rsidRPr="00A3137F">
        <w:rPr>
          <w:rFonts w:ascii="Palatino Linotype" w:eastAsia="MS Mincho" w:hAnsi="Palatino Linotype"/>
          <w:bCs/>
          <w:lang w:val="es-ES"/>
        </w:rPr>
        <w:t>vía juicio de amparo</w:t>
      </w:r>
      <w:r w:rsidRPr="00A3137F">
        <w:rPr>
          <w:rFonts w:ascii="Palatino Linotype" w:eastAsia="MS Mincho" w:hAnsi="Palatino Linotype"/>
          <w:lang w:val="es-ES"/>
        </w:rPr>
        <w:t> en los términos de las leyes aplicables.</w:t>
      </w:r>
    </w:p>
    <w:p w:rsidR="00EA4BE4" w:rsidRPr="00A3137F" w:rsidRDefault="00EA4BE4" w:rsidP="00EA4BE4">
      <w:pPr>
        <w:spacing w:line="360" w:lineRule="auto"/>
        <w:ind w:right="48"/>
        <w:jc w:val="both"/>
        <w:rPr>
          <w:rFonts w:ascii="Palatino Linotype" w:hAnsi="Palatino Linotype"/>
        </w:rPr>
      </w:pPr>
    </w:p>
    <w:p w:rsidR="008223EE" w:rsidRPr="00A3137F" w:rsidRDefault="008223EE" w:rsidP="008223EE">
      <w:pPr>
        <w:spacing w:before="240" w:after="240" w:line="360" w:lineRule="auto"/>
        <w:ind w:right="-716" w:firstLine="1"/>
        <w:jc w:val="both"/>
        <w:rPr>
          <w:rFonts w:ascii="Palatino Linotype" w:hAnsi="Palatino Linotype"/>
        </w:rPr>
      </w:pPr>
      <w:bookmarkStart w:id="16" w:name="_Hlk99014733"/>
      <w:r w:rsidRPr="00A3137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A3137F">
        <w:rPr>
          <w:rFonts w:ascii="Palatino Linotype" w:hAnsi="Palatino Linotype" w:cs="Palatino Linotype"/>
        </w:rPr>
        <w:lastRenderedPageBreak/>
        <w:t xml:space="preserve">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A3137F">
        <w:rPr>
          <w:rFonts w:ascii="Palatino Linotype" w:hAnsi="Palatino Linotype" w:cs="Palatino Linotype"/>
          <w:color w:val="000000" w:themeColor="text1"/>
        </w:rPr>
        <w:t>ALEXIS TAPIA RAMÍREZ.</w:t>
      </w:r>
    </w:p>
    <w:bookmarkEnd w:id="16"/>
    <w:p w:rsidR="000078D3" w:rsidRPr="00A3137F" w:rsidRDefault="000078D3"/>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Default="00262FFB"/>
    <w:p w:rsidR="00A3137F" w:rsidRDefault="00A3137F"/>
    <w:p w:rsidR="00A3137F" w:rsidRDefault="00A3137F"/>
    <w:p w:rsidR="00A3137F" w:rsidRDefault="00A3137F"/>
    <w:p w:rsidR="00A3137F" w:rsidRDefault="00A3137F"/>
    <w:p w:rsidR="00A3137F" w:rsidRDefault="00A3137F"/>
    <w:p w:rsidR="00A3137F" w:rsidRDefault="00A3137F"/>
    <w:p w:rsidR="00A3137F" w:rsidRDefault="00A3137F"/>
    <w:p w:rsidR="00A3137F" w:rsidRDefault="00A3137F"/>
    <w:p w:rsidR="00A3137F" w:rsidRDefault="00A3137F"/>
    <w:p w:rsidR="00A3137F" w:rsidRPr="00A3137F" w:rsidRDefault="00A3137F"/>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p w:rsidR="00262FFB" w:rsidRPr="00A3137F" w:rsidRDefault="00262FFB"/>
    <w:sectPr w:rsidR="00262FFB" w:rsidRPr="00A3137F" w:rsidSect="00A3137F">
      <w:headerReference w:type="default" r:id="rId8"/>
      <w:footerReference w:type="default" r:id="rId9"/>
      <w:headerReference w:type="first" r:id="rId10"/>
      <w:footerReference w:type="first" r:id="rId11"/>
      <w:pgSz w:w="12240" w:h="15840"/>
      <w:pgMar w:top="2410"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C6" w:rsidRDefault="004E0EC6" w:rsidP="00E77C69">
      <w:r>
        <w:separator/>
      </w:r>
    </w:p>
  </w:endnote>
  <w:endnote w:type="continuationSeparator" w:id="0">
    <w:p w:rsidR="004E0EC6" w:rsidRDefault="004E0EC6" w:rsidP="00E7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D22" w:rsidRPr="00A3137F" w:rsidRDefault="002D7D22">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A3137F">
      <w:rPr>
        <w:rFonts w:ascii="Palatino Linotype" w:eastAsia="Arial" w:hAnsi="Palatino Linotype" w:cs="Arial"/>
        <w:b/>
        <w:color w:val="000000"/>
        <w:sz w:val="22"/>
        <w:szCs w:val="20"/>
      </w:rPr>
      <w:t xml:space="preserve">Página </w:t>
    </w:r>
    <w:r w:rsidRPr="00A3137F">
      <w:rPr>
        <w:rFonts w:ascii="Palatino Linotype" w:eastAsia="Arial" w:hAnsi="Palatino Linotype" w:cs="Arial"/>
        <w:b/>
        <w:color w:val="000000"/>
        <w:sz w:val="22"/>
        <w:szCs w:val="20"/>
      </w:rPr>
      <w:fldChar w:fldCharType="begin"/>
    </w:r>
    <w:r w:rsidRPr="00A3137F">
      <w:rPr>
        <w:rFonts w:ascii="Palatino Linotype" w:eastAsia="Arial" w:hAnsi="Palatino Linotype" w:cs="Arial"/>
        <w:b/>
        <w:color w:val="000000"/>
        <w:sz w:val="22"/>
        <w:szCs w:val="20"/>
      </w:rPr>
      <w:instrText>PAGE</w:instrText>
    </w:r>
    <w:r w:rsidRPr="00A3137F">
      <w:rPr>
        <w:rFonts w:ascii="Palatino Linotype" w:eastAsia="Arial" w:hAnsi="Palatino Linotype" w:cs="Arial"/>
        <w:b/>
        <w:color w:val="000000"/>
        <w:sz w:val="22"/>
        <w:szCs w:val="20"/>
      </w:rPr>
      <w:fldChar w:fldCharType="separate"/>
    </w:r>
    <w:r w:rsidR="00DA106B">
      <w:rPr>
        <w:rFonts w:ascii="Palatino Linotype" w:eastAsia="Arial" w:hAnsi="Palatino Linotype" w:cs="Arial"/>
        <w:b/>
        <w:noProof/>
        <w:color w:val="000000"/>
        <w:sz w:val="22"/>
        <w:szCs w:val="20"/>
      </w:rPr>
      <w:t>20</w:t>
    </w:r>
    <w:r w:rsidRPr="00A3137F">
      <w:rPr>
        <w:rFonts w:ascii="Palatino Linotype" w:eastAsia="Arial" w:hAnsi="Palatino Linotype" w:cs="Arial"/>
        <w:b/>
        <w:color w:val="000000"/>
        <w:sz w:val="22"/>
        <w:szCs w:val="20"/>
      </w:rPr>
      <w:fldChar w:fldCharType="end"/>
    </w:r>
    <w:r w:rsidRPr="00A3137F">
      <w:rPr>
        <w:rFonts w:ascii="Palatino Linotype" w:eastAsia="Arial" w:hAnsi="Palatino Linotype" w:cs="Arial"/>
        <w:b/>
        <w:color w:val="000000"/>
        <w:sz w:val="22"/>
        <w:szCs w:val="20"/>
      </w:rPr>
      <w:t xml:space="preserve"> de </w:t>
    </w:r>
    <w:r w:rsidRPr="00A3137F">
      <w:rPr>
        <w:rFonts w:ascii="Palatino Linotype" w:eastAsia="Arial" w:hAnsi="Palatino Linotype" w:cs="Arial"/>
        <w:b/>
        <w:color w:val="000000"/>
        <w:sz w:val="22"/>
        <w:szCs w:val="20"/>
      </w:rPr>
      <w:fldChar w:fldCharType="begin"/>
    </w:r>
    <w:r w:rsidRPr="00A3137F">
      <w:rPr>
        <w:rFonts w:ascii="Palatino Linotype" w:eastAsia="Arial" w:hAnsi="Palatino Linotype" w:cs="Arial"/>
        <w:b/>
        <w:color w:val="000000"/>
        <w:sz w:val="22"/>
        <w:szCs w:val="20"/>
      </w:rPr>
      <w:instrText>NUMPAGES</w:instrText>
    </w:r>
    <w:r w:rsidRPr="00A3137F">
      <w:rPr>
        <w:rFonts w:ascii="Palatino Linotype" w:eastAsia="Arial" w:hAnsi="Palatino Linotype" w:cs="Arial"/>
        <w:b/>
        <w:color w:val="000000"/>
        <w:sz w:val="22"/>
        <w:szCs w:val="20"/>
      </w:rPr>
      <w:fldChar w:fldCharType="separate"/>
    </w:r>
    <w:r w:rsidR="00DA106B">
      <w:rPr>
        <w:rFonts w:ascii="Palatino Linotype" w:eastAsia="Arial" w:hAnsi="Palatino Linotype" w:cs="Arial"/>
        <w:b/>
        <w:noProof/>
        <w:color w:val="000000"/>
        <w:sz w:val="22"/>
        <w:szCs w:val="20"/>
      </w:rPr>
      <w:t>20</w:t>
    </w:r>
    <w:r w:rsidRPr="00A3137F">
      <w:rPr>
        <w:rFonts w:ascii="Palatino Linotype" w:eastAsia="Arial" w:hAnsi="Palatino Linotype" w:cs="Arial"/>
        <w:b/>
        <w:color w:val="000000"/>
        <w:sz w:val="22"/>
        <w:szCs w:val="20"/>
      </w:rPr>
      <w:fldChar w:fldCharType="end"/>
    </w:r>
  </w:p>
  <w:p w:rsidR="002D7D22" w:rsidRDefault="002D7D22">
    <w:pPr>
      <w:pBdr>
        <w:top w:val="nil"/>
        <w:left w:val="nil"/>
        <w:bottom w:val="nil"/>
        <w:right w:val="nil"/>
        <w:between w:val="nil"/>
      </w:pBdr>
      <w:tabs>
        <w:tab w:val="center" w:pos="4252"/>
        <w:tab w:val="right" w:pos="8504"/>
      </w:tabs>
      <w:rPr>
        <w:color w:val="000000"/>
      </w:rPr>
    </w:pPr>
  </w:p>
  <w:p w:rsidR="002D7D22" w:rsidRDefault="002D7D2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D22" w:rsidRPr="00A3137F" w:rsidRDefault="002D7D22">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A3137F">
      <w:rPr>
        <w:rFonts w:ascii="Palatino Linotype" w:eastAsia="Arial" w:hAnsi="Palatino Linotype" w:cs="Arial"/>
        <w:b/>
        <w:color w:val="000000"/>
        <w:sz w:val="22"/>
        <w:szCs w:val="20"/>
      </w:rPr>
      <w:t xml:space="preserve">Página </w:t>
    </w:r>
    <w:r w:rsidRPr="00A3137F">
      <w:rPr>
        <w:rFonts w:ascii="Palatino Linotype" w:eastAsia="Arial" w:hAnsi="Palatino Linotype" w:cs="Arial"/>
        <w:b/>
        <w:color w:val="000000"/>
        <w:sz w:val="22"/>
        <w:szCs w:val="20"/>
      </w:rPr>
      <w:fldChar w:fldCharType="begin"/>
    </w:r>
    <w:r w:rsidRPr="00A3137F">
      <w:rPr>
        <w:rFonts w:ascii="Palatino Linotype" w:eastAsia="Arial" w:hAnsi="Palatino Linotype" w:cs="Arial"/>
        <w:b/>
        <w:color w:val="000000"/>
        <w:sz w:val="22"/>
        <w:szCs w:val="20"/>
      </w:rPr>
      <w:instrText>PAGE</w:instrText>
    </w:r>
    <w:r w:rsidRPr="00A3137F">
      <w:rPr>
        <w:rFonts w:ascii="Palatino Linotype" w:eastAsia="Arial" w:hAnsi="Palatino Linotype" w:cs="Arial"/>
        <w:b/>
        <w:color w:val="000000"/>
        <w:sz w:val="22"/>
        <w:szCs w:val="20"/>
      </w:rPr>
      <w:fldChar w:fldCharType="separate"/>
    </w:r>
    <w:r w:rsidR="00DA106B">
      <w:rPr>
        <w:rFonts w:ascii="Palatino Linotype" w:eastAsia="Arial" w:hAnsi="Palatino Linotype" w:cs="Arial"/>
        <w:b/>
        <w:noProof/>
        <w:color w:val="000000"/>
        <w:sz w:val="22"/>
        <w:szCs w:val="20"/>
      </w:rPr>
      <w:t>1</w:t>
    </w:r>
    <w:r w:rsidRPr="00A3137F">
      <w:rPr>
        <w:rFonts w:ascii="Palatino Linotype" w:eastAsia="Arial" w:hAnsi="Palatino Linotype" w:cs="Arial"/>
        <w:b/>
        <w:color w:val="000000"/>
        <w:sz w:val="22"/>
        <w:szCs w:val="20"/>
      </w:rPr>
      <w:fldChar w:fldCharType="end"/>
    </w:r>
    <w:r w:rsidRPr="00A3137F">
      <w:rPr>
        <w:rFonts w:ascii="Palatino Linotype" w:eastAsia="Arial" w:hAnsi="Palatino Linotype" w:cs="Arial"/>
        <w:b/>
        <w:color w:val="000000"/>
        <w:sz w:val="22"/>
        <w:szCs w:val="20"/>
      </w:rPr>
      <w:t xml:space="preserve"> de </w:t>
    </w:r>
    <w:r w:rsidRPr="00A3137F">
      <w:rPr>
        <w:rFonts w:ascii="Palatino Linotype" w:eastAsia="Arial" w:hAnsi="Palatino Linotype" w:cs="Arial"/>
        <w:b/>
        <w:color w:val="000000"/>
        <w:sz w:val="22"/>
        <w:szCs w:val="20"/>
      </w:rPr>
      <w:fldChar w:fldCharType="begin"/>
    </w:r>
    <w:r w:rsidRPr="00A3137F">
      <w:rPr>
        <w:rFonts w:ascii="Palatino Linotype" w:eastAsia="Arial" w:hAnsi="Palatino Linotype" w:cs="Arial"/>
        <w:b/>
        <w:color w:val="000000"/>
        <w:sz w:val="22"/>
        <w:szCs w:val="20"/>
      </w:rPr>
      <w:instrText>NUMPAGES</w:instrText>
    </w:r>
    <w:r w:rsidRPr="00A3137F">
      <w:rPr>
        <w:rFonts w:ascii="Palatino Linotype" w:eastAsia="Arial" w:hAnsi="Palatino Linotype" w:cs="Arial"/>
        <w:b/>
        <w:color w:val="000000"/>
        <w:sz w:val="22"/>
        <w:szCs w:val="20"/>
      </w:rPr>
      <w:fldChar w:fldCharType="separate"/>
    </w:r>
    <w:r w:rsidR="00DA106B">
      <w:rPr>
        <w:rFonts w:ascii="Palatino Linotype" w:eastAsia="Arial" w:hAnsi="Palatino Linotype" w:cs="Arial"/>
        <w:b/>
        <w:noProof/>
        <w:color w:val="000000"/>
        <w:sz w:val="22"/>
        <w:szCs w:val="20"/>
      </w:rPr>
      <w:t>20</w:t>
    </w:r>
    <w:r w:rsidRPr="00A3137F">
      <w:rPr>
        <w:rFonts w:ascii="Palatino Linotype" w:eastAsia="Arial" w:hAnsi="Palatino Linotype" w:cs="Arial"/>
        <w:b/>
        <w:color w:val="000000"/>
        <w:sz w:val="22"/>
        <w:szCs w:val="20"/>
      </w:rPr>
      <w:fldChar w:fldCharType="end"/>
    </w:r>
  </w:p>
  <w:p w:rsidR="002D7D22" w:rsidRDefault="002D7D2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C6" w:rsidRDefault="004E0EC6" w:rsidP="00E77C69">
      <w:r>
        <w:separator/>
      </w:r>
    </w:p>
  </w:footnote>
  <w:footnote w:type="continuationSeparator" w:id="0">
    <w:p w:rsidR="004E0EC6" w:rsidRDefault="004E0EC6" w:rsidP="00E7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56" w:type="dxa"/>
      <w:tblInd w:w="2209" w:type="dxa"/>
      <w:tblLayout w:type="fixed"/>
      <w:tblLook w:val="0400" w:firstRow="0" w:lastRow="0" w:firstColumn="0" w:lastColumn="0" w:noHBand="0" w:noVBand="1"/>
    </w:tblPr>
    <w:tblGrid>
      <w:gridCol w:w="2753"/>
      <w:gridCol w:w="5103"/>
    </w:tblGrid>
    <w:tr w:rsidR="002D7D22" w:rsidTr="00A3137F">
      <w:tc>
        <w:tcPr>
          <w:tcW w:w="2753" w:type="dxa"/>
          <w:vAlign w:val="center"/>
        </w:tcPr>
        <w:p w:rsidR="002D7D22" w:rsidRPr="00A3137F" w:rsidRDefault="002D7D22" w:rsidP="00E77C69">
          <w:pPr>
            <w:rPr>
              <w:rFonts w:ascii="Palatino Linotype" w:eastAsia="Palatino Linotype" w:hAnsi="Palatino Linotype" w:cs="Palatino Linotype"/>
              <w:b/>
              <w:szCs w:val="20"/>
            </w:rPr>
          </w:pPr>
          <w:r w:rsidRPr="00A3137F">
            <w:rPr>
              <w:rFonts w:ascii="Palatino Linotype" w:eastAsia="Palatino Linotype" w:hAnsi="Palatino Linotype" w:cs="Palatino Linotype"/>
              <w:b/>
              <w:szCs w:val="20"/>
            </w:rPr>
            <w:t>Recurso de Revisión:</w:t>
          </w:r>
        </w:p>
      </w:tc>
      <w:tc>
        <w:tcPr>
          <w:tcW w:w="5103" w:type="dxa"/>
          <w:vAlign w:val="center"/>
        </w:tcPr>
        <w:p w:rsidR="002D7D22" w:rsidRPr="00A3137F" w:rsidRDefault="002D7D22" w:rsidP="00E77C69">
          <w:pPr>
            <w:ind w:right="-1093"/>
            <w:jc w:val="both"/>
            <w:rPr>
              <w:rFonts w:ascii="Palatino Linotype" w:eastAsia="Palatino Linotype" w:hAnsi="Palatino Linotype" w:cs="Palatino Linotype"/>
              <w:szCs w:val="20"/>
            </w:rPr>
          </w:pPr>
          <w:r w:rsidRPr="00A3137F">
            <w:rPr>
              <w:rFonts w:ascii="Palatino Linotype" w:eastAsia="Palatino Linotype" w:hAnsi="Palatino Linotype" w:cs="Palatino Linotype"/>
              <w:szCs w:val="20"/>
            </w:rPr>
            <w:t xml:space="preserve">10623/INFOEM/IP/RR/2025 </w:t>
          </w:r>
        </w:p>
      </w:tc>
    </w:tr>
    <w:tr w:rsidR="002D7D22" w:rsidTr="00A3137F">
      <w:trPr>
        <w:trHeight w:val="228"/>
      </w:trPr>
      <w:tc>
        <w:tcPr>
          <w:tcW w:w="2753" w:type="dxa"/>
          <w:vAlign w:val="center"/>
        </w:tcPr>
        <w:p w:rsidR="002D7D22" w:rsidRPr="00A3137F" w:rsidRDefault="002D7D22" w:rsidP="00E77C69">
          <w:pPr>
            <w:rPr>
              <w:rFonts w:ascii="Palatino Linotype" w:eastAsia="Palatino Linotype" w:hAnsi="Palatino Linotype" w:cs="Palatino Linotype"/>
              <w:b/>
              <w:szCs w:val="20"/>
            </w:rPr>
          </w:pPr>
          <w:r w:rsidRPr="00A3137F">
            <w:rPr>
              <w:rFonts w:ascii="Palatino Linotype" w:eastAsia="Palatino Linotype" w:hAnsi="Palatino Linotype" w:cs="Palatino Linotype"/>
              <w:b/>
              <w:szCs w:val="20"/>
            </w:rPr>
            <w:t>Sujeto Obligado:</w:t>
          </w:r>
        </w:p>
      </w:tc>
      <w:tc>
        <w:tcPr>
          <w:tcW w:w="5103" w:type="dxa"/>
          <w:shd w:val="clear" w:color="auto" w:fill="auto"/>
          <w:vAlign w:val="center"/>
        </w:tcPr>
        <w:p w:rsidR="002D7D22" w:rsidRPr="00A3137F" w:rsidRDefault="002D7D22" w:rsidP="00E77C69">
          <w:pPr>
            <w:ind w:right="-108"/>
            <w:rPr>
              <w:rFonts w:ascii="Palatino Linotype" w:eastAsia="Palatino Linotype" w:hAnsi="Palatino Linotype" w:cs="Palatino Linotype"/>
              <w:color w:val="000000"/>
              <w:szCs w:val="20"/>
            </w:rPr>
          </w:pPr>
          <w:r w:rsidRPr="00A3137F">
            <w:rPr>
              <w:rFonts w:ascii="Palatino Linotype" w:eastAsia="Palatino Linotype" w:hAnsi="Palatino Linotype" w:cs="Palatino Linotype"/>
              <w:bCs/>
              <w:color w:val="000000"/>
              <w:szCs w:val="20"/>
            </w:rPr>
            <w:t>Organismo Público Descentralizado para la Prestación de Los Servicios de Agua Potable Alcantarillado y Saneamiento del Municipio de Naucalpan de Juárez</w:t>
          </w:r>
        </w:p>
      </w:tc>
    </w:tr>
    <w:tr w:rsidR="002D7D22" w:rsidTr="00A3137F">
      <w:tc>
        <w:tcPr>
          <w:tcW w:w="2753" w:type="dxa"/>
          <w:vAlign w:val="center"/>
        </w:tcPr>
        <w:p w:rsidR="002D7D22" w:rsidRPr="00A3137F" w:rsidRDefault="002D7D22" w:rsidP="00E77C69">
          <w:pPr>
            <w:rPr>
              <w:rFonts w:ascii="Palatino Linotype" w:eastAsia="Palatino Linotype" w:hAnsi="Palatino Linotype" w:cs="Palatino Linotype"/>
              <w:b/>
              <w:szCs w:val="20"/>
            </w:rPr>
          </w:pPr>
          <w:r w:rsidRPr="00A3137F">
            <w:rPr>
              <w:rFonts w:ascii="Palatino Linotype" w:eastAsia="Palatino Linotype" w:hAnsi="Palatino Linotype" w:cs="Palatino Linotype"/>
              <w:b/>
              <w:szCs w:val="20"/>
            </w:rPr>
            <w:t>Comisionada Ponente:</w:t>
          </w:r>
        </w:p>
      </w:tc>
      <w:tc>
        <w:tcPr>
          <w:tcW w:w="5103" w:type="dxa"/>
          <w:vAlign w:val="center"/>
        </w:tcPr>
        <w:p w:rsidR="002D7D22" w:rsidRPr="00A3137F" w:rsidRDefault="002D7D22" w:rsidP="00E77C69">
          <w:pPr>
            <w:ind w:right="-1093"/>
            <w:jc w:val="both"/>
            <w:rPr>
              <w:rFonts w:ascii="Palatino Linotype" w:eastAsia="Palatino Linotype" w:hAnsi="Palatino Linotype" w:cs="Palatino Linotype"/>
              <w:szCs w:val="20"/>
            </w:rPr>
          </w:pPr>
          <w:r w:rsidRPr="00A3137F">
            <w:rPr>
              <w:rFonts w:ascii="Palatino Linotype" w:eastAsia="Palatino Linotype" w:hAnsi="Palatino Linotype" w:cs="Palatino Linotype"/>
              <w:szCs w:val="20"/>
            </w:rPr>
            <w:t>María del Rosario Mejía Ayala</w:t>
          </w:r>
        </w:p>
      </w:tc>
    </w:tr>
  </w:tbl>
  <w:p w:rsidR="002D7D22" w:rsidRDefault="00A3137F">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313C2903" wp14:editId="6BFE13A8">
          <wp:simplePos x="0" y="0"/>
          <wp:positionH relativeFrom="page">
            <wp:align>left</wp:align>
          </wp:positionH>
          <wp:positionV relativeFrom="paragraph">
            <wp:posOffset>-1805796</wp:posOffset>
          </wp:positionV>
          <wp:extent cx="7813085" cy="10170000"/>
          <wp:effectExtent l="0" t="0" r="0" b="3175"/>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2D7D2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410" w:type="dxa"/>
      <w:tblLayout w:type="fixed"/>
      <w:tblLook w:val="0400" w:firstRow="0" w:lastRow="0" w:firstColumn="0" w:lastColumn="0" w:noHBand="0" w:noVBand="1"/>
    </w:tblPr>
    <w:tblGrid>
      <w:gridCol w:w="2977"/>
      <w:gridCol w:w="4961"/>
    </w:tblGrid>
    <w:tr w:rsidR="002D7D22" w:rsidRPr="00A3137F" w:rsidTr="00A3137F">
      <w:trPr>
        <w:trHeight w:val="227"/>
      </w:trPr>
      <w:tc>
        <w:tcPr>
          <w:tcW w:w="2977" w:type="dxa"/>
          <w:vAlign w:val="center"/>
        </w:tcPr>
        <w:p w:rsidR="002D7D22" w:rsidRPr="00A3137F" w:rsidRDefault="002D7D22" w:rsidP="00A3137F">
          <w:pPr>
            <w:rPr>
              <w:rFonts w:ascii="Palatino Linotype" w:eastAsia="Palatino Linotype" w:hAnsi="Palatino Linotype" w:cs="Palatino Linotype"/>
              <w:b/>
              <w:szCs w:val="22"/>
            </w:rPr>
          </w:pPr>
          <w:r w:rsidRPr="00A3137F">
            <w:rPr>
              <w:rFonts w:ascii="Palatino Linotype" w:eastAsia="Palatino Linotype" w:hAnsi="Palatino Linotype" w:cs="Palatino Linotype"/>
              <w:b/>
              <w:szCs w:val="22"/>
            </w:rPr>
            <w:t>Recurso de Revisión:</w:t>
          </w:r>
        </w:p>
      </w:tc>
      <w:tc>
        <w:tcPr>
          <w:tcW w:w="4961" w:type="dxa"/>
          <w:vAlign w:val="center"/>
        </w:tcPr>
        <w:p w:rsidR="002D7D22" w:rsidRPr="00A3137F" w:rsidRDefault="002D7D22" w:rsidP="00A3137F">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A3137F">
            <w:rPr>
              <w:rFonts w:ascii="Palatino Linotype" w:eastAsia="Palatino Linotype" w:hAnsi="Palatino Linotype" w:cs="Palatino Linotype"/>
              <w:color w:val="000000"/>
              <w:szCs w:val="22"/>
            </w:rPr>
            <w:t>10623/INFOEM/IP/RR/2025</w:t>
          </w:r>
        </w:p>
      </w:tc>
    </w:tr>
    <w:tr w:rsidR="002D7D22" w:rsidRPr="00A3137F" w:rsidTr="00A3137F">
      <w:trPr>
        <w:trHeight w:val="242"/>
      </w:trPr>
      <w:tc>
        <w:tcPr>
          <w:tcW w:w="2977" w:type="dxa"/>
          <w:vAlign w:val="center"/>
        </w:tcPr>
        <w:p w:rsidR="002D7D22" w:rsidRPr="00A3137F" w:rsidRDefault="002D7D22" w:rsidP="00A3137F">
          <w:pPr>
            <w:rPr>
              <w:rFonts w:ascii="Palatino Linotype" w:eastAsia="Palatino Linotype" w:hAnsi="Palatino Linotype" w:cs="Palatino Linotype"/>
              <w:b/>
              <w:szCs w:val="22"/>
            </w:rPr>
          </w:pPr>
          <w:r w:rsidRPr="00A3137F">
            <w:rPr>
              <w:rFonts w:ascii="Palatino Linotype" w:eastAsia="Palatino Linotype" w:hAnsi="Palatino Linotype" w:cs="Palatino Linotype"/>
              <w:b/>
              <w:szCs w:val="22"/>
            </w:rPr>
            <w:t>Recurrente:</w:t>
          </w:r>
        </w:p>
      </w:tc>
      <w:tc>
        <w:tcPr>
          <w:tcW w:w="4961" w:type="dxa"/>
        </w:tcPr>
        <w:p w:rsidR="002D7D22" w:rsidRPr="00A3137F" w:rsidRDefault="00DA106B" w:rsidP="00A3137F">
          <w:pPr>
            <w:pBdr>
              <w:top w:val="nil"/>
              <w:left w:val="nil"/>
              <w:bottom w:val="nil"/>
              <w:right w:val="nil"/>
              <w:between w:val="nil"/>
            </w:pBdr>
            <w:tabs>
              <w:tab w:val="right" w:pos="8838"/>
              <w:tab w:val="left" w:pos="521"/>
            </w:tabs>
            <w:rPr>
              <w:rFonts w:ascii="Palatino Linotype" w:eastAsia="Palatino Linotype" w:hAnsi="Palatino Linotype" w:cs="Palatino Linotype"/>
              <w:szCs w:val="22"/>
              <w:highlight w:val="green"/>
            </w:rPr>
          </w:pPr>
          <w:r>
            <w:rPr>
              <w:rFonts w:ascii="Palatino Linotype" w:eastAsia="Palatino Linotype" w:hAnsi="Palatino Linotype" w:cs="Palatino Linotype"/>
              <w:bCs/>
              <w:szCs w:val="22"/>
            </w:rPr>
            <w:t>XXXX</w:t>
          </w:r>
        </w:p>
      </w:tc>
    </w:tr>
    <w:tr w:rsidR="002D7D22" w:rsidRPr="00A3137F" w:rsidTr="00A3137F">
      <w:trPr>
        <w:trHeight w:val="342"/>
      </w:trPr>
      <w:tc>
        <w:tcPr>
          <w:tcW w:w="2977" w:type="dxa"/>
          <w:vAlign w:val="center"/>
        </w:tcPr>
        <w:p w:rsidR="002D7D22" w:rsidRPr="00A3137F" w:rsidRDefault="002D7D22" w:rsidP="00A3137F">
          <w:pPr>
            <w:rPr>
              <w:rFonts w:ascii="Palatino Linotype" w:eastAsia="Palatino Linotype" w:hAnsi="Palatino Linotype" w:cs="Palatino Linotype"/>
              <w:b/>
              <w:szCs w:val="22"/>
            </w:rPr>
          </w:pPr>
          <w:r w:rsidRPr="00A3137F">
            <w:rPr>
              <w:rFonts w:ascii="Palatino Linotype" w:eastAsia="Palatino Linotype" w:hAnsi="Palatino Linotype" w:cs="Palatino Linotype"/>
              <w:b/>
              <w:szCs w:val="22"/>
            </w:rPr>
            <w:t>Sujeto Obligado:</w:t>
          </w:r>
        </w:p>
      </w:tc>
      <w:tc>
        <w:tcPr>
          <w:tcW w:w="4961" w:type="dxa"/>
          <w:vAlign w:val="center"/>
        </w:tcPr>
        <w:p w:rsidR="002D7D22" w:rsidRPr="00A3137F" w:rsidRDefault="002D7D22" w:rsidP="00A3137F">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A3137F">
            <w:rPr>
              <w:rFonts w:ascii="Palatino Linotype" w:eastAsia="Palatino Linotype" w:hAnsi="Palatino Linotype" w:cs="Palatino Linotype"/>
              <w:bCs/>
              <w:color w:val="000000"/>
              <w:szCs w:val="22"/>
            </w:rPr>
            <w:t>Organismo Público Descentralizado para la Prestación de Los Servicios de Agua Potable Alcantarillado y Saneamiento del Municipio de Naucalpan de Juárez</w:t>
          </w:r>
        </w:p>
      </w:tc>
    </w:tr>
    <w:tr w:rsidR="002D7D22" w:rsidRPr="00A3137F" w:rsidTr="00A3137F">
      <w:trPr>
        <w:trHeight w:val="342"/>
      </w:trPr>
      <w:tc>
        <w:tcPr>
          <w:tcW w:w="2977" w:type="dxa"/>
          <w:vAlign w:val="center"/>
        </w:tcPr>
        <w:p w:rsidR="002D7D22" w:rsidRPr="00A3137F" w:rsidRDefault="002D7D22" w:rsidP="00A3137F">
          <w:pPr>
            <w:rPr>
              <w:rFonts w:ascii="Palatino Linotype" w:eastAsia="Palatino Linotype" w:hAnsi="Palatino Linotype" w:cs="Palatino Linotype"/>
              <w:b/>
              <w:szCs w:val="22"/>
            </w:rPr>
          </w:pPr>
          <w:r w:rsidRPr="00A3137F">
            <w:rPr>
              <w:rFonts w:ascii="Palatino Linotype" w:eastAsia="Palatino Linotype" w:hAnsi="Palatino Linotype" w:cs="Palatino Linotype"/>
              <w:b/>
              <w:szCs w:val="22"/>
            </w:rPr>
            <w:t>Comisionada Ponente:</w:t>
          </w:r>
        </w:p>
      </w:tc>
      <w:tc>
        <w:tcPr>
          <w:tcW w:w="4961" w:type="dxa"/>
          <w:vAlign w:val="center"/>
        </w:tcPr>
        <w:p w:rsidR="002D7D22" w:rsidRPr="00A3137F" w:rsidRDefault="002D7D22" w:rsidP="00A3137F">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A3137F">
            <w:rPr>
              <w:rFonts w:ascii="Palatino Linotype" w:eastAsia="Palatino Linotype" w:hAnsi="Palatino Linotype" w:cs="Palatino Linotype"/>
              <w:color w:val="000000"/>
              <w:szCs w:val="22"/>
            </w:rPr>
            <w:t>María del Rosario Mejía Ayala</w:t>
          </w:r>
        </w:p>
      </w:tc>
    </w:tr>
  </w:tbl>
  <w:p w:rsidR="002D7D22" w:rsidRPr="00A3137F" w:rsidRDefault="00A3137F" w:rsidP="00A3137F">
    <w:pPr>
      <w:pBdr>
        <w:top w:val="nil"/>
        <w:left w:val="nil"/>
        <w:bottom w:val="nil"/>
        <w:right w:val="nil"/>
        <w:between w:val="nil"/>
      </w:pBdr>
      <w:tabs>
        <w:tab w:val="center" w:pos="4252"/>
        <w:tab w:val="right" w:pos="8504"/>
      </w:tabs>
      <w:rPr>
        <w:rFonts w:ascii="Calibri" w:eastAsia="Calibri" w:hAnsi="Calibri" w:cs="Calibri"/>
        <w:color w:val="000000"/>
        <w:sz w:val="28"/>
      </w:rPr>
    </w:pPr>
    <w:r w:rsidRPr="00A3137F">
      <w:rPr>
        <w:noProof/>
        <w:sz w:val="28"/>
      </w:rPr>
      <w:drawing>
        <wp:anchor distT="0" distB="0" distL="0" distR="0" simplePos="0" relativeHeight="251660288" behindDoc="1" locked="0" layoutInCell="1" hidden="0" allowOverlap="1" wp14:anchorId="0D44FD62" wp14:editId="2AB95B11">
          <wp:simplePos x="0" y="0"/>
          <wp:positionH relativeFrom="page">
            <wp:align>left</wp:align>
          </wp:positionH>
          <wp:positionV relativeFrom="paragraph">
            <wp:posOffset>-1814937</wp:posOffset>
          </wp:positionV>
          <wp:extent cx="7813085" cy="10170000"/>
          <wp:effectExtent l="0" t="0" r="0" b="3175"/>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8D9049C"/>
    <w:multiLevelType w:val="hybridMultilevel"/>
    <w:tmpl w:val="4ECC4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9473D9"/>
    <w:multiLevelType w:val="hybridMultilevel"/>
    <w:tmpl w:val="BC988388"/>
    <w:lvl w:ilvl="0" w:tplc="CAB87AF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D672D4"/>
    <w:multiLevelType w:val="hybridMultilevel"/>
    <w:tmpl w:val="297AAC94"/>
    <w:lvl w:ilvl="0" w:tplc="EE3E6FD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15:restartNumberingAfterBreak="0">
    <w:nsid w:val="613868A5"/>
    <w:multiLevelType w:val="hybridMultilevel"/>
    <w:tmpl w:val="A6048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6E1F69"/>
    <w:multiLevelType w:val="hybridMultilevel"/>
    <w:tmpl w:val="936C29C2"/>
    <w:lvl w:ilvl="0" w:tplc="E6E6BA7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0"/>
  </w:num>
  <w:num w:numId="2">
    <w:abstractNumId w:val="4"/>
  </w:num>
  <w:num w:numId="3">
    <w:abstractNumId w:val="7"/>
  </w:num>
  <w:num w:numId="4">
    <w:abstractNumId w:val="6"/>
  </w:num>
  <w:num w:numId="5">
    <w:abstractNumId w:val="9"/>
  </w:num>
  <w:num w:numId="6">
    <w:abstractNumId w:val="3"/>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69"/>
    <w:rsid w:val="000078D3"/>
    <w:rsid w:val="000650CD"/>
    <w:rsid w:val="00123D48"/>
    <w:rsid w:val="00262FFB"/>
    <w:rsid w:val="002D7D22"/>
    <w:rsid w:val="0034217B"/>
    <w:rsid w:val="004B0F69"/>
    <w:rsid w:val="004E0EC6"/>
    <w:rsid w:val="00504996"/>
    <w:rsid w:val="005100FA"/>
    <w:rsid w:val="007B31C4"/>
    <w:rsid w:val="008223EE"/>
    <w:rsid w:val="008B46B3"/>
    <w:rsid w:val="00933208"/>
    <w:rsid w:val="009C4C6A"/>
    <w:rsid w:val="00A2699C"/>
    <w:rsid w:val="00A3137F"/>
    <w:rsid w:val="00A50DA8"/>
    <w:rsid w:val="00B44B2D"/>
    <w:rsid w:val="00BE553C"/>
    <w:rsid w:val="00BF69EA"/>
    <w:rsid w:val="00C22FA1"/>
    <w:rsid w:val="00DA106B"/>
    <w:rsid w:val="00E77C54"/>
    <w:rsid w:val="00E77C69"/>
    <w:rsid w:val="00EA4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7A2AB4-A549-4344-8500-60031747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2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77C6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77C6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C6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77C69"/>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E7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7C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77C69"/>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E77C69"/>
    <w:pPr>
      <w:tabs>
        <w:tab w:val="center" w:pos="4419"/>
        <w:tab w:val="right" w:pos="8838"/>
      </w:tabs>
    </w:pPr>
  </w:style>
  <w:style w:type="character" w:customStyle="1" w:styleId="EncabezadoCar">
    <w:name w:val="Encabezado Car"/>
    <w:basedOn w:val="Fuentedeprrafopredeter"/>
    <w:link w:val="Encabezado"/>
    <w:uiPriority w:val="99"/>
    <w:rsid w:val="00E77C6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77C69"/>
    <w:pPr>
      <w:tabs>
        <w:tab w:val="center" w:pos="4419"/>
        <w:tab w:val="right" w:pos="8838"/>
      </w:tabs>
    </w:pPr>
  </w:style>
  <w:style w:type="character" w:customStyle="1" w:styleId="PiedepginaCar">
    <w:name w:val="Pie de página Car"/>
    <w:basedOn w:val="Fuentedeprrafopredeter"/>
    <w:link w:val="Piedepgina"/>
    <w:uiPriority w:val="99"/>
    <w:rsid w:val="00E77C69"/>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650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iteriosdeinterpretacion.inai.org.mx/Criterios/07-1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4520</Words>
  <Characters>24865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2026-02-09T17:41:00Z</cp:lastPrinted>
  <dcterms:created xsi:type="dcterms:W3CDTF">2026-01-29T20:29:00Z</dcterms:created>
  <dcterms:modified xsi:type="dcterms:W3CDTF">2026-02-16T23:57:00Z</dcterms:modified>
</cp:coreProperties>
</file>