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293F" w:rsidRDefault="00FD56B2">
      <w:pPr>
        <w:tabs>
          <w:tab w:val="left" w:pos="3465"/>
        </w:tabs>
        <w:spacing w:line="360" w:lineRule="auto"/>
        <w:ind w:right="-1071"/>
        <w:jc w:val="both"/>
        <w:rPr>
          <w:rFonts w:ascii="Palatino Linotype" w:eastAsia="Palatino Linotype" w:hAnsi="Palatino Linotype" w:cs="Palatino Linotype"/>
        </w:rPr>
      </w:pPr>
      <w:r>
        <w:rPr>
          <w:rFonts w:ascii="Palatino Linotype" w:eastAsia="Palatino Linotype" w:hAnsi="Palatino Linotype" w:cs="Palatino Linotype"/>
        </w:rPr>
        <w:t xml:space="preserve">Resolución del Pleno del Instituto de Transparencia, Acceso a la Información Pública y Protección de Datos Personales del Estado de México y Municipios, con domicilio en Metepec, Estado de México; de fecha </w:t>
      </w:r>
      <w:r w:rsidR="006F4D8F">
        <w:rPr>
          <w:rFonts w:ascii="Palatino Linotype" w:eastAsia="Palatino Linotype" w:hAnsi="Palatino Linotype" w:cs="Palatino Linotype"/>
          <w:b/>
          <w:bCs/>
        </w:rPr>
        <w:t xml:space="preserve">veintisiete </w:t>
      </w:r>
      <w:r w:rsidR="00332107">
        <w:rPr>
          <w:rFonts w:ascii="Palatino Linotype" w:eastAsia="Palatino Linotype" w:hAnsi="Palatino Linotype" w:cs="Palatino Linotype"/>
          <w:b/>
          <w:bCs/>
        </w:rPr>
        <w:t xml:space="preserve">(27) </w:t>
      </w:r>
      <w:r>
        <w:rPr>
          <w:rFonts w:ascii="Palatino Linotype" w:eastAsia="Palatino Linotype" w:hAnsi="Palatino Linotype" w:cs="Palatino Linotype"/>
          <w:b/>
          <w:bCs/>
        </w:rPr>
        <w:t>de mayo de dos mil veintiséis.</w:t>
      </w:r>
      <w:r>
        <w:rPr>
          <w:rFonts w:ascii="Palatino Linotype" w:eastAsia="Palatino Linotype" w:hAnsi="Palatino Linotype" w:cs="Palatino Linotype"/>
        </w:rPr>
        <w:t xml:space="preserve"> </w:t>
      </w:r>
    </w:p>
    <w:p w:rsidR="00AE293F" w:rsidRDefault="00AE293F">
      <w:pPr>
        <w:tabs>
          <w:tab w:val="left" w:pos="3465"/>
        </w:tabs>
        <w:spacing w:line="360" w:lineRule="auto"/>
        <w:ind w:right="-1071"/>
        <w:jc w:val="both"/>
        <w:rPr>
          <w:rFonts w:ascii="Palatino Linotype" w:eastAsia="Palatino Linotype" w:hAnsi="Palatino Linotype" w:cs="Palatino Linotype"/>
        </w:rPr>
      </w:pPr>
    </w:p>
    <w:p w:rsidR="00AE293F" w:rsidRDefault="00FD56B2">
      <w:pPr>
        <w:spacing w:line="360" w:lineRule="auto"/>
        <w:ind w:right="-1071"/>
        <w:jc w:val="both"/>
        <w:rPr>
          <w:rFonts w:ascii="Palatino Linotype" w:eastAsia="Palatino Linotype" w:hAnsi="Palatino Linotype" w:cs="Palatino Linotype"/>
        </w:rPr>
      </w:pPr>
      <w:r>
        <w:rPr>
          <w:rFonts w:ascii="Palatino Linotype" w:eastAsia="Palatino Linotype" w:hAnsi="Palatino Linotype" w:cs="Palatino Linotype"/>
          <w:b/>
          <w:bCs/>
        </w:rPr>
        <w:t>VISTO</w:t>
      </w:r>
      <w:r>
        <w:rPr>
          <w:rFonts w:ascii="Palatino Linotype" w:eastAsia="Palatino Linotype" w:hAnsi="Palatino Linotype" w:cs="Palatino Linotype"/>
        </w:rPr>
        <w:t xml:space="preserve"> el expediente electrónico formado con motivo del recurso de revisión</w:t>
      </w:r>
      <w:r>
        <w:rPr>
          <w:rFonts w:ascii="Palatino Linotype" w:eastAsia="Palatino Linotype" w:hAnsi="Palatino Linotype" w:cs="Palatino Linotype"/>
          <w:b/>
          <w:bCs/>
        </w:rPr>
        <w:t xml:space="preserve">   02383/INFOEM/IP/RR/2026</w:t>
      </w:r>
      <w:r>
        <w:rPr>
          <w:rFonts w:ascii="Palatino Linotype" w:eastAsia="Palatino Linotype" w:hAnsi="Palatino Linotype" w:cs="Palatino Linotype"/>
        </w:rPr>
        <w:t>,</w:t>
      </w:r>
      <w:r>
        <w:rPr>
          <w:rFonts w:ascii="Palatino Linotype" w:eastAsia="Palatino Linotype" w:hAnsi="Palatino Linotype" w:cs="Palatino Linotype"/>
          <w:b/>
          <w:bCs/>
        </w:rPr>
        <w:t xml:space="preserve"> </w:t>
      </w:r>
      <w:r>
        <w:rPr>
          <w:rFonts w:ascii="Palatino Linotype" w:eastAsia="Palatino Linotype" w:hAnsi="Palatino Linotype" w:cs="Palatino Linotype"/>
        </w:rPr>
        <w:t>promovido por  </w:t>
      </w:r>
      <w:r w:rsidR="00964FEA">
        <w:rPr>
          <w:rFonts w:ascii="Palatino Linotype" w:eastAsia="Palatino Linotype" w:hAnsi="Palatino Linotype" w:cs="Palatino Linotype"/>
          <w:b/>
          <w:bCs/>
        </w:rPr>
        <w:t>XXXX</w:t>
      </w:r>
      <w:r>
        <w:rPr>
          <w:rFonts w:ascii="Palatino Linotype" w:eastAsia="Palatino Linotype" w:hAnsi="Palatino Linotype" w:cs="Palatino Linotype"/>
        </w:rPr>
        <w:t xml:space="preserve">, a quien en lo sucesivo se le identificará como </w:t>
      </w:r>
      <w:r>
        <w:rPr>
          <w:rFonts w:ascii="Palatino Linotype" w:eastAsia="Palatino Linotype" w:hAnsi="Palatino Linotype" w:cs="Palatino Linotype"/>
          <w:b/>
          <w:bCs/>
        </w:rPr>
        <w:t>EL RECURRENTE</w:t>
      </w:r>
      <w:r>
        <w:rPr>
          <w:rFonts w:ascii="Palatino Linotype" w:eastAsia="Palatino Linotype" w:hAnsi="Palatino Linotype" w:cs="Palatino Linotype"/>
        </w:rPr>
        <w:t xml:space="preserve">, en contra de la respuesta del </w:t>
      </w:r>
      <w:r>
        <w:rPr>
          <w:rFonts w:ascii="Palatino Linotype" w:eastAsia="Palatino Linotype" w:hAnsi="Palatino Linotype" w:cs="Palatino Linotype"/>
          <w:b/>
          <w:bCs/>
        </w:rPr>
        <w:t xml:space="preserve">Ayuntamiento de Papalotla, </w:t>
      </w:r>
      <w:r>
        <w:rPr>
          <w:rFonts w:ascii="Palatino Linotype" w:eastAsia="Palatino Linotype" w:hAnsi="Palatino Linotype" w:cs="Palatino Linotype"/>
        </w:rPr>
        <w:t>en adelante el</w:t>
      </w:r>
      <w:r>
        <w:rPr>
          <w:rFonts w:ascii="Palatino Linotype" w:eastAsia="Palatino Linotype" w:hAnsi="Palatino Linotype" w:cs="Palatino Linotype"/>
          <w:b/>
          <w:bCs/>
        </w:rPr>
        <w:t xml:space="preserve"> SUJETO OBLIGADO</w:t>
      </w:r>
      <w:r>
        <w:rPr>
          <w:rFonts w:ascii="Palatino Linotype" w:eastAsia="Palatino Linotype" w:hAnsi="Palatino Linotype" w:cs="Palatino Linotype"/>
        </w:rPr>
        <w:t>, se procede a dictar la presente resolución, con base en los siguientes:</w:t>
      </w:r>
    </w:p>
    <w:p w:rsidR="00AE293F" w:rsidRDefault="00AE293F">
      <w:pPr>
        <w:spacing w:line="360" w:lineRule="auto"/>
        <w:ind w:right="-1071"/>
        <w:jc w:val="both"/>
        <w:rPr>
          <w:rFonts w:ascii="Palatino Linotype" w:eastAsia="Palatino Linotype" w:hAnsi="Palatino Linotype" w:cs="Palatino Linotype"/>
        </w:rPr>
      </w:pPr>
    </w:p>
    <w:p w:rsidR="00AE293F" w:rsidRDefault="00FD56B2">
      <w:pPr>
        <w:pStyle w:val="Ttulo1"/>
        <w:spacing w:line="360" w:lineRule="auto"/>
        <w:ind w:right="-1071"/>
        <w:jc w:val="center"/>
        <w:rPr>
          <w:rFonts w:ascii="Palatino Linotype" w:eastAsia="Palatino Linotype" w:hAnsi="Palatino Linotype" w:cs="Palatino Linotype"/>
          <w:b/>
          <w:bCs/>
          <w:color w:val="000000"/>
          <w:sz w:val="24"/>
          <w:szCs w:val="24"/>
        </w:rPr>
      </w:pPr>
      <w:bookmarkStart w:id="0" w:name="_heading=h.11skvlhazns" w:colFirst="0" w:colLast="0"/>
      <w:bookmarkEnd w:id="0"/>
      <w:r>
        <w:rPr>
          <w:rFonts w:ascii="Palatino Linotype" w:eastAsia="Palatino Linotype" w:hAnsi="Palatino Linotype" w:cs="Palatino Linotype"/>
          <w:b/>
          <w:bCs/>
          <w:color w:val="000000"/>
          <w:sz w:val="24"/>
          <w:szCs w:val="24"/>
        </w:rPr>
        <w:t>A N T E C E D E N T E S</w:t>
      </w:r>
    </w:p>
    <w:p w:rsidR="00AE293F" w:rsidRDefault="00AE293F">
      <w:pPr>
        <w:ind w:right="-1071"/>
      </w:pPr>
    </w:p>
    <w:p w:rsidR="00AE293F" w:rsidRDefault="00FD56B2">
      <w:pPr>
        <w:numPr>
          <w:ilvl w:val="0"/>
          <w:numId w:val="1"/>
        </w:numPr>
        <w:pBdr>
          <w:top w:val="nil"/>
          <w:left w:val="nil"/>
          <w:bottom w:val="nil"/>
          <w:right w:val="nil"/>
          <w:between w:val="nil"/>
        </w:pBdr>
        <w:tabs>
          <w:tab w:val="left" w:pos="0"/>
        </w:tabs>
        <w:spacing w:line="360" w:lineRule="auto"/>
        <w:ind w:left="0" w:right="-1071" w:firstLine="0"/>
        <w:jc w:val="both"/>
        <w:rPr>
          <w:color w:val="000000"/>
        </w:rPr>
      </w:pPr>
      <w:r>
        <w:rPr>
          <w:rFonts w:ascii="Palatino Linotype" w:eastAsia="Palatino Linotype" w:hAnsi="Palatino Linotype" w:cs="Palatino Linotype"/>
          <w:color w:val="000000"/>
        </w:rPr>
        <w:t xml:space="preserve">El día </w:t>
      </w:r>
      <w:r>
        <w:rPr>
          <w:rFonts w:ascii="Palatino Linotype" w:eastAsia="Palatino Linotype" w:hAnsi="Palatino Linotype" w:cs="Palatino Linotype"/>
          <w:b/>
          <w:bCs/>
          <w:color w:val="000000"/>
        </w:rPr>
        <w:t xml:space="preserve">veintidós de enero de dos mil veintiséis, </w:t>
      </w:r>
      <w:r>
        <w:rPr>
          <w:rFonts w:ascii="Palatino Linotype" w:eastAsia="Palatino Linotype" w:hAnsi="Palatino Linotype" w:cs="Palatino Linotype"/>
          <w:color w:val="000000"/>
        </w:rPr>
        <w:t xml:space="preserve">se presentó ante 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vía SAIMEX, la solicitud de información pública registrada con el número</w:t>
      </w:r>
      <w:r>
        <w:rPr>
          <w:rFonts w:ascii="Palatino Linotype" w:eastAsia="Palatino Linotype" w:hAnsi="Palatino Linotype" w:cs="Palatino Linotype"/>
          <w:b/>
          <w:bCs/>
          <w:color w:val="000000"/>
        </w:rPr>
        <w:t xml:space="preserve"> 00008/PAPALO/IP/2026; </w:t>
      </w:r>
      <w:r>
        <w:rPr>
          <w:rFonts w:ascii="Palatino Linotype" w:eastAsia="Palatino Linotype" w:hAnsi="Palatino Linotype" w:cs="Palatino Linotype"/>
        </w:rPr>
        <w:t>en la que</w:t>
      </w:r>
      <w:r>
        <w:rPr>
          <w:rFonts w:ascii="Palatino Linotype" w:eastAsia="Palatino Linotype" w:hAnsi="Palatino Linotype" w:cs="Palatino Linotype"/>
          <w:color w:val="000000"/>
        </w:rPr>
        <w:t xml:space="preserve"> se solicitó la siguiente información:</w:t>
      </w:r>
    </w:p>
    <w:p w:rsidR="00AE293F" w:rsidRDefault="00AE293F">
      <w:pPr>
        <w:pBdr>
          <w:top w:val="nil"/>
          <w:left w:val="nil"/>
          <w:bottom w:val="nil"/>
          <w:right w:val="nil"/>
          <w:between w:val="nil"/>
        </w:pBdr>
        <w:spacing w:line="360" w:lineRule="auto"/>
        <w:ind w:right="-1071"/>
        <w:jc w:val="both"/>
        <w:rPr>
          <w:rFonts w:ascii="Palatino Linotype" w:eastAsia="Palatino Linotype" w:hAnsi="Palatino Linotype" w:cs="Palatino Linotype"/>
          <w:color w:val="000000"/>
        </w:rPr>
      </w:pPr>
    </w:p>
    <w:p w:rsidR="00AE293F" w:rsidRDefault="00FD56B2">
      <w:pPr>
        <w:pBdr>
          <w:top w:val="nil"/>
          <w:left w:val="nil"/>
          <w:bottom w:val="nil"/>
          <w:right w:val="nil"/>
          <w:between w:val="nil"/>
        </w:pBdr>
        <w:ind w:left="426" w:right="-107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“Se solicita una copia digital de los documentos que contengan las evaluaciones al Plan de Desarrollo Municipal </w:t>
      </w:r>
      <w:bookmarkStart w:id="1" w:name="_GoBack"/>
      <w:bookmarkEnd w:id="1"/>
      <w:r>
        <w:rPr>
          <w:rFonts w:ascii="Palatino Linotype" w:eastAsia="Palatino Linotype" w:hAnsi="Palatino Linotype" w:cs="Palatino Linotype"/>
          <w:i/>
          <w:iCs/>
          <w:color w:val="000000"/>
        </w:rPr>
        <w:t xml:space="preserve">realizadas para el período que corresponde al ejercicio fiscal 2025.” </w:t>
      </w:r>
      <w:r>
        <w:rPr>
          <w:rFonts w:ascii="Palatino Linotype" w:eastAsia="Palatino Linotype" w:hAnsi="Palatino Linotype" w:cs="Palatino Linotype"/>
          <w:color w:val="000000"/>
        </w:rPr>
        <w:t>(Sic)</w:t>
      </w:r>
    </w:p>
    <w:p w:rsidR="00AE293F" w:rsidRDefault="00AE293F">
      <w:pPr>
        <w:pBdr>
          <w:top w:val="nil"/>
          <w:left w:val="nil"/>
          <w:bottom w:val="nil"/>
          <w:right w:val="nil"/>
          <w:between w:val="nil"/>
        </w:pBdr>
        <w:spacing w:line="360" w:lineRule="auto"/>
        <w:ind w:left="426" w:right="-1071"/>
        <w:jc w:val="both"/>
        <w:rPr>
          <w:rFonts w:ascii="Palatino Linotype" w:eastAsia="Palatino Linotype" w:hAnsi="Palatino Linotype" w:cs="Palatino Linotype"/>
        </w:rPr>
      </w:pPr>
    </w:p>
    <w:p w:rsidR="00AE293F" w:rsidRDefault="00AE293F">
      <w:pPr>
        <w:pBdr>
          <w:top w:val="nil"/>
          <w:left w:val="nil"/>
          <w:bottom w:val="nil"/>
          <w:right w:val="nil"/>
          <w:between w:val="nil"/>
        </w:pBdr>
        <w:spacing w:line="360" w:lineRule="auto"/>
        <w:ind w:left="426" w:right="-1071"/>
        <w:jc w:val="both"/>
        <w:rPr>
          <w:rFonts w:ascii="Palatino Linotype" w:eastAsia="Palatino Linotype" w:hAnsi="Palatino Linotype" w:cs="Palatino Linotype"/>
        </w:rPr>
      </w:pPr>
    </w:p>
    <w:p w:rsidR="00AE293F" w:rsidRDefault="00FD56B2">
      <w:pPr>
        <w:numPr>
          <w:ilvl w:val="0"/>
          <w:numId w:val="2"/>
        </w:numPr>
        <w:pBdr>
          <w:top w:val="nil"/>
          <w:left w:val="nil"/>
          <w:bottom w:val="nil"/>
          <w:right w:val="nil"/>
          <w:between w:val="nil"/>
        </w:pBdr>
        <w:spacing w:line="360" w:lineRule="auto"/>
        <w:ind w:left="851" w:right="-1071"/>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Se eligió como modalidad de entrega de la información: A través del </w:t>
      </w:r>
      <w:r>
        <w:rPr>
          <w:rFonts w:ascii="Palatino Linotype" w:eastAsia="Palatino Linotype" w:hAnsi="Palatino Linotype" w:cs="Palatino Linotype"/>
          <w:b/>
          <w:bCs/>
          <w:color w:val="000000"/>
        </w:rPr>
        <w:t>SAIMEX.</w:t>
      </w:r>
    </w:p>
    <w:p w:rsidR="00AE293F" w:rsidRDefault="00AE293F">
      <w:pPr>
        <w:spacing w:line="360" w:lineRule="auto"/>
        <w:ind w:right="-1071"/>
        <w:jc w:val="both"/>
        <w:rPr>
          <w:rFonts w:ascii="Palatino Linotype" w:eastAsia="Palatino Linotype" w:hAnsi="Palatino Linotype" w:cs="Palatino Linotype"/>
        </w:rPr>
      </w:pPr>
    </w:p>
    <w:p w:rsidR="00AE293F" w:rsidRDefault="00FD56B2">
      <w:pPr>
        <w:numPr>
          <w:ilvl w:val="0"/>
          <w:numId w:val="1"/>
        </w:numPr>
        <w:pBdr>
          <w:top w:val="nil"/>
          <w:left w:val="nil"/>
          <w:bottom w:val="nil"/>
          <w:right w:val="nil"/>
          <w:between w:val="nil"/>
        </w:pBdr>
        <w:tabs>
          <w:tab w:val="left" w:pos="0"/>
        </w:tabs>
        <w:spacing w:line="360" w:lineRule="auto"/>
        <w:ind w:left="0" w:right="-1071" w:firstLine="0"/>
        <w:jc w:val="both"/>
        <w:rPr>
          <w:rFonts w:ascii="Palatino Linotype" w:eastAsia="Palatino Linotype" w:hAnsi="Palatino Linotype" w:cs="Palatino Linotype"/>
          <w:b/>
          <w:bCs/>
          <w:color w:val="000000"/>
        </w:rPr>
      </w:pPr>
      <w:r>
        <w:rPr>
          <w:rFonts w:ascii="Palatino Linotype" w:eastAsia="Palatino Linotype" w:hAnsi="Palatino Linotype" w:cs="Palatino Linotype"/>
          <w:color w:val="000000"/>
        </w:rPr>
        <w:t xml:space="preserve">El </w:t>
      </w:r>
      <w:r>
        <w:rPr>
          <w:rFonts w:ascii="Palatino Linotype" w:eastAsia="Palatino Linotype" w:hAnsi="Palatino Linotype" w:cs="Palatino Linotype"/>
          <w:b/>
          <w:bCs/>
          <w:color w:val="000000"/>
        </w:rPr>
        <w:t>doce de febrero de dos mil veintiséis</w:t>
      </w:r>
      <w:r>
        <w:rPr>
          <w:rFonts w:ascii="Palatino Linotype" w:eastAsia="Palatino Linotype" w:hAnsi="Palatino Linotype" w:cs="Palatino Linotype"/>
          <w:color w:val="000000"/>
        </w:rPr>
        <w:t xml:space="preserve">, 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dio respuesta a través del archivo </w:t>
      </w:r>
      <w:r>
        <w:rPr>
          <w:rFonts w:ascii="Palatino Linotype" w:eastAsia="Palatino Linotype" w:hAnsi="Palatino Linotype" w:cs="Palatino Linotype"/>
          <w:b/>
          <w:bCs/>
          <w:i/>
          <w:iCs/>
        </w:rPr>
        <w:t>R.SOLICITUD 8.pdf</w:t>
      </w:r>
      <w:r>
        <w:rPr>
          <w:rFonts w:ascii="Palatino Linotype" w:eastAsia="Palatino Linotype" w:hAnsi="Palatino Linotype" w:cs="Palatino Linotype"/>
          <w:b/>
          <w:bCs/>
          <w:i/>
          <w:iCs/>
          <w:color w:val="000000"/>
        </w:rPr>
        <w:t>,</w:t>
      </w:r>
      <w:r>
        <w:rPr>
          <w:rFonts w:ascii="Palatino Linotype" w:eastAsia="Palatino Linotype" w:hAnsi="Palatino Linotype" w:cs="Palatino Linotype"/>
          <w:i/>
          <w:iCs/>
          <w:color w:val="000000"/>
        </w:rPr>
        <w:t xml:space="preserve"> </w:t>
      </w:r>
      <w:r>
        <w:rPr>
          <w:rFonts w:ascii="Palatino Linotype" w:eastAsia="Palatino Linotype" w:hAnsi="Palatino Linotype" w:cs="Palatino Linotype"/>
          <w:color w:val="000000"/>
        </w:rPr>
        <w:t xml:space="preserve">del que se desprende el oficio firmado por el Titular de la Unidad de Transparencia, por el que </w:t>
      </w:r>
      <w:r>
        <w:rPr>
          <w:rFonts w:ascii="Palatino Linotype" w:eastAsia="Palatino Linotype" w:hAnsi="Palatino Linotype" w:cs="Palatino Linotype"/>
        </w:rPr>
        <w:t>informó</w:t>
      </w:r>
      <w:r>
        <w:rPr>
          <w:rFonts w:ascii="Palatino Linotype" w:eastAsia="Palatino Linotype" w:hAnsi="Palatino Linotype" w:cs="Palatino Linotype"/>
          <w:color w:val="000000"/>
        </w:rPr>
        <w:t xml:space="preserve"> lo siguiente:</w:t>
      </w:r>
    </w:p>
    <w:p w:rsidR="00AE293F" w:rsidRDefault="00FD56B2">
      <w:pPr>
        <w:pBdr>
          <w:top w:val="nil"/>
          <w:left w:val="nil"/>
          <w:bottom w:val="nil"/>
          <w:right w:val="nil"/>
          <w:between w:val="nil"/>
        </w:pBdr>
        <w:ind w:left="567" w:right="-107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lastRenderedPageBreak/>
        <w:t xml:space="preserve">En relación con la solicitud presentada, se le informa que las evaluaciones al Plan de Desarrollo Municipal no son elaboradas por un único responsable, sino que se integran a partir de diversos actores y mecanismos de seguimiento. Entre ellos se encuentran las áreas administrativas del Ayuntamiento, la Contraloría Municipal, los órganos de planeación y evaluación estatales, así como los informes de avance que cada dependencia municipal genera en cumplimiento de la normativa aplicable. </w:t>
      </w:r>
    </w:p>
    <w:p w:rsidR="00AE293F" w:rsidRDefault="00AE293F">
      <w:pPr>
        <w:pBdr>
          <w:top w:val="nil"/>
          <w:left w:val="nil"/>
          <w:bottom w:val="nil"/>
          <w:right w:val="nil"/>
          <w:between w:val="nil"/>
        </w:pBdr>
        <w:ind w:left="567" w:right="-1071"/>
        <w:jc w:val="both"/>
        <w:rPr>
          <w:rFonts w:ascii="Palatino Linotype" w:eastAsia="Palatino Linotype" w:hAnsi="Palatino Linotype" w:cs="Palatino Linotype"/>
          <w:i/>
          <w:iCs/>
          <w:color w:val="000000"/>
        </w:rPr>
      </w:pPr>
    </w:p>
    <w:p w:rsidR="00AE293F" w:rsidRDefault="00FD56B2">
      <w:pPr>
        <w:pBdr>
          <w:top w:val="nil"/>
          <w:left w:val="nil"/>
          <w:bottom w:val="nil"/>
          <w:right w:val="nil"/>
          <w:between w:val="nil"/>
        </w:pBdr>
        <w:ind w:left="567" w:right="-107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Por lo anterior, los documentos que contienen dichas evaluaciones se encuentran distribuidos en distintas dependencias y se integran en informes periódicos (trimestrales y anuales), asi como en los reportes de la Contraloria, etc.</w:t>
      </w:r>
    </w:p>
    <w:p w:rsidR="00AE293F" w:rsidRDefault="00AE293F">
      <w:pPr>
        <w:pBdr>
          <w:top w:val="nil"/>
          <w:left w:val="nil"/>
          <w:bottom w:val="nil"/>
          <w:right w:val="nil"/>
          <w:between w:val="nil"/>
        </w:pBdr>
        <w:tabs>
          <w:tab w:val="left" w:pos="0"/>
        </w:tabs>
        <w:spacing w:line="360" w:lineRule="auto"/>
        <w:ind w:right="-1071"/>
        <w:jc w:val="both"/>
        <w:rPr>
          <w:rFonts w:ascii="Palatino Linotype" w:eastAsia="Palatino Linotype" w:hAnsi="Palatino Linotype" w:cs="Palatino Linotype"/>
          <w:color w:val="000000"/>
        </w:rPr>
      </w:pPr>
    </w:p>
    <w:p w:rsidR="00AE293F" w:rsidRDefault="00FD56B2">
      <w:pPr>
        <w:numPr>
          <w:ilvl w:val="0"/>
          <w:numId w:val="1"/>
        </w:numPr>
        <w:pBdr>
          <w:top w:val="nil"/>
          <w:left w:val="nil"/>
          <w:bottom w:val="nil"/>
          <w:right w:val="nil"/>
          <w:between w:val="nil"/>
        </w:pBdr>
        <w:tabs>
          <w:tab w:val="left" w:pos="0"/>
        </w:tabs>
        <w:spacing w:line="360" w:lineRule="auto"/>
        <w:ind w:left="0" w:right="-1071" w:firstLine="0"/>
        <w:jc w:val="both"/>
        <w:rPr>
          <w:color w:val="000000"/>
        </w:rPr>
      </w:pPr>
      <w:r>
        <w:rPr>
          <w:rFonts w:ascii="Palatino Linotype" w:eastAsia="Palatino Linotype" w:hAnsi="Palatino Linotype" w:cs="Palatino Linotype"/>
          <w:color w:val="000000"/>
        </w:rPr>
        <w:t xml:space="preserve">Inconforme con lo anterior, el </w:t>
      </w:r>
      <w:r>
        <w:rPr>
          <w:rFonts w:ascii="Palatino Linotype" w:eastAsia="Palatino Linotype" w:hAnsi="Palatino Linotype" w:cs="Palatino Linotype"/>
          <w:b/>
          <w:bCs/>
          <w:color w:val="000000"/>
        </w:rPr>
        <w:t>veinte de febrero de dos mil veintiséis</w:t>
      </w:r>
      <w:r>
        <w:rPr>
          <w:rFonts w:ascii="Palatino Linotype" w:eastAsia="Palatino Linotype" w:hAnsi="Palatino Linotype" w:cs="Palatino Linotype"/>
          <w:color w:val="000000"/>
        </w:rPr>
        <w:t xml:space="preserve">, el </w:t>
      </w:r>
      <w:r>
        <w:rPr>
          <w:rFonts w:ascii="Palatino Linotype" w:eastAsia="Palatino Linotype" w:hAnsi="Palatino Linotype" w:cs="Palatino Linotype"/>
          <w:b/>
          <w:bCs/>
          <w:color w:val="000000"/>
        </w:rPr>
        <w:t xml:space="preserve">PARTICULAR </w:t>
      </w:r>
      <w:r>
        <w:rPr>
          <w:rFonts w:ascii="Palatino Linotype" w:eastAsia="Palatino Linotype" w:hAnsi="Palatino Linotype" w:cs="Palatino Linotype"/>
          <w:color w:val="000000"/>
        </w:rPr>
        <w:t>interpuso el recurso de revisión en contra de la respuesta, manifestando las siguientes razones o motivos de inconformidad:</w:t>
      </w:r>
    </w:p>
    <w:p w:rsidR="00AE293F" w:rsidRDefault="00AE293F">
      <w:pPr>
        <w:pBdr>
          <w:top w:val="nil"/>
          <w:left w:val="nil"/>
          <w:bottom w:val="nil"/>
          <w:right w:val="nil"/>
          <w:between w:val="nil"/>
        </w:pBdr>
        <w:tabs>
          <w:tab w:val="left" w:pos="0"/>
        </w:tabs>
        <w:spacing w:line="360" w:lineRule="auto"/>
        <w:ind w:right="-1071"/>
        <w:jc w:val="both"/>
        <w:rPr>
          <w:rFonts w:ascii="Palatino Linotype" w:eastAsia="Palatino Linotype" w:hAnsi="Palatino Linotype" w:cs="Palatino Linotype"/>
          <w:i/>
          <w:iCs/>
          <w:color w:val="000000"/>
        </w:rPr>
      </w:pPr>
    </w:p>
    <w:p w:rsidR="00AE293F" w:rsidRDefault="00FD56B2">
      <w:pPr>
        <w:numPr>
          <w:ilvl w:val="0"/>
          <w:numId w:val="2"/>
        </w:numPr>
        <w:pBdr>
          <w:top w:val="nil"/>
          <w:left w:val="nil"/>
          <w:bottom w:val="nil"/>
          <w:right w:val="nil"/>
          <w:between w:val="nil"/>
        </w:pBdr>
        <w:ind w:left="567" w:right="-1071"/>
        <w:jc w:val="both"/>
        <w:rPr>
          <w:rFonts w:ascii="Palatino Linotype" w:eastAsia="Palatino Linotype" w:hAnsi="Palatino Linotype" w:cs="Palatino Linotype"/>
          <w:b/>
          <w:bCs/>
          <w:color w:val="000000"/>
        </w:rPr>
      </w:pPr>
      <w:bookmarkStart w:id="2" w:name="_heading=h.hky507s7oac9" w:colFirst="0" w:colLast="0"/>
      <w:bookmarkEnd w:id="2"/>
      <w:r>
        <w:rPr>
          <w:rFonts w:ascii="Palatino Linotype" w:eastAsia="Palatino Linotype" w:hAnsi="Palatino Linotype" w:cs="Palatino Linotype"/>
          <w:b/>
          <w:bCs/>
          <w:color w:val="000000"/>
        </w:rPr>
        <w:t>Acto impugnado: “</w:t>
      </w:r>
      <w:r>
        <w:rPr>
          <w:rFonts w:ascii="Palatino Linotype" w:eastAsia="Palatino Linotype" w:hAnsi="Palatino Linotype" w:cs="Palatino Linotype"/>
          <w:i/>
          <w:iCs/>
          <w:color w:val="000000"/>
        </w:rPr>
        <w:t>Respuesta del Sujeto Obligado”</w:t>
      </w:r>
    </w:p>
    <w:p w:rsidR="00AE293F" w:rsidRDefault="00AE293F">
      <w:pPr>
        <w:pBdr>
          <w:top w:val="nil"/>
          <w:left w:val="nil"/>
          <w:bottom w:val="nil"/>
          <w:right w:val="nil"/>
          <w:between w:val="nil"/>
        </w:pBdr>
        <w:ind w:left="567" w:right="-1071"/>
        <w:jc w:val="both"/>
        <w:rPr>
          <w:rFonts w:ascii="Palatino Linotype" w:eastAsia="Palatino Linotype" w:hAnsi="Palatino Linotype" w:cs="Palatino Linotype"/>
          <w:b/>
          <w:bCs/>
          <w:color w:val="000000"/>
        </w:rPr>
      </w:pPr>
    </w:p>
    <w:p w:rsidR="00AE293F" w:rsidRDefault="00FD56B2">
      <w:pPr>
        <w:numPr>
          <w:ilvl w:val="0"/>
          <w:numId w:val="2"/>
        </w:numPr>
        <w:pBdr>
          <w:top w:val="nil"/>
          <w:left w:val="nil"/>
          <w:bottom w:val="nil"/>
          <w:right w:val="nil"/>
          <w:between w:val="nil"/>
        </w:pBdr>
        <w:ind w:left="567" w:right="-1071"/>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color w:val="000000"/>
        </w:rPr>
        <w:t xml:space="preserve">Razones o Motivos de inconformidad: </w:t>
      </w:r>
      <w:r>
        <w:rPr>
          <w:rFonts w:ascii="Palatino Linotype" w:eastAsia="Palatino Linotype" w:hAnsi="Palatino Linotype" w:cs="Palatino Linotype"/>
          <w:i/>
          <w:iCs/>
          <w:color w:val="000000"/>
        </w:rPr>
        <w:t>“En su respuesta, de manera tácita, el Sujeto Obligado (SO) se niega a entregar la información solicitada, justificando para ello (sin fundamento legal alguno) que dicha información la posee de forma dispersa en distintas dependencias. Cabe hacer mención, de que la dispersión de lo solicitado no es razón para que el SO no cumpla con sus obligaciones en materia de transparencia. Tan es cierto esto, que el propio SO no halló fundamento legal alguno con el cual sostener su negativa de entrega..”</w:t>
      </w:r>
    </w:p>
    <w:p w:rsidR="00AE293F" w:rsidRDefault="00AE293F">
      <w:pPr>
        <w:spacing w:line="360" w:lineRule="auto"/>
        <w:ind w:right="-1071"/>
        <w:rPr>
          <w:rFonts w:ascii="Palatino Linotype" w:eastAsia="Palatino Linotype" w:hAnsi="Palatino Linotype" w:cs="Palatino Linotype"/>
          <w:i/>
          <w:iCs/>
          <w:color w:val="000000"/>
        </w:rPr>
      </w:pPr>
    </w:p>
    <w:p w:rsidR="00AE293F" w:rsidRDefault="00FD56B2">
      <w:pPr>
        <w:numPr>
          <w:ilvl w:val="0"/>
          <w:numId w:val="1"/>
        </w:numPr>
        <w:pBdr>
          <w:top w:val="nil"/>
          <w:left w:val="nil"/>
          <w:bottom w:val="nil"/>
          <w:right w:val="nil"/>
          <w:between w:val="nil"/>
        </w:pBdr>
        <w:spacing w:line="360" w:lineRule="auto"/>
        <w:ind w:left="0" w:right="-1071" w:firstLine="0"/>
        <w:jc w:val="both"/>
        <w:rPr>
          <w:color w:val="000000"/>
        </w:rPr>
      </w:pPr>
      <w:r>
        <w:rPr>
          <w:rFonts w:ascii="Palatino Linotype" w:eastAsia="Palatino Linotype" w:hAnsi="Palatino Linotype" w:cs="Palatino Linotype"/>
          <w:color w:val="000000"/>
        </w:rPr>
        <w:t xml:space="preserve">La Comisionada Ponente con fundamento en lo dispuesto por el artículo 185 fracción II de la ley de la materia, a través del acuerdo de admisión de fecha </w:t>
      </w:r>
      <w:r>
        <w:rPr>
          <w:rFonts w:ascii="Palatino Linotype" w:eastAsia="Palatino Linotype" w:hAnsi="Palatino Linotype" w:cs="Palatino Linotype"/>
          <w:b/>
          <w:bCs/>
          <w:color w:val="000000"/>
        </w:rPr>
        <w:t>veintitrés de febrero de dos mil veintiséis</w:t>
      </w:r>
      <w:r>
        <w:rPr>
          <w:rFonts w:ascii="Palatino Linotype" w:eastAsia="Palatino Linotype" w:hAnsi="Palatino Linotype" w:cs="Palatino Linotype"/>
          <w:color w:val="000000"/>
        </w:rPr>
        <w:t xml:space="preserve">, puso a disposición de las partes el expediente electrónico vía </w:t>
      </w:r>
      <w:r>
        <w:rPr>
          <w:rFonts w:ascii="Palatino Linotype" w:eastAsia="Palatino Linotype" w:hAnsi="Palatino Linotype" w:cs="Palatino Linotype"/>
          <w:b/>
          <w:bCs/>
          <w:color w:val="000000"/>
        </w:rPr>
        <w:t xml:space="preserve">SAIMEX </w:t>
      </w:r>
      <w:r>
        <w:rPr>
          <w:rFonts w:ascii="Palatino Linotype" w:eastAsia="Palatino Linotype" w:hAnsi="Palatino Linotype" w:cs="Palatino Linotype"/>
          <w:color w:val="000000"/>
        </w:rPr>
        <w:t xml:space="preserve">a efecto de que en un plazo máximo de siete días </w:t>
      </w:r>
      <w:r>
        <w:rPr>
          <w:rFonts w:ascii="Palatino Linotype" w:eastAsia="Palatino Linotype" w:hAnsi="Palatino Linotype" w:cs="Palatino Linotype"/>
        </w:rPr>
        <w:t>manifestara</w:t>
      </w:r>
      <w:r>
        <w:rPr>
          <w:rFonts w:ascii="Palatino Linotype" w:eastAsia="Palatino Linotype" w:hAnsi="Palatino Linotype" w:cs="Palatino Linotype"/>
          <w:color w:val="000000"/>
        </w:rPr>
        <w:t xml:space="preserve"> lo que a su derecho conviniera, </w:t>
      </w:r>
      <w:r>
        <w:rPr>
          <w:rFonts w:ascii="Palatino Linotype" w:eastAsia="Palatino Linotype" w:hAnsi="Palatino Linotype" w:cs="Palatino Linotype"/>
        </w:rPr>
        <w:t>ofreciera</w:t>
      </w:r>
      <w:r>
        <w:rPr>
          <w:rFonts w:ascii="Palatino Linotype" w:eastAsia="Palatino Linotype" w:hAnsi="Palatino Linotype" w:cs="Palatino Linotype"/>
          <w:color w:val="000000"/>
        </w:rPr>
        <w:t xml:space="preserve"> pruebas y alegatos según corresponda a los casos concretos, y 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presentará el Informe Justificado procedente.</w:t>
      </w:r>
    </w:p>
    <w:p w:rsidR="00AE293F" w:rsidRDefault="00FD56B2">
      <w:pPr>
        <w:numPr>
          <w:ilvl w:val="0"/>
          <w:numId w:val="1"/>
        </w:numPr>
        <w:pBdr>
          <w:top w:val="nil"/>
          <w:left w:val="nil"/>
          <w:bottom w:val="nil"/>
          <w:right w:val="nil"/>
          <w:between w:val="nil"/>
        </w:pBdr>
        <w:spacing w:line="360" w:lineRule="auto"/>
        <w:ind w:left="0" w:right="-1071"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lastRenderedPageBreak/>
        <w:t xml:space="preserve">Las partes fueron omisas en realizar manifestaciones conforme a su derecho conviniera y/o asistiera. </w:t>
      </w:r>
    </w:p>
    <w:p w:rsidR="00AE293F" w:rsidRDefault="00AE293F">
      <w:pPr>
        <w:pBdr>
          <w:top w:val="nil"/>
          <w:left w:val="nil"/>
          <w:bottom w:val="nil"/>
          <w:right w:val="nil"/>
          <w:between w:val="nil"/>
        </w:pBdr>
        <w:spacing w:line="360" w:lineRule="auto"/>
        <w:ind w:right="-1071"/>
        <w:jc w:val="both"/>
        <w:rPr>
          <w:rFonts w:ascii="Palatino Linotype" w:eastAsia="Palatino Linotype" w:hAnsi="Palatino Linotype" w:cs="Palatino Linotype"/>
          <w:color w:val="000000"/>
        </w:rPr>
      </w:pPr>
    </w:p>
    <w:p w:rsidR="00AE293F" w:rsidRDefault="00FD56B2">
      <w:pPr>
        <w:numPr>
          <w:ilvl w:val="0"/>
          <w:numId w:val="1"/>
        </w:numPr>
        <w:pBdr>
          <w:top w:val="nil"/>
          <w:left w:val="nil"/>
          <w:bottom w:val="nil"/>
          <w:right w:val="nil"/>
          <w:between w:val="nil"/>
        </w:pBdr>
        <w:spacing w:line="360" w:lineRule="auto"/>
        <w:ind w:left="0" w:right="-1071" w:firstLine="0"/>
        <w:jc w:val="both"/>
        <w:rPr>
          <w:color w:val="000000"/>
        </w:rPr>
      </w:pPr>
      <w:r>
        <w:rPr>
          <w:rFonts w:ascii="Palatino Linotype" w:eastAsia="Palatino Linotype" w:hAnsi="Palatino Linotype" w:cs="Palatino Linotype"/>
          <w:color w:val="000000"/>
        </w:rPr>
        <w:t xml:space="preserve">En fecha </w:t>
      </w:r>
      <w:r>
        <w:rPr>
          <w:rFonts w:ascii="Palatino Linotype" w:eastAsia="Palatino Linotype" w:hAnsi="Palatino Linotype" w:cs="Palatino Linotype"/>
          <w:b/>
          <w:bCs/>
          <w:color w:val="000000"/>
        </w:rPr>
        <w:t>veinte de mayo de dos mil veintiséis</w:t>
      </w:r>
      <w:r>
        <w:rPr>
          <w:rFonts w:ascii="Palatino Linotype" w:eastAsia="Palatino Linotype" w:hAnsi="Palatino Linotype" w:cs="Palatino Linotype"/>
          <w:color w:val="000000"/>
        </w:rPr>
        <w:t xml:space="preserve">, se amplió el término para resolver. </w:t>
      </w:r>
    </w:p>
    <w:p w:rsidR="00AE293F" w:rsidRDefault="00AE293F">
      <w:pPr>
        <w:pBdr>
          <w:top w:val="nil"/>
          <w:left w:val="nil"/>
          <w:bottom w:val="nil"/>
          <w:right w:val="nil"/>
          <w:between w:val="nil"/>
        </w:pBdr>
        <w:spacing w:line="360" w:lineRule="auto"/>
        <w:ind w:right="-1071"/>
        <w:jc w:val="both"/>
        <w:rPr>
          <w:rFonts w:ascii="Palatino Linotype" w:eastAsia="Palatino Linotype" w:hAnsi="Palatino Linotype" w:cs="Palatino Linotype"/>
          <w:color w:val="000000"/>
        </w:rPr>
      </w:pPr>
    </w:p>
    <w:p w:rsidR="00AE293F" w:rsidRDefault="00FD56B2">
      <w:pPr>
        <w:numPr>
          <w:ilvl w:val="0"/>
          <w:numId w:val="1"/>
        </w:numPr>
        <w:pBdr>
          <w:top w:val="nil"/>
          <w:left w:val="nil"/>
          <w:bottom w:val="nil"/>
          <w:right w:val="nil"/>
          <w:between w:val="nil"/>
        </w:pBdr>
        <w:spacing w:line="360" w:lineRule="auto"/>
        <w:ind w:left="0" w:right="-1071" w:firstLine="0"/>
        <w:jc w:val="both"/>
        <w:rPr>
          <w:rFonts w:ascii="Palatino Linotype" w:eastAsia="Palatino Linotype" w:hAnsi="Palatino Linotype" w:cs="Palatino Linotype"/>
          <w:b/>
          <w:bCs/>
          <w:color w:val="000000"/>
        </w:rPr>
      </w:pPr>
      <w:bookmarkStart w:id="3" w:name="_heading=h.xydhf478z1x8" w:colFirst="0" w:colLast="0"/>
      <w:bookmarkEnd w:id="3"/>
      <w:r>
        <w:rPr>
          <w:rFonts w:ascii="Palatino Linotype" w:eastAsia="Palatino Linotype" w:hAnsi="Palatino Linotype" w:cs="Palatino Linotype"/>
          <w:color w:val="000000"/>
        </w:rPr>
        <w:t xml:space="preserve">Finalmente, mediante acuerdo de </w:t>
      </w:r>
      <w:r>
        <w:rPr>
          <w:rFonts w:ascii="Palatino Linotype" w:eastAsia="Palatino Linotype" w:hAnsi="Palatino Linotype" w:cs="Palatino Linotype"/>
          <w:b/>
          <w:bCs/>
          <w:color w:val="000000"/>
        </w:rPr>
        <w:t>veinte de mayo de dos mil veintiséis,</w:t>
      </w:r>
      <w:r>
        <w:rPr>
          <w:rFonts w:ascii="Palatino Linotype" w:eastAsia="Palatino Linotype" w:hAnsi="Palatino Linotype" w:cs="Palatino Linotype"/>
          <w:color w:val="000000"/>
        </w:rPr>
        <w:t xml:space="preserve"> se  decretó el cierre de instrucción, por lo que no habiendo más que hacer constar, y </w:t>
      </w:r>
    </w:p>
    <w:p w:rsidR="00AE293F" w:rsidRDefault="00AE293F">
      <w:pPr>
        <w:pBdr>
          <w:top w:val="nil"/>
          <w:left w:val="nil"/>
          <w:bottom w:val="nil"/>
          <w:right w:val="nil"/>
          <w:between w:val="nil"/>
        </w:pBdr>
        <w:spacing w:line="360" w:lineRule="auto"/>
        <w:ind w:right="-1071"/>
        <w:rPr>
          <w:rFonts w:ascii="Palatino Linotype" w:eastAsia="Palatino Linotype" w:hAnsi="Palatino Linotype" w:cs="Palatino Linotype"/>
          <w:b/>
          <w:bCs/>
          <w:color w:val="000000"/>
        </w:rPr>
      </w:pPr>
    </w:p>
    <w:p w:rsidR="00AE293F" w:rsidRDefault="00FD56B2">
      <w:pPr>
        <w:pBdr>
          <w:top w:val="nil"/>
          <w:left w:val="nil"/>
          <w:bottom w:val="nil"/>
          <w:right w:val="nil"/>
          <w:between w:val="nil"/>
        </w:pBdr>
        <w:spacing w:line="360" w:lineRule="auto"/>
        <w:ind w:right="-1071"/>
        <w:jc w:val="center"/>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C O N S I D E R A N D O</w:t>
      </w:r>
    </w:p>
    <w:p w:rsidR="00AE293F" w:rsidRDefault="00FD56B2">
      <w:pPr>
        <w:pStyle w:val="Ttulo2"/>
        <w:spacing w:before="0" w:line="360" w:lineRule="auto"/>
        <w:ind w:right="-1071"/>
        <w:rPr>
          <w:rFonts w:ascii="Palatino Linotype" w:eastAsia="Palatino Linotype" w:hAnsi="Palatino Linotype" w:cs="Palatino Linotype"/>
          <w:b/>
          <w:bCs/>
          <w:color w:val="000000"/>
          <w:sz w:val="24"/>
          <w:szCs w:val="24"/>
        </w:rPr>
      </w:pPr>
      <w:bookmarkStart w:id="4" w:name="_heading=h.dk5nw3yc58ck" w:colFirst="0" w:colLast="0"/>
      <w:bookmarkEnd w:id="4"/>
      <w:r>
        <w:rPr>
          <w:rFonts w:ascii="Palatino Linotype" w:eastAsia="Palatino Linotype" w:hAnsi="Palatino Linotype" w:cs="Palatino Linotype"/>
          <w:b/>
          <w:bCs/>
          <w:color w:val="000000"/>
          <w:sz w:val="24"/>
          <w:szCs w:val="24"/>
        </w:rPr>
        <w:t>PRIMERO. De la competencia</w:t>
      </w:r>
    </w:p>
    <w:p w:rsidR="00AE293F" w:rsidRDefault="00FD56B2">
      <w:pPr>
        <w:numPr>
          <w:ilvl w:val="0"/>
          <w:numId w:val="1"/>
        </w:numPr>
        <w:pBdr>
          <w:top w:val="nil"/>
          <w:left w:val="nil"/>
          <w:bottom w:val="nil"/>
          <w:right w:val="nil"/>
          <w:between w:val="nil"/>
        </w:pBdr>
        <w:spacing w:line="360" w:lineRule="auto"/>
        <w:ind w:left="0" w:right="-1071" w:firstLine="0"/>
        <w:jc w:val="both"/>
        <w:rPr>
          <w:color w:val="000000"/>
        </w:rPr>
      </w:pPr>
      <w:r>
        <w:rPr>
          <w:rFonts w:ascii="Palatino Linotype" w:eastAsia="Palatino Linotype" w:hAnsi="Palatino Linotype" w:cs="Palatino Linotype"/>
          <w:color w:val="000000"/>
        </w:rPr>
        <w:t>El Instituto de Transparencia, Acceso a la Información Pública y Protección de Datos Personales del Estado de México y Municipios, es competente para conocer y resolver el presente Recurso de Revisión interpuesto por la parte recurrente, conforme a lo dispuesto en los artículos 6°, apartado A de la Constitución Política de los Estados Unidos Mexicanos; 5°, párrafos trigésimo segundo, trigésimo tercero y trigésimo cuarto, fracciones I, II, III, IV y V de la Constitución Política del Estado Libre y Soberano de México; 1°, 8°, 9°, 10, 37 y 42, fracciones I, II y III, de la Ley General de Transparencia y Acceso a la Información Pública; 1°, 2°, fracciones II y IV; 13,  29, 36, fracciones I y II; 176, 178, 179, 181 párrafo tercero, 185, 188 y 189 de la Ley Transparencia y Acceso a la Información Pública del Estado de México y Municipios;</w:t>
      </w:r>
      <w:r>
        <w:rPr>
          <w:color w:val="000000"/>
        </w:rPr>
        <w:t xml:space="preserve"> 7°, </w:t>
      </w:r>
      <w:r>
        <w:rPr>
          <w:rFonts w:ascii="Palatino Linotype" w:eastAsia="Palatino Linotype" w:hAnsi="Palatino Linotype" w:cs="Palatino Linotype"/>
          <w:color w:val="000000"/>
        </w:rPr>
        <w:t>9°, fracciones I y XXIII y 11 del Reglamento Interior del Instituto de Transparencia, Acceso a la Información Pública y Protección de Datos Personales del Estado de México y Municipios.</w:t>
      </w:r>
    </w:p>
    <w:p w:rsidR="00AE293F" w:rsidRDefault="00AE293F">
      <w:pPr>
        <w:pBdr>
          <w:top w:val="nil"/>
          <w:left w:val="nil"/>
          <w:bottom w:val="nil"/>
          <w:right w:val="nil"/>
          <w:between w:val="nil"/>
        </w:pBdr>
        <w:spacing w:line="360" w:lineRule="auto"/>
        <w:ind w:right="-1071"/>
        <w:jc w:val="both"/>
        <w:rPr>
          <w:rFonts w:ascii="Palatino Linotype" w:eastAsia="Palatino Linotype" w:hAnsi="Palatino Linotype" w:cs="Palatino Linotype"/>
          <w:b/>
          <w:bCs/>
          <w:color w:val="000000"/>
        </w:rPr>
      </w:pPr>
    </w:p>
    <w:p w:rsidR="00AE293F" w:rsidRDefault="00FD56B2">
      <w:pPr>
        <w:pStyle w:val="Ttulo2"/>
        <w:ind w:right="-1071"/>
        <w:rPr>
          <w:rFonts w:ascii="Palatino Linotype" w:eastAsia="Palatino Linotype" w:hAnsi="Palatino Linotype" w:cs="Palatino Linotype"/>
          <w:b/>
          <w:bCs/>
          <w:color w:val="000000"/>
          <w:sz w:val="24"/>
          <w:szCs w:val="24"/>
        </w:rPr>
      </w:pPr>
      <w:bookmarkStart w:id="5" w:name="_heading=h.yu2gn3csfh5a" w:colFirst="0" w:colLast="0"/>
      <w:bookmarkEnd w:id="5"/>
      <w:r>
        <w:rPr>
          <w:rFonts w:ascii="Palatino Linotype" w:eastAsia="Palatino Linotype" w:hAnsi="Palatino Linotype" w:cs="Palatino Linotype"/>
          <w:b/>
          <w:bCs/>
          <w:color w:val="000000"/>
          <w:sz w:val="24"/>
          <w:szCs w:val="24"/>
        </w:rPr>
        <w:lastRenderedPageBreak/>
        <w:t>SEGUNDO. De la oportunidad y procedencia.</w:t>
      </w:r>
    </w:p>
    <w:p w:rsidR="00AE293F" w:rsidRDefault="00FD56B2">
      <w:pPr>
        <w:numPr>
          <w:ilvl w:val="0"/>
          <w:numId w:val="1"/>
        </w:numPr>
        <w:pBdr>
          <w:top w:val="nil"/>
          <w:left w:val="nil"/>
          <w:bottom w:val="nil"/>
          <w:right w:val="nil"/>
          <w:between w:val="nil"/>
        </w:pBdr>
        <w:spacing w:line="360" w:lineRule="auto"/>
        <w:ind w:left="0" w:right="-1071" w:firstLine="0"/>
        <w:jc w:val="both"/>
        <w:rPr>
          <w:color w:val="000000"/>
        </w:rPr>
      </w:pPr>
      <w:r>
        <w:rPr>
          <w:rFonts w:ascii="Palatino Linotype" w:eastAsia="Palatino Linotype" w:hAnsi="Palatino Linotype" w:cs="Palatino Linotype"/>
          <w:color w:val="000000"/>
        </w:rPr>
        <w:t xml:space="preserve">El medio de impugnación fue presentado a través del </w:t>
      </w:r>
      <w:r>
        <w:rPr>
          <w:rFonts w:ascii="Palatino Linotype" w:eastAsia="Palatino Linotype" w:hAnsi="Palatino Linotype" w:cs="Palatino Linotype"/>
          <w:b/>
          <w:bCs/>
          <w:color w:val="000000"/>
        </w:rPr>
        <w:t>SAIMEX,</w:t>
      </w:r>
      <w:r>
        <w:rPr>
          <w:rFonts w:ascii="Palatino Linotype" w:eastAsia="Palatino Linotype" w:hAnsi="Palatino Linotype" w:cs="Palatino Linotype"/>
          <w:color w:val="000000"/>
        </w:rPr>
        <w:t xml:space="preserve"> en el formato previamente aprobado para tal efecto y dentro del plazo legal de quince días hábiles otorgados; para el caso en particular es de señalar que 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entregó su respuesta el </w:t>
      </w:r>
      <w:r>
        <w:rPr>
          <w:rFonts w:ascii="Palatino Linotype" w:eastAsia="Palatino Linotype" w:hAnsi="Palatino Linotype" w:cs="Palatino Linotype"/>
          <w:b/>
          <w:bCs/>
          <w:color w:val="000000"/>
        </w:rPr>
        <w:t>doce de febrero de dos mil veintiséis</w:t>
      </w:r>
      <w:r>
        <w:rPr>
          <w:rFonts w:ascii="Palatino Linotype" w:eastAsia="Palatino Linotype" w:hAnsi="Palatino Linotype" w:cs="Palatino Linotype"/>
          <w:color w:val="000000"/>
        </w:rPr>
        <w:t xml:space="preserve">, de tal forma que el plazo para interponer el recurso de revisión transcurrió del día </w:t>
      </w:r>
      <w:r>
        <w:rPr>
          <w:rFonts w:ascii="Palatino Linotype" w:eastAsia="Palatino Linotype" w:hAnsi="Palatino Linotype" w:cs="Palatino Linotype"/>
          <w:b/>
          <w:bCs/>
          <w:color w:val="000000"/>
        </w:rPr>
        <w:t>trece de febrero al seis de marzo de dos mil veintiséis</w:t>
      </w:r>
      <w:r>
        <w:rPr>
          <w:rFonts w:ascii="Palatino Linotype" w:eastAsia="Palatino Linotype" w:hAnsi="Palatino Linotype" w:cs="Palatino Linotype"/>
          <w:color w:val="000000"/>
        </w:rPr>
        <w:t xml:space="preserve">; en consecuencia, el ahora </w:t>
      </w:r>
      <w:r>
        <w:rPr>
          <w:rFonts w:ascii="Palatino Linotype" w:eastAsia="Palatino Linotype" w:hAnsi="Palatino Linotype" w:cs="Palatino Linotype"/>
          <w:b/>
          <w:bCs/>
          <w:color w:val="000000"/>
        </w:rPr>
        <w:t>RECURRENTE</w:t>
      </w:r>
      <w:r>
        <w:rPr>
          <w:rFonts w:ascii="Palatino Linotype" w:eastAsia="Palatino Linotype" w:hAnsi="Palatino Linotype" w:cs="Palatino Linotype"/>
          <w:color w:val="000000"/>
        </w:rPr>
        <w:t xml:space="preserve"> presentó su inconformidad el </w:t>
      </w:r>
      <w:r>
        <w:rPr>
          <w:rFonts w:ascii="Palatino Linotype" w:eastAsia="Palatino Linotype" w:hAnsi="Palatino Linotype" w:cs="Palatino Linotype"/>
          <w:b/>
          <w:bCs/>
          <w:color w:val="000000"/>
        </w:rPr>
        <w:t xml:space="preserve">veinte de febrero de dos mil veintiséis, </w:t>
      </w:r>
      <w:r>
        <w:rPr>
          <w:rFonts w:ascii="Palatino Linotype" w:eastAsia="Palatino Linotype" w:hAnsi="Palatino Linotype" w:cs="Palatino Linotype"/>
          <w:color w:val="000000"/>
        </w:rPr>
        <w:t>por lo que se estima que la inconformidad se presentó dentro del lapso legalmente establecido para tal efecto.</w:t>
      </w:r>
    </w:p>
    <w:p w:rsidR="00AE293F" w:rsidRDefault="00AE293F">
      <w:pPr>
        <w:pBdr>
          <w:top w:val="nil"/>
          <w:left w:val="nil"/>
          <w:bottom w:val="nil"/>
          <w:right w:val="nil"/>
          <w:between w:val="nil"/>
        </w:pBdr>
        <w:spacing w:line="360" w:lineRule="auto"/>
        <w:ind w:right="-1071"/>
        <w:jc w:val="both"/>
        <w:rPr>
          <w:rFonts w:ascii="Palatino Linotype" w:eastAsia="Palatino Linotype" w:hAnsi="Palatino Linotype" w:cs="Palatino Linotype"/>
          <w:color w:val="000000"/>
        </w:rPr>
      </w:pPr>
    </w:p>
    <w:p w:rsidR="00AE293F" w:rsidRDefault="00FD56B2">
      <w:pPr>
        <w:numPr>
          <w:ilvl w:val="0"/>
          <w:numId w:val="1"/>
        </w:numPr>
        <w:pBdr>
          <w:top w:val="nil"/>
          <w:left w:val="nil"/>
          <w:bottom w:val="nil"/>
          <w:right w:val="nil"/>
          <w:between w:val="nil"/>
        </w:pBdr>
        <w:spacing w:line="360" w:lineRule="auto"/>
        <w:ind w:left="0" w:right="-1071" w:firstLine="0"/>
        <w:jc w:val="both"/>
        <w:rPr>
          <w:color w:val="000000"/>
        </w:rPr>
      </w:pPr>
      <w:r>
        <w:rPr>
          <w:rFonts w:ascii="Palatino Linotype" w:eastAsia="Palatino Linotype" w:hAnsi="Palatino Linotype" w:cs="Palatino Linotype"/>
          <w:color w:val="000000"/>
        </w:rPr>
        <w:t>Asimismo, el escrito contiene las formalidades previstas por el artículo 180 último párrafo de la Ley de la materia actual, por lo que es procedente que este Instituto de Transparencia, Acceso a la Información Pública y Protección de Datos Personales del Estado de México y Municipios, conozca y resuelva el presente recurso.</w:t>
      </w:r>
    </w:p>
    <w:p w:rsidR="00AE293F" w:rsidRDefault="00AE293F">
      <w:pPr>
        <w:pBdr>
          <w:top w:val="nil"/>
          <w:left w:val="nil"/>
          <w:bottom w:val="nil"/>
          <w:right w:val="nil"/>
          <w:between w:val="nil"/>
        </w:pBdr>
        <w:spacing w:line="360" w:lineRule="auto"/>
        <w:ind w:right="-1071"/>
        <w:rPr>
          <w:rFonts w:ascii="Palatino Linotype" w:eastAsia="Palatino Linotype" w:hAnsi="Palatino Linotype" w:cs="Palatino Linotype"/>
          <w:color w:val="000000"/>
        </w:rPr>
      </w:pPr>
    </w:p>
    <w:p w:rsidR="00AE293F" w:rsidRDefault="00FD56B2">
      <w:pPr>
        <w:pStyle w:val="Ttulo1"/>
        <w:spacing w:before="0" w:line="360" w:lineRule="auto"/>
        <w:ind w:right="-1071"/>
        <w:rPr>
          <w:rFonts w:ascii="Palatino Linotype" w:eastAsia="Palatino Linotype" w:hAnsi="Palatino Linotype" w:cs="Palatino Linotype"/>
          <w:b/>
          <w:bCs/>
          <w:color w:val="000000"/>
          <w:sz w:val="24"/>
          <w:szCs w:val="24"/>
        </w:rPr>
      </w:pPr>
      <w:bookmarkStart w:id="6" w:name="_heading=h.gwlkei8ifaj6" w:colFirst="0" w:colLast="0"/>
      <w:bookmarkEnd w:id="6"/>
      <w:r>
        <w:rPr>
          <w:rFonts w:ascii="Palatino Linotype" w:eastAsia="Palatino Linotype" w:hAnsi="Palatino Linotype" w:cs="Palatino Linotype"/>
          <w:b/>
          <w:bCs/>
          <w:color w:val="000000"/>
          <w:sz w:val="24"/>
          <w:szCs w:val="24"/>
        </w:rPr>
        <w:t xml:space="preserve">TERCERO. Del planteamiento de la </w:t>
      </w:r>
      <w:r>
        <w:rPr>
          <w:rFonts w:ascii="Palatino Linotype" w:eastAsia="Palatino Linotype" w:hAnsi="Palatino Linotype" w:cs="Palatino Linotype"/>
          <w:b/>
          <w:bCs/>
          <w:i/>
          <w:iCs/>
          <w:color w:val="000000"/>
          <w:sz w:val="24"/>
          <w:szCs w:val="24"/>
        </w:rPr>
        <w:t>Litis</w:t>
      </w:r>
      <w:r>
        <w:rPr>
          <w:rFonts w:ascii="Palatino Linotype" w:eastAsia="Palatino Linotype" w:hAnsi="Palatino Linotype" w:cs="Palatino Linotype"/>
          <w:b/>
          <w:bCs/>
          <w:color w:val="000000"/>
          <w:sz w:val="24"/>
          <w:szCs w:val="24"/>
        </w:rPr>
        <w:t>.</w:t>
      </w:r>
    </w:p>
    <w:p w:rsidR="00AE293F" w:rsidRDefault="00FD56B2">
      <w:pPr>
        <w:numPr>
          <w:ilvl w:val="0"/>
          <w:numId w:val="1"/>
        </w:numPr>
        <w:pBdr>
          <w:top w:val="nil"/>
          <w:left w:val="nil"/>
          <w:bottom w:val="nil"/>
          <w:right w:val="nil"/>
          <w:between w:val="nil"/>
        </w:pBdr>
        <w:spacing w:line="360" w:lineRule="auto"/>
        <w:ind w:left="0" w:right="-1071" w:firstLine="0"/>
        <w:jc w:val="both"/>
        <w:rPr>
          <w:color w:val="000000"/>
        </w:rPr>
      </w:pPr>
      <w:r>
        <w:rPr>
          <w:rFonts w:ascii="Palatino Linotype" w:eastAsia="Palatino Linotype" w:hAnsi="Palatino Linotype" w:cs="Palatino Linotype"/>
          <w:color w:val="000000"/>
        </w:rPr>
        <w:t>Se solicitó tener acceso, a la información:</w:t>
      </w:r>
    </w:p>
    <w:p w:rsidR="00AE293F" w:rsidRDefault="00FD56B2">
      <w:pPr>
        <w:spacing w:line="276" w:lineRule="auto"/>
        <w:ind w:left="709" w:right="-1071"/>
        <w:jc w:val="both"/>
        <w:rPr>
          <w:rFonts w:ascii="Palatino Linotype" w:eastAsia="Palatino Linotype" w:hAnsi="Palatino Linotype" w:cs="Palatino Linotype"/>
        </w:rPr>
      </w:pPr>
      <w:r>
        <w:rPr>
          <w:rFonts w:ascii="Palatino Linotype" w:eastAsia="Palatino Linotype" w:hAnsi="Palatino Linotype" w:cs="Palatino Linotype"/>
        </w:rPr>
        <w:t>Se solicita una copia digital de los documentos que contengan las evaluaciones al Plan de Desarrollo Municipal realizadas para el período que corresponde al ejercicio fiscal 2025.</w:t>
      </w:r>
    </w:p>
    <w:p w:rsidR="00AE293F" w:rsidRDefault="00AE293F">
      <w:pPr>
        <w:spacing w:line="360" w:lineRule="auto"/>
        <w:ind w:right="-1071"/>
        <w:jc w:val="both"/>
        <w:rPr>
          <w:rFonts w:ascii="Palatino Linotype" w:eastAsia="Palatino Linotype" w:hAnsi="Palatino Linotype" w:cs="Palatino Linotype"/>
        </w:rPr>
      </w:pPr>
    </w:p>
    <w:p w:rsidR="00AE293F" w:rsidRDefault="00FD56B2">
      <w:pPr>
        <w:numPr>
          <w:ilvl w:val="0"/>
          <w:numId w:val="1"/>
        </w:numPr>
        <w:spacing w:line="360" w:lineRule="auto"/>
        <w:ind w:left="0" w:right="-1071" w:firstLine="0"/>
        <w:jc w:val="both"/>
      </w:pPr>
      <w:r>
        <w:rPr>
          <w:rFonts w:ascii="Palatino Linotype" w:eastAsia="Palatino Linotype" w:hAnsi="Palatino Linotype" w:cs="Palatino Linotype"/>
        </w:rPr>
        <w:t xml:space="preserve">Inconforme con lo anterior, el </w:t>
      </w:r>
      <w:r>
        <w:rPr>
          <w:rFonts w:ascii="Palatino Linotype" w:eastAsia="Palatino Linotype" w:hAnsi="Palatino Linotype" w:cs="Palatino Linotype"/>
          <w:b/>
          <w:bCs/>
        </w:rPr>
        <w:t xml:space="preserve">PARTICULAR, </w:t>
      </w:r>
      <w:r>
        <w:rPr>
          <w:rFonts w:ascii="Palatino Linotype" w:eastAsia="Palatino Linotype" w:hAnsi="Palatino Linotype" w:cs="Palatino Linotype"/>
        </w:rPr>
        <w:t>interpuso recurso de revisión arguyendo la negativa de la información.</w:t>
      </w:r>
    </w:p>
    <w:p w:rsidR="00AE293F" w:rsidRDefault="00AE293F">
      <w:pPr>
        <w:spacing w:line="360" w:lineRule="auto"/>
        <w:ind w:right="-1071"/>
        <w:jc w:val="both"/>
        <w:rPr>
          <w:rFonts w:ascii="Palatino Linotype" w:eastAsia="Palatino Linotype" w:hAnsi="Palatino Linotype" w:cs="Palatino Linotype"/>
        </w:rPr>
      </w:pPr>
    </w:p>
    <w:p w:rsidR="00AE293F" w:rsidRDefault="00FD56B2">
      <w:pPr>
        <w:numPr>
          <w:ilvl w:val="0"/>
          <w:numId w:val="1"/>
        </w:numPr>
        <w:spacing w:line="360" w:lineRule="auto"/>
        <w:ind w:left="0" w:right="-1071" w:firstLine="0"/>
        <w:jc w:val="both"/>
      </w:pPr>
      <w:r>
        <w:rPr>
          <w:rFonts w:ascii="Palatino Linotype" w:eastAsia="Palatino Linotype" w:hAnsi="Palatino Linotype" w:cs="Palatino Linotype"/>
        </w:rPr>
        <w:lastRenderedPageBreak/>
        <w:t xml:space="preserve">En dichas condiciones, la </w:t>
      </w:r>
      <w:r>
        <w:rPr>
          <w:rFonts w:ascii="Palatino Linotype" w:eastAsia="Palatino Linotype" w:hAnsi="Palatino Linotype" w:cs="Palatino Linotype"/>
          <w:i/>
          <w:iCs/>
        </w:rPr>
        <w:t>Litis</w:t>
      </w:r>
      <w:r>
        <w:rPr>
          <w:rFonts w:ascii="Palatino Linotype" w:eastAsia="Palatino Linotype" w:hAnsi="Palatino Linotype" w:cs="Palatino Linotype"/>
        </w:rPr>
        <w:t xml:space="preserve"> a resolver en este recurso se circunscribe a determinar si se actualiza la causal de procedencia prevista en el artículo 179, </w:t>
      </w:r>
      <w:r>
        <w:rPr>
          <w:rFonts w:ascii="Palatino Linotype" w:eastAsia="Palatino Linotype" w:hAnsi="Palatino Linotype" w:cs="Palatino Linotype"/>
          <w:b/>
          <w:bCs/>
        </w:rPr>
        <w:t xml:space="preserve">fracción I </w:t>
      </w:r>
      <w:r>
        <w:rPr>
          <w:rFonts w:ascii="Palatino Linotype" w:eastAsia="Palatino Linotype" w:hAnsi="Palatino Linotype" w:cs="Palatino Linotype"/>
        </w:rPr>
        <w:t xml:space="preserve">de la </w:t>
      </w:r>
      <w:r>
        <w:rPr>
          <w:rFonts w:ascii="Palatino Linotype" w:eastAsia="Palatino Linotype" w:hAnsi="Palatino Linotype" w:cs="Palatino Linotype"/>
          <w:b/>
          <w:bCs/>
        </w:rPr>
        <w:t>Ley de Transparencia y Acceso a la Información Pública del Estado de México y Municipios</w:t>
      </w:r>
      <w:r>
        <w:rPr>
          <w:rFonts w:ascii="Palatino Linotype" w:eastAsia="Palatino Linotype" w:hAnsi="Palatino Linotype" w:cs="Palatino Linotype"/>
        </w:rPr>
        <w:t xml:space="preserve">; </w:t>
      </w:r>
      <w:r>
        <w:rPr>
          <w:rFonts w:ascii="Palatino Linotype" w:eastAsia="Palatino Linotype" w:hAnsi="Palatino Linotype" w:cs="Palatino Linotype"/>
          <w:color w:val="000000"/>
        </w:rPr>
        <w:t xml:space="preserve">fracción que determina la hipótesis jurídica relativa a la negativa de la entrega de la información; </w:t>
      </w:r>
      <w:r>
        <w:rPr>
          <w:rFonts w:ascii="Palatino Linotype" w:eastAsia="Palatino Linotype" w:hAnsi="Palatino Linotype" w:cs="Palatino Linotype"/>
        </w:rPr>
        <w:t xml:space="preserve">contexto del cual se dolió </w:t>
      </w:r>
      <w:r>
        <w:rPr>
          <w:rFonts w:ascii="Palatino Linotype" w:eastAsia="Palatino Linotype" w:hAnsi="Palatino Linotype" w:cs="Palatino Linotype"/>
          <w:b/>
          <w:bCs/>
        </w:rPr>
        <w:t xml:space="preserve">EL RECURRENTE </w:t>
      </w:r>
      <w:r>
        <w:rPr>
          <w:rFonts w:ascii="Palatino Linotype" w:eastAsia="Palatino Linotype" w:hAnsi="Palatino Linotype" w:cs="Palatino Linotype"/>
        </w:rPr>
        <w:t>al momento de interponer su inconformidad.</w:t>
      </w:r>
      <w:r>
        <w:rPr>
          <w:rFonts w:ascii="Palatino Linotype" w:eastAsia="Palatino Linotype" w:hAnsi="Palatino Linotype" w:cs="Palatino Linotype"/>
          <w:color w:val="000000"/>
        </w:rPr>
        <w:t xml:space="preserve"> De modo tal que el presente recurso de revisión se </w:t>
      </w:r>
      <w:r>
        <w:rPr>
          <w:rFonts w:ascii="Palatino Linotype" w:eastAsia="Palatino Linotype" w:hAnsi="Palatino Linotype" w:cs="Palatino Linotype"/>
        </w:rPr>
        <w:t>abocará</w:t>
      </w:r>
      <w:r>
        <w:rPr>
          <w:rFonts w:ascii="Palatino Linotype" w:eastAsia="Palatino Linotype" w:hAnsi="Palatino Linotype" w:cs="Palatino Linotype"/>
          <w:color w:val="000000"/>
        </w:rPr>
        <w:t xml:space="preserve"> en determinar si el </w:t>
      </w:r>
      <w:r>
        <w:rPr>
          <w:rFonts w:ascii="Palatino Linotype" w:eastAsia="Palatino Linotype" w:hAnsi="Palatino Linotype" w:cs="Palatino Linotype"/>
          <w:b/>
          <w:bCs/>
          <w:color w:val="000000"/>
        </w:rPr>
        <w:t>SUJETO</w:t>
      </w:r>
      <w:r>
        <w:rPr>
          <w:rFonts w:ascii="Palatino Linotype" w:eastAsia="Palatino Linotype" w:hAnsi="Palatino Linotype" w:cs="Palatino Linotype"/>
          <w:color w:val="000000"/>
        </w:rPr>
        <w:t xml:space="preserve"> </w:t>
      </w:r>
      <w:r>
        <w:rPr>
          <w:rFonts w:ascii="Palatino Linotype" w:eastAsia="Palatino Linotype" w:hAnsi="Palatino Linotype" w:cs="Palatino Linotype"/>
          <w:b/>
          <w:bCs/>
          <w:color w:val="000000"/>
        </w:rPr>
        <w:t>OBLIGADO</w:t>
      </w:r>
      <w:r>
        <w:rPr>
          <w:rFonts w:ascii="Palatino Linotype" w:eastAsia="Palatino Linotype" w:hAnsi="Palatino Linotype" w:cs="Palatino Linotype"/>
          <w:color w:val="000000"/>
        </w:rPr>
        <w:t xml:space="preserve"> con su respuesta ciertamente actualiza la causal de procedencia</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 xml:space="preserve">antes señalada. </w:t>
      </w:r>
    </w:p>
    <w:p w:rsidR="00AE293F" w:rsidRDefault="00AE293F">
      <w:pPr>
        <w:pBdr>
          <w:top w:val="nil"/>
          <w:left w:val="nil"/>
          <w:bottom w:val="nil"/>
          <w:right w:val="nil"/>
          <w:between w:val="nil"/>
        </w:pBdr>
        <w:ind w:left="720" w:right="-1071"/>
        <w:rPr>
          <w:rFonts w:ascii="Palatino Linotype" w:eastAsia="Palatino Linotype" w:hAnsi="Palatino Linotype" w:cs="Palatino Linotype"/>
          <w:color w:val="000000"/>
        </w:rPr>
      </w:pPr>
    </w:p>
    <w:p w:rsidR="00AE293F" w:rsidRDefault="00FD56B2">
      <w:pPr>
        <w:pStyle w:val="Ttulo2"/>
        <w:ind w:right="-1071"/>
        <w:rPr>
          <w:rFonts w:ascii="Palatino Linotype" w:eastAsia="Palatino Linotype" w:hAnsi="Palatino Linotype" w:cs="Palatino Linotype"/>
          <w:b/>
          <w:bCs/>
          <w:color w:val="000000"/>
          <w:sz w:val="24"/>
          <w:szCs w:val="24"/>
        </w:rPr>
      </w:pPr>
      <w:bookmarkStart w:id="7" w:name="_heading=h.wv8fvp8xvbuw" w:colFirst="0" w:colLast="0"/>
      <w:bookmarkEnd w:id="7"/>
      <w:r>
        <w:rPr>
          <w:rFonts w:ascii="Palatino Linotype" w:eastAsia="Palatino Linotype" w:hAnsi="Palatino Linotype" w:cs="Palatino Linotype"/>
          <w:b/>
          <w:bCs/>
          <w:color w:val="000000"/>
          <w:sz w:val="24"/>
          <w:szCs w:val="24"/>
        </w:rPr>
        <w:t>CUARTO. Del estudio y resolución del asunto.</w:t>
      </w:r>
    </w:p>
    <w:p w:rsidR="00AE293F" w:rsidRDefault="00FD56B2">
      <w:pPr>
        <w:numPr>
          <w:ilvl w:val="0"/>
          <w:numId w:val="1"/>
        </w:numPr>
        <w:spacing w:line="360" w:lineRule="auto"/>
        <w:ind w:left="0" w:right="-1071" w:firstLine="0"/>
        <w:jc w:val="both"/>
      </w:pPr>
      <w:r>
        <w:rPr>
          <w:rFonts w:ascii="Palatino Linotype" w:eastAsia="Palatino Linotype" w:hAnsi="Palatino Linotype" w:cs="Palatino Linotype"/>
          <w:color w:val="000000"/>
        </w:rPr>
        <w:t xml:space="preserve">Acotada la </w:t>
      </w:r>
      <w:r>
        <w:rPr>
          <w:rFonts w:ascii="Palatino Linotype" w:eastAsia="Palatino Linotype" w:hAnsi="Palatino Linotype" w:cs="Palatino Linotype"/>
          <w:i/>
          <w:iCs/>
          <w:color w:val="000000"/>
        </w:rPr>
        <w:t>Litis</w:t>
      </w:r>
      <w:r>
        <w:rPr>
          <w:rFonts w:ascii="Palatino Linotype" w:eastAsia="Palatino Linotype" w:hAnsi="Palatino Linotype" w:cs="Palatino Linotype"/>
          <w:color w:val="000000"/>
        </w:rPr>
        <w:t xml:space="preserve"> del presente asunto,  primeramente resulta necesario realizar el estudio respecto la fuente obligacional que tiene el </w:t>
      </w:r>
      <w:r>
        <w:rPr>
          <w:rFonts w:ascii="Palatino Linotype" w:eastAsia="Palatino Linotype" w:hAnsi="Palatino Linotype" w:cs="Palatino Linotype"/>
          <w:b/>
          <w:bCs/>
          <w:color w:val="000000"/>
        </w:rPr>
        <w:t xml:space="preserve">SUJETO OBLIGADO </w:t>
      </w:r>
      <w:r>
        <w:rPr>
          <w:rFonts w:ascii="Palatino Linotype" w:eastAsia="Palatino Linotype" w:hAnsi="Palatino Linotype" w:cs="Palatino Linotype"/>
          <w:color w:val="000000"/>
        </w:rPr>
        <w:t xml:space="preserve">para dar respuesta a la solicitud </w:t>
      </w:r>
      <w:r>
        <w:rPr>
          <w:rFonts w:ascii="Palatino Linotype" w:eastAsia="Palatino Linotype" w:hAnsi="Palatino Linotype" w:cs="Palatino Linotype"/>
          <w:b/>
          <w:bCs/>
          <w:color w:val="000000"/>
        </w:rPr>
        <w:t xml:space="preserve"> 00008/PAPALO/IP/2026, </w:t>
      </w:r>
      <w:r>
        <w:rPr>
          <w:rFonts w:ascii="Palatino Linotype" w:eastAsia="Palatino Linotype" w:hAnsi="Palatino Linotype" w:cs="Palatino Linotype"/>
        </w:rPr>
        <w:t xml:space="preserve">se obvia el análisis de la competencia por parte del </w:t>
      </w:r>
      <w:r>
        <w:rPr>
          <w:rFonts w:ascii="Palatino Linotype" w:eastAsia="Palatino Linotype" w:hAnsi="Palatino Linotype" w:cs="Palatino Linotype"/>
          <w:b/>
          <w:bCs/>
        </w:rPr>
        <w:t>SUJETO OBLIGADO</w:t>
      </w:r>
      <w:r>
        <w:rPr>
          <w:rFonts w:ascii="Palatino Linotype" w:eastAsia="Palatino Linotype" w:hAnsi="Palatino Linotype" w:cs="Palatino Linotype"/>
        </w:rPr>
        <w:t>, para generar, administrar o poseer la información solicitada, dado que éste ha asumido la misma conforme a los documentos proporcionados en respuesta, razón por la cual, al haberse pronunciado es que acepta poseer y administrar dicha información en ejercicio de sus funciones de derecho público, motivo por el cual se actualiza el supuesto jurídico, previsto en el artículo 12 de la Ley de Transparencia y Acceso a la Información Pública del Estado de México y Municipios.</w:t>
      </w:r>
    </w:p>
    <w:p w:rsidR="00AE293F" w:rsidRDefault="00AE293F">
      <w:pPr>
        <w:spacing w:line="360" w:lineRule="auto"/>
        <w:ind w:right="-1071"/>
        <w:jc w:val="both"/>
        <w:rPr>
          <w:rFonts w:ascii="Palatino Linotype" w:eastAsia="Palatino Linotype" w:hAnsi="Palatino Linotype" w:cs="Palatino Linotype"/>
        </w:rPr>
      </w:pPr>
    </w:p>
    <w:p w:rsidR="00AE293F" w:rsidRDefault="00FD56B2">
      <w:pPr>
        <w:numPr>
          <w:ilvl w:val="0"/>
          <w:numId w:val="1"/>
        </w:numPr>
        <w:spacing w:line="360" w:lineRule="auto"/>
        <w:ind w:left="0" w:right="-1071" w:firstLine="0"/>
        <w:jc w:val="both"/>
        <w:rPr>
          <w:rFonts w:ascii="Palatino Linotype" w:eastAsia="Palatino Linotype" w:hAnsi="Palatino Linotype" w:cs="Palatino Linotype"/>
          <w:color w:val="000000"/>
        </w:rPr>
      </w:pPr>
      <w:r>
        <w:rPr>
          <w:rFonts w:ascii="Palatino Linotype" w:eastAsia="Palatino Linotype" w:hAnsi="Palatino Linotype" w:cs="Palatino Linotype"/>
        </w:rPr>
        <w:t xml:space="preserve">Lo </w:t>
      </w:r>
      <w:r>
        <w:rPr>
          <w:rFonts w:ascii="Palatino Linotype" w:eastAsia="Palatino Linotype" w:hAnsi="Palatino Linotype" w:cs="Palatino Linotype"/>
          <w:color w:val="000000"/>
        </w:rPr>
        <w:t>anterior</w:t>
      </w:r>
      <w:r>
        <w:rPr>
          <w:rFonts w:ascii="Palatino Linotype" w:eastAsia="Palatino Linotype" w:hAnsi="Palatino Linotype" w:cs="Palatino Linotype"/>
        </w:rPr>
        <w:t xml:space="preserve">, ya que el </w:t>
      </w:r>
      <w:r>
        <w:rPr>
          <w:rFonts w:ascii="Palatino Linotype" w:eastAsia="Palatino Linotype" w:hAnsi="Palatino Linotype" w:cs="Palatino Linotype"/>
          <w:b/>
          <w:bCs/>
        </w:rPr>
        <w:t xml:space="preserve">SUJETO OBLIGADO, </w:t>
      </w:r>
      <w:r>
        <w:rPr>
          <w:rFonts w:ascii="Palatino Linotype" w:eastAsia="Palatino Linotype" w:hAnsi="Palatino Linotype" w:cs="Palatino Linotype"/>
        </w:rPr>
        <w:t>informó</w:t>
      </w:r>
      <w:r>
        <w:rPr>
          <w:rFonts w:ascii="Palatino Linotype" w:eastAsia="Palatino Linotype" w:hAnsi="Palatino Linotype" w:cs="Palatino Linotype"/>
          <w:color w:val="000000"/>
        </w:rPr>
        <w:t xml:space="preserve"> que,</w:t>
      </w:r>
      <w:r>
        <w:rPr>
          <w:rFonts w:ascii="Palatino Linotype" w:eastAsia="Palatino Linotype" w:hAnsi="Palatino Linotype" w:cs="Palatino Linotype"/>
          <w:i/>
          <w:iCs/>
          <w:color w:val="000000"/>
        </w:rPr>
        <w:t xml:space="preserve">  las evaluaciones al Plan de Desarrollo Municipal no son elaboradas por un único responsable, sino que se integran a partir de diversos actores y mecanismos de seguimiento. Entre ellos se encuentran las áreas administrativas del Ayuntamiento, la Contraloría Municipal, los órganos de planeación y evaluación estatales, así como los informes de avance que cada dependencia municipal genera en cumplimiento de la normativa aplicable. </w:t>
      </w:r>
    </w:p>
    <w:p w:rsidR="00AE293F" w:rsidRDefault="00AE293F">
      <w:pPr>
        <w:pBdr>
          <w:top w:val="nil"/>
          <w:left w:val="nil"/>
          <w:bottom w:val="nil"/>
          <w:right w:val="nil"/>
          <w:between w:val="nil"/>
        </w:pBdr>
        <w:ind w:left="567" w:right="-1071"/>
        <w:jc w:val="both"/>
        <w:rPr>
          <w:rFonts w:ascii="Palatino Linotype" w:eastAsia="Palatino Linotype" w:hAnsi="Palatino Linotype" w:cs="Palatino Linotype"/>
          <w:i/>
          <w:iCs/>
          <w:color w:val="000000"/>
        </w:rPr>
      </w:pPr>
    </w:p>
    <w:p w:rsidR="00AE293F" w:rsidRDefault="00FD56B2">
      <w:pPr>
        <w:pBdr>
          <w:top w:val="nil"/>
          <w:left w:val="nil"/>
          <w:bottom w:val="nil"/>
          <w:right w:val="nil"/>
          <w:between w:val="nil"/>
        </w:pBdr>
        <w:spacing w:line="360" w:lineRule="auto"/>
        <w:ind w:right="-107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Por lo anterior, los documentos que contienen dichas evaluaciones se encuentran distribuidos en distintas dependencias y se integran en informes periódicos (trimestrales y anuales), asi como en los reportes de la Contraloria, etc.</w:t>
      </w:r>
    </w:p>
    <w:p w:rsidR="00AE293F" w:rsidRDefault="00AE293F">
      <w:pPr>
        <w:spacing w:line="360" w:lineRule="auto"/>
        <w:ind w:right="-1071"/>
        <w:jc w:val="both"/>
      </w:pPr>
    </w:p>
    <w:p w:rsidR="00AE293F" w:rsidRDefault="00FD56B2">
      <w:pPr>
        <w:numPr>
          <w:ilvl w:val="0"/>
          <w:numId w:val="1"/>
        </w:numPr>
        <w:spacing w:line="360" w:lineRule="auto"/>
        <w:ind w:left="0" w:right="-1071" w:firstLine="0"/>
        <w:jc w:val="both"/>
        <w:rPr>
          <w:rFonts w:ascii="Palatino Linotype" w:eastAsia="Palatino Linotype" w:hAnsi="Palatino Linotype" w:cs="Palatino Linotype"/>
          <w:color w:val="000000"/>
        </w:rPr>
      </w:pPr>
      <w:r>
        <w:rPr>
          <w:rFonts w:ascii="Palatino Linotype" w:eastAsia="Palatino Linotype" w:hAnsi="Palatino Linotype" w:cs="Palatino Linotype"/>
        </w:rPr>
        <w:t xml:space="preserve">En ese orden de ideas, respecto los motivos de inconformidad hechos valer por el ahora </w:t>
      </w:r>
      <w:r>
        <w:rPr>
          <w:rFonts w:ascii="Palatino Linotype" w:eastAsia="Palatino Linotype" w:hAnsi="Palatino Linotype" w:cs="Palatino Linotype"/>
          <w:b/>
          <w:bCs/>
        </w:rPr>
        <w:t xml:space="preserve">RECURRENTE, </w:t>
      </w:r>
      <w:r>
        <w:rPr>
          <w:rFonts w:ascii="Palatino Linotype" w:eastAsia="Palatino Linotype" w:hAnsi="Palatino Linotype" w:cs="Palatino Linotype"/>
        </w:rPr>
        <w:t xml:space="preserve">se colige que los mismos resultan procedentes, ya que, si bien es cierto, el </w:t>
      </w:r>
      <w:r>
        <w:rPr>
          <w:rFonts w:ascii="Palatino Linotype" w:eastAsia="Palatino Linotype" w:hAnsi="Palatino Linotype" w:cs="Palatino Linotype"/>
          <w:b/>
          <w:bCs/>
        </w:rPr>
        <w:t xml:space="preserve">SUJETO OBLIGADO, </w:t>
      </w:r>
      <w:r>
        <w:rPr>
          <w:rFonts w:ascii="Palatino Linotype" w:eastAsia="Palatino Linotype" w:hAnsi="Palatino Linotype" w:cs="Palatino Linotype"/>
        </w:rPr>
        <w:t>informó que si cuenta con la información, sin embargo esta se encuentra dispersa en diferentes áreas que integran el Ayuntamiento, por lo que se considera que no atendió a lo estipulado en el artículo 12 de la ley adjetiva en la materia que a la letra refiere:</w:t>
      </w:r>
    </w:p>
    <w:p w:rsidR="00AE293F" w:rsidRDefault="00FD56B2">
      <w:pPr>
        <w:ind w:left="426" w:right="-1071"/>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Artículo 12. Quienes generen, recopilen, administren, manejen, procesen, archiven o conserven información pública serán responsables de la misma en los términos de las disposiciones jurídicas aplicables. Los sujetos obligados sólo proporcionarán la información pública que se les requiera y que obre en sus archivos y en el estado en que ésta se encuentre. </w:t>
      </w:r>
    </w:p>
    <w:p w:rsidR="00AE293F" w:rsidRDefault="00AE293F">
      <w:pPr>
        <w:ind w:left="426" w:right="-1071"/>
        <w:jc w:val="both"/>
        <w:rPr>
          <w:rFonts w:ascii="Palatino Linotype" w:eastAsia="Palatino Linotype" w:hAnsi="Palatino Linotype" w:cs="Palatino Linotype"/>
          <w:i/>
          <w:iCs/>
        </w:rPr>
      </w:pPr>
    </w:p>
    <w:p w:rsidR="00AE293F" w:rsidRDefault="00FD56B2">
      <w:pPr>
        <w:ind w:left="426" w:right="-1071"/>
        <w:jc w:val="both"/>
        <w:rPr>
          <w:rFonts w:ascii="Palatino Linotype" w:eastAsia="Palatino Linotype" w:hAnsi="Palatino Linotype" w:cs="Palatino Linotype"/>
          <w:i/>
          <w:iCs/>
        </w:rPr>
      </w:pPr>
      <w:r>
        <w:rPr>
          <w:rFonts w:ascii="Palatino Linotype" w:eastAsia="Palatino Linotype" w:hAnsi="Palatino Linotype" w:cs="Palatino Linotype"/>
          <w:i/>
          <w:iCs/>
        </w:rPr>
        <w:t>La obligación de proporcionar información no comprende el procesamiento de la misma, ni el presentarla conforme al interés del solicitante; no estarán obligados a generarla, resumirla, efectuar cálculos o practicar investigaciones</w:t>
      </w:r>
    </w:p>
    <w:p w:rsidR="00AE293F" w:rsidRDefault="00AE293F">
      <w:pPr>
        <w:spacing w:line="360" w:lineRule="auto"/>
        <w:ind w:right="-1071"/>
        <w:jc w:val="both"/>
        <w:rPr>
          <w:rFonts w:ascii="Palatino Linotype" w:eastAsia="Palatino Linotype" w:hAnsi="Palatino Linotype" w:cs="Palatino Linotype"/>
        </w:rPr>
      </w:pPr>
    </w:p>
    <w:p w:rsidR="00AE293F" w:rsidRDefault="00AE293F">
      <w:pPr>
        <w:spacing w:line="360" w:lineRule="auto"/>
        <w:ind w:right="-1071"/>
        <w:jc w:val="both"/>
        <w:rPr>
          <w:rFonts w:ascii="Palatino Linotype" w:eastAsia="Palatino Linotype" w:hAnsi="Palatino Linotype" w:cs="Palatino Linotype"/>
          <w:i/>
          <w:iCs/>
          <w:color w:val="000000"/>
        </w:rPr>
      </w:pPr>
    </w:p>
    <w:p w:rsidR="00AE293F" w:rsidRDefault="00FD56B2">
      <w:pPr>
        <w:numPr>
          <w:ilvl w:val="0"/>
          <w:numId w:val="1"/>
        </w:numPr>
        <w:spacing w:line="360" w:lineRule="auto"/>
        <w:ind w:left="0" w:right="-1071"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De lo anterior, se advierte que el </w:t>
      </w:r>
      <w:r>
        <w:rPr>
          <w:rFonts w:ascii="Palatino Linotype" w:eastAsia="Palatino Linotype" w:hAnsi="Palatino Linotype" w:cs="Palatino Linotype"/>
          <w:b/>
          <w:bCs/>
          <w:color w:val="000000"/>
        </w:rPr>
        <w:t xml:space="preserve">SUJETO OBLIGADO, </w:t>
      </w:r>
      <w:r>
        <w:rPr>
          <w:rFonts w:ascii="Palatino Linotype" w:eastAsia="Palatino Linotype" w:hAnsi="Palatino Linotype" w:cs="Palatino Linotype"/>
          <w:color w:val="000000"/>
        </w:rPr>
        <w:t>debe hacer entrega de la información que obre en sus archivos y en el estado en el que esta se encuentre.</w:t>
      </w:r>
    </w:p>
    <w:p w:rsidR="00AE293F" w:rsidRDefault="00AE293F">
      <w:pPr>
        <w:spacing w:line="360" w:lineRule="auto"/>
        <w:ind w:right="-1071"/>
        <w:jc w:val="both"/>
        <w:rPr>
          <w:rFonts w:ascii="Palatino Linotype" w:eastAsia="Palatino Linotype" w:hAnsi="Palatino Linotype" w:cs="Palatino Linotype"/>
          <w:i/>
          <w:iCs/>
          <w:color w:val="000000"/>
        </w:rPr>
      </w:pPr>
    </w:p>
    <w:p w:rsidR="00AE293F" w:rsidRDefault="00FD56B2">
      <w:pPr>
        <w:numPr>
          <w:ilvl w:val="0"/>
          <w:numId w:val="1"/>
        </w:numPr>
        <w:spacing w:line="360" w:lineRule="auto"/>
        <w:ind w:left="0" w:right="-1071"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En consecuencia de lo anterior, al asumir que se genera, posee y/o administra la información, resulta dable ordenar la entrega de la información requerida en la solicitud de información </w:t>
      </w:r>
      <w:r>
        <w:rPr>
          <w:rFonts w:ascii="Palatino Linotype" w:eastAsia="Palatino Linotype" w:hAnsi="Palatino Linotype" w:cs="Palatino Linotype"/>
          <w:b/>
          <w:bCs/>
          <w:color w:val="000000"/>
        </w:rPr>
        <w:t>00008/PAPALO/IP/2026.</w:t>
      </w:r>
    </w:p>
    <w:p w:rsidR="00AE293F" w:rsidRDefault="00FD56B2">
      <w:pPr>
        <w:pStyle w:val="Ttulo1"/>
        <w:ind w:right="-1071"/>
        <w:rPr>
          <w:rFonts w:ascii="Palatino Linotype" w:eastAsia="Palatino Linotype" w:hAnsi="Palatino Linotype" w:cs="Palatino Linotype"/>
          <w:b/>
          <w:bCs/>
          <w:color w:val="000000"/>
          <w:sz w:val="24"/>
          <w:szCs w:val="24"/>
        </w:rPr>
      </w:pPr>
      <w:r>
        <w:rPr>
          <w:rFonts w:ascii="Palatino Linotype" w:eastAsia="Palatino Linotype" w:hAnsi="Palatino Linotype" w:cs="Palatino Linotype"/>
          <w:b/>
          <w:bCs/>
          <w:color w:val="000000"/>
          <w:sz w:val="24"/>
          <w:szCs w:val="24"/>
        </w:rPr>
        <w:lastRenderedPageBreak/>
        <w:t>QUINTO. De la versión pública.</w:t>
      </w:r>
    </w:p>
    <w:p w:rsidR="00AE293F" w:rsidRDefault="00AE293F">
      <w:pPr>
        <w:ind w:right="-1071"/>
      </w:pPr>
    </w:p>
    <w:p w:rsidR="00AE293F" w:rsidRDefault="00FD56B2">
      <w:pPr>
        <w:pStyle w:val="Ttulo1"/>
        <w:numPr>
          <w:ilvl w:val="0"/>
          <w:numId w:val="3"/>
        </w:numPr>
        <w:tabs>
          <w:tab w:val="left" w:pos="284"/>
        </w:tabs>
        <w:spacing w:before="0" w:line="360" w:lineRule="auto"/>
        <w:ind w:left="0" w:right="-1071" w:firstLine="0"/>
        <w:rPr>
          <w:rFonts w:ascii="Palatino Linotype" w:eastAsia="Palatino Linotype" w:hAnsi="Palatino Linotype" w:cs="Palatino Linotype"/>
          <w:b/>
          <w:bCs/>
          <w:color w:val="000000"/>
          <w:sz w:val="24"/>
          <w:szCs w:val="24"/>
        </w:rPr>
      </w:pPr>
      <w:r>
        <w:rPr>
          <w:rFonts w:ascii="Palatino Linotype" w:eastAsia="Palatino Linotype" w:hAnsi="Palatino Linotype" w:cs="Palatino Linotype"/>
          <w:b/>
          <w:bCs/>
          <w:color w:val="000000"/>
          <w:sz w:val="24"/>
          <w:szCs w:val="24"/>
        </w:rPr>
        <w:t xml:space="preserve">Nociones generales. </w:t>
      </w:r>
    </w:p>
    <w:p w:rsidR="00AE293F" w:rsidRDefault="00FD56B2">
      <w:pPr>
        <w:numPr>
          <w:ilvl w:val="0"/>
          <w:numId w:val="1"/>
        </w:numPr>
        <w:pBdr>
          <w:top w:val="nil"/>
          <w:left w:val="nil"/>
          <w:bottom w:val="nil"/>
          <w:right w:val="nil"/>
          <w:between w:val="nil"/>
        </w:pBdr>
        <w:spacing w:line="360" w:lineRule="auto"/>
        <w:ind w:left="0" w:right="-1071" w:firstLine="0"/>
        <w:jc w:val="both"/>
        <w:rPr>
          <w:color w:val="000000"/>
        </w:rPr>
      </w:pPr>
      <w:r>
        <w:rPr>
          <w:rFonts w:ascii="Palatino Linotype" w:eastAsia="Palatino Linotype" w:hAnsi="Palatino Linotype" w:cs="Palatino Linotype"/>
          <w:color w:val="000000"/>
        </w:rPr>
        <w:t>Debe destacarse que, debido a la naturaleza de la información solicitada</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 xml:space="preserve">eventualmente pudiera obrar datos personales susceptibles de protegerse, así como información susceptible de clasificarse como reservada, el </w:t>
      </w:r>
      <w:r>
        <w:rPr>
          <w:rFonts w:ascii="Palatino Linotype" w:eastAsia="Palatino Linotype" w:hAnsi="Palatino Linotype" w:cs="Palatino Linotype"/>
          <w:b/>
          <w:bCs/>
          <w:color w:val="000000"/>
        </w:rPr>
        <w:t xml:space="preserve">SUJETO OBLIGADO </w:t>
      </w:r>
      <w:r>
        <w:rPr>
          <w:rFonts w:ascii="Palatino Linotype" w:eastAsia="Palatino Linotype" w:hAnsi="Palatino Linotype" w:cs="Palatino Linotype"/>
          <w:color w:val="000000"/>
        </w:rPr>
        <w:t xml:space="preserve">deberá de hacer la adecuada versión pública, protegiendo los datos que no son susceptibles de ser proporcionados. </w:t>
      </w:r>
    </w:p>
    <w:p w:rsidR="00AE293F" w:rsidRDefault="00AE293F">
      <w:pPr>
        <w:pBdr>
          <w:top w:val="nil"/>
          <w:left w:val="nil"/>
          <w:bottom w:val="nil"/>
          <w:right w:val="nil"/>
          <w:between w:val="nil"/>
        </w:pBdr>
        <w:tabs>
          <w:tab w:val="left" w:pos="0"/>
          <w:tab w:val="left" w:pos="284"/>
        </w:tabs>
        <w:spacing w:line="360" w:lineRule="auto"/>
        <w:ind w:right="-1071"/>
        <w:jc w:val="both"/>
        <w:rPr>
          <w:rFonts w:ascii="Palatino Linotype" w:eastAsia="Palatino Linotype" w:hAnsi="Palatino Linotype" w:cs="Palatino Linotype"/>
          <w:color w:val="000000"/>
        </w:rPr>
      </w:pPr>
    </w:p>
    <w:p w:rsidR="00AE293F" w:rsidRDefault="00FD56B2">
      <w:pPr>
        <w:numPr>
          <w:ilvl w:val="0"/>
          <w:numId w:val="1"/>
        </w:numPr>
        <w:pBdr>
          <w:top w:val="nil"/>
          <w:left w:val="nil"/>
          <w:bottom w:val="nil"/>
          <w:right w:val="nil"/>
          <w:between w:val="nil"/>
        </w:pBdr>
        <w:spacing w:line="360" w:lineRule="auto"/>
        <w:ind w:left="0" w:right="-1071" w:firstLine="0"/>
        <w:jc w:val="both"/>
        <w:rPr>
          <w:color w:val="000000"/>
        </w:rPr>
      </w:pPr>
      <w:r>
        <w:rPr>
          <w:rFonts w:ascii="Palatino Linotype" w:eastAsia="Palatino Linotype" w:hAnsi="Palatino Linotype" w:cs="Palatino Linotype"/>
          <w:color w:val="000000"/>
        </w:rPr>
        <w:t xml:space="preserve">No pasa desapercibido para este Órgano Garante que los </w:t>
      </w:r>
      <w:r>
        <w:rPr>
          <w:rFonts w:ascii="Palatino Linotype" w:eastAsia="Palatino Linotype" w:hAnsi="Palatino Linotype" w:cs="Palatino Linotype"/>
          <w:b/>
          <w:bCs/>
          <w:color w:val="000000"/>
        </w:rPr>
        <w:t xml:space="preserve">Sujetos Obligados </w:t>
      </w:r>
      <w:r>
        <w:rPr>
          <w:rFonts w:ascii="Palatino Linotype" w:eastAsia="Palatino Linotype" w:hAnsi="Palatino Linotype" w:cs="Palatino Linotype"/>
          <w:color w:val="000000"/>
        </w:rPr>
        <w:t>serán responsables de los datos personales en su posesión y que, en caso de localizarse datos concernientes a terceros, éstos no podrán difundir, distribuir o comercializar los datos personales.  Cabe destacar que, para la realización de la clasificación de la información, se deben seguir una serie de pasos y procedimientos, por lo que es menester reiterar los mismos:</w:t>
      </w:r>
    </w:p>
    <w:p w:rsidR="00AE293F" w:rsidRDefault="00AE293F">
      <w:pPr>
        <w:tabs>
          <w:tab w:val="left" w:pos="284"/>
        </w:tabs>
        <w:spacing w:line="360" w:lineRule="auto"/>
        <w:ind w:right="-1071"/>
        <w:jc w:val="both"/>
        <w:rPr>
          <w:rFonts w:ascii="Palatino Linotype" w:eastAsia="Palatino Linotype" w:hAnsi="Palatino Linotype" w:cs="Palatino Linotype"/>
          <w:color w:val="000000"/>
        </w:rPr>
      </w:pPr>
    </w:p>
    <w:tbl>
      <w:tblPr>
        <w:tblStyle w:val="a"/>
        <w:tblW w:w="10038"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45"/>
        <w:gridCol w:w="7293"/>
      </w:tblGrid>
      <w:tr w:rsidR="00AE293F" w:rsidTr="00332107">
        <w:tc>
          <w:tcPr>
            <w:tcW w:w="2745" w:type="dxa"/>
          </w:tcPr>
          <w:p w:rsidR="00AE293F" w:rsidRDefault="00FD56B2">
            <w:pPr>
              <w:tabs>
                <w:tab w:val="left" w:pos="284"/>
              </w:tabs>
              <w:ind w:right="-98"/>
              <w:rPr>
                <w:rFonts w:ascii="Palatino Linotype" w:eastAsia="Palatino Linotype" w:hAnsi="Palatino Linotype" w:cs="Palatino Linotype"/>
              </w:rPr>
            </w:pPr>
            <w:r>
              <w:rPr>
                <w:rFonts w:ascii="Palatino Linotype" w:eastAsia="Palatino Linotype" w:hAnsi="Palatino Linotype" w:cs="Palatino Linotype"/>
              </w:rPr>
              <w:t>a) Requisitos previos.</w:t>
            </w:r>
          </w:p>
        </w:tc>
        <w:tc>
          <w:tcPr>
            <w:tcW w:w="7293" w:type="dxa"/>
          </w:tcPr>
          <w:p w:rsidR="00AE293F" w:rsidRDefault="00FD56B2">
            <w:pPr>
              <w:tabs>
                <w:tab w:val="left" w:pos="284"/>
              </w:tabs>
              <w:ind w:right="-98"/>
              <w:jc w:val="both"/>
              <w:rPr>
                <w:rFonts w:ascii="Palatino Linotype" w:eastAsia="Palatino Linotype" w:hAnsi="Palatino Linotype" w:cs="Palatino Linotype"/>
              </w:rPr>
            </w:pPr>
            <w:r>
              <w:rPr>
                <w:rFonts w:ascii="Palatino Linotype" w:eastAsia="Palatino Linotype" w:hAnsi="Palatino Linotype" w:cs="Palatino Linotype"/>
              </w:rPr>
              <w:t xml:space="preserve">Los artículos 100 y 122 de la Ley Estatal y de la Ley General, respectivamente, señalan que si los Sujetos Obligados determinan que la información actualiza alguno de los supuestos de clasificación, es deber de los titulares de las áreas proponer su clasificación y no del Comité de Transparencia. </w:t>
            </w:r>
          </w:p>
          <w:p w:rsidR="00AE293F" w:rsidRDefault="00FD56B2">
            <w:pPr>
              <w:tabs>
                <w:tab w:val="left" w:pos="284"/>
              </w:tabs>
              <w:ind w:right="-98"/>
              <w:jc w:val="both"/>
              <w:rPr>
                <w:rFonts w:ascii="Palatino Linotype" w:eastAsia="Palatino Linotype" w:hAnsi="Palatino Linotype" w:cs="Palatino Linotype"/>
              </w:rPr>
            </w:pPr>
            <w:r>
              <w:rPr>
                <w:rFonts w:ascii="Palatino Linotype" w:eastAsia="Palatino Linotype" w:hAnsi="Palatino Linotype" w:cs="Palatino Linotype"/>
              </w:rPr>
              <w:t>Al hacerlo tienen que precisar de qué información se trata, señalando el supuesto de clasificación (confidencialidad o reserva).</w:t>
            </w:r>
          </w:p>
          <w:p w:rsidR="00AE293F" w:rsidRDefault="00FD56B2">
            <w:pPr>
              <w:tabs>
                <w:tab w:val="left" w:pos="284"/>
              </w:tabs>
              <w:ind w:right="-98"/>
              <w:jc w:val="both"/>
              <w:rPr>
                <w:rFonts w:ascii="Palatino Linotype" w:eastAsia="Palatino Linotype" w:hAnsi="Palatino Linotype" w:cs="Palatino Linotype"/>
              </w:rPr>
            </w:pPr>
            <w:r>
              <w:rPr>
                <w:rFonts w:ascii="Palatino Linotype" w:eastAsia="Palatino Linotype" w:hAnsi="Palatino Linotype" w:cs="Palatino Linotype"/>
              </w:rPr>
              <w:t>Además, se debe señalar el procedimiento, de los tres que establecen los artículos 132 y 106 de la Ley Estatal y General, respectivamente.</w:t>
            </w:r>
          </w:p>
          <w:p w:rsidR="00AE293F" w:rsidRDefault="00FD56B2">
            <w:pPr>
              <w:tabs>
                <w:tab w:val="left" w:pos="284"/>
              </w:tabs>
              <w:ind w:right="-98"/>
              <w:jc w:val="both"/>
              <w:rPr>
                <w:rFonts w:ascii="Palatino Linotype" w:eastAsia="Palatino Linotype" w:hAnsi="Palatino Linotype" w:cs="Palatino Linotype"/>
              </w:rPr>
            </w:pPr>
            <w:r>
              <w:rPr>
                <w:rFonts w:ascii="Palatino Linotype" w:eastAsia="Palatino Linotype" w:hAnsi="Palatino Linotype" w:cs="Palatino Linotype"/>
              </w:rPr>
              <w:t xml:space="preserve">El último de estos requisitos previos consiste en que no se pueden emitir acuerdos de carácter general ni particular, esto es, </w:t>
            </w:r>
            <w:r>
              <w:rPr>
                <w:rFonts w:ascii="Palatino Linotype" w:eastAsia="Palatino Linotype" w:hAnsi="Palatino Linotype" w:cs="Palatino Linotype"/>
                <w:u w:val="single"/>
              </w:rPr>
              <w:t>no se puede hacer un acuerdo para clasificar de manera general todos los documentos de un expediente o área, sin</w:t>
            </w:r>
            <w:r>
              <w:rPr>
                <w:rFonts w:ascii="Palatino Linotype" w:eastAsia="Palatino Linotype" w:hAnsi="Palatino Linotype" w:cs="Palatino Linotype"/>
              </w:rPr>
              <w:t xml:space="preserve"> individualizar su análisis y tampoco se puede hacer un acuerdo por cada dato que se vaya a clasificar dentro de un documento con diez datos, por ejemplo, susceptibles de ser clasificados.</w:t>
            </w:r>
          </w:p>
        </w:tc>
      </w:tr>
      <w:tr w:rsidR="00AE293F" w:rsidTr="00332107">
        <w:tc>
          <w:tcPr>
            <w:tcW w:w="2745" w:type="dxa"/>
          </w:tcPr>
          <w:p w:rsidR="00AE293F" w:rsidRDefault="00FD56B2">
            <w:pPr>
              <w:tabs>
                <w:tab w:val="left" w:pos="284"/>
              </w:tabs>
              <w:ind w:right="-98"/>
              <w:rPr>
                <w:rFonts w:ascii="Palatino Linotype" w:eastAsia="Palatino Linotype" w:hAnsi="Palatino Linotype" w:cs="Palatino Linotype"/>
              </w:rPr>
            </w:pPr>
            <w:r>
              <w:rPr>
                <w:rFonts w:ascii="Palatino Linotype" w:eastAsia="Palatino Linotype" w:hAnsi="Palatino Linotype" w:cs="Palatino Linotype"/>
              </w:rPr>
              <w:lastRenderedPageBreak/>
              <w:t>b) Supuestos de clasificación.</w:t>
            </w:r>
          </w:p>
        </w:tc>
        <w:tc>
          <w:tcPr>
            <w:tcW w:w="7293" w:type="dxa"/>
          </w:tcPr>
          <w:p w:rsidR="00AE293F" w:rsidRDefault="00FD56B2">
            <w:pPr>
              <w:tabs>
                <w:tab w:val="left" w:pos="284"/>
              </w:tabs>
              <w:ind w:right="-98"/>
              <w:jc w:val="both"/>
              <w:rPr>
                <w:rFonts w:ascii="Palatino Linotype" w:eastAsia="Palatino Linotype" w:hAnsi="Palatino Linotype" w:cs="Palatino Linotype"/>
              </w:rPr>
            </w:pPr>
            <w:r>
              <w:rPr>
                <w:rFonts w:ascii="Palatino Linotype" w:eastAsia="Palatino Linotype" w:hAnsi="Palatino Linotype" w:cs="Palatino Linotype"/>
              </w:rPr>
              <w:t>Las disposiciones constitucionales y legales en la materia establecen los dos supuestos generales para clasificar la información: por reserva y por confidencialidad.</w:t>
            </w:r>
          </w:p>
          <w:p w:rsidR="00AE293F" w:rsidRDefault="00FD56B2">
            <w:pPr>
              <w:tabs>
                <w:tab w:val="left" w:pos="284"/>
              </w:tabs>
              <w:ind w:right="-98"/>
              <w:jc w:val="both"/>
              <w:rPr>
                <w:rFonts w:ascii="Palatino Linotype" w:eastAsia="Palatino Linotype" w:hAnsi="Palatino Linotype" w:cs="Palatino Linotype"/>
              </w:rPr>
            </w:pPr>
            <w:r>
              <w:rPr>
                <w:rFonts w:ascii="Palatino Linotype" w:eastAsia="Palatino Linotype" w:hAnsi="Palatino Linotype" w:cs="Palatino Linotype"/>
              </w:rPr>
              <w:t>Los artículos 116 y 143 de la Ley Estatal y de la Ley General, respectivamente, señalan los supuestos para que la información pueda ser clasificada como confidencial. Mientras que los artículos 105 y 130 de la Ley Estatal y de la Ley General, respectivamente, señalan que la aplicación de estos supuestos debe realizarse de manera restrictiva y limitada, por lo que debe acreditarse que se cumple con esta condición y no se pueden ampliar las excepciones o supuestos de clasificación aduciendo analogía o mayoría de razón.</w:t>
            </w:r>
          </w:p>
          <w:p w:rsidR="00AE293F" w:rsidRDefault="00FD56B2">
            <w:pPr>
              <w:tabs>
                <w:tab w:val="left" w:pos="284"/>
              </w:tabs>
              <w:ind w:right="-98"/>
              <w:jc w:val="both"/>
              <w:rPr>
                <w:rFonts w:ascii="Palatino Linotype" w:eastAsia="Palatino Linotype" w:hAnsi="Palatino Linotype" w:cs="Palatino Linotype"/>
              </w:rPr>
            </w:pPr>
            <w:r>
              <w:rPr>
                <w:rFonts w:ascii="Palatino Linotype" w:eastAsia="Palatino Linotype" w:hAnsi="Palatino Linotype" w:cs="Palatino Linotype"/>
              </w:rPr>
              <w:t xml:space="preserve">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debe identificar claramente el tipo de información y hacer un juicio de subsunción o encaje para acreditar que el supuesto de hecho corresponde estrictamente con la hipótesis jurídica. Esto también lo debe de realizar el servidor público habilitado y el titular del área que administra la información.</w:t>
            </w:r>
          </w:p>
        </w:tc>
      </w:tr>
      <w:tr w:rsidR="00AE293F" w:rsidTr="00332107">
        <w:tc>
          <w:tcPr>
            <w:tcW w:w="2745" w:type="dxa"/>
          </w:tcPr>
          <w:p w:rsidR="00AE293F" w:rsidRDefault="00FD56B2">
            <w:pPr>
              <w:tabs>
                <w:tab w:val="left" w:pos="284"/>
              </w:tabs>
              <w:ind w:right="-98"/>
              <w:rPr>
                <w:rFonts w:ascii="Palatino Linotype" w:eastAsia="Palatino Linotype" w:hAnsi="Palatino Linotype" w:cs="Palatino Linotype"/>
              </w:rPr>
            </w:pPr>
            <w:r>
              <w:rPr>
                <w:rFonts w:ascii="Palatino Linotype" w:eastAsia="Palatino Linotype" w:hAnsi="Palatino Linotype" w:cs="Palatino Linotype"/>
              </w:rPr>
              <w:t>c) Formalidades para emitir el acuerdo de clasificación.</w:t>
            </w:r>
          </w:p>
        </w:tc>
        <w:tc>
          <w:tcPr>
            <w:tcW w:w="7293" w:type="dxa"/>
          </w:tcPr>
          <w:p w:rsidR="00AE293F" w:rsidRDefault="00FD56B2">
            <w:pPr>
              <w:tabs>
                <w:tab w:val="left" w:pos="284"/>
              </w:tabs>
              <w:ind w:right="-98"/>
              <w:jc w:val="both"/>
              <w:rPr>
                <w:rFonts w:ascii="Palatino Linotype" w:eastAsia="Palatino Linotype" w:hAnsi="Palatino Linotype" w:cs="Palatino Linotype"/>
              </w:rPr>
            </w:pPr>
            <w:r>
              <w:rPr>
                <w:rFonts w:ascii="Palatino Linotype" w:eastAsia="Palatino Linotype" w:hAnsi="Palatino Linotype" w:cs="Palatino Linotype"/>
              </w:rPr>
              <w:t xml:space="preserve">El Comité de Transparencia, según lo dispuesto en los artículos cuenta con las facultades para aprobar, modificar o revocar la clasificación de la información que haya propuesto. </w:t>
            </w:r>
          </w:p>
          <w:p w:rsidR="00AE293F" w:rsidRDefault="00FD56B2">
            <w:pPr>
              <w:tabs>
                <w:tab w:val="left" w:pos="284"/>
              </w:tabs>
              <w:ind w:right="-98"/>
              <w:jc w:val="both"/>
              <w:rPr>
                <w:rFonts w:ascii="Palatino Linotype" w:eastAsia="Palatino Linotype" w:hAnsi="Palatino Linotype" w:cs="Palatino Linotype"/>
              </w:rPr>
            </w:pPr>
            <w:r>
              <w:rPr>
                <w:rFonts w:ascii="Palatino Linotype" w:eastAsia="Palatino Linotype" w:hAnsi="Palatino Linotype" w:cs="Palatino Linotype"/>
              </w:rPr>
              <w:t xml:space="preserve">Es necesario que </w:t>
            </w:r>
            <w:r>
              <w:rPr>
                <w:rFonts w:ascii="Palatino Linotype" w:eastAsia="Palatino Linotype" w:hAnsi="Palatino Linotype" w:cs="Palatino Linotype"/>
                <w:b/>
                <w:bCs/>
                <w:u w:val="single"/>
              </w:rPr>
              <w:t>el acto reúna con los requisitos elementales</w:t>
            </w:r>
            <w:r>
              <w:rPr>
                <w:rFonts w:ascii="Palatino Linotype" w:eastAsia="Palatino Linotype" w:hAnsi="Palatino Linotype" w:cs="Palatino Linotype"/>
              </w:rPr>
              <w:t>, entre ellos, que la autoridad que va a emitir el acto de autoridad sea la legalmente facultada para ello.</w:t>
            </w:r>
          </w:p>
          <w:p w:rsidR="00AE293F" w:rsidRDefault="00FD56B2">
            <w:pPr>
              <w:tabs>
                <w:tab w:val="left" w:pos="284"/>
              </w:tabs>
              <w:ind w:right="-98"/>
              <w:jc w:val="both"/>
              <w:rPr>
                <w:rFonts w:ascii="Palatino Linotype" w:eastAsia="Palatino Linotype" w:hAnsi="Palatino Linotype" w:cs="Palatino Linotype"/>
              </w:rPr>
            </w:pPr>
            <w:r>
              <w:rPr>
                <w:rFonts w:ascii="Palatino Linotype" w:eastAsia="Palatino Linotype" w:hAnsi="Palatino Linotype" w:cs="Palatino Linotype"/>
              </w:rPr>
              <w:t>La decisión de aprobar, modificar o revocar la clasificación deberá de asentarse en un documento que registre la determinación a la que se llegue después de un análisis minucioso a partir de lo propuesto por el Titular del I. El área que administra la información, cuyo análisis debe integrarse en la agenda de los asuntos a tratar en las sesiones, se insiste, a partir de las decisiones adoptadas previamente por los titulares de áreas y que son sujetas a control, en primera instancia, por el Comité de Transparencia.</w:t>
            </w:r>
          </w:p>
        </w:tc>
      </w:tr>
      <w:tr w:rsidR="00AE293F" w:rsidTr="00332107">
        <w:tc>
          <w:tcPr>
            <w:tcW w:w="2745" w:type="dxa"/>
          </w:tcPr>
          <w:p w:rsidR="00AE293F" w:rsidRDefault="00AE293F">
            <w:pPr>
              <w:tabs>
                <w:tab w:val="left" w:pos="284"/>
              </w:tabs>
              <w:ind w:right="-98"/>
              <w:rPr>
                <w:rFonts w:ascii="Palatino Linotype" w:eastAsia="Palatino Linotype" w:hAnsi="Palatino Linotype" w:cs="Palatino Linotype"/>
              </w:rPr>
            </w:pPr>
          </w:p>
          <w:p w:rsidR="00AE293F" w:rsidRDefault="00FD56B2">
            <w:pPr>
              <w:tabs>
                <w:tab w:val="left" w:pos="284"/>
              </w:tabs>
              <w:ind w:right="-98"/>
              <w:jc w:val="both"/>
              <w:rPr>
                <w:rFonts w:ascii="Palatino Linotype" w:eastAsia="Palatino Linotype" w:hAnsi="Palatino Linotype" w:cs="Palatino Linotype"/>
              </w:rPr>
            </w:pPr>
            <w:r>
              <w:rPr>
                <w:rFonts w:ascii="Palatino Linotype" w:eastAsia="Palatino Linotype" w:hAnsi="Palatino Linotype" w:cs="Palatino Linotype"/>
              </w:rPr>
              <w:t xml:space="preserve">d) Requisitos de fondo del acuerdo de clasificación. </w:t>
            </w:r>
          </w:p>
        </w:tc>
        <w:tc>
          <w:tcPr>
            <w:tcW w:w="7293" w:type="dxa"/>
          </w:tcPr>
          <w:p w:rsidR="00AE293F" w:rsidRDefault="00FD56B2">
            <w:pPr>
              <w:tabs>
                <w:tab w:val="left" w:pos="284"/>
              </w:tabs>
              <w:ind w:right="-98"/>
              <w:jc w:val="both"/>
              <w:rPr>
                <w:rFonts w:ascii="Palatino Linotype" w:eastAsia="Palatino Linotype" w:hAnsi="Palatino Linotype" w:cs="Palatino Linotype"/>
              </w:rPr>
            </w:pPr>
            <w:r>
              <w:rPr>
                <w:rFonts w:ascii="Palatino Linotype" w:eastAsia="Palatino Linotype" w:hAnsi="Palatino Linotype" w:cs="Palatino Linotype"/>
              </w:rPr>
              <w:t xml:space="preserve">Como se ha señalado antes, al hacer el juicio de subsunción o encaje entre el supuesto de hecho y la hipótesis jurídica, se debe acreditar la estricta correspondencia entre un elemento y otro. Ahora, en esta parte del procedimiento, que se desahoga en sede del Comité de Transparencia, la ley señala que la carga de la prueba, para justificar </w:t>
            </w:r>
            <w:r>
              <w:rPr>
                <w:rFonts w:ascii="Palatino Linotype" w:eastAsia="Palatino Linotype" w:hAnsi="Palatino Linotype" w:cs="Palatino Linotype"/>
              </w:rPr>
              <w:lastRenderedPageBreak/>
              <w:t xml:space="preserve">las restricciones, corresponde a los </w:t>
            </w:r>
            <w:r>
              <w:rPr>
                <w:rFonts w:ascii="Palatino Linotype" w:eastAsia="Palatino Linotype" w:hAnsi="Palatino Linotype" w:cs="Palatino Linotype"/>
                <w:b/>
                <w:bCs/>
              </w:rPr>
              <w:t>Sujetos Obligados</w:t>
            </w:r>
            <w:r>
              <w:rPr>
                <w:rFonts w:ascii="Palatino Linotype" w:eastAsia="Palatino Linotype" w:hAnsi="Palatino Linotype" w:cs="Palatino Linotype"/>
              </w:rPr>
              <w:t xml:space="preserve">, por lo que deberán fundar y motivar debidamente la clasificación. </w:t>
            </w:r>
          </w:p>
          <w:p w:rsidR="00AE293F" w:rsidRDefault="00FD56B2">
            <w:pPr>
              <w:tabs>
                <w:tab w:val="left" w:pos="284"/>
              </w:tabs>
              <w:ind w:right="-98"/>
              <w:jc w:val="both"/>
              <w:rPr>
                <w:rFonts w:ascii="Palatino Linotype" w:eastAsia="Palatino Linotype" w:hAnsi="Palatino Linotype" w:cs="Palatino Linotype"/>
              </w:rPr>
            </w:pPr>
            <w:r>
              <w:rPr>
                <w:rFonts w:ascii="Palatino Linotype" w:eastAsia="Palatino Linotype" w:hAnsi="Palatino Linotype" w:cs="Palatino Linotype"/>
              </w:rPr>
              <w:t xml:space="preserve">De lo anterior, se desprende que para una correcta </w:t>
            </w:r>
            <w:r>
              <w:rPr>
                <w:rFonts w:ascii="Palatino Linotype" w:eastAsia="Palatino Linotype" w:hAnsi="Palatino Linotype" w:cs="Palatino Linotype"/>
                <w:b/>
                <w:bCs/>
              </w:rPr>
              <w:t>clasificación total o parcial</w:t>
            </w:r>
            <w:r>
              <w:rPr>
                <w:rFonts w:ascii="Palatino Linotype" w:eastAsia="Palatino Linotype" w:hAnsi="Palatino Linotype" w:cs="Palatino Linotype"/>
              </w:rPr>
              <w:t>, esto es determinar los datos que se suprimen en las versiones públicas, es necesario fundar y motivar, de manera correcta, la clasificación; considerando que todo acto que la autoridad pronuncie en el ejercicio de sus atribuciones, debe expresar los fundamentos legales que le dieron origen y las razones por las que se deben aplicar al caso concreto.</w:t>
            </w:r>
          </w:p>
          <w:p w:rsidR="00AE293F" w:rsidRDefault="00FD56B2">
            <w:pPr>
              <w:tabs>
                <w:tab w:val="left" w:pos="284"/>
              </w:tabs>
              <w:ind w:right="-98"/>
              <w:jc w:val="both"/>
              <w:rPr>
                <w:rFonts w:ascii="Palatino Linotype" w:eastAsia="Palatino Linotype" w:hAnsi="Palatino Linotype" w:cs="Palatino Linotype"/>
              </w:rPr>
            </w:pPr>
            <w:r>
              <w:rPr>
                <w:rFonts w:ascii="Palatino Linotype" w:eastAsia="Palatino Linotype" w:hAnsi="Palatino Linotype" w:cs="Palatino Linotype"/>
              </w:rPr>
              <w:t>Así, en un acto de autoridad se cumple con la debida fundamentación cuando se cita el precepto legal aplicable al caso concreto y la debida motivación cuando se expresan las razones, motivos o circunstancias que tomó en cuenta la autoridad para adecuar el hecho a los fundamentos de derecho. De este modo, la persona que se sienta afectada pueda impugnar la decisión, permitiéndole una real y auténtica defensa.</w:t>
            </w:r>
          </w:p>
          <w:p w:rsidR="00AE293F" w:rsidRDefault="00FD56B2">
            <w:pPr>
              <w:tabs>
                <w:tab w:val="left" w:pos="284"/>
              </w:tabs>
              <w:ind w:right="-98"/>
              <w:jc w:val="both"/>
              <w:rPr>
                <w:rFonts w:ascii="Palatino Linotype" w:eastAsia="Palatino Linotype" w:hAnsi="Palatino Linotype" w:cs="Palatino Linotype"/>
              </w:rPr>
            </w:pPr>
            <w:r>
              <w:rPr>
                <w:rFonts w:ascii="Palatino Linotype" w:eastAsia="Palatino Linotype" w:hAnsi="Palatino Linotype" w:cs="Palatino Linotype"/>
              </w:rPr>
              <w:t>En ese mismo sentido, el numeral trigésimo tercero fracción V de los Lineamientos Generales, precisa que para motivar la clasificación se deben acreditar las circunstancias de tiempo, modo y lugar.</w:t>
            </w:r>
          </w:p>
          <w:p w:rsidR="00AE293F" w:rsidRDefault="00FD56B2">
            <w:pPr>
              <w:tabs>
                <w:tab w:val="left" w:pos="284"/>
              </w:tabs>
              <w:ind w:right="-98"/>
              <w:jc w:val="both"/>
              <w:rPr>
                <w:rFonts w:ascii="Palatino Linotype" w:eastAsia="Palatino Linotype" w:hAnsi="Palatino Linotype" w:cs="Palatino Linotype"/>
              </w:rPr>
            </w:pPr>
            <w:r>
              <w:rPr>
                <w:rFonts w:ascii="Palatino Linotype" w:eastAsia="Palatino Linotype" w:hAnsi="Palatino Linotype" w:cs="Palatino Linotype"/>
              </w:rPr>
              <w:t xml:space="preserve">Ahora bien, </w:t>
            </w:r>
            <w:r>
              <w:rPr>
                <w:rFonts w:ascii="Palatino Linotype" w:eastAsia="Palatino Linotype" w:hAnsi="Palatino Linotype" w:cs="Palatino Linotype"/>
                <w:b/>
                <w:bCs/>
                <w:u w:val="single"/>
              </w:rPr>
              <w:t>para cada caso además de fundar y motivar</w:t>
            </w:r>
            <w:r>
              <w:rPr>
                <w:rFonts w:ascii="Palatino Linotype" w:eastAsia="Palatino Linotype" w:hAnsi="Palatino Linotype" w:cs="Palatino Linotype"/>
              </w:rPr>
              <w:t>, se debe identificar con claridad qué datos contenidos en las documentales que son susceptibles de suprimirse, por ejemplo; Clave Única de Registro de Población (CURP), Registro Federal de Contribuyentes (R.F.C.), claves de seguros, préstamos o descuentos personales, secretos bancario, fiduciario, industrial, comercial, fiscal, bursátil y postal, cuya titularidad corresponda a particulares, entre otros.</w:t>
            </w:r>
          </w:p>
        </w:tc>
      </w:tr>
      <w:tr w:rsidR="00AE293F" w:rsidTr="00332107">
        <w:tc>
          <w:tcPr>
            <w:tcW w:w="2745" w:type="dxa"/>
          </w:tcPr>
          <w:p w:rsidR="00AE293F" w:rsidRDefault="00FD56B2">
            <w:pPr>
              <w:tabs>
                <w:tab w:val="left" w:pos="284"/>
              </w:tabs>
              <w:ind w:right="-98"/>
              <w:jc w:val="both"/>
              <w:rPr>
                <w:rFonts w:ascii="Palatino Linotype" w:eastAsia="Palatino Linotype" w:hAnsi="Palatino Linotype" w:cs="Palatino Linotype"/>
              </w:rPr>
            </w:pPr>
            <w:r>
              <w:rPr>
                <w:rFonts w:ascii="Palatino Linotype" w:eastAsia="Palatino Linotype" w:hAnsi="Palatino Linotype" w:cs="Palatino Linotype"/>
              </w:rPr>
              <w:lastRenderedPageBreak/>
              <w:t xml:space="preserve">e) Condiciones especiales de la clasificación de la información como confidencial. </w:t>
            </w:r>
          </w:p>
        </w:tc>
        <w:tc>
          <w:tcPr>
            <w:tcW w:w="7293" w:type="dxa"/>
          </w:tcPr>
          <w:p w:rsidR="00AE293F" w:rsidRDefault="00FD56B2">
            <w:pPr>
              <w:tabs>
                <w:tab w:val="left" w:pos="284"/>
              </w:tabs>
              <w:ind w:right="-98"/>
              <w:jc w:val="both"/>
              <w:rPr>
                <w:rFonts w:ascii="Palatino Linotype" w:eastAsia="Palatino Linotype" w:hAnsi="Palatino Linotype" w:cs="Palatino Linotype"/>
              </w:rPr>
            </w:pPr>
            <w:r>
              <w:rPr>
                <w:rFonts w:ascii="Palatino Linotype" w:eastAsia="Palatino Linotype" w:hAnsi="Palatino Linotype" w:cs="Palatino Linotype"/>
              </w:rPr>
              <w:t xml:space="preserve">Los artículos 148 y 120 de la Ley Estatal y de la Ley General, respectivamente, establecen que aun tratándose de datos personales, se podrán proporcionar, incluso sin solicitar el consentimiento de su titular. </w:t>
            </w:r>
          </w:p>
          <w:p w:rsidR="00AE293F" w:rsidRDefault="00FD56B2">
            <w:pPr>
              <w:tabs>
                <w:tab w:val="left" w:pos="284"/>
              </w:tabs>
              <w:ind w:right="-98"/>
              <w:jc w:val="both"/>
              <w:rPr>
                <w:rFonts w:ascii="Palatino Linotype" w:eastAsia="Palatino Linotype" w:hAnsi="Palatino Linotype" w:cs="Palatino Linotype"/>
              </w:rPr>
            </w:pPr>
            <w:r>
              <w:rPr>
                <w:rFonts w:ascii="Palatino Linotype" w:eastAsia="Palatino Linotype" w:hAnsi="Palatino Linotype" w:cs="Palatino Linotype"/>
              </w:rPr>
              <w:t xml:space="preserve">En el caso de lo señalado en la fracción IV, será el Instituto quien deba aplicar la prueba de interés público, considerando también que como recientemente ha discutido la Suprema Corte de Justicia de la Nación, los servidores públicos nos encontramos sujetos a un régimen menor de protección. </w:t>
            </w:r>
          </w:p>
          <w:p w:rsidR="00AE293F" w:rsidRDefault="00FD56B2">
            <w:pPr>
              <w:tabs>
                <w:tab w:val="left" w:pos="284"/>
              </w:tabs>
              <w:ind w:right="-98"/>
              <w:rPr>
                <w:rFonts w:ascii="Palatino Linotype" w:eastAsia="Palatino Linotype" w:hAnsi="Palatino Linotype" w:cs="Palatino Linotype"/>
              </w:rPr>
            </w:pPr>
            <w:r>
              <w:rPr>
                <w:rFonts w:ascii="Palatino Linotype" w:eastAsia="Palatino Linotype" w:hAnsi="Palatino Linotype" w:cs="Palatino Linotype"/>
              </w:rPr>
              <w:lastRenderedPageBreak/>
              <w:t>Pero si la información que se pretende clasificar como confidencial no se encuentra en los supuestos de los artículos señalados y es posible, se deberá consultar al titular de los datos si permite o no el acceso. De no ser posible, la realización de la consulta, procede, fundando y motivando, la clasificación.</w:t>
            </w:r>
          </w:p>
        </w:tc>
      </w:tr>
    </w:tbl>
    <w:p w:rsidR="00AE293F" w:rsidRDefault="00AE293F">
      <w:pPr>
        <w:ind w:right="-1071"/>
      </w:pPr>
    </w:p>
    <w:p w:rsidR="00AE293F" w:rsidRDefault="00AE293F">
      <w:pPr>
        <w:pBdr>
          <w:top w:val="nil"/>
          <w:left w:val="nil"/>
          <w:bottom w:val="nil"/>
          <w:right w:val="nil"/>
          <w:between w:val="nil"/>
        </w:pBdr>
        <w:spacing w:line="360" w:lineRule="auto"/>
        <w:ind w:right="-1071"/>
        <w:jc w:val="both"/>
        <w:rPr>
          <w:rFonts w:ascii="Palatino Linotype" w:eastAsia="Palatino Linotype" w:hAnsi="Palatino Linotype" w:cs="Palatino Linotype"/>
          <w:color w:val="000000"/>
        </w:rPr>
      </w:pPr>
    </w:p>
    <w:p w:rsidR="00AE293F" w:rsidRPr="006F4D8F" w:rsidRDefault="00FD56B2">
      <w:pPr>
        <w:numPr>
          <w:ilvl w:val="0"/>
          <w:numId w:val="1"/>
        </w:numPr>
        <w:pBdr>
          <w:top w:val="nil"/>
          <w:left w:val="nil"/>
          <w:bottom w:val="nil"/>
          <w:right w:val="nil"/>
          <w:between w:val="nil"/>
        </w:pBdr>
        <w:spacing w:line="360" w:lineRule="auto"/>
        <w:ind w:left="0" w:right="-1071" w:firstLine="0"/>
        <w:jc w:val="both"/>
        <w:rPr>
          <w:color w:val="000000"/>
        </w:rPr>
      </w:pPr>
      <w:r>
        <w:rPr>
          <w:rFonts w:ascii="Palatino Linotype" w:eastAsia="Palatino Linotype" w:hAnsi="Palatino Linotype" w:cs="Palatino Linotype"/>
          <w:color w:val="000000"/>
        </w:rPr>
        <w:t xml:space="preserve">Debido a lo anteriormente expuesto, este Instituto estima que las razones o motivos de inconformidad hechos valer por </w:t>
      </w:r>
      <w:r>
        <w:rPr>
          <w:rFonts w:ascii="Palatino Linotype" w:eastAsia="Palatino Linotype" w:hAnsi="Palatino Linotype" w:cs="Palatino Linotype"/>
          <w:b/>
          <w:bCs/>
          <w:color w:val="000000"/>
        </w:rPr>
        <w:t>EL RECURRENTE</w:t>
      </w:r>
      <w:r>
        <w:rPr>
          <w:rFonts w:ascii="Palatino Linotype" w:eastAsia="Palatino Linotype" w:hAnsi="Palatino Linotype" w:cs="Palatino Linotype"/>
          <w:color w:val="000000"/>
        </w:rPr>
        <w:t xml:space="preserve"> devienen fundadas y suficientes para</w:t>
      </w:r>
      <w:r>
        <w:rPr>
          <w:rFonts w:ascii="Palatino Linotype" w:eastAsia="Palatino Linotype" w:hAnsi="Palatino Linotype" w:cs="Palatino Linotype"/>
          <w:b/>
          <w:bCs/>
          <w:color w:val="000000"/>
        </w:rPr>
        <w:t xml:space="preserve"> REVOCAR</w:t>
      </w:r>
      <w:r>
        <w:rPr>
          <w:rFonts w:ascii="Palatino Linotype" w:eastAsia="Palatino Linotype" w:hAnsi="Palatino Linotype" w:cs="Palatino Linotype"/>
          <w:color w:val="000000"/>
        </w:rPr>
        <w:t xml:space="preserve"> la respuesta a la solicitud de acceso </w:t>
      </w:r>
      <w:r>
        <w:rPr>
          <w:rFonts w:ascii="Palatino Linotype" w:eastAsia="Palatino Linotype" w:hAnsi="Palatino Linotype" w:cs="Palatino Linotype"/>
          <w:b/>
          <w:bCs/>
          <w:color w:val="000000"/>
        </w:rPr>
        <w:t xml:space="preserve">00008/PAPALO/IP/2026, </w:t>
      </w:r>
      <w:r>
        <w:rPr>
          <w:rFonts w:ascii="Palatino Linotype" w:eastAsia="Palatino Linotype" w:hAnsi="Palatino Linotype" w:cs="Palatino Linotype"/>
          <w:color w:val="000000"/>
        </w:rPr>
        <w:t xml:space="preserve">que </w:t>
      </w:r>
      <w:r>
        <w:rPr>
          <w:rFonts w:ascii="Palatino Linotype" w:eastAsia="Palatino Linotype" w:hAnsi="Palatino Linotype" w:cs="Palatino Linotype"/>
        </w:rPr>
        <w:t>originó</w:t>
      </w:r>
      <w:r>
        <w:rPr>
          <w:rFonts w:ascii="Palatino Linotype" w:eastAsia="Palatino Linotype" w:hAnsi="Palatino Linotype" w:cs="Palatino Linotype"/>
          <w:color w:val="000000"/>
        </w:rPr>
        <w:t xml:space="preserve"> el Recurso de Revisión </w:t>
      </w:r>
      <w:r>
        <w:rPr>
          <w:rFonts w:ascii="Palatino Linotype" w:eastAsia="Palatino Linotype" w:hAnsi="Palatino Linotype" w:cs="Palatino Linotype"/>
          <w:b/>
          <w:bCs/>
          <w:color w:val="000000"/>
        </w:rPr>
        <w:t>02383/INFOEM/IP/RR/2026.</w:t>
      </w:r>
    </w:p>
    <w:p w:rsidR="006F4D8F" w:rsidRDefault="006F4D8F" w:rsidP="006F4D8F">
      <w:pPr>
        <w:pBdr>
          <w:top w:val="nil"/>
          <w:left w:val="nil"/>
          <w:bottom w:val="nil"/>
          <w:right w:val="nil"/>
          <w:between w:val="nil"/>
        </w:pBdr>
        <w:spacing w:line="360" w:lineRule="auto"/>
        <w:ind w:right="-1071"/>
        <w:jc w:val="both"/>
        <w:rPr>
          <w:color w:val="000000"/>
        </w:rPr>
      </w:pPr>
    </w:p>
    <w:p w:rsidR="00AE293F" w:rsidRDefault="00FD56B2">
      <w:pPr>
        <w:numPr>
          <w:ilvl w:val="0"/>
          <w:numId w:val="1"/>
        </w:numPr>
        <w:pBdr>
          <w:top w:val="nil"/>
          <w:left w:val="nil"/>
          <w:bottom w:val="nil"/>
          <w:right w:val="nil"/>
          <w:between w:val="nil"/>
        </w:pBdr>
        <w:spacing w:line="360" w:lineRule="auto"/>
        <w:ind w:left="0" w:right="-1071" w:firstLine="0"/>
        <w:jc w:val="both"/>
        <w:rPr>
          <w:color w:val="000000"/>
        </w:rPr>
      </w:pPr>
      <w:r>
        <w:rPr>
          <w:rFonts w:ascii="Palatino Linotype" w:eastAsia="Palatino Linotype" w:hAnsi="Palatino Linotype" w:cs="Palatino Linotype"/>
          <w:color w:val="000000"/>
        </w:rPr>
        <w:t xml:space="preserve">Así, con fundamento en lo previsto en los artículos 5, párrafo trigésimo segundo, trigésimo tercero y trigésimo cuarto, fracciones IV y V de la Constitución Política del Estado Libre y Soberano de México; 2, fracción II, 29, 36, fracciones I y II, 176, 178, 179, 181, 185 fracción I, 186 y 188 de la Ley de Transparencia y Acceso a la Información Pública del Estado de México y Municipios, este Pleno: </w:t>
      </w:r>
    </w:p>
    <w:p w:rsidR="00AE293F" w:rsidRDefault="00AE293F">
      <w:pPr>
        <w:pBdr>
          <w:top w:val="nil"/>
          <w:left w:val="nil"/>
          <w:bottom w:val="nil"/>
          <w:right w:val="nil"/>
          <w:between w:val="nil"/>
        </w:pBdr>
        <w:spacing w:line="360" w:lineRule="auto"/>
        <w:ind w:right="-1071"/>
        <w:jc w:val="both"/>
        <w:rPr>
          <w:rFonts w:ascii="Palatino Linotype" w:eastAsia="Palatino Linotype" w:hAnsi="Palatino Linotype" w:cs="Palatino Linotype"/>
        </w:rPr>
      </w:pPr>
    </w:p>
    <w:p w:rsidR="00AE293F" w:rsidRDefault="00FD56B2">
      <w:pPr>
        <w:pBdr>
          <w:top w:val="nil"/>
          <w:left w:val="nil"/>
          <w:bottom w:val="nil"/>
          <w:right w:val="nil"/>
          <w:between w:val="nil"/>
        </w:pBdr>
        <w:spacing w:line="360" w:lineRule="auto"/>
        <w:ind w:right="-1071"/>
        <w:jc w:val="center"/>
        <w:rPr>
          <w:rFonts w:ascii="Palatino Linotype" w:eastAsia="Palatino Linotype" w:hAnsi="Palatino Linotype" w:cs="Palatino Linotype"/>
          <w:b/>
          <w:bCs/>
        </w:rPr>
      </w:pPr>
      <w:r>
        <w:rPr>
          <w:rFonts w:ascii="Palatino Linotype" w:eastAsia="Palatino Linotype" w:hAnsi="Palatino Linotype" w:cs="Palatino Linotype"/>
          <w:b/>
          <w:bCs/>
        </w:rPr>
        <w:t>R E S U E L V E</w:t>
      </w:r>
    </w:p>
    <w:p w:rsidR="00AE293F" w:rsidRDefault="00AE293F">
      <w:pPr>
        <w:pBdr>
          <w:top w:val="nil"/>
          <w:left w:val="nil"/>
          <w:bottom w:val="nil"/>
          <w:right w:val="nil"/>
          <w:between w:val="nil"/>
        </w:pBdr>
        <w:spacing w:line="360" w:lineRule="auto"/>
        <w:ind w:right="-1071"/>
        <w:jc w:val="center"/>
        <w:rPr>
          <w:rFonts w:ascii="Palatino Linotype" w:eastAsia="Palatino Linotype" w:hAnsi="Palatino Linotype" w:cs="Palatino Linotype"/>
          <w:b/>
          <w:bCs/>
        </w:rPr>
      </w:pPr>
    </w:p>
    <w:p w:rsidR="00AE293F" w:rsidRDefault="00FD56B2">
      <w:pPr>
        <w:spacing w:line="360" w:lineRule="auto"/>
        <w:ind w:right="-1071"/>
        <w:jc w:val="both"/>
        <w:rPr>
          <w:rFonts w:ascii="Palatino Linotype" w:eastAsia="Palatino Linotype" w:hAnsi="Palatino Linotype" w:cs="Palatino Linotype"/>
          <w:color w:val="000000"/>
        </w:rPr>
      </w:pPr>
      <w:r>
        <w:rPr>
          <w:rFonts w:ascii="Palatino Linotype" w:eastAsia="Palatino Linotype" w:hAnsi="Palatino Linotype" w:cs="Palatino Linotype"/>
          <w:b/>
          <w:bCs/>
          <w:color w:val="000000"/>
        </w:rPr>
        <w:t>PRIMERO</w:t>
      </w:r>
      <w:r>
        <w:rPr>
          <w:rFonts w:ascii="Palatino Linotype" w:eastAsia="Palatino Linotype" w:hAnsi="Palatino Linotype" w:cs="Palatino Linotype"/>
          <w:color w:val="000000"/>
        </w:rPr>
        <w:t xml:space="preserve">. Resultan </w:t>
      </w:r>
      <w:r>
        <w:rPr>
          <w:rFonts w:ascii="Palatino Linotype" w:eastAsia="Palatino Linotype" w:hAnsi="Palatino Linotype" w:cs="Palatino Linotype"/>
          <w:b/>
          <w:bCs/>
          <w:color w:val="000000"/>
        </w:rPr>
        <w:t>fundadas</w:t>
      </w:r>
      <w:r>
        <w:rPr>
          <w:rFonts w:ascii="Palatino Linotype" w:eastAsia="Palatino Linotype" w:hAnsi="Palatino Linotype" w:cs="Palatino Linotype"/>
          <w:color w:val="000000"/>
        </w:rPr>
        <w:t xml:space="preserve"> las razones o motivos de inconformidad planteadas por </w:t>
      </w:r>
      <w:r>
        <w:rPr>
          <w:rFonts w:ascii="Palatino Linotype" w:eastAsia="Palatino Linotype" w:hAnsi="Palatino Linotype" w:cs="Palatino Linotype"/>
          <w:b/>
          <w:bCs/>
          <w:color w:val="000000"/>
        </w:rPr>
        <w:t>EL RECURRENTE</w:t>
      </w:r>
      <w:r>
        <w:rPr>
          <w:rFonts w:ascii="Palatino Linotype" w:eastAsia="Palatino Linotype" w:hAnsi="Palatino Linotype" w:cs="Palatino Linotype"/>
          <w:color w:val="000000"/>
        </w:rPr>
        <w:t xml:space="preserve">, en términos del Considerando </w:t>
      </w:r>
      <w:r>
        <w:rPr>
          <w:rFonts w:ascii="Palatino Linotype" w:eastAsia="Palatino Linotype" w:hAnsi="Palatino Linotype" w:cs="Palatino Linotype"/>
          <w:b/>
          <w:bCs/>
          <w:color w:val="000000"/>
        </w:rPr>
        <w:t>CUARTO</w:t>
      </w:r>
      <w:r>
        <w:rPr>
          <w:rFonts w:ascii="Palatino Linotype" w:eastAsia="Palatino Linotype" w:hAnsi="Palatino Linotype" w:cs="Palatino Linotype"/>
          <w:color w:val="000000"/>
        </w:rPr>
        <w:t xml:space="preserve"> de la presente resolución.</w:t>
      </w:r>
    </w:p>
    <w:p w:rsidR="00AE293F" w:rsidRDefault="00AE293F">
      <w:pPr>
        <w:spacing w:line="360" w:lineRule="auto"/>
        <w:ind w:right="-1071"/>
        <w:jc w:val="both"/>
        <w:rPr>
          <w:rFonts w:ascii="Palatino Linotype" w:eastAsia="Palatino Linotype" w:hAnsi="Palatino Linotype" w:cs="Palatino Linotype"/>
          <w:color w:val="000000"/>
        </w:rPr>
      </w:pPr>
    </w:p>
    <w:p w:rsidR="00AE293F" w:rsidRDefault="00FD56B2">
      <w:pPr>
        <w:spacing w:line="360" w:lineRule="auto"/>
        <w:ind w:right="-1071"/>
        <w:jc w:val="both"/>
        <w:rPr>
          <w:rFonts w:ascii="Palatino Linotype" w:eastAsia="Palatino Linotype" w:hAnsi="Palatino Linotype" w:cs="Palatino Linotype"/>
          <w:color w:val="000000"/>
        </w:rPr>
      </w:pPr>
      <w:r>
        <w:rPr>
          <w:rFonts w:ascii="Palatino Linotype" w:eastAsia="Palatino Linotype" w:hAnsi="Palatino Linotype" w:cs="Palatino Linotype"/>
          <w:b/>
          <w:bCs/>
          <w:color w:val="000000"/>
        </w:rPr>
        <w:t>SEGUNDO</w:t>
      </w:r>
      <w:r>
        <w:rPr>
          <w:rFonts w:ascii="Palatino Linotype" w:eastAsia="Palatino Linotype" w:hAnsi="Palatino Linotype" w:cs="Palatino Linotype"/>
          <w:color w:val="000000"/>
        </w:rPr>
        <w:t xml:space="preserve">. Se </w:t>
      </w:r>
      <w:r>
        <w:rPr>
          <w:rFonts w:ascii="Palatino Linotype" w:eastAsia="Palatino Linotype" w:hAnsi="Palatino Linotype" w:cs="Palatino Linotype"/>
          <w:b/>
          <w:bCs/>
          <w:color w:val="000000"/>
        </w:rPr>
        <w:t xml:space="preserve">REVOCA </w:t>
      </w:r>
      <w:r>
        <w:rPr>
          <w:rFonts w:ascii="Palatino Linotype" w:eastAsia="Palatino Linotype" w:hAnsi="Palatino Linotype" w:cs="Palatino Linotype"/>
          <w:color w:val="000000"/>
        </w:rPr>
        <w:t>la respuesta proporcionada por el</w:t>
      </w:r>
      <w:r>
        <w:rPr>
          <w:rFonts w:ascii="Palatino Linotype" w:eastAsia="Palatino Linotype" w:hAnsi="Palatino Linotype" w:cs="Palatino Linotype"/>
          <w:b/>
          <w:bCs/>
          <w:color w:val="000000"/>
        </w:rPr>
        <w:t xml:space="preserve"> Ayuntamiento de Papalotla</w:t>
      </w:r>
      <w:r>
        <w:rPr>
          <w:rFonts w:ascii="Palatino Linotype" w:eastAsia="Palatino Linotype" w:hAnsi="Palatino Linotype" w:cs="Palatino Linotype"/>
          <w:color w:val="000000"/>
        </w:rPr>
        <w:t xml:space="preserve"> a la solicitud de información </w:t>
      </w:r>
      <w:r>
        <w:rPr>
          <w:rFonts w:ascii="Palatino Linotype" w:eastAsia="Palatino Linotype" w:hAnsi="Palatino Linotype" w:cs="Palatino Linotype"/>
          <w:b/>
          <w:bCs/>
          <w:color w:val="000000"/>
        </w:rPr>
        <w:t>00008/PAPALO/IP/2026</w:t>
      </w:r>
      <w:r>
        <w:rPr>
          <w:rFonts w:ascii="Palatino Linotype" w:eastAsia="Palatino Linotype" w:hAnsi="Palatino Linotype" w:cs="Palatino Linotype"/>
          <w:b/>
          <w:bCs/>
        </w:rPr>
        <w:t xml:space="preserve">, </w:t>
      </w:r>
      <w:r>
        <w:rPr>
          <w:rFonts w:ascii="Palatino Linotype" w:eastAsia="Palatino Linotype" w:hAnsi="Palatino Linotype" w:cs="Palatino Linotype"/>
          <w:color w:val="000000"/>
        </w:rPr>
        <w:t>en términos del considerando</w:t>
      </w:r>
      <w:r>
        <w:rPr>
          <w:rFonts w:ascii="Palatino Linotype" w:eastAsia="Palatino Linotype" w:hAnsi="Palatino Linotype" w:cs="Palatino Linotype"/>
          <w:b/>
          <w:bCs/>
          <w:color w:val="000000"/>
        </w:rPr>
        <w:t xml:space="preserve"> CUARTO </w:t>
      </w:r>
      <w:r>
        <w:rPr>
          <w:rFonts w:ascii="Palatino Linotype" w:eastAsia="Palatino Linotype" w:hAnsi="Palatino Linotype" w:cs="Palatino Linotype"/>
          <w:color w:val="000000"/>
        </w:rPr>
        <w:t xml:space="preserve">de la presente resolución y se </w:t>
      </w:r>
      <w:r>
        <w:rPr>
          <w:rFonts w:ascii="Palatino Linotype" w:eastAsia="Palatino Linotype" w:hAnsi="Palatino Linotype" w:cs="Palatino Linotype"/>
          <w:b/>
          <w:bCs/>
          <w:color w:val="000000"/>
        </w:rPr>
        <w:t>ORDENA</w:t>
      </w:r>
      <w:r>
        <w:rPr>
          <w:rFonts w:ascii="Palatino Linotype" w:eastAsia="Palatino Linotype" w:hAnsi="Palatino Linotype" w:cs="Palatino Linotype"/>
          <w:color w:val="000000"/>
        </w:rPr>
        <w:t xml:space="preserve"> entregue al</w:t>
      </w:r>
      <w:r>
        <w:rPr>
          <w:rFonts w:ascii="Palatino Linotype" w:eastAsia="Palatino Linotype" w:hAnsi="Palatino Linotype" w:cs="Palatino Linotype"/>
          <w:b/>
          <w:bCs/>
          <w:color w:val="000000"/>
        </w:rPr>
        <w:t xml:space="preserve"> RECURRENTE, </w:t>
      </w:r>
      <w:r>
        <w:rPr>
          <w:rFonts w:ascii="Palatino Linotype" w:eastAsia="Palatino Linotype" w:hAnsi="Palatino Linotype" w:cs="Palatino Linotype"/>
          <w:color w:val="000000"/>
        </w:rPr>
        <w:t xml:space="preserve">a través del Sistema de </w:t>
      </w:r>
      <w:r>
        <w:rPr>
          <w:rFonts w:ascii="Palatino Linotype" w:eastAsia="Palatino Linotype" w:hAnsi="Palatino Linotype" w:cs="Palatino Linotype"/>
          <w:color w:val="000000"/>
        </w:rPr>
        <w:lastRenderedPageBreak/>
        <w:t xml:space="preserve">Acceso a la Información Mexiquense </w:t>
      </w:r>
      <w:r>
        <w:rPr>
          <w:rFonts w:ascii="Palatino Linotype" w:eastAsia="Palatino Linotype" w:hAnsi="Palatino Linotype" w:cs="Palatino Linotype"/>
          <w:b/>
          <w:bCs/>
          <w:color w:val="000000"/>
        </w:rPr>
        <w:t>(SAIMEX)</w:t>
      </w:r>
      <w:r>
        <w:rPr>
          <w:rFonts w:ascii="Palatino Linotype" w:eastAsia="Palatino Linotype" w:hAnsi="Palatino Linotype" w:cs="Palatino Linotype"/>
          <w:color w:val="000000"/>
        </w:rPr>
        <w:t>, de ser procedente en versión pública, lo siguiente:</w:t>
      </w:r>
    </w:p>
    <w:p w:rsidR="00AE293F" w:rsidRDefault="00AE293F">
      <w:pPr>
        <w:spacing w:line="360" w:lineRule="auto"/>
        <w:ind w:right="-1071"/>
        <w:jc w:val="both"/>
        <w:rPr>
          <w:rFonts w:ascii="Palatino Linotype" w:eastAsia="Palatino Linotype" w:hAnsi="Palatino Linotype" w:cs="Palatino Linotype"/>
          <w:color w:val="000000"/>
        </w:rPr>
      </w:pPr>
    </w:p>
    <w:p w:rsidR="00AE293F" w:rsidRDefault="00FD56B2">
      <w:pPr>
        <w:numPr>
          <w:ilvl w:val="0"/>
          <w:numId w:val="4"/>
        </w:numPr>
        <w:pBdr>
          <w:top w:val="nil"/>
          <w:left w:val="nil"/>
          <w:bottom w:val="nil"/>
          <w:right w:val="nil"/>
          <w:between w:val="nil"/>
        </w:pBdr>
        <w:spacing w:line="360" w:lineRule="auto"/>
        <w:ind w:right="-1071"/>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Documento en donde consten o se adviertan las evaluaciones al Plan de Desarrollo Municipal realizadas del ejercicio fiscal dos mil veinticinco.</w:t>
      </w:r>
    </w:p>
    <w:p w:rsidR="00AE293F" w:rsidRDefault="00AE293F">
      <w:pPr>
        <w:spacing w:line="360" w:lineRule="auto"/>
        <w:ind w:right="-1071"/>
        <w:jc w:val="both"/>
        <w:rPr>
          <w:rFonts w:ascii="Palatino Linotype" w:eastAsia="Palatino Linotype" w:hAnsi="Palatino Linotype" w:cs="Palatino Linotype"/>
          <w:b/>
          <w:bCs/>
          <w:i/>
          <w:iCs/>
          <w:color w:val="000000"/>
          <w:u w:val="single"/>
        </w:rPr>
      </w:pPr>
    </w:p>
    <w:p w:rsidR="00AE293F" w:rsidRDefault="00FD56B2">
      <w:pPr>
        <w:tabs>
          <w:tab w:val="left" w:pos="8080"/>
        </w:tabs>
        <w:spacing w:line="360" w:lineRule="auto"/>
        <w:ind w:right="-1071"/>
        <w:jc w:val="both"/>
        <w:rPr>
          <w:rFonts w:ascii="Palatino Linotype" w:eastAsia="Palatino Linotype" w:hAnsi="Palatino Linotype" w:cs="Palatino Linotype"/>
          <w:b/>
          <w:bCs/>
        </w:rPr>
      </w:pPr>
      <w:r>
        <w:rPr>
          <w:rFonts w:ascii="Palatino Linotype" w:eastAsia="Palatino Linotype" w:hAnsi="Palatino Linotype" w:cs="Palatino Linotype"/>
        </w:rPr>
        <w:t>Para efectos de lo anterior, se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y documentos que se clasifiquen en su totalidad como confidenciales, objeto de las versiones públicas que se formulen y se pongan a disposición del</w:t>
      </w:r>
      <w:r>
        <w:rPr>
          <w:rFonts w:ascii="Palatino Linotype" w:eastAsia="Palatino Linotype" w:hAnsi="Palatino Linotype" w:cs="Palatino Linotype"/>
          <w:b/>
          <w:bCs/>
        </w:rPr>
        <w:t xml:space="preserve"> RECURRENTE.</w:t>
      </w:r>
    </w:p>
    <w:p w:rsidR="00AE293F" w:rsidRDefault="00AE293F">
      <w:pPr>
        <w:tabs>
          <w:tab w:val="left" w:pos="8080"/>
        </w:tabs>
        <w:spacing w:line="360" w:lineRule="auto"/>
        <w:ind w:right="-1071"/>
        <w:jc w:val="both"/>
        <w:rPr>
          <w:rFonts w:ascii="Palatino Linotype" w:eastAsia="Palatino Linotype" w:hAnsi="Palatino Linotype" w:cs="Palatino Linotype"/>
          <w:b/>
          <w:bCs/>
        </w:rPr>
      </w:pPr>
    </w:p>
    <w:p w:rsidR="00AE293F" w:rsidRDefault="00FD56B2">
      <w:pPr>
        <w:spacing w:line="360" w:lineRule="auto"/>
        <w:ind w:right="-1071"/>
        <w:jc w:val="both"/>
        <w:rPr>
          <w:rFonts w:ascii="Palatino Linotype" w:eastAsia="Palatino Linotype" w:hAnsi="Palatino Linotype" w:cs="Palatino Linotype"/>
        </w:rPr>
      </w:pPr>
      <w:r>
        <w:rPr>
          <w:rFonts w:ascii="Palatino Linotype" w:eastAsia="Palatino Linotype" w:hAnsi="Palatino Linotype" w:cs="Palatino Linotype"/>
          <w:b/>
          <w:bCs/>
        </w:rPr>
        <w:t>TERCERO. NOTIFÍQUESE</w:t>
      </w:r>
      <w:r>
        <w:rPr>
          <w:rFonts w:ascii="Palatino Linotype" w:eastAsia="Palatino Linotype" w:hAnsi="Palatino Linotype" w:cs="Palatino Linotype"/>
        </w:rPr>
        <w:t xml:space="preserve"> la presente resolución al Titular de la Unidad de Transparencia del Sujeto Obligado </w:t>
      </w:r>
      <w:r>
        <w:rPr>
          <w:rFonts w:ascii="Palatino Linotype" w:eastAsia="Palatino Linotype" w:hAnsi="Palatino Linotype" w:cs="Palatino Linotype"/>
          <w:b/>
          <w:bCs/>
        </w:rPr>
        <w:t>vía SAIMEX</w:t>
      </w:r>
      <w:r>
        <w:rPr>
          <w:rFonts w:ascii="Palatino Linotype" w:eastAsia="Palatino Linotype" w:hAnsi="Palatino Linotype" w:cs="Palatino Linotype"/>
        </w:rPr>
        <w:t xml:space="preserve">, para que conforme al artículo 186 último párrafo, 189 segundo párrafo y 194 de la Ley de Transparencia y Acceso a la Información Pública del Estado de México y Municipios; </w:t>
      </w:r>
      <w:r w:rsidRPr="006F4D8F">
        <w:rPr>
          <w:rFonts w:ascii="Palatino Linotype" w:eastAsia="Palatino Linotype" w:hAnsi="Palatino Linotype" w:cs="Palatino Linotype"/>
          <w:b/>
        </w:rPr>
        <w:t>dé cumplimiento a lo ordenado dentro del plazo de diez días hábiles</w:t>
      </w:r>
      <w:r>
        <w:rPr>
          <w:rFonts w:ascii="Palatino Linotype" w:eastAsia="Palatino Linotype" w:hAnsi="Palatino Linotype" w:cs="Palatino Linotype"/>
        </w:rPr>
        <w:t>,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AE293F" w:rsidRDefault="00AE293F">
      <w:pPr>
        <w:spacing w:line="360" w:lineRule="auto"/>
        <w:ind w:right="-1071"/>
        <w:jc w:val="both"/>
        <w:rPr>
          <w:rFonts w:ascii="Palatino Linotype" w:eastAsia="Palatino Linotype" w:hAnsi="Palatino Linotype" w:cs="Palatino Linotype"/>
        </w:rPr>
      </w:pPr>
    </w:p>
    <w:p w:rsidR="00AE293F" w:rsidRDefault="00FD56B2">
      <w:pPr>
        <w:spacing w:line="360" w:lineRule="auto"/>
        <w:ind w:right="-1071"/>
        <w:jc w:val="both"/>
        <w:rPr>
          <w:rFonts w:ascii="Palatino Linotype" w:eastAsia="Palatino Linotype" w:hAnsi="Palatino Linotype" w:cs="Palatino Linotype"/>
        </w:rPr>
      </w:pPr>
      <w:r>
        <w:rPr>
          <w:rFonts w:ascii="Palatino Linotype" w:eastAsia="Palatino Linotype" w:hAnsi="Palatino Linotype" w:cs="Palatino Linotype"/>
          <w:b/>
          <w:bCs/>
        </w:rPr>
        <w:lastRenderedPageBreak/>
        <w:t xml:space="preserve">CUARTO. </w:t>
      </w:r>
      <w:r>
        <w:rPr>
          <w:rFonts w:ascii="Palatino Linotype" w:eastAsia="Palatino Linotype" w:hAnsi="Palatino Linotype" w:cs="Palatino Linotype"/>
        </w:rPr>
        <w:t xml:space="preserve">De conformidad con el artículo 198 de la Ley de Transparencia y Acceso a la Información Pública del Estado de México y Municipios, de considerarlo procedente, 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de manera fundada y motivada, podrá solicitar una ampliación de plazo para el cumplimiento de la presente resolución.</w:t>
      </w:r>
    </w:p>
    <w:p w:rsidR="00AE293F" w:rsidRDefault="00AE293F">
      <w:pPr>
        <w:spacing w:line="360" w:lineRule="auto"/>
        <w:ind w:right="-1071"/>
        <w:jc w:val="both"/>
        <w:rPr>
          <w:rFonts w:ascii="Palatino Linotype" w:eastAsia="Palatino Linotype" w:hAnsi="Palatino Linotype" w:cs="Palatino Linotype"/>
        </w:rPr>
      </w:pPr>
    </w:p>
    <w:p w:rsidR="00AE293F" w:rsidRDefault="00FD56B2">
      <w:pPr>
        <w:spacing w:line="360" w:lineRule="auto"/>
        <w:ind w:right="-1071"/>
        <w:jc w:val="both"/>
        <w:rPr>
          <w:rFonts w:ascii="Palatino Linotype" w:eastAsia="Palatino Linotype" w:hAnsi="Palatino Linotype" w:cs="Palatino Linotype"/>
          <w:b/>
          <w:bCs/>
        </w:rPr>
      </w:pPr>
      <w:bookmarkStart w:id="8" w:name="_heading=h.lnxbz9" w:colFirst="0" w:colLast="0"/>
      <w:bookmarkEnd w:id="8"/>
      <w:r>
        <w:rPr>
          <w:rFonts w:ascii="Palatino Linotype" w:eastAsia="Palatino Linotype" w:hAnsi="Palatino Linotype" w:cs="Palatino Linotype"/>
          <w:b/>
          <w:bCs/>
        </w:rPr>
        <w:t xml:space="preserve">QUINTO. </w:t>
      </w:r>
      <w:r>
        <w:rPr>
          <w:rFonts w:ascii="Palatino Linotype" w:eastAsia="Palatino Linotype" w:hAnsi="Palatino Linotype" w:cs="Palatino Linotype"/>
        </w:rPr>
        <w:t xml:space="preserve">Notifíquese a </w:t>
      </w:r>
      <w:r>
        <w:rPr>
          <w:rFonts w:ascii="Palatino Linotype" w:eastAsia="Palatino Linotype" w:hAnsi="Palatino Linotype" w:cs="Palatino Linotype"/>
          <w:b/>
          <w:bCs/>
        </w:rPr>
        <w:t>EL RECURRENTE</w:t>
      </w:r>
      <w:r>
        <w:rPr>
          <w:rFonts w:ascii="Palatino Linotype" w:eastAsia="Palatino Linotype" w:hAnsi="Palatino Linotype" w:cs="Palatino Linotype"/>
        </w:rPr>
        <w:t xml:space="preserve"> la presente resolución, </w:t>
      </w:r>
      <w:r>
        <w:rPr>
          <w:rFonts w:ascii="Palatino Linotype" w:eastAsia="Palatino Linotype" w:hAnsi="Palatino Linotype" w:cs="Palatino Linotype"/>
          <w:b/>
          <w:bCs/>
        </w:rPr>
        <w:t>vía SAIMEX.</w:t>
      </w:r>
    </w:p>
    <w:p w:rsidR="00AE293F" w:rsidRDefault="00AE293F">
      <w:pPr>
        <w:spacing w:line="360" w:lineRule="auto"/>
        <w:ind w:right="-1071"/>
        <w:jc w:val="both"/>
        <w:rPr>
          <w:rFonts w:ascii="Palatino Linotype" w:eastAsia="Palatino Linotype" w:hAnsi="Palatino Linotype" w:cs="Palatino Linotype"/>
        </w:rPr>
      </w:pPr>
    </w:p>
    <w:p w:rsidR="00AE293F" w:rsidRDefault="00FD56B2" w:rsidP="006F4D8F">
      <w:pPr>
        <w:tabs>
          <w:tab w:val="left" w:pos="8080"/>
        </w:tabs>
        <w:spacing w:line="360" w:lineRule="auto"/>
        <w:ind w:right="-1071"/>
        <w:jc w:val="both"/>
        <w:rPr>
          <w:rFonts w:ascii="Palatino Linotype" w:eastAsia="Palatino Linotype" w:hAnsi="Palatino Linotype" w:cs="Palatino Linotype"/>
        </w:rPr>
      </w:pPr>
      <w:r>
        <w:rPr>
          <w:rFonts w:ascii="Palatino Linotype" w:eastAsia="Palatino Linotype" w:hAnsi="Palatino Linotype" w:cs="Palatino Linotype"/>
          <w:b/>
          <w:bCs/>
        </w:rPr>
        <w:t>SEXTO.</w:t>
      </w:r>
      <w:r>
        <w:rPr>
          <w:rFonts w:ascii="Palatino Linotype" w:eastAsia="Palatino Linotype" w:hAnsi="Palatino Linotype" w:cs="Palatino Linotype"/>
        </w:rPr>
        <w:t xml:space="preserve"> Se hace del conocimiento del </w:t>
      </w:r>
      <w:r>
        <w:rPr>
          <w:rFonts w:ascii="Palatino Linotype" w:eastAsia="Palatino Linotype" w:hAnsi="Palatino Linotype" w:cs="Palatino Linotype"/>
          <w:b/>
          <w:bCs/>
        </w:rPr>
        <w:t>RECURRENTE</w:t>
      </w:r>
      <w:r>
        <w:rPr>
          <w:rFonts w:ascii="Palatino Linotype" w:eastAsia="Palatino Linotype" w:hAnsi="Palatino Linotype" w:cs="Palatino Linotype"/>
        </w:rPr>
        <w:t xml:space="preserve"> que de conformidad con lo establecido en el artículo 196 de la Ley de Transparencia y Acceso a la Información</w:t>
      </w:r>
      <w:r w:rsidR="006F4D8F">
        <w:rPr>
          <w:rFonts w:ascii="Palatino Linotype" w:eastAsia="Palatino Linotype" w:hAnsi="Palatino Linotype" w:cs="Palatino Linotype"/>
        </w:rPr>
        <w:t xml:space="preserve"> </w:t>
      </w:r>
      <w:r>
        <w:rPr>
          <w:rFonts w:ascii="Palatino Linotype" w:eastAsia="Palatino Linotype" w:hAnsi="Palatino Linotype" w:cs="Palatino Linotype"/>
        </w:rPr>
        <w:t>Pública del Estado de México y Municipios, en caso de que considere que la resolución le cause algún perjuicio podrá impugnar, vía juicio de amparo en los</w:t>
      </w:r>
      <w:r w:rsidR="006F4D8F">
        <w:rPr>
          <w:rFonts w:ascii="Palatino Linotype" w:eastAsia="Palatino Linotype" w:hAnsi="Palatino Linotype" w:cs="Palatino Linotype"/>
        </w:rPr>
        <w:t xml:space="preserve"> </w:t>
      </w:r>
      <w:r>
        <w:rPr>
          <w:rFonts w:ascii="Palatino Linotype" w:eastAsia="Palatino Linotype" w:hAnsi="Palatino Linotype" w:cs="Palatino Linotype"/>
        </w:rPr>
        <w:t>Términos de las Leyes aplicables.</w:t>
      </w:r>
    </w:p>
    <w:p w:rsidR="00AE293F" w:rsidRDefault="00AE293F">
      <w:pPr>
        <w:shd w:val="clear" w:color="auto" w:fill="FFFFFF"/>
        <w:spacing w:line="360" w:lineRule="auto"/>
        <w:ind w:right="-1071"/>
        <w:jc w:val="both"/>
        <w:rPr>
          <w:rFonts w:ascii="Palatino Linotype" w:eastAsia="Palatino Linotype" w:hAnsi="Palatino Linotype" w:cs="Palatino Linotype"/>
        </w:rPr>
      </w:pPr>
    </w:p>
    <w:p w:rsidR="006F4D8F" w:rsidRPr="003E2295" w:rsidRDefault="006F4D8F" w:rsidP="006F4D8F">
      <w:pPr>
        <w:spacing w:before="240" w:after="240" w:line="360" w:lineRule="auto"/>
        <w:ind w:right="-1085" w:firstLine="1"/>
        <w:jc w:val="both"/>
        <w:rPr>
          <w:rFonts w:ascii="Palatino Linotype" w:hAnsi="Palatino Linotype"/>
        </w:rPr>
      </w:pPr>
      <w:bookmarkStart w:id="9" w:name="_heading=h.35nkun2" w:colFirst="0" w:colLast="0"/>
      <w:bookmarkStart w:id="10" w:name="_Hlk99014733"/>
      <w:bookmarkEnd w:id="9"/>
      <w:r w:rsidRPr="003E2295">
        <w:rPr>
          <w:rFonts w:ascii="Palatino Linotype" w:hAnsi="Palatino Linotype" w:cs="Palatino Linotype"/>
        </w:rPr>
        <w:t>ASÍ LO RESUELVE, POR UNANIMIDAD DE VOTOS, EL PLENO DEL INSTITUTO DE TRANSPARENCIA, ACCESO A LA INFORMACIÓN PÚBLICA Y PROTECCIÓN DE DATOS PERSONALES DEL ESTADO DE MÉXICO Y MUNICIPIOS, CONFORMADO POR LOS COMISIONADOS JOSÉ MARTÍNEZ VILCHIS</w:t>
      </w:r>
      <w:r>
        <w:rPr>
          <w:rFonts w:ascii="Palatino Linotype" w:hAnsi="Palatino Linotype" w:cs="Palatino Linotype"/>
        </w:rPr>
        <w:t xml:space="preserve"> (AUSENCIA JUSTIFICADA)</w:t>
      </w:r>
      <w:r w:rsidRPr="003E2295">
        <w:rPr>
          <w:rFonts w:ascii="Palatino Linotype" w:hAnsi="Palatino Linotype" w:cs="Palatino Linotype"/>
        </w:rPr>
        <w:t xml:space="preserve">, MARÍA DEL ROSARIO MEJÍA AYALA, SHARON CRISTINA MORALES MARTÍNEZ, LUIS GUSTAVO PARRA NORIEGA Y GUADALUPE RAMÍREZ PEÑA; EN LA </w:t>
      </w:r>
      <w:r>
        <w:rPr>
          <w:rFonts w:ascii="Palatino Linotype" w:hAnsi="Palatino Linotype" w:cs="Palatino Linotype"/>
        </w:rPr>
        <w:t>DÉCIMA</w:t>
      </w:r>
      <w:r w:rsidRPr="003E2295">
        <w:rPr>
          <w:rFonts w:ascii="Palatino Linotype" w:hAnsi="Palatino Linotype" w:cs="Palatino Linotype"/>
        </w:rPr>
        <w:t xml:space="preserve"> </w:t>
      </w:r>
      <w:r>
        <w:rPr>
          <w:rFonts w:ascii="Palatino Linotype" w:hAnsi="Palatino Linotype" w:cs="Palatino Linotype"/>
        </w:rPr>
        <w:t xml:space="preserve">NOVENA </w:t>
      </w:r>
      <w:r w:rsidRPr="003E2295">
        <w:rPr>
          <w:rFonts w:ascii="Palatino Linotype" w:hAnsi="Palatino Linotype" w:cs="Palatino Linotype"/>
        </w:rPr>
        <w:t>SESIÓN O</w:t>
      </w:r>
      <w:r>
        <w:rPr>
          <w:rFonts w:ascii="Palatino Linotype" w:hAnsi="Palatino Linotype" w:cs="Palatino Linotype"/>
        </w:rPr>
        <w:t>RDINARIA, CELEBRADA EL VEINTISIETE (27</w:t>
      </w:r>
      <w:r w:rsidRPr="003E2295">
        <w:rPr>
          <w:rFonts w:ascii="Palatino Linotype" w:hAnsi="Palatino Linotype" w:cs="Palatino Linotype"/>
        </w:rPr>
        <w:t xml:space="preserve">) DE </w:t>
      </w:r>
      <w:r>
        <w:rPr>
          <w:rFonts w:ascii="Palatino Linotype" w:hAnsi="Palatino Linotype" w:cs="Palatino Linotype"/>
        </w:rPr>
        <w:t>MAYO</w:t>
      </w:r>
      <w:r w:rsidRPr="003E2295">
        <w:rPr>
          <w:rFonts w:ascii="Palatino Linotype" w:hAnsi="Palatino Linotype" w:cs="Palatino Linotype"/>
        </w:rPr>
        <w:t xml:space="preserve"> DE DOS MIL VEINTISÉIS, ANTE EL SECRETARIO TÉCNICO DEL PLENO </w:t>
      </w:r>
      <w:r w:rsidRPr="003E2295">
        <w:rPr>
          <w:rFonts w:ascii="Palatino Linotype" w:hAnsi="Palatino Linotype" w:cs="Palatino Linotype"/>
          <w:color w:val="000000" w:themeColor="text1"/>
        </w:rPr>
        <w:t>ALEXIS TAPIA RAMÍREZ.</w:t>
      </w:r>
    </w:p>
    <w:bookmarkEnd w:id="10"/>
    <w:p w:rsidR="00AE293F" w:rsidRDefault="00AE293F" w:rsidP="006F4D8F">
      <w:pPr>
        <w:tabs>
          <w:tab w:val="left" w:pos="3374"/>
        </w:tabs>
        <w:ind w:right="-1085"/>
        <w:rPr>
          <w:rFonts w:ascii="Palatino Linotype" w:eastAsia="Palatino Linotype" w:hAnsi="Palatino Linotype" w:cs="Palatino Linotype"/>
        </w:rPr>
      </w:pPr>
    </w:p>
    <w:p w:rsidR="00AE293F" w:rsidRDefault="00AE293F">
      <w:pPr>
        <w:tabs>
          <w:tab w:val="left" w:pos="3374"/>
        </w:tabs>
        <w:ind w:right="-1071"/>
        <w:rPr>
          <w:rFonts w:ascii="Palatino Linotype" w:eastAsia="Palatino Linotype" w:hAnsi="Palatino Linotype" w:cs="Palatino Linotype"/>
        </w:rPr>
      </w:pPr>
    </w:p>
    <w:p w:rsidR="00AE293F" w:rsidRDefault="00AE293F">
      <w:pPr>
        <w:tabs>
          <w:tab w:val="left" w:pos="3374"/>
        </w:tabs>
        <w:ind w:right="-1071"/>
        <w:rPr>
          <w:rFonts w:ascii="Palatino Linotype" w:eastAsia="Palatino Linotype" w:hAnsi="Palatino Linotype" w:cs="Palatino Linotype"/>
        </w:rPr>
      </w:pPr>
    </w:p>
    <w:p w:rsidR="00AE293F" w:rsidRDefault="00AE293F">
      <w:pPr>
        <w:tabs>
          <w:tab w:val="left" w:pos="3374"/>
        </w:tabs>
        <w:ind w:right="-1071"/>
        <w:rPr>
          <w:rFonts w:ascii="Palatino Linotype" w:eastAsia="Palatino Linotype" w:hAnsi="Palatino Linotype" w:cs="Palatino Linotype"/>
        </w:rPr>
      </w:pPr>
    </w:p>
    <w:p w:rsidR="00AE293F" w:rsidRDefault="00AE293F">
      <w:pPr>
        <w:tabs>
          <w:tab w:val="left" w:pos="3374"/>
        </w:tabs>
        <w:ind w:right="-1071"/>
        <w:rPr>
          <w:rFonts w:ascii="Palatino Linotype" w:eastAsia="Palatino Linotype" w:hAnsi="Palatino Linotype" w:cs="Palatino Linotype"/>
        </w:rPr>
      </w:pPr>
    </w:p>
    <w:p w:rsidR="00AE293F" w:rsidRDefault="00AE293F">
      <w:pPr>
        <w:tabs>
          <w:tab w:val="left" w:pos="3374"/>
        </w:tabs>
        <w:ind w:right="-1071"/>
        <w:rPr>
          <w:rFonts w:ascii="Palatino Linotype" w:eastAsia="Palatino Linotype" w:hAnsi="Palatino Linotype" w:cs="Palatino Linotype"/>
        </w:rPr>
      </w:pPr>
    </w:p>
    <w:p w:rsidR="00AE293F" w:rsidRDefault="00AE293F">
      <w:pPr>
        <w:tabs>
          <w:tab w:val="left" w:pos="3374"/>
        </w:tabs>
        <w:ind w:right="-1071"/>
        <w:rPr>
          <w:rFonts w:ascii="Palatino Linotype" w:eastAsia="Palatino Linotype" w:hAnsi="Palatino Linotype" w:cs="Palatino Linotype"/>
        </w:rPr>
      </w:pPr>
    </w:p>
    <w:p w:rsidR="00AE293F" w:rsidRDefault="00AE293F">
      <w:pPr>
        <w:tabs>
          <w:tab w:val="left" w:pos="3374"/>
        </w:tabs>
        <w:ind w:right="-1071"/>
        <w:rPr>
          <w:rFonts w:ascii="Palatino Linotype" w:eastAsia="Palatino Linotype" w:hAnsi="Palatino Linotype" w:cs="Palatino Linotype"/>
        </w:rPr>
      </w:pPr>
    </w:p>
    <w:p w:rsidR="00AE293F" w:rsidRDefault="00AE293F">
      <w:pPr>
        <w:ind w:right="-1071"/>
      </w:pPr>
    </w:p>
    <w:p w:rsidR="00AE293F" w:rsidRDefault="00AE293F">
      <w:pPr>
        <w:ind w:right="-1071"/>
      </w:pPr>
    </w:p>
    <w:p w:rsidR="00331FD5" w:rsidRDefault="00331FD5">
      <w:pPr>
        <w:ind w:right="-1071"/>
      </w:pPr>
    </w:p>
    <w:p w:rsidR="00331FD5" w:rsidRDefault="00331FD5">
      <w:pPr>
        <w:ind w:right="-1071"/>
      </w:pPr>
    </w:p>
    <w:p w:rsidR="00331FD5" w:rsidRDefault="00331FD5">
      <w:pPr>
        <w:ind w:right="-1071"/>
      </w:pPr>
    </w:p>
    <w:p w:rsidR="00331FD5" w:rsidRDefault="00331FD5">
      <w:pPr>
        <w:ind w:right="-1071"/>
      </w:pPr>
    </w:p>
    <w:p w:rsidR="00331FD5" w:rsidRDefault="00331FD5">
      <w:pPr>
        <w:ind w:right="-1071"/>
      </w:pPr>
    </w:p>
    <w:p w:rsidR="00331FD5" w:rsidRDefault="00331FD5">
      <w:pPr>
        <w:ind w:right="-1071"/>
      </w:pPr>
    </w:p>
    <w:p w:rsidR="00331FD5" w:rsidRDefault="00331FD5">
      <w:pPr>
        <w:ind w:right="-1071"/>
      </w:pPr>
    </w:p>
    <w:p w:rsidR="00331FD5" w:rsidRDefault="00331FD5">
      <w:pPr>
        <w:ind w:right="-1071"/>
      </w:pPr>
    </w:p>
    <w:p w:rsidR="00331FD5" w:rsidRDefault="00331FD5">
      <w:pPr>
        <w:ind w:right="-1071"/>
      </w:pPr>
    </w:p>
    <w:p w:rsidR="00331FD5" w:rsidRDefault="00331FD5">
      <w:pPr>
        <w:ind w:right="-1071"/>
      </w:pPr>
    </w:p>
    <w:p w:rsidR="00331FD5" w:rsidRDefault="00331FD5">
      <w:pPr>
        <w:ind w:right="-1071"/>
      </w:pPr>
    </w:p>
    <w:p w:rsidR="00331FD5" w:rsidRDefault="00331FD5">
      <w:pPr>
        <w:ind w:right="-1071"/>
      </w:pPr>
    </w:p>
    <w:p w:rsidR="00331FD5" w:rsidRDefault="00331FD5">
      <w:pPr>
        <w:ind w:right="-1071"/>
      </w:pPr>
    </w:p>
    <w:p w:rsidR="00331FD5" w:rsidRDefault="00331FD5">
      <w:pPr>
        <w:ind w:right="-1071"/>
      </w:pPr>
    </w:p>
    <w:p w:rsidR="00331FD5" w:rsidRDefault="00331FD5">
      <w:pPr>
        <w:ind w:right="-1071"/>
      </w:pPr>
    </w:p>
    <w:p w:rsidR="00331FD5" w:rsidRDefault="00331FD5">
      <w:pPr>
        <w:ind w:right="-1071"/>
      </w:pPr>
    </w:p>
    <w:p w:rsidR="00331FD5" w:rsidRDefault="00331FD5">
      <w:pPr>
        <w:ind w:right="-1071"/>
      </w:pPr>
    </w:p>
    <w:p w:rsidR="00331FD5" w:rsidRDefault="00331FD5">
      <w:pPr>
        <w:ind w:right="-1071"/>
      </w:pPr>
    </w:p>
    <w:p w:rsidR="00331FD5" w:rsidRDefault="00331FD5">
      <w:pPr>
        <w:ind w:right="-1071"/>
      </w:pPr>
    </w:p>
    <w:p w:rsidR="00331FD5" w:rsidRDefault="00331FD5">
      <w:pPr>
        <w:ind w:right="-1071"/>
      </w:pPr>
    </w:p>
    <w:p w:rsidR="00331FD5" w:rsidRDefault="00331FD5">
      <w:pPr>
        <w:ind w:right="-1071"/>
      </w:pPr>
    </w:p>
    <w:p w:rsidR="00331FD5" w:rsidRDefault="00331FD5">
      <w:pPr>
        <w:ind w:right="-1071"/>
      </w:pPr>
    </w:p>
    <w:p w:rsidR="00331FD5" w:rsidRDefault="00331FD5">
      <w:pPr>
        <w:ind w:right="-1071"/>
      </w:pPr>
    </w:p>
    <w:p w:rsidR="00331FD5" w:rsidRDefault="00331FD5">
      <w:pPr>
        <w:ind w:right="-1071"/>
      </w:pPr>
    </w:p>
    <w:p w:rsidR="00331FD5" w:rsidRDefault="00331FD5">
      <w:pPr>
        <w:ind w:right="-1071"/>
      </w:pPr>
    </w:p>
    <w:sectPr w:rsidR="00331FD5">
      <w:headerReference w:type="even" r:id="rId8"/>
      <w:headerReference w:type="default" r:id="rId9"/>
      <w:footerReference w:type="default" r:id="rId10"/>
      <w:headerReference w:type="first" r:id="rId11"/>
      <w:footerReference w:type="first" r:id="rId12"/>
      <w:pgSz w:w="12240" w:h="15840"/>
      <w:pgMar w:top="2268" w:right="1701" w:bottom="1702" w:left="1701"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D7B58" w:rsidRDefault="00ED7B58">
      <w:r>
        <w:separator/>
      </w:r>
    </w:p>
  </w:endnote>
  <w:endnote w:type="continuationSeparator" w:id="0">
    <w:p w:rsidR="00ED7B58" w:rsidRDefault="00ED7B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embedRegular r:id="rId1" w:fontKey="{3DD8D2E2-8472-4074-A371-C8F75B3CCE2D}"/>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embedRegular r:id="rId2" w:fontKey="{DF26F204-E485-4CDC-8514-1860101A5F9B}"/>
    <w:embedBold r:id="rId3" w:fontKey="{0E887F53-EE07-4296-A9DC-AF9DC2A569E7}"/>
    <w:embedItalic r:id="rId4" w:fontKey="{F9EFBF73-9E69-40EA-9944-5667E512ECFD}"/>
    <w:embedBoldItalic r:id="rId5" w:fontKey="{00B0D9AB-3E9F-4BB0-9E78-BE694175BE3D}"/>
  </w:font>
  <w:font w:name="Calibri">
    <w:panose1 w:val="020F0502020204030204"/>
    <w:charset w:val="00"/>
    <w:family w:val="swiss"/>
    <w:pitch w:val="variable"/>
    <w:sig w:usb0="E4002EFF" w:usb1="C200247B" w:usb2="00000009" w:usb3="00000000" w:csb0="000001FF" w:csb1="00000000"/>
    <w:embedRegular r:id="rId6" w:fontKey="{CB05B06F-6A48-42DB-B0AE-0799DBDF632C}"/>
    <w:embedBold r:id="rId7" w:fontKey="{35E97788-361A-4641-BC1F-847EA35F7FF1}"/>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8" w:fontKey="{AB17BBEC-39EA-4D4F-B615-38A88F003EA7}"/>
  </w:font>
  <w:font w:name="Cambria">
    <w:panose1 w:val="02040503050406030204"/>
    <w:charset w:val="00"/>
    <w:family w:val="roman"/>
    <w:pitch w:val="variable"/>
    <w:sig w:usb0="E00006FF" w:usb1="420024FF" w:usb2="02000000" w:usb3="00000000" w:csb0="0000019F" w:csb1="00000000"/>
    <w:embedRegular r:id="rId9" w:fontKey="{E961E97B-4C02-4648-8B5C-01B0E4C56B8A}"/>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293F" w:rsidRDefault="00FD56B2">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 xml:space="preserve">Página </w:t>
    </w:r>
    <w:r>
      <w:rPr>
        <w:rFonts w:ascii="Palatino Linotype" w:eastAsia="Palatino Linotype" w:hAnsi="Palatino Linotype" w:cs="Palatino Linotype"/>
        <w:color w:val="000000"/>
        <w:sz w:val="22"/>
        <w:szCs w:val="22"/>
      </w:rPr>
      <w:fldChar w:fldCharType="begin"/>
    </w:r>
    <w:r>
      <w:rPr>
        <w:rFonts w:ascii="Palatino Linotype" w:eastAsia="Palatino Linotype" w:hAnsi="Palatino Linotype" w:cs="Palatino Linotype"/>
        <w:color w:val="000000"/>
        <w:sz w:val="22"/>
        <w:szCs w:val="22"/>
      </w:rPr>
      <w:instrText>PAGE</w:instrText>
    </w:r>
    <w:r>
      <w:rPr>
        <w:rFonts w:ascii="Palatino Linotype" w:eastAsia="Palatino Linotype" w:hAnsi="Palatino Linotype" w:cs="Palatino Linotype"/>
        <w:color w:val="000000"/>
        <w:sz w:val="22"/>
        <w:szCs w:val="22"/>
      </w:rPr>
      <w:fldChar w:fldCharType="separate"/>
    </w:r>
    <w:r w:rsidR="00964FEA">
      <w:rPr>
        <w:rFonts w:ascii="Palatino Linotype" w:eastAsia="Palatino Linotype" w:hAnsi="Palatino Linotype" w:cs="Palatino Linotype"/>
        <w:noProof/>
        <w:color w:val="000000"/>
        <w:sz w:val="22"/>
        <w:szCs w:val="22"/>
      </w:rPr>
      <w:t>2</w:t>
    </w:r>
    <w:r>
      <w:rPr>
        <w:rFonts w:ascii="Palatino Linotype" w:eastAsia="Palatino Linotype" w:hAnsi="Palatino Linotype" w:cs="Palatino Linotype"/>
        <w:color w:val="000000"/>
        <w:sz w:val="22"/>
        <w:szCs w:val="22"/>
      </w:rPr>
      <w:fldChar w:fldCharType="end"/>
    </w:r>
    <w:r>
      <w:rPr>
        <w:rFonts w:ascii="Palatino Linotype" w:eastAsia="Palatino Linotype" w:hAnsi="Palatino Linotype" w:cs="Palatino Linotype"/>
        <w:color w:val="000000"/>
        <w:sz w:val="22"/>
        <w:szCs w:val="22"/>
      </w:rPr>
      <w:t xml:space="preserve"> de </w:t>
    </w:r>
    <w:r>
      <w:rPr>
        <w:rFonts w:ascii="Palatino Linotype" w:eastAsia="Palatino Linotype" w:hAnsi="Palatino Linotype" w:cs="Palatino Linotype"/>
        <w:color w:val="000000"/>
        <w:sz w:val="22"/>
        <w:szCs w:val="22"/>
      </w:rPr>
      <w:fldChar w:fldCharType="begin"/>
    </w:r>
    <w:r>
      <w:rPr>
        <w:rFonts w:ascii="Palatino Linotype" w:eastAsia="Palatino Linotype" w:hAnsi="Palatino Linotype" w:cs="Palatino Linotype"/>
        <w:color w:val="000000"/>
        <w:sz w:val="22"/>
        <w:szCs w:val="22"/>
      </w:rPr>
      <w:instrText>NUMPAGES</w:instrText>
    </w:r>
    <w:r>
      <w:rPr>
        <w:rFonts w:ascii="Palatino Linotype" w:eastAsia="Palatino Linotype" w:hAnsi="Palatino Linotype" w:cs="Palatino Linotype"/>
        <w:color w:val="000000"/>
        <w:sz w:val="22"/>
        <w:szCs w:val="22"/>
      </w:rPr>
      <w:fldChar w:fldCharType="separate"/>
    </w:r>
    <w:r w:rsidR="00964FEA">
      <w:rPr>
        <w:rFonts w:ascii="Palatino Linotype" w:eastAsia="Palatino Linotype" w:hAnsi="Palatino Linotype" w:cs="Palatino Linotype"/>
        <w:noProof/>
        <w:color w:val="000000"/>
        <w:sz w:val="22"/>
        <w:szCs w:val="22"/>
      </w:rPr>
      <w:t>13</w:t>
    </w:r>
    <w:r>
      <w:rPr>
        <w:rFonts w:ascii="Palatino Linotype" w:eastAsia="Palatino Linotype" w:hAnsi="Palatino Linotype" w:cs="Palatino Linotype"/>
        <w:color w:val="000000"/>
        <w:sz w:val="22"/>
        <w:szCs w:val="22"/>
      </w:rPr>
      <w:fldChar w:fldCharType="end"/>
    </w:r>
  </w:p>
  <w:p w:rsidR="00AE293F" w:rsidRDefault="00FD56B2">
    <w:pPr>
      <w:pBdr>
        <w:top w:val="nil"/>
        <w:left w:val="nil"/>
        <w:bottom w:val="nil"/>
        <w:right w:val="nil"/>
        <w:between w:val="nil"/>
      </w:pBdr>
      <w:tabs>
        <w:tab w:val="center" w:pos="4419"/>
        <w:tab w:val="right" w:pos="8838"/>
        <w:tab w:val="left" w:pos="5055"/>
      </w:tabs>
      <w:rPr>
        <w:color w:val="000000"/>
      </w:rPr>
    </w:pPr>
    <w:r>
      <w:rPr>
        <w:color w:val="000000"/>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293F" w:rsidRDefault="00FD56B2">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 xml:space="preserve">Página </w:t>
    </w:r>
    <w:r>
      <w:rPr>
        <w:rFonts w:ascii="Palatino Linotype" w:eastAsia="Palatino Linotype" w:hAnsi="Palatino Linotype" w:cs="Palatino Linotype"/>
        <w:color w:val="000000"/>
        <w:sz w:val="22"/>
        <w:szCs w:val="22"/>
      </w:rPr>
      <w:fldChar w:fldCharType="begin"/>
    </w:r>
    <w:r>
      <w:rPr>
        <w:rFonts w:ascii="Palatino Linotype" w:eastAsia="Palatino Linotype" w:hAnsi="Palatino Linotype" w:cs="Palatino Linotype"/>
        <w:color w:val="000000"/>
        <w:sz w:val="22"/>
        <w:szCs w:val="22"/>
      </w:rPr>
      <w:instrText>PAGE</w:instrText>
    </w:r>
    <w:r>
      <w:rPr>
        <w:rFonts w:ascii="Palatino Linotype" w:eastAsia="Palatino Linotype" w:hAnsi="Palatino Linotype" w:cs="Palatino Linotype"/>
        <w:color w:val="000000"/>
        <w:sz w:val="22"/>
        <w:szCs w:val="22"/>
      </w:rPr>
      <w:fldChar w:fldCharType="separate"/>
    </w:r>
    <w:r w:rsidR="00964FEA">
      <w:rPr>
        <w:rFonts w:ascii="Palatino Linotype" w:eastAsia="Palatino Linotype" w:hAnsi="Palatino Linotype" w:cs="Palatino Linotype"/>
        <w:noProof/>
        <w:color w:val="000000"/>
        <w:sz w:val="22"/>
        <w:szCs w:val="22"/>
      </w:rPr>
      <w:t>1</w:t>
    </w:r>
    <w:r>
      <w:rPr>
        <w:rFonts w:ascii="Palatino Linotype" w:eastAsia="Palatino Linotype" w:hAnsi="Palatino Linotype" w:cs="Palatino Linotype"/>
        <w:color w:val="000000"/>
        <w:sz w:val="22"/>
        <w:szCs w:val="22"/>
      </w:rPr>
      <w:fldChar w:fldCharType="end"/>
    </w:r>
    <w:r>
      <w:rPr>
        <w:rFonts w:ascii="Palatino Linotype" w:eastAsia="Palatino Linotype" w:hAnsi="Palatino Linotype" w:cs="Palatino Linotype"/>
        <w:color w:val="000000"/>
        <w:sz w:val="22"/>
        <w:szCs w:val="22"/>
      </w:rPr>
      <w:t xml:space="preserve"> de </w:t>
    </w:r>
    <w:r>
      <w:rPr>
        <w:rFonts w:ascii="Palatino Linotype" w:eastAsia="Palatino Linotype" w:hAnsi="Palatino Linotype" w:cs="Palatino Linotype"/>
        <w:color w:val="000000"/>
        <w:sz w:val="22"/>
        <w:szCs w:val="22"/>
      </w:rPr>
      <w:fldChar w:fldCharType="begin"/>
    </w:r>
    <w:r>
      <w:rPr>
        <w:rFonts w:ascii="Palatino Linotype" w:eastAsia="Palatino Linotype" w:hAnsi="Palatino Linotype" w:cs="Palatino Linotype"/>
        <w:color w:val="000000"/>
        <w:sz w:val="22"/>
        <w:szCs w:val="22"/>
      </w:rPr>
      <w:instrText>NUMPAGES</w:instrText>
    </w:r>
    <w:r>
      <w:rPr>
        <w:rFonts w:ascii="Palatino Linotype" w:eastAsia="Palatino Linotype" w:hAnsi="Palatino Linotype" w:cs="Palatino Linotype"/>
        <w:color w:val="000000"/>
        <w:sz w:val="22"/>
        <w:szCs w:val="22"/>
      </w:rPr>
      <w:fldChar w:fldCharType="separate"/>
    </w:r>
    <w:r w:rsidR="00964FEA">
      <w:rPr>
        <w:rFonts w:ascii="Palatino Linotype" w:eastAsia="Palatino Linotype" w:hAnsi="Palatino Linotype" w:cs="Palatino Linotype"/>
        <w:noProof/>
        <w:color w:val="000000"/>
        <w:sz w:val="22"/>
        <w:szCs w:val="22"/>
      </w:rPr>
      <w:t>13</w:t>
    </w:r>
    <w:r>
      <w:rPr>
        <w:rFonts w:ascii="Palatino Linotype" w:eastAsia="Palatino Linotype" w:hAnsi="Palatino Linotype" w:cs="Palatino Linotype"/>
        <w:color w:val="000000"/>
        <w:sz w:val="22"/>
        <w:szCs w:val="22"/>
      </w:rPr>
      <w:fldChar w:fldCharType="end"/>
    </w:r>
  </w:p>
  <w:p w:rsidR="00AE293F" w:rsidRDefault="00AE293F">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D7B58" w:rsidRDefault="00ED7B58">
      <w:r>
        <w:separator/>
      </w:r>
    </w:p>
  </w:footnote>
  <w:footnote w:type="continuationSeparator" w:id="0">
    <w:p w:rsidR="00ED7B58" w:rsidRDefault="00ED7B5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293F" w:rsidRDefault="00ED7B58">
    <w:pPr>
      <w:pBdr>
        <w:top w:val="nil"/>
        <w:left w:val="nil"/>
        <w:bottom w:val="nil"/>
        <w:right w:val="nil"/>
        <w:between w:val="nil"/>
      </w:pBdr>
      <w:tabs>
        <w:tab w:val="center" w:pos="4419"/>
        <w:tab w:val="right" w:pos="8838"/>
      </w:tabs>
      <w:rPr>
        <w:color w:val="000000"/>
      </w:rPr>
    </w:pPr>
    <w:r>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49" type="#_x0000_t75" alt="" style="position:absolute;margin-left:0;margin-top:0;width:609.4pt;height:793.75pt;z-index:-251657728;mso-position-horizontal:center;mso-position-horizontal-relative:margin;mso-position-vertical:center;mso-position-vertical-relative:margin">
          <v:imagedata r:id="rId1" o:title="image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0"/>
      <w:tblW w:w="7530" w:type="dxa"/>
      <w:tblInd w:w="3402" w:type="dxa"/>
      <w:tblLayout w:type="fixed"/>
      <w:tblLook w:val="0400" w:firstRow="0" w:lastRow="0" w:firstColumn="0" w:lastColumn="0" w:noHBand="0" w:noVBand="1"/>
    </w:tblPr>
    <w:tblGrid>
      <w:gridCol w:w="2970"/>
      <w:gridCol w:w="4560"/>
    </w:tblGrid>
    <w:tr w:rsidR="00AE293F" w:rsidTr="00332107">
      <w:trPr>
        <w:trHeight w:val="227"/>
      </w:trPr>
      <w:tc>
        <w:tcPr>
          <w:tcW w:w="2970" w:type="dxa"/>
          <w:vAlign w:val="center"/>
        </w:tcPr>
        <w:p w:rsidR="00AE293F" w:rsidRDefault="00FD56B2">
          <w:pPr>
            <w:ind w:right="34"/>
            <w:jc w:val="right"/>
            <w:rPr>
              <w:rFonts w:ascii="Palatino Linotype" w:eastAsia="Palatino Linotype" w:hAnsi="Palatino Linotype" w:cs="Palatino Linotype"/>
              <w:b/>
              <w:bCs/>
            </w:rPr>
          </w:pPr>
          <w:r>
            <w:rPr>
              <w:rFonts w:ascii="Palatino Linotype" w:eastAsia="Palatino Linotype" w:hAnsi="Palatino Linotype" w:cs="Palatino Linotype"/>
              <w:b/>
              <w:bCs/>
            </w:rPr>
            <w:t>Recurso de Revisión:</w:t>
          </w:r>
        </w:p>
      </w:tc>
      <w:tc>
        <w:tcPr>
          <w:tcW w:w="4560" w:type="dxa"/>
          <w:vAlign w:val="center"/>
        </w:tcPr>
        <w:p w:rsidR="00AE293F" w:rsidRDefault="006F4D8F">
          <w:pPr>
            <w:pBdr>
              <w:top w:val="nil"/>
              <w:left w:val="nil"/>
              <w:bottom w:val="nil"/>
              <w:right w:val="nil"/>
              <w:between w:val="nil"/>
            </w:pBdr>
            <w:tabs>
              <w:tab w:val="center" w:pos="4419"/>
              <w:tab w:val="right" w:pos="8838"/>
            </w:tabs>
            <w:ind w:right="-891"/>
            <w:rPr>
              <w:rFonts w:ascii="Palatino Linotype" w:eastAsia="Palatino Linotype" w:hAnsi="Palatino Linotype" w:cs="Palatino Linotype"/>
              <w:color w:val="000000"/>
            </w:rPr>
          </w:pPr>
          <w:r>
            <w:rPr>
              <w:rFonts w:ascii="Palatino Linotype" w:eastAsia="Palatino Linotype" w:hAnsi="Palatino Linotype" w:cs="Palatino Linotype"/>
              <w:color w:val="000000"/>
            </w:rPr>
            <w:t>02383</w:t>
          </w:r>
          <w:r w:rsidR="00FD56B2">
            <w:rPr>
              <w:rFonts w:ascii="Palatino Linotype" w:eastAsia="Palatino Linotype" w:hAnsi="Palatino Linotype" w:cs="Palatino Linotype"/>
              <w:color w:val="000000"/>
            </w:rPr>
            <w:t>/INFOEM/IP/RR/2026</w:t>
          </w:r>
        </w:p>
      </w:tc>
    </w:tr>
    <w:tr w:rsidR="00AE293F" w:rsidTr="00332107">
      <w:trPr>
        <w:trHeight w:val="242"/>
      </w:trPr>
      <w:tc>
        <w:tcPr>
          <w:tcW w:w="2970" w:type="dxa"/>
          <w:vAlign w:val="center"/>
        </w:tcPr>
        <w:p w:rsidR="00AE293F" w:rsidRDefault="00FD56B2">
          <w:pPr>
            <w:ind w:right="34"/>
            <w:jc w:val="right"/>
            <w:rPr>
              <w:rFonts w:ascii="Palatino Linotype" w:eastAsia="Palatino Linotype" w:hAnsi="Palatino Linotype" w:cs="Palatino Linotype"/>
              <w:b/>
              <w:bCs/>
            </w:rPr>
          </w:pPr>
          <w:r>
            <w:rPr>
              <w:rFonts w:ascii="Palatino Linotype" w:eastAsia="Palatino Linotype" w:hAnsi="Palatino Linotype" w:cs="Palatino Linotype"/>
              <w:b/>
              <w:bCs/>
            </w:rPr>
            <w:t>Sujeto Obligado:</w:t>
          </w:r>
        </w:p>
      </w:tc>
      <w:tc>
        <w:tcPr>
          <w:tcW w:w="4560" w:type="dxa"/>
          <w:vAlign w:val="center"/>
        </w:tcPr>
        <w:p w:rsidR="00AE293F" w:rsidRPr="006F4D8F" w:rsidRDefault="006F4D8F">
          <w:pPr>
            <w:pBdr>
              <w:top w:val="nil"/>
              <w:left w:val="nil"/>
              <w:bottom w:val="nil"/>
              <w:right w:val="nil"/>
              <w:between w:val="nil"/>
            </w:pBdr>
            <w:tabs>
              <w:tab w:val="center" w:pos="4419"/>
              <w:tab w:val="right" w:pos="8838"/>
            </w:tabs>
            <w:ind w:right="-891"/>
            <w:jc w:val="both"/>
            <w:rPr>
              <w:rFonts w:ascii="Palatino Linotype" w:eastAsia="Palatino Linotype" w:hAnsi="Palatino Linotype" w:cs="Palatino Linotype"/>
              <w:color w:val="000000"/>
            </w:rPr>
          </w:pPr>
          <w:r w:rsidRPr="006F4D8F">
            <w:rPr>
              <w:rFonts w:ascii="Palatino Linotype" w:hAnsi="Palatino Linotype"/>
              <w:bCs/>
              <w:color w:val="000000"/>
            </w:rPr>
            <w:t>Ayuntamiento de Papalotla</w:t>
          </w:r>
        </w:p>
      </w:tc>
    </w:tr>
    <w:tr w:rsidR="00AE293F" w:rsidTr="00332107">
      <w:trPr>
        <w:trHeight w:val="342"/>
      </w:trPr>
      <w:tc>
        <w:tcPr>
          <w:tcW w:w="2970" w:type="dxa"/>
          <w:vAlign w:val="center"/>
        </w:tcPr>
        <w:p w:rsidR="00AE293F" w:rsidRDefault="00FD56B2">
          <w:pPr>
            <w:ind w:right="34"/>
            <w:jc w:val="right"/>
            <w:rPr>
              <w:rFonts w:ascii="Palatino Linotype" w:eastAsia="Palatino Linotype" w:hAnsi="Palatino Linotype" w:cs="Palatino Linotype"/>
              <w:b/>
              <w:bCs/>
            </w:rPr>
          </w:pPr>
          <w:r>
            <w:rPr>
              <w:rFonts w:ascii="Palatino Linotype" w:eastAsia="Palatino Linotype" w:hAnsi="Palatino Linotype" w:cs="Palatino Linotype"/>
              <w:b/>
              <w:bCs/>
            </w:rPr>
            <w:t>Comisionado Ponente:</w:t>
          </w:r>
        </w:p>
      </w:tc>
      <w:tc>
        <w:tcPr>
          <w:tcW w:w="4560" w:type="dxa"/>
          <w:vAlign w:val="center"/>
        </w:tcPr>
        <w:p w:rsidR="00AE293F" w:rsidRDefault="00FD56B2">
          <w:pPr>
            <w:pBdr>
              <w:top w:val="nil"/>
              <w:left w:val="nil"/>
              <w:bottom w:val="nil"/>
              <w:right w:val="nil"/>
              <w:between w:val="nil"/>
            </w:pBdr>
            <w:tabs>
              <w:tab w:val="center" w:pos="4419"/>
              <w:tab w:val="right" w:pos="8838"/>
            </w:tabs>
            <w:ind w:right="-891"/>
            <w:rPr>
              <w:rFonts w:ascii="Palatino Linotype" w:eastAsia="Palatino Linotype" w:hAnsi="Palatino Linotype" w:cs="Palatino Linotype"/>
              <w:color w:val="000000"/>
            </w:rPr>
          </w:pPr>
          <w:r>
            <w:rPr>
              <w:rFonts w:ascii="Palatino Linotype" w:eastAsia="Palatino Linotype" w:hAnsi="Palatino Linotype" w:cs="Palatino Linotype"/>
              <w:color w:val="000000"/>
            </w:rPr>
            <w:t>María del Rosario Mejía Ayala</w:t>
          </w:r>
        </w:p>
      </w:tc>
    </w:tr>
  </w:tbl>
  <w:p w:rsidR="00AE293F" w:rsidRDefault="00ED7B58">
    <w:pPr>
      <w:pBdr>
        <w:top w:val="nil"/>
        <w:left w:val="nil"/>
        <w:bottom w:val="nil"/>
        <w:right w:val="nil"/>
        <w:between w:val="nil"/>
      </w:pBdr>
      <w:tabs>
        <w:tab w:val="center" w:pos="4419"/>
        <w:tab w:val="right" w:pos="8838"/>
        <w:tab w:val="left" w:pos="6005"/>
      </w:tabs>
      <w:rPr>
        <w:color w:val="000000"/>
        <w:sz w:val="14"/>
        <w:szCs w:val="14"/>
      </w:rPr>
    </w:pPr>
    <w:r>
      <w:rPr>
        <w:color w:val="000000"/>
        <w:sz w:val="14"/>
        <w:szCs w:val="1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alt="" style="position:absolute;margin-left:-82.3pt;margin-top:-110.1pt;width:609.4pt;height:793.75pt;z-index:-251659776;mso-position-horizontal:absolute;mso-position-horizontal-relative:margin;mso-position-vertical:absolute;mso-position-vertical-relative:margin">
          <v:imagedata r:id="rId1" o:title="image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1"/>
      <w:tblW w:w="7635" w:type="dxa"/>
      <w:tblInd w:w="3261" w:type="dxa"/>
      <w:tblLayout w:type="fixed"/>
      <w:tblLook w:val="0400" w:firstRow="0" w:lastRow="0" w:firstColumn="0" w:lastColumn="0" w:noHBand="0" w:noVBand="1"/>
    </w:tblPr>
    <w:tblGrid>
      <w:gridCol w:w="3039"/>
      <w:gridCol w:w="4596"/>
    </w:tblGrid>
    <w:tr w:rsidR="00AE293F" w:rsidTr="00332107">
      <w:trPr>
        <w:trHeight w:val="227"/>
      </w:trPr>
      <w:tc>
        <w:tcPr>
          <w:tcW w:w="3039" w:type="dxa"/>
          <w:vAlign w:val="center"/>
        </w:tcPr>
        <w:p w:rsidR="00AE293F" w:rsidRDefault="00FD56B2">
          <w:pPr>
            <w:rPr>
              <w:rFonts w:ascii="Palatino Linotype" w:eastAsia="Palatino Linotype" w:hAnsi="Palatino Linotype" w:cs="Palatino Linotype"/>
              <w:b/>
              <w:bCs/>
            </w:rPr>
          </w:pPr>
          <w:r>
            <w:rPr>
              <w:rFonts w:ascii="Palatino Linotype" w:eastAsia="Palatino Linotype" w:hAnsi="Palatino Linotype" w:cs="Palatino Linotype"/>
              <w:b/>
              <w:bCs/>
            </w:rPr>
            <w:t>Recurso de Revisión:</w:t>
          </w:r>
        </w:p>
      </w:tc>
      <w:tc>
        <w:tcPr>
          <w:tcW w:w="4596" w:type="dxa"/>
          <w:vAlign w:val="center"/>
        </w:tcPr>
        <w:p w:rsidR="00AE293F" w:rsidRDefault="00FD56B2">
          <w:pPr>
            <w:pBdr>
              <w:top w:val="nil"/>
              <w:left w:val="nil"/>
              <w:bottom w:val="nil"/>
              <w:right w:val="nil"/>
              <w:between w:val="nil"/>
            </w:pBdr>
            <w:tabs>
              <w:tab w:val="center" w:pos="4419"/>
              <w:tab w:val="right" w:pos="8838"/>
            </w:tabs>
            <w:rPr>
              <w:rFonts w:ascii="Palatino Linotype" w:eastAsia="Palatino Linotype" w:hAnsi="Palatino Linotype" w:cs="Palatino Linotype"/>
              <w:color w:val="000000"/>
            </w:rPr>
          </w:pPr>
          <w:r>
            <w:rPr>
              <w:rFonts w:ascii="Palatino Linotype" w:eastAsia="Palatino Linotype" w:hAnsi="Palatino Linotype" w:cs="Palatino Linotype"/>
              <w:color w:val="000000"/>
            </w:rPr>
            <w:t>02383/INFOEM/IP/RR/2026</w:t>
          </w:r>
        </w:p>
      </w:tc>
    </w:tr>
    <w:tr w:rsidR="00AE293F" w:rsidTr="00332107">
      <w:trPr>
        <w:trHeight w:val="242"/>
      </w:trPr>
      <w:tc>
        <w:tcPr>
          <w:tcW w:w="3039" w:type="dxa"/>
          <w:vAlign w:val="center"/>
        </w:tcPr>
        <w:p w:rsidR="00AE293F" w:rsidRDefault="00FD56B2">
          <w:pPr>
            <w:rPr>
              <w:rFonts w:ascii="Palatino Linotype" w:eastAsia="Palatino Linotype" w:hAnsi="Palatino Linotype" w:cs="Palatino Linotype"/>
              <w:b/>
              <w:bCs/>
            </w:rPr>
          </w:pPr>
          <w:r>
            <w:rPr>
              <w:rFonts w:ascii="Palatino Linotype" w:eastAsia="Palatino Linotype" w:hAnsi="Palatino Linotype" w:cs="Palatino Linotype"/>
              <w:b/>
              <w:bCs/>
            </w:rPr>
            <w:t>Recurrente:</w:t>
          </w:r>
        </w:p>
      </w:tc>
      <w:tc>
        <w:tcPr>
          <w:tcW w:w="4596" w:type="dxa"/>
        </w:tcPr>
        <w:p w:rsidR="00AE293F" w:rsidRDefault="00964FEA">
          <w:pPr>
            <w:pBdr>
              <w:top w:val="nil"/>
              <w:left w:val="nil"/>
              <w:bottom w:val="nil"/>
              <w:right w:val="nil"/>
              <w:between w:val="nil"/>
            </w:pBdr>
            <w:tabs>
              <w:tab w:val="center" w:pos="4419"/>
              <w:tab w:val="right" w:pos="8838"/>
              <w:tab w:val="left" w:pos="521"/>
            </w:tabs>
            <w:rPr>
              <w:rFonts w:ascii="Palatino Linotype" w:eastAsia="Palatino Linotype" w:hAnsi="Palatino Linotype" w:cs="Palatino Linotype"/>
              <w:color w:val="000000"/>
            </w:rPr>
          </w:pPr>
          <w:r>
            <w:rPr>
              <w:rFonts w:ascii="Palatino Linotype" w:eastAsia="Palatino Linotype" w:hAnsi="Palatino Linotype" w:cs="Palatino Linotype"/>
              <w:color w:val="000000"/>
            </w:rPr>
            <w:t>XXXX</w:t>
          </w:r>
        </w:p>
      </w:tc>
    </w:tr>
    <w:tr w:rsidR="00AE293F" w:rsidTr="00332107">
      <w:trPr>
        <w:trHeight w:val="342"/>
      </w:trPr>
      <w:tc>
        <w:tcPr>
          <w:tcW w:w="3039" w:type="dxa"/>
          <w:vAlign w:val="center"/>
        </w:tcPr>
        <w:p w:rsidR="00AE293F" w:rsidRDefault="00FD56B2">
          <w:pPr>
            <w:rPr>
              <w:rFonts w:ascii="Palatino Linotype" w:eastAsia="Palatino Linotype" w:hAnsi="Palatino Linotype" w:cs="Palatino Linotype"/>
              <w:b/>
              <w:bCs/>
            </w:rPr>
          </w:pPr>
          <w:r>
            <w:rPr>
              <w:rFonts w:ascii="Palatino Linotype" w:eastAsia="Palatino Linotype" w:hAnsi="Palatino Linotype" w:cs="Palatino Linotype"/>
              <w:b/>
              <w:bCs/>
            </w:rPr>
            <w:t>Sujeto Obligado:</w:t>
          </w:r>
        </w:p>
      </w:tc>
      <w:tc>
        <w:tcPr>
          <w:tcW w:w="4596" w:type="dxa"/>
          <w:vAlign w:val="center"/>
        </w:tcPr>
        <w:p w:rsidR="00AE293F" w:rsidRDefault="00FD56B2">
          <w:pPr>
            <w:pBdr>
              <w:top w:val="nil"/>
              <w:left w:val="nil"/>
              <w:bottom w:val="nil"/>
              <w:right w:val="nil"/>
              <w:between w:val="nil"/>
            </w:pBdr>
            <w:tabs>
              <w:tab w:val="center" w:pos="4419"/>
              <w:tab w:val="right" w:pos="8838"/>
            </w:tabs>
            <w:rPr>
              <w:rFonts w:ascii="Palatino Linotype" w:eastAsia="Palatino Linotype" w:hAnsi="Palatino Linotype" w:cs="Palatino Linotype"/>
              <w:color w:val="000000"/>
            </w:rPr>
          </w:pPr>
          <w:r>
            <w:rPr>
              <w:rFonts w:ascii="Palatino Linotype" w:eastAsia="Palatino Linotype" w:hAnsi="Palatino Linotype" w:cs="Palatino Linotype"/>
              <w:color w:val="000000"/>
            </w:rPr>
            <w:t>Ayuntamiento de Papalotla</w:t>
          </w:r>
        </w:p>
      </w:tc>
    </w:tr>
    <w:tr w:rsidR="00AE293F" w:rsidTr="00332107">
      <w:trPr>
        <w:trHeight w:val="342"/>
      </w:trPr>
      <w:tc>
        <w:tcPr>
          <w:tcW w:w="3039" w:type="dxa"/>
          <w:vAlign w:val="center"/>
        </w:tcPr>
        <w:p w:rsidR="00AE293F" w:rsidRDefault="00FD56B2">
          <w:pPr>
            <w:rPr>
              <w:rFonts w:ascii="Palatino Linotype" w:eastAsia="Palatino Linotype" w:hAnsi="Palatino Linotype" w:cs="Palatino Linotype"/>
              <w:b/>
              <w:bCs/>
            </w:rPr>
          </w:pPr>
          <w:r>
            <w:rPr>
              <w:rFonts w:ascii="Palatino Linotype" w:eastAsia="Palatino Linotype" w:hAnsi="Palatino Linotype" w:cs="Palatino Linotype"/>
              <w:b/>
              <w:bCs/>
            </w:rPr>
            <w:t>Comisionada Ponente:</w:t>
          </w:r>
        </w:p>
      </w:tc>
      <w:tc>
        <w:tcPr>
          <w:tcW w:w="4596" w:type="dxa"/>
          <w:vAlign w:val="center"/>
        </w:tcPr>
        <w:p w:rsidR="00AE293F" w:rsidRDefault="00FD56B2">
          <w:pPr>
            <w:pBdr>
              <w:top w:val="nil"/>
              <w:left w:val="nil"/>
              <w:bottom w:val="nil"/>
              <w:right w:val="nil"/>
              <w:between w:val="nil"/>
            </w:pBdr>
            <w:tabs>
              <w:tab w:val="center" w:pos="4419"/>
              <w:tab w:val="right" w:pos="8838"/>
            </w:tabs>
            <w:rPr>
              <w:rFonts w:ascii="Palatino Linotype" w:eastAsia="Palatino Linotype" w:hAnsi="Palatino Linotype" w:cs="Palatino Linotype"/>
              <w:color w:val="000000"/>
            </w:rPr>
          </w:pPr>
          <w:r>
            <w:rPr>
              <w:rFonts w:ascii="Palatino Linotype" w:eastAsia="Palatino Linotype" w:hAnsi="Palatino Linotype" w:cs="Palatino Linotype"/>
              <w:color w:val="000000"/>
            </w:rPr>
            <w:t>María del Rosario Mejía Ayala</w:t>
          </w:r>
        </w:p>
      </w:tc>
    </w:tr>
  </w:tbl>
  <w:p w:rsidR="00AE293F" w:rsidRDefault="00ED7B58">
    <w:pPr>
      <w:pBdr>
        <w:top w:val="nil"/>
        <w:left w:val="nil"/>
        <w:bottom w:val="nil"/>
        <w:right w:val="nil"/>
        <w:between w:val="nil"/>
      </w:pBdr>
      <w:tabs>
        <w:tab w:val="center" w:pos="4419"/>
        <w:tab w:val="right" w:pos="8838"/>
      </w:tabs>
      <w:rPr>
        <w:color w:val="000000"/>
        <w:sz w:val="16"/>
        <w:szCs w:val="16"/>
      </w:rPr>
    </w:pPr>
    <w:r>
      <w:rPr>
        <w:color w:val="000000"/>
        <w:sz w:val="16"/>
        <w:szCs w:val="1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0" type="#_x0000_t75" alt="" style="position:absolute;margin-left:-84.55pt;margin-top:-132.2pt;width:609.4pt;height:793.75pt;z-index:-251658752;mso-position-horizontal:absolute;mso-position-horizontal-relative:margin;mso-position-vertical:absolute;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73A7748"/>
    <w:multiLevelType w:val="multilevel"/>
    <w:tmpl w:val="B70CC25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3C570E9C"/>
    <w:multiLevelType w:val="multilevel"/>
    <w:tmpl w:val="65F60290"/>
    <w:lvl w:ilvl="0">
      <w:start w:val="1"/>
      <w:numFmt w:val="bullet"/>
      <w:lvlText w:val="●"/>
      <w:lvlJc w:val="left"/>
      <w:pPr>
        <w:ind w:left="1724" w:hanging="360"/>
      </w:pPr>
      <w:rPr>
        <w:rFonts w:ascii="Noto Sans Symbols" w:eastAsia="Noto Sans Symbols" w:hAnsi="Noto Sans Symbols" w:cs="Noto Sans Symbols"/>
      </w:rPr>
    </w:lvl>
    <w:lvl w:ilvl="1">
      <w:start w:val="1"/>
      <w:numFmt w:val="bullet"/>
      <w:lvlText w:val="o"/>
      <w:lvlJc w:val="left"/>
      <w:pPr>
        <w:ind w:left="2444" w:hanging="360"/>
      </w:pPr>
      <w:rPr>
        <w:rFonts w:ascii="Courier New" w:eastAsia="Courier New" w:hAnsi="Courier New" w:cs="Courier New"/>
      </w:rPr>
    </w:lvl>
    <w:lvl w:ilvl="2">
      <w:start w:val="1"/>
      <w:numFmt w:val="bullet"/>
      <w:lvlText w:val="▪"/>
      <w:lvlJc w:val="left"/>
      <w:pPr>
        <w:ind w:left="3164" w:hanging="360"/>
      </w:pPr>
      <w:rPr>
        <w:rFonts w:ascii="Noto Sans Symbols" w:eastAsia="Noto Sans Symbols" w:hAnsi="Noto Sans Symbols" w:cs="Noto Sans Symbols"/>
      </w:rPr>
    </w:lvl>
    <w:lvl w:ilvl="3">
      <w:start w:val="1"/>
      <w:numFmt w:val="bullet"/>
      <w:lvlText w:val="●"/>
      <w:lvlJc w:val="left"/>
      <w:pPr>
        <w:ind w:left="3884" w:hanging="360"/>
      </w:pPr>
      <w:rPr>
        <w:rFonts w:ascii="Noto Sans Symbols" w:eastAsia="Noto Sans Symbols" w:hAnsi="Noto Sans Symbols" w:cs="Noto Sans Symbols"/>
      </w:rPr>
    </w:lvl>
    <w:lvl w:ilvl="4">
      <w:start w:val="1"/>
      <w:numFmt w:val="bullet"/>
      <w:lvlText w:val="o"/>
      <w:lvlJc w:val="left"/>
      <w:pPr>
        <w:ind w:left="4604" w:hanging="360"/>
      </w:pPr>
      <w:rPr>
        <w:rFonts w:ascii="Courier New" w:eastAsia="Courier New" w:hAnsi="Courier New" w:cs="Courier New"/>
      </w:rPr>
    </w:lvl>
    <w:lvl w:ilvl="5">
      <w:start w:val="1"/>
      <w:numFmt w:val="bullet"/>
      <w:lvlText w:val="▪"/>
      <w:lvlJc w:val="left"/>
      <w:pPr>
        <w:ind w:left="5324" w:hanging="360"/>
      </w:pPr>
      <w:rPr>
        <w:rFonts w:ascii="Noto Sans Symbols" w:eastAsia="Noto Sans Symbols" w:hAnsi="Noto Sans Symbols" w:cs="Noto Sans Symbols"/>
      </w:rPr>
    </w:lvl>
    <w:lvl w:ilvl="6">
      <w:start w:val="1"/>
      <w:numFmt w:val="bullet"/>
      <w:lvlText w:val="●"/>
      <w:lvlJc w:val="left"/>
      <w:pPr>
        <w:ind w:left="6044" w:hanging="360"/>
      </w:pPr>
      <w:rPr>
        <w:rFonts w:ascii="Noto Sans Symbols" w:eastAsia="Noto Sans Symbols" w:hAnsi="Noto Sans Symbols" w:cs="Noto Sans Symbols"/>
      </w:rPr>
    </w:lvl>
    <w:lvl w:ilvl="7">
      <w:start w:val="1"/>
      <w:numFmt w:val="bullet"/>
      <w:lvlText w:val="o"/>
      <w:lvlJc w:val="left"/>
      <w:pPr>
        <w:ind w:left="6764" w:hanging="360"/>
      </w:pPr>
      <w:rPr>
        <w:rFonts w:ascii="Courier New" w:eastAsia="Courier New" w:hAnsi="Courier New" w:cs="Courier New"/>
      </w:rPr>
    </w:lvl>
    <w:lvl w:ilvl="8">
      <w:start w:val="1"/>
      <w:numFmt w:val="bullet"/>
      <w:lvlText w:val="▪"/>
      <w:lvlJc w:val="left"/>
      <w:pPr>
        <w:ind w:left="7484" w:hanging="360"/>
      </w:pPr>
      <w:rPr>
        <w:rFonts w:ascii="Noto Sans Symbols" w:eastAsia="Noto Sans Symbols" w:hAnsi="Noto Sans Symbols" w:cs="Noto Sans Symbols"/>
      </w:rPr>
    </w:lvl>
  </w:abstractNum>
  <w:abstractNum w:abstractNumId="2" w15:restartNumberingAfterBreak="0">
    <w:nsid w:val="58B43A92"/>
    <w:multiLevelType w:val="multilevel"/>
    <w:tmpl w:val="6F2E9B3A"/>
    <w:lvl w:ilvl="0">
      <w:start w:val="1"/>
      <w:numFmt w:val="decimal"/>
      <w:lvlText w:val="%1."/>
      <w:lvlJc w:val="left"/>
      <w:pPr>
        <w:ind w:left="360" w:hanging="360"/>
      </w:pPr>
      <w:rPr>
        <w:rFonts w:ascii="Palatino Linotype" w:eastAsia="Palatino Linotype" w:hAnsi="Palatino Linotype" w:cs="Palatino Linotype"/>
        <w:b/>
        <w:bCs/>
        <w:i w:val="0"/>
        <w:iCs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627F6FFB"/>
    <w:multiLevelType w:val="multilevel"/>
    <w:tmpl w:val="9CBE8C9A"/>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293F"/>
    <w:rsid w:val="00245D3C"/>
    <w:rsid w:val="00331FD5"/>
    <w:rsid w:val="00332107"/>
    <w:rsid w:val="00357A04"/>
    <w:rsid w:val="006F4D8F"/>
    <w:rsid w:val="00964FEA"/>
    <w:rsid w:val="00A55D8A"/>
    <w:rsid w:val="00AE293F"/>
    <w:rsid w:val="00D531D7"/>
    <w:rsid w:val="00ED7B58"/>
    <w:rsid w:val="00FD56B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AF104332-3665-4433-BC56-C9AC2D3528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4"/>
        <w:szCs w:val="24"/>
        <w:lang w:val="es-ES_tradnl"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240"/>
      <w:outlineLvl w:val="0"/>
    </w:pPr>
    <w:rPr>
      <w:color w:val="2E75B5"/>
      <w:sz w:val="32"/>
      <w:szCs w:val="32"/>
    </w:rPr>
  </w:style>
  <w:style w:type="paragraph" w:styleId="Ttulo2">
    <w:name w:val="heading 2"/>
    <w:basedOn w:val="Normal"/>
    <w:next w:val="Normal"/>
    <w:pPr>
      <w:keepNext/>
      <w:keepLines/>
      <w:spacing w:before="40"/>
      <w:outlineLvl w:val="1"/>
    </w:pPr>
    <w:rPr>
      <w:color w:val="2E75B5"/>
      <w:sz w:val="26"/>
      <w:szCs w:val="26"/>
    </w:rPr>
  </w:style>
  <w:style w:type="paragraph" w:styleId="Ttulo3">
    <w:name w:val="heading 3"/>
    <w:basedOn w:val="Normal"/>
    <w:next w:val="Normal"/>
    <w:pPr>
      <w:keepNext/>
      <w:keepLines/>
      <w:spacing w:before="280" w:after="80"/>
      <w:outlineLvl w:val="2"/>
    </w:pPr>
    <w:rPr>
      <w:b/>
      <w:bCs/>
      <w:sz w:val="28"/>
      <w:szCs w:val="28"/>
    </w:rPr>
  </w:style>
  <w:style w:type="paragraph" w:styleId="Ttulo4">
    <w:name w:val="heading 4"/>
    <w:basedOn w:val="Normal"/>
    <w:next w:val="Normal"/>
    <w:pPr>
      <w:keepNext/>
      <w:keepLines/>
      <w:spacing w:before="240" w:after="40"/>
      <w:outlineLvl w:val="3"/>
    </w:pPr>
    <w:rPr>
      <w:b/>
      <w:bCs/>
    </w:rPr>
  </w:style>
  <w:style w:type="paragraph" w:styleId="Ttulo5">
    <w:name w:val="heading 5"/>
    <w:basedOn w:val="Normal"/>
    <w:next w:val="Normal"/>
    <w:pPr>
      <w:keepNext/>
      <w:keepLines/>
      <w:spacing w:before="220" w:after="40"/>
      <w:outlineLvl w:val="4"/>
    </w:pPr>
    <w:rPr>
      <w:b/>
      <w:bCs/>
      <w:sz w:val="22"/>
      <w:szCs w:val="22"/>
    </w:rPr>
  </w:style>
  <w:style w:type="paragraph" w:styleId="Ttulo6">
    <w:name w:val="heading 6"/>
    <w:basedOn w:val="Normal"/>
    <w:next w:val="Normal"/>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keepNext/>
      <w:keepLines/>
      <w:spacing w:before="480" w:after="120"/>
    </w:pPr>
    <w:rPr>
      <w:b/>
      <w:bCs/>
      <w:sz w:val="72"/>
      <w:szCs w:val="72"/>
    </w:r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tblPr>
      <w:tblStyleRowBandSize w:val="1"/>
      <w:tblStyleColBandSize w:val="1"/>
      <w:tblCellMar>
        <w:top w:w="0" w:type="dxa"/>
        <w:left w:w="115" w:type="dxa"/>
        <w:bottom w:w="0" w:type="dxa"/>
        <w:right w:w="115" w:type="dxa"/>
      </w:tblCellMar>
    </w:tblPr>
  </w:style>
  <w:style w:type="paragraph" w:styleId="Piedepgina">
    <w:name w:val="footer"/>
    <w:basedOn w:val="Normal"/>
    <w:link w:val="PiedepginaCar"/>
    <w:uiPriority w:val="99"/>
    <w:unhideWhenUsed/>
    <w:rsid w:val="006F4D8F"/>
    <w:pPr>
      <w:tabs>
        <w:tab w:val="center" w:pos="4419"/>
        <w:tab w:val="right" w:pos="8838"/>
      </w:tabs>
    </w:pPr>
  </w:style>
  <w:style w:type="character" w:customStyle="1" w:styleId="PiedepginaCar">
    <w:name w:val="Pie de página Car"/>
    <w:basedOn w:val="Fuentedeprrafopredeter"/>
    <w:link w:val="Piedepgina"/>
    <w:uiPriority w:val="99"/>
    <w:rsid w:val="006F4D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Mr63pX//gLXG9LjZYo3jbPMHQ==">CgMxLjAyDWguMTFza3ZsaGF6bnMyDmguaGt5NTA3czdvYWM5Mg5oLnh5ZGhmNDc4ejF4ODIOaC5kazVudzN5YzU4Y2syDmgueXUyZ24zY3NmaDVhMg5oLmd3bGtlaThpZmFqNjIOaC53djhmdnA4eHZidXcyCGgubG54Yno5MgloLjM1bmt1bjI4AHIhMVZHWkpZQzJPeEs1dlh3NDM5UFBqR0JMZnozaGs5Qk82</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13</Pages>
  <Words>3152</Words>
  <Characters>17339</Characters>
  <Application>Microsoft Office Word</Application>
  <DocSecurity>0</DocSecurity>
  <Lines>144</Lines>
  <Paragraphs>40</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20451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INFOEM574</dc:creator>
  <cp:lastModifiedBy>Cuenta Microsoft</cp:lastModifiedBy>
  <cp:revision>7</cp:revision>
  <cp:lastPrinted>2026-05-29T00:06:00Z</cp:lastPrinted>
  <dcterms:created xsi:type="dcterms:W3CDTF">2026-05-27T19:03:00Z</dcterms:created>
  <dcterms:modified xsi:type="dcterms:W3CDTF">2026-06-02T23:18:00Z</dcterms:modified>
</cp:coreProperties>
</file>