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Palatino Linotype" w:hAnsi="Palatino Linotype" w:cs="Palatino Linotype"/>
          <w:color w:val="auto"/>
          <w:sz w:val="22"/>
          <w:szCs w:val="22"/>
          <w:lang w:val="es-ES"/>
        </w:rPr>
        <w:id w:val="-2099326843"/>
        <w:docPartObj>
          <w:docPartGallery w:val="Table of Contents"/>
          <w:docPartUnique/>
        </w:docPartObj>
      </w:sdtPr>
      <w:sdtEndPr>
        <w:rPr>
          <w:b/>
          <w:bCs/>
        </w:rPr>
      </w:sdtEndPr>
      <w:sdtContent>
        <w:p w14:paraId="6E28C472" w14:textId="16687C25" w:rsidR="00151CE9" w:rsidRDefault="00151CE9">
          <w:pPr>
            <w:pStyle w:val="TtuloTDC"/>
          </w:pPr>
          <w:r>
            <w:rPr>
              <w:lang w:val="es-ES"/>
            </w:rPr>
            <w:t>Tabla de contenido</w:t>
          </w:r>
        </w:p>
        <w:p w14:paraId="6BCE262E" w14:textId="77777777" w:rsidR="00061126" w:rsidRDefault="00151CE9">
          <w:pPr>
            <w:pStyle w:val="TDC1"/>
            <w:tabs>
              <w:tab w:val="right" w:leader="dot" w:pos="9204"/>
            </w:tabs>
            <w:rPr>
              <w:rFonts w:asciiTheme="minorHAnsi" w:eastAsiaTheme="minorEastAsia" w:hAnsiTheme="minorHAnsi" w:cstheme="minorBidi"/>
              <w:noProof/>
            </w:rPr>
          </w:pPr>
          <w:r>
            <w:rPr>
              <w:b/>
              <w:bCs/>
              <w:lang w:val="es-ES"/>
            </w:rPr>
            <w:fldChar w:fldCharType="begin"/>
          </w:r>
          <w:r>
            <w:rPr>
              <w:b/>
              <w:bCs/>
              <w:lang w:val="es-ES"/>
            </w:rPr>
            <w:instrText xml:space="preserve"> TOC \o "1-3" \h \z \u </w:instrText>
          </w:r>
          <w:r>
            <w:rPr>
              <w:b/>
              <w:bCs/>
              <w:lang w:val="es-ES"/>
            </w:rPr>
            <w:fldChar w:fldCharType="separate"/>
          </w:r>
          <w:hyperlink w:anchor="_Toc223619792" w:history="1">
            <w:r w:rsidR="00061126" w:rsidRPr="00683063">
              <w:rPr>
                <w:rStyle w:val="Hipervnculo"/>
                <w:noProof/>
              </w:rPr>
              <w:t>A N T E C E D E N T E S</w:t>
            </w:r>
            <w:r w:rsidR="00061126">
              <w:rPr>
                <w:noProof/>
                <w:webHidden/>
              </w:rPr>
              <w:tab/>
            </w:r>
            <w:r w:rsidR="00061126">
              <w:rPr>
                <w:noProof/>
                <w:webHidden/>
              </w:rPr>
              <w:fldChar w:fldCharType="begin"/>
            </w:r>
            <w:r w:rsidR="00061126">
              <w:rPr>
                <w:noProof/>
                <w:webHidden/>
              </w:rPr>
              <w:instrText xml:space="preserve"> PAGEREF _Toc223619792 \h </w:instrText>
            </w:r>
            <w:r w:rsidR="00061126">
              <w:rPr>
                <w:noProof/>
                <w:webHidden/>
              </w:rPr>
            </w:r>
            <w:r w:rsidR="00061126">
              <w:rPr>
                <w:noProof/>
                <w:webHidden/>
              </w:rPr>
              <w:fldChar w:fldCharType="separate"/>
            </w:r>
            <w:r w:rsidR="00194559">
              <w:rPr>
                <w:noProof/>
                <w:webHidden/>
              </w:rPr>
              <w:t>2</w:t>
            </w:r>
            <w:r w:rsidR="00061126">
              <w:rPr>
                <w:noProof/>
                <w:webHidden/>
              </w:rPr>
              <w:fldChar w:fldCharType="end"/>
            </w:r>
          </w:hyperlink>
        </w:p>
        <w:p w14:paraId="5E9BB53C" w14:textId="77777777" w:rsidR="00061126" w:rsidRDefault="00061126">
          <w:pPr>
            <w:pStyle w:val="TDC2"/>
            <w:tabs>
              <w:tab w:val="right" w:leader="dot" w:pos="9204"/>
            </w:tabs>
            <w:rPr>
              <w:rFonts w:asciiTheme="minorHAnsi" w:eastAsiaTheme="minorEastAsia" w:hAnsiTheme="minorHAnsi" w:cstheme="minorBidi"/>
              <w:noProof/>
            </w:rPr>
          </w:pPr>
          <w:hyperlink w:anchor="_Toc223619793" w:history="1">
            <w:r w:rsidRPr="00683063">
              <w:rPr>
                <w:rStyle w:val="Hipervnculo"/>
                <w:noProof/>
              </w:rPr>
              <w:t>I. Presentación de la solicitud de información</w:t>
            </w:r>
            <w:r>
              <w:rPr>
                <w:noProof/>
                <w:webHidden/>
              </w:rPr>
              <w:tab/>
            </w:r>
            <w:r>
              <w:rPr>
                <w:noProof/>
                <w:webHidden/>
              </w:rPr>
              <w:fldChar w:fldCharType="begin"/>
            </w:r>
            <w:r>
              <w:rPr>
                <w:noProof/>
                <w:webHidden/>
              </w:rPr>
              <w:instrText xml:space="preserve"> PAGEREF _Toc223619793 \h </w:instrText>
            </w:r>
            <w:r>
              <w:rPr>
                <w:noProof/>
                <w:webHidden/>
              </w:rPr>
            </w:r>
            <w:r>
              <w:rPr>
                <w:noProof/>
                <w:webHidden/>
              </w:rPr>
              <w:fldChar w:fldCharType="separate"/>
            </w:r>
            <w:r w:rsidR="00194559">
              <w:rPr>
                <w:noProof/>
                <w:webHidden/>
              </w:rPr>
              <w:t>2</w:t>
            </w:r>
            <w:r>
              <w:rPr>
                <w:noProof/>
                <w:webHidden/>
              </w:rPr>
              <w:fldChar w:fldCharType="end"/>
            </w:r>
          </w:hyperlink>
        </w:p>
        <w:p w14:paraId="1684A8D3" w14:textId="77777777" w:rsidR="00061126" w:rsidRDefault="00061126">
          <w:pPr>
            <w:pStyle w:val="TDC2"/>
            <w:tabs>
              <w:tab w:val="right" w:leader="dot" w:pos="9204"/>
            </w:tabs>
            <w:rPr>
              <w:rFonts w:asciiTheme="minorHAnsi" w:eastAsiaTheme="minorEastAsia" w:hAnsiTheme="minorHAnsi" w:cstheme="minorBidi"/>
              <w:noProof/>
            </w:rPr>
          </w:pPr>
          <w:hyperlink w:anchor="_Toc223619794" w:history="1">
            <w:r w:rsidRPr="00683063">
              <w:rPr>
                <w:rStyle w:val="Hipervnculo"/>
                <w:noProof/>
              </w:rPr>
              <w:t>II. Prórroga</w:t>
            </w:r>
            <w:r>
              <w:rPr>
                <w:noProof/>
                <w:webHidden/>
              </w:rPr>
              <w:tab/>
            </w:r>
            <w:r>
              <w:rPr>
                <w:noProof/>
                <w:webHidden/>
              </w:rPr>
              <w:fldChar w:fldCharType="begin"/>
            </w:r>
            <w:r>
              <w:rPr>
                <w:noProof/>
                <w:webHidden/>
              </w:rPr>
              <w:instrText xml:space="preserve"> PAGEREF _Toc223619794 \h </w:instrText>
            </w:r>
            <w:r>
              <w:rPr>
                <w:noProof/>
                <w:webHidden/>
              </w:rPr>
            </w:r>
            <w:r>
              <w:rPr>
                <w:noProof/>
                <w:webHidden/>
              </w:rPr>
              <w:fldChar w:fldCharType="separate"/>
            </w:r>
            <w:r w:rsidR="00194559">
              <w:rPr>
                <w:noProof/>
                <w:webHidden/>
              </w:rPr>
              <w:t>3</w:t>
            </w:r>
            <w:r>
              <w:rPr>
                <w:noProof/>
                <w:webHidden/>
              </w:rPr>
              <w:fldChar w:fldCharType="end"/>
            </w:r>
          </w:hyperlink>
        </w:p>
        <w:p w14:paraId="7A4D5AF3" w14:textId="77777777" w:rsidR="00061126" w:rsidRDefault="00061126">
          <w:pPr>
            <w:pStyle w:val="TDC2"/>
            <w:tabs>
              <w:tab w:val="right" w:leader="dot" w:pos="9204"/>
            </w:tabs>
            <w:rPr>
              <w:rFonts w:asciiTheme="minorHAnsi" w:eastAsiaTheme="minorEastAsia" w:hAnsiTheme="minorHAnsi" w:cstheme="minorBidi"/>
              <w:noProof/>
            </w:rPr>
          </w:pPr>
          <w:hyperlink w:anchor="_Toc223619795" w:history="1">
            <w:r w:rsidRPr="00683063">
              <w:rPr>
                <w:rStyle w:val="Hipervnculo"/>
                <w:noProof/>
              </w:rPr>
              <w:t>III. Respuesta del Sujeto Obligado</w:t>
            </w:r>
            <w:r>
              <w:rPr>
                <w:noProof/>
                <w:webHidden/>
              </w:rPr>
              <w:tab/>
            </w:r>
            <w:r>
              <w:rPr>
                <w:noProof/>
                <w:webHidden/>
              </w:rPr>
              <w:fldChar w:fldCharType="begin"/>
            </w:r>
            <w:r>
              <w:rPr>
                <w:noProof/>
                <w:webHidden/>
              </w:rPr>
              <w:instrText xml:space="preserve"> PAGEREF _Toc223619795 \h </w:instrText>
            </w:r>
            <w:r>
              <w:rPr>
                <w:noProof/>
                <w:webHidden/>
              </w:rPr>
            </w:r>
            <w:r>
              <w:rPr>
                <w:noProof/>
                <w:webHidden/>
              </w:rPr>
              <w:fldChar w:fldCharType="separate"/>
            </w:r>
            <w:r w:rsidR="00194559">
              <w:rPr>
                <w:noProof/>
                <w:webHidden/>
              </w:rPr>
              <w:t>3</w:t>
            </w:r>
            <w:r>
              <w:rPr>
                <w:noProof/>
                <w:webHidden/>
              </w:rPr>
              <w:fldChar w:fldCharType="end"/>
            </w:r>
          </w:hyperlink>
        </w:p>
        <w:p w14:paraId="04A7143E" w14:textId="77777777" w:rsidR="00061126" w:rsidRDefault="00061126">
          <w:pPr>
            <w:pStyle w:val="TDC2"/>
            <w:tabs>
              <w:tab w:val="right" w:leader="dot" w:pos="9204"/>
            </w:tabs>
            <w:rPr>
              <w:rFonts w:asciiTheme="minorHAnsi" w:eastAsiaTheme="minorEastAsia" w:hAnsiTheme="minorHAnsi" w:cstheme="minorBidi"/>
              <w:noProof/>
            </w:rPr>
          </w:pPr>
          <w:hyperlink w:anchor="_Toc223619796" w:history="1">
            <w:r w:rsidRPr="00683063">
              <w:rPr>
                <w:rStyle w:val="Hipervnculo"/>
                <w:noProof/>
              </w:rPr>
              <w:t>IV. Interposición del Recurso de Revisión</w:t>
            </w:r>
            <w:r>
              <w:rPr>
                <w:noProof/>
                <w:webHidden/>
              </w:rPr>
              <w:tab/>
            </w:r>
            <w:r>
              <w:rPr>
                <w:noProof/>
                <w:webHidden/>
              </w:rPr>
              <w:fldChar w:fldCharType="begin"/>
            </w:r>
            <w:r>
              <w:rPr>
                <w:noProof/>
                <w:webHidden/>
              </w:rPr>
              <w:instrText xml:space="preserve"> PAGEREF _Toc223619796 \h </w:instrText>
            </w:r>
            <w:r>
              <w:rPr>
                <w:noProof/>
                <w:webHidden/>
              </w:rPr>
            </w:r>
            <w:r>
              <w:rPr>
                <w:noProof/>
                <w:webHidden/>
              </w:rPr>
              <w:fldChar w:fldCharType="separate"/>
            </w:r>
            <w:r w:rsidR="00194559">
              <w:rPr>
                <w:noProof/>
                <w:webHidden/>
              </w:rPr>
              <w:t>3</w:t>
            </w:r>
            <w:r>
              <w:rPr>
                <w:noProof/>
                <w:webHidden/>
              </w:rPr>
              <w:fldChar w:fldCharType="end"/>
            </w:r>
          </w:hyperlink>
        </w:p>
        <w:p w14:paraId="18C03AA9" w14:textId="77777777" w:rsidR="00061126" w:rsidRDefault="00061126">
          <w:pPr>
            <w:pStyle w:val="TDC2"/>
            <w:tabs>
              <w:tab w:val="right" w:leader="dot" w:pos="9204"/>
            </w:tabs>
            <w:rPr>
              <w:rFonts w:asciiTheme="minorHAnsi" w:eastAsiaTheme="minorEastAsia" w:hAnsiTheme="minorHAnsi" w:cstheme="minorBidi"/>
              <w:noProof/>
            </w:rPr>
          </w:pPr>
          <w:hyperlink w:anchor="_Toc223619797" w:history="1">
            <w:r w:rsidRPr="00683063">
              <w:rPr>
                <w:rStyle w:val="Hipervnculo"/>
                <w:noProof/>
              </w:rPr>
              <w:t>V. Trámite del Recurso de Revisión ante este Instituto</w:t>
            </w:r>
            <w:r>
              <w:rPr>
                <w:noProof/>
                <w:webHidden/>
              </w:rPr>
              <w:tab/>
            </w:r>
            <w:r>
              <w:rPr>
                <w:noProof/>
                <w:webHidden/>
              </w:rPr>
              <w:fldChar w:fldCharType="begin"/>
            </w:r>
            <w:r>
              <w:rPr>
                <w:noProof/>
                <w:webHidden/>
              </w:rPr>
              <w:instrText xml:space="preserve"> PAGEREF _Toc223619797 \h </w:instrText>
            </w:r>
            <w:r>
              <w:rPr>
                <w:noProof/>
                <w:webHidden/>
              </w:rPr>
            </w:r>
            <w:r>
              <w:rPr>
                <w:noProof/>
                <w:webHidden/>
              </w:rPr>
              <w:fldChar w:fldCharType="separate"/>
            </w:r>
            <w:r w:rsidR="00194559">
              <w:rPr>
                <w:noProof/>
                <w:webHidden/>
              </w:rPr>
              <w:t>4</w:t>
            </w:r>
            <w:r>
              <w:rPr>
                <w:noProof/>
                <w:webHidden/>
              </w:rPr>
              <w:fldChar w:fldCharType="end"/>
            </w:r>
          </w:hyperlink>
        </w:p>
        <w:p w14:paraId="21971859" w14:textId="77777777" w:rsidR="00061126" w:rsidRDefault="00061126">
          <w:pPr>
            <w:pStyle w:val="TDC1"/>
            <w:tabs>
              <w:tab w:val="right" w:leader="dot" w:pos="9204"/>
            </w:tabs>
            <w:rPr>
              <w:rFonts w:asciiTheme="minorHAnsi" w:eastAsiaTheme="minorEastAsia" w:hAnsiTheme="minorHAnsi" w:cstheme="minorBidi"/>
              <w:noProof/>
            </w:rPr>
          </w:pPr>
          <w:hyperlink w:anchor="_Toc223619798" w:history="1">
            <w:r w:rsidRPr="00683063">
              <w:rPr>
                <w:rStyle w:val="Hipervnculo"/>
                <w:noProof/>
              </w:rPr>
              <w:t>C O N S I D E R A N D O S</w:t>
            </w:r>
            <w:r>
              <w:rPr>
                <w:noProof/>
                <w:webHidden/>
              </w:rPr>
              <w:tab/>
            </w:r>
            <w:r>
              <w:rPr>
                <w:noProof/>
                <w:webHidden/>
              </w:rPr>
              <w:fldChar w:fldCharType="begin"/>
            </w:r>
            <w:r>
              <w:rPr>
                <w:noProof/>
                <w:webHidden/>
              </w:rPr>
              <w:instrText xml:space="preserve"> PAGEREF _Toc223619798 \h </w:instrText>
            </w:r>
            <w:r>
              <w:rPr>
                <w:noProof/>
                <w:webHidden/>
              </w:rPr>
            </w:r>
            <w:r>
              <w:rPr>
                <w:noProof/>
                <w:webHidden/>
              </w:rPr>
              <w:fldChar w:fldCharType="separate"/>
            </w:r>
            <w:r w:rsidR="00194559">
              <w:rPr>
                <w:noProof/>
                <w:webHidden/>
              </w:rPr>
              <w:t>5</w:t>
            </w:r>
            <w:r>
              <w:rPr>
                <w:noProof/>
                <w:webHidden/>
              </w:rPr>
              <w:fldChar w:fldCharType="end"/>
            </w:r>
          </w:hyperlink>
        </w:p>
        <w:p w14:paraId="3C8DD597" w14:textId="77777777" w:rsidR="00061126" w:rsidRDefault="00061126">
          <w:pPr>
            <w:pStyle w:val="TDC2"/>
            <w:tabs>
              <w:tab w:val="right" w:leader="dot" w:pos="9204"/>
            </w:tabs>
            <w:rPr>
              <w:rFonts w:asciiTheme="minorHAnsi" w:eastAsiaTheme="minorEastAsia" w:hAnsiTheme="minorHAnsi" w:cstheme="minorBidi"/>
              <w:noProof/>
            </w:rPr>
          </w:pPr>
          <w:hyperlink w:anchor="_Toc223619799" w:history="1">
            <w:r w:rsidRPr="00683063">
              <w:rPr>
                <w:rStyle w:val="Hipervnculo"/>
                <w:noProof/>
              </w:rPr>
              <w:t>PRIMERO. Competencia</w:t>
            </w:r>
            <w:r>
              <w:rPr>
                <w:noProof/>
                <w:webHidden/>
              </w:rPr>
              <w:tab/>
            </w:r>
            <w:r>
              <w:rPr>
                <w:noProof/>
                <w:webHidden/>
              </w:rPr>
              <w:fldChar w:fldCharType="begin"/>
            </w:r>
            <w:r>
              <w:rPr>
                <w:noProof/>
                <w:webHidden/>
              </w:rPr>
              <w:instrText xml:space="preserve"> PAGEREF _Toc223619799 \h </w:instrText>
            </w:r>
            <w:r>
              <w:rPr>
                <w:noProof/>
                <w:webHidden/>
              </w:rPr>
            </w:r>
            <w:r>
              <w:rPr>
                <w:noProof/>
                <w:webHidden/>
              </w:rPr>
              <w:fldChar w:fldCharType="separate"/>
            </w:r>
            <w:r w:rsidR="00194559">
              <w:rPr>
                <w:noProof/>
                <w:webHidden/>
              </w:rPr>
              <w:t>5</w:t>
            </w:r>
            <w:r>
              <w:rPr>
                <w:noProof/>
                <w:webHidden/>
              </w:rPr>
              <w:fldChar w:fldCharType="end"/>
            </w:r>
          </w:hyperlink>
        </w:p>
        <w:p w14:paraId="2847D1BB" w14:textId="77777777" w:rsidR="00061126" w:rsidRDefault="00061126">
          <w:pPr>
            <w:pStyle w:val="TDC2"/>
            <w:tabs>
              <w:tab w:val="right" w:leader="dot" w:pos="9204"/>
            </w:tabs>
            <w:rPr>
              <w:rFonts w:asciiTheme="minorHAnsi" w:eastAsiaTheme="minorEastAsia" w:hAnsiTheme="minorHAnsi" w:cstheme="minorBidi"/>
              <w:noProof/>
            </w:rPr>
          </w:pPr>
          <w:hyperlink w:anchor="_Toc223619800" w:history="1">
            <w:r w:rsidRPr="00683063">
              <w:rPr>
                <w:rStyle w:val="Hipervnculo"/>
                <w:noProof/>
              </w:rPr>
              <w:t>SEGUNDO. Causales de improcedencia y sobreseimiento</w:t>
            </w:r>
            <w:r>
              <w:rPr>
                <w:noProof/>
                <w:webHidden/>
              </w:rPr>
              <w:tab/>
            </w:r>
            <w:r>
              <w:rPr>
                <w:noProof/>
                <w:webHidden/>
              </w:rPr>
              <w:fldChar w:fldCharType="begin"/>
            </w:r>
            <w:r>
              <w:rPr>
                <w:noProof/>
                <w:webHidden/>
              </w:rPr>
              <w:instrText xml:space="preserve"> PAGEREF _Toc223619800 \h </w:instrText>
            </w:r>
            <w:r>
              <w:rPr>
                <w:noProof/>
                <w:webHidden/>
              </w:rPr>
            </w:r>
            <w:r>
              <w:rPr>
                <w:noProof/>
                <w:webHidden/>
              </w:rPr>
              <w:fldChar w:fldCharType="separate"/>
            </w:r>
            <w:r w:rsidR="00194559">
              <w:rPr>
                <w:noProof/>
                <w:webHidden/>
              </w:rPr>
              <w:t>6</w:t>
            </w:r>
            <w:r>
              <w:rPr>
                <w:noProof/>
                <w:webHidden/>
              </w:rPr>
              <w:fldChar w:fldCharType="end"/>
            </w:r>
          </w:hyperlink>
        </w:p>
        <w:p w14:paraId="6645BE89" w14:textId="77777777" w:rsidR="00061126" w:rsidRDefault="00061126">
          <w:pPr>
            <w:pStyle w:val="TDC2"/>
            <w:tabs>
              <w:tab w:val="right" w:leader="dot" w:pos="9204"/>
            </w:tabs>
            <w:rPr>
              <w:rFonts w:asciiTheme="minorHAnsi" w:eastAsiaTheme="minorEastAsia" w:hAnsiTheme="minorHAnsi" w:cstheme="minorBidi"/>
              <w:noProof/>
            </w:rPr>
          </w:pPr>
          <w:hyperlink w:anchor="_Toc223619801" w:history="1">
            <w:r w:rsidRPr="00683063">
              <w:rPr>
                <w:rStyle w:val="Hipervnculo"/>
                <w:noProof/>
              </w:rPr>
              <w:t>TERCERO. Determinación de la Controversia</w:t>
            </w:r>
            <w:r>
              <w:rPr>
                <w:noProof/>
                <w:webHidden/>
              </w:rPr>
              <w:tab/>
            </w:r>
            <w:r>
              <w:rPr>
                <w:noProof/>
                <w:webHidden/>
              </w:rPr>
              <w:fldChar w:fldCharType="begin"/>
            </w:r>
            <w:r>
              <w:rPr>
                <w:noProof/>
                <w:webHidden/>
              </w:rPr>
              <w:instrText xml:space="preserve"> PAGEREF _Toc223619801 \h </w:instrText>
            </w:r>
            <w:r>
              <w:rPr>
                <w:noProof/>
                <w:webHidden/>
              </w:rPr>
            </w:r>
            <w:r>
              <w:rPr>
                <w:noProof/>
                <w:webHidden/>
              </w:rPr>
              <w:fldChar w:fldCharType="separate"/>
            </w:r>
            <w:r w:rsidR="00194559">
              <w:rPr>
                <w:noProof/>
                <w:webHidden/>
              </w:rPr>
              <w:t>7</w:t>
            </w:r>
            <w:r>
              <w:rPr>
                <w:noProof/>
                <w:webHidden/>
              </w:rPr>
              <w:fldChar w:fldCharType="end"/>
            </w:r>
          </w:hyperlink>
        </w:p>
        <w:p w14:paraId="1CAB722D" w14:textId="77777777" w:rsidR="00061126" w:rsidRDefault="00061126">
          <w:pPr>
            <w:pStyle w:val="TDC2"/>
            <w:tabs>
              <w:tab w:val="right" w:leader="dot" w:pos="9204"/>
            </w:tabs>
            <w:rPr>
              <w:rFonts w:asciiTheme="minorHAnsi" w:eastAsiaTheme="minorEastAsia" w:hAnsiTheme="minorHAnsi" w:cstheme="minorBidi"/>
              <w:noProof/>
            </w:rPr>
          </w:pPr>
          <w:hyperlink w:anchor="_Toc223619802" w:history="1">
            <w:r w:rsidRPr="00683063">
              <w:rPr>
                <w:rStyle w:val="Hipervnculo"/>
                <w:noProof/>
              </w:rPr>
              <w:t>CUARTO. Marco normativo aplicable en materia de transparencia y acceso a la información pública</w:t>
            </w:r>
            <w:r>
              <w:rPr>
                <w:noProof/>
                <w:webHidden/>
              </w:rPr>
              <w:tab/>
            </w:r>
            <w:r>
              <w:rPr>
                <w:noProof/>
                <w:webHidden/>
              </w:rPr>
              <w:fldChar w:fldCharType="begin"/>
            </w:r>
            <w:r>
              <w:rPr>
                <w:noProof/>
                <w:webHidden/>
              </w:rPr>
              <w:instrText xml:space="preserve"> PAGEREF _Toc223619802 \h </w:instrText>
            </w:r>
            <w:r>
              <w:rPr>
                <w:noProof/>
                <w:webHidden/>
              </w:rPr>
            </w:r>
            <w:r>
              <w:rPr>
                <w:noProof/>
                <w:webHidden/>
              </w:rPr>
              <w:fldChar w:fldCharType="separate"/>
            </w:r>
            <w:r w:rsidR="00194559">
              <w:rPr>
                <w:noProof/>
                <w:webHidden/>
              </w:rPr>
              <w:t>9</w:t>
            </w:r>
            <w:r>
              <w:rPr>
                <w:noProof/>
                <w:webHidden/>
              </w:rPr>
              <w:fldChar w:fldCharType="end"/>
            </w:r>
          </w:hyperlink>
        </w:p>
        <w:p w14:paraId="7847EB1B" w14:textId="77777777" w:rsidR="00061126" w:rsidRDefault="00061126">
          <w:pPr>
            <w:pStyle w:val="TDC2"/>
            <w:tabs>
              <w:tab w:val="right" w:leader="dot" w:pos="9204"/>
            </w:tabs>
            <w:rPr>
              <w:rFonts w:asciiTheme="minorHAnsi" w:eastAsiaTheme="minorEastAsia" w:hAnsiTheme="minorHAnsi" w:cstheme="minorBidi"/>
              <w:noProof/>
            </w:rPr>
          </w:pPr>
          <w:hyperlink w:anchor="_Toc223619803" w:history="1">
            <w:r w:rsidRPr="00683063">
              <w:rPr>
                <w:rStyle w:val="Hipervnculo"/>
                <w:smallCaps/>
                <w:noProof/>
              </w:rPr>
              <w:t>QUINTO.</w:t>
            </w:r>
            <w:r w:rsidRPr="00683063">
              <w:rPr>
                <w:rStyle w:val="Hipervnculo"/>
                <w:noProof/>
              </w:rPr>
              <w:t xml:space="preserve"> Estudio de Fondo</w:t>
            </w:r>
            <w:r>
              <w:rPr>
                <w:noProof/>
                <w:webHidden/>
              </w:rPr>
              <w:tab/>
            </w:r>
            <w:r>
              <w:rPr>
                <w:noProof/>
                <w:webHidden/>
              </w:rPr>
              <w:fldChar w:fldCharType="begin"/>
            </w:r>
            <w:r>
              <w:rPr>
                <w:noProof/>
                <w:webHidden/>
              </w:rPr>
              <w:instrText xml:space="preserve"> PAGEREF _Toc223619803 \h </w:instrText>
            </w:r>
            <w:r>
              <w:rPr>
                <w:noProof/>
                <w:webHidden/>
              </w:rPr>
            </w:r>
            <w:r>
              <w:rPr>
                <w:noProof/>
                <w:webHidden/>
              </w:rPr>
              <w:fldChar w:fldCharType="separate"/>
            </w:r>
            <w:r w:rsidR="00194559">
              <w:rPr>
                <w:noProof/>
                <w:webHidden/>
              </w:rPr>
              <w:t>11</w:t>
            </w:r>
            <w:r>
              <w:rPr>
                <w:noProof/>
                <w:webHidden/>
              </w:rPr>
              <w:fldChar w:fldCharType="end"/>
            </w:r>
          </w:hyperlink>
        </w:p>
        <w:p w14:paraId="7A1364F0" w14:textId="77777777" w:rsidR="00061126" w:rsidRDefault="00061126">
          <w:pPr>
            <w:pStyle w:val="TDC2"/>
            <w:tabs>
              <w:tab w:val="right" w:leader="dot" w:pos="9204"/>
            </w:tabs>
            <w:rPr>
              <w:rFonts w:asciiTheme="minorHAnsi" w:eastAsiaTheme="minorEastAsia" w:hAnsiTheme="minorHAnsi" w:cstheme="minorBidi"/>
              <w:noProof/>
            </w:rPr>
          </w:pPr>
          <w:hyperlink w:anchor="_Toc223619804" w:history="1">
            <w:r w:rsidRPr="00683063">
              <w:rPr>
                <w:rStyle w:val="Hipervnculo"/>
                <w:noProof/>
              </w:rPr>
              <w:t>SEXTO. Decisión</w:t>
            </w:r>
            <w:r>
              <w:rPr>
                <w:noProof/>
                <w:webHidden/>
              </w:rPr>
              <w:tab/>
            </w:r>
            <w:r>
              <w:rPr>
                <w:noProof/>
                <w:webHidden/>
              </w:rPr>
              <w:fldChar w:fldCharType="begin"/>
            </w:r>
            <w:r>
              <w:rPr>
                <w:noProof/>
                <w:webHidden/>
              </w:rPr>
              <w:instrText xml:space="preserve"> PAGEREF _Toc223619804 \h </w:instrText>
            </w:r>
            <w:r>
              <w:rPr>
                <w:noProof/>
                <w:webHidden/>
              </w:rPr>
            </w:r>
            <w:r>
              <w:rPr>
                <w:noProof/>
                <w:webHidden/>
              </w:rPr>
              <w:fldChar w:fldCharType="separate"/>
            </w:r>
            <w:r w:rsidR="00194559">
              <w:rPr>
                <w:noProof/>
                <w:webHidden/>
              </w:rPr>
              <w:t>28</w:t>
            </w:r>
            <w:r>
              <w:rPr>
                <w:noProof/>
                <w:webHidden/>
              </w:rPr>
              <w:fldChar w:fldCharType="end"/>
            </w:r>
          </w:hyperlink>
        </w:p>
        <w:p w14:paraId="55144E63" w14:textId="77777777" w:rsidR="00061126" w:rsidRDefault="00061126">
          <w:pPr>
            <w:pStyle w:val="TDC2"/>
            <w:tabs>
              <w:tab w:val="right" w:leader="dot" w:pos="9204"/>
            </w:tabs>
            <w:rPr>
              <w:rFonts w:asciiTheme="minorHAnsi" w:eastAsiaTheme="minorEastAsia" w:hAnsiTheme="minorHAnsi" w:cstheme="minorBidi"/>
              <w:noProof/>
            </w:rPr>
          </w:pPr>
          <w:hyperlink w:anchor="_Toc223619805" w:history="1">
            <w:r w:rsidRPr="00683063">
              <w:rPr>
                <w:rStyle w:val="Hipervnculo"/>
                <w:noProof/>
              </w:rPr>
              <w:t>SÉPTIMO. Vista la Dirección General de Protección de Datos Personales</w:t>
            </w:r>
            <w:r>
              <w:rPr>
                <w:noProof/>
                <w:webHidden/>
              </w:rPr>
              <w:tab/>
            </w:r>
            <w:r>
              <w:rPr>
                <w:noProof/>
                <w:webHidden/>
              </w:rPr>
              <w:fldChar w:fldCharType="begin"/>
            </w:r>
            <w:r>
              <w:rPr>
                <w:noProof/>
                <w:webHidden/>
              </w:rPr>
              <w:instrText xml:space="preserve"> PAGEREF _Toc223619805 \h </w:instrText>
            </w:r>
            <w:r>
              <w:rPr>
                <w:noProof/>
                <w:webHidden/>
              </w:rPr>
            </w:r>
            <w:r>
              <w:rPr>
                <w:noProof/>
                <w:webHidden/>
              </w:rPr>
              <w:fldChar w:fldCharType="separate"/>
            </w:r>
            <w:r w:rsidR="00194559">
              <w:rPr>
                <w:noProof/>
                <w:webHidden/>
              </w:rPr>
              <w:t>28</w:t>
            </w:r>
            <w:r>
              <w:rPr>
                <w:noProof/>
                <w:webHidden/>
              </w:rPr>
              <w:fldChar w:fldCharType="end"/>
            </w:r>
          </w:hyperlink>
        </w:p>
        <w:p w14:paraId="071007E8" w14:textId="77777777" w:rsidR="00061126" w:rsidRDefault="00061126">
          <w:pPr>
            <w:pStyle w:val="TDC1"/>
            <w:tabs>
              <w:tab w:val="right" w:leader="dot" w:pos="9204"/>
            </w:tabs>
            <w:rPr>
              <w:rFonts w:asciiTheme="minorHAnsi" w:eastAsiaTheme="minorEastAsia" w:hAnsiTheme="minorHAnsi" w:cstheme="minorBidi"/>
              <w:noProof/>
            </w:rPr>
          </w:pPr>
          <w:hyperlink w:anchor="_Toc223619806" w:history="1">
            <w:r w:rsidRPr="00683063">
              <w:rPr>
                <w:rStyle w:val="Hipervnculo"/>
                <w:noProof/>
              </w:rPr>
              <w:t>R E S U E L V E</w:t>
            </w:r>
            <w:r>
              <w:rPr>
                <w:noProof/>
                <w:webHidden/>
              </w:rPr>
              <w:tab/>
            </w:r>
            <w:r>
              <w:rPr>
                <w:noProof/>
                <w:webHidden/>
              </w:rPr>
              <w:fldChar w:fldCharType="begin"/>
            </w:r>
            <w:r>
              <w:rPr>
                <w:noProof/>
                <w:webHidden/>
              </w:rPr>
              <w:instrText xml:space="preserve"> PAGEREF _Toc223619806 \h </w:instrText>
            </w:r>
            <w:r>
              <w:rPr>
                <w:noProof/>
                <w:webHidden/>
              </w:rPr>
            </w:r>
            <w:r>
              <w:rPr>
                <w:noProof/>
                <w:webHidden/>
              </w:rPr>
              <w:fldChar w:fldCharType="separate"/>
            </w:r>
            <w:r w:rsidR="00194559">
              <w:rPr>
                <w:noProof/>
                <w:webHidden/>
              </w:rPr>
              <w:t>30</w:t>
            </w:r>
            <w:r>
              <w:rPr>
                <w:noProof/>
                <w:webHidden/>
              </w:rPr>
              <w:fldChar w:fldCharType="end"/>
            </w:r>
          </w:hyperlink>
        </w:p>
        <w:p w14:paraId="2D05376A" w14:textId="4D2B6FAF" w:rsidR="00151CE9" w:rsidRDefault="00151CE9">
          <w:r>
            <w:rPr>
              <w:b/>
              <w:bCs/>
              <w:lang w:val="es-ES"/>
            </w:rPr>
            <w:fldChar w:fldCharType="end"/>
          </w:r>
        </w:p>
      </w:sdtContent>
    </w:sdt>
    <w:p w14:paraId="3595F02F" w14:textId="31F34BA0" w:rsidR="004C7F15" w:rsidRPr="00151CE9" w:rsidRDefault="004C7F15">
      <w:pPr>
        <w:spacing w:after="0" w:line="360" w:lineRule="auto"/>
      </w:pPr>
    </w:p>
    <w:p w14:paraId="542C0ED8" w14:textId="77777777" w:rsidR="004C7F15" w:rsidRPr="00151CE9" w:rsidRDefault="004C7F15">
      <w:pPr>
        <w:spacing w:after="0" w:line="360" w:lineRule="auto"/>
      </w:pPr>
    </w:p>
    <w:p w14:paraId="39425128" w14:textId="77777777" w:rsidR="004C7F15" w:rsidRPr="00151CE9" w:rsidRDefault="004C7F15">
      <w:pPr>
        <w:spacing w:after="0" w:line="360" w:lineRule="auto"/>
      </w:pPr>
    </w:p>
    <w:p w14:paraId="40303975" w14:textId="77777777" w:rsidR="004C7F15" w:rsidRPr="00151CE9" w:rsidRDefault="00135DA2">
      <w:pPr>
        <w:spacing w:after="0" w:line="360" w:lineRule="auto"/>
      </w:pPr>
      <w:r w:rsidRPr="00151CE9">
        <w:br w:type="page"/>
      </w:r>
    </w:p>
    <w:p w14:paraId="151913C0" w14:textId="77777777" w:rsidR="004C7F15" w:rsidRPr="00151CE9" w:rsidRDefault="00135DA2">
      <w:pPr>
        <w:spacing w:after="0" w:line="360" w:lineRule="auto"/>
      </w:pPr>
      <w:r w:rsidRPr="00151CE9">
        <w:lastRenderedPageBreak/>
        <w:t>Resolución del Pleno del Instituto de Transparencia, Acceso a la Información Pública y Protección de Datos Personales del Estado de México y Municipios, con domicilio en Metepec, Estado de México, de fecha cinco de marzo de dos mil veintiséis.</w:t>
      </w:r>
    </w:p>
    <w:p w14:paraId="7E1762D8" w14:textId="77777777" w:rsidR="004C7F15" w:rsidRPr="00151CE9" w:rsidRDefault="004C7F15">
      <w:pPr>
        <w:spacing w:after="0" w:line="360" w:lineRule="auto"/>
        <w:rPr>
          <w:b/>
          <w:bCs/>
        </w:rPr>
      </w:pPr>
    </w:p>
    <w:p w14:paraId="6237FE37" w14:textId="5EC1EAB4" w:rsidR="004C7F15" w:rsidRPr="00151CE9" w:rsidRDefault="00135DA2">
      <w:pPr>
        <w:spacing w:after="0" w:line="360" w:lineRule="auto"/>
      </w:pPr>
      <w:r w:rsidRPr="00151CE9">
        <w:rPr>
          <w:b/>
          <w:bCs/>
        </w:rPr>
        <w:t>VISTO</w:t>
      </w:r>
      <w:r w:rsidRPr="00151CE9">
        <w:t xml:space="preserve"> el expediente conformado con motivo del Recurso de Revisión </w:t>
      </w:r>
      <w:r w:rsidRPr="00506C8F">
        <w:rPr>
          <w:b/>
        </w:rPr>
        <w:t>00281/INFOEM/IP/RR/2026</w:t>
      </w:r>
      <w:r w:rsidRPr="00151CE9">
        <w:t xml:space="preserve">, interpuesto por </w:t>
      </w:r>
      <w:r w:rsidR="00B74E77" w:rsidRPr="00B74E77">
        <w:rPr>
          <w:b/>
          <w:bCs/>
          <w:highlight w:val="black"/>
        </w:rPr>
        <w:t>XXXXXXXXXXXXXXXXXXX</w:t>
      </w:r>
      <w:r w:rsidRPr="00151CE9">
        <w:t xml:space="preserve">, en lo sucesivo, la persona Recurrente o Particular, en contra de la respuesta del Sujeto Obligado, </w:t>
      </w:r>
      <w:r w:rsidRPr="00506C8F">
        <w:rPr>
          <w:b/>
        </w:rPr>
        <w:t>Sistema Municipal para el Desarrollo Integral de la Familia de Juchitepec,</w:t>
      </w:r>
      <w:r w:rsidRPr="00151CE9">
        <w:t xml:space="preserve"> se emite la presente Resolución, con base en los antecedentes y considerandos que se exponen a continuación:</w:t>
      </w:r>
    </w:p>
    <w:p w14:paraId="192066AA" w14:textId="77777777" w:rsidR="004C7F15" w:rsidRPr="00151CE9" w:rsidRDefault="004C7F15">
      <w:pPr>
        <w:spacing w:after="0" w:line="360" w:lineRule="auto"/>
      </w:pPr>
    </w:p>
    <w:p w14:paraId="0B0F43B4" w14:textId="77777777" w:rsidR="004C7F15" w:rsidRPr="00151CE9" w:rsidRDefault="00135DA2">
      <w:pPr>
        <w:pStyle w:val="Ttulo1"/>
        <w:spacing w:before="0" w:after="0"/>
        <w:rPr>
          <w:sz w:val="22"/>
          <w:szCs w:val="22"/>
        </w:rPr>
      </w:pPr>
      <w:bookmarkStart w:id="0" w:name="_heading=h.j0b7av95cq" w:colFirst="0" w:colLast="0"/>
      <w:bookmarkStart w:id="1" w:name="_Toc223619792"/>
      <w:bookmarkEnd w:id="0"/>
      <w:r w:rsidRPr="00151CE9">
        <w:rPr>
          <w:sz w:val="22"/>
          <w:szCs w:val="22"/>
        </w:rPr>
        <w:t>A N T E C E D E N T E S</w:t>
      </w:r>
      <w:bookmarkEnd w:id="1"/>
    </w:p>
    <w:p w14:paraId="63A50FDA" w14:textId="77777777" w:rsidR="004C7F15" w:rsidRPr="00151CE9" w:rsidRDefault="004C7F15">
      <w:pPr>
        <w:spacing w:after="0" w:line="360" w:lineRule="auto"/>
      </w:pPr>
      <w:bookmarkStart w:id="2" w:name="_heading=h.gjdgxs" w:colFirst="0" w:colLast="0"/>
      <w:bookmarkEnd w:id="2"/>
    </w:p>
    <w:p w14:paraId="4E5E18A1" w14:textId="77777777" w:rsidR="004C7F15" w:rsidRPr="00151CE9" w:rsidRDefault="00135DA2">
      <w:pPr>
        <w:pStyle w:val="Ttulo2"/>
        <w:spacing w:before="0" w:after="0"/>
      </w:pPr>
      <w:bookmarkStart w:id="3" w:name="_heading=h.aa3nmcs4ph8w" w:colFirst="0" w:colLast="0"/>
      <w:bookmarkStart w:id="4" w:name="_Toc223619793"/>
      <w:bookmarkEnd w:id="3"/>
      <w:r w:rsidRPr="00151CE9">
        <w:t>I. Presentación de la solicitud de información</w:t>
      </w:r>
      <w:bookmarkEnd w:id="4"/>
    </w:p>
    <w:p w14:paraId="0AE3AAB0" w14:textId="77777777" w:rsidR="004C7F15" w:rsidRPr="00151CE9" w:rsidRDefault="004C7F15">
      <w:pPr>
        <w:tabs>
          <w:tab w:val="left" w:pos="567"/>
        </w:tabs>
        <w:spacing w:after="0" w:line="360" w:lineRule="auto"/>
      </w:pPr>
    </w:p>
    <w:p w14:paraId="5B17DF61" w14:textId="77777777" w:rsidR="004C7F15" w:rsidRPr="00151CE9" w:rsidRDefault="00135DA2">
      <w:pPr>
        <w:spacing w:after="0" w:line="360" w:lineRule="auto"/>
      </w:pPr>
      <w:bookmarkStart w:id="5" w:name="_heading=h.7z2hm1dstc2n" w:colFirst="0" w:colLast="0"/>
      <w:bookmarkEnd w:id="5"/>
      <w:r w:rsidRPr="00151CE9">
        <w:t>Con fecha treinta y uno de octubre de dos mil veinticinco, la parte Solicitante presentó una solicitud de acceso a la información pública, a través del Sistema de Acceso a la Información Mexiquense, en lo sucesivo el SAIMEX; ante el Sistema Municipal para el Desarrollo Integral de la Familia de Juchitepec, en la que requirió lo siguiente:</w:t>
      </w:r>
    </w:p>
    <w:p w14:paraId="3DE163FB" w14:textId="77777777" w:rsidR="004C7F15" w:rsidRPr="00151CE9" w:rsidRDefault="004C7F15">
      <w:pPr>
        <w:spacing w:after="0" w:line="360" w:lineRule="auto"/>
      </w:pPr>
    </w:p>
    <w:p w14:paraId="0AC56290" w14:textId="77777777" w:rsidR="004C7F15" w:rsidRPr="00151CE9" w:rsidRDefault="00135DA2">
      <w:pPr>
        <w:tabs>
          <w:tab w:val="left" w:pos="567"/>
        </w:tabs>
        <w:spacing w:after="0" w:line="360" w:lineRule="auto"/>
        <w:ind w:left="567" w:right="709"/>
        <w:rPr>
          <w:b/>
          <w:bCs/>
          <w:sz w:val="20"/>
          <w:szCs w:val="20"/>
        </w:rPr>
      </w:pPr>
      <w:r w:rsidRPr="00151CE9">
        <w:rPr>
          <w:b/>
          <w:bCs/>
          <w:sz w:val="20"/>
          <w:szCs w:val="20"/>
        </w:rPr>
        <w:t>Folio de la solicitud: 00039/DIFJUCHITEPEC/IP/2025</w:t>
      </w:r>
    </w:p>
    <w:p w14:paraId="5162E1A3" w14:textId="77777777" w:rsidR="004C7F15" w:rsidRPr="00151CE9" w:rsidRDefault="00135DA2">
      <w:pPr>
        <w:tabs>
          <w:tab w:val="left" w:pos="567"/>
        </w:tabs>
        <w:spacing w:after="0" w:line="360" w:lineRule="auto"/>
        <w:ind w:left="567" w:right="709"/>
        <w:rPr>
          <w:b/>
          <w:bCs/>
          <w:sz w:val="20"/>
          <w:szCs w:val="20"/>
        </w:rPr>
      </w:pPr>
      <w:r w:rsidRPr="00151CE9">
        <w:rPr>
          <w:b/>
          <w:bCs/>
          <w:sz w:val="20"/>
          <w:szCs w:val="20"/>
        </w:rPr>
        <w:t>DESCRIPCIÓN CLARA Y PRECISA DE LA INFORMACIÓN SOLICITADA</w:t>
      </w:r>
    </w:p>
    <w:p w14:paraId="485322B2" w14:textId="77777777" w:rsidR="004C7F15" w:rsidRPr="00151CE9" w:rsidRDefault="00135DA2">
      <w:pPr>
        <w:tabs>
          <w:tab w:val="left" w:pos="4667"/>
        </w:tabs>
        <w:spacing w:after="0" w:line="360" w:lineRule="auto"/>
        <w:ind w:left="567" w:right="709"/>
        <w:rPr>
          <w:i/>
          <w:iCs/>
          <w:sz w:val="20"/>
          <w:szCs w:val="20"/>
        </w:rPr>
      </w:pPr>
      <w:r w:rsidRPr="00151CE9">
        <w:rPr>
          <w:i/>
          <w:iCs/>
          <w:sz w:val="20"/>
          <w:szCs w:val="20"/>
        </w:rPr>
        <w:t>“se solicita saber cuales fueron las personas dadas de baja en el año 2025 y los motivos de su baja.” (Sic.)</w:t>
      </w:r>
    </w:p>
    <w:p w14:paraId="3866D424" w14:textId="77777777" w:rsidR="004C7F15" w:rsidRPr="00151CE9" w:rsidRDefault="004C7F15">
      <w:pPr>
        <w:tabs>
          <w:tab w:val="left" w:pos="4667"/>
        </w:tabs>
        <w:spacing w:after="0" w:line="360" w:lineRule="auto"/>
        <w:ind w:left="567" w:right="709"/>
        <w:rPr>
          <w:b/>
          <w:bCs/>
          <w:sz w:val="20"/>
          <w:szCs w:val="20"/>
        </w:rPr>
      </w:pPr>
    </w:p>
    <w:p w14:paraId="5BE53BDF" w14:textId="77777777" w:rsidR="004C7F15" w:rsidRPr="00151CE9" w:rsidRDefault="00135DA2">
      <w:pPr>
        <w:tabs>
          <w:tab w:val="left" w:pos="4667"/>
        </w:tabs>
        <w:spacing w:after="0" w:line="360" w:lineRule="auto"/>
        <w:ind w:left="567" w:right="709"/>
        <w:rPr>
          <w:b/>
          <w:bCs/>
          <w:sz w:val="20"/>
          <w:szCs w:val="20"/>
        </w:rPr>
      </w:pPr>
      <w:r w:rsidRPr="00151CE9">
        <w:rPr>
          <w:b/>
          <w:bCs/>
          <w:sz w:val="20"/>
          <w:szCs w:val="20"/>
        </w:rPr>
        <w:t xml:space="preserve">MODALIDAD DE ENTREGA </w:t>
      </w:r>
    </w:p>
    <w:p w14:paraId="0436CF34" w14:textId="77777777" w:rsidR="004C7F15" w:rsidRPr="00151CE9" w:rsidRDefault="00135DA2">
      <w:pPr>
        <w:tabs>
          <w:tab w:val="left" w:pos="4667"/>
        </w:tabs>
        <w:spacing w:after="0" w:line="360" w:lineRule="auto"/>
        <w:ind w:left="567" w:right="709"/>
        <w:rPr>
          <w:i/>
          <w:iCs/>
          <w:sz w:val="20"/>
          <w:szCs w:val="20"/>
        </w:rPr>
      </w:pPr>
      <w:r w:rsidRPr="00151CE9">
        <w:rPr>
          <w:i/>
          <w:iCs/>
          <w:sz w:val="20"/>
          <w:szCs w:val="20"/>
        </w:rPr>
        <w:t>“A través del SAIMEX.”</w:t>
      </w:r>
    </w:p>
    <w:p w14:paraId="339AAF22" w14:textId="77777777" w:rsidR="004C7F15" w:rsidRPr="00151CE9" w:rsidRDefault="00135DA2" w:rsidP="00151CE9">
      <w:pPr>
        <w:pStyle w:val="Ttulo2"/>
        <w:rPr>
          <w:b w:val="0"/>
          <w:bCs w:val="0"/>
          <w:color w:val="000000"/>
        </w:rPr>
      </w:pPr>
      <w:bookmarkStart w:id="6" w:name="_heading=h.sdvusn65wkjp" w:colFirst="0" w:colLast="0"/>
      <w:bookmarkStart w:id="7" w:name="_heading=h.xkjq2vbc1t9j" w:colFirst="0" w:colLast="0"/>
      <w:bookmarkStart w:id="8" w:name="_Toc223619794"/>
      <w:bookmarkEnd w:id="6"/>
      <w:bookmarkEnd w:id="7"/>
      <w:r w:rsidRPr="00151CE9">
        <w:rPr>
          <w:color w:val="000000"/>
        </w:rPr>
        <w:lastRenderedPageBreak/>
        <w:t>II. Prórroga</w:t>
      </w:r>
      <w:bookmarkEnd w:id="8"/>
    </w:p>
    <w:p w14:paraId="59DCF220" w14:textId="77777777" w:rsidR="00E05C5D" w:rsidRPr="00151CE9" w:rsidRDefault="00E05C5D">
      <w:pPr>
        <w:tabs>
          <w:tab w:val="left" w:pos="4667"/>
        </w:tabs>
        <w:spacing w:after="0" w:line="360" w:lineRule="auto"/>
        <w:rPr>
          <w:color w:val="000000"/>
        </w:rPr>
      </w:pPr>
    </w:p>
    <w:p w14:paraId="503D68DE" w14:textId="2FDA041F" w:rsidR="004C7F15" w:rsidRPr="00151CE9" w:rsidRDefault="00135DA2">
      <w:pPr>
        <w:tabs>
          <w:tab w:val="left" w:pos="4667"/>
        </w:tabs>
        <w:spacing w:after="0" w:line="360" w:lineRule="auto"/>
        <w:rPr>
          <w:b/>
          <w:bCs/>
          <w:color w:val="000000"/>
        </w:rPr>
      </w:pPr>
      <w:r w:rsidRPr="00151CE9">
        <w:rPr>
          <w:color w:val="000000"/>
        </w:rPr>
        <w:t xml:space="preserve">Con fecha veintiuno de noviembre de dos mil veinticinco, el Sujeto Obligado, a través del SAIMEX, informó que se prorrogó el plazo para dar respuesta; sin embargo, no indicó si fue aprobada por el Comité de Transparencia, por tanto, se le </w:t>
      </w:r>
      <w:r w:rsidRPr="00151CE9">
        <w:rPr>
          <w:b/>
          <w:bCs/>
          <w:color w:val="000000"/>
          <w:u w:val="single"/>
        </w:rPr>
        <w:t>insta para que en futuras ocasiones remita el acta en el que el Comité de Transparencia aprueba la prórroga para dar respuesta en términos de lo dispuesto en el artículo 163 de la Ley de Transparencia y Acceso a la Información Pública del Estado de México y Municipios</w:t>
      </w:r>
      <w:r w:rsidRPr="00151CE9">
        <w:rPr>
          <w:b/>
          <w:bCs/>
          <w:color w:val="000000"/>
        </w:rPr>
        <w:t xml:space="preserve">. </w:t>
      </w:r>
    </w:p>
    <w:p w14:paraId="5EECEB5B" w14:textId="77777777" w:rsidR="004C7F15" w:rsidRPr="00151CE9" w:rsidRDefault="004C7F15">
      <w:pPr>
        <w:tabs>
          <w:tab w:val="left" w:pos="4667"/>
        </w:tabs>
        <w:spacing w:after="0" w:line="360" w:lineRule="auto"/>
      </w:pPr>
    </w:p>
    <w:p w14:paraId="420DF2AD" w14:textId="77777777" w:rsidR="004C7F15" w:rsidRPr="00151CE9" w:rsidRDefault="00135DA2">
      <w:pPr>
        <w:pStyle w:val="Ttulo2"/>
        <w:spacing w:before="0" w:after="0"/>
      </w:pPr>
      <w:bookmarkStart w:id="9" w:name="_heading=h.npujp5ho85sh" w:colFirst="0" w:colLast="0"/>
      <w:bookmarkStart w:id="10" w:name="_Toc223619795"/>
      <w:bookmarkEnd w:id="9"/>
      <w:r w:rsidRPr="00151CE9">
        <w:t>III. Respuesta del Sujeto Obligado</w:t>
      </w:r>
      <w:bookmarkEnd w:id="10"/>
      <w:r w:rsidRPr="00151CE9">
        <w:t xml:space="preserve"> </w:t>
      </w:r>
    </w:p>
    <w:p w14:paraId="2C23B0EA" w14:textId="77777777" w:rsidR="004C7F15" w:rsidRPr="00151CE9" w:rsidRDefault="004C7F15">
      <w:pPr>
        <w:spacing w:after="0" w:line="360" w:lineRule="auto"/>
      </w:pPr>
    </w:p>
    <w:p w14:paraId="7046C138" w14:textId="77777777" w:rsidR="004C7F15" w:rsidRPr="00151CE9" w:rsidRDefault="00135DA2">
      <w:pPr>
        <w:spacing w:after="0" w:line="360" w:lineRule="auto"/>
      </w:pPr>
      <w:r w:rsidRPr="00151CE9">
        <w:t>El tres de diciembre de dos mil veinticinco, el Sujeto Obligado a través de SAIMEX, dio respuesta en los siguientes términos:</w:t>
      </w:r>
    </w:p>
    <w:p w14:paraId="656F74BB" w14:textId="77777777" w:rsidR="004C7F15" w:rsidRPr="00151CE9" w:rsidRDefault="004C7F15">
      <w:pPr>
        <w:spacing w:after="0" w:line="360" w:lineRule="auto"/>
      </w:pPr>
    </w:p>
    <w:p w14:paraId="7FDE1FA4" w14:textId="77777777" w:rsidR="004C7F15" w:rsidRPr="00151CE9" w:rsidRDefault="00135DA2">
      <w:pPr>
        <w:numPr>
          <w:ilvl w:val="0"/>
          <w:numId w:val="11"/>
        </w:numPr>
        <w:pBdr>
          <w:top w:val="nil"/>
          <w:left w:val="nil"/>
          <w:bottom w:val="nil"/>
          <w:right w:val="nil"/>
          <w:between w:val="nil"/>
        </w:pBdr>
        <w:spacing w:after="0" w:line="360" w:lineRule="auto"/>
        <w:rPr>
          <w:b/>
          <w:bCs/>
          <w:i/>
          <w:iCs/>
          <w:color w:val="000000"/>
        </w:rPr>
      </w:pPr>
      <w:r w:rsidRPr="00151CE9">
        <w:rPr>
          <w:b/>
          <w:bCs/>
          <w:i/>
          <w:iCs/>
          <w:color w:val="000000"/>
        </w:rPr>
        <w:t xml:space="preserve">00039.pdf; </w:t>
      </w:r>
      <w:r w:rsidRPr="00151CE9">
        <w:rPr>
          <w:color w:val="000000"/>
        </w:rPr>
        <w:t>del que se desprenden los siguientes:</w:t>
      </w:r>
    </w:p>
    <w:p w14:paraId="4C9C3DB5" w14:textId="77777777" w:rsidR="00E05C5D" w:rsidRPr="00151CE9" w:rsidRDefault="00E05C5D" w:rsidP="00E05C5D">
      <w:pPr>
        <w:pBdr>
          <w:top w:val="nil"/>
          <w:left w:val="nil"/>
          <w:bottom w:val="nil"/>
          <w:right w:val="nil"/>
          <w:between w:val="nil"/>
        </w:pBdr>
        <w:spacing w:after="0" w:line="360" w:lineRule="auto"/>
        <w:ind w:left="720"/>
        <w:rPr>
          <w:b/>
          <w:bCs/>
          <w:i/>
          <w:iCs/>
          <w:color w:val="000000"/>
        </w:rPr>
      </w:pPr>
    </w:p>
    <w:p w14:paraId="0770E47F" w14:textId="77777777" w:rsidR="004C7F15" w:rsidRPr="00151CE9" w:rsidRDefault="00135DA2">
      <w:pPr>
        <w:numPr>
          <w:ilvl w:val="1"/>
          <w:numId w:val="11"/>
        </w:numPr>
        <w:pBdr>
          <w:top w:val="nil"/>
          <w:left w:val="nil"/>
          <w:bottom w:val="nil"/>
          <w:right w:val="nil"/>
          <w:between w:val="nil"/>
        </w:pBdr>
        <w:spacing w:after="0" w:line="360" w:lineRule="auto"/>
        <w:rPr>
          <w:b/>
          <w:bCs/>
          <w:i/>
          <w:iCs/>
          <w:color w:val="000000"/>
        </w:rPr>
      </w:pPr>
      <w:r w:rsidRPr="00151CE9">
        <w:rPr>
          <w:color w:val="000000"/>
        </w:rPr>
        <w:t xml:space="preserve">Oficio entregado por triplicado, suscrito por la Directora del Sujeto Obligado, en el que señaló el nombre y motivo de las personas servidoras públicas dadas de baja al tercer trimestre del año 2025; </w:t>
      </w:r>
      <w:r w:rsidRPr="00151CE9">
        <w:rPr>
          <w:b/>
          <w:bCs/>
          <w:color w:val="000000"/>
        </w:rPr>
        <w:t xml:space="preserve">en el que indicó y dejó visibles los motivos personales por lo que causaron la baja algunas personas. </w:t>
      </w:r>
    </w:p>
    <w:p w14:paraId="10FA90D1" w14:textId="77777777" w:rsidR="004C7F15" w:rsidRPr="00151CE9" w:rsidRDefault="004C7F15">
      <w:pPr>
        <w:spacing w:after="0" w:line="360" w:lineRule="auto"/>
        <w:ind w:right="709"/>
        <w:rPr>
          <w:i/>
          <w:iCs/>
        </w:rPr>
      </w:pPr>
    </w:p>
    <w:p w14:paraId="779249A2" w14:textId="77777777" w:rsidR="004C7F15" w:rsidRPr="00151CE9" w:rsidRDefault="00135DA2">
      <w:pPr>
        <w:pStyle w:val="Ttulo2"/>
        <w:spacing w:before="0" w:after="0"/>
      </w:pPr>
      <w:bookmarkStart w:id="11" w:name="_heading=h.meziucqbiad3" w:colFirst="0" w:colLast="0"/>
      <w:bookmarkStart w:id="12" w:name="_Toc223619796"/>
      <w:bookmarkEnd w:id="11"/>
      <w:r w:rsidRPr="00151CE9">
        <w:t>IV. Interposición del Recurso de Revisión</w:t>
      </w:r>
      <w:bookmarkEnd w:id="12"/>
    </w:p>
    <w:p w14:paraId="421FD665" w14:textId="77777777" w:rsidR="004C7F15" w:rsidRPr="00151CE9" w:rsidRDefault="004C7F15">
      <w:pPr>
        <w:spacing w:after="0" w:line="360" w:lineRule="auto"/>
        <w:rPr>
          <w:b/>
          <w:bCs/>
        </w:rPr>
      </w:pPr>
    </w:p>
    <w:p w14:paraId="5A70B4FC" w14:textId="77777777" w:rsidR="004C7F15" w:rsidRPr="00151CE9" w:rsidRDefault="00135DA2">
      <w:pPr>
        <w:spacing w:after="0" w:line="360" w:lineRule="auto"/>
      </w:pPr>
      <w:bookmarkStart w:id="13" w:name="_heading=h.2et92p0" w:colFirst="0" w:colLast="0"/>
      <w:bookmarkEnd w:id="13"/>
      <w:r w:rsidRPr="00151CE9">
        <w:t xml:space="preserve">Con fecha diez de enero de dos mil veintiséis, se recibió a través del SAIMEX, el Recurso de Revisión interpuesto por la persona Recurrente; el cual se radicó en fecha doce de enero del </w:t>
      </w:r>
      <w:r w:rsidRPr="00151CE9">
        <w:lastRenderedPageBreak/>
        <w:t>mismo año, al tratarse del día siguiente hábil de conformidad con el calendario emitido por este Pleno; en los siguientes términos:</w:t>
      </w:r>
    </w:p>
    <w:p w14:paraId="30DC0EA6" w14:textId="77777777" w:rsidR="004C7F15" w:rsidRPr="00151CE9" w:rsidRDefault="004C7F15">
      <w:pPr>
        <w:spacing w:after="0" w:line="360" w:lineRule="auto"/>
      </w:pPr>
    </w:p>
    <w:p w14:paraId="052ACDC0" w14:textId="77777777" w:rsidR="004C7F15" w:rsidRPr="00151CE9" w:rsidRDefault="00135DA2">
      <w:pPr>
        <w:spacing w:after="0" w:line="360" w:lineRule="auto"/>
        <w:ind w:left="567" w:right="709"/>
        <w:rPr>
          <w:b/>
          <w:bCs/>
          <w:sz w:val="20"/>
          <w:szCs w:val="20"/>
        </w:rPr>
      </w:pPr>
      <w:r w:rsidRPr="00151CE9">
        <w:rPr>
          <w:b/>
          <w:bCs/>
          <w:sz w:val="20"/>
          <w:szCs w:val="20"/>
        </w:rPr>
        <w:t>ACTO IMPUGNADO</w:t>
      </w:r>
      <w:r w:rsidRPr="00151CE9">
        <w:rPr>
          <w:b/>
          <w:bCs/>
          <w:sz w:val="20"/>
          <w:szCs w:val="20"/>
        </w:rPr>
        <w:tab/>
      </w:r>
    </w:p>
    <w:p w14:paraId="5623F140" w14:textId="77777777" w:rsidR="004C7F15" w:rsidRPr="00151CE9" w:rsidRDefault="00135DA2">
      <w:pPr>
        <w:spacing w:after="0" w:line="360" w:lineRule="auto"/>
        <w:ind w:left="567" w:right="709"/>
        <w:rPr>
          <w:b/>
          <w:bCs/>
          <w:sz w:val="20"/>
          <w:szCs w:val="20"/>
        </w:rPr>
      </w:pPr>
      <w:r w:rsidRPr="00151CE9">
        <w:rPr>
          <w:i/>
          <w:iCs/>
          <w:sz w:val="20"/>
          <w:szCs w:val="20"/>
        </w:rPr>
        <w:t>“se solicita saber cuales fueron las personas dadas de baja en el año 2025 y los motivos de su baja” (Sic.)</w:t>
      </w:r>
    </w:p>
    <w:p w14:paraId="3BEB0E6D" w14:textId="77777777" w:rsidR="004C7F15" w:rsidRPr="00151CE9" w:rsidRDefault="004C7F15">
      <w:pPr>
        <w:spacing w:after="0" w:line="360" w:lineRule="auto"/>
        <w:ind w:left="567" w:right="709"/>
        <w:rPr>
          <w:sz w:val="20"/>
          <w:szCs w:val="20"/>
        </w:rPr>
      </w:pPr>
    </w:p>
    <w:p w14:paraId="43952DD6" w14:textId="77777777" w:rsidR="004C7F15" w:rsidRPr="00151CE9" w:rsidRDefault="00135DA2">
      <w:pPr>
        <w:spacing w:after="0" w:line="360" w:lineRule="auto"/>
        <w:ind w:left="567" w:right="709"/>
        <w:rPr>
          <w:b/>
          <w:bCs/>
          <w:sz w:val="20"/>
          <w:szCs w:val="20"/>
        </w:rPr>
      </w:pPr>
      <w:r w:rsidRPr="00151CE9">
        <w:rPr>
          <w:b/>
          <w:bCs/>
          <w:sz w:val="20"/>
          <w:szCs w:val="20"/>
        </w:rPr>
        <w:t>RAZONES O MOTIVOS DE LA INCONFORMIDAD</w:t>
      </w:r>
      <w:r w:rsidRPr="00151CE9">
        <w:rPr>
          <w:b/>
          <w:bCs/>
          <w:sz w:val="20"/>
          <w:szCs w:val="20"/>
        </w:rPr>
        <w:tab/>
      </w:r>
    </w:p>
    <w:p w14:paraId="4D0C3419" w14:textId="77777777" w:rsidR="004C7F15" w:rsidRPr="00151CE9" w:rsidRDefault="00135DA2">
      <w:pPr>
        <w:tabs>
          <w:tab w:val="left" w:pos="4667"/>
        </w:tabs>
        <w:spacing w:after="0" w:line="360" w:lineRule="auto"/>
        <w:ind w:left="567" w:right="709"/>
        <w:rPr>
          <w:i/>
          <w:iCs/>
          <w:sz w:val="20"/>
          <w:szCs w:val="20"/>
        </w:rPr>
      </w:pPr>
      <w:r w:rsidRPr="00151CE9">
        <w:rPr>
          <w:i/>
          <w:iCs/>
          <w:sz w:val="20"/>
          <w:szCs w:val="20"/>
        </w:rPr>
        <w:t>“a negativa” (Sic.)</w:t>
      </w:r>
    </w:p>
    <w:p w14:paraId="68377640" w14:textId="77777777" w:rsidR="004C7F15" w:rsidRPr="00151CE9" w:rsidRDefault="004C7F15">
      <w:pPr>
        <w:tabs>
          <w:tab w:val="left" w:pos="4667"/>
        </w:tabs>
        <w:spacing w:after="0" w:line="360" w:lineRule="auto"/>
      </w:pPr>
    </w:p>
    <w:p w14:paraId="32C066EB" w14:textId="77777777" w:rsidR="004C7F15" w:rsidRPr="00151CE9" w:rsidRDefault="00135DA2">
      <w:pPr>
        <w:pStyle w:val="Ttulo2"/>
        <w:spacing w:before="0" w:after="0"/>
      </w:pPr>
      <w:bookmarkStart w:id="14" w:name="_heading=h.rhvpsd94mkjp" w:colFirst="0" w:colLast="0"/>
      <w:bookmarkStart w:id="15" w:name="_Toc223619797"/>
      <w:bookmarkEnd w:id="14"/>
      <w:r w:rsidRPr="00151CE9">
        <w:t>V. Trámite del Recurso de Revisión ante este Instituto</w:t>
      </w:r>
      <w:bookmarkEnd w:id="15"/>
    </w:p>
    <w:p w14:paraId="1A390DE8" w14:textId="77777777" w:rsidR="004C7F15" w:rsidRPr="00151CE9" w:rsidRDefault="004C7F15">
      <w:pPr>
        <w:spacing w:after="0" w:line="360" w:lineRule="auto"/>
        <w:rPr>
          <w:b/>
          <w:bCs/>
        </w:rPr>
      </w:pPr>
    </w:p>
    <w:p w14:paraId="19D72A2A" w14:textId="77777777" w:rsidR="004C7F15" w:rsidRPr="00151CE9" w:rsidRDefault="00135DA2">
      <w:pPr>
        <w:spacing w:after="0" w:line="360" w:lineRule="auto"/>
      </w:pPr>
      <w:r w:rsidRPr="00151CE9">
        <w:rPr>
          <w:b/>
          <w:bCs/>
        </w:rPr>
        <w:t>a) Turno del Medio de Impugnación.</w:t>
      </w:r>
      <w:r w:rsidRPr="00151CE9">
        <w:t xml:space="preserve"> El diez de enero de dos mil veintiséis, el SAIMEX, asignó el número de expediente</w:t>
      </w:r>
      <w:r w:rsidRPr="00151CE9">
        <w:rPr>
          <w:b/>
          <w:bCs/>
        </w:rPr>
        <w:t xml:space="preserve"> 00281/INFOEM/IP/RR/2026, </w:t>
      </w:r>
      <w:r w:rsidRPr="00151CE9">
        <w:t>al medio de impugnación que nos ocupan, con base en el sistema aprobado por el Pleno de este Órgano Garante y se turnó al Comisionado Ponente Luis Gustavo Parra Noriega, para los efectos del artículo 185, fracción I de la Ley de Transparencia y Acceso a la Información Pública del Estado de México y Municipios.</w:t>
      </w:r>
    </w:p>
    <w:p w14:paraId="6E795F87" w14:textId="77777777" w:rsidR="004C7F15" w:rsidRPr="00151CE9" w:rsidRDefault="004C7F15">
      <w:pPr>
        <w:spacing w:after="0" w:line="360" w:lineRule="auto"/>
      </w:pPr>
    </w:p>
    <w:p w14:paraId="4152A8D1" w14:textId="77777777" w:rsidR="004C7F15" w:rsidRPr="00151CE9" w:rsidRDefault="00135DA2">
      <w:pPr>
        <w:spacing w:after="0" w:line="360" w:lineRule="auto"/>
      </w:pPr>
      <w:r w:rsidRPr="00151CE9">
        <w:rPr>
          <w:b/>
          <w:bCs/>
        </w:rPr>
        <w:t>b) Admisión del Recurso de Revisión.</w:t>
      </w:r>
      <w:r w:rsidRPr="00151CE9">
        <w:t xml:space="preserve"> El quince de enero de dos mil veintiséis, se notificó vía SAIMEX el acuerdo de la admisión del Recurso de Revisión interpuesto por la persona Recurrente en contra del Sujeto Obligado, en términos del artículo 185, fracciones I y II de la Ley de Transparencia y Acceso a la Información Pública del Estado de México y Municipios, en el que se les otorgó un plazo de siete días hábiles posteriores a la misma, para que manifestara lo que a su derecho conviniera y formularán alegatos.</w:t>
      </w:r>
    </w:p>
    <w:p w14:paraId="1B232DA0" w14:textId="77777777" w:rsidR="004C7F15" w:rsidRPr="00151CE9" w:rsidRDefault="004C7F15">
      <w:pPr>
        <w:spacing w:after="0" w:line="360" w:lineRule="auto"/>
        <w:rPr>
          <w:color w:val="000000"/>
        </w:rPr>
      </w:pPr>
    </w:p>
    <w:p w14:paraId="2F9A027B" w14:textId="77777777" w:rsidR="004C7F15" w:rsidRPr="00151CE9" w:rsidRDefault="00135DA2">
      <w:pPr>
        <w:spacing w:after="0" w:line="360" w:lineRule="auto"/>
      </w:pPr>
      <w:r w:rsidRPr="00151CE9">
        <w:rPr>
          <w:b/>
          <w:bCs/>
        </w:rPr>
        <w:lastRenderedPageBreak/>
        <w:t xml:space="preserve">c) </w:t>
      </w:r>
      <w:r w:rsidRPr="00151CE9">
        <w:rPr>
          <w:b/>
          <w:bCs/>
          <w:color w:val="000000"/>
        </w:rPr>
        <w:t>Informe Justificado y</w:t>
      </w:r>
      <w:r w:rsidRPr="00151CE9">
        <w:rPr>
          <w:b/>
          <w:bCs/>
        </w:rPr>
        <w:t xml:space="preserve"> manifestaciones de la parte Recurrente. </w:t>
      </w:r>
      <w:r w:rsidRPr="00151CE9">
        <w:t>De las constancias que integran el expediente se advierte que el Sujeto Obligado no rindió informe justificado y la parte Recurrente no añadió manifestaciones.</w:t>
      </w:r>
    </w:p>
    <w:p w14:paraId="425DFABB" w14:textId="77777777" w:rsidR="004C7F15" w:rsidRPr="00151CE9" w:rsidRDefault="004C7F15">
      <w:pPr>
        <w:spacing w:after="0" w:line="360" w:lineRule="auto"/>
      </w:pPr>
    </w:p>
    <w:p w14:paraId="2A68ADCE" w14:textId="77777777" w:rsidR="004C7F15" w:rsidRPr="00151CE9" w:rsidRDefault="00135DA2">
      <w:pPr>
        <w:spacing w:after="0" w:line="360" w:lineRule="auto"/>
        <w:rPr>
          <w:b/>
          <w:bCs/>
        </w:rPr>
      </w:pPr>
      <w:r w:rsidRPr="00151CE9">
        <w:rPr>
          <w:b/>
          <w:bCs/>
        </w:rPr>
        <w:t xml:space="preserve">d) Ampliación de plazo para resolver. </w:t>
      </w:r>
      <w:r w:rsidRPr="00151CE9">
        <w:t>El veinticuatro de febrero de dos mil veintiséis, se notificó vía SAIMEX el acuerdo mediante el cual, el Comisionado Ponente, con fundamento en lo dispuesto por el artículo 181, párrafo tercero, de la Ley de Transparencia y Acceso a la Información Pública del Estado de México y Municipios, acordó ampliar por un periodo de quince días hábiles, el plazo para resolver el Recurso de Revisión que nos ocupa.</w:t>
      </w:r>
    </w:p>
    <w:p w14:paraId="0CE07176" w14:textId="77777777" w:rsidR="004C7F15" w:rsidRPr="00151CE9" w:rsidRDefault="004C7F15">
      <w:pPr>
        <w:spacing w:after="0" w:line="360" w:lineRule="auto"/>
        <w:rPr>
          <w:b/>
          <w:bCs/>
        </w:rPr>
      </w:pPr>
    </w:p>
    <w:p w14:paraId="196D6322" w14:textId="77777777" w:rsidR="004C7F15" w:rsidRPr="00151CE9" w:rsidRDefault="00135DA2">
      <w:pPr>
        <w:spacing w:after="0" w:line="360" w:lineRule="auto"/>
      </w:pPr>
      <w:r w:rsidRPr="00151CE9">
        <w:rPr>
          <w:b/>
          <w:bCs/>
        </w:rPr>
        <w:t>g) Cierre de instrucción.</w:t>
      </w:r>
      <w:r w:rsidRPr="00151CE9">
        <w:t xml:space="preserve"> El veinticuatro de febrero de dos mil veintiséis, fue notificado a las partes mediante SAIMEX, en el que se señaló que,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w:t>
      </w:r>
    </w:p>
    <w:p w14:paraId="1480C9B9" w14:textId="77777777" w:rsidR="004C7F15" w:rsidRPr="00151CE9" w:rsidRDefault="004C7F15">
      <w:pPr>
        <w:spacing w:after="0" w:line="360" w:lineRule="auto"/>
      </w:pPr>
    </w:p>
    <w:p w14:paraId="2BC784CB" w14:textId="77777777" w:rsidR="004C7F15" w:rsidRPr="00151CE9" w:rsidRDefault="00135DA2">
      <w:pPr>
        <w:spacing w:after="0" w:line="360" w:lineRule="auto"/>
      </w:pPr>
      <w:r w:rsidRPr="00151CE9">
        <w:t xml:space="preserve">En razón de que fue debidamente sustanciado e integrado el expediente electrónico y no existir diligencia pendiente de desahogo, se emite la resolución que conforme a Derecho proceda, de acuerdo a los siguientes: </w:t>
      </w:r>
    </w:p>
    <w:p w14:paraId="203E1745" w14:textId="77777777" w:rsidR="004C7F15" w:rsidRPr="00151CE9" w:rsidRDefault="004C7F15">
      <w:pPr>
        <w:spacing w:after="0" w:line="360" w:lineRule="auto"/>
      </w:pPr>
    </w:p>
    <w:p w14:paraId="090F7C66" w14:textId="77777777" w:rsidR="004C7F15" w:rsidRPr="00151CE9" w:rsidRDefault="00135DA2">
      <w:pPr>
        <w:pStyle w:val="Ttulo1"/>
        <w:spacing w:before="0" w:after="0"/>
        <w:rPr>
          <w:sz w:val="22"/>
          <w:szCs w:val="22"/>
        </w:rPr>
      </w:pPr>
      <w:bookmarkStart w:id="16" w:name="_heading=h.6ythrulppqlr" w:colFirst="0" w:colLast="0"/>
      <w:bookmarkStart w:id="17" w:name="_Toc223619798"/>
      <w:bookmarkEnd w:id="16"/>
      <w:r w:rsidRPr="00151CE9">
        <w:rPr>
          <w:sz w:val="22"/>
          <w:szCs w:val="22"/>
        </w:rPr>
        <w:t>C O N S I D E R A N D O S</w:t>
      </w:r>
      <w:bookmarkEnd w:id="17"/>
    </w:p>
    <w:p w14:paraId="32240FBA" w14:textId="77777777" w:rsidR="004C7F15" w:rsidRPr="00151CE9" w:rsidRDefault="004C7F15">
      <w:pPr>
        <w:spacing w:after="0" w:line="360" w:lineRule="auto"/>
        <w:rPr>
          <w:b/>
          <w:bCs/>
        </w:rPr>
      </w:pPr>
    </w:p>
    <w:p w14:paraId="2C7C0EAA" w14:textId="77777777" w:rsidR="004C7F15" w:rsidRPr="00151CE9" w:rsidRDefault="00135DA2">
      <w:pPr>
        <w:pStyle w:val="Ttulo2"/>
        <w:spacing w:before="0" w:after="0"/>
      </w:pPr>
      <w:bookmarkStart w:id="18" w:name="_heading=h.gl4f8bvjrqal" w:colFirst="0" w:colLast="0"/>
      <w:bookmarkStart w:id="19" w:name="_Toc223619799"/>
      <w:bookmarkEnd w:id="18"/>
      <w:r w:rsidRPr="00151CE9">
        <w:t>PRIMERO. Competencia</w:t>
      </w:r>
      <w:bookmarkEnd w:id="19"/>
    </w:p>
    <w:p w14:paraId="2E4B5D29" w14:textId="77777777" w:rsidR="004C7F15" w:rsidRPr="00151CE9" w:rsidRDefault="004C7F15">
      <w:pPr>
        <w:spacing w:after="0" w:line="360" w:lineRule="auto"/>
      </w:pPr>
    </w:p>
    <w:p w14:paraId="1C41B9B9" w14:textId="77777777" w:rsidR="004C7F15" w:rsidRPr="00151CE9" w:rsidRDefault="00135DA2">
      <w:pPr>
        <w:spacing w:after="0" w:line="360" w:lineRule="auto"/>
      </w:pPr>
      <w:r w:rsidRPr="00151CE9">
        <w:lastRenderedPageBreak/>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207EC128" w14:textId="77777777" w:rsidR="004C7F15" w:rsidRPr="00151CE9" w:rsidRDefault="004C7F15">
      <w:pPr>
        <w:spacing w:after="0" w:line="360" w:lineRule="auto"/>
      </w:pPr>
    </w:p>
    <w:p w14:paraId="39C4D1EE" w14:textId="77777777" w:rsidR="004C7F15" w:rsidRPr="00151CE9" w:rsidRDefault="00135DA2">
      <w:pPr>
        <w:pStyle w:val="Ttulo2"/>
        <w:spacing w:before="0" w:after="0"/>
      </w:pPr>
      <w:bookmarkStart w:id="20" w:name="_heading=h.dfduu6h1sj4g" w:colFirst="0" w:colLast="0"/>
      <w:bookmarkStart w:id="21" w:name="_Toc223619800"/>
      <w:bookmarkEnd w:id="20"/>
      <w:r w:rsidRPr="00151CE9">
        <w:t>SEGUNDO. Causales de improcedencia y sobreseimiento</w:t>
      </w:r>
      <w:bookmarkEnd w:id="21"/>
    </w:p>
    <w:p w14:paraId="4EB66C5B" w14:textId="77777777" w:rsidR="004C7F15" w:rsidRPr="00151CE9" w:rsidRDefault="004C7F15">
      <w:pPr>
        <w:spacing w:after="0" w:line="360" w:lineRule="auto"/>
      </w:pPr>
    </w:p>
    <w:p w14:paraId="4767B12E" w14:textId="77777777" w:rsidR="004C7F15" w:rsidRPr="00151CE9" w:rsidRDefault="00135DA2">
      <w:pPr>
        <w:spacing w:after="0" w:line="360" w:lineRule="auto"/>
      </w:pPr>
      <w:r w:rsidRPr="00151CE9">
        <w:t xml:space="preserve">De las constancias que forman parte del Recurso de Revisión que se analiza, se advierte que previo al estudio del fondo de la </w:t>
      </w:r>
      <w:r w:rsidRPr="00151CE9">
        <w:rPr>
          <w:i/>
          <w:iCs/>
        </w:rPr>
        <w:t>litis</w:t>
      </w:r>
      <w:r w:rsidRPr="00151CE9">
        <w:t>, es necesario estudiar las causales de improcedencia y sobreseimiento que se adviertan, para determinar lo que en Derecho proceda.</w:t>
      </w:r>
    </w:p>
    <w:p w14:paraId="70050E8B" w14:textId="77777777" w:rsidR="004C7F15" w:rsidRPr="00151CE9" w:rsidRDefault="004C7F15">
      <w:pPr>
        <w:spacing w:after="0" w:line="360" w:lineRule="auto"/>
      </w:pPr>
    </w:p>
    <w:p w14:paraId="0D0BECBA" w14:textId="77777777" w:rsidR="004C7F15" w:rsidRPr="00151CE9" w:rsidRDefault="00135DA2">
      <w:pPr>
        <w:spacing w:after="0" w:line="360" w:lineRule="auto"/>
        <w:rPr>
          <w:b/>
          <w:bCs/>
        </w:rPr>
      </w:pPr>
      <w:r w:rsidRPr="00151CE9">
        <w:rPr>
          <w:b/>
          <w:bCs/>
        </w:rPr>
        <w:t>Causales de improcedencia</w:t>
      </w:r>
    </w:p>
    <w:p w14:paraId="1D85435C" w14:textId="77777777" w:rsidR="004C7F15" w:rsidRPr="00151CE9" w:rsidRDefault="004C7F15">
      <w:pPr>
        <w:spacing w:after="0" w:line="360" w:lineRule="auto"/>
      </w:pPr>
    </w:p>
    <w:p w14:paraId="1C75E535" w14:textId="77777777" w:rsidR="004C7F15" w:rsidRPr="00151CE9" w:rsidRDefault="00135DA2">
      <w:pPr>
        <w:spacing w:after="0" w:line="360" w:lineRule="auto"/>
      </w:pPr>
      <w:r w:rsidRPr="00151CE9">
        <w:t>Este Instituto realiza el estudio oficioso de las causales de improcedencia, ya que estas deben estudiarse, aunque no las hagan valer las partes, por ser una cuestión de orden público y de estudio preferente al fondo del asunto. Lo anterior se robustece en la Tesis de Jurisprudencia: 1a./J. 163/2005</w:t>
      </w:r>
      <w:r w:rsidRPr="00151CE9">
        <w:rPr>
          <w:b/>
          <w:bCs/>
        </w:rPr>
        <w:t xml:space="preserve"> </w:t>
      </w:r>
      <w:r w:rsidRPr="00151CE9">
        <w:t xml:space="preserve">(Semanario Judicial de la Federación y su Gaceta, Novena Época, 2006, página 319), toda vez que, si de las constancias que obran en el expediente electrónico, se actualiza una causal de improcedencia establecidas en el artículo 191 de la Ley de Transparencia y Acceso a </w:t>
      </w:r>
      <w:r w:rsidRPr="00151CE9">
        <w:lastRenderedPageBreak/>
        <w:t xml:space="preserve">la Información Pública del Estado de México y Municipios, dará lugar a que el presente Recurso de Revisión sea sobreseído. </w:t>
      </w:r>
    </w:p>
    <w:p w14:paraId="71E6F259" w14:textId="77777777" w:rsidR="004C7F15" w:rsidRPr="00151CE9" w:rsidRDefault="004C7F15">
      <w:pPr>
        <w:spacing w:after="0" w:line="360" w:lineRule="auto"/>
      </w:pPr>
    </w:p>
    <w:p w14:paraId="43EC4734" w14:textId="77777777" w:rsidR="004C7F15" w:rsidRPr="00151CE9" w:rsidRDefault="00135DA2">
      <w:pPr>
        <w:spacing w:after="0" w:line="360" w:lineRule="auto"/>
      </w:pPr>
      <w:r w:rsidRPr="00151CE9">
        <w:t xml:space="preserve">En el presente caso, </w:t>
      </w:r>
      <w:r w:rsidRPr="00151CE9">
        <w:rPr>
          <w:b/>
          <w:bCs/>
        </w:rPr>
        <w:t>no se actualiza ninguna de las causales de improcedencia</w:t>
      </w:r>
      <w:r w:rsidRPr="00151CE9">
        <w:t xml:space="preserve"> establecidas en el ordenamiento jurídico previamente señalado, toda vez que este Instituto no tiene conocimiento de que se encuentre en trámite algún medio de defensa presentado por la persona Recurrente ante otra instancia; no existió prevención alguna; la veracidad de la respuesta no formó parte del agravio; no se realizó una consulta o ampliación a los alcances del requerimiento informativo, aunado a que el medio de impugnación fue presentado en tiempo.</w:t>
      </w:r>
    </w:p>
    <w:p w14:paraId="5A746DEE" w14:textId="77777777" w:rsidR="004C7F15" w:rsidRPr="00151CE9" w:rsidRDefault="004C7F15">
      <w:pPr>
        <w:spacing w:after="0" w:line="360" w:lineRule="auto"/>
        <w:rPr>
          <w:b/>
          <w:bCs/>
        </w:rPr>
      </w:pPr>
    </w:p>
    <w:p w14:paraId="3FAA2DB6" w14:textId="77777777" w:rsidR="004C7F15" w:rsidRPr="00151CE9" w:rsidRDefault="00135DA2">
      <w:pPr>
        <w:spacing w:after="0" w:line="360" w:lineRule="auto"/>
        <w:ind w:right="-28"/>
        <w:rPr>
          <w:b/>
          <w:bCs/>
        </w:rPr>
      </w:pPr>
      <w:r w:rsidRPr="00151CE9">
        <w:rPr>
          <w:b/>
          <w:bCs/>
        </w:rPr>
        <w:t>Causales de sobreseimiento</w:t>
      </w:r>
    </w:p>
    <w:p w14:paraId="7EA86852" w14:textId="77777777" w:rsidR="004C7F15" w:rsidRPr="00151CE9" w:rsidRDefault="004C7F15">
      <w:pPr>
        <w:spacing w:after="0" w:line="360" w:lineRule="auto"/>
        <w:ind w:right="-28"/>
      </w:pPr>
    </w:p>
    <w:p w14:paraId="1DB6FD63" w14:textId="77777777" w:rsidR="004C7F15" w:rsidRPr="00151CE9" w:rsidRDefault="00135DA2">
      <w:pPr>
        <w:spacing w:after="0" w:line="360" w:lineRule="auto"/>
      </w:pPr>
      <w:r w:rsidRPr="00151CE9">
        <w:t>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configuran las causales establecidas en las fracciones I, II, III, IV y V,</w:t>
      </w:r>
      <w:r w:rsidRPr="00151CE9">
        <w:rPr>
          <w:b/>
          <w:bCs/>
        </w:rPr>
        <w:t xml:space="preserve"> </w:t>
      </w:r>
      <w:r w:rsidRPr="00151CE9">
        <w:t>toda vez que no hay constancias en el expediente en que se actúa, de que la persona Recurrente se haya desistido, fallecido, que el Sujeto Obligado hubiese modificado o revocado el acto impugnado o bien, que admitido una vez admitido el Recurso de Revisión, aparezca alguna causal de improcedencia o haya quedado sin materia.</w:t>
      </w:r>
    </w:p>
    <w:p w14:paraId="10239283" w14:textId="77777777" w:rsidR="004C7F15" w:rsidRPr="00151CE9" w:rsidRDefault="004C7F15">
      <w:pPr>
        <w:spacing w:after="0" w:line="360" w:lineRule="auto"/>
      </w:pPr>
    </w:p>
    <w:p w14:paraId="3FB8735F" w14:textId="77777777" w:rsidR="004C7F15" w:rsidRPr="00151CE9" w:rsidRDefault="00135DA2">
      <w:pPr>
        <w:pStyle w:val="Ttulo2"/>
        <w:spacing w:before="0" w:after="0"/>
        <w:rPr>
          <w:b w:val="0"/>
          <w:bCs w:val="0"/>
        </w:rPr>
      </w:pPr>
      <w:bookmarkStart w:id="22" w:name="_heading=h.29gemtokzxs5" w:colFirst="0" w:colLast="0"/>
      <w:bookmarkStart w:id="23" w:name="_Toc223619801"/>
      <w:bookmarkEnd w:id="22"/>
      <w:r w:rsidRPr="00151CE9">
        <w:t>TERCERO. Determinación de la Controversia</w:t>
      </w:r>
      <w:bookmarkEnd w:id="23"/>
    </w:p>
    <w:p w14:paraId="222EDDCD" w14:textId="77777777" w:rsidR="004C7F15" w:rsidRPr="00151CE9" w:rsidRDefault="004C7F15">
      <w:pPr>
        <w:spacing w:after="0" w:line="360" w:lineRule="auto"/>
      </w:pPr>
    </w:p>
    <w:p w14:paraId="7AFFD697" w14:textId="77777777" w:rsidR="004C7F15" w:rsidRPr="00151CE9" w:rsidRDefault="00135DA2">
      <w:pPr>
        <w:spacing w:after="0" w:line="360" w:lineRule="auto"/>
      </w:pPr>
      <w:r w:rsidRPr="00151CE9">
        <w:t xml:space="preserve">Así, se realizará la relatoría de las actuaciones efectuadas por las partes durante el procedimiento de acceso a la información pública con el propósito de dar claridad en el tratamiento del tema en estudio; por lo que en primer término tenemos que la parte Recurrente </w:t>
      </w:r>
      <w:r w:rsidRPr="00151CE9">
        <w:lastRenderedPageBreak/>
        <w:t>solicitó información relacionada con las personas dadas de baja y sus motivos; sin embargo, lo realizó bajo una redacción de cuestionamiento.</w:t>
      </w:r>
    </w:p>
    <w:p w14:paraId="43D845E2" w14:textId="77777777" w:rsidR="004C7F15" w:rsidRPr="00151CE9" w:rsidRDefault="004C7F15">
      <w:pPr>
        <w:spacing w:after="0" w:line="360" w:lineRule="auto"/>
      </w:pPr>
    </w:p>
    <w:p w14:paraId="5AFDBFA6" w14:textId="77777777" w:rsidR="004C7F15" w:rsidRPr="00151CE9" w:rsidRDefault="00135DA2">
      <w:pPr>
        <w:spacing w:after="0" w:line="360" w:lineRule="auto"/>
      </w:pPr>
      <w:r w:rsidRPr="00151CE9">
        <w:t>Al respecto, se debe tener en consideración que conforme al criterio de interpretación emitido por el entonces Instituto Nacional de Transparencia, Acceso a la Información y Protección de Datos Personales (INAI), bajo la clave de control SO/028/2010; que se titula, “</w:t>
      </w:r>
      <w:r w:rsidRPr="00151CE9">
        <w:rPr>
          <w:b/>
          <w:bCs/>
          <w:i/>
          <w:iCs/>
        </w:rPr>
        <w:t xml:space="preserve">Cuando en una solicitud de información no se identifique un documento en específico, si ésta tiene una expresión documental, el sujeto obligado deberá entregar al particular el documento en específico”, </w:t>
      </w:r>
      <w:r w:rsidRPr="00151CE9">
        <w:t>en el que se señala que aun cuando una solicitud de información se construya como una consulta y no como una solicitud de acceso de conformidad con la Ley de la materia, pero la respuesta puede obrar en algún documento, se debe dar una interpretación que le proporcione una expresión documental, así para el caso que nos ocupa, si bien la persona Recurrente estructuró su solicitud a manera de cuestionamientos, estos no limitan el ejercicio del derecho, puesto que se puede entregar una expresión documental que satisfaga su solicitud de información.</w:t>
      </w:r>
    </w:p>
    <w:p w14:paraId="53AE2742" w14:textId="77777777" w:rsidR="004C7F15" w:rsidRPr="00151CE9" w:rsidRDefault="004C7F15">
      <w:pPr>
        <w:spacing w:after="0" w:line="360" w:lineRule="auto"/>
      </w:pPr>
    </w:p>
    <w:p w14:paraId="1838F05B" w14:textId="547A3866" w:rsidR="00E05C5D" w:rsidRPr="00151CE9" w:rsidRDefault="00135DA2" w:rsidP="00E05C5D">
      <w:pPr>
        <w:spacing w:after="0" w:line="360" w:lineRule="auto"/>
      </w:pPr>
      <w:r w:rsidRPr="00151CE9">
        <w:t>En este sentido, la solicitud de información puede traducirse en su expresión documental</w:t>
      </w:r>
      <w:r w:rsidR="00E05C5D" w:rsidRPr="00151CE9">
        <w:t>; por lo que, en el presente caso, la pretensión del Recurrente es obtener, respecto al personal dado de baja, los documentos donde conste el nombre y motivo.</w:t>
      </w:r>
    </w:p>
    <w:p w14:paraId="7BC81703" w14:textId="77777777" w:rsidR="00E05C5D" w:rsidRPr="00151CE9" w:rsidRDefault="00E05C5D" w:rsidP="00E05C5D">
      <w:pPr>
        <w:spacing w:after="0" w:line="360" w:lineRule="auto"/>
      </w:pPr>
    </w:p>
    <w:p w14:paraId="150764C8" w14:textId="77777777" w:rsidR="004C7F15" w:rsidRPr="00151CE9" w:rsidRDefault="00135DA2">
      <w:pPr>
        <w:spacing w:after="0" w:line="360" w:lineRule="auto"/>
      </w:pPr>
      <w:r w:rsidRPr="00151CE9">
        <w:t>Cabe señalar que la parte Recurrente señaló una temporalidad del año 2025; sin embargo, la información debe entregarse conforme a lo que obre en los archivos de los Sujetos Obligados y, por tanto, no puede contemplar documentación futura o posterior a la fecha de la solicitud; en consecuencia, la temporalidad debe contemplar del</w:t>
      </w:r>
      <w:r w:rsidRPr="00151CE9">
        <w:rPr>
          <w:b/>
          <w:bCs/>
        </w:rPr>
        <w:t xml:space="preserve"> 1° de enero a la fecha de la solicitud, es decir, al 31 de octubre de 2025.</w:t>
      </w:r>
    </w:p>
    <w:p w14:paraId="57B20573" w14:textId="77777777" w:rsidR="004C7F15" w:rsidRPr="00151CE9" w:rsidRDefault="004C7F15">
      <w:pPr>
        <w:spacing w:after="0" w:line="360" w:lineRule="auto"/>
        <w:rPr>
          <w:b/>
          <w:bCs/>
        </w:rPr>
      </w:pPr>
    </w:p>
    <w:p w14:paraId="638800D7" w14:textId="77777777" w:rsidR="004C7F15" w:rsidRPr="00151CE9" w:rsidRDefault="00135DA2">
      <w:pPr>
        <w:spacing w:after="0" w:line="360" w:lineRule="auto"/>
      </w:pPr>
      <w:r w:rsidRPr="00151CE9">
        <w:lastRenderedPageBreak/>
        <w:t>En respuesta, el Sujeto Obligado a través de la Directora del Sujeto Obligado, en el que señaló el nombre y motivo de las personas servidoras públicas dadas de baja al tercer trimestre del año 2025; en el que indicó y dejó visibles los motivos personales por lo que causaron la baja algunas personas.</w:t>
      </w:r>
    </w:p>
    <w:p w14:paraId="73951FCE" w14:textId="77777777" w:rsidR="004C7F15" w:rsidRPr="00151CE9" w:rsidRDefault="004C7F15">
      <w:pPr>
        <w:spacing w:after="0" w:line="360" w:lineRule="auto"/>
      </w:pPr>
    </w:p>
    <w:p w14:paraId="12BA7AB6" w14:textId="28F26E64" w:rsidR="004C7F15" w:rsidRPr="00151CE9" w:rsidRDefault="00135DA2">
      <w:pPr>
        <w:spacing w:after="0" w:line="360" w:lineRule="auto"/>
        <w:rPr>
          <w:color w:val="000000"/>
        </w:rPr>
      </w:pPr>
      <w:r w:rsidRPr="00151CE9">
        <w:rPr>
          <w:color w:val="000000"/>
        </w:rPr>
        <w:t>Derivado de la respuesta a la parte Recurrente se inconformó por la negativa a la información solicitada y reiteró la solicitud inicial</w:t>
      </w:r>
      <w:r w:rsidRPr="00151CE9">
        <w:t>.  Al respecto, es preciso señalar que, en una suplencia de la deficiencia de la queja, se advierte un argumento de procedencia, dado que no se le entregó la información completa. Lo anterior de conformidad con lo dispuesto en el artículo 181 cuarto párrafo, de la Ley de Transparencia y Acceso a la Información Pública del Estado de México y Municipios.</w:t>
      </w:r>
      <w:r w:rsidR="00E05C5D" w:rsidRPr="00151CE9">
        <w:t xml:space="preserve"> </w:t>
      </w:r>
      <w:r w:rsidRPr="00151CE9">
        <w:rPr>
          <w:color w:val="000000"/>
        </w:rPr>
        <w:t xml:space="preserve">Durante la sustanciación del Recurso de Revisión, ambas partes fueron omisas en añadir elementos de análisis.  </w:t>
      </w:r>
    </w:p>
    <w:p w14:paraId="17026093" w14:textId="77777777" w:rsidR="004C7F15" w:rsidRPr="00151CE9" w:rsidRDefault="004C7F15">
      <w:pPr>
        <w:spacing w:after="0" w:line="360" w:lineRule="auto"/>
      </w:pPr>
    </w:p>
    <w:p w14:paraId="513FB3AE" w14:textId="77777777" w:rsidR="004C7F15" w:rsidRPr="00151CE9" w:rsidRDefault="00135DA2">
      <w:pPr>
        <w:tabs>
          <w:tab w:val="left" w:pos="4962"/>
        </w:tabs>
        <w:spacing w:after="0" w:line="360" w:lineRule="auto"/>
      </w:pPr>
      <w:r w:rsidRPr="00151CE9">
        <w:t>Así pues, de las constancias que integran el expediente, se advierte que en el asunto que nos ocupa se actualiza la causal de procedencia señalada en el artículo 179, fracción V, de la Ley de la materia; por la entrega de información incompleta.</w:t>
      </w:r>
    </w:p>
    <w:p w14:paraId="13DCF09B" w14:textId="77777777" w:rsidR="004C7F15" w:rsidRPr="00151CE9" w:rsidRDefault="004C7F15">
      <w:pPr>
        <w:tabs>
          <w:tab w:val="left" w:pos="4962"/>
        </w:tabs>
        <w:spacing w:after="0" w:line="360" w:lineRule="auto"/>
      </w:pPr>
    </w:p>
    <w:p w14:paraId="1E072E59" w14:textId="77777777" w:rsidR="004C7F15" w:rsidRPr="00151CE9" w:rsidRDefault="00135DA2">
      <w:pPr>
        <w:tabs>
          <w:tab w:val="left" w:pos="4962"/>
        </w:tabs>
        <w:spacing w:after="0" w:line="360" w:lineRule="auto"/>
      </w:pPr>
      <w:r w:rsidRPr="00151CE9">
        <w:t>Establecido lo anterior, lo consecuente es analizar el agravio manifestado por el ahora Recurrente, de conformidad con lo dispuesto por la Ley de Transparencia y Acceso a la Información Pública del Estado de México y Municipios y demás disposiciones legales aplicables a la materia que se resuelve.</w:t>
      </w:r>
    </w:p>
    <w:p w14:paraId="1489BD1D" w14:textId="77777777" w:rsidR="004C7F15" w:rsidRPr="00151CE9" w:rsidRDefault="004C7F15">
      <w:pPr>
        <w:spacing w:after="0" w:line="360" w:lineRule="auto"/>
      </w:pPr>
    </w:p>
    <w:p w14:paraId="0328BE88" w14:textId="77777777" w:rsidR="004C7F15" w:rsidRPr="00151CE9" w:rsidRDefault="00135DA2">
      <w:pPr>
        <w:pStyle w:val="Ttulo2"/>
        <w:spacing w:before="0" w:after="0"/>
      </w:pPr>
      <w:bookmarkStart w:id="24" w:name="_heading=h.m5qm3vqnpnjn" w:colFirst="0" w:colLast="0"/>
      <w:bookmarkStart w:id="25" w:name="_Toc223619802"/>
      <w:bookmarkEnd w:id="24"/>
      <w:r w:rsidRPr="00151CE9">
        <w:t>CUARTO. Marco normativo aplicable en materia de transparencia y acceso a la información pública</w:t>
      </w:r>
      <w:bookmarkEnd w:id="25"/>
    </w:p>
    <w:p w14:paraId="4D221556" w14:textId="77777777" w:rsidR="004C7F15" w:rsidRPr="00151CE9" w:rsidRDefault="004C7F15">
      <w:pPr>
        <w:spacing w:after="0" w:line="360" w:lineRule="auto"/>
      </w:pPr>
    </w:p>
    <w:p w14:paraId="2F996B59" w14:textId="77777777" w:rsidR="004C7F15" w:rsidRPr="00151CE9" w:rsidRDefault="00135DA2">
      <w:pPr>
        <w:spacing w:after="0" w:line="360" w:lineRule="auto"/>
      </w:pPr>
      <w:r w:rsidRPr="00151CE9">
        <w:lastRenderedPageBreak/>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2BB7FD6A" w14:textId="77777777" w:rsidR="004C7F15" w:rsidRPr="00151CE9" w:rsidRDefault="004C7F15">
      <w:pPr>
        <w:spacing w:after="0" w:line="360" w:lineRule="auto"/>
      </w:pPr>
    </w:p>
    <w:p w14:paraId="4C819B4E" w14:textId="77777777" w:rsidR="004C7F15" w:rsidRPr="00151CE9" w:rsidRDefault="00135DA2">
      <w:pPr>
        <w:spacing w:after="0" w:line="360" w:lineRule="auto"/>
      </w:pPr>
      <w:r w:rsidRPr="00151CE9">
        <w:t>En materia local, el artículo 5°, fracción I de la Constitución Política del Estado Libre y Soberano de México, es coincidente con la Constitución Política de los Estados Unidos Mexicanos,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232FEA56" w14:textId="77777777" w:rsidR="004C7F15" w:rsidRPr="00151CE9" w:rsidRDefault="004C7F15">
      <w:pPr>
        <w:spacing w:after="0" w:line="360" w:lineRule="auto"/>
      </w:pPr>
    </w:p>
    <w:p w14:paraId="003DA768" w14:textId="77777777" w:rsidR="004C7F15" w:rsidRPr="00151CE9" w:rsidRDefault="00135DA2">
      <w:pPr>
        <w:spacing w:after="0" w:line="360" w:lineRule="auto"/>
      </w:pPr>
      <w:r w:rsidRPr="00151CE9">
        <w:t>Por su parte, la Ley de Transparencia y Acceso a la Información Pública del Estado de México y Municipios (Reglamentaria del artículo 5° de la Constitución Local), establece lo siguiente:</w:t>
      </w:r>
    </w:p>
    <w:p w14:paraId="584C032B" w14:textId="77777777" w:rsidR="004C7F15" w:rsidRPr="00151CE9" w:rsidRDefault="004C7F15">
      <w:pPr>
        <w:spacing w:after="0" w:line="360" w:lineRule="auto"/>
      </w:pPr>
    </w:p>
    <w:p w14:paraId="77225FE9" w14:textId="77777777" w:rsidR="004C7F15" w:rsidRPr="00151CE9" w:rsidRDefault="00135DA2">
      <w:pPr>
        <w:spacing w:after="0" w:line="360" w:lineRule="auto"/>
      </w:pPr>
      <w:r w:rsidRPr="00151CE9">
        <w:t>El artículo 12 dice que, quienes generen, recopilen, administren, manejen, procesen, archiven o conserven información pública serán responsables de la misma.</w:t>
      </w:r>
    </w:p>
    <w:p w14:paraId="7CC66D52" w14:textId="77777777" w:rsidR="004C7F15" w:rsidRPr="00151CE9" w:rsidRDefault="004C7F15">
      <w:pPr>
        <w:spacing w:after="0" w:line="360" w:lineRule="auto"/>
      </w:pPr>
    </w:p>
    <w:p w14:paraId="635CD068" w14:textId="77777777" w:rsidR="004C7F15" w:rsidRPr="00151CE9" w:rsidRDefault="00135DA2">
      <w:pPr>
        <w:spacing w:after="0" w:line="360" w:lineRule="auto"/>
      </w:pPr>
      <w:r w:rsidRPr="00151CE9">
        <w:t>El artículo 18, que, los Sujetos Obligados deberán documentar todo acto que derive del ejercicio de sus facultades, competencias o funciones, considerando desde su origen la eventual publicidad y reutilización de la información que generen.</w:t>
      </w:r>
    </w:p>
    <w:p w14:paraId="7AB41C17" w14:textId="77777777" w:rsidR="004C7F15" w:rsidRPr="00151CE9" w:rsidRDefault="004C7F15">
      <w:pPr>
        <w:spacing w:after="0" w:line="360" w:lineRule="auto"/>
      </w:pPr>
    </w:p>
    <w:p w14:paraId="6AA6974A" w14:textId="77777777" w:rsidR="004C7F15" w:rsidRPr="00151CE9" w:rsidRDefault="00135DA2">
      <w:pPr>
        <w:spacing w:after="0" w:line="360" w:lineRule="auto"/>
      </w:pPr>
      <w:r w:rsidRPr="00151CE9">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1406D252" w14:textId="77777777" w:rsidR="004C7F15" w:rsidRPr="00151CE9" w:rsidRDefault="004C7F15">
      <w:pPr>
        <w:pStyle w:val="Ttulo2"/>
        <w:spacing w:before="0" w:after="0"/>
        <w:rPr>
          <w:smallCaps/>
        </w:rPr>
      </w:pPr>
    </w:p>
    <w:p w14:paraId="64BF3E7F" w14:textId="77777777" w:rsidR="004C7F15" w:rsidRPr="00151CE9" w:rsidRDefault="00135DA2">
      <w:pPr>
        <w:pStyle w:val="Ttulo2"/>
        <w:spacing w:before="0" w:after="0"/>
      </w:pPr>
      <w:bookmarkStart w:id="26" w:name="_heading=h.vmwi3g1isjx9" w:colFirst="0" w:colLast="0"/>
      <w:bookmarkStart w:id="27" w:name="_Toc223619803"/>
      <w:bookmarkEnd w:id="26"/>
      <w:r w:rsidRPr="00151CE9">
        <w:rPr>
          <w:smallCaps/>
        </w:rPr>
        <w:t>QUINTO.</w:t>
      </w:r>
      <w:r w:rsidRPr="00151CE9">
        <w:t xml:space="preserve"> Estudio de Fondo</w:t>
      </w:r>
      <w:bookmarkEnd w:id="27"/>
    </w:p>
    <w:p w14:paraId="17CD7C82" w14:textId="77777777" w:rsidR="004C7F15" w:rsidRPr="00151CE9" w:rsidRDefault="004C7F15">
      <w:pPr>
        <w:spacing w:after="0" w:line="360" w:lineRule="auto"/>
      </w:pPr>
    </w:p>
    <w:p w14:paraId="412E500F" w14:textId="77777777" w:rsidR="004C7F15" w:rsidRPr="00151CE9" w:rsidRDefault="00135DA2">
      <w:pPr>
        <w:spacing w:after="0" w:line="360" w:lineRule="auto"/>
      </w:pPr>
      <w:r w:rsidRPr="00151CE9">
        <w:t xml:space="preserve">Una vez expuesto lo anterior, es menester contextualizar la solicitud de información, la cual versa sobre el nombre y causa de baja del personal. </w:t>
      </w:r>
    </w:p>
    <w:p w14:paraId="28C21835" w14:textId="77777777" w:rsidR="004C7F15" w:rsidRPr="00151CE9" w:rsidRDefault="004C7F15">
      <w:pPr>
        <w:spacing w:after="0" w:line="360" w:lineRule="auto"/>
      </w:pPr>
    </w:p>
    <w:p w14:paraId="39276B0B" w14:textId="77777777" w:rsidR="004C7F15" w:rsidRPr="00151CE9" w:rsidRDefault="00135DA2">
      <w:pPr>
        <w:spacing w:after="0" w:line="360" w:lineRule="auto"/>
      </w:pPr>
      <w:r w:rsidRPr="00151CE9">
        <w:t xml:space="preserve">Por cuanto hace a la información relacionada con la baja del personal, se debe tener en cuenta que la Ley del Trabajo de los Servidores Públicos del Estado y Municipios, prevé en sus artículos 5, 45, 48, 49 y 53; que la relación de trabajo entre las instituciones públicas y sus servidores públicos se entiende establecida mediante nombramiento, formato único de movimiento de personal, contrato o cualquier otro, en el que se establece la prestación personal subordinada y la percepción de un sueldo, además, los servidores públicos prestarán los servicios conforme a dicho contrato o formato único de movimientos de personal, y es un requisito para iniciar la prestación de servicios; además dichos documentos deben contener el nombre del servidor público, el cargo, la fecha de inicios, el lugar de adscripción, el carácter del nombramiento, la temporalidad, la remuneración, la jornada de trabajo y la firma de autorización. Aunado a ello, para el caso de la baja del personal, se debe emitir dicho formato. </w:t>
      </w:r>
    </w:p>
    <w:p w14:paraId="38424AE8" w14:textId="77777777" w:rsidR="004C7F15" w:rsidRPr="00151CE9" w:rsidRDefault="004C7F15">
      <w:pPr>
        <w:spacing w:after="0" w:line="360" w:lineRule="auto"/>
      </w:pPr>
    </w:p>
    <w:p w14:paraId="62406BD0" w14:textId="77777777" w:rsidR="004C7F15" w:rsidRPr="00151CE9" w:rsidRDefault="00135DA2">
      <w:pPr>
        <w:spacing w:after="0" w:line="360" w:lineRule="auto"/>
      </w:pPr>
      <w:r w:rsidRPr="00151CE9">
        <w:t>Por su parte, el artículo 220 K, fracción I, de la misma Ley del Trabajo de los Servidores Públicos del Estado y Municipios, señala que es obligación de la institución pública de conservar los contratos, nombramientos o formatos únicos de movimiento de personal, de las personas servidoras públicas; por tanto, se advierte que el Sujeto Obligado puede conocer de la información solicitada.</w:t>
      </w:r>
    </w:p>
    <w:p w14:paraId="5C74F9FB" w14:textId="77777777" w:rsidR="004C7F15" w:rsidRPr="00151CE9" w:rsidRDefault="004C7F15">
      <w:pPr>
        <w:spacing w:after="0" w:line="360" w:lineRule="auto"/>
      </w:pPr>
    </w:p>
    <w:p w14:paraId="0EA6EFD9" w14:textId="77777777" w:rsidR="004C7F15" w:rsidRPr="00151CE9" w:rsidRDefault="00135DA2">
      <w:pPr>
        <w:spacing w:after="0" w:line="360" w:lineRule="auto"/>
      </w:pPr>
      <w:r w:rsidRPr="00151CE9">
        <w:t xml:space="preserve">Ahora bien, la Ley del Trabajo de los Servidores Públicos del Estado y Municipios también prevé en su artículo 89, fracción I, que dentro de las causas de terminación de la relación laboral sin </w:t>
      </w:r>
      <w:r w:rsidRPr="00151CE9">
        <w:lastRenderedPageBreak/>
        <w:t xml:space="preserve">responsabilidad para las instituciones públicas se encuentra la renuncia de los servidores públicos, por tanto, para el caso de que las personas identificadas en la solicitud renunciaron, se debe contar con dicha información. </w:t>
      </w:r>
    </w:p>
    <w:p w14:paraId="354C0D42" w14:textId="77777777" w:rsidR="004C7F15" w:rsidRPr="00151CE9" w:rsidRDefault="004C7F15">
      <w:pPr>
        <w:spacing w:after="0" w:line="360" w:lineRule="auto"/>
      </w:pPr>
    </w:p>
    <w:p w14:paraId="41A56402" w14:textId="77777777" w:rsidR="004C7F15" w:rsidRPr="00151CE9" w:rsidRDefault="00135DA2">
      <w:pPr>
        <w:spacing w:after="0" w:line="360" w:lineRule="auto"/>
      </w:pPr>
      <w:r w:rsidRPr="00151CE9">
        <w:t>Además, de conformidad con lo dispuesto en la Ley que crea los Organismos Públicos Descentralizados de Asistencia Social, de Carácter Municipal, denominados “Sistemas Municipales para el Desarrollo Integral de la Familia”, en el que se integra la creación del Sujeto Obligado, dispone en su artículo 13 Bis- E, que la Presidencia deberá conducir las relaciones laborales del Organismo.</w:t>
      </w:r>
    </w:p>
    <w:p w14:paraId="00FA8210" w14:textId="77777777" w:rsidR="004C7F15" w:rsidRPr="00151CE9" w:rsidRDefault="004C7F15">
      <w:pPr>
        <w:spacing w:after="0" w:line="360" w:lineRule="auto"/>
      </w:pPr>
    </w:p>
    <w:p w14:paraId="255C516B" w14:textId="77777777" w:rsidR="004C7F15" w:rsidRPr="00151CE9" w:rsidRDefault="00135DA2">
      <w:pPr>
        <w:spacing w:after="0" w:line="360" w:lineRule="auto"/>
      </w:pPr>
      <w:r w:rsidRPr="00151CE9">
        <w:t xml:space="preserve">Del mismo modo, el artículo 14 de dicha Ley prevé que dentro de las atribuciones con las que cuenta la Dirección es la de dirigir el funcionamiento del Sistema en todos sus aspectos, ejecutando los planes y programas aprobados; por lo que se advierte que puede conocer de la información solicitada. </w:t>
      </w:r>
    </w:p>
    <w:p w14:paraId="61AC32CA" w14:textId="77777777" w:rsidR="004C7F15" w:rsidRPr="00151CE9" w:rsidRDefault="004C7F15">
      <w:pPr>
        <w:spacing w:after="0" w:line="360" w:lineRule="auto"/>
      </w:pPr>
    </w:p>
    <w:p w14:paraId="7F501315" w14:textId="1C79BE4E" w:rsidR="004C7F15" w:rsidRPr="00151CE9" w:rsidRDefault="00135DA2">
      <w:pPr>
        <w:spacing w:after="0" w:line="360" w:lineRule="auto"/>
      </w:pPr>
      <w:r w:rsidRPr="00151CE9">
        <w:t>Conforme a lo anterior, se logra advertir</w:t>
      </w:r>
      <w:r w:rsidR="00E05C5D" w:rsidRPr="00151CE9">
        <w:t xml:space="preserve"> que </w:t>
      </w:r>
      <w:r w:rsidRPr="00151CE9">
        <w:t xml:space="preserve">la pretensión de la parte Recurrente </w:t>
      </w:r>
      <w:r w:rsidR="00E05C5D" w:rsidRPr="00151CE9">
        <w:t>es obtener respecto al personal dado de baja del primero de enero al treinta y uno de octubre de dos mil veinticinco, los documentos donde conste el nombre y motivo.</w:t>
      </w:r>
    </w:p>
    <w:p w14:paraId="5010660B" w14:textId="77777777" w:rsidR="00E05C5D" w:rsidRPr="00151CE9" w:rsidRDefault="00E05C5D">
      <w:pPr>
        <w:spacing w:after="0" w:line="360" w:lineRule="auto"/>
      </w:pPr>
    </w:p>
    <w:p w14:paraId="45BC6185" w14:textId="77777777" w:rsidR="004C7F15" w:rsidRPr="00151CE9" w:rsidRDefault="00135DA2">
      <w:pPr>
        <w:spacing w:after="0" w:line="360" w:lineRule="auto"/>
        <w:rPr>
          <w:color w:val="000000"/>
        </w:rPr>
      </w:pPr>
      <w:r w:rsidRPr="00151CE9">
        <w:rPr>
          <w:color w:val="000000"/>
        </w:rPr>
        <w:t xml:space="preserve">Ante dicha circunstancia, es necesario precisar que de las constancias que obran en el expediente electrónico en SAIMEX, se logra advertir que el Sujeto Obligado dio respuesta a través </w:t>
      </w:r>
      <w:r w:rsidRPr="00151CE9">
        <w:t xml:space="preserve">de la Directora del Sujeto Obligado, </w:t>
      </w:r>
      <w:r w:rsidRPr="00151CE9">
        <w:rPr>
          <w:color w:val="000000"/>
        </w:rPr>
        <w:t xml:space="preserve">por lo que, resulta necesario hacer referencia al </w:t>
      </w:r>
      <w:r w:rsidRPr="00151CE9">
        <w:rPr>
          <w:b/>
          <w:bCs/>
          <w:color w:val="000000"/>
        </w:rPr>
        <w:t>procedimiento de búsqueda que deben seguir los Sujetos Obligados para localizar la información,</w:t>
      </w:r>
      <w:r w:rsidRPr="00151CE9">
        <w:rPr>
          <w:color w:val="000000"/>
        </w:rPr>
        <w:t xml:space="preserve">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w:t>
      </w:r>
      <w:r w:rsidRPr="00151CE9">
        <w:rPr>
          <w:color w:val="000000"/>
        </w:rPr>
        <w:lastRenderedPageBreak/>
        <w:t>competentes que cuenten con la información o deban tenerla  de acuerdo con las facultades, competencias y funciones, con el objeto de que dichas áreas realicen una búsqueda exhaustiva y razonable de la información requerida.</w:t>
      </w:r>
    </w:p>
    <w:p w14:paraId="66F611BE" w14:textId="77777777" w:rsidR="004C7F15" w:rsidRPr="00151CE9" w:rsidRDefault="004C7F15">
      <w:pPr>
        <w:spacing w:after="0" w:line="360" w:lineRule="auto"/>
        <w:rPr>
          <w:color w:val="FF0000"/>
        </w:rPr>
      </w:pPr>
    </w:p>
    <w:p w14:paraId="09138B7B" w14:textId="77777777" w:rsidR="004C7F15" w:rsidRPr="00151CE9" w:rsidRDefault="00135DA2">
      <w:pPr>
        <w:spacing w:after="0" w:line="360" w:lineRule="auto"/>
        <w:rPr>
          <w:b/>
          <w:bCs/>
          <w:color w:val="000000"/>
        </w:rPr>
      </w:pPr>
      <w:bookmarkStart w:id="28" w:name="_heading=h.2b8zdt7vox7" w:colFirst="0" w:colLast="0"/>
      <w:bookmarkEnd w:id="28"/>
      <w:r w:rsidRPr="00151CE9">
        <w:rPr>
          <w:color w:val="000000"/>
        </w:rPr>
        <w:t xml:space="preserve">Así, con la finalidad de determinar si el Sujeto Obligado </w:t>
      </w:r>
      <w:r w:rsidRPr="00151CE9">
        <w:rPr>
          <w:b/>
          <w:bCs/>
          <w:color w:val="000000"/>
        </w:rPr>
        <w:t>cumplió con el procedimiento de búsqueda</w:t>
      </w:r>
      <w:r w:rsidRPr="00151CE9">
        <w:rPr>
          <w:color w:val="000000"/>
        </w:rPr>
        <w:t xml:space="preserve"> previsto en el artículo 162 de la Ley de Transparencia y Acceso a la Información Pública del Estado de México y Municipio</w:t>
      </w:r>
      <w:r w:rsidRPr="00151CE9">
        <w:t xml:space="preserve">. </w:t>
      </w:r>
    </w:p>
    <w:p w14:paraId="4DDA9EE9" w14:textId="77777777" w:rsidR="004C7F15" w:rsidRPr="00151CE9" w:rsidRDefault="004C7F15">
      <w:pPr>
        <w:spacing w:after="0" w:line="360" w:lineRule="auto"/>
      </w:pPr>
    </w:p>
    <w:p w14:paraId="570F3772" w14:textId="77777777" w:rsidR="004C7F15" w:rsidRPr="00151CE9" w:rsidRDefault="00135DA2">
      <w:pPr>
        <w:spacing w:after="0" w:line="360" w:lineRule="auto"/>
      </w:pPr>
      <w:r w:rsidRPr="00151CE9">
        <w:t>En respuesta, el Sujeto Obligado a través de la Directora del Sujeto Obligado, en el que señaló el nombre y motivo de las personas servidoras públicas dadas de baja al tercer trimestre del año 2025; en el que indicó y dejó visibles los motivos personales por lo que causaron la baja algunas personas.</w:t>
      </w:r>
    </w:p>
    <w:p w14:paraId="7DCEF258" w14:textId="77777777" w:rsidR="004C7F15" w:rsidRPr="00151CE9" w:rsidRDefault="004C7F15">
      <w:pPr>
        <w:spacing w:after="0" w:line="360" w:lineRule="auto"/>
      </w:pPr>
    </w:p>
    <w:p w14:paraId="07340352" w14:textId="4D69D332" w:rsidR="004C7F15" w:rsidRPr="00151CE9" w:rsidRDefault="00135DA2">
      <w:pPr>
        <w:spacing w:after="0" w:line="360" w:lineRule="auto"/>
      </w:pPr>
      <w:r w:rsidRPr="00151CE9">
        <w:t xml:space="preserve">Cabe destacar que el documento remitido en respuesta se realizó </w:t>
      </w:r>
      <w:r w:rsidRPr="00151CE9">
        <w:rPr>
          <w:i/>
          <w:iCs/>
        </w:rPr>
        <w:t xml:space="preserve">ad hoc, </w:t>
      </w:r>
      <w:r w:rsidRPr="00151CE9">
        <w:t>al respecto, si bien los Sujetos Obligado no se encuentran constreñidos a generar documentos de este tipo, dado que de conformidad con lo dispuesto en los artículos 12, 24, último párrafo, y 160 de la Ley de Transparencia y Acceso a la Información Pública del Estado de México y Municipios, los Sujetos Obligados sólo entregarán la información que obre en sus archivos y no estarán obligados a procesarla, resumirla, efectuar cálculos o practicar investigaciones; también es cierto que, no tienen prohibido emitirlos, por lo que si dicha documentación da cuenta de</w:t>
      </w:r>
      <w:r w:rsidR="00E05C5D" w:rsidRPr="00151CE9">
        <w:t xml:space="preserve"> parte de</w:t>
      </w:r>
      <w:r w:rsidRPr="00151CE9">
        <w:t xml:space="preserve"> lo solicitado, debe analizarse. </w:t>
      </w:r>
    </w:p>
    <w:p w14:paraId="76052C82" w14:textId="77777777" w:rsidR="004C7F15" w:rsidRPr="00151CE9" w:rsidRDefault="00135DA2">
      <w:pPr>
        <w:spacing w:after="0" w:line="360" w:lineRule="auto"/>
        <w:rPr>
          <w:b/>
          <w:bCs/>
        </w:rPr>
      </w:pPr>
      <w:r w:rsidRPr="00151CE9">
        <w:t xml:space="preserve">En este sentido se advierte que en la información remitida se dejaron visibles </w:t>
      </w:r>
      <w:r w:rsidRPr="00151CE9">
        <w:rPr>
          <w:b/>
          <w:bCs/>
        </w:rPr>
        <w:t xml:space="preserve">los motivos personales </w:t>
      </w:r>
      <w:r w:rsidRPr="00151CE9">
        <w:t xml:space="preserve">por los que algunas personas servidora públicas causaron baja, </w:t>
      </w:r>
      <w:r w:rsidRPr="00151CE9">
        <w:rPr>
          <w:b/>
          <w:bCs/>
        </w:rPr>
        <w:t>lo cual corresponde a información que debió clasificarse, conforme a los siguientes argumentos:</w:t>
      </w:r>
    </w:p>
    <w:p w14:paraId="3F89648C" w14:textId="77777777" w:rsidR="004C7F15" w:rsidRPr="00151CE9" w:rsidRDefault="004C7F15">
      <w:pPr>
        <w:spacing w:after="0" w:line="360" w:lineRule="auto"/>
      </w:pPr>
    </w:p>
    <w:p w14:paraId="14E3294D" w14:textId="77777777" w:rsidR="004C7F15" w:rsidRPr="00151CE9" w:rsidRDefault="00135DA2">
      <w:pPr>
        <w:numPr>
          <w:ilvl w:val="0"/>
          <w:numId w:val="2"/>
        </w:numPr>
        <w:spacing w:after="0" w:line="360" w:lineRule="auto"/>
        <w:jc w:val="left"/>
        <w:rPr>
          <w:b/>
          <w:bCs/>
        </w:rPr>
      </w:pPr>
      <w:r w:rsidRPr="00151CE9">
        <w:rPr>
          <w:b/>
          <w:bCs/>
          <w:color w:val="000000"/>
        </w:rPr>
        <w:t>Motivos personales</w:t>
      </w:r>
    </w:p>
    <w:p w14:paraId="69B42BAA" w14:textId="77777777" w:rsidR="004C7F15" w:rsidRPr="00151CE9" w:rsidRDefault="004C7F15">
      <w:pPr>
        <w:spacing w:after="0" w:line="360" w:lineRule="auto"/>
        <w:ind w:left="720"/>
        <w:rPr>
          <w:b/>
          <w:bCs/>
        </w:rPr>
      </w:pPr>
    </w:p>
    <w:p w14:paraId="3FFBF78B" w14:textId="77777777" w:rsidR="004C7F15" w:rsidRPr="00151CE9" w:rsidRDefault="00135DA2">
      <w:pPr>
        <w:spacing w:after="0" w:line="360" w:lineRule="auto"/>
        <w:rPr>
          <w:color w:val="000000"/>
        </w:rPr>
      </w:pPr>
      <w:r w:rsidRPr="00151CE9">
        <w:rPr>
          <w:color w:val="000000"/>
        </w:rPr>
        <w:t>Sobre el tema, cabe mencionar que en la fracción II, del artículo 6 de la Constitución Política de los Estados Unidos Mexicanos se prevé que la información que se refiere a la vida privada y los datos personales, será protegida en los términos y con las excepciones que fijen las leyes.</w:t>
      </w:r>
    </w:p>
    <w:p w14:paraId="405460B8" w14:textId="77777777" w:rsidR="004C7F15" w:rsidRPr="00151CE9" w:rsidRDefault="004C7F15">
      <w:pPr>
        <w:spacing w:after="0" w:line="360" w:lineRule="auto"/>
        <w:rPr>
          <w:color w:val="000000"/>
        </w:rPr>
      </w:pPr>
    </w:p>
    <w:p w14:paraId="000F48CA" w14:textId="77777777" w:rsidR="004C7F15" w:rsidRPr="00151CE9" w:rsidRDefault="00135DA2">
      <w:pPr>
        <w:spacing w:after="0" w:line="360" w:lineRule="auto"/>
        <w:rPr>
          <w:color w:val="000000"/>
        </w:rPr>
      </w:pPr>
      <w:r w:rsidRPr="00151CE9">
        <w:rPr>
          <w:color w:val="000000"/>
        </w:rPr>
        <w:t>Igualmente, el segundo párrafo del artículo 16 de la Carta Magna dispone que toda persona tiene derecho a la protección de sus datos personales, al acceso,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w:t>
      </w:r>
    </w:p>
    <w:p w14:paraId="65682DF8" w14:textId="77777777" w:rsidR="004C7F15" w:rsidRPr="00151CE9" w:rsidRDefault="004C7F15">
      <w:pPr>
        <w:spacing w:after="0" w:line="360" w:lineRule="auto"/>
        <w:rPr>
          <w:color w:val="000000"/>
        </w:rPr>
      </w:pPr>
    </w:p>
    <w:p w14:paraId="68B872F6" w14:textId="77777777" w:rsidR="004C7F15" w:rsidRPr="00151CE9" w:rsidRDefault="00135DA2">
      <w:pPr>
        <w:spacing w:after="0" w:line="360" w:lineRule="auto"/>
        <w:rPr>
          <w:color w:val="000000"/>
        </w:rPr>
      </w:pPr>
      <w:r w:rsidRPr="00151CE9">
        <w:rPr>
          <w:color w:val="000000"/>
        </w:rPr>
        <w:t>A su vez, en el Cuadragésimo octavo de los Lineamientos Generales se señala que los documentos y expedientes clasificados como confidenciales sólo podrán ser comunicados a terceros siempre y cuando exista disposición legal expresa que lo justifique o cuando se cuente con el consentimiento del titular.</w:t>
      </w:r>
    </w:p>
    <w:p w14:paraId="071F361D" w14:textId="77777777" w:rsidR="004C7F15" w:rsidRPr="00151CE9" w:rsidRDefault="004C7F15">
      <w:pPr>
        <w:spacing w:after="0" w:line="360" w:lineRule="auto"/>
        <w:rPr>
          <w:color w:val="000000"/>
        </w:rPr>
      </w:pPr>
    </w:p>
    <w:p w14:paraId="536BBBD8" w14:textId="77777777" w:rsidR="004C7F15" w:rsidRPr="00151CE9" w:rsidRDefault="00135DA2">
      <w:pPr>
        <w:spacing w:after="0" w:line="360" w:lineRule="auto"/>
        <w:rPr>
          <w:color w:val="000000"/>
        </w:rPr>
      </w:pPr>
      <w:r w:rsidRPr="00151CE9">
        <w:rPr>
          <w:color w:val="000000"/>
        </w:rPr>
        <w:t>En ese contexto, cabe señalar lo previsto en la tesis aislada número 1a. CCXIV/2009, emitida por la Primera Sala de la Suprema Corte de Justicia de la Nación, publicada en la Gaceta del Semanario Judicial de la Federación, Tomo XXX, de diciembre de 2009, página 277, de la Novena Época, materia constitucional, que establece lo siguiente:</w:t>
      </w:r>
    </w:p>
    <w:p w14:paraId="671227FB" w14:textId="77777777" w:rsidR="004C7F15" w:rsidRPr="00151CE9" w:rsidRDefault="004C7F15">
      <w:pPr>
        <w:spacing w:after="0" w:line="360" w:lineRule="auto"/>
        <w:rPr>
          <w:color w:val="000000"/>
        </w:rPr>
      </w:pPr>
    </w:p>
    <w:p w14:paraId="3E94B235" w14:textId="77777777" w:rsidR="004C7F15" w:rsidRPr="00151CE9" w:rsidRDefault="00135DA2">
      <w:pPr>
        <w:spacing w:after="0" w:line="360" w:lineRule="auto"/>
        <w:ind w:left="567" w:right="567"/>
        <w:rPr>
          <w:i/>
          <w:iCs/>
          <w:sz w:val="20"/>
          <w:szCs w:val="20"/>
        </w:rPr>
      </w:pPr>
      <w:r w:rsidRPr="00151CE9">
        <w:rPr>
          <w:i/>
          <w:iCs/>
          <w:sz w:val="20"/>
          <w:szCs w:val="20"/>
        </w:rPr>
        <w:t xml:space="preserve">“DERECHO A LA VIDA PRIVADA. SU CONTENIDO GENERAL Y LA IMPORTANCIA DE NO DESCONTEXTUALIZAR LAS REFERENCIAS A LA MISMA. La Suprema Corte de Justicia de la Nación se ha referido en varias tesis a los rasgos característicos de la noción de lo ‘privado’. Así, lo ha relacionado con: lo que no constituye vida pública; el ámbito reservado frente a la acción y el </w:t>
      </w:r>
      <w:r w:rsidRPr="00151CE9">
        <w:rPr>
          <w:i/>
          <w:iCs/>
          <w:sz w:val="20"/>
          <w:szCs w:val="20"/>
        </w:rPr>
        <w:lastRenderedPageBreak/>
        <w:t xml:space="preserve">conocimiento de los demás; lo que se desea compartir únicamente con aquellos que uno elige; las actividades de las personas en la esfera particular, relacionadas con el hogar y la familia; o aquello que las personas no desempeñan con el carácter de servidores públicos. Por otro lado, el derecho a la vida privada (o intimidad) está reconocido y protegido en declaraciones y tratados de derechos humanos que forman parte del orden jurídico mexicano, como la Declaración Universal de los Derechos Humanos (artículo 12), el Pacto Internacional de Derechos Civiles y Políticos (artículo 17), la Convención Americana sobre Derechos Humanos (artículo 11) y la Convención sobre los Derechos del Niño (artículo 16). Al interpretar estas disposiciones, los organismos internacionales han destacado que la noción de vida privada atañe a la esfera de la vida en la que las personas pueden expresar libremente su identidad, ya sea en sus relaciones con los demás o en lo individual, y han destacado su vinculación con un amplio abanico de otros derechos, como la inviolabilidad de la correspondencia y de las comunicaciones en general, la inviolabilidad del domicilio, las garantías respecto de los registros personales y corporales, las relacionadas con la recopilación y registro de información personal en bancos de datos y otros dispositivos; el derecho a una vivienda adecuada, a la salud y a la igualdad; los derechos reproductivos, o la protección en caso de desalojos forzados. Las afirmaciones contenidas en las resoluciones nacionales e internacionales son útiles en la medida en que no se tomen de manera descontextualizada, emerjan de un análisis cuidadoso de los diferentes escenarios jurídicos en los que la idea de privacidad entra en juego y no se pretenda derivar de ellas un concepto mecánico de vida privada, de referentes fijos e inmutables. Lo único que estas resoluciones permiten reconstruir, en términos abstractos, es la imagen general que evoca la idea de privacidad en nuestro contexto cultural. Según esta noción, las personas tienen derecho a gozar de un ámbito de proyección de su existencia que quede reservado de la invasión y la mirada de los demás, que les concierna sólo a ellos y les provea de condiciones adecuadas para el despliegue de su individualidad -para el desarrollo de su autonomía y su libertad-. A un nivel más concreto, la misma idea puede describirse apelando al derecho de las personas a mantener fuera del conocimiento de los demás (o, a veces, dentro del círculo de sus personas más próximas) ciertas manifestaciones o dimensiones de su existencia (conducta, datos, información, objetos) y al correspondiente derecho a que los demás no las invadan sin su consentimiento. En un sentido amplio, entonces, la protección constitucional de la vida privada implica poder conducir parte de la vida de uno protegido de la mirada y las injerencias de los </w:t>
      </w:r>
      <w:r w:rsidRPr="00151CE9">
        <w:rPr>
          <w:i/>
          <w:iCs/>
          <w:sz w:val="20"/>
          <w:szCs w:val="20"/>
        </w:rPr>
        <w:lastRenderedPageBreak/>
        <w:t>demás, y guarda conexiones de variado tipo con pretensiones más concretas que los textos constitucionales actuales reconocen a veces como derechos conexos: el derecho de poder tomar libremente ciertas decisiones atinentes al propio plan de vida, el derecho a ver protegidas ciertas manifestaciones de integridad física y moral, el derecho al honor o reputación, el derecho a no ser presentado bajo una falsa apariencia, el derecho a impedir la divulgación de ciertos hechos o la publicación no autorizada de cierto tipo de fotografías, la protección contra el espionaje, la protección contra el uso abusivo de las comunicaciones privadas, o la protección contra la divulgación de informaciones comunicadas o recibidas confidencialmente por un particular.”</w:t>
      </w:r>
    </w:p>
    <w:p w14:paraId="698575EA" w14:textId="77777777" w:rsidR="004C7F15" w:rsidRPr="00151CE9" w:rsidRDefault="004C7F15">
      <w:pPr>
        <w:spacing w:after="0" w:line="360" w:lineRule="auto"/>
        <w:rPr>
          <w:color w:val="000000"/>
        </w:rPr>
      </w:pPr>
    </w:p>
    <w:p w14:paraId="400989F8" w14:textId="77777777" w:rsidR="004C7F15" w:rsidRPr="00151CE9" w:rsidRDefault="00135DA2">
      <w:pPr>
        <w:spacing w:after="0" w:line="360" w:lineRule="auto"/>
        <w:rPr>
          <w:b/>
          <w:bCs/>
          <w:color w:val="000000"/>
        </w:rPr>
      </w:pPr>
      <w:r w:rsidRPr="00151CE9">
        <w:rPr>
          <w:color w:val="000000"/>
        </w:rPr>
        <w:t xml:space="preserve">De conformidad con lo señalado, se colige que </w:t>
      </w:r>
      <w:r w:rsidRPr="00151CE9">
        <w:rPr>
          <w:b/>
          <w:bCs/>
          <w:color w:val="000000"/>
        </w:rPr>
        <w:t>las actividades que realicen los particulares, dentro del ámbito privado, o dentro de la esfera particular, es información que debe protegerse.</w:t>
      </w:r>
    </w:p>
    <w:p w14:paraId="48FEC184" w14:textId="77777777" w:rsidR="004C7F15" w:rsidRPr="00151CE9" w:rsidRDefault="004C7F15">
      <w:pPr>
        <w:spacing w:after="0" w:line="360" w:lineRule="auto"/>
        <w:rPr>
          <w:b/>
          <w:bCs/>
          <w:color w:val="000000"/>
        </w:rPr>
      </w:pPr>
    </w:p>
    <w:p w14:paraId="7052B74C" w14:textId="77777777" w:rsidR="004C7F15" w:rsidRPr="00151CE9" w:rsidRDefault="00135DA2">
      <w:pPr>
        <w:spacing w:after="0" w:line="360" w:lineRule="auto"/>
        <w:rPr>
          <w:color w:val="000000"/>
        </w:rPr>
      </w:pPr>
      <w:r w:rsidRPr="00151CE9">
        <w:rPr>
          <w:color w:val="000000"/>
        </w:rPr>
        <w:t>En el presente caso, proporcionar el motivo de la renuncia, iría en contra del derecho a la vida privada, pues se daría cuenta de la decisión personal; es decir, un acto de voluntad de dichas personas en ejercicio de sus derechos para dar por terminada una relación laboral, lo cual constituye cuestiones de carácter estrictamente íntimo.</w:t>
      </w:r>
    </w:p>
    <w:p w14:paraId="304ED05A" w14:textId="77777777" w:rsidR="004C7F15" w:rsidRPr="00151CE9" w:rsidRDefault="004C7F15">
      <w:pPr>
        <w:spacing w:after="0" w:line="360" w:lineRule="auto"/>
        <w:rPr>
          <w:color w:val="000000"/>
        </w:rPr>
      </w:pPr>
    </w:p>
    <w:p w14:paraId="5A9BDC58" w14:textId="77777777" w:rsidR="004C7F15" w:rsidRPr="00151CE9" w:rsidRDefault="00135DA2">
      <w:pPr>
        <w:spacing w:after="0" w:line="360" w:lineRule="auto"/>
        <w:rPr>
          <w:color w:val="000000"/>
        </w:rPr>
      </w:pPr>
      <w:r w:rsidRPr="00151CE9">
        <w:rPr>
          <w:color w:val="000000"/>
        </w:rPr>
        <w:t>Sobre dicha situación, se trae a colación la tesis aislada número 2a. LXIII/2008, emitida por la Segunda Sala de la Suprema Corte de Justicia de la Nación, publicada en la Gaceta del Semanario Judicial de la Federación, Tomo XXVII, de mayo de 2008, página 229, de la Novena Época, materia constitucional, misma que a la letra señala:</w:t>
      </w:r>
    </w:p>
    <w:p w14:paraId="2860F908" w14:textId="77777777" w:rsidR="004C7F15" w:rsidRPr="00151CE9" w:rsidRDefault="004C7F15">
      <w:pPr>
        <w:spacing w:after="0" w:line="360" w:lineRule="auto"/>
        <w:rPr>
          <w:color w:val="000000"/>
        </w:rPr>
      </w:pPr>
    </w:p>
    <w:p w14:paraId="2B3E7250" w14:textId="77777777" w:rsidR="004C7F15" w:rsidRPr="00151CE9" w:rsidRDefault="00135DA2">
      <w:pPr>
        <w:spacing w:after="0" w:line="360" w:lineRule="auto"/>
        <w:ind w:left="720" w:right="709"/>
        <w:rPr>
          <w:i/>
          <w:iCs/>
        </w:rPr>
      </w:pPr>
      <w:r w:rsidRPr="00151CE9">
        <w:rPr>
          <w:b/>
          <w:bCs/>
          <w:i/>
          <w:iCs/>
          <w:sz w:val="20"/>
          <w:szCs w:val="20"/>
        </w:rPr>
        <w:t>“DERECHO A LA PRIVACIDAD O INTIMIDAD. ESTÁ PROTEGIDO POR EL ARTÍCULO 16, PRIMER PÁRRAFO, DE LA CONSTITUCIÓN POLÍTICA DE LOS ESTADOS UNIDOS MEXICANOS.</w:t>
      </w:r>
      <w:r w:rsidRPr="00151CE9">
        <w:rPr>
          <w:i/>
          <w:iCs/>
          <w:sz w:val="20"/>
          <w:szCs w:val="20"/>
        </w:rPr>
        <w:t xml:space="preserve"> Dicho numeral establece, en general, la garantía de seguridad jurídica de todo gobernado a no ser molestado en su persona, familia, papeles o </w:t>
      </w:r>
      <w:r w:rsidRPr="00151CE9">
        <w:rPr>
          <w:i/>
          <w:iCs/>
          <w:sz w:val="20"/>
          <w:szCs w:val="20"/>
        </w:rPr>
        <w:lastRenderedPageBreak/>
        <w:t>posesiones, sino cuando medie mandato de autoridad competente debidamente fundado y motivado, de lo que deriva la inviolabilidad del domicilio, cuya finalidad primordial es el respeto a un ámbito de la vida privada personal y familiar que debe quedar excluido del conocimiento ajeno y de las intromisiones de los demás, con la limitante que la Constitución Política de los Estados Unidos Mexicanos establece para las autoridades. En un sentido amplio, la referida garantía puede extenderse a una protección que va más allá del aseguramiento del domicilio como espacio físico en que se desenvuelve normalmente la privacidad o la intimidad, de lo cual deriva el reconocimiento en el artículo 16, primer párrafo, constitucional, de un derecho a la intimidad o vida privada de los gobernados que abarca las intromisiones o molestias que por cualquier medio puedan realizarse en ese ámbito reservado de la vida.”</w:t>
      </w:r>
    </w:p>
    <w:p w14:paraId="15B428B4" w14:textId="77777777" w:rsidR="004C7F15" w:rsidRPr="00151CE9" w:rsidRDefault="004C7F15">
      <w:pPr>
        <w:spacing w:after="0" w:line="360" w:lineRule="auto"/>
        <w:rPr>
          <w:color w:val="000000"/>
        </w:rPr>
      </w:pPr>
    </w:p>
    <w:p w14:paraId="3B8A395D" w14:textId="77777777" w:rsidR="004C7F15" w:rsidRPr="00151CE9" w:rsidRDefault="00135DA2">
      <w:pPr>
        <w:spacing w:after="0" w:line="360" w:lineRule="auto"/>
        <w:rPr>
          <w:color w:val="000000"/>
        </w:rPr>
      </w:pPr>
      <w:r w:rsidRPr="00151CE9">
        <w:rPr>
          <w:color w:val="000000"/>
        </w:rPr>
        <w:t>Conforme a dicha tesis aislada, la garantía de seguridad jurídica de los individuos a no ser molestados en su persona, familia, papeles o posesiones, salvo cuando medie mandato de autoridad competente debidamente fundado y motivado, de lo que deriva la inviolabilidad del domicilio, y cuya finalidad primordial es el respeto a un ámbito de la vida privada personal y familiar que debe quedar excluido del conocimiento ajeno y de las intromisiones de los demás, con la limitante prevista en la Constitución Política de los Estados Unidos Mexicanos.</w:t>
      </w:r>
    </w:p>
    <w:p w14:paraId="40C77290" w14:textId="77777777" w:rsidR="004C7F15" w:rsidRPr="00151CE9" w:rsidRDefault="004C7F15">
      <w:pPr>
        <w:spacing w:after="0" w:line="360" w:lineRule="auto"/>
        <w:rPr>
          <w:color w:val="000000"/>
        </w:rPr>
      </w:pPr>
    </w:p>
    <w:p w14:paraId="3E82C69E" w14:textId="77777777" w:rsidR="004C7F15" w:rsidRPr="00151CE9" w:rsidRDefault="00135DA2">
      <w:pPr>
        <w:spacing w:after="0" w:line="360" w:lineRule="auto"/>
        <w:rPr>
          <w:b/>
          <w:bCs/>
          <w:color w:val="000000"/>
        </w:rPr>
      </w:pPr>
      <w:r w:rsidRPr="00151CE9">
        <w:rPr>
          <w:color w:val="000000"/>
        </w:rPr>
        <w:t>Así, en un sentido amplio, dicha garantía puede extenderse a una protección más allá del aseguramiento del domicilio como espacio físico en que se desenvuelve normalmente la privacidad o la intimidad, por lo que en el artículo 16, primer párrafo, constitucional,</w:t>
      </w:r>
      <w:r w:rsidRPr="00151CE9">
        <w:rPr>
          <w:b/>
          <w:bCs/>
          <w:color w:val="000000"/>
        </w:rPr>
        <w:t xml:space="preserve"> se da el reconocimiento de un derecho a la privacidad de las personas que implica no ser sujeto de intromisiones o molestias en el ámbito reservado de su vida o intimidad.</w:t>
      </w:r>
    </w:p>
    <w:p w14:paraId="3A0A801A" w14:textId="77777777" w:rsidR="004C7F15" w:rsidRPr="00151CE9" w:rsidRDefault="004C7F15">
      <w:pPr>
        <w:spacing w:after="0" w:line="360" w:lineRule="auto"/>
        <w:rPr>
          <w:color w:val="000000"/>
        </w:rPr>
      </w:pPr>
    </w:p>
    <w:p w14:paraId="3FE14414" w14:textId="77777777" w:rsidR="004C7F15" w:rsidRPr="00151CE9" w:rsidRDefault="00135DA2">
      <w:pPr>
        <w:spacing w:after="0" w:line="360" w:lineRule="auto"/>
        <w:rPr>
          <w:b/>
          <w:bCs/>
          <w:color w:val="000000"/>
        </w:rPr>
      </w:pPr>
      <w:r w:rsidRPr="00151CE9">
        <w:rPr>
          <w:color w:val="000000"/>
        </w:rPr>
        <w:t xml:space="preserve">Por lo tanto, se considera que dar a conocer los motivos personales, de inasistencias o faltas, o baja laboral, implicaría revelar un aspecto de la vida privada e íntima, es decir, </w:t>
      </w:r>
      <w:r w:rsidRPr="00151CE9">
        <w:rPr>
          <w:b/>
          <w:bCs/>
        </w:rPr>
        <w:t>reflejaba</w:t>
      </w:r>
      <w:r w:rsidRPr="00151CE9">
        <w:rPr>
          <w:b/>
          <w:bCs/>
          <w:color w:val="000000"/>
        </w:rPr>
        <w:t xml:space="preserve"> una situación concreta de los servidores públicos en su vida personal, al dar cuenta de las razones </w:t>
      </w:r>
      <w:r w:rsidRPr="00151CE9">
        <w:rPr>
          <w:b/>
          <w:bCs/>
          <w:color w:val="000000"/>
        </w:rPr>
        <w:lastRenderedPageBreak/>
        <w:t>de la decisión particular de presentar su renuncia laboral; por lo que, se considera información confidencial, en términos del artículo 143, fracción I, de la Ley de Transparencia y Acceso a la Información Pública del Estado de México y Municipios.</w:t>
      </w:r>
    </w:p>
    <w:p w14:paraId="3FFD9CEA" w14:textId="77777777" w:rsidR="004C7F15" w:rsidRPr="00151CE9" w:rsidRDefault="004C7F15">
      <w:pPr>
        <w:spacing w:after="0" w:line="360" w:lineRule="auto"/>
      </w:pPr>
    </w:p>
    <w:p w14:paraId="7F799B30" w14:textId="77777777" w:rsidR="004C7F15" w:rsidRPr="00151CE9" w:rsidRDefault="00135DA2">
      <w:pPr>
        <w:spacing w:after="0" w:line="360" w:lineRule="auto"/>
      </w:pPr>
      <w:r w:rsidRPr="00151CE9">
        <w:t xml:space="preserve">En consecuencia, será procedente </w:t>
      </w:r>
      <w:r w:rsidRPr="00151CE9">
        <w:rPr>
          <w:b/>
          <w:bCs/>
        </w:rPr>
        <w:t xml:space="preserve">dar vista a la Dirección General de Protección de Datos Personales de este Instituto </w:t>
      </w:r>
      <w:r w:rsidRPr="00151CE9">
        <w:t>con fundamento en el artículo 24, fracciones XI, XII y XIII del Reglamento Interior del Instituto de Transparencia, Acceso a la Información Pública y Protección de Datos Personales del Estado de México y Municipios, a fin de llevar a cabo el procedimiento que conforme a Derecho corresponda.</w:t>
      </w:r>
    </w:p>
    <w:p w14:paraId="77438D00" w14:textId="77777777" w:rsidR="004C7F15" w:rsidRPr="00151CE9" w:rsidRDefault="004C7F15">
      <w:pPr>
        <w:spacing w:after="0" w:line="360" w:lineRule="auto"/>
      </w:pPr>
    </w:p>
    <w:p w14:paraId="75852FE9" w14:textId="77777777" w:rsidR="004C7F15" w:rsidRPr="00151CE9" w:rsidRDefault="00135DA2">
      <w:pPr>
        <w:spacing w:after="0" w:line="360" w:lineRule="auto"/>
      </w:pPr>
      <w:r w:rsidRPr="00151CE9">
        <w:t>Cabe señalar que sí bien el Sujeto Obligado dejó visibles datos personales confidenciales, tales como los motivos personales por los que algunos servidores públicos causaron baja, dicha afectación es de imposible reparación dado que ya entregó la información; asimismo, con lo entregado en respuesta colmó el requerimiento del nombre y motivo de baja del personal, que dejó de laborar hasta el tercer trimestre; es decir, del periodo que va d</w:t>
      </w:r>
      <w:r w:rsidRPr="00151CE9">
        <w:rPr>
          <w:b/>
          <w:bCs/>
        </w:rPr>
        <w:t>el 1° de enero al 30 de septiembre de 2025;</w:t>
      </w:r>
      <w:r w:rsidRPr="00151CE9">
        <w:t xml:space="preserve"> por lo que dicha</w:t>
      </w:r>
      <w:r w:rsidRPr="00151CE9">
        <w:rPr>
          <w:b/>
          <w:bCs/>
        </w:rPr>
        <w:t xml:space="preserve"> temporalidad se tiene por colmada con la información remitida en respuesta.</w:t>
      </w:r>
    </w:p>
    <w:p w14:paraId="118BE1AD" w14:textId="77777777" w:rsidR="004C7F15" w:rsidRPr="00151CE9" w:rsidRDefault="004C7F15">
      <w:pPr>
        <w:spacing w:after="0" w:line="360" w:lineRule="auto"/>
      </w:pPr>
    </w:p>
    <w:p w14:paraId="40E14646" w14:textId="3FB35041" w:rsidR="00736BC1" w:rsidRPr="00151CE9" w:rsidRDefault="00135DA2" w:rsidP="00736BC1">
      <w:pPr>
        <w:spacing w:after="0" w:line="360" w:lineRule="auto"/>
      </w:pPr>
      <w:r w:rsidRPr="00151CE9">
        <w:t xml:space="preserve">Sin menoscabo de lo anterior, cabe mencionar que la información entregada por el Sujeto Obligado </w:t>
      </w:r>
      <w:r w:rsidRPr="00151CE9">
        <w:rPr>
          <w:b/>
          <w:bCs/>
        </w:rPr>
        <w:t xml:space="preserve">no contempló la totalidad de la temporalidad </w:t>
      </w:r>
      <w:r w:rsidRPr="00151CE9">
        <w:t xml:space="preserve">requerida, dado que no se remitió la información del periodo que va </w:t>
      </w:r>
      <w:r w:rsidRPr="00151CE9">
        <w:rPr>
          <w:b/>
          <w:bCs/>
        </w:rPr>
        <w:t>del 1° al 31 de octubre de 2025</w:t>
      </w:r>
      <w:r w:rsidR="00736BC1" w:rsidRPr="00151CE9">
        <w:t xml:space="preserve">, es decir, no se pronunció si se había realizado alguna baja durante el periodo faltante; </w:t>
      </w:r>
      <w:r w:rsidR="00736BC1" w:rsidRPr="00151CE9">
        <w:rPr>
          <w:rFonts w:eastAsia="Times New Roman" w:cs="Tahoma"/>
          <w:bCs/>
          <w:iCs/>
          <w:lang w:eastAsia="es-ES"/>
        </w:rPr>
        <w:t>s</w:t>
      </w:r>
      <w:r w:rsidR="00736BC1" w:rsidRPr="00151CE9">
        <w:t>obre el tema, el artículo 1.8, fracción XIII, del Código Administrativo del Estado de México, establece que para que tenga validez, todo acto administrativo deberá resolver todos los puntos propuestos por los interesados.</w:t>
      </w:r>
    </w:p>
    <w:p w14:paraId="1D51B47D" w14:textId="77777777" w:rsidR="00736BC1" w:rsidRPr="00151CE9" w:rsidRDefault="00736BC1" w:rsidP="00736BC1">
      <w:pPr>
        <w:spacing w:after="0" w:line="360" w:lineRule="auto"/>
      </w:pPr>
    </w:p>
    <w:p w14:paraId="6285D6B5" w14:textId="77777777" w:rsidR="00736BC1" w:rsidRPr="00151CE9" w:rsidRDefault="00736BC1" w:rsidP="00736BC1">
      <w:pPr>
        <w:spacing w:after="0" w:line="360" w:lineRule="auto"/>
      </w:pPr>
      <w:r w:rsidRPr="00151CE9">
        <w:lastRenderedPageBreak/>
        <w:t xml:space="preserve">Situación que se robustece, con el Criterio de Interpretación, con clave de control SO/002/2017, del Instituto Nacional de Transparencia, Acceso a la Información y Protección de Datos Personales, el cual establece que todo acto administrativo debe apegarse al </w:t>
      </w:r>
      <w:r w:rsidRPr="00151CE9">
        <w:rPr>
          <w:b/>
        </w:rPr>
        <w:t xml:space="preserve">principio de exhaustividad, </w:t>
      </w:r>
      <w:r w:rsidRPr="00151CE9">
        <w:t>entendiendo por éste que se pronuncie expresamente sobre cada uno de los puntos requeridos, lo cual en materia de transparencia y acceso a la información pública se traduce en que, las respuestas que emitan los sujetos obligados, deben guardar una relación lógica con lo solicitado, analizando y decidiendo –de marea íntegra- sobre todos los puntos requeridos, a fin de satisfacer la solicitud correspondiente.</w:t>
      </w:r>
    </w:p>
    <w:p w14:paraId="70682B44" w14:textId="438AB98B" w:rsidR="004C7F15" w:rsidRPr="00151CE9" w:rsidRDefault="004C7F15" w:rsidP="00736BC1">
      <w:pPr>
        <w:spacing w:after="0" w:line="360" w:lineRule="auto"/>
      </w:pPr>
    </w:p>
    <w:p w14:paraId="6750BC46" w14:textId="77777777" w:rsidR="004C7F15" w:rsidRPr="00151CE9" w:rsidRDefault="00135DA2">
      <w:pPr>
        <w:spacing w:after="0" w:line="360" w:lineRule="auto"/>
      </w:pPr>
      <w:r w:rsidRPr="00151CE9">
        <w:t xml:space="preserve">En consecuencia, se aprecia que el Sujeto Obligado no se pronunció por toda la temporalidad que debió considerar para atender la solicitud de información, por lo que resulta procedente tener por </w:t>
      </w:r>
      <w:r w:rsidRPr="00151CE9">
        <w:rPr>
          <w:b/>
          <w:bCs/>
        </w:rPr>
        <w:t>PARCIALMENTE FUNDADOS</w:t>
      </w:r>
      <w:r w:rsidRPr="00151CE9">
        <w:t xml:space="preserve"> los motivos de inconformidad planteados por la parte Recurrente, y </w:t>
      </w:r>
      <w:r w:rsidRPr="00151CE9">
        <w:rPr>
          <w:b/>
          <w:bCs/>
        </w:rPr>
        <w:t xml:space="preserve">MODIFICAR </w:t>
      </w:r>
      <w:r w:rsidRPr="00151CE9">
        <w:t>la respuesta inicial a fin de que el Sujeto Obligado entregue la documentación faltante.</w:t>
      </w:r>
    </w:p>
    <w:p w14:paraId="1F53AAEA" w14:textId="77777777" w:rsidR="004C7F15" w:rsidRPr="00151CE9" w:rsidRDefault="004C7F15">
      <w:pPr>
        <w:spacing w:after="0" w:line="360" w:lineRule="auto"/>
        <w:rPr>
          <w:color w:val="000000"/>
        </w:rPr>
      </w:pPr>
    </w:p>
    <w:p w14:paraId="67D0928B" w14:textId="4BBB6668" w:rsidR="004C7F15" w:rsidRPr="00151CE9" w:rsidRDefault="00135DA2">
      <w:pPr>
        <w:spacing w:after="0" w:line="360" w:lineRule="auto"/>
        <w:rPr>
          <w:color w:val="000000"/>
        </w:rPr>
      </w:pPr>
      <w:r w:rsidRPr="00151CE9">
        <w:rPr>
          <w:color w:val="000000"/>
        </w:rPr>
        <w:t xml:space="preserve">Asimismo, para el caso de que, derivado de la búsqueda exhaustiva y razonable, se </w:t>
      </w:r>
      <w:r w:rsidRPr="00151CE9">
        <w:t>determine</w:t>
      </w:r>
      <w:r w:rsidRPr="00151CE9">
        <w:rPr>
          <w:color w:val="000000"/>
        </w:rPr>
        <w:t xml:space="preserve"> que durante la temporalidad faltante no </w:t>
      </w:r>
      <w:r w:rsidRPr="00151CE9">
        <w:t>causó</w:t>
      </w:r>
      <w:r w:rsidRPr="00151CE9">
        <w:rPr>
          <w:color w:val="000000"/>
        </w:rPr>
        <w:t xml:space="preserve"> baja ninguna otra persona servidora pública, </w:t>
      </w:r>
      <w:r w:rsidRPr="00151CE9">
        <w:t>bastará con que lo haga del conocimiento del Particular de manera precisa y clara</w:t>
      </w:r>
      <w:r w:rsidR="00736BC1" w:rsidRPr="00151CE9">
        <w:t>, en términos del artículo 19, párrafo segundo de la Ley de Transparencia y Acceso a la Información Pública del Estado de México y Municipios.</w:t>
      </w:r>
    </w:p>
    <w:p w14:paraId="4792DFE6" w14:textId="77777777" w:rsidR="004C7F15" w:rsidRPr="00151CE9" w:rsidRDefault="004C7F15">
      <w:pPr>
        <w:spacing w:after="0" w:line="360" w:lineRule="auto"/>
        <w:rPr>
          <w:color w:val="000000"/>
        </w:rPr>
      </w:pPr>
    </w:p>
    <w:p w14:paraId="68A448A1" w14:textId="77777777" w:rsidR="004C7F15" w:rsidRPr="00151CE9" w:rsidRDefault="00135DA2">
      <w:pPr>
        <w:spacing w:after="0" w:line="360" w:lineRule="auto"/>
        <w:rPr>
          <w:color w:val="000000"/>
        </w:rPr>
      </w:pPr>
      <w:r w:rsidRPr="00151CE9">
        <w:rPr>
          <w:color w:val="000000"/>
        </w:rPr>
        <w:t>De igual forma, para el caso de que la información tenga datos personales confidenciales, deberá realizar la versión pública correspondiente y proporcionar el Acuerdo de Clasificación donde el Comité de Transparencia, confirme la eliminación de los datos confidenciales de acuerdo con los artículos 49, fracciones II y VIII, 132, fracción II, 143, fracción I y 149 de la Ley de Transparencia y Acceso a la Información Pública del Estado de México y Municipios</w:t>
      </w:r>
    </w:p>
    <w:p w14:paraId="01832CAC" w14:textId="77777777" w:rsidR="004C7F15" w:rsidRPr="00151CE9" w:rsidRDefault="004C7F15">
      <w:pPr>
        <w:spacing w:after="0" w:line="360" w:lineRule="auto"/>
        <w:rPr>
          <w:b/>
          <w:bCs/>
          <w:color w:val="000000"/>
        </w:rPr>
      </w:pPr>
    </w:p>
    <w:p w14:paraId="20557058" w14:textId="77777777" w:rsidR="004C7F15" w:rsidRPr="00151CE9" w:rsidRDefault="00135DA2">
      <w:pPr>
        <w:spacing w:after="0" w:line="360" w:lineRule="auto"/>
        <w:rPr>
          <w:color w:val="000000"/>
        </w:rPr>
      </w:pPr>
      <w:bookmarkStart w:id="29" w:name="_heading=h.uujbw3ttr9zg" w:colFirst="0" w:colLast="0"/>
      <w:bookmarkEnd w:id="29"/>
      <w:r w:rsidRPr="00151CE9">
        <w:rPr>
          <w:color w:val="000000"/>
        </w:rPr>
        <w:t>Ahora bien, no pasa desapercibido que los documentos que den cuenta de lo solicitado pudieran contener de manera enunciativa más no limitativa los siguientes datos:</w:t>
      </w:r>
    </w:p>
    <w:p w14:paraId="08C399BE" w14:textId="77777777" w:rsidR="004C7F15" w:rsidRPr="00151CE9" w:rsidRDefault="004C7F15">
      <w:pPr>
        <w:spacing w:after="0" w:line="360" w:lineRule="auto"/>
        <w:rPr>
          <w:color w:val="000000"/>
        </w:rPr>
      </w:pPr>
    </w:p>
    <w:p w14:paraId="52EDCEB9" w14:textId="77777777" w:rsidR="004C7F15" w:rsidRPr="00151CE9" w:rsidRDefault="00135DA2">
      <w:pPr>
        <w:numPr>
          <w:ilvl w:val="0"/>
          <w:numId w:val="7"/>
        </w:numPr>
        <w:spacing w:after="0" w:line="360" w:lineRule="auto"/>
        <w:jc w:val="left"/>
        <w:rPr>
          <w:b/>
          <w:bCs/>
          <w:color w:val="000000"/>
        </w:rPr>
      </w:pPr>
      <w:r w:rsidRPr="00151CE9">
        <w:rPr>
          <w:b/>
          <w:bCs/>
          <w:color w:val="000000"/>
        </w:rPr>
        <w:t xml:space="preserve">Motivos personales; en los términos expuestos en líneas anteriores. </w:t>
      </w:r>
    </w:p>
    <w:p w14:paraId="08207659" w14:textId="77777777" w:rsidR="004C7F15" w:rsidRPr="00151CE9" w:rsidRDefault="00135DA2">
      <w:pPr>
        <w:numPr>
          <w:ilvl w:val="0"/>
          <w:numId w:val="7"/>
        </w:numPr>
        <w:spacing w:after="0" w:line="360" w:lineRule="auto"/>
        <w:jc w:val="left"/>
        <w:rPr>
          <w:b/>
          <w:bCs/>
        </w:rPr>
      </w:pPr>
      <w:r w:rsidRPr="00151CE9">
        <w:rPr>
          <w:b/>
          <w:bCs/>
          <w:color w:val="000000"/>
        </w:rPr>
        <w:t>Motivos de salud;</w:t>
      </w:r>
    </w:p>
    <w:p w14:paraId="6068FC1D" w14:textId="77777777" w:rsidR="004C7F15" w:rsidRPr="00151CE9" w:rsidRDefault="00135DA2">
      <w:pPr>
        <w:numPr>
          <w:ilvl w:val="0"/>
          <w:numId w:val="7"/>
        </w:numPr>
        <w:spacing w:after="0" w:line="360" w:lineRule="auto"/>
        <w:jc w:val="left"/>
        <w:rPr>
          <w:b/>
          <w:bCs/>
        </w:rPr>
      </w:pPr>
      <w:r w:rsidRPr="00151CE9">
        <w:rPr>
          <w:b/>
          <w:bCs/>
          <w:color w:val="000000"/>
        </w:rPr>
        <w:t xml:space="preserve">Firma de servidores públicos; y </w:t>
      </w:r>
    </w:p>
    <w:p w14:paraId="369CBED3" w14:textId="77777777" w:rsidR="004C7F15" w:rsidRPr="00151CE9" w:rsidRDefault="00135DA2">
      <w:pPr>
        <w:numPr>
          <w:ilvl w:val="0"/>
          <w:numId w:val="7"/>
        </w:numPr>
        <w:spacing w:after="0" w:line="360" w:lineRule="auto"/>
        <w:jc w:val="left"/>
        <w:rPr>
          <w:b/>
          <w:bCs/>
        </w:rPr>
      </w:pPr>
      <w:r w:rsidRPr="00151CE9">
        <w:rPr>
          <w:b/>
          <w:bCs/>
        </w:rPr>
        <w:t>Huella dactilar.</w:t>
      </w:r>
    </w:p>
    <w:p w14:paraId="365179C6" w14:textId="77777777" w:rsidR="004C7F15" w:rsidRPr="00151CE9" w:rsidRDefault="004C7F15">
      <w:pPr>
        <w:spacing w:after="0" w:line="360" w:lineRule="auto"/>
      </w:pPr>
    </w:p>
    <w:p w14:paraId="6EB96197" w14:textId="77777777" w:rsidR="004C7F15" w:rsidRPr="00151CE9" w:rsidRDefault="00135DA2">
      <w:pPr>
        <w:spacing w:after="0" w:line="360" w:lineRule="auto"/>
      </w:pPr>
      <w:r w:rsidRPr="00151CE9">
        <w:rPr>
          <w:color w:val="000000"/>
        </w:rPr>
        <w:t>Así, se procede analizar si dicha información es confidencial o pública; en principio, cabe mencionar que el artículo 143, fracción I, de la Ley de Transparencia Local, establece que la información privada y los datos personales, concernientes a una persona física o jurídica colectiva identificada o identificable son confidenciales.</w:t>
      </w:r>
    </w:p>
    <w:p w14:paraId="58E1D4B1" w14:textId="77777777" w:rsidR="004C7F15" w:rsidRPr="00151CE9" w:rsidRDefault="004C7F15">
      <w:pPr>
        <w:spacing w:after="0" w:line="360" w:lineRule="auto"/>
      </w:pPr>
    </w:p>
    <w:p w14:paraId="6AA9676F" w14:textId="77777777" w:rsidR="004C7F15" w:rsidRPr="00151CE9" w:rsidRDefault="00135DA2">
      <w:pPr>
        <w:spacing w:after="0" w:line="360" w:lineRule="auto"/>
        <w:rPr>
          <w:color w:val="000000"/>
        </w:rPr>
      </w:pPr>
      <w:r w:rsidRPr="00151CE9">
        <w:rPr>
          <w:color w:val="000000"/>
        </w:rPr>
        <w:t>Asimismo,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 entre sujetos obligados en términos de los tratados y los acuerdos interinstitucionales.</w:t>
      </w:r>
    </w:p>
    <w:p w14:paraId="7FF2050E" w14:textId="77777777" w:rsidR="004C7F15" w:rsidRPr="00151CE9" w:rsidRDefault="004C7F15">
      <w:pPr>
        <w:spacing w:after="0" w:line="360" w:lineRule="auto"/>
        <w:rPr>
          <w:color w:val="000000"/>
        </w:rPr>
      </w:pPr>
    </w:p>
    <w:p w14:paraId="02B8F455" w14:textId="77777777" w:rsidR="004C7F15" w:rsidRPr="00151CE9" w:rsidRDefault="00135DA2">
      <w:pPr>
        <w:spacing w:after="0" w:line="360" w:lineRule="auto"/>
        <w:rPr>
          <w:color w:val="000000"/>
        </w:rPr>
      </w:pPr>
      <w:r w:rsidRPr="00151CE9">
        <w:rPr>
          <w:color w:val="000000"/>
        </w:rPr>
        <w:t xml:space="preserve">En términos de lo expuesto, la documentación y aquellos datos que se consideren confidenciales, serán una limitante del derecho de acceso a la información, siempre y cuando: </w:t>
      </w:r>
    </w:p>
    <w:p w14:paraId="0C82194E" w14:textId="77777777" w:rsidR="004C7F15" w:rsidRPr="00151CE9" w:rsidRDefault="004C7F15">
      <w:pPr>
        <w:spacing w:after="0" w:line="360" w:lineRule="auto"/>
        <w:rPr>
          <w:color w:val="000000"/>
        </w:rPr>
      </w:pPr>
    </w:p>
    <w:p w14:paraId="76117032" w14:textId="77777777" w:rsidR="004C7F15" w:rsidRPr="00151CE9" w:rsidRDefault="00135DA2">
      <w:pPr>
        <w:numPr>
          <w:ilvl w:val="0"/>
          <w:numId w:val="3"/>
        </w:numPr>
        <w:spacing w:after="0" w:line="360" w:lineRule="auto"/>
        <w:jc w:val="left"/>
        <w:rPr>
          <w:color w:val="000000"/>
        </w:rPr>
      </w:pPr>
      <w:r w:rsidRPr="00151CE9">
        <w:rPr>
          <w:color w:val="000000"/>
        </w:rPr>
        <w:lastRenderedPageBreak/>
        <w:t xml:space="preserve">Se trate de datos personales o información privada; esto es, información concerniente a una persona física o </w:t>
      </w:r>
      <w:r w:rsidRPr="00151CE9">
        <w:t>jurídica</w:t>
      </w:r>
      <w:r w:rsidRPr="00151CE9">
        <w:rPr>
          <w:color w:val="000000"/>
        </w:rPr>
        <w:t xml:space="preserve"> colectiva y que esta sea identificada o identificable. </w:t>
      </w:r>
    </w:p>
    <w:p w14:paraId="160A1B1A" w14:textId="77777777" w:rsidR="004C7F15" w:rsidRPr="00151CE9" w:rsidRDefault="00135DA2">
      <w:pPr>
        <w:numPr>
          <w:ilvl w:val="0"/>
          <w:numId w:val="3"/>
        </w:numPr>
        <w:spacing w:after="0" w:line="360" w:lineRule="auto"/>
        <w:jc w:val="left"/>
      </w:pPr>
      <w:r w:rsidRPr="00151CE9">
        <w:rPr>
          <w:color w:val="000000"/>
        </w:rPr>
        <w:t xml:space="preserve">Para la difusión de los datos, se </w:t>
      </w:r>
      <w:r w:rsidRPr="00151CE9">
        <w:t>requiere</w:t>
      </w:r>
      <w:r w:rsidRPr="00151CE9">
        <w:rPr>
          <w:color w:val="000000"/>
        </w:rPr>
        <w:t xml:space="preserve"> el consentimiento del titular.</w:t>
      </w:r>
    </w:p>
    <w:p w14:paraId="1CBE8333" w14:textId="77777777" w:rsidR="004C7F15" w:rsidRPr="00151CE9" w:rsidRDefault="004C7F15">
      <w:pPr>
        <w:spacing w:after="0" w:line="360" w:lineRule="auto"/>
        <w:rPr>
          <w:color w:val="FF0000"/>
        </w:rPr>
      </w:pPr>
    </w:p>
    <w:p w14:paraId="53BBEB55" w14:textId="77777777" w:rsidR="004C7F15" w:rsidRPr="00151CE9" w:rsidRDefault="00135DA2">
      <w:pPr>
        <w:spacing w:after="0" w:line="360" w:lineRule="auto"/>
        <w:rPr>
          <w:color w:val="000000"/>
        </w:rPr>
      </w:pPr>
      <w:r w:rsidRPr="00151CE9">
        <w:rPr>
          <w:color w:val="000000"/>
        </w:rPr>
        <w:t>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w:t>
      </w:r>
    </w:p>
    <w:p w14:paraId="6B3FF15F" w14:textId="77777777" w:rsidR="004C7F15" w:rsidRPr="00151CE9" w:rsidRDefault="004C7F15">
      <w:pPr>
        <w:spacing w:after="0" w:line="360" w:lineRule="auto"/>
        <w:rPr>
          <w:color w:val="000000"/>
        </w:rPr>
      </w:pPr>
    </w:p>
    <w:p w14:paraId="0F1BAD05" w14:textId="77777777" w:rsidR="004C7F15" w:rsidRPr="00151CE9" w:rsidRDefault="00135DA2">
      <w:pPr>
        <w:spacing w:after="0" w:line="360" w:lineRule="auto"/>
        <w:rPr>
          <w:color w:val="000000"/>
        </w:rPr>
      </w:pPr>
      <w:r w:rsidRPr="00151CE9">
        <w:rPr>
          <w:color w:val="000000"/>
        </w:rPr>
        <w:t xml:space="preserve">Bajo ese contexto, se </w:t>
      </w:r>
      <w:r w:rsidRPr="00151CE9">
        <w:t>analizará</w:t>
      </w:r>
      <w:r w:rsidRPr="00151CE9">
        <w:rPr>
          <w:color w:val="000000"/>
        </w:rPr>
        <w:t xml:space="preserve"> si los datos mencionados, deben ser considerados confidenciales, en términos del artículo 143, fracción I, de la Ley de Transparencia y Acceso a la Información Pública del Estado de México y Municipios, o públicos.</w:t>
      </w:r>
    </w:p>
    <w:p w14:paraId="33C954AF" w14:textId="77777777" w:rsidR="004C7F15" w:rsidRPr="00151CE9" w:rsidRDefault="004C7F15">
      <w:pPr>
        <w:spacing w:after="0" w:line="360" w:lineRule="auto"/>
        <w:rPr>
          <w:color w:val="000000"/>
        </w:rPr>
      </w:pPr>
    </w:p>
    <w:p w14:paraId="4DC29C6F" w14:textId="77777777" w:rsidR="004C7F15" w:rsidRPr="00151CE9" w:rsidRDefault="00135DA2">
      <w:pPr>
        <w:numPr>
          <w:ilvl w:val="0"/>
          <w:numId w:val="8"/>
        </w:numPr>
        <w:spacing w:after="0" w:line="360" w:lineRule="auto"/>
        <w:jc w:val="left"/>
        <w:rPr>
          <w:b/>
          <w:bCs/>
          <w:color w:val="000000"/>
        </w:rPr>
      </w:pPr>
      <w:r w:rsidRPr="00151CE9">
        <w:rPr>
          <w:b/>
          <w:bCs/>
          <w:color w:val="000000"/>
        </w:rPr>
        <w:t>Motivos de salud</w:t>
      </w:r>
    </w:p>
    <w:p w14:paraId="3DF82684" w14:textId="77777777" w:rsidR="004C7F15" w:rsidRPr="00151CE9" w:rsidRDefault="004C7F15">
      <w:pPr>
        <w:spacing w:after="0" w:line="360" w:lineRule="auto"/>
        <w:rPr>
          <w:color w:val="000000"/>
        </w:rPr>
      </w:pPr>
    </w:p>
    <w:p w14:paraId="73EA67C6" w14:textId="77777777" w:rsidR="004C7F15" w:rsidRPr="00151CE9" w:rsidRDefault="00135DA2">
      <w:pPr>
        <w:spacing w:after="0" w:line="360" w:lineRule="auto"/>
        <w:rPr>
          <w:b/>
          <w:bCs/>
          <w:color w:val="000000"/>
        </w:rPr>
      </w:pPr>
      <w:r w:rsidRPr="00151CE9">
        <w:rPr>
          <w:color w:val="000000"/>
        </w:rPr>
        <w:t xml:space="preserve">Al respecto, es de señalar que dichos datos corresponden a la enfermedad o situación específica </w:t>
      </w:r>
      <w:r w:rsidRPr="00151CE9">
        <w:rPr>
          <w:b/>
          <w:bCs/>
          <w:color w:val="000000"/>
        </w:rPr>
        <w:t>dan cuenta del estado de salud de una persona.</w:t>
      </w:r>
    </w:p>
    <w:p w14:paraId="029BFE43" w14:textId="77777777" w:rsidR="004C7F15" w:rsidRPr="00151CE9" w:rsidRDefault="004C7F15">
      <w:pPr>
        <w:spacing w:after="0" w:line="360" w:lineRule="auto"/>
        <w:rPr>
          <w:b/>
          <w:bCs/>
          <w:color w:val="000000"/>
        </w:rPr>
      </w:pPr>
    </w:p>
    <w:p w14:paraId="3575F009" w14:textId="77777777" w:rsidR="004C7F15" w:rsidRPr="00151CE9" w:rsidRDefault="00135DA2">
      <w:pPr>
        <w:spacing w:after="0" w:line="360" w:lineRule="auto"/>
        <w:rPr>
          <w:color w:val="000000"/>
        </w:rPr>
      </w:pPr>
      <w:r w:rsidRPr="00151CE9">
        <w:rPr>
          <w:color w:val="000000"/>
        </w:rPr>
        <w:t>En ese orden de ideas, el artículo 4°, fracciones IX y X, de la Ley General de Protección de Datos Personales en Posesión de Sujetos Obligados y 4°, fracciones XI y XII, de la Ley de Protección de Datos Personales en Posesión de Sujetos Obligados del Estado de México y Municipios, establecen lo siguiente:</w:t>
      </w:r>
    </w:p>
    <w:p w14:paraId="08865CBF" w14:textId="77777777" w:rsidR="004C7F15" w:rsidRPr="00151CE9" w:rsidRDefault="004C7F15">
      <w:pPr>
        <w:spacing w:after="0" w:line="360" w:lineRule="auto"/>
        <w:rPr>
          <w:color w:val="000000"/>
        </w:rPr>
      </w:pPr>
    </w:p>
    <w:p w14:paraId="25A0BCD7" w14:textId="77777777" w:rsidR="004C7F15" w:rsidRPr="00151CE9" w:rsidRDefault="00135DA2">
      <w:pPr>
        <w:numPr>
          <w:ilvl w:val="0"/>
          <w:numId w:val="4"/>
        </w:numPr>
        <w:spacing w:after="0" w:line="360" w:lineRule="auto"/>
        <w:jc w:val="left"/>
        <w:rPr>
          <w:color w:val="000000"/>
        </w:rPr>
      </w:pPr>
      <w:r w:rsidRPr="00151CE9">
        <w:rPr>
          <w:b/>
          <w:bCs/>
          <w:color w:val="000000"/>
        </w:rPr>
        <w:lastRenderedPageBreak/>
        <w:t>Datos Personales:</w:t>
      </w:r>
      <w:r w:rsidRPr="00151CE9">
        <w:rPr>
          <w:color w:val="000000"/>
        </w:rPr>
        <w:t xml:space="preserve"> Son cualquier información concerniente a una persona física identificada o identificable, y</w:t>
      </w:r>
    </w:p>
    <w:p w14:paraId="22795973" w14:textId="77777777" w:rsidR="004C7F15" w:rsidRPr="00151CE9" w:rsidRDefault="00135DA2">
      <w:pPr>
        <w:numPr>
          <w:ilvl w:val="0"/>
          <w:numId w:val="4"/>
        </w:numPr>
        <w:spacing w:after="0" w:line="360" w:lineRule="auto"/>
        <w:jc w:val="left"/>
        <w:rPr>
          <w:color w:val="000000"/>
        </w:rPr>
      </w:pPr>
      <w:r w:rsidRPr="00151CE9">
        <w:rPr>
          <w:b/>
          <w:bCs/>
          <w:color w:val="000000"/>
        </w:rPr>
        <w:t>Datos Personales Sensibles:</w:t>
      </w:r>
      <w:r w:rsidRPr="00151CE9">
        <w:rPr>
          <w:color w:val="000000"/>
        </w:rPr>
        <w:t xml:space="preserve"> Son aquellos que refieran a la esfera más íntima de su titular y cuya utilización indebida pueda dar origen a discriminación o un riesgo grave para su titular, entre los cuales se encuentran aquellos que puedan revelar aspectos como origen racial o étnico, estado de salud, información genética, creencias religiosas, filosóficas y morales, opiniones políticas y preferencia sexual.</w:t>
      </w:r>
    </w:p>
    <w:p w14:paraId="24696659" w14:textId="77777777" w:rsidR="004C7F15" w:rsidRPr="00151CE9" w:rsidRDefault="004C7F15">
      <w:pPr>
        <w:spacing w:after="0" w:line="360" w:lineRule="auto"/>
        <w:rPr>
          <w:color w:val="000000"/>
        </w:rPr>
      </w:pPr>
    </w:p>
    <w:p w14:paraId="7A882870" w14:textId="77777777" w:rsidR="004C7F15" w:rsidRPr="00151CE9" w:rsidRDefault="00135DA2">
      <w:pPr>
        <w:spacing w:after="0" w:line="360" w:lineRule="auto"/>
        <w:rPr>
          <w:color w:val="000000"/>
        </w:rPr>
      </w:pPr>
      <w:r w:rsidRPr="00151CE9">
        <w:rPr>
          <w:color w:val="000000"/>
        </w:rPr>
        <w:t xml:space="preserve">En ese contexto, Davara, Isabel; Barco, Gregorio, Barco; y Cervantes, Alexis (2019), en el “Diccionario de Protección de Datos Personales Conceptos Fundamentales” (p. 226), precisan que </w:t>
      </w:r>
      <w:r w:rsidRPr="00151CE9">
        <w:rPr>
          <w:b/>
          <w:bCs/>
          <w:color w:val="000000"/>
        </w:rPr>
        <w:t>los datos relativos a la salud son datos personales de carácter sensible</w:t>
      </w:r>
      <w:r w:rsidRPr="00151CE9">
        <w:rPr>
          <w:color w:val="000000"/>
        </w:rPr>
        <w:t>, en tanto a que refieren al estado de salud física o mental de un individuo, y que se conforma entre otros, por lo siguientes:</w:t>
      </w:r>
    </w:p>
    <w:p w14:paraId="54845529" w14:textId="77777777" w:rsidR="004C7F15" w:rsidRPr="00151CE9" w:rsidRDefault="004C7F15">
      <w:pPr>
        <w:spacing w:after="0" w:line="360" w:lineRule="auto"/>
        <w:rPr>
          <w:color w:val="000000"/>
        </w:rPr>
      </w:pPr>
    </w:p>
    <w:p w14:paraId="73C3E520" w14:textId="77777777" w:rsidR="004C7F15" w:rsidRPr="00151CE9" w:rsidRDefault="00135DA2">
      <w:pPr>
        <w:numPr>
          <w:ilvl w:val="0"/>
          <w:numId w:val="5"/>
        </w:numPr>
        <w:spacing w:after="0" w:line="360" w:lineRule="auto"/>
        <w:jc w:val="left"/>
      </w:pPr>
      <w:r w:rsidRPr="00151CE9">
        <w:t xml:space="preserve">Números, símbolos o datos asignados a una persona física identificable que la identifique de manera unívoca a efectos sanitarios; </w:t>
      </w:r>
    </w:p>
    <w:p w14:paraId="3D39F7A8" w14:textId="77777777" w:rsidR="004C7F15" w:rsidRPr="00151CE9" w:rsidRDefault="004C7F15">
      <w:pPr>
        <w:spacing w:after="0" w:line="360" w:lineRule="auto"/>
        <w:ind w:left="720"/>
      </w:pPr>
    </w:p>
    <w:p w14:paraId="73DECBC2" w14:textId="77777777" w:rsidR="004C7F15" w:rsidRPr="00151CE9" w:rsidRDefault="00135DA2">
      <w:pPr>
        <w:numPr>
          <w:ilvl w:val="0"/>
          <w:numId w:val="5"/>
        </w:numPr>
        <w:spacing w:after="0" w:line="360" w:lineRule="auto"/>
        <w:jc w:val="left"/>
      </w:pPr>
      <w:r w:rsidRPr="00151CE9">
        <w:t xml:space="preserve">La información obtenida de pruebas o exámenes de una parte del cuerpo o sustancia corporal, y </w:t>
      </w:r>
    </w:p>
    <w:p w14:paraId="453BC89D" w14:textId="77777777" w:rsidR="004C7F15" w:rsidRPr="00151CE9" w:rsidRDefault="004C7F15">
      <w:pPr>
        <w:spacing w:after="0" w:line="360" w:lineRule="auto"/>
        <w:ind w:left="720"/>
      </w:pPr>
    </w:p>
    <w:p w14:paraId="218C01AF" w14:textId="77777777" w:rsidR="004C7F15" w:rsidRPr="00151CE9" w:rsidRDefault="00135DA2">
      <w:pPr>
        <w:numPr>
          <w:ilvl w:val="0"/>
          <w:numId w:val="5"/>
        </w:numPr>
        <w:spacing w:after="0" w:line="360" w:lineRule="auto"/>
        <w:jc w:val="left"/>
      </w:pPr>
      <w:r w:rsidRPr="00151CE9">
        <w:t>La información relativa a una enfermedad, una discapacidad, el riesgo de padecer enfermedades, el historial médico, el tratamiento clínico o el estado fisiológico o biomédico del interesado</w:t>
      </w:r>
    </w:p>
    <w:p w14:paraId="13295777" w14:textId="77777777" w:rsidR="004C7F15" w:rsidRPr="00151CE9" w:rsidRDefault="004C7F15">
      <w:pPr>
        <w:spacing w:after="0" w:line="360" w:lineRule="auto"/>
      </w:pPr>
    </w:p>
    <w:p w14:paraId="340D2F3F" w14:textId="77777777" w:rsidR="004C7F15" w:rsidRPr="00151CE9" w:rsidRDefault="00135DA2">
      <w:pPr>
        <w:spacing w:after="0" w:line="360" w:lineRule="auto"/>
        <w:rPr>
          <w:color w:val="000000"/>
        </w:rPr>
      </w:pPr>
      <w:r w:rsidRPr="00151CE9">
        <w:rPr>
          <w:color w:val="000000"/>
        </w:rPr>
        <w:t xml:space="preserve">Situación que toma relevancia, púes el apartado ¿Qué son los datos personales?, de la página oficial de este Instituto (consultada en la liga </w:t>
      </w:r>
      <w:r w:rsidRPr="00151CE9">
        <w:rPr>
          <w:color w:val="000000"/>
        </w:rPr>
        <w:lastRenderedPageBreak/>
        <w:t>https://www.infoem.org.mx/es/contenido/datospersonales , el catorce de mayo de dos mil veinticinco), reafirma como una categoría de datos personales sensibles los concernientes a la salud de una persona, los cuales se conforman de aquellos datos relacionados con el estado físico o mental, cualquier atención médica, expediente clínico, diagnósticos, padecimientos, vacunas, intervenciones quirúrgicas, incapacidades médicas, discapacidades, uso de aparatos oftalmológicos, ortopédicos, auditivos o prótesis, consumo de sustancias tóxicas y estupefacientes, sintomatologías o análogos.</w:t>
      </w:r>
    </w:p>
    <w:p w14:paraId="78DA5482" w14:textId="77777777" w:rsidR="004C7F15" w:rsidRPr="00151CE9" w:rsidRDefault="004C7F15">
      <w:pPr>
        <w:spacing w:after="0" w:line="360" w:lineRule="auto"/>
        <w:rPr>
          <w:color w:val="000000"/>
        </w:rPr>
      </w:pPr>
    </w:p>
    <w:p w14:paraId="6AE8EA26" w14:textId="77777777" w:rsidR="004C7F15" w:rsidRPr="00151CE9" w:rsidRDefault="00135DA2">
      <w:pPr>
        <w:spacing w:after="0" w:line="360" w:lineRule="auto"/>
        <w:rPr>
          <w:color w:val="000000"/>
        </w:rPr>
      </w:pPr>
      <w:r w:rsidRPr="00151CE9">
        <w:t>Cómo</w:t>
      </w:r>
      <w:r w:rsidRPr="00151CE9">
        <w:rPr>
          <w:color w:val="000000"/>
        </w:rPr>
        <w:t xml:space="preserve"> se logra observar cualquier información o dato que se relacione con el estado de salud de una persona, como lo es un motivo de </w:t>
      </w:r>
      <w:r w:rsidRPr="00151CE9">
        <w:rPr>
          <w:b/>
          <w:bCs/>
          <w:color w:val="000000"/>
        </w:rPr>
        <w:t>baja</w:t>
      </w:r>
      <w:r w:rsidRPr="00151CE9">
        <w:rPr>
          <w:color w:val="000000"/>
        </w:rPr>
        <w:t>, se considera un dato personal sensible, pues da cuenta del estado de salud físico o mental del titular, lo cual está íntimamente relacionado con su vida privada e íntima y, por lo tanto, actualiza la causal de clasificación, establecida en el artículo 143, fracción I, de la Ley de Transparencia y Acceso a la Información Pública del Estado de México y Municipios.</w:t>
      </w:r>
    </w:p>
    <w:p w14:paraId="046B9571" w14:textId="77777777" w:rsidR="004C7F15" w:rsidRPr="00151CE9" w:rsidRDefault="004C7F15">
      <w:pPr>
        <w:spacing w:after="0" w:line="360" w:lineRule="auto"/>
        <w:rPr>
          <w:b/>
          <w:bCs/>
          <w:color w:val="000000"/>
        </w:rPr>
      </w:pPr>
    </w:p>
    <w:p w14:paraId="2E50B73D" w14:textId="77777777" w:rsidR="004C7F15" w:rsidRPr="00151CE9" w:rsidRDefault="00135DA2">
      <w:pPr>
        <w:numPr>
          <w:ilvl w:val="0"/>
          <w:numId w:val="9"/>
        </w:numPr>
        <w:spacing w:after="0" w:line="360" w:lineRule="auto"/>
        <w:jc w:val="left"/>
        <w:rPr>
          <w:b/>
          <w:bCs/>
        </w:rPr>
      </w:pPr>
      <w:r w:rsidRPr="00151CE9">
        <w:rPr>
          <w:b/>
          <w:bCs/>
        </w:rPr>
        <w:t>Firma de servidores públicos.</w:t>
      </w:r>
    </w:p>
    <w:p w14:paraId="699278EC" w14:textId="77777777" w:rsidR="004C7F15" w:rsidRPr="00151CE9" w:rsidRDefault="004C7F15">
      <w:pPr>
        <w:spacing w:after="0" w:line="360" w:lineRule="auto"/>
      </w:pPr>
    </w:p>
    <w:p w14:paraId="3335E6CD" w14:textId="77777777" w:rsidR="004C7F15" w:rsidRPr="00151CE9" w:rsidRDefault="00135DA2">
      <w:pPr>
        <w:spacing w:after="0" w:line="360" w:lineRule="auto"/>
      </w:pPr>
      <w:r w:rsidRPr="00151CE9">
        <w:t xml:space="preserve">Al respecto, cabe precisar que, la información puede tener </w:t>
      </w:r>
      <w:r w:rsidRPr="00151CE9">
        <w:rPr>
          <w:b/>
          <w:bCs/>
        </w:rPr>
        <w:t>la firma de servidores públicos que dieron por terminada la relación laboral al firmar de manera voluntaria su renuncia</w:t>
      </w:r>
      <w:r w:rsidRPr="00151CE9">
        <w:t>; por lo que, si bien la firma es un dato personal confidencial, cuando un trabajador gubernamental firma un documento como servidor público, en ejercicio de sus funciones, es de naturaleza pública.</w:t>
      </w:r>
    </w:p>
    <w:p w14:paraId="35E423FC" w14:textId="77777777" w:rsidR="004C7F15" w:rsidRPr="00151CE9" w:rsidRDefault="004C7F15">
      <w:pPr>
        <w:spacing w:after="0" w:line="360" w:lineRule="auto"/>
      </w:pPr>
    </w:p>
    <w:p w14:paraId="0C454867" w14:textId="77777777" w:rsidR="004C7F15" w:rsidRPr="00151CE9" w:rsidRDefault="00135DA2">
      <w:pPr>
        <w:spacing w:after="0" w:line="360" w:lineRule="auto"/>
      </w:pPr>
      <w:r w:rsidRPr="00151CE9">
        <w:t>Conforme a lo anterior, la firma de servidores públicos, vinculada al ejercicio de la función pública es información de naturaleza pública, pues documenta y rinde cuentas sobre el debido ejercicio de sus atribuciones, lo cual acontece en el presente caso.</w:t>
      </w:r>
    </w:p>
    <w:p w14:paraId="58F74054" w14:textId="77777777" w:rsidR="004C7F15" w:rsidRPr="00151CE9" w:rsidRDefault="004C7F15">
      <w:pPr>
        <w:spacing w:after="0" w:line="360" w:lineRule="auto"/>
      </w:pPr>
    </w:p>
    <w:p w14:paraId="206BB71A" w14:textId="77777777" w:rsidR="004C7F15" w:rsidRPr="00151CE9" w:rsidRDefault="00135DA2">
      <w:pPr>
        <w:spacing w:after="0" w:line="360" w:lineRule="auto"/>
      </w:pPr>
      <w:r w:rsidRPr="00151CE9">
        <w:t>Dicha situación, se robustece, con el Criterio de Interpretación, de la Segunda Época, con clave de control SO/002/2019, emitido por el Instituto Nacional de Transparencia, Acceso a la Información y Protección de Datos Personales, que establece lo siguiente:</w:t>
      </w:r>
    </w:p>
    <w:p w14:paraId="5F5C1917" w14:textId="77777777" w:rsidR="004C7F15" w:rsidRPr="00151CE9" w:rsidRDefault="004C7F15">
      <w:pPr>
        <w:spacing w:after="0" w:line="360" w:lineRule="auto"/>
      </w:pPr>
    </w:p>
    <w:p w14:paraId="6B3B6D7B" w14:textId="77777777" w:rsidR="004C7F15" w:rsidRPr="00151CE9" w:rsidRDefault="00135DA2">
      <w:pPr>
        <w:widowControl w:val="0"/>
        <w:spacing w:after="0" w:line="360" w:lineRule="auto"/>
        <w:ind w:left="567" w:right="567"/>
        <w:rPr>
          <w:i/>
          <w:iCs/>
          <w:sz w:val="20"/>
          <w:szCs w:val="20"/>
        </w:rPr>
      </w:pPr>
      <w:r w:rsidRPr="00151CE9">
        <w:rPr>
          <w:b/>
          <w:bCs/>
          <w:i/>
          <w:iCs/>
          <w:sz w:val="20"/>
          <w:szCs w:val="20"/>
        </w:rPr>
        <w:t>“Firma y rúbrica de servidores públicos.</w:t>
      </w:r>
      <w:r w:rsidRPr="00151CE9">
        <w:rPr>
          <w:i/>
          <w:iCs/>
          <w:sz w:val="20"/>
          <w:szCs w:val="20"/>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14:paraId="61E3F7A0" w14:textId="77777777" w:rsidR="004C7F15" w:rsidRPr="00151CE9" w:rsidRDefault="004C7F15">
      <w:pPr>
        <w:spacing w:after="0" w:line="360" w:lineRule="auto"/>
      </w:pPr>
    </w:p>
    <w:p w14:paraId="019F9D5B" w14:textId="77777777" w:rsidR="004C7F15" w:rsidRPr="00151CE9" w:rsidRDefault="00135DA2">
      <w:pPr>
        <w:spacing w:after="0" w:line="360" w:lineRule="auto"/>
      </w:pPr>
      <w:r w:rsidRPr="00151CE9">
        <w:t xml:space="preserve">Conforme a lo expuesto, no procede la clasificación, en términos del artículo 143, fracción I de la Ley de Transparencia y Acceso a la Información Pública del Estado de México y Municipios, de la </w:t>
      </w:r>
      <w:r w:rsidRPr="00151CE9">
        <w:rPr>
          <w:b/>
          <w:bCs/>
        </w:rPr>
        <w:t>firma del personal que dio por terminada la relación laboral.</w:t>
      </w:r>
    </w:p>
    <w:p w14:paraId="63645292" w14:textId="77777777" w:rsidR="004C7F15" w:rsidRPr="00151CE9" w:rsidRDefault="004C7F15">
      <w:pPr>
        <w:widowControl w:val="0"/>
        <w:tabs>
          <w:tab w:val="center" w:pos="4522"/>
        </w:tabs>
        <w:spacing w:after="0" w:line="360" w:lineRule="auto"/>
      </w:pPr>
    </w:p>
    <w:p w14:paraId="1AC092D2" w14:textId="77777777" w:rsidR="004C7F15" w:rsidRPr="00151CE9" w:rsidRDefault="00135DA2">
      <w:pPr>
        <w:numPr>
          <w:ilvl w:val="0"/>
          <w:numId w:val="10"/>
        </w:numPr>
        <w:spacing w:after="0" w:line="360" w:lineRule="auto"/>
        <w:jc w:val="left"/>
        <w:rPr>
          <w:b/>
          <w:bCs/>
        </w:rPr>
      </w:pPr>
      <w:r w:rsidRPr="00151CE9">
        <w:rPr>
          <w:b/>
          <w:bCs/>
        </w:rPr>
        <w:t>Huella dactilar</w:t>
      </w:r>
    </w:p>
    <w:p w14:paraId="68CD30D1" w14:textId="77777777" w:rsidR="004C7F15" w:rsidRPr="00151CE9" w:rsidRDefault="004C7F15">
      <w:pPr>
        <w:spacing w:after="0" w:line="360" w:lineRule="auto"/>
        <w:ind w:right="-93"/>
        <w:rPr>
          <w:b/>
          <w:bCs/>
        </w:rPr>
      </w:pPr>
    </w:p>
    <w:p w14:paraId="22D6BA6A" w14:textId="77777777" w:rsidR="004C7F15" w:rsidRPr="00151CE9" w:rsidRDefault="00135DA2">
      <w:pPr>
        <w:spacing w:after="0" w:line="360" w:lineRule="auto"/>
      </w:pPr>
      <w:r w:rsidRPr="00151CE9">
        <w:t xml:space="preserve">Al respecto, la huella dactilar es la impresión visible o moldeada que produce el contacto de las crestas papilares de un dedo de la mano sobre una superficie. </w:t>
      </w:r>
    </w:p>
    <w:p w14:paraId="22BA2AFC" w14:textId="77777777" w:rsidR="004C7F15" w:rsidRPr="00151CE9" w:rsidRDefault="004C7F15">
      <w:pPr>
        <w:spacing w:after="0" w:line="360" w:lineRule="auto"/>
      </w:pPr>
    </w:p>
    <w:p w14:paraId="5B0FBB0B" w14:textId="77777777" w:rsidR="004C7F15" w:rsidRPr="00151CE9" w:rsidRDefault="00135DA2">
      <w:pPr>
        <w:spacing w:after="0" w:line="360" w:lineRule="auto"/>
      </w:pPr>
      <w:r w:rsidRPr="00151CE9">
        <w:t xml:space="preserve">La Academia Mexicana de la Lengua y el Diccionario de la Real Academia de la Lengua Española, establecen que la huella dactilar, es la impresión que suele dejar la yema del dedo en un objeto al tocarlo, o la que se obtiene impregnándola previamente en una materia colorante. Por su parte, en el documento electrónico intitulado “Nuevas Tecnologías Biométricas”, publicado por el Instituto Nacional de Ciencias Penales y la Procuraduría General de la República, disponible en </w:t>
      </w:r>
      <w:hyperlink r:id="rId9">
        <w:r w:rsidRPr="00151CE9">
          <w:rPr>
            <w:color w:val="0563C1"/>
            <w:u w:val="single"/>
          </w:rPr>
          <w:t>https://docplayer.es/5455342-Nuevas-tecnologias-biometricas-instituto-nacional-de-ciencias-penales-procuraduria-general-de-la-republica-version-1-0.html</w:t>
        </w:r>
      </w:hyperlink>
      <w:r w:rsidRPr="00151CE9">
        <w:t xml:space="preserve">, </w:t>
      </w:r>
      <w:r w:rsidRPr="00151CE9">
        <w:lastRenderedPageBreak/>
        <w:t xml:space="preserve">se indica que existen tres principios fundamentales para la identificación de las huellas dactilares, a saber: </w:t>
      </w:r>
    </w:p>
    <w:p w14:paraId="0587895D" w14:textId="77777777" w:rsidR="004C7F15" w:rsidRPr="00151CE9" w:rsidRDefault="004C7F15">
      <w:pPr>
        <w:spacing w:after="0" w:line="360" w:lineRule="auto"/>
      </w:pPr>
    </w:p>
    <w:p w14:paraId="3BAD6BA2" w14:textId="77777777" w:rsidR="004C7F15" w:rsidRPr="00151CE9" w:rsidRDefault="00135DA2">
      <w:pPr>
        <w:numPr>
          <w:ilvl w:val="0"/>
          <w:numId w:val="6"/>
        </w:numPr>
        <w:spacing w:after="0" w:line="360" w:lineRule="auto"/>
        <w:jc w:val="left"/>
      </w:pPr>
      <w:r w:rsidRPr="00151CE9">
        <w:t xml:space="preserve">Primer principio. La huella es una característica individual. No hay dos huellas con características en las crestas que sean idénticas. </w:t>
      </w:r>
    </w:p>
    <w:p w14:paraId="0706FE32" w14:textId="77777777" w:rsidR="004C7F15" w:rsidRPr="00151CE9" w:rsidRDefault="004C7F15">
      <w:pPr>
        <w:spacing w:after="0" w:line="360" w:lineRule="auto"/>
      </w:pPr>
    </w:p>
    <w:p w14:paraId="32527D8F" w14:textId="77777777" w:rsidR="004C7F15" w:rsidRPr="00151CE9" w:rsidRDefault="00135DA2">
      <w:pPr>
        <w:numPr>
          <w:ilvl w:val="0"/>
          <w:numId w:val="6"/>
        </w:numPr>
        <w:spacing w:after="0" w:line="360" w:lineRule="auto"/>
        <w:jc w:val="left"/>
      </w:pPr>
      <w:r w:rsidRPr="00151CE9">
        <w:t xml:space="preserve">Segundo principio. Una huella permanece sin cambios durante toda la vida de un individuo (sin embargo, puede adquirir cicatrices o cualquier otra deformación que impida su identificación clara). </w:t>
      </w:r>
    </w:p>
    <w:p w14:paraId="39FF3E01" w14:textId="77777777" w:rsidR="004C7F15" w:rsidRPr="00151CE9" w:rsidRDefault="00135DA2">
      <w:pPr>
        <w:numPr>
          <w:ilvl w:val="0"/>
          <w:numId w:val="6"/>
        </w:numPr>
        <w:spacing w:after="0" w:line="360" w:lineRule="auto"/>
        <w:jc w:val="left"/>
      </w:pPr>
      <w:r w:rsidRPr="00151CE9">
        <w:t xml:space="preserve">Tercer principio. Las huellas tienen patrones que se forman con sus crestas, lo que hace posible clasificarlas sistemáticamente para agilizar las búsquedas. </w:t>
      </w:r>
    </w:p>
    <w:p w14:paraId="0FFA71D3" w14:textId="77777777" w:rsidR="004C7F15" w:rsidRPr="00151CE9" w:rsidRDefault="004C7F15">
      <w:pPr>
        <w:spacing w:after="0" w:line="360" w:lineRule="auto"/>
      </w:pPr>
    </w:p>
    <w:p w14:paraId="15ED6DBE" w14:textId="77777777" w:rsidR="004C7F15" w:rsidRPr="00151CE9" w:rsidRDefault="00135DA2">
      <w:pPr>
        <w:spacing w:after="0" w:line="360" w:lineRule="auto"/>
      </w:pPr>
      <w:r w:rsidRPr="00151CE9">
        <w:t>Conforme a lo expuesto, es indubitable que la huella dactilar es una característica propia de un individuo que permite su reconocimiento. Por tanto, sin duda, se considera que es una característica individual que se utiliza como medio de identificación de las personas y, por tanto, constituye un dato personal, de conformidad con lo establecido en el artículo 143, fracción I de la Ley de la materia.</w:t>
      </w:r>
    </w:p>
    <w:p w14:paraId="5097CD71" w14:textId="77777777" w:rsidR="004C7F15" w:rsidRPr="00151CE9" w:rsidRDefault="004C7F15">
      <w:pPr>
        <w:spacing w:after="0" w:line="360" w:lineRule="auto"/>
      </w:pPr>
    </w:p>
    <w:p w14:paraId="6AB14376" w14:textId="77777777" w:rsidR="004C7F15" w:rsidRPr="00151CE9" w:rsidRDefault="00135DA2">
      <w:pPr>
        <w:spacing w:after="0" w:line="360" w:lineRule="auto"/>
      </w:pPr>
      <w:r w:rsidRPr="00151CE9">
        <w:t>Ahora bien, no obstante que dicho dato no se haya recolectado mediante escaneo que permita su sistematización y procesamiento electrónico, incluso su recolección en tinta y papel, también permite su escaneo, lo que puede propiciar un mal uso de dicho dato, sino se aplican las medidas de protección adecuada, tal como lo refiere la siguiente Tesis Aislada:</w:t>
      </w:r>
    </w:p>
    <w:p w14:paraId="2D75F6C9" w14:textId="77777777" w:rsidR="004C7F15" w:rsidRPr="00151CE9" w:rsidRDefault="004C7F15">
      <w:pPr>
        <w:spacing w:after="0" w:line="360" w:lineRule="auto"/>
      </w:pPr>
    </w:p>
    <w:p w14:paraId="21894C98" w14:textId="77777777" w:rsidR="004C7F15" w:rsidRPr="00151CE9" w:rsidRDefault="00135DA2">
      <w:pPr>
        <w:spacing w:after="0" w:line="360" w:lineRule="auto"/>
        <w:ind w:left="567" w:right="567"/>
        <w:rPr>
          <w:i/>
          <w:iCs/>
          <w:sz w:val="20"/>
          <w:szCs w:val="20"/>
        </w:rPr>
      </w:pPr>
      <w:r w:rsidRPr="00151CE9">
        <w:rPr>
          <w:b/>
          <w:bCs/>
          <w:i/>
          <w:iCs/>
          <w:sz w:val="20"/>
          <w:szCs w:val="20"/>
        </w:rPr>
        <w:t>“HUELLA DACTILAR. ES APTA PARA ACREDITAR EL CONSENTIMIENTO EN LA CELEBRACIÓN DE UN CONTRATO</w:t>
      </w:r>
      <w:r w:rsidRPr="00151CE9">
        <w:rPr>
          <w:i/>
          <w:iCs/>
          <w:sz w:val="20"/>
          <w:szCs w:val="20"/>
        </w:rPr>
        <w:t xml:space="preserve">. </w:t>
      </w:r>
      <w:r w:rsidRPr="00151CE9">
        <w:rPr>
          <w:b/>
          <w:bCs/>
          <w:i/>
          <w:iCs/>
          <w:sz w:val="20"/>
          <w:szCs w:val="20"/>
        </w:rPr>
        <w:t xml:space="preserve">La huella dactilar es un elemento jurídicamente reconocido para demostrar tanto la individualización de su autor como la manifestación de </w:t>
      </w:r>
      <w:r w:rsidRPr="00151CE9">
        <w:rPr>
          <w:b/>
          <w:bCs/>
          <w:i/>
          <w:iCs/>
          <w:sz w:val="20"/>
          <w:szCs w:val="20"/>
        </w:rPr>
        <w:lastRenderedPageBreak/>
        <w:t>su voluntad con el contenido de un documento, porque es más idónea para individualizar al sujeto, pues las técnicas dactiloscópicas desarrolladas permiten afirmar que no hay dos personas que posean idénticas huellas dactilares;</w:t>
      </w:r>
      <w:r w:rsidRPr="00151CE9">
        <w:rPr>
          <w:i/>
          <w:iCs/>
          <w:sz w:val="20"/>
          <w:szCs w:val="20"/>
        </w:rPr>
        <w:t xml:space="preserve"> en cambio, los caracteres de la letra pueden ser imitados y, en algunos casos, podrá resultar difícil al perito decidir sobre la autenticidad de una firma. Como ejemplo de la eficacia de esa función individualizadora se tiene el artículo 76 del Código Civil para el Distrito Federal, que concibe a la huella como una firma útil para identificar a los nacidos en un parto múltiple. Por lo que toca a la función de acreditar la manifestación del consentimiento, el citado código prevé diversos supuestos, como por ejemplo, la solicitud del matrimonio (artículo 97, fracción III, segundo párrafo) y la celebración misma de éste (artículo 103, fracción IX, tercer párrafo). Tratándose de los contratos, la impresión de la huella cumple esa doble función, pues si bien es cierto que dicho código en su artículo 1834 establece como requisito adicional la firma de la persona que intervenga a ruego del autor de la huella, ello ocurre de manera excepcional para los casos en que éste no sepa o no pueda leer ni escribir, pero aun en este caso el conocimiento del contenido del documento y, en consecuencia, la eficacia de la manifestación de la voluntad del autor respecto del contenido del contrato, se asegura con la necesidad de la intervención de la persona que solicite el autor. De esta manera, si en un contrato se encuentran plasmadas huellas atribuidas a una de las partes acompañadas de firmas igualmente atribuidas a él, quedando demostrado que dichas huellas sí corresponden a dicho autor, debe tenerse por acreditado el consentimiento en la celebración del contrato, incluso, con independencia de que la prueba pericial haya determinado la falsificación de las firmas correspondientes, más aún cuando el autor no negó expresamente haber estampado sus huellas en el contrato.”</w:t>
      </w:r>
    </w:p>
    <w:p w14:paraId="2B4C3950" w14:textId="77777777" w:rsidR="004C7F15" w:rsidRPr="00151CE9" w:rsidRDefault="004C7F15">
      <w:pPr>
        <w:spacing w:after="0" w:line="360" w:lineRule="auto"/>
      </w:pPr>
    </w:p>
    <w:p w14:paraId="263F8097" w14:textId="77777777" w:rsidR="004C7F15" w:rsidRPr="00151CE9" w:rsidRDefault="00135DA2">
      <w:pPr>
        <w:spacing w:after="0" w:line="360" w:lineRule="auto"/>
      </w:pPr>
      <w:r w:rsidRPr="00151CE9">
        <w:t xml:space="preserve">En la actualidad existen sistemas denominados AFIS por sus siglas en inglés </w:t>
      </w:r>
      <w:r w:rsidRPr="00151CE9">
        <w:rPr>
          <w:i/>
          <w:iCs/>
        </w:rPr>
        <w:t>Automated Fingerprint Identification System</w:t>
      </w:r>
      <w:r w:rsidRPr="00151CE9">
        <w:t xml:space="preserve"> que son sistemas informáticos que permiten la captura, consulta y comparación automática de huellas dactilares, para la captura y adquisición existen diversas formas de realizarlo y una de ellas es a través de la fotografía de una huella dactilar que se encuentra impresa en un papel, que sólo depende de la calidad de la imagen para su comparación para la individualización del autor por medio de los sistemas AFIS. </w:t>
      </w:r>
    </w:p>
    <w:p w14:paraId="6D34E21E" w14:textId="77777777" w:rsidR="004C7F15" w:rsidRPr="00151CE9" w:rsidRDefault="004C7F15">
      <w:pPr>
        <w:spacing w:after="0" w:line="360" w:lineRule="auto"/>
      </w:pPr>
    </w:p>
    <w:p w14:paraId="20D37AC2" w14:textId="77777777" w:rsidR="004C7F15" w:rsidRPr="00151CE9" w:rsidRDefault="00135DA2">
      <w:pPr>
        <w:spacing w:after="0" w:line="360" w:lineRule="auto"/>
      </w:pPr>
      <w:r w:rsidRPr="00151CE9">
        <w:t xml:space="preserve">En términos de la calidad de la imagen se debe observar que en la NOM-151-SCFI-2016 publicada en el Diario Oficial, se determina que la calidad propicia para realizar la digitalización de documentos físicos en formato de imagen es de 200 píxeles por pulgada o superior para representaciones en blanco y negro, color o escala de grises, para garantizar el contenido y la integridad de los documentos digitalizados. Desde esta perspectiva es viable digitalizar la imagen de una huella digital con una calidad mínima para poder ser puesta a disposición de un sistema AFIS por medio de escáneres y multifuncionales de venta al público general de diversas marcas y que pueden proporcionar una resolución de hasta 600 pixeles por pulgada. </w:t>
      </w:r>
    </w:p>
    <w:p w14:paraId="6C1920A4" w14:textId="77777777" w:rsidR="004C7F15" w:rsidRPr="00151CE9" w:rsidRDefault="004C7F15">
      <w:pPr>
        <w:spacing w:after="0" w:line="360" w:lineRule="auto"/>
      </w:pPr>
    </w:p>
    <w:p w14:paraId="1B062E50" w14:textId="77777777" w:rsidR="004C7F15" w:rsidRPr="00151CE9" w:rsidRDefault="00135DA2">
      <w:pPr>
        <w:spacing w:after="0" w:line="360" w:lineRule="auto"/>
      </w:pPr>
      <w:r w:rsidRPr="00151CE9">
        <w:t>En conclusión, con el uso de las tecnologías de digitalización e impresión puestas a disposición del público general, es posible realizar la adquisición y reproducción de la huella digital que se encuentra en un documento y adicionalmente se puede sistematizar la comparación y análisis de las digitalizaciones a través de sistemas especializados para esta finalidad que pueden encontrarse de forma gratuita en internet.</w:t>
      </w:r>
    </w:p>
    <w:p w14:paraId="572B7AEB" w14:textId="77777777" w:rsidR="004C7F15" w:rsidRPr="00151CE9" w:rsidRDefault="004C7F15">
      <w:pPr>
        <w:spacing w:after="0" w:line="360" w:lineRule="auto"/>
      </w:pPr>
    </w:p>
    <w:p w14:paraId="3A176AA1" w14:textId="77777777" w:rsidR="004C7F15" w:rsidRPr="00151CE9" w:rsidRDefault="00135DA2">
      <w:pPr>
        <w:spacing w:after="0" w:line="360" w:lineRule="auto"/>
      </w:pPr>
      <w:r w:rsidRPr="00151CE9">
        <w:t>Por lo anterior, la huella dactilar no sólo constituye un dato personal confidencial de carácter biométrico, sino que su tratamiento debe llevarse a cabo a través de medidas de seguridad que garanticen su adecuado tratamiento, por lo que</w:t>
      </w:r>
      <w:r w:rsidRPr="00151CE9">
        <w:rPr>
          <w:b/>
          <w:bCs/>
        </w:rPr>
        <w:t xml:space="preserve"> debe ser clasificado como confidencial en términos del artículo 143, fracción I, de la Ley de Transparencia y Acceso a la Información Pública del Estado de México y Municipios.</w:t>
      </w:r>
    </w:p>
    <w:p w14:paraId="2F62737D" w14:textId="77777777" w:rsidR="004C7F15" w:rsidRPr="00151CE9" w:rsidRDefault="004C7F15">
      <w:pPr>
        <w:widowControl w:val="0"/>
        <w:tabs>
          <w:tab w:val="center" w:pos="4522"/>
        </w:tabs>
        <w:spacing w:after="0" w:line="360" w:lineRule="auto"/>
      </w:pPr>
    </w:p>
    <w:p w14:paraId="6EF54372" w14:textId="77777777" w:rsidR="004C7F15" w:rsidRPr="00151CE9" w:rsidRDefault="00135DA2">
      <w:pPr>
        <w:spacing w:after="0" w:line="360" w:lineRule="auto"/>
      </w:pPr>
      <w:r w:rsidRPr="00151CE9">
        <w:t xml:space="preserve">Conforme a lo anterior, el Sujeto Obligado deberá a poner a disposición del Recurrente, la versión pública de la información requerida, para tal circunstancia, deberá seguir el procedimiento establecido en el artículo 168 de dicho ordenamiento jurídico; esto es, que el área competente deberá elaborar la versión pública, así como emitir el Acuerdo, por parte del Comité </w:t>
      </w:r>
      <w:r w:rsidRPr="00151CE9">
        <w:lastRenderedPageBreak/>
        <w:t>de Transparencia, donde confirme la clasificación de los datos, fundando y motivando la clasificación.</w:t>
      </w:r>
    </w:p>
    <w:p w14:paraId="52295FBA" w14:textId="77777777" w:rsidR="004C7F15" w:rsidRPr="00151CE9" w:rsidRDefault="004C7F15">
      <w:pPr>
        <w:spacing w:after="0" w:line="360" w:lineRule="auto"/>
      </w:pPr>
    </w:p>
    <w:p w14:paraId="184A5164" w14:textId="77777777" w:rsidR="004C7F15" w:rsidRPr="00151CE9" w:rsidRDefault="00135DA2">
      <w:pPr>
        <w:pStyle w:val="Ttulo2"/>
        <w:spacing w:before="0" w:after="0"/>
        <w:rPr>
          <w:b w:val="0"/>
          <w:bCs w:val="0"/>
        </w:rPr>
      </w:pPr>
      <w:bookmarkStart w:id="30" w:name="_heading=h.gxx39mw8wxzf" w:colFirst="0" w:colLast="0"/>
      <w:bookmarkStart w:id="31" w:name="_Toc223619804"/>
      <w:bookmarkEnd w:id="30"/>
      <w:r w:rsidRPr="00151CE9">
        <w:t>SEXTO. Decisión</w:t>
      </w:r>
      <w:bookmarkEnd w:id="31"/>
    </w:p>
    <w:p w14:paraId="7621359A" w14:textId="77777777" w:rsidR="004C7F15" w:rsidRPr="00151CE9" w:rsidRDefault="004C7F15">
      <w:pPr>
        <w:spacing w:after="0" w:line="360" w:lineRule="auto"/>
        <w:rPr>
          <w:b/>
          <w:bCs/>
        </w:rPr>
      </w:pPr>
    </w:p>
    <w:p w14:paraId="731251B3" w14:textId="77777777" w:rsidR="004C7F15" w:rsidRPr="00151CE9" w:rsidRDefault="00135DA2">
      <w:pPr>
        <w:spacing w:after="0" w:line="360" w:lineRule="auto"/>
      </w:pPr>
      <w:r w:rsidRPr="00151CE9">
        <w:t xml:space="preserve">Con fundamento en el artículo 186, fracción III, de la Ley de Transparencia y Acceso a la Información Pública del Estado de México y Municipios, este Instituto considera procedente </w:t>
      </w:r>
      <w:r w:rsidRPr="00151CE9">
        <w:rPr>
          <w:b/>
          <w:bCs/>
        </w:rPr>
        <w:t xml:space="preserve">MODIFICAR </w:t>
      </w:r>
      <w:r w:rsidRPr="00151CE9">
        <w:t xml:space="preserve">la respuesta otorgada por el Sujeto Obligado a la solicitud de información </w:t>
      </w:r>
      <w:r w:rsidRPr="00151CE9">
        <w:rPr>
          <w:b/>
          <w:bCs/>
        </w:rPr>
        <w:t>00039/DIFJUCHITEPEC/IP/2025</w:t>
      </w:r>
      <w:r w:rsidRPr="00151CE9">
        <w:t xml:space="preserve">, por resultar parcialmente fundadas las razones o motivos de inconformidad hechos valer por la parte Recurrente, en el Recurso de Revisión </w:t>
      </w:r>
      <w:r w:rsidRPr="00151CE9">
        <w:rPr>
          <w:b/>
          <w:bCs/>
        </w:rPr>
        <w:t>00281/INFOEM/IP/RR/2026</w:t>
      </w:r>
      <w:r w:rsidRPr="00151CE9">
        <w:t xml:space="preserve">, en consecuencia procede </w:t>
      </w:r>
      <w:r w:rsidRPr="00151CE9">
        <w:rPr>
          <w:b/>
          <w:bCs/>
        </w:rPr>
        <w:t xml:space="preserve">ORDENAR, </w:t>
      </w:r>
      <w:r w:rsidRPr="00151CE9">
        <w:t xml:space="preserve">la entrega de la información faltante en los términos antes expuestos. </w:t>
      </w:r>
    </w:p>
    <w:p w14:paraId="20D52A81" w14:textId="77777777" w:rsidR="004C7F15" w:rsidRPr="00151CE9" w:rsidRDefault="004C7F15">
      <w:pPr>
        <w:spacing w:after="0" w:line="360" w:lineRule="auto"/>
      </w:pPr>
    </w:p>
    <w:p w14:paraId="2CCC4EB0" w14:textId="77777777" w:rsidR="004C7F15" w:rsidRPr="00151CE9" w:rsidRDefault="00135DA2">
      <w:pPr>
        <w:pStyle w:val="Ttulo2"/>
        <w:spacing w:before="0" w:after="0"/>
        <w:rPr>
          <w:b w:val="0"/>
          <w:bCs w:val="0"/>
        </w:rPr>
      </w:pPr>
      <w:bookmarkStart w:id="32" w:name="_heading=h.rm64abevrtie" w:colFirst="0" w:colLast="0"/>
      <w:bookmarkStart w:id="33" w:name="_Toc223619805"/>
      <w:bookmarkEnd w:id="32"/>
      <w:r w:rsidRPr="00151CE9">
        <w:t>SÉPTIMO. Vista la Dirección General de Protección de Datos Personales</w:t>
      </w:r>
      <w:bookmarkEnd w:id="33"/>
    </w:p>
    <w:p w14:paraId="34F375C7" w14:textId="77777777" w:rsidR="004C7F15" w:rsidRPr="00151CE9" w:rsidRDefault="004C7F15">
      <w:pPr>
        <w:spacing w:after="0" w:line="360" w:lineRule="auto"/>
        <w:rPr>
          <w:b/>
          <w:bCs/>
        </w:rPr>
      </w:pPr>
    </w:p>
    <w:p w14:paraId="7AFA23D6" w14:textId="77777777" w:rsidR="004C7F15" w:rsidRPr="00151CE9" w:rsidRDefault="00135DA2">
      <w:pPr>
        <w:spacing w:after="0" w:line="360" w:lineRule="auto"/>
      </w:pPr>
      <w:r w:rsidRPr="00151CE9">
        <w:t xml:space="preserve">Ahora bien, toda vez que el Sujeto Obligado debió clasificar los motivos personales de la baja de algunas personas servidoras públicas; que se advierten </w:t>
      </w:r>
      <w:r w:rsidRPr="00151CE9">
        <w:rPr>
          <w:u w:val="single"/>
        </w:rPr>
        <w:t xml:space="preserve">en el archivo denominado </w:t>
      </w:r>
      <w:r w:rsidRPr="00151CE9">
        <w:rPr>
          <w:b/>
          <w:bCs/>
          <w:i/>
          <w:iCs/>
          <w:u w:val="single"/>
        </w:rPr>
        <w:t>00039.pdf;</w:t>
      </w:r>
      <w:r w:rsidRPr="00151CE9">
        <w:rPr>
          <w:u w:val="single"/>
        </w:rPr>
        <w:t xml:space="preserve"> entregado en la respuesta</w:t>
      </w:r>
      <w:r w:rsidRPr="00151CE9">
        <w:t>, circunstancia que vulnera lo previsto en el artículo 143, fracción I, de la Ley de Transparencia y Acceso a la Información Pública del Estado de México y Municipios. Por lo tanto, el Ente Recurrido, inobservó la Ley de Transparencia y Acceso a la Información Pública del Estado de México y Municipios y la Ley de Protección de Datos Personales en Posesión de Sujetos Obligados del Estado de México y Municipios.</w:t>
      </w:r>
    </w:p>
    <w:p w14:paraId="693DD30F" w14:textId="77777777" w:rsidR="004C7F15" w:rsidRPr="00151CE9" w:rsidRDefault="004C7F15">
      <w:pPr>
        <w:spacing w:after="0" w:line="360" w:lineRule="auto"/>
      </w:pPr>
    </w:p>
    <w:p w14:paraId="03D6CC48" w14:textId="77777777" w:rsidR="004C7F15" w:rsidRPr="00151CE9" w:rsidRDefault="00135DA2">
      <w:pPr>
        <w:spacing w:after="0" w:line="360" w:lineRule="auto"/>
      </w:pPr>
      <w:r w:rsidRPr="00151CE9">
        <w:t xml:space="preserve">Sobre el particular, si bien, la presente resolución no tiene por objetivo investigar y determinar posibles violaciones al derecho de acceso a la información; toda vez que este Organismo Autónomo, advirtió la posible publicación de información de datos personales, se considera </w:t>
      </w:r>
      <w:r w:rsidRPr="00151CE9">
        <w:lastRenderedPageBreak/>
        <w:t>procedente dar vista a la Dirección General de Protección de Datos Personales de este Instituto con fundamento en el artículo 24, fracciones XI, XII y XIII del Reglamento Interior del Instituto de Transparencia, Acceso a la Información Pública y Protección de Datos Personales del Estado de México y Municipios, a fin de llevar a cabo el procedimiento que conforme a Derecho corresponda.</w:t>
      </w:r>
    </w:p>
    <w:p w14:paraId="626793DC" w14:textId="77777777" w:rsidR="004C7F15" w:rsidRPr="00151CE9" w:rsidRDefault="004C7F15">
      <w:pPr>
        <w:tabs>
          <w:tab w:val="left" w:pos="4962"/>
        </w:tabs>
        <w:spacing w:after="0" w:line="360" w:lineRule="auto"/>
        <w:rPr>
          <w:color w:val="000000"/>
        </w:rPr>
      </w:pPr>
    </w:p>
    <w:p w14:paraId="3AA0577B" w14:textId="2017C68F" w:rsidR="004C7F15" w:rsidRPr="00151CE9" w:rsidRDefault="00135DA2">
      <w:pPr>
        <w:spacing w:after="0" w:line="360" w:lineRule="auto"/>
        <w:rPr>
          <w:b/>
          <w:bCs/>
          <w:u w:val="single"/>
        </w:rPr>
      </w:pPr>
      <w:r w:rsidRPr="00151CE9">
        <w:rPr>
          <w:b/>
          <w:bCs/>
          <w:u w:val="single"/>
        </w:rPr>
        <w:t>Términos de la Reso</w:t>
      </w:r>
      <w:r w:rsidR="00061126">
        <w:rPr>
          <w:b/>
          <w:bCs/>
          <w:u w:val="single"/>
        </w:rPr>
        <w:t>lución para la parte Recurrente</w:t>
      </w:r>
    </w:p>
    <w:p w14:paraId="3448ED7D" w14:textId="77777777" w:rsidR="004C7F15" w:rsidRPr="00151CE9" w:rsidRDefault="004C7F15">
      <w:pPr>
        <w:spacing w:after="0" w:line="360" w:lineRule="auto"/>
      </w:pPr>
    </w:p>
    <w:p w14:paraId="6CCBAC26" w14:textId="77777777" w:rsidR="004C7F15" w:rsidRPr="00151CE9" w:rsidRDefault="00135DA2">
      <w:pPr>
        <w:spacing w:after="0" w:line="360" w:lineRule="auto"/>
        <w:rPr>
          <w:u w:val="single"/>
        </w:rPr>
      </w:pPr>
      <w:r w:rsidRPr="00151CE9">
        <w:rPr>
          <w:u w:val="single"/>
        </w:rPr>
        <w:t xml:space="preserve">Se hace del conocimiento de parte Recurrente que este Organismo Garante determinó que no se entregó la información completa, dado que se indicó el nombre y motivos de baja del personal que dejó de laborar en el periodo de enero a septiembre, sin embargo, se debió atender a un periodo de búsqueda, hasta la fecha de su solicitud, por tanto, se ordena la información faltante. </w:t>
      </w:r>
    </w:p>
    <w:p w14:paraId="5C98228B" w14:textId="77777777" w:rsidR="004C7F15" w:rsidRPr="00151CE9" w:rsidRDefault="004C7F15">
      <w:pPr>
        <w:spacing w:after="0" w:line="360" w:lineRule="auto"/>
        <w:rPr>
          <w:u w:val="single"/>
        </w:rPr>
      </w:pPr>
    </w:p>
    <w:p w14:paraId="53720856" w14:textId="77777777" w:rsidR="004C7F15" w:rsidRPr="00151CE9" w:rsidRDefault="00135DA2">
      <w:pPr>
        <w:spacing w:after="0" w:line="360" w:lineRule="auto"/>
        <w:rPr>
          <w:u w:val="single"/>
        </w:rPr>
      </w:pPr>
      <w:r w:rsidRPr="00151CE9">
        <w:rPr>
          <w:u w:val="single"/>
        </w:rPr>
        <w:t>Es necesario mencionar que para el caso de que la información tenga datos personales será necesaria su entrega en versión pública, lo que significa que se testan los datos personales y se entrega acompañada de un acuerdo en el que se expresen las razones por las que se protegen dichos datos.</w:t>
      </w:r>
    </w:p>
    <w:p w14:paraId="58B69CEA" w14:textId="77777777" w:rsidR="004C7F15" w:rsidRPr="00151CE9" w:rsidRDefault="004C7F15">
      <w:pPr>
        <w:spacing w:after="0" w:line="360" w:lineRule="auto"/>
        <w:rPr>
          <w:u w:val="single"/>
        </w:rPr>
      </w:pPr>
    </w:p>
    <w:p w14:paraId="70AE9665" w14:textId="77777777" w:rsidR="004C7F15" w:rsidRPr="00151CE9" w:rsidRDefault="00135DA2">
      <w:pPr>
        <w:spacing w:after="0" w:line="360" w:lineRule="auto"/>
        <w:rPr>
          <w:u w:val="single"/>
        </w:rPr>
      </w:pPr>
      <w:r w:rsidRPr="00151CE9">
        <w:rPr>
          <w:u w:val="single"/>
        </w:rPr>
        <w:t xml:space="preserve">Asimismo, se le informa que, de la documentación entregada en respuesta, se dejaron visibles datos personales confidenciales, por lo que, se dará vista a la instancia correspondiente para investigar dicha situación y determinar lo conducente; sin embargo, se le invita de la manera más atenta a evitar el mal uso de los datos personales que le fueron entregados. </w:t>
      </w:r>
    </w:p>
    <w:p w14:paraId="74CC9547" w14:textId="77777777" w:rsidR="004C7F15" w:rsidRPr="00151CE9" w:rsidRDefault="004C7F15">
      <w:pPr>
        <w:spacing w:after="0" w:line="360" w:lineRule="auto"/>
        <w:rPr>
          <w:u w:val="single"/>
        </w:rPr>
      </w:pPr>
    </w:p>
    <w:p w14:paraId="6787B6E8" w14:textId="77777777" w:rsidR="004C7F15" w:rsidRPr="00151CE9" w:rsidRDefault="00135DA2">
      <w:pPr>
        <w:spacing w:after="0" w:line="360" w:lineRule="auto"/>
        <w:rPr>
          <w:u w:val="single"/>
        </w:rPr>
      </w:pPr>
      <w:r w:rsidRPr="00151CE9">
        <w:rPr>
          <w:u w:val="single"/>
        </w:rPr>
        <w:t>La labor del INFOEM, es apoyar a la población para acceder a la información pública y garantizar la protección de sus datos personales.</w:t>
      </w:r>
    </w:p>
    <w:p w14:paraId="5C80D4B2" w14:textId="77777777" w:rsidR="004C7F15" w:rsidRPr="00151CE9" w:rsidRDefault="004C7F15">
      <w:pPr>
        <w:spacing w:after="0" w:line="360" w:lineRule="auto"/>
        <w:rPr>
          <w:u w:val="single"/>
        </w:rPr>
      </w:pPr>
    </w:p>
    <w:p w14:paraId="556C9884" w14:textId="77777777" w:rsidR="004C7F15" w:rsidRPr="00151CE9" w:rsidRDefault="00135DA2">
      <w:pPr>
        <w:pStyle w:val="Ttulo1"/>
        <w:spacing w:before="0" w:after="0"/>
        <w:rPr>
          <w:b w:val="0"/>
          <w:bCs w:val="0"/>
          <w:sz w:val="22"/>
          <w:szCs w:val="22"/>
        </w:rPr>
      </w:pPr>
      <w:bookmarkStart w:id="34" w:name="_heading=h.ugj5kpei59e1" w:colFirst="0" w:colLast="0"/>
      <w:bookmarkStart w:id="35" w:name="_Toc223619806"/>
      <w:bookmarkEnd w:id="34"/>
      <w:r w:rsidRPr="00151CE9">
        <w:rPr>
          <w:sz w:val="22"/>
          <w:szCs w:val="22"/>
        </w:rPr>
        <w:lastRenderedPageBreak/>
        <w:t>R E S U E L V E</w:t>
      </w:r>
      <w:bookmarkEnd w:id="35"/>
    </w:p>
    <w:p w14:paraId="4223D05A" w14:textId="77777777" w:rsidR="004C7F15" w:rsidRPr="00151CE9" w:rsidRDefault="004C7F15">
      <w:pPr>
        <w:spacing w:after="0" w:line="360" w:lineRule="auto"/>
        <w:rPr>
          <w:b/>
          <w:bCs/>
        </w:rPr>
      </w:pPr>
    </w:p>
    <w:p w14:paraId="72FCE2B6" w14:textId="77777777" w:rsidR="004C7F15" w:rsidRPr="00151CE9" w:rsidRDefault="00135DA2">
      <w:pPr>
        <w:spacing w:after="0" w:line="360" w:lineRule="auto"/>
      </w:pPr>
      <w:r w:rsidRPr="00151CE9">
        <w:rPr>
          <w:b/>
          <w:bCs/>
        </w:rPr>
        <w:t xml:space="preserve">PRIMERO. </w:t>
      </w:r>
      <w:r w:rsidRPr="00151CE9">
        <w:t xml:space="preserve">Se </w:t>
      </w:r>
      <w:r w:rsidRPr="00151CE9">
        <w:rPr>
          <w:b/>
          <w:bCs/>
        </w:rPr>
        <w:t>MODIFICA</w:t>
      </w:r>
      <w:r w:rsidRPr="00151CE9">
        <w:t xml:space="preserve"> la respuesta entregada por el Sistema Municipal para el Desarrollo Integral de la Familia de Juchitepec a la solicitud de información 00039/DIFJUCHITEPEC/IP/2025 por resultar parcialmente fundadas las razones o motivos de inconformidad hechos valer por la persona Recurrente en el Recurso de Revisión 00281/INFOEM/IP/RR/2026, en términos de los considerandos QUINTO y SEXTO de la presente Resolución.</w:t>
      </w:r>
    </w:p>
    <w:p w14:paraId="6A924E09" w14:textId="77777777" w:rsidR="004C7F15" w:rsidRPr="00151CE9" w:rsidRDefault="004C7F15">
      <w:pPr>
        <w:spacing w:after="0" w:line="360" w:lineRule="auto"/>
      </w:pPr>
    </w:p>
    <w:p w14:paraId="38FCE856" w14:textId="476EE7CE" w:rsidR="00736BC1" w:rsidRPr="00151CE9" w:rsidRDefault="00135DA2">
      <w:pPr>
        <w:spacing w:after="0" w:line="360" w:lineRule="auto"/>
      </w:pPr>
      <w:bookmarkStart w:id="36" w:name="_heading=h.argy21qnkmhr" w:colFirst="0" w:colLast="0"/>
      <w:bookmarkEnd w:id="36"/>
      <w:r w:rsidRPr="00151CE9">
        <w:rPr>
          <w:b/>
          <w:bCs/>
        </w:rPr>
        <w:t xml:space="preserve">SEGUNDO. </w:t>
      </w:r>
      <w:r w:rsidRPr="00151CE9">
        <w:t xml:space="preserve">Se </w:t>
      </w:r>
      <w:r w:rsidRPr="00151CE9">
        <w:rPr>
          <w:b/>
          <w:bCs/>
        </w:rPr>
        <w:t>ORDENA</w:t>
      </w:r>
      <w:r w:rsidRPr="00151CE9">
        <w:t xml:space="preserve"> al Sujeto Obligado a efecto de entregue a través del SAIMEX, previa búsqueda exhaustiva y razonable en las unidades administrativas competentes,</w:t>
      </w:r>
      <w:r w:rsidR="00736BC1" w:rsidRPr="00151CE9">
        <w:t xml:space="preserve"> en su caso en versión pública, respecto al personal dado de baja del primero al treinta y uno de octubre de dos mil veinticinco, los documentos donde conste lo siguiente:</w:t>
      </w:r>
    </w:p>
    <w:p w14:paraId="6FF2A9CE" w14:textId="77777777" w:rsidR="004C7F15" w:rsidRPr="00151CE9" w:rsidRDefault="004C7F15">
      <w:pPr>
        <w:spacing w:after="0" w:line="360" w:lineRule="auto"/>
      </w:pPr>
    </w:p>
    <w:p w14:paraId="4B69259E" w14:textId="2F42930D" w:rsidR="004C7F15" w:rsidRPr="00151CE9" w:rsidRDefault="00736BC1">
      <w:pPr>
        <w:numPr>
          <w:ilvl w:val="0"/>
          <w:numId w:val="11"/>
        </w:numPr>
        <w:pBdr>
          <w:top w:val="nil"/>
          <w:left w:val="nil"/>
          <w:bottom w:val="nil"/>
          <w:right w:val="nil"/>
          <w:between w:val="nil"/>
        </w:pBdr>
        <w:spacing w:after="0" w:line="360" w:lineRule="auto"/>
        <w:rPr>
          <w:b/>
          <w:bCs/>
          <w:color w:val="000000"/>
        </w:rPr>
      </w:pPr>
      <w:r w:rsidRPr="00151CE9">
        <w:rPr>
          <w:color w:val="000000"/>
        </w:rPr>
        <w:t>El nombre y los motivos de baja.</w:t>
      </w:r>
    </w:p>
    <w:p w14:paraId="1BD4F9E3" w14:textId="77777777" w:rsidR="004C7F15" w:rsidRPr="00151CE9" w:rsidRDefault="004C7F15">
      <w:pPr>
        <w:spacing w:after="0" w:line="360" w:lineRule="auto"/>
        <w:rPr>
          <w:b/>
          <w:bCs/>
        </w:rPr>
      </w:pPr>
    </w:p>
    <w:p w14:paraId="54834AFC" w14:textId="77777777" w:rsidR="004C7F15" w:rsidRPr="00151CE9" w:rsidRDefault="00135DA2">
      <w:pPr>
        <w:spacing w:after="0" w:line="360" w:lineRule="auto"/>
        <w:rPr>
          <w:color w:val="000000"/>
        </w:rPr>
      </w:pPr>
      <w:r w:rsidRPr="00151CE9">
        <w:rPr>
          <w:color w:val="000000"/>
        </w:rPr>
        <w:t>Para el caso de que la información tenga datos personales confidenciales, deberá realizar la versión pública correspondiente y proporcionar el Acuerdo de Clasificación donde el Comité de Transparencia, confirme la eliminación de los datos confidenciales de acuerdo con los artículos 49, fracciones II y VIII, 132, fracción II, 143, fracción I y 149 de la Ley de Transparencia y Acceso a la Información Pública del Estado de México y Municipios.</w:t>
      </w:r>
    </w:p>
    <w:p w14:paraId="4BE0975D" w14:textId="77777777" w:rsidR="004C7F15" w:rsidRPr="00151CE9" w:rsidRDefault="004C7F15">
      <w:pPr>
        <w:spacing w:after="0" w:line="360" w:lineRule="auto"/>
        <w:rPr>
          <w:color w:val="000000"/>
        </w:rPr>
      </w:pPr>
    </w:p>
    <w:p w14:paraId="021BA142" w14:textId="77777777" w:rsidR="004C7F15" w:rsidRPr="00151CE9" w:rsidRDefault="00135DA2">
      <w:pPr>
        <w:spacing w:after="0" w:line="360" w:lineRule="auto"/>
        <w:rPr>
          <w:color w:val="000000"/>
        </w:rPr>
      </w:pPr>
      <w:r w:rsidRPr="00151CE9">
        <w:rPr>
          <w:color w:val="000000"/>
        </w:rPr>
        <w:t xml:space="preserve">Para el caso de que, derivado de la búsqueda exhaustiva y razonable, las áreas competentes determinen que ninguna persona servidora pública </w:t>
      </w:r>
      <w:r w:rsidRPr="00151CE9">
        <w:t>causó</w:t>
      </w:r>
      <w:r w:rsidRPr="00151CE9">
        <w:rPr>
          <w:color w:val="000000"/>
        </w:rPr>
        <w:t xml:space="preserve"> baja durante la temporalidad ordenada, </w:t>
      </w:r>
      <w:r w:rsidRPr="00151CE9">
        <w:t xml:space="preserve">bastará con que lo haga del conocimiento del Particular de manera precisa y clara. </w:t>
      </w:r>
    </w:p>
    <w:p w14:paraId="7906059D" w14:textId="77777777" w:rsidR="004C7F15" w:rsidRPr="00151CE9" w:rsidRDefault="004C7F15">
      <w:pPr>
        <w:spacing w:after="0" w:line="360" w:lineRule="auto"/>
        <w:rPr>
          <w:b/>
          <w:bCs/>
        </w:rPr>
      </w:pPr>
    </w:p>
    <w:p w14:paraId="7712516B" w14:textId="77777777" w:rsidR="004C7F15" w:rsidRPr="00151CE9" w:rsidRDefault="00135DA2">
      <w:pPr>
        <w:spacing w:after="0" w:line="360" w:lineRule="auto"/>
      </w:pPr>
      <w:r w:rsidRPr="00151CE9">
        <w:rPr>
          <w:b/>
          <w:bCs/>
        </w:rPr>
        <w:lastRenderedPageBreak/>
        <w:t xml:space="preserve">TERCERO. NOTIFÍQUESE POR SAIMEX </w:t>
      </w:r>
      <w:r w:rsidRPr="00151CE9">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referida.</w:t>
      </w:r>
    </w:p>
    <w:p w14:paraId="14CA70AE" w14:textId="77777777" w:rsidR="004C7F15" w:rsidRPr="00151CE9" w:rsidRDefault="004C7F15">
      <w:pPr>
        <w:spacing w:after="0" w:line="360" w:lineRule="auto"/>
      </w:pPr>
    </w:p>
    <w:p w14:paraId="355191F6" w14:textId="77777777" w:rsidR="004C7F15" w:rsidRPr="00151CE9" w:rsidRDefault="00135DA2">
      <w:pPr>
        <w:spacing w:after="0" w:line="360" w:lineRule="auto"/>
      </w:pPr>
      <w:r w:rsidRPr="00151CE9">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1559608A" w14:textId="77777777" w:rsidR="004C7F15" w:rsidRPr="00151CE9" w:rsidRDefault="004C7F15">
      <w:pPr>
        <w:spacing w:after="0" w:line="360" w:lineRule="auto"/>
      </w:pPr>
    </w:p>
    <w:p w14:paraId="20D93D44" w14:textId="77777777" w:rsidR="004C7F15" w:rsidRPr="00151CE9" w:rsidRDefault="00135DA2">
      <w:pPr>
        <w:spacing w:after="0" w:line="360" w:lineRule="auto"/>
      </w:pPr>
      <w:r w:rsidRPr="00151CE9">
        <w:rPr>
          <w:b/>
          <w:bCs/>
        </w:rPr>
        <w:t>CUARTO. NOTIFÍQUESE</w:t>
      </w:r>
      <w:r w:rsidRPr="00151CE9">
        <w:t xml:space="preserve"> </w:t>
      </w:r>
      <w:r w:rsidRPr="00151CE9">
        <w:rPr>
          <w:b/>
          <w:bCs/>
        </w:rPr>
        <w:t xml:space="preserve">POR SAIMEX </w:t>
      </w:r>
      <w:r w:rsidRPr="00151CE9">
        <w:t>a la parte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491016D8" w14:textId="77777777" w:rsidR="004C7F15" w:rsidRPr="00151CE9" w:rsidRDefault="004C7F15">
      <w:pPr>
        <w:spacing w:after="0" w:line="360" w:lineRule="auto"/>
      </w:pPr>
    </w:p>
    <w:p w14:paraId="09493EB4" w14:textId="77777777" w:rsidR="004C7F15" w:rsidRPr="00151CE9" w:rsidRDefault="00135DA2">
      <w:pPr>
        <w:spacing w:after="0" w:line="360" w:lineRule="auto"/>
        <w:rPr>
          <w:color w:val="000000"/>
        </w:rPr>
      </w:pPr>
      <w:r w:rsidRPr="00151CE9">
        <w:rPr>
          <w:b/>
          <w:bCs/>
          <w:color w:val="000000"/>
        </w:rPr>
        <w:t>QUINTO</w:t>
      </w:r>
      <w:r w:rsidRPr="00151CE9">
        <w:rPr>
          <w:color w:val="000000"/>
        </w:rPr>
        <w:t>. Con fundamento en lo dispuesto en el artículo 24, fracciones XI, XII y XIII del Reglamento Interior del Instituto de Transparencia, Acceso a la Información Pública y Protección de Datos Personales del Estado de México y Municipios, gírese oficio a la Dirección General de Protección de Datos Personales de este Instituto, en términos de lo dispuesto en el Considerando SÉPTIMO de la presente Resolución.</w:t>
      </w:r>
    </w:p>
    <w:p w14:paraId="59F737E3" w14:textId="77777777" w:rsidR="004C7F15" w:rsidRPr="00151CE9" w:rsidRDefault="004C7F15">
      <w:pPr>
        <w:spacing w:after="0" w:line="360" w:lineRule="auto"/>
      </w:pPr>
    </w:p>
    <w:p w14:paraId="7C27D7A7" w14:textId="77777777" w:rsidR="004C7F15" w:rsidRDefault="00135DA2">
      <w:pPr>
        <w:spacing w:after="0" w:line="360" w:lineRule="auto"/>
      </w:pPr>
      <w:r w:rsidRPr="00151CE9">
        <w:lastRenderedPageBreak/>
        <w:t xml:space="preserve">ASÍ LO RESUELVE, POR </w:t>
      </w:r>
      <w:r w:rsidRPr="00151CE9">
        <w:rPr>
          <w:b/>
          <w:bCs/>
        </w:rPr>
        <w:t>UNANIMIDAD</w:t>
      </w:r>
      <w:r w:rsidRPr="00151CE9">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p>
    <w:p w14:paraId="1F8919DB" w14:textId="77777777" w:rsidR="004C7F15" w:rsidRDefault="004C7F15">
      <w:pPr>
        <w:pStyle w:val="Ttulo2"/>
        <w:spacing w:before="0" w:after="0"/>
        <w:rPr>
          <w:b w:val="0"/>
          <w:bCs w:val="0"/>
        </w:rPr>
      </w:pPr>
    </w:p>
    <w:p w14:paraId="69B1A785" w14:textId="77777777" w:rsidR="004C7F15" w:rsidRDefault="004C7F15">
      <w:pPr>
        <w:spacing w:after="0" w:line="360" w:lineRule="auto"/>
      </w:pPr>
    </w:p>
    <w:p w14:paraId="5F7485A9" w14:textId="77777777" w:rsidR="004C7F15" w:rsidRDefault="004C7F15">
      <w:pPr>
        <w:spacing w:after="0" w:line="360" w:lineRule="auto"/>
      </w:pPr>
    </w:p>
    <w:p w14:paraId="14389743" w14:textId="77777777" w:rsidR="004C7F15" w:rsidRDefault="004C7F15">
      <w:pPr>
        <w:spacing w:after="0" w:line="360" w:lineRule="auto"/>
      </w:pPr>
    </w:p>
    <w:p w14:paraId="5A0FAA46" w14:textId="77777777" w:rsidR="004C7F15" w:rsidRDefault="004C7F15">
      <w:pPr>
        <w:spacing w:after="0" w:line="360" w:lineRule="auto"/>
      </w:pPr>
    </w:p>
    <w:p w14:paraId="26041D77" w14:textId="77777777" w:rsidR="004C7F15" w:rsidRDefault="004C7F15">
      <w:pPr>
        <w:spacing w:after="0" w:line="360" w:lineRule="auto"/>
      </w:pPr>
    </w:p>
    <w:p w14:paraId="06EB3680" w14:textId="77777777" w:rsidR="004C7F15" w:rsidRDefault="004C7F15">
      <w:pPr>
        <w:spacing w:after="0" w:line="360" w:lineRule="auto"/>
      </w:pPr>
    </w:p>
    <w:p w14:paraId="08967EEE" w14:textId="77777777" w:rsidR="004C7F15" w:rsidRDefault="004C7F15">
      <w:pPr>
        <w:spacing w:after="0" w:line="360" w:lineRule="auto"/>
      </w:pPr>
    </w:p>
    <w:p w14:paraId="10902D4E" w14:textId="77777777" w:rsidR="004C7F15" w:rsidRDefault="004C7F15">
      <w:pPr>
        <w:spacing w:after="0" w:line="360" w:lineRule="auto"/>
      </w:pPr>
    </w:p>
    <w:p w14:paraId="0626CFB3" w14:textId="77777777" w:rsidR="004C7F15" w:rsidRDefault="004C7F15">
      <w:pPr>
        <w:spacing w:after="0" w:line="360" w:lineRule="auto"/>
      </w:pPr>
    </w:p>
    <w:p w14:paraId="19FAA8A6" w14:textId="77777777" w:rsidR="004C7F15" w:rsidRDefault="004C7F15">
      <w:pPr>
        <w:spacing w:after="0" w:line="360" w:lineRule="auto"/>
      </w:pPr>
    </w:p>
    <w:p w14:paraId="402498A2" w14:textId="77777777" w:rsidR="004C7F15" w:rsidRDefault="004C7F15">
      <w:pPr>
        <w:spacing w:after="0" w:line="360" w:lineRule="auto"/>
      </w:pPr>
    </w:p>
    <w:p w14:paraId="57005EC2" w14:textId="77777777" w:rsidR="004C7F15" w:rsidRDefault="004C7F15">
      <w:pPr>
        <w:spacing w:after="0" w:line="360" w:lineRule="auto"/>
      </w:pPr>
    </w:p>
    <w:p w14:paraId="4440257F" w14:textId="77777777" w:rsidR="004C7F15" w:rsidRDefault="004C7F15">
      <w:pPr>
        <w:spacing w:after="0" w:line="360" w:lineRule="auto"/>
      </w:pPr>
    </w:p>
    <w:p w14:paraId="6BEB5DFD" w14:textId="77777777" w:rsidR="004C7F15" w:rsidRDefault="004C7F15">
      <w:pPr>
        <w:spacing w:after="0" w:line="360" w:lineRule="auto"/>
      </w:pPr>
    </w:p>
    <w:p w14:paraId="3F819F7B" w14:textId="77777777" w:rsidR="004C7F15" w:rsidRDefault="004C7F15">
      <w:pPr>
        <w:spacing w:after="0" w:line="360" w:lineRule="auto"/>
      </w:pPr>
    </w:p>
    <w:p w14:paraId="6AD0132A" w14:textId="77777777" w:rsidR="004C7F15" w:rsidRDefault="004C7F15">
      <w:pPr>
        <w:spacing w:after="0" w:line="360" w:lineRule="auto"/>
      </w:pPr>
    </w:p>
    <w:p w14:paraId="4B7C1829" w14:textId="77777777" w:rsidR="004C7F15" w:rsidRDefault="004C7F15">
      <w:pPr>
        <w:spacing w:after="0" w:line="360" w:lineRule="auto"/>
      </w:pPr>
    </w:p>
    <w:p w14:paraId="72B7B7EE" w14:textId="77777777" w:rsidR="004C7F15" w:rsidRDefault="004C7F15">
      <w:pPr>
        <w:spacing w:after="0" w:line="360" w:lineRule="auto"/>
      </w:pPr>
    </w:p>
    <w:p w14:paraId="0D1819E7" w14:textId="77777777" w:rsidR="004C7F15" w:rsidRDefault="004C7F15">
      <w:pPr>
        <w:spacing w:after="0" w:line="360" w:lineRule="auto"/>
      </w:pPr>
    </w:p>
    <w:p w14:paraId="70A670E2" w14:textId="77777777" w:rsidR="004C7F15" w:rsidRDefault="004C7F15">
      <w:pPr>
        <w:spacing w:after="0" w:line="360" w:lineRule="auto"/>
      </w:pPr>
    </w:p>
    <w:p w14:paraId="3C457042" w14:textId="77777777" w:rsidR="004C7F15" w:rsidRDefault="004C7F15">
      <w:pPr>
        <w:spacing w:after="0" w:line="360" w:lineRule="auto"/>
      </w:pPr>
    </w:p>
    <w:p w14:paraId="4EF06C04" w14:textId="77777777" w:rsidR="004C7F15" w:rsidRDefault="004C7F15">
      <w:pPr>
        <w:spacing w:after="0" w:line="360" w:lineRule="auto"/>
      </w:pPr>
    </w:p>
    <w:p w14:paraId="786CBFB3" w14:textId="77777777" w:rsidR="004C7F15" w:rsidRDefault="004C7F15">
      <w:pPr>
        <w:spacing w:after="0" w:line="360" w:lineRule="auto"/>
      </w:pPr>
    </w:p>
    <w:p w14:paraId="7F032598" w14:textId="77777777" w:rsidR="004C7F15" w:rsidRDefault="004C7F15">
      <w:pPr>
        <w:spacing w:after="0" w:line="360" w:lineRule="auto"/>
      </w:pPr>
    </w:p>
    <w:p w14:paraId="36C623E4" w14:textId="77777777" w:rsidR="004C7F15" w:rsidRDefault="004C7F15">
      <w:pPr>
        <w:spacing w:after="0" w:line="360" w:lineRule="auto"/>
      </w:pPr>
    </w:p>
    <w:sectPr w:rsidR="004C7F15">
      <w:headerReference w:type="even" r:id="rId10"/>
      <w:headerReference w:type="default" r:id="rId11"/>
      <w:footerReference w:type="even" r:id="rId12"/>
      <w:footerReference w:type="default" r:id="rId13"/>
      <w:headerReference w:type="first" r:id="rId14"/>
      <w:footerReference w:type="first" r:id="rId15"/>
      <w:pgSz w:w="12240" w:h="15840"/>
      <w:pgMar w:top="1418" w:right="1325"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B7F7B" w14:textId="77777777" w:rsidR="0045526F" w:rsidRDefault="0045526F">
      <w:pPr>
        <w:spacing w:after="0" w:line="240" w:lineRule="auto"/>
      </w:pPr>
      <w:r>
        <w:separator/>
      </w:r>
    </w:p>
  </w:endnote>
  <w:endnote w:type="continuationSeparator" w:id="0">
    <w:p w14:paraId="273E9EF6" w14:textId="77777777" w:rsidR="0045526F" w:rsidRDefault="00455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653501F4-F9E2-421E-BE1F-CCA9D70690BF}"/>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3EE9123B-CFBB-4619-8774-1074E2951DFC}"/>
    <w:embedBold r:id="rId3" w:fontKey="{76AF7012-788A-4D42-A713-81F8C971FBF2}"/>
    <w:embedItalic r:id="rId4" w:fontKey="{6FC21A15-94FA-4541-ABCE-C82E1C5285BB}"/>
    <w:embedBoldItalic r:id="rId5" w:fontKey="{037095D3-2023-4896-9962-08F0B9FB9208}"/>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6" w:fontKey="{312ECD41-877C-4EA7-AF52-40170A6C8838}"/>
  </w:font>
  <w:font w:name="Georgia">
    <w:panose1 w:val="02040502050405020303"/>
    <w:charset w:val="00"/>
    <w:family w:val="roman"/>
    <w:pitch w:val="variable"/>
    <w:sig w:usb0="00000287" w:usb1="00000000" w:usb2="00000000" w:usb3="00000000" w:csb0="0000009F" w:csb1="00000000"/>
    <w:embedItalic r:id="rId7" w:fontKey="{64EC7EDB-CDE0-42B6-9290-C3549C756B6E}"/>
  </w:font>
  <w:font w:name="Calibri">
    <w:panose1 w:val="020F0502020204030204"/>
    <w:charset w:val="00"/>
    <w:family w:val="swiss"/>
    <w:pitch w:val="variable"/>
    <w:sig w:usb0="E4002EFF" w:usb1="C000247B" w:usb2="00000009" w:usb3="00000000" w:csb0="000001FF" w:csb1="00000000"/>
    <w:embedRegular r:id="rId8" w:fontKey="{D2ED7536-1E65-4B64-B1EE-1FD06832A3A6}"/>
  </w:font>
  <w:font w:name="Tahoma">
    <w:panose1 w:val="020B0604030504040204"/>
    <w:charset w:val="00"/>
    <w:family w:val="swiss"/>
    <w:pitch w:val="variable"/>
    <w:sig w:usb0="E1002EFF" w:usb1="C000605B" w:usb2="00000029" w:usb3="00000000" w:csb0="000101FF" w:csb1="00000000"/>
    <w:embedBoldItalic r:id="rId9" w:fontKey="{F9B71BE8-A1D9-4C6F-AD2B-F6B79F0720AB}"/>
  </w:font>
  <w:font w:name="Garamond">
    <w:panose1 w:val="02020404030301010803"/>
    <w:charset w:val="00"/>
    <w:family w:val="roman"/>
    <w:pitch w:val="variable"/>
    <w:sig w:usb0="00000287" w:usb1="00000000" w:usb2="00000000" w:usb3="00000000" w:csb0="0000009F" w:csb1="00000000"/>
    <w:embedRegular r:id="rId10" w:fontKey="{CCD92C58-2765-424C-9E5F-F87CD6E943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7955E" w14:textId="77777777" w:rsidR="004C7F15" w:rsidRDefault="00135DA2">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194559">
      <w:rPr>
        <w:b/>
        <w:bCs/>
        <w:noProof/>
        <w:color w:val="000000"/>
        <w:sz w:val="24"/>
        <w:szCs w:val="24"/>
      </w:rPr>
      <w:t>33</w:t>
    </w:r>
    <w:r>
      <w:rPr>
        <w:b/>
        <w:bCs/>
        <w:color w:val="000000"/>
        <w:sz w:val="24"/>
        <w:szCs w:val="24"/>
      </w:rPr>
      <w:fldChar w:fldCharType="end"/>
    </w:r>
  </w:p>
  <w:p w14:paraId="3D1A1662" w14:textId="77777777" w:rsidR="004C7F15" w:rsidRDefault="004C7F15">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774A6" w14:textId="77777777" w:rsidR="004C7F15" w:rsidRDefault="00135DA2">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194559">
      <w:rPr>
        <w:b/>
        <w:bCs/>
        <w:noProof/>
        <w:color w:val="000000"/>
        <w:sz w:val="24"/>
        <w:szCs w:val="24"/>
      </w:rPr>
      <w:t>32</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194559">
      <w:rPr>
        <w:b/>
        <w:bCs/>
        <w:noProof/>
        <w:color w:val="000000"/>
        <w:sz w:val="24"/>
        <w:szCs w:val="24"/>
      </w:rPr>
      <w:t>33</w:t>
    </w:r>
    <w:r>
      <w:rPr>
        <w:b/>
        <w:bCs/>
        <w:color w:val="000000"/>
        <w:sz w:val="24"/>
        <w:szCs w:val="24"/>
      </w:rPr>
      <w:fldChar w:fldCharType="end"/>
    </w:r>
  </w:p>
  <w:p w14:paraId="2EF2C724" w14:textId="77777777" w:rsidR="004C7F15" w:rsidRDefault="004C7F15">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08B9F" w14:textId="77777777" w:rsidR="004C7F15" w:rsidRDefault="00135DA2">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194559">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194559">
      <w:rPr>
        <w:b/>
        <w:bCs/>
        <w:noProof/>
        <w:color w:val="000000"/>
        <w:sz w:val="24"/>
        <w:szCs w:val="24"/>
      </w:rPr>
      <w:t>33</w:t>
    </w:r>
    <w:r>
      <w:rPr>
        <w:b/>
        <w:bCs/>
        <w:color w:val="000000"/>
        <w:sz w:val="24"/>
        <w:szCs w:val="24"/>
      </w:rPr>
      <w:fldChar w:fldCharType="end"/>
    </w:r>
  </w:p>
  <w:p w14:paraId="6E58FD05" w14:textId="77777777" w:rsidR="004C7F15" w:rsidRDefault="004C7F15">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108B8" w14:textId="77777777" w:rsidR="0045526F" w:rsidRDefault="0045526F">
      <w:pPr>
        <w:spacing w:after="0" w:line="240" w:lineRule="auto"/>
      </w:pPr>
      <w:r>
        <w:separator/>
      </w:r>
    </w:p>
  </w:footnote>
  <w:footnote w:type="continuationSeparator" w:id="0">
    <w:p w14:paraId="0424CC68" w14:textId="77777777" w:rsidR="0045526F" w:rsidRDefault="004552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BE5D1" w14:textId="77777777" w:rsidR="004C7F15" w:rsidRDefault="004C7F15">
    <w:pPr>
      <w:widowControl w:val="0"/>
      <w:pBdr>
        <w:top w:val="nil"/>
        <w:left w:val="nil"/>
        <w:bottom w:val="nil"/>
        <w:right w:val="nil"/>
        <w:between w:val="nil"/>
      </w:pBdr>
      <w:spacing w:after="0" w:line="276" w:lineRule="auto"/>
      <w:jc w:val="left"/>
      <w:rPr>
        <w:color w:val="000000"/>
      </w:rPr>
    </w:pPr>
  </w:p>
  <w:tbl>
    <w:tblPr>
      <w:tblStyle w:val="a"/>
      <w:tblW w:w="5991" w:type="dxa"/>
      <w:tblInd w:w="3544" w:type="dxa"/>
      <w:tblBorders>
        <w:top w:val="nil"/>
        <w:left w:val="nil"/>
        <w:bottom w:val="nil"/>
        <w:right w:val="nil"/>
        <w:insideH w:val="nil"/>
        <w:insideV w:val="nil"/>
      </w:tblBorders>
      <w:tblLayout w:type="fixed"/>
      <w:tblLook w:val="0400" w:firstRow="0" w:lastRow="0" w:firstColumn="0" w:lastColumn="0" w:noHBand="0" w:noVBand="1"/>
    </w:tblPr>
    <w:tblGrid>
      <w:gridCol w:w="2404"/>
      <w:gridCol w:w="3587"/>
    </w:tblGrid>
    <w:tr w:rsidR="004C7F15" w14:paraId="0405BD29" w14:textId="77777777">
      <w:trPr>
        <w:trHeight w:val="141"/>
      </w:trPr>
      <w:tc>
        <w:tcPr>
          <w:tcW w:w="2404" w:type="dxa"/>
        </w:tcPr>
        <w:p w14:paraId="453C5F3D" w14:textId="77777777" w:rsidR="004C7F15" w:rsidRDefault="00135DA2">
          <w:pPr>
            <w:tabs>
              <w:tab w:val="right" w:pos="8838"/>
            </w:tabs>
            <w:ind w:right="-105"/>
            <w:rPr>
              <w:b/>
              <w:bCs/>
            </w:rPr>
          </w:pPr>
          <w:r>
            <w:rPr>
              <w:b/>
              <w:bCs/>
            </w:rPr>
            <w:t>Recurso de Revisión:</w:t>
          </w:r>
        </w:p>
      </w:tc>
      <w:tc>
        <w:tcPr>
          <w:tcW w:w="3587" w:type="dxa"/>
        </w:tcPr>
        <w:p w14:paraId="381E789C" w14:textId="77777777" w:rsidR="004C7F15" w:rsidRDefault="00135DA2">
          <w:pPr>
            <w:tabs>
              <w:tab w:val="right" w:pos="8838"/>
            </w:tabs>
            <w:ind w:left="-28" w:right="683"/>
          </w:pPr>
          <w:r>
            <w:t>04196/INFOEM/IP/RR/2020</w:t>
          </w:r>
        </w:p>
      </w:tc>
    </w:tr>
    <w:tr w:rsidR="004C7F15" w14:paraId="70C4665E" w14:textId="77777777">
      <w:trPr>
        <w:trHeight w:val="276"/>
      </w:trPr>
      <w:tc>
        <w:tcPr>
          <w:tcW w:w="2404" w:type="dxa"/>
        </w:tcPr>
        <w:p w14:paraId="6B36821E" w14:textId="77777777" w:rsidR="004C7F15" w:rsidRDefault="00135DA2">
          <w:pPr>
            <w:tabs>
              <w:tab w:val="right" w:pos="8838"/>
            </w:tabs>
            <w:ind w:right="-105"/>
            <w:rPr>
              <w:b/>
              <w:bCs/>
            </w:rPr>
          </w:pPr>
          <w:r>
            <w:rPr>
              <w:b/>
              <w:bCs/>
            </w:rPr>
            <w:t>Sujeto Obligado:</w:t>
          </w:r>
        </w:p>
      </w:tc>
      <w:tc>
        <w:tcPr>
          <w:tcW w:w="3587" w:type="dxa"/>
        </w:tcPr>
        <w:p w14:paraId="252AA9E4" w14:textId="77777777" w:rsidR="004C7F15" w:rsidRDefault="00135DA2">
          <w:pPr>
            <w:tabs>
              <w:tab w:val="right" w:pos="8838"/>
            </w:tabs>
            <w:ind w:right="116"/>
          </w:pPr>
          <w:r>
            <w:t>Ayuntamiento de Chapultepec</w:t>
          </w:r>
        </w:p>
      </w:tc>
    </w:tr>
    <w:tr w:rsidR="004C7F15" w14:paraId="0769DAC3" w14:textId="77777777">
      <w:trPr>
        <w:trHeight w:val="276"/>
      </w:trPr>
      <w:tc>
        <w:tcPr>
          <w:tcW w:w="2404" w:type="dxa"/>
        </w:tcPr>
        <w:p w14:paraId="39981C7C" w14:textId="77777777" w:rsidR="004C7F15" w:rsidRDefault="00135DA2">
          <w:pPr>
            <w:tabs>
              <w:tab w:val="right" w:pos="8838"/>
            </w:tabs>
            <w:ind w:right="-105"/>
            <w:rPr>
              <w:b/>
              <w:bCs/>
            </w:rPr>
          </w:pPr>
          <w:r>
            <w:rPr>
              <w:b/>
              <w:bCs/>
            </w:rPr>
            <w:t>Comisionado Ponente:</w:t>
          </w:r>
        </w:p>
      </w:tc>
      <w:tc>
        <w:tcPr>
          <w:tcW w:w="3587" w:type="dxa"/>
        </w:tcPr>
        <w:p w14:paraId="1B899019" w14:textId="77777777" w:rsidR="004C7F15" w:rsidRDefault="00135DA2">
          <w:pPr>
            <w:tabs>
              <w:tab w:val="right" w:pos="8838"/>
            </w:tabs>
            <w:ind w:right="-32"/>
          </w:pPr>
          <w:r>
            <w:t>Luis Gustavo Parra Noriega</w:t>
          </w:r>
        </w:p>
      </w:tc>
    </w:tr>
  </w:tbl>
  <w:p w14:paraId="02FA2FDA" w14:textId="77777777" w:rsidR="004C7F15" w:rsidRDefault="0045526F">
    <w:pPr>
      <w:pBdr>
        <w:top w:val="nil"/>
        <w:left w:val="nil"/>
        <w:bottom w:val="nil"/>
        <w:right w:val="nil"/>
        <w:between w:val="nil"/>
      </w:pBdr>
      <w:tabs>
        <w:tab w:val="center" w:pos="4419"/>
        <w:tab w:val="right" w:pos="8838"/>
      </w:tabs>
      <w:spacing w:after="0" w:line="240" w:lineRule="auto"/>
      <w:rPr>
        <w:color w:val="000000"/>
      </w:rPr>
    </w:pPr>
    <w:r>
      <w:rPr>
        <w:color w:val="000000"/>
      </w:rPr>
      <w:pict w14:anchorId="756959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MARCA DE AGUA - HOJA RESOLUCIÓN" style="position:absolute;left:0;text-align:left;margin-left:0;margin-top:0;width:663.5pt;height:12in;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3F1E3" w14:textId="77777777" w:rsidR="004C7F15" w:rsidRDefault="004C7F15">
    <w:pPr>
      <w:rPr>
        <w:sz w:val="16"/>
        <w:szCs w:val="16"/>
      </w:rPr>
    </w:pPr>
  </w:p>
  <w:tbl>
    <w:tblPr>
      <w:tblStyle w:val="a0"/>
      <w:tblW w:w="6946" w:type="dxa"/>
      <w:tblInd w:w="2552" w:type="dxa"/>
      <w:tblLayout w:type="fixed"/>
      <w:tblLook w:val="0400" w:firstRow="0" w:lastRow="0" w:firstColumn="0" w:lastColumn="0" w:noHBand="0" w:noVBand="1"/>
    </w:tblPr>
    <w:tblGrid>
      <w:gridCol w:w="2552"/>
      <w:gridCol w:w="4394"/>
    </w:tblGrid>
    <w:tr w:rsidR="004C7F15" w14:paraId="6525A688" w14:textId="77777777" w:rsidTr="00736BC1">
      <w:trPr>
        <w:trHeight w:val="156"/>
      </w:trPr>
      <w:tc>
        <w:tcPr>
          <w:tcW w:w="2552" w:type="dxa"/>
        </w:tcPr>
        <w:p w14:paraId="194381A3" w14:textId="77777777" w:rsidR="004C7F15" w:rsidRDefault="00135DA2">
          <w:pPr>
            <w:tabs>
              <w:tab w:val="right" w:pos="8838"/>
            </w:tabs>
            <w:ind w:left="-395" w:right="-105" w:firstLine="395"/>
            <w:rPr>
              <w:b/>
              <w:bCs/>
            </w:rPr>
          </w:pPr>
          <w:r>
            <w:rPr>
              <w:b/>
              <w:bCs/>
            </w:rPr>
            <w:t>Recurso de Revisión:</w:t>
          </w:r>
        </w:p>
      </w:tc>
      <w:tc>
        <w:tcPr>
          <w:tcW w:w="4394" w:type="dxa"/>
        </w:tcPr>
        <w:p w14:paraId="4DD0FA78" w14:textId="77777777" w:rsidR="004C7F15" w:rsidRDefault="00135DA2">
          <w:pPr>
            <w:tabs>
              <w:tab w:val="right" w:pos="8838"/>
            </w:tabs>
            <w:ind w:right="176"/>
          </w:pPr>
          <w:r>
            <w:t>00281/INFOEM/IP/RR/2026</w:t>
          </w:r>
        </w:p>
      </w:tc>
    </w:tr>
    <w:tr w:rsidR="004C7F15" w14:paraId="47A17669" w14:textId="77777777" w:rsidTr="00736BC1">
      <w:trPr>
        <w:trHeight w:val="295"/>
      </w:trPr>
      <w:tc>
        <w:tcPr>
          <w:tcW w:w="2552" w:type="dxa"/>
        </w:tcPr>
        <w:p w14:paraId="7072A08C" w14:textId="77777777" w:rsidR="004C7F15" w:rsidRDefault="00135DA2">
          <w:pPr>
            <w:tabs>
              <w:tab w:val="right" w:pos="8838"/>
            </w:tabs>
            <w:ind w:right="-105"/>
            <w:rPr>
              <w:b/>
              <w:bCs/>
            </w:rPr>
          </w:pPr>
          <w:r>
            <w:rPr>
              <w:b/>
              <w:bCs/>
            </w:rPr>
            <w:t>Sujeto Obligado:</w:t>
          </w:r>
        </w:p>
      </w:tc>
      <w:tc>
        <w:tcPr>
          <w:tcW w:w="4394" w:type="dxa"/>
        </w:tcPr>
        <w:p w14:paraId="7885FF56" w14:textId="77777777" w:rsidR="004C7F15" w:rsidRDefault="00135DA2">
          <w:pPr>
            <w:tabs>
              <w:tab w:val="left" w:pos="3158"/>
              <w:tab w:val="left" w:pos="4292"/>
              <w:tab w:val="right" w:pos="8838"/>
            </w:tabs>
            <w:ind w:right="176"/>
          </w:pPr>
          <w:r>
            <w:t>Sistema Municipal para el Desarrollo Integral de la Familia de Juchitepec</w:t>
          </w:r>
        </w:p>
      </w:tc>
    </w:tr>
    <w:tr w:rsidR="004C7F15" w14:paraId="48633701" w14:textId="77777777" w:rsidTr="00736BC1">
      <w:trPr>
        <w:trHeight w:val="306"/>
      </w:trPr>
      <w:tc>
        <w:tcPr>
          <w:tcW w:w="2552" w:type="dxa"/>
        </w:tcPr>
        <w:p w14:paraId="184870D7" w14:textId="77777777" w:rsidR="004C7F15" w:rsidRDefault="00135DA2">
          <w:pPr>
            <w:tabs>
              <w:tab w:val="right" w:pos="8838"/>
            </w:tabs>
            <w:ind w:right="-105"/>
            <w:rPr>
              <w:b/>
              <w:bCs/>
            </w:rPr>
          </w:pPr>
          <w:r>
            <w:rPr>
              <w:b/>
              <w:bCs/>
            </w:rPr>
            <w:t>Comisionado Ponente:</w:t>
          </w:r>
        </w:p>
      </w:tc>
      <w:tc>
        <w:tcPr>
          <w:tcW w:w="4394" w:type="dxa"/>
        </w:tcPr>
        <w:p w14:paraId="2E1DA1A7" w14:textId="77777777" w:rsidR="004C7F15" w:rsidRDefault="00135DA2">
          <w:pPr>
            <w:tabs>
              <w:tab w:val="right" w:pos="8838"/>
            </w:tabs>
            <w:ind w:right="176"/>
          </w:pPr>
          <w:r>
            <w:t>Luis Gustavo Parra Noriega</w:t>
          </w:r>
        </w:p>
        <w:p w14:paraId="41CF4A53" w14:textId="77777777" w:rsidR="004C7F15" w:rsidRDefault="004C7F15">
          <w:pPr>
            <w:tabs>
              <w:tab w:val="right" w:pos="8838"/>
            </w:tabs>
            <w:ind w:right="176"/>
          </w:pPr>
        </w:p>
      </w:tc>
    </w:tr>
  </w:tbl>
  <w:p w14:paraId="21420DF0" w14:textId="77777777" w:rsidR="004C7F15" w:rsidRDefault="0045526F">
    <w:pPr>
      <w:pBdr>
        <w:top w:val="nil"/>
        <w:left w:val="nil"/>
        <w:bottom w:val="nil"/>
        <w:right w:val="nil"/>
        <w:between w:val="nil"/>
      </w:pBdr>
      <w:tabs>
        <w:tab w:val="center" w:pos="4419"/>
        <w:tab w:val="right" w:pos="8838"/>
      </w:tabs>
      <w:spacing w:after="0" w:line="240" w:lineRule="auto"/>
      <w:rPr>
        <w:color w:val="000000"/>
      </w:rPr>
    </w:pPr>
    <w:r>
      <w:rPr>
        <w:color w:val="000000"/>
      </w:rPr>
      <w:pict w14:anchorId="65A3E1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MARCA DE AGUA - HOJA RESOLUCIÓN" style="position:absolute;left:0;text-align:left;margin-left:0;margin-top:0;width:663.5pt;height:12in;z-index:-251659776;mso-position-horizontal:center;mso-position-horizontal-relative:margin;mso-position-vertical:center;mso-position-vertical-relative:margin">
          <v:imagedata r:id="rId1"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4C7E" w14:textId="77777777" w:rsidR="004C7F15" w:rsidRDefault="0045526F">
    <w:pPr>
      <w:widowControl w:val="0"/>
      <w:pBdr>
        <w:top w:val="nil"/>
        <w:left w:val="nil"/>
        <w:bottom w:val="nil"/>
        <w:right w:val="nil"/>
        <w:between w:val="nil"/>
      </w:pBdr>
      <w:spacing w:after="0" w:line="276" w:lineRule="auto"/>
      <w:jc w:val="left"/>
      <w:rPr>
        <w:color w:val="000000"/>
      </w:rPr>
    </w:pPr>
    <w:r>
      <w:rPr>
        <w:color w:val="000000"/>
      </w:rPr>
      <w:pict w14:anchorId="5AFBB2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MARCA DE AGUA - HOJA RESOLUCIÓN" style="position:absolute;margin-left:-97.1pt;margin-top:-123.85pt;width:663.5pt;height:12in;z-index:-251658752;mso-position-horizontal:absolute;mso-position-horizontal-relative:margin;mso-position-vertical:absolute;mso-position-vertical-relative:margin">
          <v:imagedata r:id="rId1" o:title="image1"/>
          <w10:wrap anchorx="margin" anchory="margin"/>
        </v:shape>
      </w:pict>
    </w:r>
  </w:p>
  <w:tbl>
    <w:tblPr>
      <w:tblStyle w:val="a1"/>
      <w:tblW w:w="9214" w:type="dxa"/>
      <w:tblInd w:w="0" w:type="dxa"/>
      <w:tblLayout w:type="fixed"/>
      <w:tblLook w:val="0400" w:firstRow="0" w:lastRow="0" w:firstColumn="0" w:lastColumn="0" w:noHBand="0" w:noVBand="1"/>
    </w:tblPr>
    <w:tblGrid>
      <w:gridCol w:w="2127"/>
      <w:gridCol w:w="7087"/>
    </w:tblGrid>
    <w:tr w:rsidR="004C7F15" w14:paraId="39F0EF3A" w14:textId="77777777">
      <w:trPr>
        <w:trHeight w:val="1546"/>
      </w:trPr>
      <w:tc>
        <w:tcPr>
          <w:tcW w:w="2127" w:type="dxa"/>
        </w:tcPr>
        <w:p w14:paraId="5E734C12" w14:textId="77777777" w:rsidR="004C7F15" w:rsidRDefault="004C7F15">
          <w:pPr>
            <w:tabs>
              <w:tab w:val="right" w:pos="4273"/>
            </w:tabs>
            <w:rPr>
              <w:rFonts w:ascii="Garamond" w:eastAsia="Garamond" w:hAnsi="Garamond" w:cs="Garamond"/>
              <w:sz w:val="16"/>
              <w:szCs w:val="16"/>
            </w:rPr>
          </w:pPr>
        </w:p>
      </w:tc>
      <w:tc>
        <w:tcPr>
          <w:tcW w:w="7087" w:type="dxa"/>
        </w:tcPr>
        <w:p w14:paraId="083A47A0" w14:textId="77777777" w:rsidR="004C7F15" w:rsidRDefault="004C7F15">
          <w:pPr>
            <w:rPr>
              <w:sz w:val="10"/>
              <w:szCs w:val="10"/>
            </w:rPr>
          </w:pPr>
        </w:p>
        <w:tbl>
          <w:tblPr>
            <w:tblStyle w:val="a2"/>
            <w:tblW w:w="5812" w:type="dxa"/>
            <w:tblInd w:w="1167" w:type="dxa"/>
            <w:tblLayout w:type="fixed"/>
            <w:tblLook w:val="0400" w:firstRow="0" w:lastRow="0" w:firstColumn="0" w:lastColumn="0" w:noHBand="0" w:noVBand="1"/>
          </w:tblPr>
          <w:tblGrid>
            <w:gridCol w:w="2410"/>
            <w:gridCol w:w="3402"/>
          </w:tblGrid>
          <w:tr w:rsidR="004C7F15" w14:paraId="5EAD1DC2" w14:textId="77777777">
            <w:trPr>
              <w:trHeight w:val="427"/>
            </w:trPr>
            <w:tc>
              <w:tcPr>
                <w:tcW w:w="2410" w:type="dxa"/>
                <w:vAlign w:val="bottom"/>
              </w:tcPr>
              <w:p w14:paraId="3EDA8CFB" w14:textId="77777777" w:rsidR="004C7F15" w:rsidRDefault="00135DA2">
                <w:pPr>
                  <w:tabs>
                    <w:tab w:val="right" w:pos="8838"/>
                  </w:tabs>
                  <w:ind w:right="-105"/>
                  <w:rPr>
                    <w:b/>
                    <w:bCs/>
                  </w:rPr>
                </w:pPr>
                <w:r>
                  <w:rPr>
                    <w:b/>
                    <w:bCs/>
                  </w:rPr>
                  <w:t>Recurso de Revisión:</w:t>
                </w:r>
              </w:p>
            </w:tc>
            <w:tc>
              <w:tcPr>
                <w:tcW w:w="3402" w:type="dxa"/>
              </w:tcPr>
              <w:p w14:paraId="615F5A70" w14:textId="77777777" w:rsidR="004C7F15" w:rsidRDefault="004C7F15">
                <w:pPr>
                  <w:tabs>
                    <w:tab w:val="right" w:pos="8838"/>
                  </w:tabs>
                  <w:ind w:left="-28" w:right="-107"/>
                  <w:rPr>
                    <w:b/>
                    <w:bCs/>
                  </w:rPr>
                </w:pPr>
              </w:p>
              <w:p w14:paraId="221D720D" w14:textId="77777777" w:rsidR="004C7F15" w:rsidRDefault="00135DA2">
                <w:pPr>
                  <w:tabs>
                    <w:tab w:val="right" w:pos="8838"/>
                  </w:tabs>
                  <w:ind w:left="-28" w:right="-107"/>
                </w:pPr>
                <w:r>
                  <w:t>00281/INFOEM/IP/RR/2026</w:t>
                </w:r>
              </w:p>
            </w:tc>
          </w:tr>
          <w:tr w:rsidR="004C7F15" w14:paraId="7734194B" w14:textId="77777777">
            <w:trPr>
              <w:trHeight w:val="141"/>
            </w:trPr>
            <w:tc>
              <w:tcPr>
                <w:tcW w:w="2410" w:type="dxa"/>
              </w:tcPr>
              <w:p w14:paraId="325B8ECB" w14:textId="77777777" w:rsidR="004C7F15" w:rsidRDefault="00135DA2">
                <w:pPr>
                  <w:tabs>
                    <w:tab w:val="right" w:pos="8838"/>
                  </w:tabs>
                  <w:ind w:right="-105"/>
                  <w:rPr>
                    <w:b/>
                    <w:bCs/>
                  </w:rPr>
                </w:pPr>
                <w:r>
                  <w:rPr>
                    <w:b/>
                    <w:bCs/>
                  </w:rPr>
                  <w:t>Recurrente:</w:t>
                </w:r>
              </w:p>
            </w:tc>
            <w:tc>
              <w:tcPr>
                <w:tcW w:w="3402" w:type="dxa"/>
              </w:tcPr>
              <w:p w14:paraId="7D81CA20" w14:textId="178671D8" w:rsidR="004C7F15" w:rsidRDefault="00B74E77">
                <w:pPr>
                  <w:tabs>
                    <w:tab w:val="right" w:pos="8838"/>
                  </w:tabs>
                  <w:ind w:right="-107"/>
                </w:pPr>
                <w:r w:rsidRPr="00F63F47">
                  <w:rPr>
                    <w:highlight w:val="black"/>
                  </w:rPr>
                  <w:t>X</w:t>
                </w:r>
                <w:r w:rsidRPr="00F63F47">
                  <w:rPr>
                    <w:b/>
                    <w:bCs/>
                    <w:highlight w:val="black"/>
                  </w:rPr>
                  <w:t>XXXXXXXXXXXXXXXXXX</w:t>
                </w:r>
              </w:p>
            </w:tc>
          </w:tr>
          <w:tr w:rsidR="004C7F15" w14:paraId="0A5732F3" w14:textId="77777777">
            <w:trPr>
              <w:trHeight w:val="276"/>
            </w:trPr>
            <w:tc>
              <w:tcPr>
                <w:tcW w:w="2410" w:type="dxa"/>
              </w:tcPr>
              <w:p w14:paraId="24BB5333" w14:textId="77777777" w:rsidR="004C7F15" w:rsidRDefault="00135DA2">
                <w:pPr>
                  <w:tabs>
                    <w:tab w:val="right" w:pos="8838"/>
                  </w:tabs>
                  <w:ind w:right="-105"/>
                  <w:rPr>
                    <w:b/>
                    <w:bCs/>
                  </w:rPr>
                </w:pPr>
                <w:r>
                  <w:rPr>
                    <w:b/>
                    <w:bCs/>
                  </w:rPr>
                  <w:t>Sujeto Obligado:</w:t>
                </w:r>
              </w:p>
            </w:tc>
            <w:tc>
              <w:tcPr>
                <w:tcW w:w="3402" w:type="dxa"/>
              </w:tcPr>
              <w:p w14:paraId="4173963B" w14:textId="77777777" w:rsidR="004C7F15" w:rsidRDefault="00135DA2">
                <w:pPr>
                  <w:tabs>
                    <w:tab w:val="right" w:pos="8838"/>
                  </w:tabs>
                  <w:ind w:right="33"/>
                </w:pPr>
                <w:r>
                  <w:t>Sistema Municipal para el Desarrollo Integral de la Familia de Juchitepec</w:t>
                </w:r>
              </w:p>
            </w:tc>
          </w:tr>
          <w:tr w:rsidR="004C7F15" w14:paraId="071D31E8" w14:textId="77777777">
            <w:trPr>
              <w:trHeight w:val="276"/>
            </w:trPr>
            <w:tc>
              <w:tcPr>
                <w:tcW w:w="2410" w:type="dxa"/>
              </w:tcPr>
              <w:p w14:paraId="4E4A3BC4" w14:textId="77777777" w:rsidR="004C7F15" w:rsidRDefault="00135DA2">
                <w:pPr>
                  <w:tabs>
                    <w:tab w:val="right" w:pos="8838"/>
                  </w:tabs>
                  <w:ind w:right="-105"/>
                  <w:rPr>
                    <w:b/>
                    <w:bCs/>
                  </w:rPr>
                </w:pPr>
                <w:r>
                  <w:rPr>
                    <w:b/>
                    <w:bCs/>
                  </w:rPr>
                  <w:t>Comisionado Ponente:</w:t>
                </w:r>
              </w:p>
            </w:tc>
            <w:tc>
              <w:tcPr>
                <w:tcW w:w="3402" w:type="dxa"/>
              </w:tcPr>
              <w:p w14:paraId="10E39D7B" w14:textId="77777777" w:rsidR="004C7F15" w:rsidRDefault="00135DA2">
                <w:pPr>
                  <w:tabs>
                    <w:tab w:val="right" w:pos="8838"/>
                  </w:tabs>
                  <w:ind w:right="-107"/>
                </w:pPr>
                <w:r>
                  <w:t>Luis Gustavo Parra Noriega</w:t>
                </w:r>
              </w:p>
            </w:tc>
          </w:tr>
        </w:tbl>
        <w:p w14:paraId="061049EE" w14:textId="77777777" w:rsidR="004C7F15" w:rsidRDefault="004C7F15">
          <w:pPr>
            <w:tabs>
              <w:tab w:val="right" w:pos="8838"/>
            </w:tabs>
            <w:ind w:left="-28"/>
            <w:rPr>
              <w:rFonts w:ascii="Arial" w:eastAsia="Arial" w:hAnsi="Arial" w:cs="Arial"/>
              <w:b/>
              <w:bCs/>
            </w:rPr>
          </w:pPr>
        </w:p>
      </w:tc>
    </w:tr>
  </w:tbl>
  <w:p w14:paraId="6B164DA6" w14:textId="77777777" w:rsidR="004C7F15" w:rsidRDefault="004C7F15">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08D9"/>
    <w:multiLevelType w:val="multilevel"/>
    <w:tmpl w:val="296A4A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F0A2261"/>
    <w:multiLevelType w:val="multilevel"/>
    <w:tmpl w:val="280CDBE8"/>
    <w:lvl w:ilvl="0">
      <w:start w:val="2"/>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8545E5"/>
    <w:multiLevelType w:val="multilevel"/>
    <w:tmpl w:val="5AC6D5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ECD55AC"/>
    <w:multiLevelType w:val="multilevel"/>
    <w:tmpl w:val="FE7A19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58F6B10"/>
    <w:multiLevelType w:val="multilevel"/>
    <w:tmpl w:val="353460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7611664"/>
    <w:multiLevelType w:val="multilevel"/>
    <w:tmpl w:val="622EF0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D2F15FA"/>
    <w:multiLevelType w:val="multilevel"/>
    <w:tmpl w:val="8AD8224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BE50AFB"/>
    <w:multiLevelType w:val="multilevel"/>
    <w:tmpl w:val="DBCCCD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DB0508D"/>
    <w:multiLevelType w:val="multilevel"/>
    <w:tmpl w:val="F5428A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E9B7901"/>
    <w:multiLevelType w:val="multilevel"/>
    <w:tmpl w:val="BDF86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DB97EA1"/>
    <w:multiLevelType w:val="multilevel"/>
    <w:tmpl w:val="91F030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04674975">
    <w:abstractNumId w:val="0"/>
  </w:num>
  <w:num w:numId="2" w16cid:durableId="1509248977">
    <w:abstractNumId w:val="8"/>
  </w:num>
  <w:num w:numId="3" w16cid:durableId="347104800">
    <w:abstractNumId w:val="6"/>
  </w:num>
  <w:num w:numId="4" w16cid:durableId="405148227">
    <w:abstractNumId w:val="5"/>
  </w:num>
  <w:num w:numId="5" w16cid:durableId="206187630">
    <w:abstractNumId w:val="9"/>
  </w:num>
  <w:num w:numId="6" w16cid:durableId="1450659884">
    <w:abstractNumId w:val="4"/>
  </w:num>
  <w:num w:numId="7" w16cid:durableId="1613854774">
    <w:abstractNumId w:val="7"/>
  </w:num>
  <w:num w:numId="8" w16cid:durableId="693926116">
    <w:abstractNumId w:val="3"/>
  </w:num>
  <w:num w:numId="9" w16cid:durableId="1460689917">
    <w:abstractNumId w:val="10"/>
  </w:num>
  <w:num w:numId="10" w16cid:durableId="2061783262">
    <w:abstractNumId w:val="2"/>
  </w:num>
  <w:num w:numId="11" w16cid:durableId="1286473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F15"/>
    <w:rsid w:val="00061126"/>
    <w:rsid w:val="000C7857"/>
    <w:rsid w:val="00135DA2"/>
    <w:rsid w:val="00151CE9"/>
    <w:rsid w:val="00194559"/>
    <w:rsid w:val="00233D17"/>
    <w:rsid w:val="002743A7"/>
    <w:rsid w:val="0045526F"/>
    <w:rsid w:val="004C7F15"/>
    <w:rsid w:val="00506C8F"/>
    <w:rsid w:val="00736BC1"/>
    <w:rsid w:val="008713CE"/>
    <w:rsid w:val="00B74E77"/>
    <w:rsid w:val="00C10683"/>
    <w:rsid w:val="00E05C5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F1AAA"/>
  <w15:docId w15:val="{A825E2FD-F85D-4CCF-8BC9-F6E7B377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s-MX"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line="360" w:lineRule="auto"/>
      <w:jc w:val="center"/>
      <w:outlineLvl w:val="0"/>
    </w:pPr>
    <w:rPr>
      <w:b/>
      <w:bCs/>
      <w:sz w:val="24"/>
      <w:szCs w:val="24"/>
    </w:rPr>
  </w:style>
  <w:style w:type="paragraph" w:styleId="Ttulo2">
    <w:name w:val="heading 2"/>
    <w:basedOn w:val="Normal"/>
    <w:next w:val="Normal"/>
    <w:uiPriority w:val="9"/>
    <w:unhideWhenUsed/>
    <w:qFormat/>
    <w:pPr>
      <w:keepNext/>
      <w:keepLines/>
      <w:spacing w:before="360" w:after="80" w:line="360" w:lineRule="auto"/>
      <w:jc w:val="left"/>
      <w:outlineLvl w:val="1"/>
    </w:pPr>
    <w:rPr>
      <w:b/>
      <w:bCs/>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1"/>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16">
    <w:name w:val="Table Normal16"/>
    <w:tblPr>
      <w:tblCellMar>
        <w:top w:w="0" w:type="dxa"/>
        <w:left w:w="0" w:type="dxa"/>
        <w:bottom w:w="0" w:type="dxa"/>
        <w:right w:w="0" w:type="dxa"/>
      </w:tblCellMar>
    </w:tblPr>
  </w:style>
  <w:style w:type="table" w:customStyle="1" w:styleId="TableNormal15">
    <w:name w:val="Table Normal15"/>
    <w:tblPr>
      <w:tblCellMar>
        <w:top w:w="0" w:type="dxa"/>
        <w:left w:w="0" w:type="dxa"/>
        <w:bottom w:w="0" w:type="dxa"/>
        <w:right w:w="0" w:type="dxa"/>
      </w:tblCellMar>
    </w:tblPr>
  </w:style>
  <w:style w:type="table" w:customStyle="1" w:styleId="TableNormal14">
    <w:name w:val="Table Normal14"/>
    <w:tblPr>
      <w:tblCellMar>
        <w:top w:w="0" w:type="dxa"/>
        <w:left w:w="0" w:type="dxa"/>
        <w:bottom w:w="0" w:type="dxa"/>
        <w:right w:w="0" w:type="dxa"/>
      </w:tblCellMar>
    </w:tblPr>
  </w:style>
  <w:style w:type="table" w:customStyle="1" w:styleId="TableNormal13">
    <w:name w:val="Table Normal13"/>
    <w:tblPr>
      <w:tblCellMar>
        <w:top w:w="0" w:type="dxa"/>
        <w:left w:w="0" w:type="dxa"/>
        <w:bottom w:w="0" w:type="dxa"/>
        <w:right w:w="0" w:type="dxa"/>
      </w:tblCellMar>
    </w:tblPr>
  </w:style>
  <w:style w:type="table" w:customStyle="1" w:styleId="TableNormal12">
    <w:name w:val="Table Normal12"/>
    <w:tblPr>
      <w:tblCellMar>
        <w:top w:w="0" w:type="dxa"/>
        <w:left w:w="0" w:type="dxa"/>
        <w:bottom w:w="0" w:type="dxa"/>
        <w:right w:w="0" w:type="dxa"/>
      </w:tblCellMar>
    </w:tblPr>
  </w:style>
  <w:style w:type="table" w:customStyle="1" w:styleId="TableNormal11">
    <w:name w:val="Table Normal11"/>
    <w:tblPr>
      <w:tblCellMar>
        <w:top w:w="0" w:type="dxa"/>
        <w:left w:w="0" w:type="dxa"/>
        <w:bottom w:w="0" w:type="dxa"/>
        <w:right w:w="0" w:type="dxa"/>
      </w:tblCellMar>
    </w:tblPr>
  </w:style>
  <w:style w:type="table" w:customStyle="1" w:styleId="TableNormal10">
    <w:name w:val="Table Normal10"/>
    <w:tblPr>
      <w:tblCellMar>
        <w:top w:w="0" w:type="dxa"/>
        <w:left w:w="0" w:type="dxa"/>
        <w:bottom w:w="0" w:type="dxa"/>
        <w:right w:w="0" w:type="dxa"/>
      </w:tblCellMar>
    </w:tblPr>
  </w:style>
  <w:style w:type="table" w:customStyle="1" w:styleId="TableNormal9">
    <w:name w:val="Table Normal9"/>
    <w:tblPr>
      <w:tblCellMar>
        <w:top w:w="0" w:type="dxa"/>
        <w:left w:w="0" w:type="dxa"/>
        <w:bottom w:w="0" w:type="dxa"/>
        <w:right w:w="0" w:type="dxa"/>
      </w:tblCellMar>
    </w:tblPr>
  </w:style>
  <w:style w:type="table" w:customStyle="1" w:styleId="TableNormal8">
    <w:name w:val="Table Normal8"/>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7">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C853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53D1"/>
    <w:rPr>
      <w:rFonts w:ascii="Palatino Linotype" w:hAnsi="Palatino Linotype"/>
      <w:color w:val="000000" w:themeColor="text1"/>
    </w:rPr>
  </w:style>
  <w:style w:type="paragraph" w:styleId="Piedepgina">
    <w:name w:val="footer"/>
    <w:basedOn w:val="Normal"/>
    <w:link w:val="PiedepginaCar"/>
    <w:uiPriority w:val="99"/>
    <w:unhideWhenUsed/>
    <w:rsid w:val="00C853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53D1"/>
    <w:rPr>
      <w:rFonts w:ascii="Palatino Linotype" w:hAnsi="Palatino Linotype"/>
      <w:color w:val="000000" w:themeColor="text1"/>
    </w:rPr>
  </w:style>
  <w:style w:type="table" w:styleId="Tablaconcuadrcula">
    <w:name w:val="Table Grid"/>
    <w:basedOn w:val="Tablanormal"/>
    <w:uiPriority w:val="39"/>
    <w:qFormat/>
    <w:rsid w:val="00C853D1"/>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aliases w:val="Hipervínculo1,Hipervínculo11,Hipervínculo12,Hipervínculo13,Hipervínculo14,Hipervínculo15"/>
    <w:basedOn w:val="Fuentedeprrafopredeter"/>
    <w:uiPriority w:val="99"/>
    <w:unhideWhenUsed/>
    <w:qFormat/>
    <w:rsid w:val="00C853D1"/>
    <w:rPr>
      <w:color w:val="0563C1" w:themeColor="hyperlink"/>
      <w:u w:val="singl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D5686A"/>
    <w:rPr>
      <w:rFonts w:ascii="Palatino Linotype" w:eastAsia="Times New Roman" w:hAnsi="Palatino Linotype"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5686A"/>
    <w:pPr>
      <w:spacing w:after="0" w:line="240" w:lineRule="auto"/>
      <w:ind w:left="720"/>
      <w:contextualSpacing/>
    </w:pPr>
    <w:rPr>
      <w:rFonts w:eastAsia="Times New Roman" w:cs="Times New Roman"/>
      <w:szCs w:val="24"/>
      <w:lang w:eastAsia="es-ES"/>
    </w:rPr>
  </w:style>
  <w:style w:type="character" w:customStyle="1" w:styleId="Mencinsinresolver1">
    <w:name w:val="Mención sin resolver1"/>
    <w:basedOn w:val="Fuentedeprrafopredeter"/>
    <w:uiPriority w:val="99"/>
    <w:semiHidden/>
    <w:unhideWhenUsed/>
    <w:rsid w:val="0079077D"/>
    <w:rPr>
      <w:color w:val="605E5C"/>
      <w:shd w:val="clear" w:color="auto" w:fill="E1DFDD"/>
    </w:rPr>
  </w:style>
  <w:style w:type="character" w:styleId="Hipervnculovisitado">
    <w:name w:val="FollowedHyperlink"/>
    <w:basedOn w:val="Fuentedeprrafopredeter"/>
    <w:uiPriority w:val="99"/>
    <w:semiHidden/>
    <w:unhideWhenUsed/>
    <w:rsid w:val="00B85DBE"/>
    <w:rPr>
      <w:color w:val="954F72" w:themeColor="followedHyperlink"/>
      <w:u w:val="single"/>
    </w:rPr>
  </w:style>
  <w:style w:type="character" w:customStyle="1" w:styleId="dp6">
    <w:name w:val="dp6"/>
    <w:basedOn w:val="Fuentedeprrafopredeter"/>
    <w:rsid w:val="00491C3E"/>
  </w:style>
  <w:style w:type="paragraph" w:styleId="Textosinformato">
    <w:name w:val="Plain Text"/>
    <w:basedOn w:val="Normal"/>
    <w:link w:val="TextosinformatoCar"/>
    <w:rsid w:val="00273E3B"/>
    <w:pPr>
      <w:spacing w:after="0" w:line="240" w:lineRule="auto"/>
      <w:jc w:val="left"/>
    </w:pPr>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273E3B"/>
    <w:rPr>
      <w:rFonts w:ascii="Courier New" w:eastAsia="Times New Roman" w:hAnsi="Courier New" w:cs="Times New Roman"/>
      <w:sz w:val="20"/>
      <w:szCs w:val="20"/>
      <w:lang w:val="x-none" w:eastAsia="es-ES"/>
    </w:rPr>
  </w:style>
  <w:style w:type="paragraph" w:customStyle="1" w:styleId="Texto">
    <w:name w:val="Texto"/>
    <w:basedOn w:val="Normal"/>
    <w:link w:val="TextoCar"/>
    <w:rsid w:val="00273E3B"/>
    <w:pPr>
      <w:spacing w:after="101" w:line="216" w:lineRule="exact"/>
      <w:ind w:firstLine="288"/>
    </w:pPr>
    <w:rPr>
      <w:rFonts w:ascii="Arial" w:eastAsia="Times New Roman" w:hAnsi="Arial" w:cs="Times New Roman"/>
      <w:sz w:val="18"/>
      <w:szCs w:val="18"/>
      <w:lang w:val="es-ES" w:eastAsia="es-ES"/>
    </w:rPr>
  </w:style>
  <w:style w:type="character" w:customStyle="1" w:styleId="TextoCar">
    <w:name w:val="Texto Car"/>
    <w:link w:val="Texto"/>
    <w:locked/>
    <w:rsid w:val="00273E3B"/>
    <w:rPr>
      <w:rFonts w:ascii="Arial" w:eastAsia="Times New Roman" w:hAnsi="Arial" w:cs="Times New Roman"/>
      <w:sz w:val="18"/>
      <w:szCs w:val="18"/>
      <w:lang w:val="es-ES" w:eastAsia="es-ES"/>
    </w:rPr>
  </w:style>
  <w:style w:type="character" w:customStyle="1" w:styleId="markedcontent">
    <w:name w:val="markedcontent"/>
    <w:basedOn w:val="Fuentedeprrafopredeter"/>
    <w:rsid w:val="003C470A"/>
  </w:style>
  <w:style w:type="paragraph" w:styleId="NormalWeb">
    <w:name w:val="Normal (Web)"/>
    <w:basedOn w:val="Normal"/>
    <w:uiPriority w:val="99"/>
    <w:unhideWhenUsed/>
    <w:rsid w:val="00682222"/>
    <w:pPr>
      <w:spacing w:before="100" w:beforeAutospacing="1" w:after="100" w:afterAutospacing="1" w:line="240" w:lineRule="auto"/>
      <w:jc w:val="left"/>
    </w:pPr>
    <w:rPr>
      <w:rFonts w:ascii="Times New Roman" w:eastAsia="Times New Roman" w:hAnsi="Times New Roman" w:cs="Times New Roman"/>
      <w:sz w:val="24"/>
      <w:szCs w:val="24"/>
      <w:lang w:eastAsia="es-ES_tradnl"/>
    </w:rPr>
  </w:style>
  <w:style w:type="character" w:customStyle="1" w:styleId="apple-converted-space">
    <w:name w:val="apple-converted-space"/>
    <w:basedOn w:val="Fuentedeprrafopredeter"/>
    <w:rsid w:val="00682222"/>
  </w:style>
  <w:style w:type="character" w:customStyle="1" w:styleId="normaltextrun">
    <w:name w:val="normaltextrun"/>
    <w:basedOn w:val="Fuentedeprrafopredeter"/>
    <w:rsid w:val="00B80DA1"/>
  </w:style>
  <w:style w:type="paragraph" w:customStyle="1" w:styleId="paragraph">
    <w:name w:val="paragraph"/>
    <w:basedOn w:val="Normal"/>
    <w:rsid w:val="00B80DA1"/>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eop">
    <w:name w:val="eop"/>
    <w:basedOn w:val="Fuentedeprrafopredeter"/>
    <w:rsid w:val="00B80DA1"/>
  </w:style>
  <w:style w:type="character" w:customStyle="1" w:styleId="Mencinsinresolver2">
    <w:name w:val="Mención sin resolver2"/>
    <w:basedOn w:val="Fuentedeprrafopredeter"/>
    <w:uiPriority w:val="99"/>
    <w:semiHidden/>
    <w:unhideWhenUsed/>
    <w:rsid w:val="00AC67FF"/>
    <w:rPr>
      <w:color w:val="605E5C"/>
      <w:shd w:val="clear" w:color="auto" w:fill="E1DFDD"/>
    </w:rPr>
  </w:style>
  <w:style w:type="table" w:customStyle="1" w:styleId="97">
    <w:name w:val="97"/>
    <w:basedOn w:val="TableNormal17"/>
    <w:pPr>
      <w:spacing w:after="0" w:line="240" w:lineRule="auto"/>
    </w:pPr>
    <w:tblPr>
      <w:tblStyleRowBandSize w:val="1"/>
      <w:tblStyleColBandSize w:val="1"/>
      <w:tblCellMar>
        <w:left w:w="108" w:type="dxa"/>
        <w:right w:w="108" w:type="dxa"/>
      </w:tblCellMar>
    </w:tblPr>
  </w:style>
  <w:style w:type="table" w:customStyle="1" w:styleId="96">
    <w:name w:val="96"/>
    <w:basedOn w:val="TableNormal17"/>
    <w:pPr>
      <w:spacing w:after="0" w:line="240" w:lineRule="auto"/>
    </w:pPr>
    <w:tblPr>
      <w:tblStyleRowBandSize w:val="1"/>
      <w:tblStyleColBandSize w:val="1"/>
      <w:tblCellMar>
        <w:left w:w="108" w:type="dxa"/>
        <w:right w:w="108" w:type="dxa"/>
      </w:tblCellMar>
    </w:tblPr>
  </w:style>
  <w:style w:type="table" w:customStyle="1" w:styleId="95">
    <w:name w:val="95"/>
    <w:basedOn w:val="TableNormal17"/>
    <w:tblPr>
      <w:tblStyleRowBandSize w:val="1"/>
      <w:tblStyleColBandSize w:val="1"/>
      <w:tblCellMar>
        <w:left w:w="115" w:type="dxa"/>
        <w:right w:w="115" w:type="dxa"/>
      </w:tblCellMar>
    </w:tblPr>
  </w:style>
  <w:style w:type="table" w:customStyle="1" w:styleId="94">
    <w:name w:val="94"/>
    <w:basedOn w:val="TableNormal17"/>
    <w:pPr>
      <w:spacing w:after="0" w:line="240" w:lineRule="auto"/>
    </w:pPr>
    <w:tblPr>
      <w:tblStyleRowBandSize w:val="1"/>
      <w:tblStyleColBandSize w:val="1"/>
      <w:tblCellMar>
        <w:left w:w="108" w:type="dxa"/>
        <w:right w:w="108" w:type="dxa"/>
      </w:tblCellMar>
    </w:tblPr>
  </w:style>
  <w:style w:type="paragraph" w:styleId="TtuloTDC">
    <w:name w:val="TOC Heading"/>
    <w:next w:val="Normal"/>
    <w:uiPriority w:val="39"/>
    <w:unhideWhenUsed/>
    <w:qFormat/>
    <w:rsid w:val="00A50615"/>
    <w:pPr>
      <w:spacing w:before="240" w:after="0"/>
      <w:jc w:val="left"/>
    </w:pPr>
    <w:rPr>
      <w:rFonts w:asciiTheme="majorHAnsi" w:eastAsiaTheme="majorEastAsia" w:hAnsiTheme="majorHAnsi" w:cstheme="majorBidi"/>
      <w:color w:val="2F5496" w:themeColor="accent1" w:themeShade="BF"/>
      <w:sz w:val="32"/>
      <w:szCs w:val="32"/>
    </w:rPr>
  </w:style>
  <w:style w:type="paragraph" w:styleId="TDC1">
    <w:name w:val="toc 1"/>
    <w:basedOn w:val="Normal"/>
    <w:next w:val="Normal"/>
    <w:autoRedefine/>
    <w:uiPriority w:val="39"/>
    <w:unhideWhenUsed/>
    <w:rsid w:val="00A50615"/>
    <w:pPr>
      <w:spacing w:after="100"/>
    </w:pPr>
  </w:style>
  <w:style w:type="paragraph" w:styleId="TDC2">
    <w:name w:val="toc 2"/>
    <w:basedOn w:val="Normal"/>
    <w:next w:val="Normal"/>
    <w:autoRedefine/>
    <w:uiPriority w:val="39"/>
    <w:unhideWhenUsed/>
    <w:rsid w:val="00A50615"/>
    <w:pPr>
      <w:spacing w:after="100"/>
      <w:ind w:left="220"/>
    </w:pPr>
  </w:style>
  <w:style w:type="character" w:customStyle="1" w:styleId="Mencinsinresolver3">
    <w:name w:val="Mención sin resolver3"/>
    <w:basedOn w:val="Fuentedeprrafopredeter"/>
    <w:uiPriority w:val="99"/>
    <w:semiHidden/>
    <w:unhideWhenUsed/>
    <w:rsid w:val="00BE1DC0"/>
    <w:rPr>
      <w:color w:val="605E5C"/>
      <w:shd w:val="clear" w:color="auto" w:fill="E1DFDD"/>
    </w:rPr>
  </w:style>
  <w:style w:type="table" w:customStyle="1" w:styleId="93">
    <w:name w:val="93"/>
    <w:basedOn w:val="TableNormal17"/>
    <w:pPr>
      <w:spacing w:after="0" w:line="240" w:lineRule="auto"/>
    </w:pPr>
    <w:tblPr>
      <w:tblStyleRowBandSize w:val="1"/>
      <w:tblStyleColBandSize w:val="1"/>
      <w:tblCellMar>
        <w:left w:w="108" w:type="dxa"/>
        <w:right w:w="108" w:type="dxa"/>
      </w:tblCellMar>
    </w:tblPr>
  </w:style>
  <w:style w:type="table" w:customStyle="1" w:styleId="92">
    <w:name w:val="92"/>
    <w:basedOn w:val="TableNormal17"/>
    <w:pPr>
      <w:spacing w:after="0" w:line="240" w:lineRule="auto"/>
    </w:pPr>
    <w:tblPr>
      <w:tblStyleRowBandSize w:val="1"/>
      <w:tblStyleColBandSize w:val="1"/>
      <w:tblCellMar>
        <w:left w:w="108" w:type="dxa"/>
        <w:right w:w="108" w:type="dxa"/>
      </w:tblCellMar>
    </w:tblPr>
  </w:style>
  <w:style w:type="table" w:customStyle="1" w:styleId="91">
    <w:name w:val="91"/>
    <w:basedOn w:val="TableNormal17"/>
    <w:pPr>
      <w:spacing w:after="0" w:line="240" w:lineRule="auto"/>
    </w:pPr>
    <w:tblPr>
      <w:tblStyleRowBandSize w:val="1"/>
      <w:tblStyleColBandSize w:val="1"/>
      <w:tblCellMar>
        <w:left w:w="108" w:type="dxa"/>
        <w:right w:w="108" w:type="dxa"/>
      </w:tblCellMar>
    </w:tblPr>
  </w:style>
  <w:style w:type="table" w:customStyle="1" w:styleId="90">
    <w:name w:val="90"/>
    <w:basedOn w:val="TableNormal17"/>
    <w:pPr>
      <w:spacing w:after="0" w:line="240" w:lineRule="auto"/>
    </w:pPr>
    <w:tblPr>
      <w:tblStyleRowBandSize w:val="1"/>
      <w:tblStyleColBandSize w:val="1"/>
      <w:tblCellMar>
        <w:left w:w="108" w:type="dxa"/>
        <w:right w:w="108" w:type="dxa"/>
      </w:tblCellMar>
    </w:tblPr>
  </w:style>
  <w:style w:type="table" w:customStyle="1" w:styleId="89">
    <w:name w:val="89"/>
    <w:basedOn w:val="TableNormal20"/>
    <w:pPr>
      <w:spacing w:after="0" w:line="240" w:lineRule="auto"/>
    </w:pPr>
    <w:tblPr>
      <w:tblStyleRowBandSize w:val="1"/>
      <w:tblStyleColBandSize w:val="1"/>
      <w:tblCellMar>
        <w:left w:w="108" w:type="dxa"/>
        <w:right w:w="108" w:type="dxa"/>
      </w:tblCellMar>
    </w:tblPr>
  </w:style>
  <w:style w:type="table" w:customStyle="1" w:styleId="88">
    <w:name w:val="88"/>
    <w:basedOn w:val="TableNormal20"/>
    <w:pPr>
      <w:spacing w:after="0" w:line="240" w:lineRule="auto"/>
    </w:pPr>
    <w:tblPr>
      <w:tblStyleRowBandSize w:val="1"/>
      <w:tblStyleColBandSize w:val="1"/>
      <w:tblCellMar>
        <w:left w:w="108" w:type="dxa"/>
        <w:right w:w="108" w:type="dxa"/>
      </w:tblCellMar>
    </w:tblPr>
  </w:style>
  <w:style w:type="table" w:customStyle="1" w:styleId="87">
    <w:name w:val="87"/>
    <w:basedOn w:val="TableNormal20"/>
    <w:pPr>
      <w:spacing w:after="0" w:line="240" w:lineRule="auto"/>
    </w:pPr>
    <w:tblPr>
      <w:tblStyleRowBandSize w:val="1"/>
      <w:tblStyleColBandSize w:val="1"/>
      <w:tblCellMar>
        <w:left w:w="108" w:type="dxa"/>
        <w:right w:w="108" w:type="dxa"/>
      </w:tblCellMar>
    </w:tblPr>
  </w:style>
  <w:style w:type="table" w:customStyle="1" w:styleId="86">
    <w:name w:val="86"/>
    <w:basedOn w:val="TableNormal20"/>
    <w:pPr>
      <w:spacing w:after="0" w:line="240" w:lineRule="auto"/>
    </w:pPr>
    <w:tblPr>
      <w:tblStyleRowBandSize w:val="1"/>
      <w:tblStyleColBandSize w:val="1"/>
      <w:tblCellMar>
        <w:left w:w="108" w:type="dxa"/>
        <w:right w:w="108" w:type="dxa"/>
      </w:tblCellMar>
    </w:tblPr>
  </w:style>
  <w:style w:type="table" w:customStyle="1" w:styleId="85">
    <w:name w:val="85"/>
    <w:basedOn w:val="TableNormal3"/>
    <w:pPr>
      <w:spacing w:after="0" w:line="240" w:lineRule="auto"/>
    </w:pPr>
    <w:tblPr>
      <w:tblStyleRowBandSize w:val="1"/>
      <w:tblStyleColBandSize w:val="1"/>
      <w:tblCellMar>
        <w:left w:w="108" w:type="dxa"/>
        <w:right w:w="108" w:type="dxa"/>
      </w:tblCellMar>
    </w:tblPr>
  </w:style>
  <w:style w:type="table" w:customStyle="1" w:styleId="84">
    <w:name w:val="84"/>
    <w:basedOn w:val="TableNormal3"/>
    <w:pPr>
      <w:spacing w:after="0" w:line="240" w:lineRule="auto"/>
    </w:pPr>
    <w:tblPr>
      <w:tblStyleRowBandSize w:val="1"/>
      <w:tblStyleColBandSize w:val="1"/>
      <w:tblCellMar>
        <w:left w:w="108" w:type="dxa"/>
        <w:right w:w="108" w:type="dxa"/>
      </w:tblCellMar>
    </w:tblPr>
  </w:style>
  <w:style w:type="table" w:customStyle="1" w:styleId="83">
    <w:name w:val="83"/>
    <w:basedOn w:val="TableNormal3"/>
    <w:pPr>
      <w:spacing w:after="0" w:line="240" w:lineRule="auto"/>
    </w:pPr>
    <w:tblPr>
      <w:tblStyleRowBandSize w:val="1"/>
      <w:tblStyleColBandSize w:val="1"/>
      <w:tblCellMar>
        <w:left w:w="108" w:type="dxa"/>
        <w:right w:w="108" w:type="dxa"/>
      </w:tblCellMar>
    </w:tblPr>
  </w:style>
  <w:style w:type="table" w:customStyle="1" w:styleId="82">
    <w:name w:val="82"/>
    <w:basedOn w:val="TableNormal3"/>
    <w:pPr>
      <w:spacing w:after="0" w:line="240" w:lineRule="auto"/>
    </w:pPr>
    <w:tblPr>
      <w:tblStyleRowBandSize w:val="1"/>
      <w:tblStyleColBandSize w:val="1"/>
      <w:tblCellMar>
        <w:left w:w="108" w:type="dxa"/>
        <w:right w:w="108" w:type="dxa"/>
      </w:tblCellMar>
    </w:tblPr>
  </w:style>
  <w:style w:type="table" w:customStyle="1" w:styleId="81">
    <w:name w:val="81"/>
    <w:basedOn w:val="TableNormal4"/>
    <w:pPr>
      <w:spacing w:after="0" w:line="240" w:lineRule="auto"/>
    </w:pPr>
    <w:tblPr>
      <w:tblStyleRowBandSize w:val="1"/>
      <w:tblStyleColBandSize w:val="1"/>
      <w:tblCellMar>
        <w:left w:w="108" w:type="dxa"/>
        <w:right w:w="108" w:type="dxa"/>
      </w:tblCellMar>
    </w:tblPr>
  </w:style>
  <w:style w:type="table" w:customStyle="1" w:styleId="80">
    <w:name w:val="80"/>
    <w:basedOn w:val="TableNormal4"/>
    <w:pPr>
      <w:spacing w:after="0" w:line="240" w:lineRule="auto"/>
    </w:pPr>
    <w:tblPr>
      <w:tblStyleRowBandSize w:val="1"/>
      <w:tblStyleColBandSize w:val="1"/>
      <w:tblCellMar>
        <w:left w:w="108" w:type="dxa"/>
        <w:right w:w="108" w:type="dxa"/>
      </w:tblCellMar>
    </w:tblPr>
  </w:style>
  <w:style w:type="table" w:customStyle="1" w:styleId="79">
    <w:name w:val="79"/>
    <w:basedOn w:val="TableNormal4"/>
    <w:pPr>
      <w:spacing w:after="0" w:line="240" w:lineRule="auto"/>
    </w:pPr>
    <w:tblPr>
      <w:tblStyleRowBandSize w:val="1"/>
      <w:tblStyleColBandSize w:val="1"/>
      <w:tblCellMar>
        <w:left w:w="108" w:type="dxa"/>
        <w:right w:w="108" w:type="dxa"/>
      </w:tblCellMar>
    </w:tblPr>
  </w:style>
  <w:style w:type="table" w:customStyle="1" w:styleId="78">
    <w:name w:val="78"/>
    <w:basedOn w:val="TableNormal4"/>
    <w:pPr>
      <w:spacing w:after="0" w:line="240" w:lineRule="auto"/>
    </w:pPr>
    <w:tblPr>
      <w:tblStyleRowBandSize w:val="1"/>
      <w:tblStyleColBandSize w:val="1"/>
      <w:tblCellMar>
        <w:left w:w="108" w:type="dxa"/>
        <w:right w:w="108" w:type="dxa"/>
      </w:tblCellMar>
    </w:tblPr>
  </w:style>
  <w:style w:type="table" w:customStyle="1" w:styleId="77">
    <w:name w:val="77"/>
    <w:basedOn w:val="TableNormal5"/>
    <w:pPr>
      <w:spacing w:after="0" w:line="240" w:lineRule="auto"/>
    </w:pPr>
    <w:tblPr>
      <w:tblStyleRowBandSize w:val="1"/>
      <w:tblStyleColBandSize w:val="1"/>
      <w:tblCellMar>
        <w:left w:w="108" w:type="dxa"/>
        <w:right w:w="108" w:type="dxa"/>
      </w:tblCellMar>
    </w:tblPr>
  </w:style>
  <w:style w:type="table" w:customStyle="1" w:styleId="76">
    <w:name w:val="76"/>
    <w:basedOn w:val="TableNormal5"/>
    <w:pPr>
      <w:spacing w:after="0" w:line="240" w:lineRule="auto"/>
    </w:pPr>
    <w:tblPr>
      <w:tblStyleRowBandSize w:val="1"/>
      <w:tblStyleColBandSize w:val="1"/>
      <w:tblCellMar>
        <w:left w:w="108" w:type="dxa"/>
        <w:right w:w="108" w:type="dxa"/>
      </w:tblCellMar>
    </w:tblPr>
  </w:style>
  <w:style w:type="table" w:customStyle="1" w:styleId="75">
    <w:name w:val="75"/>
    <w:basedOn w:val="TableNormal5"/>
    <w:pPr>
      <w:spacing w:after="0" w:line="240" w:lineRule="auto"/>
    </w:pPr>
    <w:tblPr>
      <w:tblStyleRowBandSize w:val="1"/>
      <w:tblStyleColBandSize w:val="1"/>
      <w:tblCellMar>
        <w:left w:w="108" w:type="dxa"/>
        <w:right w:w="108" w:type="dxa"/>
      </w:tblCellMar>
    </w:tblPr>
  </w:style>
  <w:style w:type="table" w:customStyle="1" w:styleId="74">
    <w:name w:val="74"/>
    <w:basedOn w:val="TableNormal5"/>
    <w:pPr>
      <w:spacing w:after="0" w:line="240" w:lineRule="auto"/>
    </w:pPr>
    <w:tblPr>
      <w:tblStyleRowBandSize w:val="1"/>
      <w:tblStyleColBandSize w:val="1"/>
      <w:tblCellMar>
        <w:left w:w="108" w:type="dxa"/>
        <w:right w:w="108" w:type="dxa"/>
      </w:tblCellMar>
    </w:tblPr>
  </w:style>
  <w:style w:type="table" w:customStyle="1" w:styleId="73">
    <w:name w:val="73"/>
    <w:basedOn w:val="TableNormal6"/>
    <w:pPr>
      <w:spacing w:after="0" w:line="240" w:lineRule="auto"/>
    </w:pPr>
    <w:tblPr>
      <w:tblStyleRowBandSize w:val="1"/>
      <w:tblStyleColBandSize w:val="1"/>
      <w:tblCellMar>
        <w:left w:w="108" w:type="dxa"/>
        <w:right w:w="108" w:type="dxa"/>
      </w:tblCellMar>
    </w:tblPr>
  </w:style>
  <w:style w:type="table" w:customStyle="1" w:styleId="72">
    <w:name w:val="72"/>
    <w:basedOn w:val="TableNormal6"/>
    <w:pPr>
      <w:spacing w:after="0" w:line="240" w:lineRule="auto"/>
    </w:pPr>
    <w:tblPr>
      <w:tblStyleRowBandSize w:val="1"/>
      <w:tblStyleColBandSize w:val="1"/>
      <w:tblCellMar>
        <w:left w:w="108" w:type="dxa"/>
        <w:right w:w="108" w:type="dxa"/>
      </w:tblCellMar>
    </w:tblPr>
  </w:style>
  <w:style w:type="table" w:customStyle="1" w:styleId="71">
    <w:name w:val="71"/>
    <w:basedOn w:val="TableNormal6"/>
    <w:pPr>
      <w:spacing w:after="0" w:line="240" w:lineRule="auto"/>
    </w:pPr>
    <w:tblPr>
      <w:tblStyleRowBandSize w:val="1"/>
      <w:tblStyleColBandSize w:val="1"/>
      <w:tblCellMar>
        <w:left w:w="108" w:type="dxa"/>
        <w:right w:w="108" w:type="dxa"/>
      </w:tblCellMar>
    </w:tblPr>
  </w:style>
  <w:style w:type="table" w:customStyle="1" w:styleId="70">
    <w:name w:val="70"/>
    <w:basedOn w:val="TableNormal6"/>
    <w:pPr>
      <w:spacing w:after="0" w:line="240" w:lineRule="auto"/>
    </w:pPr>
    <w:tblPr>
      <w:tblStyleRowBandSize w:val="1"/>
      <w:tblStyleColBandSize w:val="1"/>
      <w:tblCellMar>
        <w:left w:w="108" w:type="dxa"/>
        <w:right w:w="108" w:type="dxa"/>
      </w:tblCellMar>
    </w:tblPr>
  </w:style>
  <w:style w:type="table" w:customStyle="1" w:styleId="69">
    <w:name w:val="69"/>
    <w:basedOn w:val="TableNormal7"/>
    <w:pPr>
      <w:spacing w:after="0" w:line="240" w:lineRule="auto"/>
    </w:pPr>
    <w:tblPr>
      <w:tblStyleRowBandSize w:val="1"/>
      <w:tblStyleColBandSize w:val="1"/>
      <w:tblCellMar>
        <w:left w:w="108" w:type="dxa"/>
        <w:right w:w="108" w:type="dxa"/>
      </w:tblCellMar>
    </w:tblPr>
  </w:style>
  <w:style w:type="table" w:customStyle="1" w:styleId="68">
    <w:name w:val="68"/>
    <w:basedOn w:val="TableNormal7"/>
    <w:pPr>
      <w:spacing w:after="0" w:line="240" w:lineRule="auto"/>
    </w:pPr>
    <w:tblPr>
      <w:tblStyleRowBandSize w:val="1"/>
      <w:tblStyleColBandSize w:val="1"/>
      <w:tblCellMar>
        <w:left w:w="108" w:type="dxa"/>
        <w:right w:w="108" w:type="dxa"/>
      </w:tblCellMar>
    </w:tblPr>
  </w:style>
  <w:style w:type="table" w:customStyle="1" w:styleId="67">
    <w:name w:val="67"/>
    <w:basedOn w:val="TableNormal7"/>
    <w:pPr>
      <w:spacing w:after="0" w:line="240" w:lineRule="auto"/>
    </w:pPr>
    <w:tblPr>
      <w:tblStyleRowBandSize w:val="1"/>
      <w:tblStyleColBandSize w:val="1"/>
      <w:tblCellMar>
        <w:left w:w="108" w:type="dxa"/>
        <w:right w:w="108" w:type="dxa"/>
      </w:tblCellMar>
    </w:tblPr>
  </w:style>
  <w:style w:type="table" w:customStyle="1" w:styleId="66">
    <w:name w:val="66"/>
    <w:basedOn w:val="TableNormal7"/>
    <w:pPr>
      <w:spacing w:after="0" w:line="240" w:lineRule="auto"/>
    </w:pPr>
    <w:tblPr>
      <w:tblStyleRowBandSize w:val="1"/>
      <w:tblStyleColBandSize w:val="1"/>
      <w:tblCellMar>
        <w:left w:w="108" w:type="dxa"/>
        <w:right w:w="108" w:type="dxa"/>
      </w:tblCellMar>
    </w:tblPr>
  </w:style>
  <w:style w:type="table" w:customStyle="1" w:styleId="65">
    <w:name w:val="65"/>
    <w:basedOn w:val="TableNormal8"/>
    <w:pPr>
      <w:spacing w:after="0" w:line="240" w:lineRule="auto"/>
    </w:pPr>
    <w:tblPr>
      <w:tblStyleRowBandSize w:val="1"/>
      <w:tblStyleColBandSize w:val="1"/>
      <w:tblCellMar>
        <w:left w:w="108" w:type="dxa"/>
        <w:right w:w="108" w:type="dxa"/>
      </w:tblCellMar>
    </w:tblPr>
  </w:style>
  <w:style w:type="table" w:customStyle="1" w:styleId="64">
    <w:name w:val="64"/>
    <w:basedOn w:val="TableNormal8"/>
    <w:pPr>
      <w:spacing w:after="0" w:line="240" w:lineRule="auto"/>
    </w:pPr>
    <w:tblPr>
      <w:tblStyleRowBandSize w:val="1"/>
      <w:tblStyleColBandSize w:val="1"/>
      <w:tblCellMar>
        <w:left w:w="108" w:type="dxa"/>
        <w:right w:w="108" w:type="dxa"/>
      </w:tblCellMar>
    </w:tblPr>
  </w:style>
  <w:style w:type="table" w:customStyle="1" w:styleId="63">
    <w:name w:val="63"/>
    <w:basedOn w:val="TableNormal8"/>
    <w:pPr>
      <w:spacing w:after="0" w:line="240" w:lineRule="auto"/>
    </w:pPr>
    <w:tblPr>
      <w:tblStyleRowBandSize w:val="1"/>
      <w:tblStyleColBandSize w:val="1"/>
      <w:tblCellMar>
        <w:left w:w="108" w:type="dxa"/>
        <w:right w:w="108" w:type="dxa"/>
      </w:tblCellMar>
    </w:tblPr>
  </w:style>
  <w:style w:type="table" w:customStyle="1" w:styleId="62">
    <w:name w:val="62"/>
    <w:basedOn w:val="TableNormal8"/>
    <w:pPr>
      <w:spacing w:after="0" w:line="240" w:lineRule="auto"/>
    </w:pPr>
    <w:tblPr>
      <w:tblStyleRowBandSize w:val="1"/>
      <w:tblStyleColBandSize w:val="1"/>
      <w:tblCellMar>
        <w:left w:w="108" w:type="dxa"/>
        <w:right w:w="108" w:type="dxa"/>
      </w:tblCellMar>
    </w:tblPr>
  </w:style>
  <w:style w:type="table" w:customStyle="1" w:styleId="61">
    <w:name w:val="61"/>
    <w:basedOn w:val="TableNormal9"/>
    <w:pPr>
      <w:spacing w:after="0" w:line="240" w:lineRule="auto"/>
    </w:pPr>
    <w:tblPr>
      <w:tblStyleRowBandSize w:val="1"/>
      <w:tblStyleColBandSize w:val="1"/>
      <w:tblCellMar>
        <w:left w:w="108" w:type="dxa"/>
        <w:right w:w="108" w:type="dxa"/>
      </w:tblCellMar>
    </w:tblPr>
  </w:style>
  <w:style w:type="table" w:customStyle="1" w:styleId="60">
    <w:name w:val="60"/>
    <w:basedOn w:val="TableNormal9"/>
    <w:pPr>
      <w:spacing w:after="0" w:line="240" w:lineRule="auto"/>
    </w:pPr>
    <w:tblPr>
      <w:tblStyleRowBandSize w:val="1"/>
      <w:tblStyleColBandSize w:val="1"/>
      <w:tblCellMar>
        <w:left w:w="108" w:type="dxa"/>
        <w:right w:w="108" w:type="dxa"/>
      </w:tblCellMar>
    </w:tblPr>
  </w:style>
  <w:style w:type="table" w:customStyle="1" w:styleId="59">
    <w:name w:val="59"/>
    <w:basedOn w:val="TableNormal9"/>
    <w:pPr>
      <w:spacing w:after="0" w:line="240" w:lineRule="auto"/>
    </w:pPr>
    <w:tblPr>
      <w:tblStyleRowBandSize w:val="1"/>
      <w:tblStyleColBandSize w:val="1"/>
      <w:tblCellMar>
        <w:left w:w="108" w:type="dxa"/>
        <w:right w:w="108" w:type="dxa"/>
      </w:tblCellMar>
    </w:tblPr>
  </w:style>
  <w:style w:type="table" w:customStyle="1" w:styleId="58">
    <w:name w:val="58"/>
    <w:basedOn w:val="TableNormal9"/>
    <w:pPr>
      <w:spacing w:after="0" w:line="240" w:lineRule="auto"/>
    </w:pPr>
    <w:tblPr>
      <w:tblStyleRowBandSize w:val="1"/>
      <w:tblStyleColBandSize w:val="1"/>
      <w:tblCellMar>
        <w:left w:w="108" w:type="dxa"/>
        <w:right w:w="108" w:type="dxa"/>
      </w:tblCellMar>
    </w:tblPr>
  </w:style>
  <w:style w:type="table" w:customStyle="1" w:styleId="57">
    <w:name w:val="57"/>
    <w:basedOn w:val="TableNormal10"/>
    <w:pPr>
      <w:spacing w:after="0" w:line="240" w:lineRule="auto"/>
    </w:pPr>
    <w:tblPr>
      <w:tblStyleRowBandSize w:val="1"/>
      <w:tblStyleColBandSize w:val="1"/>
      <w:tblCellMar>
        <w:left w:w="108" w:type="dxa"/>
        <w:right w:w="108" w:type="dxa"/>
      </w:tblCellMar>
    </w:tblPr>
  </w:style>
  <w:style w:type="table" w:customStyle="1" w:styleId="56">
    <w:name w:val="56"/>
    <w:basedOn w:val="TableNormal10"/>
    <w:pPr>
      <w:spacing w:after="0" w:line="240" w:lineRule="auto"/>
    </w:pPr>
    <w:tblPr>
      <w:tblStyleRowBandSize w:val="1"/>
      <w:tblStyleColBandSize w:val="1"/>
      <w:tblCellMar>
        <w:left w:w="108" w:type="dxa"/>
        <w:right w:w="108" w:type="dxa"/>
      </w:tblCellMar>
    </w:tblPr>
  </w:style>
  <w:style w:type="table" w:customStyle="1" w:styleId="55">
    <w:name w:val="55"/>
    <w:basedOn w:val="TableNormal10"/>
    <w:pPr>
      <w:spacing w:after="0" w:line="240" w:lineRule="auto"/>
    </w:pPr>
    <w:tblPr>
      <w:tblStyleRowBandSize w:val="1"/>
      <w:tblStyleColBandSize w:val="1"/>
      <w:tblCellMar>
        <w:left w:w="108" w:type="dxa"/>
        <w:right w:w="108" w:type="dxa"/>
      </w:tblCellMar>
    </w:tblPr>
  </w:style>
  <w:style w:type="table" w:customStyle="1" w:styleId="54">
    <w:name w:val="54"/>
    <w:basedOn w:val="TableNormal10"/>
    <w:pPr>
      <w:spacing w:after="0" w:line="240" w:lineRule="auto"/>
    </w:pPr>
    <w:tblPr>
      <w:tblStyleRowBandSize w:val="1"/>
      <w:tblStyleColBandSize w:val="1"/>
      <w:tblCellMar>
        <w:left w:w="108" w:type="dxa"/>
        <w:right w:w="108" w:type="dxa"/>
      </w:tblCellMar>
    </w:tblPr>
  </w:style>
  <w:style w:type="table" w:customStyle="1" w:styleId="53">
    <w:name w:val="53"/>
    <w:basedOn w:val="TableNormal10"/>
    <w:pPr>
      <w:spacing w:after="0" w:line="240" w:lineRule="auto"/>
    </w:pPr>
    <w:tblPr>
      <w:tblStyleRowBandSize w:val="1"/>
      <w:tblStyleColBandSize w:val="1"/>
      <w:tblCellMar>
        <w:left w:w="108" w:type="dxa"/>
        <w:right w:w="108" w:type="dxa"/>
      </w:tblCellMar>
    </w:tblPr>
  </w:style>
  <w:style w:type="table" w:customStyle="1" w:styleId="52">
    <w:name w:val="52"/>
    <w:basedOn w:val="TableNormal10"/>
    <w:pPr>
      <w:spacing w:after="0" w:line="240" w:lineRule="auto"/>
    </w:pPr>
    <w:tblPr>
      <w:tblStyleRowBandSize w:val="1"/>
      <w:tblStyleColBandSize w:val="1"/>
      <w:tblCellMar>
        <w:left w:w="108" w:type="dxa"/>
        <w:right w:w="108" w:type="dxa"/>
      </w:tblCellMar>
    </w:tblPr>
  </w:style>
  <w:style w:type="table" w:customStyle="1" w:styleId="51">
    <w:name w:val="51"/>
    <w:basedOn w:val="TableNormal10"/>
    <w:pPr>
      <w:spacing w:after="0" w:line="240" w:lineRule="auto"/>
    </w:pPr>
    <w:tblPr>
      <w:tblStyleRowBandSize w:val="1"/>
      <w:tblStyleColBandSize w:val="1"/>
      <w:tblCellMar>
        <w:left w:w="108" w:type="dxa"/>
        <w:right w:w="108" w:type="dxa"/>
      </w:tblCellMar>
    </w:tblPr>
  </w:style>
  <w:style w:type="table" w:customStyle="1" w:styleId="50">
    <w:name w:val="50"/>
    <w:basedOn w:val="TableNormal10"/>
    <w:pPr>
      <w:spacing w:after="0" w:line="240" w:lineRule="auto"/>
    </w:pPr>
    <w:tblPr>
      <w:tblStyleRowBandSize w:val="1"/>
      <w:tblStyleColBandSize w:val="1"/>
      <w:tblCellMar>
        <w:left w:w="108" w:type="dxa"/>
        <w:right w:w="108" w:type="dxa"/>
      </w:tblCellMar>
    </w:tblPr>
  </w:style>
  <w:style w:type="table" w:customStyle="1" w:styleId="49">
    <w:name w:val="49"/>
    <w:basedOn w:val="TableNormal10"/>
    <w:pPr>
      <w:spacing w:after="0" w:line="240" w:lineRule="auto"/>
    </w:pPr>
    <w:tblPr>
      <w:tblStyleRowBandSize w:val="1"/>
      <w:tblStyleColBandSize w:val="1"/>
      <w:tblCellMar>
        <w:left w:w="108" w:type="dxa"/>
        <w:right w:w="108" w:type="dxa"/>
      </w:tblCellMar>
    </w:tblPr>
  </w:style>
  <w:style w:type="table" w:customStyle="1" w:styleId="48">
    <w:name w:val="48"/>
    <w:basedOn w:val="TableNormal10"/>
    <w:pPr>
      <w:spacing w:after="0" w:line="240" w:lineRule="auto"/>
    </w:pPr>
    <w:tblPr>
      <w:tblStyleRowBandSize w:val="1"/>
      <w:tblStyleColBandSize w:val="1"/>
      <w:tblCellMar>
        <w:left w:w="108" w:type="dxa"/>
        <w:right w:w="108" w:type="dxa"/>
      </w:tblCellMar>
    </w:tblPr>
  </w:style>
  <w:style w:type="table" w:customStyle="1" w:styleId="47">
    <w:name w:val="47"/>
    <w:basedOn w:val="TableNormal10"/>
    <w:pPr>
      <w:spacing w:after="0" w:line="240" w:lineRule="auto"/>
    </w:pPr>
    <w:tblPr>
      <w:tblStyleRowBandSize w:val="1"/>
      <w:tblStyleColBandSize w:val="1"/>
      <w:tblCellMar>
        <w:left w:w="108" w:type="dxa"/>
        <w:right w:w="108" w:type="dxa"/>
      </w:tblCellMar>
    </w:tblPr>
  </w:style>
  <w:style w:type="table" w:customStyle="1" w:styleId="46">
    <w:name w:val="46"/>
    <w:basedOn w:val="TableNormal10"/>
    <w:pPr>
      <w:spacing w:after="0" w:line="240" w:lineRule="auto"/>
    </w:pPr>
    <w:tblPr>
      <w:tblStyleRowBandSize w:val="1"/>
      <w:tblStyleColBandSize w:val="1"/>
      <w:tblCellMar>
        <w:left w:w="108" w:type="dxa"/>
        <w:right w:w="108" w:type="dxa"/>
      </w:tblCellMar>
    </w:tblPr>
  </w:style>
  <w:style w:type="table" w:customStyle="1" w:styleId="45">
    <w:name w:val="45"/>
    <w:basedOn w:val="TableNormal10"/>
    <w:pPr>
      <w:spacing w:after="0" w:line="240" w:lineRule="auto"/>
    </w:pPr>
    <w:tblPr>
      <w:tblStyleRowBandSize w:val="1"/>
      <w:tblStyleColBandSize w:val="1"/>
      <w:tblCellMar>
        <w:left w:w="108" w:type="dxa"/>
        <w:right w:w="108" w:type="dxa"/>
      </w:tblCellMar>
    </w:tblPr>
  </w:style>
  <w:style w:type="table" w:customStyle="1" w:styleId="44">
    <w:name w:val="44"/>
    <w:basedOn w:val="TableNormal10"/>
    <w:pPr>
      <w:spacing w:after="0" w:line="240" w:lineRule="auto"/>
    </w:pPr>
    <w:tblPr>
      <w:tblStyleRowBandSize w:val="1"/>
      <w:tblStyleColBandSize w:val="1"/>
      <w:tblCellMar>
        <w:left w:w="108" w:type="dxa"/>
        <w:right w:w="108" w:type="dxa"/>
      </w:tblCellMar>
    </w:tblPr>
  </w:style>
  <w:style w:type="table" w:customStyle="1" w:styleId="43">
    <w:name w:val="43"/>
    <w:basedOn w:val="TableNormal10"/>
    <w:pPr>
      <w:spacing w:after="0" w:line="240" w:lineRule="auto"/>
    </w:pPr>
    <w:tblPr>
      <w:tblStyleRowBandSize w:val="1"/>
      <w:tblStyleColBandSize w:val="1"/>
      <w:tblCellMar>
        <w:left w:w="108" w:type="dxa"/>
        <w:right w:w="108" w:type="dxa"/>
      </w:tblCellMar>
    </w:tblPr>
  </w:style>
  <w:style w:type="table" w:customStyle="1" w:styleId="42">
    <w:name w:val="42"/>
    <w:basedOn w:val="TableNormal10"/>
    <w:pPr>
      <w:spacing w:after="0" w:line="240" w:lineRule="auto"/>
    </w:pPr>
    <w:tblPr>
      <w:tblStyleRowBandSize w:val="1"/>
      <w:tblStyleColBandSize w:val="1"/>
      <w:tblCellMar>
        <w:left w:w="108" w:type="dxa"/>
        <w:right w:w="108" w:type="dxa"/>
      </w:tblCellMar>
    </w:tblPr>
  </w:style>
  <w:style w:type="table" w:customStyle="1" w:styleId="41">
    <w:name w:val="41"/>
    <w:basedOn w:val="TableNormal10"/>
    <w:pPr>
      <w:spacing w:after="0" w:line="240" w:lineRule="auto"/>
    </w:pPr>
    <w:tblPr>
      <w:tblStyleRowBandSize w:val="1"/>
      <w:tblStyleColBandSize w:val="1"/>
      <w:tblCellMar>
        <w:left w:w="108" w:type="dxa"/>
        <w:right w:w="108" w:type="dxa"/>
      </w:tblCellMar>
    </w:tblPr>
  </w:style>
  <w:style w:type="table" w:customStyle="1" w:styleId="40">
    <w:name w:val="40"/>
    <w:basedOn w:val="TableNormal10"/>
    <w:pPr>
      <w:spacing w:after="0" w:line="240" w:lineRule="auto"/>
    </w:pPr>
    <w:tblPr>
      <w:tblStyleRowBandSize w:val="1"/>
      <w:tblStyleColBandSize w:val="1"/>
      <w:tblCellMar>
        <w:left w:w="108" w:type="dxa"/>
        <w:right w:w="108" w:type="dxa"/>
      </w:tblCellMar>
    </w:tblPr>
  </w:style>
  <w:style w:type="table" w:customStyle="1" w:styleId="39">
    <w:name w:val="39"/>
    <w:basedOn w:val="TableNormal10"/>
    <w:pPr>
      <w:spacing w:after="0" w:line="240" w:lineRule="auto"/>
    </w:pPr>
    <w:tblPr>
      <w:tblStyleRowBandSize w:val="1"/>
      <w:tblStyleColBandSize w:val="1"/>
      <w:tblCellMar>
        <w:left w:w="108" w:type="dxa"/>
        <w:right w:w="108" w:type="dxa"/>
      </w:tblCellMar>
    </w:tblPr>
  </w:style>
  <w:style w:type="table" w:customStyle="1" w:styleId="38">
    <w:name w:val="38"/>
    <w:basedOn w:val="TableNormal10"/>
    <w:pPr>
      <w:spacing w:after="0" w:line="240" w:lineRule="auto"/>
    </w:pPr>
    <w:tblPr>
      <w:tblStyleRowBandSize w:val="1"/>
      <w:tblStyleColBandSize w:val="1"/>
      <w:tblCellMar>
        <w:left w:w="108" w:type="dxa"/>
        <w:right w:w="108" w:type="dxa"/>
      </w:tblCellMar>
    </w:tblPr>
  </w:style>
  <w:style w:type="table" w:customStyle="1" w:styleId="37">
    <w:name w:val="37"/>
    <w:basedOn w:val="TableNormal10"/>
    <w:pPr>
      <w:spacing w:after="0" w:line="240" w:lineRule="auto"/>
    </w:pPr>
    <w:tblPr>
      <w:tblStyleRowBandSize w:val="1"/>
      <w:tblStyleColBandSize w:val="1"/>
      <w:tblCellMar>
        <w:left w:w="108" w:type="dxa"/>
        <w:right w:w="108" w:type="dxa"/>
      </w:tblCellMar>
    </w:tblPr>
  </w:style>
  <w:style w:type="table" w:customStyle="1" w:styleId="36">
    <w:name w:val="36"/>
    <w:basedOn w:val="TableNormal10"/>
    <w:pPr>
      <w:spacing w:after="0" w:line="240" w:lineRule="auto"/>
    </w:pPr>
    <w:tblPr>
      <w:tblStyleRowBandSize w:val="1"/>
      <w:tblStyleColBandSize w:val="1"/>
      <w:tblCellMar>
        <w:left w:w="108" w:type="dxa"/>
        <w:right w:w="108" w:type="dxa"/>
      </w:tblCellMar>
    </w:tblPr>
  </w:style>
  <w:style w:type="table" w:customStyle="1" w:styleId="35">
    <w:name w:val="35"/>
    <w:basedOn w:val="TableNormal11"/>
    <w:pPr>
      <w:spacing w:after="0" w:line="240" w:lineRule="auto"/>
    </w:pPr>
    <w:tblPr>
      <w:tblStyleRowBandSize w:val="1"/>
      <w:tblStyleColBandSize w:val="1"/>
      <w:tblCellMar>
        <w:left w:w="108" w:type="dxa"/>
        <w:right w:w="108" w:type="dxa"/>
      </w:tblCellMar>
    </w:tblPr>
  </w:style>
  <w:style w:type="table" w:customStyle="1" w:styleId="34">
    <w:name w:val="34"/>
    <w:basedOn w:val="TableNormal11"/>
    <w:pPr>
      <w:spacing w:after="0" w:line="240" w:lineRule="auto"/>
    </w:pPr>
    <w:tblPr>
      <w:tblStyleRowBandSize w:val="1"/>
      <w:tblStyleColBandSize w:val="1"/>
      <w:tblCellMar>
        <w:left w:w="108" w:type="dxa"/>
        <w:right w:w="108" w:type="dxa"/>
      </w:tblCellMar>
    </w:tblPr>
  </w:style>
  <w:style w:type="table" w:customStyle="1" w:styleId="33">
    <w:name w:val="33"/>
    <w:basedOn w:val="TableNormal11"/>
    <w:pPr>
      <w:spacing w:after="0" w:line="240" w:lineRule="auto"/>
    </w:pPr>
    <w:tblPr>
      <w:tblStyleRowBandSize w:val="1"/>
      <w:tblStyleColBandSize w:val="1"/>
      <w:tblCellMar>
        <w:left w:w="108" w:type="dxa"/>
        <w:right w:w="108" w:type="dxa"/>
      </w:tblCellMar>
    </w:tblPr>
  </w:style>
  <w:style w:type="table" w:customStyle="1" w:styleId="32">
    <w:name w:val="32"/>
    <w:basedOn w:val="TableNormal11"/>
    <w:pPr>
      <w:spacing w:after="0" w:line="240" w:lineRule="auto"/>
    </w:pPr>
    <w:tblPr>
      <w:tblStyleRowBandSize w:val="1"/>
      <w:tblStyleColBandSize w:val="1"/>
      <w:tblCellMar>
        <w:left w:w="108" w:type="dxa"/>
        <w:right w:w="108" w:type="dxa"/>
      </w:tblCellMar>
    </w:tblPr>
  </w:style>
  <w:style w:type="table" w:customStyle="1" w:styleId="31">
    <w:name w:val="31"/>
    <w:basedOn w:val="TableNormal11"/>
    <w:pPr>
      <w:spacing w:after="0" w:line="240" w:lineRule="auto"/>
    </w:pPr>
    <w:tblPr>
      <w:tblStyleRowBandSize w:val="1"/>
      <w:tblStyleColBandSize w:val="1"/>
      <w:tblCellMar>
        <w:left w:w="108" w:type="dxa"/>
        <w:right w:w="108" w:type="dxa"/>
      </w:tblCellMar>
    </w:tblPr>
  </w:style>
  <w:style w:type="character" w:customStyle="1" w:styleId="Mencinsinresolver4">
    <w:name w:val="Mención sin resolver4"/>
    <w:basedOn w:val="Fuentedeprrafopredeter"/>
    <w:uiPriority w:val="99"/>
    <w:semiHidden/>
    <w:unhideWhenUsed/>
    <w:rsid w:val="001C2C58"/>
    <w:rPr>
      <w:color w:val="605E5C"/>
      <w:shd w:val="clear" w:color="auto" w:fill="E1DFDD"/>
    </w:rPr>
  </w:style>
  <w:style w:type="table" w:customStyle="1" w:styleId="30">
    <w:name w:val="30"/>
    <w:basedOn w:val="TableNormal12"/>
    <w:pPr>
      <w:spacing w:after="0" w:line="240" w:lineRule="auto"/>
    </w:pPr>
    <w:tblPr>
      <w:tblStyleRowBandSize w:val="1"/>
      <w:tblStyleColBandSize w:val="1"/>
      <w:tblCellMar>
        <w:left w:w="108" w:type="dxa"/>
        <w:right w:w="108" w:type="dxa"/>
      </w:tblCellMar>
    </w:tblPr>
  </w:style>
  <w:style w:type="table" w:customStyle="1" w:styleId="29">
    <w:name w:val="29"/>
    <w:basedOn w:val="TableNormal12"/>
    <w:pPr>
      <w:spacing w:after="0" w:line="240" w:lineRule="auto"/>
    </w:pPr>
    <w:tblPr>
      <w:tblStyleRowBandSize w:val="1"/>
      <w:tblStyleColBandSize w:val="1"/>
      <w:tblCellMar>
        <w:left w:w="108" w:type="dxa"/>
        <w:right w:w="108" w:type="dxa"/>
      </w:tblCellMar>
    </w:tblPr>
  </w:style>
  <w:style w:type="table" w:customStyle="1" w:styleId="28">
    <w:name w:val="28"/>
    <w:basedOn w:val="TableNormal12"/>
    <w:pPr>
      <w:spacing w:after="0" w:line="240" w:lineRule="auto"/>
    </w:pPr>
    <w:tblPr>
      <w:tblStyleRowBandSize w:val="1"/>
      <w:tblStyleColBandSize w:val="1"/>
      <w:tblCellMar>
        <w:left w:w="108" w:type="dxa"/>
        <w:right w:w="108" w:type="dxa"/>
      </w:tblCellMar>
    </w:tblPr>
  </w:style>
  <w:style w:type="table" w:customStyle="1" w:styleId="27">
    <w:name w:val="27"/>
    <w:basedOn w:val="TableNormal12"/>
    <w:pPr>
      <w:spacing w:after="0" w:line="240" w:lineRule="auto"/>
    </w:pPr>
    <w:tblPr>
      <w:tblStyleRowBandSize w:val="1"/>
      <w:tblStyleColBandSize w:val="1"/>
      <w:tblCellMar>
        <w:left w:w="108" w:type="dxa"/>
        <w:right w:w="108" w:type="dxa"/>
      </w:tblCellMar>
    </w:tblPr>
  </w:style>
  <w:style w:type="character" w:customStyle="1" w:styleId="Mencinsinresolver5">
    <w:name w:val="Mención sin resolver5"/>
    <w:basedOn w:val="Fuentedeprrafopredeter"/>
    <w:uiPriority w:val="99"/>
    <w:semiHidden/>
    <w:unhideWhenUsed/>
    <w:rsid w:val="0058145F"/>
    <w:rPr>
      <w:color w:val="605E5C"/>
      <w:shd w:val="clear" w:color="auto" w:fill="E1DFDD"/>
    </w:rPr>
  </w:style>
  <w:style w:type="table" w:customStyle="1" w:styleId="26">
    <w:name w:val="26"/>
    <w:basedOn w:val="TableNormal13"/>
    <w:pPr>
      <w:spacing w:after="0" w:line="240" w:lineRule="auto"/>
    </w:pPr>
    <w:tblPr>
      <w:tblStyleRowBandSize w:val="1"/>
      <w:tblStyleColBandSize w:val="1"/>
      <w:tblCellMar>
        <w:left w:w="108" w:type="dxa"/>
        <w:right w:w="108" w:type="dxa"/>
      </w:tblCellMar>
    </w:tblPr>
  </w:style>
  <w:style w:type="table" w:customStyle="1" w:styleId="25">
    <w:name w:val="25"/>
    <w:basedOn w:val="TableNormal13"/>
    <w:pPr>
      <w:spacing w:after="0" w:line="240" w:lineRule="auto"/>
    </w:pPr>
    <w:tblPr>
      <w:tblStyleRowBandSize w:val="1"/>
      <w:tblStyleColBandSize w:val="1"/>
      <w:tblCellMar>
        <w:left w:w="108" w:type="dxa"/>
        <w:right w:w="108" w:type="dxa"/>
      </w:tblCellMar>
    </w:tblPr>
  </w:style>
  <w:style w:type="table" w:customStyle="1" w:styleId="24">
    <w:name w:val="24"/>
    <w:basedOn w:val="TableNormal13"/>
    <w:pPr>
      <w:spacing w:after="0" w:line="240" w:lineRule="auto"/>
    </w:pPr>
    <w:tblPr>
      <w:tblStyleRowBandSize w:val="1"/>
      <w:tblStyleColBandSize w:val="1"/>
      <w:tblCellMar>
        <w:left w:w="108" w:type="dxa"/>
        <w:right w:w="108" w:type="dxa"/>
      </w:tblCellMar>
    </w:tblPr>
  </w:style>
  <w:style w:type="table" w:customStyle="1" w:styleId="23">
    <w:name w:val="23"/>
    <w:basedOn w:val="TableNormal13"/>
    <w:pPr>
      <w:spacing w:after="0" w:line="240" w:lineRule="auto"/>
    </w:pPr>
    <w:tblPr>
      <w:tblStyleRowBandSize w:val="1"/>
      <w:tblStyleColBandSize w:val="1"/>
      <w:tblCellMar>
        <w:left w:w="108" w:type="dxa"/>
        <w:right w:w="108" w:type="dxa"/>
      </w:tblCellMar>
    </w:tblPr>
  </w:style>
  <w:style w:type="table" w:customStyle="1" w:styleId="22">
    <w:name w:val="22"/>
    <w:basedOn w:val="TableNormal13"/>
    <w:pPr>
      <w:spacing w:after="0" w:line="240" w:lineRule="auto"/>
    </w:pPr>
    <w:tblPr>
      <w:tblStyleRowBandSize w:val="1"/>
      <w:tblStyleColBandSize w:val="1"/>
      <w:tblCellMar>
        <w:left w:w="108" w:type="dxa"/>
        <w:right w:w="108" w:type="dxa"/>
      </w:tblCellMar>
    </w:tblPr>
  </w:style>
  <w:style w:type="character" w:customStyle="1" w:styleId="Mencinsinresolver6">
    <w:name w:val="Mención sin resolver6"/>
    <w:basedOn w:val="Fuentedeprrafopredeter"/>
    <w:uiPriority w:val="99"/>
    <w:semiHidden/>
    <w:unhideWhenUsed/>
    <w:rsid w:val="00745900"/>
    <w:rPr>
      <w:color w:val="605E5C"/>
      <w:shd w:val="clear" w:color="auto" w:fill="E1DFDD"/>
    </w:rPr>
  </w:style>
  <w:style w:type="table" w:customStyle="1" w:styleId="21">
    <w:name w:val="21"/>
    <w:basedOn w:val="TableNormal14"/>
    <w:pPr>
      <w:spacing w:after="0" w:line="240" w:lineRule="auto"/>
    </w:pPr>
    <w:tblPr>
      <w:tblStyleRowBandSize w:val="1"/>
      <w:tblStyleColBandSize w:val="1"/>
      <w:tblCellMar>
        <w:left w:w="108" w:type="dxa"/>
        <w:right w:w="108" w:type="dxa"/>
      </w:tblCellMar>
    </w:tblPr>
  </w:style>
  <w:style w:type="table" w:customStyle="1" w:styleId="20">
    <w:name w:val="20"/>
    <w:basedOn w:val="TableNormal14"/>
    <w:pPr>
      <w:spacing w:after="0" w:line="240" w:lineRule="auto"/>
    </w:pPr>
    <w:tblPr>
      <w:tblStyleRowBandSize w:val="1"/>
      <w:tblStyleColBandSize w:val="1"/>
      <w:tblCellMar>
        <w:left w:w="108" w:type="dxa"/>
        <w:right w:w="108" w:type="dxa"/>
      </w:tblCellMar>
    </w:tblPr>
  </w:style>
  <w:style w:type="table" w:customStyle="1" w:styleId="19">
    <w:name w:val="19"/>
    <w:basedOn w:val="TableNormal14"/>
    <w:pPr>
      <w:spacing w:after="0" w:line="240" w:lineRule="auto"/>
    </w:pPr>
    <w:tblPr>
      <w:tblStyleRowBandSize w:val="1"/>
      <w:tblStyleColBandSize w:val="1"/>
      <w:tblCellMar>
        <w:left w:w="108" w:type="dxa"/>
        <w:right w:w="108" w:type="dxa"/>
      </w:tblCellMar>
    </w:tblPr>
  </w:style>
  <w:style w:type="table" w:customStyle="1" w:styleId="18">
    <w:name w:val="18"/>
    <w:basedOn w:val="TableNormal14"/>
    <w:pPr>
      <w:spacing w:after="0" w:line="240" w:lineRule="auto"/>
    </w:pPr>
    <w:tblPr>
      <w:tblStyleRowBandSize w:val="1"/>
      <w:tblStyleColBandSize w:val="1"/>
      <w:tblCellMar>
        <w:left w:w="108" w:type="dxa"/>
        <w:right w:w="108" w:type="dxa"/>
      </w:tblCellMar>
    </w:tblPr>
  </w:style>
  <w:style w:type="table" w:customStyle="1" w:styleId="17">
    <w:name w:val="17"/>
    <w:basedOn w:val="TableNormal15"/>
    <w:pPr>
      <w:spacing w:after="0" w:line="240" w:lineRule="auto"/>
    </w:pPr>
    <w:tblPr>
      <w:tblStyleRowBandSize w:val="1"/>
      <w:tblStyleColBandSize w:val="1"/>
      <w:tblCellMar>
        <w:left w:w="108" w:type="dxa"/>
        <w:right w:w="108" w:type="dxa"/>
      </w:tblCellMar>
    </w:tblPr>
  </w:style>
  <w:style w:type="table" w:customStyle="1" w:styleId="16">
    <w:name w:val="16"/>
    <w:basedOn w:val="TableNormal15"/>
    <w:pPr>
      <w:spacing w:after="0" w:line="240" w:lineRule="auto"/>
    </w:pPr>
    <w:tblPr>
      <w:tblStyleRowBandSize w:val="1"/>
      <w:tblStyleColBandSize w:val="1"/>
      <w:tblCellMar>
        <w:left w:w="108" w:type="dxa"/>
        <w:right w:w="108" w:type="dxa"/>
      </w:tblCellMar>
    </w:tblPr>
  </w:style>
  <w:style w:type="table" w:customStyle="1" w:styleId="15">
    <w:name w:val="15"/>
    <w:basedOn w:val="TableNormal15"/>
    <w:pPr>
      <w:spacing w:after="0" w:line="240" w:lineRule="auto"/>
    </w:pPr>
    <w:tblPr>
      <w:tblStyleRowBandSize w:val="1"/>
      <w:tblStyleColBandSize w:val="1"/>
      <w:tblCellMar>
        <w:left w:w="108" w:type="dxa"/>
        <w:right w:w="108" w:type="dxa"/>
      </w:tblCellMar>
    </w:tblPr>
  </w:style>
  <w:style w:type="table" w:customStyle="1" w:styleId="14">
    <w:name w:val="14"/>
    <w:basedOn w:val="TableNormal15"/>
    <w:pPr>
      <w:spacing w:after="0" w:line="240" w:lineRule="auto"/>
    </w:pPr>
    <w:tblPr>
      <w:tblStyleRowBandSize w:val="1"/>
      <w:tblStyleColBandSize w:val="1"/>
      <w:tblCellMar>
        <w:left w:w="108" w:type="dxa"/>
        <w:right w:w="108" w:type="dxa"/>
      </w:tblCellMar>
    </w:tblPr>
  </w:style>
  <w:style w:type="table" w:customStyle="1" w:styleId="13">
    <w:name w:val="13"/>
    <w:basedOn w:val="TableNormal15"/>
    <w:pPr>
      <w:spacing w:after="0" w:line="240" w:lineRule="auto"/>
    </w:pPr>
    <w:tblPr>
      <w:tblStyleRowBandSize w:val="1"/>
      <w:tblStyleColBandSize w:val="1"/>
      <w:tblCellMar>
        <w:left w:w="108" w:type="dxa"/>
        <w:right w:w="108" w:type="dxa"/>
      </w:tblCellMar>
    </w:tblPr>
  </w:style>
  <w:style w:type="table" w:customStyle="1" w:styleId="12">
    <w:name w:val="12"/>
    <w:basedOn w:val="TableNormal16"/>
    <w:pPr>
      <w:spacing w:after="0" w:line="240" w:lineRule="auto"/>
    </w:pPr>
    <w:tblPr>
      <w:tblStyleRowBandSize w:val="1"/>
      <w:tblStyleColBandSize w:val="1"/>
      <w:tblCellMar>
        <w:left w:w="108" w:type="dxa"/>
        <w:right w:w="108" w:type="dxa"/>
      </w:tblCellMar>
    </w:tblPr>
  </w:style>
  <w:style w:type="table" w:customStyle="1" w:styleId="11">
    <w:name w:val="11"/>
    <w:basedOn w:val="TableNormal16"/>
    <w:pPr>
      <w:spacing w:after="0" w:line="240" w:lineRule="auto"/>
    </w:pPr>
    <w:tblPr>
      <w:tblStyleRowBandSize w:val="1"/>
      <w:tblStyleColBandSize w:val="1"/>
      <w:tblCellMar>
        <w:left w:w="108" w:type="dxa"/>
        <w:right w:w="108" w:type="dxa"/>
      </w:tblCellMar>
    </w:tblPr>
  </w:style>
  <w:style w:type="table" w:customStyle="1" w:styleId="10">
    <w:name w:val="10"/>
    <w:basedOn w:val="TableNormal16"/>
    <w:pPr>
      <w:spacing w:after="0" w:line="240" w:lineRule="auto"/>
    </w:pPr>
    <w:tblPr>
      <w:tblStyleRowBandSize w:val="1"/>
      <w:tblStyleColBandSize w:val="1"/>
      <w:tblCellMar>
        <w:left w:w="108" w:type="dxa"/>
        <w:right w:w="108" w:type="dxa"/>
      </w:tblCellMar>
    </w:tblPr>
  </w:style>
  <w:style w:type="table" w:customStyle="1" w:styleId="9">
    <w:name w:val="9"/>
    <w:basedOn w:val="TableNormal16"/>
    <w:pPr>
      <w:spacing w:after="0" w:line="240" w:lineRule="auto"/>
    </w:pPr>
    <w:tblPr>
      <w:tblStyleRowBandSize w:val="1"/>
      <w:tblStyleColBandSize w:val="1"/>
      <w:tblCellMar>
        <w:left w:w="108" w:type="dxa"/>
        <w:right w:w="108" w:type="dxa"/>
      </w:tblCellMar>
    </w:tblPr>
  </w:style>
  <w:style w:type="character" w:customStyle="1" w:styleId="Mencinsinresolver7">
    <w:name w:val="Mención sin resolver7"/>
    <w:basedOn w:val="Fuentedeprrafopredeter"/>
    <w:uiPriority w:val="99"/>
    <w:semiHidden/>
    <w:unhideWhenUsed/>
    <w:rsid w:val="00D82F25"/>
    <w:rPr>
      <w:color w:val="605E5C"/>
      <w:shd w:val="clear" w:color="auto" w:fill="E1DFDD"/>
    </w:rPr>
  </w:style>
  <w:style w:type="character" w:customStyle="1" w:styleId="Mencinsinresolver8">
    <w:name w:val="Mención sin resolver8"/>
    <w:basedOn w:val="Fuentedeprrafopredeter"/>
    <w:uiPriority w:val="99"/>
    <w:semiHidden/>
    <w:unhideWhenUsed/>
    <w:rsid w:val="006F079B"/>
    <w:rPr>
      <w:color w:val="605E5C"/>
      <w:shd w:val="clear" w:color="auto" w:fill="E1DFDD"/>
    </w:rPr>
  </w:style>
  <w:style w:type="table" w:customStyle="1" w:styleId="8">
    <w:name w:val="8"/>
    <w:basedOn w:val="TableNormal2"/>
    <w:pPr>
      <w:spacing w:after="0" w:line="240" w:lineRule="auto"/>
    </w:pPr>
    <w:tblPr>
      <w:tblStyleRowBandSize w:val="1"/>
      <w:tblStyleColBandSize w:val="1"/>
      <w:tblCellMar>
        <w:left w:w="108" w:type="dxa"/>
        <w:right w:w="108" w:type="dxa"/>
      </w:tblCellMar>
    </w:tblPr>
  </w:style>
  <w:style w:type="table" w:customStyle="1" w:styleId="7">
    <w:name w:val="7"/>
    <w:basedOn w:val="TableNormal2"/>
    <w:pPr>
      <w:spacing w:after="0" w:line="240" w:lineRule="auto"/>
    </w:pPr>
    <w:tblPr>
      <w:tblStyleRowBandSize w:val="1"/>
      <w:tblStyleColBandSize w:val="1"/>
      <w:tblCellMar>
        <w:left w:w="108" w:type="dxa"/>
        <w:right w:w="108" w:type="dxa"/>
      </w:tblCellMar>
    </w:tblPr>
  </w:style>
  <w:style w:type="table" w:customStyle="1" w:styleId="6">
    <w:name w:val="6"/>
    <w:basedOn w:val="TableNormal2"/>
    <w:pPr>
      <w:spacing w:after="0" w:line="240" w:lineRule="auto"/>
    </w:pPr>
    <w:tblPr>
      <w:tblStyleRowBandSize w:val="1"/>
      <w:tblStyleColBandSize w:val="1"/>
      <w:tblCellMar>
        <w:left w:w="108" w:type="dxa"/>
        <w:right w:w="108" w:type="dxa"/>
      </w:tblCellMar>
    </w:tblPr>
  </w:style>
  <w:style w:type="table" w:customStyle="1" w:styleId="5">
    <w:name w:val="5"/>
    <w:basedOn w:val="TableNormal2"/>
    <w:pPr>
      <w:spacing w:after="0" w:line="240" w:lineRule="auto"/>
    </w:pPr>
    <w:tblPr>
      <w:tblStyleRowBandSize w:val="1"/>
      <w:tblStyleColBandSize w:val="1"/>
      <w:tblCellMar>
        <w:left w:w="108" w:type="dxa"/>
        <w:right w:w="108" w:type="dxa"/>
      </w:tblCellMar>
    </w:tblPr>
  </w:style>
  <w:style w:type="character" w:customStyle="1" w:styleId="Mencinsinresolver9">
    <w:name w:val="Mención sin resolver9"/>
    <w:basedOn w:val="Fuentedeprrafopredeter"/>
    <w:uiPriority w:val="99"/>
    <w:semiHidden/>
    <w:unhideWhenUsed/>
    <w:rsid w:val="004C0D23"/>
    <w:rPr>
      <w:color w:val="605E5C"/>
      <w:shd w:val="clear" w:color="auto" w:fill="E1DFDD"/>
    </w:rPr>
  </w:style>
  <w:style w:type="character" w:customStyle="1" w:styleId="Mencinsinresolver10">
    <w:name w:val="Mención sin resolver10"/>
    <w:basedOn w:val="Fuentedeprrafopredeter"/>
    <w:uiPriority w:val="99"/>
    <w:semiHidden/>
    <w:unhideWhenUsed/>
    <w:rsid w:val="00DF5460"/>
    <w:rPr>
      <w:color w:val="605E5C"/>
      <w:shd w:val="clear" w:color="auto" w:fill="E1DFDD"/>
    </w:rPr>
  </w:style>
  <w:style w:type="character" w:customStyle="1" w:styleId="Mencinsinresolver11">
    <w:name w:val="Mención sin resolver11"/>
    <w:basedOn w:val="Fuentedeprrafopredeter"/>
    <w:uiPriority w:val="99"/>
    <w:semiHidden/>
    <w:unhideWhenUsed/>
    <w:rsid w:val="00BF6967"/>
    <w:rPr>
      <w:color w:val="605E5C"/>
      <w:shd w:val="clear" w:color="auto" w:fill="E1DFDD"/>
    </w:rPr>
  </w:style>
  <w:style w:type="character" w:styleId="Refdecomentario">
    <w:name w:val="annotation reference"/>
    <w:basedOn w:val="Fuentedeprrafopredeter"/>
    <w:uiPriority w:val="99"/>
    <w:semiHidden/>
    <w:unhideWhenUsed/>
    <w:rsid w:val="00397770"/>
    <w:rPr>
      <w:sz w:val="16"/>
      <w:szCs w:val="16"/>
    </w:rPr>
  </w:style>
  <w:style w:type="paragraph" w:styleId="Textocomentario">
    <w:name w:val="annotation text"/>
    <w:basedOn w:val="Normal"/>
    <w:link w:val="TextocomentarioCar"/>
    <w:uiPriority w:val="99"/>
    <w:semiHidden/>
    <w:unhideWhenUsed/>
    <w:rsid w:val="0039777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97770"/>
    <w:rPr>
      <w:sz w:val="20"/>
      <w:szCs w:val="20"/>
    </w:rPr>
  </w:style>
  <w:style w:type="paragraph" w:styleId="Asuntodelcomentario">
    <w:name w:val="annotation subject"/>
    <w:basedOn w:val="Textocomentario"/>
    <w:next w:val="Textocomentario"/>
    <w:link w:val="AsuntodelcomentarioCar"/>
    <w:uiPriority w:val="99"/>
    <w:semiHidden/>
    <w:unhideWhenUsed/>
    <w:rsid w:val="00397770"/>
    <w:rPr>
      <w:b/>
      <w:bCs/>
    </w:rPr>
  </w:style>
  <w:style w:type="character" w:customStyle="1" w:styleId="AsuntodelcomentarioCar">
    <w:name w:val="Asunto del comentario Car"/>
    <w:basedOn w:val="TextocomentarioCar"/>
    <w:link w:val="Asuntodelcomentario"/>
    <w:uiPriority w:val="99"/>
    <w:semiHidden/>
    <w:rsid w:val="00397770"/>
    <w:rPr>
      <w:b/>
      <w:bCs/>
      <w:sz w:val="20"/>
      <w:szCs w:val="20"/>
    </w:rPr>
  </w:style>
  <w:style w:type="table" w:customStyle="1" w:styleId="4">
    <w:name w:val="4"/>
    <w:basedOn w:val="TableNormal1"/>
    <w:pPr>
      <w:spacing w:after="0" w:line="240" w:lineRule="auto"/>
    </w:pPr>
    <w:tblPr>
      <w:tblStyleRowBandSize w:val="1"/>
      <w:tblStyleColBandSize w:val="1"/>
      <w:tblCellMar>
        <w:left w:w="108" w:type="dxa"/>
        <w:right w:w="108" w:type="dxa"/>
      </w:tblCellMar>
    </w:tblPr>
  </w:style>
  <w:style w:type="table" w:customStyle="1" w:styleId="3">
    <w:name w:val="3"/>
    <w:basedOn w:val="TableNormal1"/>
    <w:pPr>
      <w:spacing w:after="0" w:line="240" w:lineRule="auto"/>
    </w:pPr>
    <w:tblPr>
      <w:tblStyleRowBandSize w:val="1"/>
      <w:tblStyleColBandSize w:val="1"/>
      <w:tblCellMar>
        <w:left w:w="108" w:type="dxa"/>
        <w:right w:w="108" w:type="dxa"/>
      </w:tblCellMar>
    </w:tblPr>
  </w:style>
  <w:style w:type="table" w:customStyle="1" w:styleId="2">
    <w:name w:val="2"/>
    <w:basedOn w:val="TableNormal1"/>
    <w:pPr>
      <w:spacing w:after="0" w:line="240" w:lineRule="auto"/>
    </w:pPr>
    <w:tblPr>
      <w:tblStyleRowBandSize w:val="1"/>
      <w:tblStyleColBandSize w:val="1"/>
      <w:tblCellMar>
        <w:left w:w="108" w:type="dxa"/>
        <w:right w:w="108" w:type="dxa"/>
      </w:tblCellMar>
    </w:tblPr>
  </w:style>
  <w:style w:type="table" w:customStyle="1" w:styleId="1">
    <w:name w:val="1"/>
    <w:basedOn w:val="TableNormal1"/>
    <w:pPr>
      <w:spacing w:after="0" w:line="240" w:lineRule="auto"/>
    </w:pPr>
    <w:tblPr>
      <w:tblStyleRowBandSize w:val="1"/>
      <w:tblStyleColBandSize w:val="1"/>
      <w:tblCellMar>
        <w:left w:w="108" w:type="dxa"/>
        <w:right w:w="108" w:type="dxa"/>
      </w:tblCellMar>
    </w:tblPr>
  </w:style>
  <w:style w:type="character" w:styleId="Fuerte">
    <w:name w:val="Strong"/>
    <w:basedOn w:val="Fuentedeprrafopredeter"/>
    <w:uiPriority w:val="22"/>
    <w:qFormat/>
    <w:rsid w:val="0022749E"/>
    <w:rPr>
      <w:b/>
      <w:bCs/>
    </w:rPr>
  </w:style>
  <w:style w:type="character" w:customStyle="1" w:styleId="Mencinsinresolver12">
    <w:name w:val="Mención sin resolver12"/>
    <w:basedOn w:val="Fuentedeprrafopredeter"/>
    <w:uiPriority w:val="99"/>
    <w:semiHidden/>
    <w:unhideWhenUsed/>
    <w:rsid w:val="008132E0"/>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docplayer.es/5455342-Nuevas-tecnologias-biometricas-instituto-nacional-de-ciencias-penales-procuraduria-general-de-la-republica-version-1-0.html"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lAtoeljmRGmt80q61iTFspEvMA==">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</go:docsCustomData>
</go:gDocsCustomXmlDataStorage>
</file>

<file path=customXml/itemProps1.xml><?xml version="1.0" encoding="utf-8"?>
<ds:datastoreItem xmlns:ds="http://schemas.openxmlformats.org/officeDocument/2006/customXml" ds:itemID="{DF1DEBBD-23ED-42A9-A685-D8C375BFAF9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8414</Words>
  <Characters>46283</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oswaldo</dc:creator>
  <cp:lastModifiedBy>USUARIO</cp:lastModifiedBy>
  <cp:revision>4</cp:revision>
  <cp:lastPrinted>2026-03-06T20:40:00Z</cp:lastPrinted>
  <dcterms:created xsi:type="dcterms:W3CDTF">2026-03-06T20:39:00Z</dcterms:created>
  <dcterms:modified xsi:type="dcterms:W3CDTF">2026-04-09T21:54:00Z</dcterms:modified>
</cp:coreProperties>
</file>