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9CC" w:rsidRPr="00712A51" w:rsidRDefault="000169CC" w:rsidP="00743052">
      <w:pP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5E5C33" w:rsidRPr="00712A51">
        <w:rPr>
          <w:rFonts w:ascii="Palatino Linotype" w:eastAsia="Palatino Linotype" w:hAnsi="Palatino Linotype" w:cs="Palatino Linotype"/>
        </w:rPr>
        <w:t xml:space="preserve"> de México; de fecha trece</w:t>
      </w:r>
      <w:r w:rsidR="00712A51">
        <w:rPr>
          <w:rFonts w:ascii="Palatino Linotype" w:eastAsia="Palatino Linotype" w:hAnsi="Palatino Linotype" w:cs="Palatino Linotype"/>
        </w:rPr>
        <w:t xml:space="preserve"> (13)</w:t>
      </w:r>
      <w:r w:rsidRPr="00712A51">
        <w:rPr>
          <w:rFonts w:ascii="Palatino Linotype" w:eastAsia="Palatino Linotype" w:hAnsi="Palatino Linotype" w:cs="Palatino Linotype"/>
        </w:rPr>
        <w:t xml:space="preserve"> de mayo de dos mil veintiséis.</w:t>
      </w:r>
    </w:p>
    <w:p w:rsidR="000169CC" w:rsidRPr="00712A51" w:rsidRDefault="000169CC" w:rsidP="00743052">
      <w:pPr>
        <w:spacing w:line="360" w:lineRule="auto"/>
        <w:jc w:val="both"/>
        <w:rPr>
          <w:rFonts w:ascii="Palatino Linotype" w:eastAsia="Palatino Linotype" w:hAnsi="Palatino Linotype" w:cs="Palatino Linotype"/>
        </w:rPr>
      </w:pPr>
    </w:p>
    <w:p w:rsidR="000169CC" w:rsidRPr="00712A51" w:rsidRDefault="000169CC" w:rsidP="00743052">
      <w:pP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b/>
          <w:bCs/>
        </w:rPr>
        <w:t>VISTO</w:t>
      </w:r>
      <w:r w:rsidRPr="00712A51">
        <w:rPr>
          <w:rFonts w:ascii="Palatino Linotype" w:eastAsia="Palatino Linotype" w:hAnsi="Palatino Linotype" w:cs="Palatino Linotype"/>
        </w:rPr>
        <w:t xml:space="preserve"> el expediente electrónico formado con motivo del recurso de revisión </w:t>
      </w:r>
      <w:r w:rsidRPr="00712A51">
        <w:rPr>
          <w:rFonts w:ascii="Palatino Linotype" w:eastAsia="Palatino Linotype" w:hAnsi="Palatino Linotype" w:cs="Palatino Linotype"/>
          <w:b/>
          <w:bCs/>
        </w:rPr>
        <w:t xml:space="preserve">13028/INFOEM/IP/RR/2025, </w:t>
      </w:r>
      <w:r w:rsidRPr="00712A51">
        <w:rPr>
          <w:rFonts w:ascii="Palatino Linotype" w:eastAsia="Palatino Linotype" w:hAnsi="Palatino Linotype" w:cs="Palatino Linotype"/>
        </w:rPr>
        <w:t xml:space="preserve">promovido por </w:t>
      </w:r>
      <w:r w:rsidRPr="00712A51">
        <w:rPr>
          <w:rFonts w:ascii="Palatino Linotype" w:eastAsia="Palatino Linotype" w:hAnsi="Palatino Linotype" w:cs="Palatino Linotype"/>
          <w:b/>
          <w:bCs/>
        </w:rPr>
        <w:t>un usuario que no proporcionó nombre para ser identificado,</w:t>
      </w:r>
      <w:r w:rsidRPr="00712A51">
        <w:rPr>
          <w:rFonts w:ascii="Palatino Linotype" w:eastAsia="Palatino Linotype" w:hAnsi="Palatino Linotype" w:cs="Palatino Linotype"/>
        </w:rPr>
        <w:t xml:space="preserve"> a quien en lo sucesivo se identificará como </w:t>
      </w:r>
      <w:r w:rsidRPr="00712A51">
        <w:rPr>
          <w:rFonts w:ascii="Palatino Linotype" w:eastAsia="Palatino Linotype" w:hAnsi="Palatino Linotype" w:cs="Palatino Linotype"/>
          <w:b/>
          <w:bCs/>
        </w:rPr>
        <w:t>EL RECURRENTE</w:t>
      </w:r>
      <w:r w:rsidRPr="00712A51">
        <w:rPr>
          <w:rFonts w:ascii="Palatino Linotype" w:eastAsia="Palatino Linotype" w:hAnsi="Palatino Linotype" w:cs="Palatino Linotype"/>
        </w:rPr>
        <w:t>, en contra de la respuesta de</w:t>
      </w:r>
      <w:r w:rsidR="005E5C33" w:rsidRPr="00712A51">
        <w:rPr>
          <w:rFonts w:ascii="Palatino Linotype" w:eastAsia="Palatino Linotype" w:hAnsi="Palatino Linotype" w:cs="Palatino Linotype"/>
        </w:rPr>
        <w:t xml:space="preserve"> </w:t>
      </w:r>
      <w:r w:rsidRPr="00712A51">
        <w:rPr>
          <w:rFonts w:ascii="Palatino Linotype" w:eastAsia="Palatino Linotype" w:hAnsi="Palatino Linotype" w:cs="Palatino Linotype"/>
        </w:rPr>
        <w:t>l</w:t>
      </w:r>
      <w:r w:rsidR="005E5C33" w:rsidRPr="00712A51">
        <w:rPr>
          <w:rFonts w:ascii="Palatino Linotype" w:eastAsia="Palatino Linotype" w:hAnsi="Palatino Linotype" w:cs="Palatino Linotype"/>
        </w:rPr>
        <w:t>a</w:t>
      </w:r>
      <w:r w:rsidRPr="00712A51">
        <w:rPr>
          <w:rFonts w:ascii="Palatino Linotype" w:eastAsia="Palatino Linotype" w:hAnsi="Palatino Linotype" w:cs="Palatino Linotype"/>
        </w:rPr>
        <w:t xml:space="preserve"> </w:t>
      </w:r>
      <w:r w:rsidRPr="00712A51">
        <w:rPr>
          <w:rFonts w:ascii="Palatino Linotype" w:eastAsia="Palatino Linotype" w:hAnsi="Palatino Linotype" w:cs="Palatino Linotype"/>
          <w:b/>
          <w:bCs/>
        </w:rPr>
        <w:t xml:space="preserve">Secretaría del Trabajo, </w:t>
      </w:r>
      <w:r w:rsidRPr="00712A51">
        <w:rPr>
          <w:rFonts w:ascii="Palatino Linotype" w:eastAsia="Palatino Linotype" w:hAnsi="Palatino Linotype" w:cs="Palatino Linotype"/>
        </w:rPr>
        <w:t>en adelante el</w:t>
      </w:r>
      <w:r w:rsidRPr="00712A51">
        <w:rPr>
          <w:rFonts w:ascii="Palatino Linotype" w:eastAsia="Palatino Linotype" w:hAnsi="Palatino Linotype" w:cs="Palatino Linotype"/>
          <w:b/>
          <w:bCs/>
        </w:rPr>
        <w:t xml:space="preserve"> SUJETO OBLIGADO</w:t>
      </w:r>
      <w:r w:rsidRPr="00712A51">
        <w:rPr>
          <w:rFonts w:ascii="Palatino Linotype" w:eastAsia="Palatino Linotype" w:hAnsi="Palatino Linotype" w:cs="Palatino Linotype"/>
        </w:rPr>
        <w:t xml:space="preserve">, por lo que se procede a dictar la presente resolución, con base en los siguientes: </w:t>
      </w:r>
    </w:p>
    <w:p w:rsidR="000169CC" w:rsidRPr="00712A51" w:rsidRDefault="000169CC" w:rsidP="00743052">
      <w:pPr>
        <w:spacing w:line="360" w:lineRule="auto"/>
        <w:jc w:val="both"/>
        <w:rPr>
          <w:rFonts w:ascii="Palatino Linotype" w:eastAsia="Palatino Linotype" w:hAnsi="Palatino Linotype" w:cs="Palatino Linotype"/>
          <w:b/>
          <w:bCs/>
        </w:rPr>
      </w:pPr>
    </w:p>
    <w:p w:rsidR="000169CC" w:rsidRPr="00712A51" w:rsidRDefault="000169CC" w:rsidP="00712A51">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712A51">
        <w:rPr>
          <w:rFonts w:ascii="Palatino Linotype" w:eastAsia="Palatino Linotype" w:hAnsi="Palatino Linotype" w:cs="Palatino Linotype"/>
          <w:b/>
          <w:bCs/>
        </w:rPr>
        <w:t>A N T E C E D E N T E S</w:t>
      </w:r>
    </w:p>
    <w:p w:rsidR="000169CC" w:rsidRPr="00712A51" w:rsidRDefault="000169CC" w:rsidP="00743052">
      <w:pPr>
        <w:spacing w:line="360" w:lineRule="auto"/>
        <w:jc w:val="both"/>
        <w:rPr>
          <w:rFonts w:ascii="Palatino Linotype" w:eastAsia="Palatino Linotype" w:hAnsi="Palatino Linotype" w:cs="Palatino Linotype"/>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El </w:t>
      </w:r>
      <w:r w:rsidRPr="00712A51">
        <w:rPr>
          <w:rFonts w:ascii="Palatino Linotype" w:eastAsia="Palatino Linotype" w:hAnsi="Palatino Linotype" w:cs="Palatino Linotype"/>
          <w:b/>
          <w:bCs/>
          <w:color w:val="000000"/>
        </w:rPr>
        <w:t>veinticuatro de octubre de dos mil veinticinco</w:t>
      </w:r>
      <w:r w:rsidRPr="00712A51">
        <w:rPr>
          <w:rFonts w:ascii="Palatino Linotype" w:eastAsia="Palatino Linotype" w:hAnsi="Palatino Linotype" w:cs="Palatino Linotype"/>
          <w:color w:val="000000"/>
        </w:rPr>
        <w:t xml:space="preserve">, </w:t>
      </w:r>
      <w:r w:rsidRPr="00712A51">
        <w:rPr>
          <w:rFonts w:ascii="Palatino Linotype" w:eastAsia="Palatino Linotype" w:hAnsi="Palatino Linotype" w:cs="Palatino Linotype"/>
          <w:b/>
          <w:bCs/>
          <w:color w:val="000000"/>
        </w:rPr>
        <w:t>EL RECURRENTE,</w:t>
      </w:r>
      <w:r w:rsidRPr="00712A51">
        <w:rPr>
          <w:rFonts w:ascii="Palatino Linotype" w:eastAsia="Palatino Linotype" w:hAnsi="Palatino Linotype" w:cs="Palatino Linotype"/>
          <w:color w:val="000000"/>
        </w:rPr>
        <w:t xml:space="preserve"> ante el </w:t>
      </w:r>
      <w:r w:rsidRPr="00712A51">
        <w:rPr>
          <w:rFonts w:ascii="Palatino Linotype" w:eastAsia="Palatino Linotype" w:hAnsi="Palatino Linotype" w:cs="Palatino Linotype"/>
          <w:b/>
          <w:bCs/>
          <w:color w:val="000000"/>
        </w:rPr>
        <w:t>SUJETO OBLIGADO</w:t>
      </w:r>
      <w:r w:rsidRPr="00712A51">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712A51">
        <w:rPr>
          <w:rFonts w:ascii="Palatino Linotype" w:eastAsia="Palatino Linotype" w:hAnsi="Palatino Linotype" w:cs="Palatino Linotype"/>
          <w:b/>
          <w:bCs/>
          <w:color w:val="000000"/>
        </w:rPr>
        <w:t xml:space="preserve">00141/ST/IP/2025, </w:t>
      </w:r>
      <w:r w:rsidRPr="00712A51">
        <w:rPr>
          <w:rFonts w:ascii="Palatino Linotype" w:eastAsia="Palatino Linotype" w:hAnsi="Palatino Linotype" w:cs="Palatino Linotype"/>
        </w:rPr>
        <w:t>en la que se</w:t>
      </w:r>
      <w:r w:rsidRPr="00712A51">
        <w:rPr>
          <w:rFonts w:ascii="Palatino Linotype" w:eastAsia="Palatino Linotype" w:hAnsi="Palatino Linotype" w:cs="Palatino Linotype"/>
          <w:color w:val="000000"/>
        </w:rPr>
        <w:t xml:space="preserve"> solicitó lo siguiente:</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712A51">
        <w:rPr>
          <w:rFonts w:ascii="Palatino Linotype" w:eastAsia="Palatino Linotype" w:hAnsi="Palatino Linotype" w:cs="Palatino Linotype"/>
          <w:i/>
          <w:iCs/>
          <w:color w:val="000000"/>
        </w:rPr>
        <w:t xml:space="preserve">“Quiero conocer si rigoberto roldan paez registrar asistencia, para el.indebido caso que no lo haga quiero conocer el fundamento legal para no hacerlo, y en su caso los doxuemntosnque acreditwn las funciones realizadas durante los.meses de junio, julio, agosto, septiembre y octubre dlemprsnwtw año, asi comonsus recibos de pago,naranja el caso de que no acredite que se presto a ñanorar o sus funciones, quiero.cinocwr si el órgano interno de control puede o ha implementado alguan acción al respecto,no de todo esto almopiniom del c secretario y del superior inmediato de rigoberto roldan” (Sic) </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lastRenderedPageBreak/>
        <w:t>Se señaló como modalidad de entrega a través de SAIMEX.</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El </w:t>
      </w:r>
      <w:r w:rsidRPr="00712A51">
        <w:rPr>
          <w:rFonts w:ascii="Palatino Linotype" w:eastAsia="Palatino Linotype" w:hAnsi="Palatino Linotype" w:cs="Palatino Linotype"/>
          <w:b/>
          <w:color w:val="000000"/>
        </w:rPr>
        <w:t>veintiocho de octubre de dos mil veinticinco</w:t>
      </w:r>
      <w:r w:rsidRPr="00712A51">
        <w:rPr>
          <w:rFonts w:ascii="Palatino Linotype" w:eastAsia="Palatino Linotype" w:hAnsi="Palatino Linotype" w:cs="Palatino Linotype"/>
          <w:color w:val="000000"/>
        </w:rPr>
        <w:t xml:space="preserve">, se realizó un requerimiento al servidor público habilitado. </w:t>
      </w:r>
    </w:p>
    <w:p w:rsidR="000169CC" w:rsidRPr="00712A51" w:rsidRDefault="000169CC" w:rsidP="00743052">
      <w:pPr>
        <w:pBdr>
          <w:top w:val="nil"/>
          <w:left w:val="nil"/>
          <w:bottom w:val="nil"/>
          <w:right w:val="nil"/>
          <w:between w:val="nil"/>
        </w:pBdr>
        <w:ind w:left="720"/>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El </w:t>
      </w:r>
      <w:r w:rsidRPr="00712A51">
        <w:rPr>
          <w:rFonts w:ascii="Palatino Linotype" w:eastAsia="Palatino Linotype" w:hAnsi="Palatino Linotype" w:cs="Palatino Linotype"/>
          <w:b/>
          <w:bCs/>
          <w:color w:val="000000"/>
        </w:rPr>
        <w:t>doce de noviembre de dos mil veinticinco</w:t>
      </w:r>
      <w:r w:rsidRPr="00712A51">
        <w:rPr>
          <w:rFonts w:ascii="Palatino Linotype" w:eastAsia="Palatino Linotype" w:hAnsi="Palatino Linotype" w:cs="Palatino Linotype"/>
          <w:color w:val="000000"/>
        </w:rPr>
        <w:t>, el Sujeto Obligado dio respuesta a la solicitud de información en los siguientes términos:</w:t>
      </w:r>
    </w:p>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0169CC" w:rsidRPr="00712A51" w:rsidTr="000169CC">
        <w:trPr>
          <w:trHeight w:val="28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r w:rsidRPr="00712A51">
              <w:rPr>
                <w:rFonts w:ascii="Palatino Linotype" w:hAnsi="Palatino Linotype"/>
                <w:i/>
              </w:rPr>
              <w:br/>
              <w:t>“Metepec, México a 12 de Noviembre de 2025</w:t>
            </w:r>
          </w:p>
        </w:tc>
      </w:tr>
      <w:tr w:rsidR="000169CC" w:rsidRPr="00712A51" w:rsidTr="000169CC">
        <w:trPr>
          <w:trHeight w:val="28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r w:rsidRPr="00712A51">
              <w:rPr>
                <w:rFonts w:ascii="Palatino Linotype" w:hAnsi="Palatino Linotype"/>
                <w:i/>
              </w:rPr>
              <w:t>Nombre del solicitante: C. Solicitante</w:t>
            </w:r>
          </w:p>
        </w:tc>
      </w:tr>
      <w:tr w:rsidR="000169CC" w:rsidRPr="00712A51" w:rsidTr="000169CC">
        <w:trPr>
          <w:trHeight w:val="28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r w:rsidRPr="00712A51">
              <w:rPr>
                <w:rFonts w:ascii="Palatino Linotype" w:hAnsi="Palatino Linotype"/>
                <w:i/>
              </w:rPr>
              <w:t>Folio de la solicitud: 00141/ST/IP/2025</w:t>
            </w:r>
          </w:p>
        </w:tc>
      </w:tr>
      <w:tr w:rsidR="000169CC" w:rsidRPr="00712A51" w:rsidTr="000169CC">
        <w:trPr>
          <w:trHeight w:val="421"/>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p>
        </w:tc>
      </w:tr>
      <w:tr w:rsidR="000169CC" w:rsidRPr="00712A51" w:rsidTr="000169CC">
        <w:trPr>
          <w:trHeight w:val="14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r w:rsidRPr="00712A51">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0169CC" w:rsidRPr="00712A51" w:rsidTr="000169CC">
        <w:trPr>
          <w:trHeight w:val="35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p>
        </w:tc>
      </w:tr>
      <w:tr w:rsidR="000169CC" w:rsidRPr="00712A51" w:rsidTr="000169CC">
        <w:trPr>
          <w:trHeight w:val="14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r w:rsidRPr="00712A51">
              <w:rPr>
                <w:rFonts w:ascii="Palatino Linotype" w:hAnsi="Palatino Linotype"/>
                <w:i/>
              </w:rPr>
              <w:t>Con base en el Reglamento Interior y el Manual General de Organización ambos de esta Secretaría del Trabajo, correspondió a la Subdirección de Organización y Personal de la Coordinación Administrativa, al Órgano Interno de Control y a la Procuraduría de la Defensa del Trabajo de esta Dependencia, atender su solicitud; por lo que, adjunto en archivo PDF copia de los oficios de respuesta e información proporcionada por el personal habilitado de las unidades administrativas antes mencionadas.</w:t>
            </w:r>
          </w:p>
        </w:tc>
      </w:tr>
      <w:tr w:rsidR="000169CC" w:rsidRPr="00712A51" w:rsidTr="000169CC">
        <w:trPr>
          <w:trHeight w:val="35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p>
        </w:tc>
      </w:tr>
      <w:tr w:rsidR="000169CC" w:rsidRPr="00712A51" w:rsidTr="000169CC">
        <w:trPr>
          <w:trHeight w:val="14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p>
        </w:tc>
      </w:tr>
      <w:tr w:rsidR="000169CC" w:rsidRPr="00712A51" w:rsidTr="000169CC">
        <w:trPr>
          <w:trHeight w:val="14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p>
        </w:tc>
      </w:tr>
      <w:tr w:rsidR="000169CC" w:rsidRPr="00712A51" w:rsidTr="000169CC">
        <w:trPr>
          <w:trHeight w:val="14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r w:rsidRPr="00712A51">
              <w:rPr>
                <w:rFonts w:ascii="Palatino Linotype" w:hAnsi="Palatino Linotype"/>
                <w:i/>
              </w:rPr>
              <w:t>ATENTAMENTE</w:t>
            </w:r>
          </w:p>
        </w:tc>
      </w:tr>
      <w:tr w:rsidR="000169CC" w:rsidRPr="00712A51" w:rsidTr="000169CC">
        <w:trPr>
          <w:trHeight w:val="21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p>
        </w:tc>
      </w:tr>
      <w:tr w:rsidR="000169CC" w:rsidRPr="00712A51" w:rsidTr="000169CC">
        <w:trPr>
          <w:trHeight w:val="140"/>
          <w:tblCellSpacing w:w="0" w:type="dxa"/>
          <w:jc w:val="center"/>
        </w:trPr>
        <w:tc>
          <w:tcPr>
            <w:tcW w:w="0" w:type="auto"/>
            <w:vAlign w:val="center"/>
            <w:hideMark/>
          </w:tcPr>
          <w:p w:rsidR="000169CC" w:rsidRPr="00712A51" w:rsidRDefault="000169CC" w:rsidP="00743052">
            <w:pPr>
              <w:jc w:val="both"/>
              <w:rPr>
                <w:rFonts w:ascii="Palatino Linotype" w:hAnsi="Palatino Linotype"/>
                <w:i/>
              </w:rPr>
            </w:pPr>
            <w:r w:rsidRPr="00712A51">
              <w:rPr>
                <w:rFonts w:ascii="Palatino Linotype" w:hAnsi="Palatino Linotype"/>
                <w:i/>
              </w:rPr>
              <w:t>L. en D. Ángeles María del Carmen Sánchez Santana”</w:t>
            </w:r>
          </w:p>
        </w:tc>
      </w:tr>
    </w:tbl>
    <w:p w:rsidR="000169CC" w:rsidRPr="00712A51" w:rsidRDefault="000169CC" w:rsidP="00743052">
      <w:pPr>
        <w:spacing w:line="360" w:lineRule="auto"/>
        <w:jc w:val="both"/>
        <w:rPr>
          <w:rFonts w:ascii="Palatino Linotype" w:eastAsia="Palatino Linotype" w:hAnsi="Palatino Linotype" w:cs="Palatino Linotype"/>
        </w:rPr>
      </w:pPr>
    </w:p>
    <w:p w:rsidR="000169CC" w:rsidRPr="00712A51" w:rsidRDefault="000169CC" w:rsidP="0074305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A la respuesta, el Sujeto Obligado adjuntó los archivos que se describen enseguida:</w:t>
      </w:r>
    </w:p>
    <w:p w:rsidR="000169CC" w:rsidRPr="00712A51" w:rsidRDefault="000169CC" w:rsidP="00743052">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0169CC" w:rsidRPr="00712A51" w:rsidRDefault="000169CC"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 xml:space="preserve"> </w:t>
      </w:r>
      <w:hyperlink r:id="rId7" w:tgtFrame="_blank" w:history="1">
        <w:r w:rsidRPr="00712A51">
          <w:rPr>
            <w:rStyle w:val="Hipervnculo"/>
            <w:rFonts w:ascii="Palatino Linotype" w:eastAsia="Palatino Linotype" w:hAnsi="Palatino Linotype" w:cs="Palatino Linotype"/>
            <w:b/>
            <w:bCs/>
            <w:color w:val="auto"/>
          </w:rPr>
          <w:t>Procedimiento.202.pdf</w:t>
        </w:r>
      </w:hyperlink>
      <w:r w:rsidRPr="00712A51">
        <w:rPr>
          <w:rFonts w:ascii="Palatino Linotype" w:eastAsia="Palatino Linotype" w:hAnsi="Palatino Linotype" w:cs="Palatino Linotype"/>
          <w:bCs/>
        </w:rPr>
        <w:t>: Manual de normas y procedimientos de desarrollo y administración de personal, “Registro de puntualidad y asistencia”.</w:t>
      </w:r>
      <w:r w:rsidRPr="00712A51">
        <w:rPr>
          <w:rFonts w:ascii="Palatino Linotype" w:eastAsia="Palatino Linotype" w:hAnsi="Palatino Linotype" w:cs="Palatino Linotype"/>
          <w:b/>
          <w:bCs/>
          <w:u w:val="single"/>
        </w:rPr>
        <w:t xml:space="preserve"> </w:t>
      </w:r>
    </w:p>
    <w:p w:rsidR="000169CC" w:rsidRPr="00712A51" w:rsidRDefault="007C52E3"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rPr>
      </w:pPr>
      <w:hyperlink r:id="rId8" w:tgtFrame="_blank" w:history="1">
        <w:r w:rsidR="000169CC" w:rsidRPr="00712A51">
          <w:rPr>
            <w:rStyle w:val="Hipervnculo"/>
            <w:rFonts w:ascii="Palatino Linotype" w:eastAsia="Palatino Linotype" w:hAnsi="Palatino Linotype" w:cs="Palatino Linotype"/>
            <w:b/>
            <w:bCs/>
            <w:color w:val="auto"/>
          </w:rPr>
          <w:t>Ofic.funciones.RRP.pdf</w:t>
        </w:r>
      </w:hyperlink>
      <w:r w:rsidR="000169CC" w:rsidRPr="00712A51">
        <w:rPr>
          <w:rFonts w:ascii="Palatino Linotype" w:eastAsia="Palatino Linotype" w:hAnsi="Palatino Linotype" w:cs="Palatino Linotype"/>
          <w:bCs/>
        </w:rPr>
        <w:t>: oficio número 20900006000200T/45/2025 de fecha siete de febrero de dos mil veinticinco, suscrito por el Subprocurador Zona Oriente, quien señaló las funciones del servidor público.</w:t>
      </w:r>
      <w:r w:rsidR="000169CC" w:rsidRPr="00712A51">
        <w:rPr>
          <w:rFonts w:ascii="Palatino Linotype" w:eastAsia="Palatino Linotype" w:hAnsi="Palatino Linotype" w:cs="Palatino Linotype"/>
          <w:b/>
          <w:bCs/>
          <w:u w:val="single"/>
        </w:rPr>
        <w:t xml:space="preserve"> </w:t>
      </w:r>
    </w:p>
    <w:p w:rsidR="00E20936" w:rsidRPr="00712A51" w:rsidRDefault="007C52E3"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rPr>
      </w:pPr>
      <w:hyperlink r:id="rId9" w:tgtFrame="_blank" w:history="1">
        <w:r w:rsidR="000169CC" w:rsidRPr="00712A51">
          <w:rPr>
            <w:rStyle w:val="Hipervnculo"/>
            <w:rFonts w:ascii="Palatino Linotype" w:eastAsia="Palatino Linotype" w:hAnsi="Palatino Linotype" w:cs="Palatino Linotype"/>
            <w:b/>
            <w:bCs/>
            <w:color w:val="auto"/>
          </w:rPr>
          <w:t>Resp.00141yOfic.SPH.pdf</w:t>
        </w:r>
      </w:hyperlink>
      <w:r w:rsidR="000169CC" w:rsidRPr="00712A51">
        <w:rPr>
          <w:rFonts w:ascii="Palatino Linotype" w:eastAsia="Palatino Linotype" w:hAnsi="Palatino Linotype" w:cs="Palatino Linotype"/>
          <w:bCs/>
        </w:rPr>
        <w:t xml:space="preserve">: </w:t>
      </w:r>
    </w:p>
    <w:p w:rsidR="000169CC" w:rsidRPr="00712A51" w:rsidRDefault="000169CC" w:rsidP="00743052">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bCs/>
        </w:rPr>
        <w:t xml:space="preserve">Oficio número 20900008000000S/896/2025 de fecha doce de noviembre de dos mil veinticinco, suscrito por el </w:t>
      </w:r>
      <w:r w:rsidR="00E20936" w:rsidRPr="00712A51">
        <w:rPr>
          <w:rFonts w:ascii="Palatino Linotype" w:eastAsia="Palatino Linotype" w:hAnsi="Palatino Linotype" w:cs="Palatino Linotype"/>
          <w:bCs/>
        </w:rPr>
        <w:t>Titular de la Unidad de Transparencia, quien señaló que se adjunta respuesta de los servidores públicos habilitados.</w:t>
      </w:r>
    </w:p>
    <w:p w:rsidR="00E20936" w:rsidRPr="00712A51" w:rsidRDefault="00E20936" w:rsidP="00743052">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bCs/>
        </w:rPr>
        <w:t>Oficio número 20900002000400S/0882/2025 de fecha treinta y uno de octubre de dos mil veinticinco, suscrito por la servidora pública de la subdirección de organización de personal, quien señaló:</w:t>
      </w:r>
    </w:p>
    <w:p w:rsidR="00E20936" w:rsidRPr="00712A51" w:rsidRDefault="00E20936" w:rsidP="00743052">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i/>
        </w:rPr>
      </w:pPr>
      <w:r w:rsidRPr="00712A51">
        <w:rPr>
          <w:rFonts w:ascii="Palatino Linotype" w:eastAsia="Palatino Linotype" w:hAnsi="Palatino Linotype" w:cs="Palatino Linotype"/>
          <w:i/>
        </w:rPr>
        <w:t xml:space="preserve">“Lo relativo a que si el C. Roldan Páez Rigoberto registra asistencia, sobre ello me permito hacer de su conocimiento que, el servidor público registra su asistencia mediante un lector biométrico; de conformidad con el Procedimiento: 202 "REGISTRO DE PUNTUALIDAD Y ASISTENCIA", Norma 20301/202-07 del Manual de Normas y Procedimientos de Desarrollo y Administración de Personal. En lo que concierne a los recibos de pago, me permito comentar que, dicho documento es de carácter personal y que sólo la persona servidora pública puede consultarlo con una clave confidencial, misma que es generada por ésta. Lo anterior, de conformidad con lo establecido en el Procedimiento: 081 "Pago de nómina a servidoras públicas y a servidores públicos de mandos superiores, mandos medios y de enlace y apoyo técnico", Norma 20301/081-04 del Manual antes citado”. </w:t>
      </w:r>
    </w:p>
    <w:p w:rsidR="00E20936" w:rsidRPr="00712A51" w:rsidRDefault="00E20936" w:rsidP="00743052">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Oficio número 20900006000001S/586/2025 de fecha diez de noviembre de dos mil veinticinco, suscrito por la servidora pública de la Procuraduría de la Defensa del Trabajo, quien señaló:</w:t>
      </w:r>
    </w:p>
    <w:p w:rsidR="00E20936" w:rsidRPr="00712A51" w:rsidRDefault="00E20936" w:rsidP="00743052">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i/>
        </w:rPr>
      </w:pPr>
      <w:r w:rsidRPr="00712A51">
        <w:rPr>
          <w:rFonts w:ascii="Palatino Linotype" w:eastAsia="Palatino Linotype" w:hAnsi="Palatino Linotype" w:cs="Palatino Linotype"/>
          <w:i/>
        </w:rPr>
        <w:t>“…me permito informar a usted que el servidor público Rigoberto Roldán Páez registra diariamente su asistencia mediante lector óptico en las instalaciones de la Procuraduría de la Defensa del Trabajo con sede en Ecatepec. Se manifiesta que las funciones que desempeña dicho servidor público se encuentran establecidas en el Manual General de Organización de la Secretaría del Trabajo, publicado en el Periódico Oficial "Gaceta de Gobierno" el 25 de septiembre de 2024, en el apartado correspondiente a la Procuraduría de la Defensa del Trabajo, Supervisiones de Procuradurías Auxiliares, se adjunta copia del oficio de funciones. Asimismo, se remite copia del Oficio número 20900006000200T/2025, de fecha 4 de noviembre del presente año, signado por el M. en D. Héctor Gerardo Becerra Cabrera, Subprocurador Zona Oriente, mediante el cual anexa copia de los oficios suscritos por el Lic. Rigoberto Roldán Páez, que hacen constar las actividades realizadas en los meses de junio, julio, agosto, septiembre y octubre de 2025. De igual manera, en lo concerniente a: "...si el órgano interno de control..."; "...a la opinión del C. Secretario y del Superior Inmediato...", se hace del conocimiento que, las solicitudes de información pública deben referirse a documentos, archivos o registros existentes y toda vez que su petición trata de una valoración personal, subjetiva sobre el servidor público y no de una solicitud de información documentada que obre en poder de esta Secretaría, no es posible emitir opiniones, juicios de valor o generar información que no obre en los archivos de esta dependencia, ya que es obligación de los Sujetos Obligados únicamente dar acceso a la información pública que se genere, administre o posea en el ejercicio de sus atribuciones.”</w:t>
      </w:r>
    </w:p>
    <w:p w:rsidR="00E20936" w:rsidRPr="00712A51" w:rsidRDefault="00E20936" w:rsidP="00743052">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Oficio número 20900006000200T/356/2024 de fecha cuatro de noviembre de 2024, suscrito por el Subprocurador Zona Oriente, quien señaló “</w:t>
      </w:r>
      <w:r w:rsidRPr="00712A51">
        <w:rPr>
          <w:rFonts w:ascii="Palatino Linotype" w:eastAsia="Palatino Linotype" w:hAnsi="Palatino Linotype" w:cs="Palatino Linotype"/>
          <w:i/>
        </w:rPr>
        <w:t>se le hace el envío de la contestación de las quejas ante el SAIMEX de fechas 09 de octubre, 20 de octubre y 24 de octubre del presente año del Servidor Público Rigoberto Roldán Páez</w:t>
      </w:r>
      <w:r w:rsidRPr="00712A51">
        <w:rPr>
          <w:rFonts w:ascii="Palatino Linotype" w:eastAsia="Palatino Linotype" w:hAnsi="Palatino Linotype" w:cs="Palatino Linotype"/>
        </w:rPr>
        <w:t xml:space="preserve">”. </w:t>
      </w:r>
    </w:p>
    <w:p w:rsidR="0010558C" w:rsidRPr="00712A51" w:rsidRDefault="0010558C" w:rsidP="00743052">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Documento suscrito por el servidor público de quien se requiere información, mediante el cual señaló su horario y funciones de los meses de junio, julio, agosto, septiembre y octubre de 2025. </w:t>
      </w:r>
    </w:p>
    <w:p w:rsidR="0010558C" w:rsidRPr="00712A51" w:rsidRDefault="0010558C" w:rsidP="00743052">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Oficio número 20900007000000S/TOIC/532/2025 de fecha once de noviembre de dos mil veinticinco, suscrito por el Titular del Órgano Interno de Control, quien señaló el manual en el que se encuentran sus funciones. </w:t>
      </w:r>
    </w:p>
    <w:p w:rsidR="00E20936" w:rsidRPr="00712A51" w:rsidRDefault="00E20936" w:rsidP="00743052">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p>
    <w:p w:rsidR="000169CC" w:rsidRPr="00712A51" w:rsidRDefault="007C52E3"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rPr>
      </w:pPr>
      <w:hyperlink r:id="rId10" w:tgtFrame="_blank" w:history="1">
        <w:r w:rsidR="000169CC" w:rsidRPr="00712A51">
          <w:rPr>
            <w:rStyle w:val="Hipervnculo"/>
            <w:rFonts w:ascii="Palatino Linotype" w:eastAsia="Palatino Linotype" w:hAnsi="Palatino Linotype" w:cs="Palatino Linotype"/>
            <w:b/>
            <w:bCs/>
            <w:color w:val="auto"/>
          </w:rPr>
          <w:t>Procedimiento.081.pdf</w:t>
        </w:r>
      </w:hyperlink>
      <w:r w:rsidR="000169CC" w:rsidRPr="00712A51">
        <w:rPr>
          <w:rFonts w:ascii="Palatino Linotype" w:eastAsia="Palatino Linotype" w:hAnsi="Palatino Linotype" w:cs="Palatino Linotype"/>
          <w:bCs/>
        </w:rPr>
        <w:t>:</w:t>
      </w:r>
      <w:r w:rsidR="0010558C" w:rsidRPr="00712A51">
        <w:rPr>
          <w:rFonts w:ascii="Palatino Linotype" w:eastAsia="Palatino Linotype" w:hAnsi="Palatino Linotype" w:cs="Palatino Linotype"/>
          <w:bCs/>
        </w:rPr>
        <w:t xml:space="preserve"> Manual de normad y procedimientos de desarrollo y administración de personal, “pago de nómina a servidora públicas y a servidores públicos de mandos superiores, mandos medios y de enlace y apoyo técnico”.</w:t>
      </w:r>
      <w:r w:rsidR="0010558C" w:rsidRPr="00712A51">
        <w:rPr>
          <w:rFonts w:ascii="Palatino Linotype" w:eastAsia="Palatino Linotype" w:hAnsi="Palatino Linotype" w:cs="Palatino Linotype"/>
          <w:b/>
          <w:bCs/>
          <w:u w:val="single"/>
        </w:rPr>
        <w:t xml:space="preserve"> </w:t>
      </w:r>
    </w:p>
    <w:p w:rsidR="000169CC" w:rsidRPr="00712A51" w:rsidRDefault="000169CC" w:rsidP="00743052">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El </w:t>
      </w:r>
      <w:r w:rsidR="0010558C" w:rsidRPr="00712A51">
        <w:rPr>
          <w:rFonts w:ascii="Palatino Linotype" w:eastAsia="Palatino Linotype" w:hAnsi="Palatino Linotype" w:cs="Palatino Linotype"/>
          <w:b/>
          <w:bCs/>
          <w:color w:val="000000"/>
        </w:rPr>
        <w:t>doce de noviembre</w:t>
      </w:r>
      <w:r w:rsidRPr="00712A51">
        <w:rPr>
          <w:rFonts w:ascii="Palatino Linotype" w:eastAsia="Palatino Linotype" w:hAnsi="Palatino Linotype" w:cs="Palatino Linotype"/>
          <w:b/>
          <w:bCs/>
          <w:color w:val="000000"/>
        </w:rPr>
        <w:t xml:space="preserve"> de dos mil veinticinco</w:t>
      </w:r>
      <w:r w:rsidRPr="00712A51">
        <w:rPr>
          <w:rFonts w:ascii="Palatino Linotype" w:eastAsia="Palatino Linotype" w:hAnsi="Palatino Linotype" w:cs="Palatino Linotype"/>
          <w:color w:val="000000"/>
        </w:rPr>
        <w:t xml:space="preserve">, </w:t>
      </w:r>
      <w:r w:rsidRPr="00712A51">
        <w:rPr>
          <w:rFonts w:ascii="Palatino Linotype" w:eastAsia="Palatino Linotype" w:hAnsi="Palatino Linotype" w:cs="Palatino Linotype"/>
          <w:b/>
          <w:bCs/>
          <w:color w:val="000000"/>
        </w:rPr>
        <w:t>EL RECURRENTE</w:t>
      </w:r>
      <w:r w:rsidRPr="00712A51">
        <w:rPr>
          <w:rFonts w:ascii="Palatino Linotype" w:eastAsia="Palatino Linotype" w:hAnsi="Palatino Linotype" w:cs="Palatino Linotype"/>
          <w:color w:val="000000"/>
        </w:rPr>
        <w:t xml:space="preserve"> interpuso el recurso de revisión, en contra de la respuesta, señalando como:</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numPr>
          <w:ilvl w:val="0"/>
          <w:numId w:val="1"/>
        </w:numPr>
        <w:spacing w:line="360" w:lineRule="auto"/>
        <w:ind w:left="851" w:right="822" w:firstLine="0"/>
        <w:jc w:val="both"/>
        <w:rPr>
          <w:rFonts w:ascii="Palatino Linotype" w:hAnsi="Palatino Linotype"/>
        </w:rPr>
      </w:pPr>
      <w:r w:rsidRPr="00712A51">
        <w:rPr>
          <w:rFonts w:ascii="Palatino Linotype" w:eastAsia="Palatino Linotype" w:hAnsi="Palatino Linotype" w:cs="Palatino Linotype"/>
          <w:b/>
          <w:bCs/>
        </w:rPr>
        <w:t>Acto impugnado</w:t>
      </w:r>
      <w:r w:rsidRPr="00712A51">
        <w:rPr>
          <w:rFonts w:ascii="Palatino Linotype" w:eastAsia="Palatino Linotype" w:hAnsi="Palatino Linotype" w:cs="Palatino Linotype"/>
          <w:b/>
          <w:bCs/>
          <w:i/>
          <w:iCs/>
        </w:rPr>
        <w:t>:</w:t>
      </w:r>
      <w:r w:rsidRPr="00712A51">
        <w:rPr>
          <w:rFonts w:ascii="Palatino Linotype" w:eastAsia="Palatino Linotype" w:hAnsi="Palatino Linotype" w:cs="Palatino Linotype"/>
          <w:i/>
          <w:iCs/>
          <w:color w:val="000000"/>
        </w:rPr>
        <w:t xml:space="preserve"> “</w:t>
      </w:r>
      <w:r w:rsidR="0010558C" w:rsidRPr="00712A51">
        <w:rPr>
          <w:rFonts w:ascii="Palatino Linotype" w:eastAsia="Palatino Linotype" w:hAnsi="Palatino Linotype" w:cs="Palatino Linotype"/>
          <w:i/>
          <w:iCs/>
          <w:color w:val="000000"/>
        </w:rPr>
        <w:t>La información solicitada no es entregada, ko se realiza el procedimiento que establece al ley, además que mienten en la información, Rigiberto ira a la ciudad de toluca el viernes a seguir litigando</w:t>
      </w:r>
      <w:r w:rsidRPr="00712A51">
        <w:rPr>
          <w:rFonts w:ascii="Palatino Linotype" w:eastAsia="Palatino Linotype" w:hAnsi="Palatino Linotype" w:cs="Palatino Linotype"/>
          <w:i/>
          <w:iCs/>
          <w:color w:val="000000"/>
        </w:rPr>
        <w:t>" (Sic)</w:t>
      </w:r>
    </w:p>
    <w:p w:rsidR="000169CC" w:rsidRPr="00712A51" w:rsidRDefault="000169CC" w:rsidP="00743052">
      <w:pPr>
        <w:spacing w:line="360" w:lineRule="auto"/>
        <w:ind w:left="851" w:right="822"/>
        <w:jc w:val="both"/>
        <w:rPr>
          <w:rFonts w:ascii="Palatino Linotype" w:hAnsi="Palatino Linotype"/>
        </w:rPr>
      </w:pPr>
    </w:p>
    <w:p w:rsidR="000169CC" w:rsidRPr="00712A51" w:rsidRDefault="000169CC" w:rsidP="00743052">
      <w:pPr>
        <w:numPr>
          <w:ilvl w:val="0"/>
          <w:numId w:val="1"/>
        </w:numPr>
        <w:spacing w:line="360" w:lineRule="auto"/>
        <w:ind w:left="851" w:right="822" w:firstLine="0"/>
        <w:jc w:val="both"/>
        <w:rPr>
          <w:rFonts w:ascii="Palatino Linotype" w:eastAsia="Palatino Linotype" w:hAnsi="Palatino Linotype" w:cs="Palatino Linotype"/>
        </w:rPr>
      </w:pPr>
      <w:r w:rsidRPr="00712A51">
        <w:rPr>
          <w:rFonts w:ascii="Palatino Linotype" w:eastAsia="Palatino Linotype" w:hAnsi="Palatino Linotype" w:cs="Palatino Linotype"/>
          <w:b/>
          <w:bCs/>
        </w:rPr>
        <w:t xml:space="preserve">Razones o Motivos de inconformidad: </w:t>
      </w:r>
      <w:r w:rsidRPr="00712A51">
        <w:rPr>
          <w:rFonts w:ascii="Palatino Linotype" w:eastAsia="Palatino Linotype" w:hAnsi="Palatino Linotype" w:cs="Palatino Linotype"/>
          <w:i/>
          <w:iCs/>
        </w:rPr>
        <w:t>"</w:t>
      </w:r>
      <w:r w:rsidR="0010558C" w:rsidRPr="00712A51">
        <w:rPr>
          <w:rFonts w:ascii="Palatino Linotype" w:hAnsi="Palatino Linotype"/>
          <w:color w:val="000000"/>
        </w:rPr>
        <w:t xml:space="preserve"> </w:t>
      </w:r>
      <w:r w:rsidR="0010558C" w:rsidRPr="00712A51">
        <w:rPr>
          <w:rFonts w:ascii="Palatino Linotype" w:eastAsia="Palatino Linotype" w:hAnsi="Palatino Linotype" w:cs="Palatino Linotype"/>
          <w:i/>
          <w:iCs/>
        </w:rPr>
        <w:t>Es violarorio de mis derechso humanos</w:t>
      </w:r>
      <w:r w:rsidRPr="00712A51">
        <w:rPr>
          <w:rFonts w:ascii="Palatino Linotype" w:eastAsia="Palatino Linotype" w:hAnsi="Palatino Linotype" w:cs="Palatino Linotype"/>
          <w:i/>
          <w:iCs/>
        </w:rPr>
        <w:t>" (Sic)</w:t>
      </w: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lastRenderedPageBreak/>
        <w:t xml:space="preserve">Se registró el recurso de revisión bajo el número de expediente al rubro indicado, asimismo con fundamento en lo dispuesto por el artículo 185 fracción I de la </w:t>
      </w:r>
      <w:r w:rsidRPr="00712A51">
        <w:rPr>
          <w:rFonts w:ascii="Palatino Linotype" w:eastAsia="Palatino Linotype" w:hAnsi="Palatino Linotype" w:cs="Palatino Linotype"/>
          <w:b/>
          <w:bCs/>
          <w:color w:val="000000"/>
        </w:rPr>
        <w:t xml:space="preserve">Ley de Transparencia y Acceso a la Información Pública del Estado de México y Municipios </w:t>
      </w:r>
      <w:r w:rsidRPr="00712A51">
        <w:rPr>
          <w:rFonts w:ascii="Palatino Linotype" w:eastAsia="Palatino Linotype" w:hAnsi="Palatino Linotype" w:cs="Palatino Linotype"/>
          <w:color w:val="000000"/>
        </w:rPr>
        <w:t xml:space="preserve">se </w:t>
      </w:r>
      <w:r w:rsidRPr="00712A51">
        <w:rPr>
          <w:rFonts w:ascii="Palatino Linotype" w:eastAsia="Palatino Linotype" w:hAnsi="Palatino Linotype" w:cs="Palatino Linotype"/>
        </w:rPr>
        <w:t>turna</w:t>
      </w:r>
      <w:r w:rsidRPr="00712A51">
        <w:rPr>
          <w:rFonts w:ascii="Palatino Linotype" w:eastAsia="Palatino Linotype" w:hAnsi="Palatino Linotype" w:cs="Palatino Linotype"/>
          <w:color w:val="000000"/>
        </w:rPr>
        <w:t xml:space="preserve"> a la </w:t>
      </w:r>
      <w:r w:rsidRPr="00712A51">
        <w:rPr>
          <w:rFonts w:ascii="Palatino Linotype" w:eastAsia="Palatino Linotype" w:hAnsi="Palatino Linotype" w:cs="Palatino Linotype"/>
          <w:b/>
          <w:bCs/>
          <w:color w:val="000000"/>
        </w:rPr>
        <w:t xml:space="preserve">Comisionada María del Rosario Mejía Ayala, </w:t>
      </w:r>
      <w:r w:rsidRPr="00712A51">
        <w:rPr>
          <w:rFonts w:ascii="Palatino Linotype" w:eastAsia="Palatino Linotype" w:hAnsi="Palatino Linotype" w:cs="Palatino Linotype"/>
        </w:rPr>
        <w:t xml:space="preserve">para </w:t>
      </w:r>
      <w:r w:rsidRPr="00712A51">
        <w:rPr>
          <w:rFonts w:ascii="Palatino Linotype" w:eastAsia="Palatino Linotype" w:hAnsi="Palatino Linotype" w:cs="Palatino Linotype"/>
          <w:color w:val="000000"/>
        </w:rPr>
        <w:t xml:space="preserve">su análisis. </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rPr>
        <w:t>La</w:t>
      </w:r>
      <w:r w:rsidRPr="00712A51">
        <w:rPr>
          <w:rFonts w:ascii="Palatino Linotype" w:eastAsia="Palatino Linotype" w:hAnsi="Palatino Linotype" w:cs="Palatino Linotype"/>
          <w:color w:val="000000"/>
        </w:rPr>
        <w:t xml:space="preserve"> Comisionad</w:t>
      </w:r>
      <w:r w:rsidRPr="00712A51">
        <w:rPr>
          <w:rFonts w:ascii="Palatino Linotype" w:eastAsia="Palatino Linotype" w:hAnsi="Palatino Linotype" w:cs="Palatino Linotype"/>
        </w:rPr>
        <w:t>a</w:t>
      </w:r>
      <w:r w:rsidRPr="00712A51">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10558C" w:rsidRPr="00712A51">
        <w:rPr>
          <w:rFonts w:ascii="Palatino Linotype" w:eastAsia="Palatino Linotype" w:hAnsi="Palatino Linotype" w:cs="Palatino Linotype"/>
          <w:b/>
          <w:bCs/>
          <w:color w:val="000000"/>
        </w:rPr>
        <w:t>diecinueve de noviembre</w:t>
      </w:r>
      <w:r w:rsidRPr="00712A51">
        <w:rPr>
          <w:rFonts w:ascii="Palatino Linotype" w:eastAsia="Palatino Linotype" w:hAnsi="Palatino Linotype" w:cs="Palatino Linotype"/>
          <w:b/>
          <w:bCs/>
          <w:color w:val="000000"/>
        </w:rPr>
        <w:t xml:space="preserve"> de dos mil veinticinco</w:t>
      </w:r>
      <w:r w:rsidRPr="00712A51">
        <w:rPr>
          <w:rFonts w:ascii="Palatino Linotype" w:eastAsia="Palatino Linotype" w:hAnsi="Palatino Linotype" w:cs="Palatino Linotype"/>
          <w:color w:val="000000"/>
        </w:rPr>
        <w:t xml:space="preserve">, puso a disposición de las partes el expediente electrónico vía </w:t>
      </w:r>
      <w:r w:rsidRPr="00712A51">
        <w:rPr>
          <w:rFonts w:ascii="Palatino Linotype" w:eastAsia="Palatino Linotype" w:hAnsi="Palatino Linotype" w:cs="Palatino Linotype"/>
          <w:b/>
          <w:bCs/>
          <w:color w:val="000000"/>
        </w:rPr>
        <w:t xml:space="preserve">SAIMEX </w:t>
      </w:r>
      <w:r w:rsidRPr="00712A51">
        <w:rPr>
          <w:rFonts w:ascii="Palatino Linotype" w:eastAsia="Palatino Linotype" w:hAnsi="Palatino Linotype" w:cs="Palatino Linotype"/>
          <w:color w:val="000000"/>
        </w:rPr>
        <w:t xml:space="preserve">a efecto de que en un plazo máximo de siete días </w:t>
      </w:r>
      <w:r w:rsidRPr="00712A51">
        <w:rPr>
          <w:rFonts w:ascii="Palatino Linotype" w:eastAsia="Palatino Linotype" w:hAnsi="Palatino Linotype" w:cs="Palatino Linotype"/>
        </w:rPr>
        <w:t>manifestara</w:t>
      </w:r>
      <w:r w:rsidRPr="00712A51">
        <w:rPr>
          <w:rFonts w:ascii="Palatino Linotype" w:eastAsia="Palatino Linotype" w:hAnsi="Palatino Linotype" w:cs="Palatino Linotype"/>
          <w:color w:val="000000"/>
        </w:rPr>
        <w:t xml:space="preserve"> lo que a derecho </w:t>
      </w:r>
      <w:r w:rsidRPr="00712A51">
        <w:rPr>
          <w:rFonts w:ascii="Palatino Linotype" w:eastAsia="Palatino Linotype" w:hAnsi="Palatino Linotype" w:cs="Palatino Linotype"/>
        </w:rPr>
        <w:t>conviniera</w:t>
      </w:r>
      <w:r w:rsidRPr="00712A51">
        <w:rPr>
          <w:rFonts w:ascii="Palatino Linotype" w:eastAsia="Palatino Linotype" w:hAnsi="Palatino Linotype" w:cs="Palatino Linotype"/>
          <w:color w:val="000000"/>
        </w:rPr>
        <w:t xml:space="preserve">, </w:t>
      </w:r>
      <w:r w:rsidRPr="00712A51">
        <w:rPr>
          <w:rFonts w:ascii="Palatino Linotype" w:eastAsia="Palatino Linotype" w:hAnsi="Palatino Linotype" w:cs="Palatino Linotype"/>
        </w:rPr>
        <w:t>ofreciera</w:t>
      </w:r>
      <w:r w:rsidRPr="00712A51">
        <w:rPr>
          <w:rFonts w:ascii="Palatino Linotype" w:eastAsia="Palatino Linotype" w:hAnsi="Palatino Linotype" w:cs="Palatino Linotype"/>
          <w:color w:val="000000"/>
        </w:rPr>
        <w:t xml:space="preserve"> pruebas y alegatos según corresponda al caso concreto, de esta forma para que el </w:t>
      </w:r>
      <w:r w:rsidRPr="00712A51">
        <w:rPr>
          <w:rFonts w:ascii="Palatino Linotype" w:eastAsia="Palatino Linotype" w:hAnsi="Palatino Linotype" w:cs="Palatino Linotype"/>
          <w:b/>
          <w:bCs/>
          <w:color w:val="000000"/>
        </w:rPr>
        <w:t>SUJETO OBLIGADO</w:t>
      </w:r>
      <w:r w:rsidRPr="00712A51">
        <w:rPr>
          <w:rFonts w:ascii="Palatino Linotype" w:eastAsia="Palatino Linotype" w:hAnsi="Palatino Linotype" w:cs="Palatino Linotype"/>
          <w:color w:val="000000"/>
        </w:rPr>
        <w:t xml:space="preserve"> </w:t>
      </w:r>
      <w:r w:rsidRPr="00712A51">
        <w:rPr>
          <w:rFonts w:ascii="Palatino Linotype" w:eastAsia="Palatino Linotype" w:hAnsi="Palatino Linotype" w:cs="Palatino Linotype"/>
        </w:rPr>
        <w:t>presentará</w:t>
      </w:r>
      <w:r w:rsidRPr="00712A51">
        <w:rPr>
          <w:rFonts w:ascii="Palatino Linotype" w:eastAsia="Palatino Linotype" w:hAnsi="Palatino Linotype" w:cs="Palatino Linotype"/>
          <w:color w:val="000000"/>
        </w:rPr>
        <w:t xml:space="preserve"> el informe justificado procedente. </w:t>
      </w:r>
    </w:p>
    <w:p w:rsidR="000169CC" w:rsidRPr="00712A51" w:rsidRDefault="000169CC" w:rsidP="00743052">
      <w:pPr>
        <w:pBdr>
          <w:top w:val="nil"/>
          <w:left w:val="nil"/>
          <w:bottom w:val="nil"/>
          <w:right w:val="nil"/>
          <w:between w:val="nil"/>
        </w:pBdr>
        <w:ind w:left="720"/>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convinieran; por su parte, el Sujeto Obligado entregó informe justificado el </w:t>
      </w:r>
      <w:r w:rsidR="0010558C" w:rsidRPr="00712A51">
        <w:rPr>
          <w:rFonts w:ascii="Palatino Linotype" w:eastAsia="Palatino Linotype" w:hAnsi="Palatino Linotype" w:cs="Palatino Linotype"/>
          <w:b/>
          <w:color w:val="000000"/>
        </w:rPr>
        <w:t>veintiséis de noviembre</w:t>
      </w:r>
      <w:r w:rsidRPr="00712A51">
        <w:rPr>
          <w:rFonts w:ascii="Palatino Linotype" w:eastAsia="Palatino Linotype" w:hAnsi="Palatino Linotype" w:cs="Palatino Linotype"/>
          <w:b/>
          <w:color w:val="000000"/>
        </w:rPr>
        <w:t xml:space="preserve"> de dos mil veinticinco</w:t>
      </w:r>
      <w:r w:rsidRPr="00712A51">
        <w:rPr>
          <w:rFonts w:ascii="Palatino Linotype" w:eastAsia="Palatino Linotype" w:hAnsi="Palatino Linotype" w:cs="Palatino Linotype"/>
          <w:color w:val="000000"/>
        </w:rPr>
        <w:t xml:space="preserve">, mismo que se puso a la vista del Recurrente el </w:t>
      </w:r>
      <w:r w:rsidR="0010558C" w:rsidRPr="00712A51">
        <w:rPr>
          <w:rFonts w:ascii="Palatino Linotype" w:eastAsia="Palatino Linotype" w:hAnsi="Palatino Linotype" w:cs="Palatino Linotype"/>
          <w:b/>
          <w:color w:val="000000"/>
        </w:rPr>
        <w:t>veintiocho de abril de dos mil veintiséis</w:t>
      </w:r>
      <w:r w:rsidR="0010558C" w:rsidRPr="00712A51">
        <w:rPr>
          <w:rFonts w:ascii="Palatino Linotype" w:eastAsia="Palatino Linotype" w:hAnsi="Palatino Linotype" w:cs="Palatino Linotype"/>
          <w:color w:val="000000"/>
        </w:rPr>
        <w:t>,</w:t>
      </w:r>
      <w:r w:rsidRPr="00712A51">
        <w:rPr>
          <w:rFonts w:ascii="Palatino Linotype" w:eastAsia="Palatino Linotype" w:hAnsi="Palatino Linotype" w:cs="Palatino Linotype"/>
          <w:color w:val="000000"/>
        </w:rPr>
        <w:t xml:space="preserve"> </w:t>
      </w:r>
      <w:r w:rsidR="00977B29" w:rsidRPr="00712A51">
        <w:rPr>
          <w:rFonts w:ascii="Palatino Linotype" w:eastAsia="Palatino Linotype" w:hAnsi="Palatino Linotype" w:cs="Palatino Linotype"/>
          <w:color w:val="000000"/>
        </w:rPr>
        <w:t xml:space="preserve">a través del cual se ratificó la respuesta y se agregaron nuevas funciones del servidor público. </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El </w:t>
      </w:r>
      <w:r w:rsidR="00977B29" w:rsidRPr="00712A51">
        <w:rPr>
          <w:rFonts w:ascii="Palatino Linotype" w:eastAsia="Palatino Linotype" w:hAnsi="Palatino Linotype" w:cs="Palatino Linotype"/>
          <w:b/>
          <w:bCs/>
          <w:color w:val="000000"/>
        </w:rPr>
        <w:t>diez de abril</w:t>
      </w:r>
      <w:r w:rsidRPr="00712A51">
        <w:rPr>
          <w:rFonts w:ascii="Palatino Linotype" w:eastAsia="Palatino Linotype" w:hAnsi="Palatino Linotype" w:cs="Palatino Linotype"/>
          <w:b/>
          <w:bCs/>
          <w:color w:val="000000"/>
        </w:rPr>
        <w:t xml:space="preserve"> de dos mil veintiséis</w:t>
      </w:r>
      <w:r w:rsidRPr="00712A51">
        <w:rPr>
          <w:rFonts w:ascii="Palatino Linotype" w:eastAsia="Palatino Linotype" w:hAnsi="Palatino Linotype" w:cs="Palatino Linotype"/>
          <w:color w:val="000000"/>
        </w:rPr>
        <w:t xml:space="preserve">, se notificó el acuerdo mediante el cual se aprobó la ampliación de plazo para emitir resolución. </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La Comisionada Ponente decretó el cierre de instrucción mediante el acuerdo del </w:t>
      </w:r>
      <w:r w:rsidR="00977B29" w:rsidRPr="00712A51">
        <w:rPr>
          <w:rFonts w:ascii="Palatino Linotype" w:eastAsia="Palatino Linotype" w:hAnsi="Palatino Linotype" w:cs="Palatino Linotype"/>
          <w:b/>
          <w:bCs/>
          <w:color w:val="000000"/>
        </w:rPr>
        <w:t>siete de mayo</w:t>
      </w:r>
      <w:r w:rsidRPr="00712A51">
        <w:rPr>
          <w:rFonts w:ascii="Palatino Linotype" w:eastAsia="Palatino Linotype" w:hAnsi="Palatino Linotype" w:cs="Palatino Linotype"/>
          <w:b/>
          <w:bCs/>
          <w:color w:val="000000"/>
        </w:rPr>
        <w:t xml:space="preserve"> de dos mil veintiséis.</w:t>
      </w:r>
      <w:r w:rsidR="00712A51">
        <w:rPr>
          <w:rFonts w:ascii="Palatino Linotype" w:eastAsia="Palatino Linotype" w:hAnsi="Palatino Linotype" w:cs="Palatino Linotype"/>
          <w:b/>
          <w:bCs/>
          <w:color w:val="000000"/>
        </w:rPr>
        <w:t xml:space="preserve"> ----------------------------------------------------------------------------------</w:t>
      </w:r>
    </w:p>
    <w:p w:rsidR="00977B29" w:rsidRPr="00712A51" w:rsidRDefault="00977B29" w:rsidP="00743052">
      <w:pPr>
        <w:pStyle w:val="Prrafodelista"/>
        <w:jc w:val="both"/>
        <w:rPr>
          <w:rFonts w:ascii="Palatino Linotype" w:eastAsia="Palatino Linotype" w:hAnsi="Palatino Linotype" w:cs="Palatino Linotype"/>
          <w:color w:val="000000"/>
        </w:rPr>
      </w:pPr>
    </w:p>
    <w:p w:rsidR="00977B29" w:rsidRPr="00712A51" w:rsidRDefault="00977B29"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12A51">
      <w:pPr>
        <w:spacing w:line="360" w:lineRule="auto"/>
        <w:jc w:val="center"/>
        <w:rPr>
          <w:rFonts w:ascii="Palatino Linotype" w:eastAsia="Palatino Linotype" w:hAnsi="Palatino Linotype" w:cs="Palatino Linotype"/>
        </w:rPr>
      </w:pPr>
      <w:bookmarkStart w:id="1" w:name="_heading=h.1fob9te" w:colFirst="0" w:colLast="0"/>
      <w:bookmarkEnd w:id="1"/>
      <w:r w:rsidRPr="00712A51">
        <w:rPr>
          <w:rFonts w:ascii="Palatino Linotype" w:eastAsia="Palatino Linotype" w:hAnsi="Palatino Linotype" w:cs="Palatino Linotype"/>
          <w:b/>
          <w:bCs/>
        </w:rPr>
        <w:lastRenderedPageBreak/>
        <w:t>C O N S I D E R A N D O</w:t>
      </w:r>
    </w:p>
    <w:p w:rsidR="000169CC" w:rsidRPr="00712A51" w:rsidRDefault="000169CC" w:rsidP="00743052">
      <w:pPr>
        <w:spacing w:line="360" w:lineRule="auto"/>
        <w:jc w:val="both"/>
        <w:rPr>
          <w:rFonts w:ascii="Palatino Linotype" w:eastAsia="Palatino Linotype" w:hAnsi="Palatino Linotype" w:cs="Palatino Linotype"/>
        </w:rPr>
      </w:pPr>
    </w:p>
    <w:p w:rsidR="000169CC" w:rsidRPr="00712A51" w:rsidRDefault="000169CC" w:rsidP="00743052">
      <w:pPr>
        <w:spacing w:line="360" w:lineRule="auto"/>
        <w:jc w:val="both"/>
        <w:rPr>
          <w:rFonts w:ascii="Palatino Linotype" w:eastAsia="Palatino Linotype" w:hAnsi="Palatino Linotype" w:cs="Palatino Linotype"/>
          <w:b/>
          <w:bCs/>
        </w:rPr>
      </w:pPr>
      <w:bookmarkStart w:id="2" w:name="_heading=h.3znysh7" w:colFirst="0" w:colLast="0"/>
      <w:bookmarkEnd w:id="2"/>
      <w:r w:rsidRPr="00712A51">
        <w:rPr>
          <w:rFonts w:ascii="Palatino Linotype" w:eastAsia="Palatino Linotype" w:hAnsi="Palatino Linotype" w:cs="Palatino Linotype"/>
          <w:b/>
          <w:bCs/>
        </w:rPr>
        <w:t>PRIMERO. De la competencia</w:t>
      </w:r>
    </w:p>
    <w:p w:rsidR="000169CC" w:rsidRPr="00712A51" w:rsidRDefault="000169CC" w:rsidP="00743052">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0169CC" w:rsidRPr="00712A51" w:rsidRDefault="000169CC" w:rsidP="00743052">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0169CC" w:rsidRPr="00712A51" w:rsidRDefault="000169CC" w:rsidP="00743052">
      <w:pPr>
        <w:keepNext/>
        <w:keepLines/>
        <w:spacing w:line="360" w:lineRule="auto"/>
        <w:jc w:val="both"/>
        <w:rPr>
          <w:rFonts w:ascii="Palatino Linotype" w:eastAsia="Palatino Linotype" w:hAnsi="Palatino Linotype" w:cs="Palatino Linotype"/>
          <w:b/>
          <w:bCs/>
        </w:rPr>
      </w:pPr>
      <w:bookmarkStart w:id="3" w:name="_heading=h.2et92p0" w:colFirst="0" w:colLast="0"/>
      <w:bookmarkEnd w:id="3"/>
      <w:r w:rsidRPr="00712A51">
        <w:rPr>
          <w:rFonts w:ascii="Palatino Linotype" w:eastAsia="Palatino Linotype" w:hAnsi="Palatino Linotype" w:cs="Palatino Linotype"/>
          <w:b/>
          <w:bCs/>
        </w:rPr>
        <w:t>SEGUNDO. De la oportunidad y procedencia.</w:t>
      </w: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El medio de impugnación fue presentado a través del </w:t>
      </w:r>
      <w:r w:rsidRPr="00712A51">
        <w:rPr>
          <w:rFonts w:ascii="Palatino Linotype" w:eastAsia="Palatino Linotype" w:hAnsi="Palatino Linotype" w:cs="Palatino Linotype"/>
          <w:b/>
          <w:bCs/>
          <w:color w:val="000000"/>
        </w:rPr>
        <w:t>SAIMEX,</w:t>
      </w:r>
      <w:r w:rsidRPr="00712A51">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712A51">
        <w:rPr>
          <w:rFonts w:ascii="Palatino Linotype" w:eastAsia="Palatino Linotype" w:hAnsi="Palatino Linotype" w:cs="Palatino Linotype"/>
          <w:b/>
          <w:bCs/>
          <w:color w:val="000000"/>
        </w:rPr>
        <w:t>SUJETO OBLIGADO</w:t>
      </w:r>
      <w:r w:rsidRPr="00712A51">
        <w:rPr>
          <w:rFonts w:ascii="Palatino Linotype" w:eastAsia="Palatino Linotype" w:hAnsi="Palatino Linotype" w:cs="Palatino Linotype"/>
          <w:color w:val="000000"/>
        </w:rPr>
        <w:t xml:space="preserve"> entregó respuesta a la solicitud el día </w:t>
      </w:r>
      <w:r w:rsidRPr="00712A51">
        <w:rPr>
          <w:rFonts w:ascii="Palatino Linotype" w:eastAsia="Palatino Linotype" w:hAnsi="Palatino Linotype" w:cs="Palatino Linotype"/>
          <w:b/>
          <w:bCs/>
          <w:color w:val="000000"/>
        </w:rPr>
        <w:t xml:space="preserve"> </w:t>
      </w:r>
      <w:r w:rsidR="00977B29" w:rsidRPr="00712A51">
        <w:rPr>
          <w:rFonts w:ascii="Palatino Linotype" w:eastAsia="Palatino Linotype" w:hAnsi="Palatino Linotype" w:cs="Palatino Linotype"/>
          <w:b/>
          <w:bCs/>
          <w:color w:val="000000"/>
        </w:rPr>
        <w:t xml:space="preserve">doce de noviembre </w:t>
      </w:r>
      <w:r w:rsidRPr="00712A51">
        <w:rPr>
          <w:rFonts w:ascii="Palatino Linotype" w:eastAsia="Palatino Linotype" w:hAnsi="Palatino Linotype" w:cs="Palatino Linotype"/>
          <w:b/>
          <w:bCs/>
          <w:color w:val="000000"/>
        </w:rPr>
        <w:t>de dos mil veinticinco</w:t>
      </w:r>
      <w:r w:rsidRPr="00712A51">
        <w:rPr>
          <w:rFonts w:ascii="Palatino Linotype" w:eastAsia="Palatino Linotype" w:hAnsi="Palatino Linotype" w:cs="Palatino Linotype"/>
          <w:color w:val="000000"/>
        </w:rPr>
        <w:t>, de tal forma que el plazo para interponer el recurso de revisión transcurrió del</w:t>
      </w:r>
      <w:r w:rsidRPr="00712A51">
        <w:rPr>
          <w:rFonts w:ascii="Palatino Linotype" w:eastAsia="Palatino Linotype" w:hAnsi="Palatino Linotype" w:cs="Palatino Linotype"/>
          <w:b/>
          <w:bCs/>
          <w:color w:val="000000"/>
        </w:rPr>
        <w:t xml:space="preserve"> </w:t>
      </w:r>
      <w:r w:rsidR="00977B29" w:rsidRPr="00712A51">
        <w:rPr>
          <w:rFonts w:ascii="Palatino Linotype" w:eastAsia="Palatino Linotype" w:hAnsi="Palatino Linotype" w:cs="Palatino Linotype"/>
          <w:b/>
          <w:bCs/>
          <w:color w:val="000000"/>
        </w:rPr>
        <w:t>trece de noviembre al cuatro de diciembre</w:t>
      </w:r>
      <w:r w:rsidRPr="00712A51">
        <w:rPr>
          <w:rFonts w:ascii="Palatino Linotype" w:eastAsia="Palatino Linotype" w:hAnsi="Palatino Linotype" w:cs="Palatino Linotype"/>
          <w:b/>
          <w:bCs/>
          <w:color w:val="000000"/>
        </w:rPr>
        <w:t xml:space="preserve"> de dos mil veinticinco</w:t>
      </w:r>
      <w:r w:rsidRPr="00712A51">
        <w:rPr>
          <w:rFonts w:ascii="Palatino Linotype" w:eastAsia="Palatino Linotype" w:hAnsi="Palatino Linotype" w:cs="Palatino Linotype"/>
          <w:color w:val="000000"/>
        </w:rPr>
        <w:t xml:space="preserve">; en consecuencia, presentó su inconformidad el día </w:t>
      </w:r>
      <w:r w:rsidR="00977B29" w:rsidRPr="00712A51">
        <w:rPr>
          <w:rFonts w:ascii="Palatino Linotype" w:eastAsia="Palatino Linotype" w:hAnsi="Palatino Linotype" w:cs="Palatino Linotype"/>
          <w:b/>
          <w:bCs/>
          <w:color w:val="000000"/>
        </w:rPr>
        <w:t>doce de noviembre</w:t>
      </w:r>
      <w:r w:rsidRPr="00712A51">
        <w:rPr>
          <w:rFonts w:ascii="Palatino Linotype" w:eastAsia="Palatino Linotype" w:hAnsi="Palatino Linotype" w:cs="Palatino Linotype"/>
          <w:b/>
          <w:bCs/>
          <w:color w:val="000000"/>
        </w:rPr>
        <w:t xml:space="preserve"> de dos mil veinticinco</w:t>
      </w:r>
      <w:r w:rsidRPr="00712A51">
        <w:rPr>
          <w:rFonts w:ascii="Palatino Linotype" w:eastAsia="Palatino Linotype" w:hAnsi="Palatino Linotype" w:cs="Palatino Linotype"/>
          <w:color w:val="000000"/>
        </w:rPr>
        <w:t xml:space="preserve">, por lo que se encuentra dentro de los márgenes temporales previstos en el artículo 178 de la </w:t>
      </w:r>
      <w:r w:rsidRPr="00712A51">
        <w:rPr>
          <w:rFonts w:ascii="Palatino Linotype" w:eastAsia="Palatino Linotype" w:hAnsi="Palatino Linotype" w:cs="Palatino Linotype"/>
          <w:b/>
          <w:bCs/>
          <w:color w:val="000000"/>
        </w:rPr>
        <w:t xml:space="preserve">Ley de Transparencia y Acceso a la Información Pública del Estado de México y Municipios </w:t>
      </w:r>
      <w:r w:rsidRPr="00712A51">
        <w:rPr>
          <w:rFonts w:ascii="Palatino Linotype" w:eastAsia="Palatino Linotype" w:hAnsi="Palatino Linotype" w:cs="Palatino Linotype"/>
          <w:color w:val="000000"/>
        </w:rPr>
        <w:t>vigente.</w:t>
      </w: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 xml:space="preserve">Por otra parte, de la revisión al expediente electrónico del </w:t>
      </w:r>
      <w:r w:rsidRPr="00712A51">
        <w:rPr>
          <w:rFonts w:ascii="Palatino Linotype" w:eastAsia="Palatino Linotype" w:hAnsi="Palatino Linotype" w:cs="Palatino Linotype"/>
          <w:b/>
          <w:bCs/>
        </w:rPr>
        <w:t>SAIMEX</w:t>
      </w:r>
      <w:r w:rsidRPr="00712A51">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0169CC" w:rsidRPr="00712A51" w:rsidRDefault="000169CC" w:rsidP="00743052">
      <w:pPr>
        <w:pBdr>
          <w:top w:val="nil"/>
          <w:left w:val="nil"/>
          <w:bottom w:val="nil"/>
          <w:right w:val="nil"/>
          <w:between w:val="nil"/>
        </w:pBdr>
        <w:jc w:val="both"/>
        <w:rPr>
          <w:rFonts w:ascii="Palatino Linotype" w:eastAsia="Palatino Linotype" w:hAnsi="Palatino Linotype" w:cs="Palatino Linotype"/>
          <w:color w:val="000000"/>
        </w:rPr>
      </w:pP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0169CC" w:rsidRPr="00712A51" w:rsidRDefault="000169CC" w:rsidP="00743052">
      <w:pPr>
        <w:pBdr>
          <w:top w:val="nil"/>
          <w:left w:val="nil"/>
          <w:bottom w:val="nil"/>
          <w:right w:val="nil"/>
          <w:between w:val="nil"/>
        </w:pBdr>
        <w:jc w:val="both"/>
        <w:rPr>
          <w:rFonts w:ascii="Palatino Linotype" w:eastAsia="Palatino Linotype" w:hAnsi="Palatino Linotype" w:cs="Palatino Linotype"/>
          <w:color w:val="000000"/>
        </w:rPr>
      </w:pP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w:t>
      </w:r>
      <w:r w:rsidRPr="00712A51">
        <w:rPr>
          <w:rFonts w:ascii="Palatino Linotype" w:eastAsia="Palatino Linotype" w:hAnsi="Palatino Linotype" w:cs="Palatino Linotype"/>
        </w:rPr>
        <w:lastRenderedPageBreak/>
        <w:t>acceso a la información pueda ser anónima o no contener un nombre que identifique al solicitante o que permita tener certeza sobre su identidad.</w:t>
      </w:r>
    </w:p>
    <w:p w:rsidR="000169CC" w:rsidRPr="00712A51" w:rsidRDefault="000169CC" w:rsidP="00743052">
      <w:pPr>
        <w:pBdr>
          <w:top w:val="nil"/>
          <w:left w:val="nil"/>
          <w:bottom w:val="nil"/>
          <w:right w:val="nil"/>
          <w:between w:val="nil"/>
        </w:pBdr>
        <w:jc w:val="both"/>
        <w:rPr>
          <w:rFonts w:ascii="Palatino Linotype" w:eastAsia="Palatino Linotype" w:hAnsi="Palatino Linotype" w:cs="Palatino Linotype"/>
          <w:color w:val="000000"/>
        </w:rPr>
      </w:pP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0169CC" w:rsidRPr="00712A51" w:rsidRDefault="000169CC" w:rsidP="00743052">
      <w:pPr>
        <w:pBdr>
          <w:top w:val="nil"/>
          <w:left w:val="nil"/>
          <w:bottom w:val="nil"/>
          <w:right w:val="nil"/>
          <w:between w:val="nil"/>
        </w:pBdr>
        <w:jc w:val="both"/>
        <w:rPr>
          <w:rFonts w:ascii="Palatino Linotype" w:eastAsia="Palatino Linotype" w:hAnsi="Palatino Linotype" w:cs="Palatino Linotype"/>
          <w:color w:val="000000"/>
        </w:rPr>
      </w:pP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0169CC" w:rsidRPr="00712A51" w:rsidRDefault="000169CC" w:rsidP="00743052">
      <w:pPr>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0169CC" w:rsidRPr="00712A51" w:rsidRDefault="000169CC" w:rsidP="00743052">
      <w:pPr>
        <w:pStyle w:val="Ttulo1"/>
        <w:spacing w:line="360" w:lineRule="auto"/>
        <w:jc w:val="both"/>
        <w:rPr>
          <w:rFonts w:ascii="Palatino Linotype" w:eastAsia="Palatino Linotype" w:hAnsi="Palatino Linotype" w:cs="Palatino Linotype"/>
          <w:b/>
          <w:bCs/>
          <w:i/>
          <w:iCs/>
          <w:color w:val="000000"/>
          <w:sz w:val="24"/>
          <w:szCs w:val="24"/>
        </w:rPr>
      </w:pPr>
      <w:r w:rsidRPr="00712A51">
        <w:rPr>
          <w:rFonts w:ascii="Palatino Linotype" w:eastAsia="Palatino Linotype" w:hAnsi="Palatino Linotype" w:cs="Palatino Linotype"/>
          <w:b/>
          <w:bCs/>
          <w:color w:val="000000"/>
          <w:sz w:val="24"/>
          <w:szCs w:val="24"/>
        </w:rPr>
        <w:t>TERCERO. Del planteamiento de la Litis</w:t>
      </w:r>
    </w:p>
    <w:p w:rsidR="000169CC" w:rsidRPr="00712A51" w:rsidRDefault="00977B29"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712A51">
        <w:rPr>
          <w:rFonts w:ascii="Palatino Linotype" w:eastAsia="Palatino Linotype" w:hAnsi="Palatino Linotype" w:cs="Palatino Linotype"/>
          <w:color w:val="000000"/>
        </w:rPr>
        <w:t>El particular solicitó del servidor público referido en la solicitud de información:</w:t>
      </w:r>
    </w:p>
    <w:p w:rsidR="00977B29" w:rsidRPr="00712A51" w:rsidRDefault="00977B29" w:rsidP="00743052">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977B29" w:rsidRPr="00712A51" w:rsidRDefault="00977B29"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r w:rsidRPr="00712A51">
        <w:rPr>
          <w:rFonts w:ascii="Palatino Linotype" w:eastAsia="Palatino Linotype" w:hAnsi="Palatino Linotype" w:cs="Palatino Linotype"/>
          <w:i/>
          <w:iCs/>
          <w:color w:val="000000"/>
        </w:rPr>
        <w:t>Conocer si registra asistencia, en caso contrario el fundamento para no hacerlo;</w:t>
      </w:r>
    </w:p>
    <w:p w:rsidR="00977B29" w:rsidRPr="00712A51" w:rsidRDefault="00977B29"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r w:rsidRPr="00712A51">
        <w:rPr>
          <w:rFonts w:ascii="Palatino Linotype" w:eastAsia="Palatino Linotype" w:hAnsi="Palatino Linotype" w:cs="Palatino Linotype"/>
          <w:i/>
          <w:iCs/>
          <w:color w:val="000000"/>
        </w:rPr>
        <w:t>Funciones de los meses de junio, julio, agosto</w:t>
      </w:r>
      <w:r w:rsidR="007111AE" w:rsidRPr="00712A51">
        <w:rPr>
          <w:rFonts w:ascii="Palatino Linotype" w:eastAsia="Palatino Linotype" w:hAnsi="Palatino Linotype" w:cs="Palatino Linotype"/>
          <w:i/>
          <w:iCs/>
          <w:color w:val="000000"/>
        </w:rPr>
        <w:t>, septiembre y octubre de 2025, p</w:t>
      </w:r>
      <w:r w:rsidRPr="00712A51">
        <w:rPr>
          <w:rFonts w:ascii="Palatino Linotype" w:eastAsia="Palatino Linotype" w:hAnsi="Palatino Linotype" w:cs="Palatino Linotype"/>
          <w:i/>
          <w:iCs/>
          <w:color w:val="000000"/>
        </w:rPr>
        <w:t>ara el caso de que no haya presentado y desempeñado sus funciones, conocer si el Órgano Interno de Control ha implementado una acción;</w:t>
      </w:r>
    </w:p>
    <w:p w:rsidR="00977B29" w:rsidRPr="00712A51" w:rsidRDefault="00977B29"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r w:rsidRPr="00712A51">
        <w:rPr>
          <w:rFonts w:ascii="Palatino Linotype" w:eastAsia="Palatino Linotype" w:hAnsi="Palatino Linotype" w:cs="Palatino Linotype"/>
          <w:i/>
          <w:iCs/>
          <w:color w:val="000000"/>
        </w:rPr>
        <w:t>Recibos de pago;</w:t>
      </w:r>
      <w:r w:rsidR="00011A40" w:rsidRPr="00712A51">
        <w:rPr>
          <w:rFonts w:ascii="Palatino Linotype" w:eastAsia="Palatino Linotype" w:hAnsi="Palatino Linotype" w:cs="Palatino Linotype"/>
          <w:i/>
          <w:iCs/>
          <w:color w:val="000000"/>
        </w:rPr>
        <w:t xml:space="preserve"> y</w:t>
      </w:r>
    </w:p>
    <w:p w:rsidR="000169CC" w:rsidRPr="00712A51" w:rsidRDefault="00977B29" w:rsidP="00743052">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r w:rsidRPr="00712A51">
        <w:rPr>
          <w:rFonts w:ascii="Palatino Linotype" w:eastAsia="Palatino Linotype" w:hAnsi="Palatino Linotype" w:cs="Palatino Linotype"/>
          <w:i/>
          <w:iCs/>
          <w:color w:val="000000"/>
        </w:rPr>
        <w:t xml:space="preserve">Opinión de secretario y superior inmediato </w:t>
      </w:r>
      <w:r w:rsidR="00011A40" w:rsidRPr="00712A51">
        <w:rPr>
          <w:rFonts w:ascii="Palatino Linotype" w:eastAsia="Palatino Linotype" w:hAnsi="Palatino Linotype" w:cs="Palatino Linotype"/>
          <w:i/>
          <w:iCs/>
          <w:color w:val="000000"/>
        </w:rPr>
        <w:t>respecto a la situación.</w:t>
      </w: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 xml:space="preserve">En respuesta, el Sujeto Obligado </w:t>
      </w:r>
      <w:r w:rsidR="00011A40" w:rsidRPr="00712A51">
        <w:rPr>
          <w:rFonts w:ascii="Palatino Linotype" w:eastAsia="Palatino Linotype" w:hAnsi="Palatino Linotype" w:cs="Palatino Linotype"/>
        </w:rPr>
        <w:t>dios respuesta a cada uno de los cuestionamientos</w:t>
      </w:r>
      <w:r w:rsidRPr="00712A51">
        <w:rPr>
          <w:rFonts w:ascii="Palatino Linotype" w:eastAsia="Palatino Linotype" w:hAnsi="Palatino Linotype" w:cs="Palatino Linotype"/>
        </w:rPr>
        <w:t>; posteriormente, el Recurrente se inconfo</w:t>
      </w:r>
      <w:r w:rsidR="00011A40" w:rsidRPr="00712A51">
        <w:rPr>
          <w:rFonts w:ascii="Palatino Linotype" w:eastAsia="Palatino Linotype" w:hAnsi="Palatino Linotype" w:cs="Palatino Linotype"/>
        </w:rPr>
        <w:t>rmó, de forma medular, por la negativa de la información.</w:t>
      </w:r>
      <w:r w:rsidRPr="00712A51">
        <w:rPr>
          <w:rFonts w:ascii="Palatino Linotype" w:eastAsia="Palatino Linotype" w:hAnsi="Palatino Linotype" w:cs="Palatino Linotype"/>
        </w:rPr>
        <w:t xml:space="preserve"> </w:t>
      </w:r>
    </w:p>
    <w:p w:rsidR="000169CC" w:rsidRPr="00712A51" w:rsidRDefault="000169CC" w:rsidP="00743052">
      <w:pPr>
        <w:spacing w:line="360" w:lineRule="auto"/>
        <w:jc w:val="both"/>
        <w:rPr>
          <w:rFonts w:ascii="Palatino Linotype" w:eastAsia="Palatino Linotype" w:hAnsi="Palatino Linotype" w:cs="Palatino Linotype"/>
        </w:rPr>
      </w:pP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t>En consecuencia, la Litis a resolver en este recurso, se circunscribe a determinar si la respuesta colma con lo solicitado o si se actualiza la causal de procedencia previst</w:t>
      </w:r>
      <w:r w:rsidR="00011A40" w:rsidRPr="00712A51">
        <w:rPr>
          <w:rFonts w:ascii="Palatino Linotype" w:eastAsia="Palatino Linotype" w:hAnsi="Palatino Linotype" w:cs="Palatino Linotype"/>
        </w:rPr>
        <w:t>a en el artículo 179, fracción I</w:t>
      </w:r>
      <w:r w:rsidRPr="00712A51">
        <w:rPr>
          <w:rFonts w:ascii="Palatino Linotype" w:eastAsia="Palatino Linotype" w:hAnsi="Palatino Linotype" w:cs="Palatino Linotype"/>
        </w:rPr>
        <w:t xml:space="preserve"> de la Ley de Transparencia y Acceso a la Información Pública del Estado de México y Municipios; que establece la </w:t>
      </w:r>
      <w:r w:rsidR="00011A40" w:rsidRPr="00712A51">
        <w:rPr>
          <w:rFonts w:ascii="Palatino Linotype" w:eastAsia="Palatino Linotype" w:hAnsi="Palatino Linotype" w:cs="Palatino Linotype"/>
        </w:rPr>
        <w:t>negativa de la información</w:t>
      </w:r>
      <w:r w:rsidRPr="00712A51">
        <w:rPr>
          <w:rFonts w:ascii="Palatino Linotype" w:eastAsia="Palatino Linotype" w:hAnsi="Palatino Linotype" w:cs="Palatino Linotype"/>
        </w:rPr>
        <w:t xml:space="preserve">.  </w:t>
      </w:r>
    </w:p>
    <w:p w:rsidR="000169CC" w:rsidRPr="00712A51" w:rsidRDefault="000169CC" w:rsidP="00743052">
      <w:pPr>
        <w:pStyle w:val="Ttulo1"/>
        <w:spacing w:line="360" w:lineRule="auto"/>
        <w:jc w:val="both"/>
        <w:rPr>
          <w:rFonts w:ascii="Palatino Linotype" w:eastAsia="Palatino Linotype" w:hAnsi="Palatino Linotype" w:cs="Palatino Linotype"/>
          <w:b/>
          <w:bCs/>
          <w:color w:val="000000"/>
          <w:sz w:val="24"/>
          <w:szCs w:val="24"/>
        </w:rPr>
      </w:pPr>
      <w:bookmarkStart w:id="4" w:name="_heading=h.3dy6vkm" w:colFirst="0" w:colLast="0"/>
      <w:bookmarkEnd w:id="4"/>
      <w:r w:rsidRPr="00712A51">
        <w:rPr>
          <w:rFonts w:ascii="Palatino Linotype" w:eastAsia="Palatino Linotype" w:hAnsi="Palatino Linotype" w:cs="Palatino Linotype"/>
          <w:b/>
          <w:bCs/>
          <w:color w:val="000000"/>
          <w:sz w:val="24"/>
          <w:szCs w:val="24"/>
        </w:rPr>
        <w:t xml:space="preserve">CUARTO. Estudio y resolución del recurso de revisión. </w:t>
      </w:r>
    </w:p>
    <w:p w:rsidR="000169CC" w:rsidRPr="00712A51" w:rsidRDefault="000169CC" w:rsidP="00743052">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712A51">
        <w:rPr>
          <w:rFonts w:ascii="Palatino Linotype" w:eastAsia="Palatino Linotype" w:hAnsi="Palatino Linotype" w:cs="Palatino Linotype"/>
          <w:b/>
          <w:bCs/>
          <w:color w:val="000000"/>
        </w:rPr>
        <w:t>Ley de Transparencia y Acceso a la Información Pública del Estado de México y Municipios</w:t>
      </w:r>
      <w:r w:rsidRPr="00712A51">
        <w:rPr>
          <w:rFonts w:ascii="Palatino Linotype" w:eastAsia="Palatino Linotype" w:hAnsi="Palatino Linotype" w:cs="Palatino Linotype"/>
          <w:color w:val="000000"/>
        </w:rPr>
        <w:t>.</w:t>
      </w:r>
    </w:p>
    <w:p w:rsidR="000169CC" w:rsidRPr="00712A51" w:rsidRDefault="000169CC" w:rsidP="00743052">
      <w:pPr>
        <w:spacing w:line="360" w:lineRule="auto"/>
        <w:jc w:val="both"/>
        <w:rPr>
          <w:rFonts w:ascii="Palatino Linotype" w:eastAsia="Palatino Linotype" w:hAnsi="Palatino Linotype" w:cs="Palatino Linotype"/>
        </w:rPr>
      </w:pPr>
      <w:bookmarkStart w:id="5" w:name="_heading=h.4d34og8" w:colFirst="0" w:colLast="0"/>
      <w:bookmarkEnd w:id="5"/>
    </w:p>
    <w:p w:rsidR="000169CC" w:rsidRPr="00712A51" w:rsidRDefault="000169CC" w:rsidP="00743052">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712A51">
        <w:rPr>
          <w:rFonts w:ascii="Palatino Linotype" w:eastAsia="Palatino Linotype" w:hAnsi="Palatino Linotype" w:cs="Palatino Linotype"/>
          <w:b/>
          <w:bCs/>
          <w:color w:val="000000"/>
        </w:rPr>
        <w:t>SUJETO OBLIGADO y</w:t>
      </w:r>
      <w:r w:rsidRPr="00712A51">
        <w:rPr>
          <w:rFonts w:ascii="Palatino Linotype" w:eastAsia="Palatino Linotype" w:hAnsi="Palatino Linotype" w:cs="Palatino Linotype"/>
          <w:color w:val="000000"/>
        </w:rPr>
        <w:t xml:space="preserve"> las manifestaciones realizadas por el </w:t>
      </w:r>
      <w:r w:rsidRPr="00712A51">
        <w:rPr>
          <w:rFonts w:ascii="Palatino Linotype" w:eastAsia="Palatino Linotype" w:hAnsi="Palatino Linotype" w:cs="Palatino Linotype"/>
          <w:b/>
          <w:bCs/>
        </w:rPr>
        <w:t>SOLICITANTE</w:t>
      </w:r>
      <w:r w:rsidRPr="00712A51">
        <w:rPr>
          <w:rFonts w:ascii="Palatino Linotype" w:eastAsia="Palatino Linotype" w:hAnsi="Palatino Linotype" w:cs="Palatino Linotype"/>
          <w:b/>
          <w:bCs/>
          <w:color w:val="000000"/>
        </w:rPr>
        <w:t xml:space="preserve"> </w:t>
      </w:r>
      <w:r w:rsidRPr="00712A51">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0169CC" w:rsidRPr="00712A51" w:rsidRDefault="000169CC" w:rsidP="0074305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rPr>
      </w:pPr>
      <w:r w:rsidRPr="00712A51">
        <w:rPr>
          <w:rFonts w:ascii="Palatino Linotype" w:eastAsia="Palatino Linotype" w:hAnsi="Palatino Linotype" w:cs="Palatino Linotype"/>
        </w:rPr>
        <w:t xml:space="preserve">Ahora bien, </w:t>
      </w:r>
      <w:r w:rsidR="00011A40" w:rsidRPr="00712A51">
        <w:rPr>
          <w:rFonts w:ascii="Palatino Linotype" w:eastAsia="Palatino Linotype" w:hAnsi="Palatino Linotype" w:cs="Palatino Linotype"/>
        </w:rPr>
        <w:t>para efectos de estudio se anexa la siguiente tabla con la información solicitada, la respuesta e informe justificado, así como las observaciones al cumplimiento:</w:t>
      </w:r>
    </w:p>
    <w:p w:rsidR="00712A51" w:rsidRPr="00712A51" w:rsidRDefault="00712A51" w:rsidP="00712A51">
      <w:pPr>
        <w:pBdr>
          <w:top w:val="nil"/>
          <w:left w:val="nil"/>
          <w:bottom w:val="nil"/>
          <w:right w:val="nil"/>
          <w:between w:val="nil"/>
        </w:pBdr>
        <w:spacing w:line="360" w:lineRule="auto"/>
        <w:jc w:val="both"/>
        <w:rPr>
          <w:rFonts w:ascii="Palatino Linotype" w:eastAsia="Palatino Linotype" w:hAnsi="Palatino Linotype" w:cs="Palatino Linotype"/>
          <w:i/>
          <w:iCs/>
        </w:rPr>
      </w:pPr>
    </w:p>
    <w:tbl>
      <w:tblPr>
        <w:tblStyle w:val="Tabladecuadrcula4-nfasis3"/>
        <w:tblW w:w="9986" w:type="dxa"/>
        <w:tblLook w:val="04A0" w:firstRow="1" w:lastRow="0" w:firstColumn="1" w:lastColumn="0" w:noHBand="0" w:noVBand="1"/>
      </w:tblPr>
      <w:tblGrid>
        <w:gridCol w:w="3011"/>
        <w:gridCol w:w="3363"/>
        <w:gridCol w:w="3612"/>
      </w:tblGrid>
      <w:tr w:rsidR="00011A40" w:rsidRPr="00712A51" w:rsidTr="00712A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1" w:type="dxa"/>
          </w:tcPr>
          <w:p w:rsidR="00011A40" w:rsidRPr="00712A51" w:rsidRDefault="00011A40" w:rsidP="00712A51">
            <w:pPr>
              <w:jc w:val="center"/>
              <w:rPr>
                <w:rFonts w:ascii="Palatino Linotype" w:eastAsia="Palatino Linotype" w:hAnsi="Palatino Linotype" w:cs="Palatino Linotype"/>
                <w:iCs/>
              </w:rPr>
            </w:pPr>
            <w:r w:rsidRPr="00712A51">
              <w:rPr>
                <w:rFonts w:ascii="Palatino Linotype" w:eastAsia="Palatino Linotype" w:hAnsi="Palatino Linotype" w:cs="Palatino Linotype"/>
                <w:iCs/>
              </w:rPr>
              <w:lastRenderedPageBreak/>
              <w:t>SOLICITUD</w:t>
            </w:r>
          </w:p>
        </w:tc>
        <w:tc>
          <w:tcPr>
            <w:tcW w:w="3363" w:type="dxa"/>
          </w:tcPr>
          <w:p w:rsidR="00011A40" w:rsidRPr="00712A51" w:rsidRDefault="00011A40" w:rsidP="00712A51">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RESPUESTA E INFORME JUSTIFICADO</w:t>
            </w:r>
          </w:p>
          <w:p w:rsidR="00011A40" w:rsidRPr="00712A51" w:rsidRDefault="00011A40" w:rsidP="00712A51">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tc>
        <w:tc>
          <w:tcPr>
            <w:tcW w:w="3612" w:type="dxa"/>
          </w:tcPr>
          <w:p w:rsidR="00011A40" w:rsidRPr="00712A51" w:rsidRDefault="00011A40" w:rsidP="00712A51">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OBSERVACIONES</w:t>
            </w:r>
          </w:p>
        </w:tc>
      </w:tr>
      <w:tr w:rsidR="00011A40" w:rsidRPr="00712A51" w:rsidTr="00712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6" w:type="dxa"/>
            <w:gridSpan w:val="3"/>
          </w:tcPr>
          <w:p w:rsidR="00011A40" w:rsidRPr="00712A51" w:rsidRDefault="00011A40" w:rsidP="00743052">
            <w:pPr>
              <w:jc w:val="both"/>
              <w:rPr>
                <w:rFonts w:ascii="Palatino Linotype" w:eastAsia="Palatino Linotype" w:hAnsi="Palatino Linotype" w:cs="Palatino Linotype"/>
                <w:b w:val="0"/>
                <w:iCs/>
              </w:rPr>
            </w:pPr>
          </w:p>
          <w:p w:rsidR="00011A40" w:rsidRPr="00712A51" w:rsidRDefault="00011A40" w:rsidP="00743052">
            <w:pPr>
              <w:jc w:val="both"/>
              <w:rPr>
                <w:rFonts w:ascii="Palatino Linotype" w:eastAsia="Palatino Linotype" w:hAnsi="Palatino Linotype" w:cs="Palatino Linotype"/>
                <w:b w:val="0"/>
                <w:iCs/>
              </w:rPr>
            </w:pPr>
            <w:r w:rsidRPr="00712A51">
              <w:rPr>
                <w:rFonts w:ascii="Palatino Linotype" w:eastAsia="Palatino Linotype" w:hAnsi="Palatino Linotype" w:cs="Palatino Linotype"/>
                <w:b w:val="0"/>
                <w:iCs/>
              </w:rPr>
              <w:t>Del servidor público referido en la solicitud e información lo siguiente:</w:t>
            </w:r>
          </w:p>
          <w:p w:rsidR="00011A40" w:rsidRPr="00712A51" w:rsidRDefault="00011A40" w:rsidP="00743052">
            <w:pPr>
              <w:jc w:val="both"/>
              <w:rPr>
                <w:rFonts w:ascii="Palatino Linotype" w:eastAsia="Palatino Linotype" w:hAnsi="Palatino Linotype" w:cs="Palatino Linotype"/>
                <w:b w:val="0"/>
                <w:iCs/>
              </w:rPr>
            </w:pPr>
          </w:p>
        </w:tc>
      </w:tr>
      <w:tr w:rsidR="00011A40" w:rsidRPr="00712A51" w:rsidTr="00712A51">
        <w:tc>
          <w:tcPr>
            <w:cnfStyle w:val="001000000000" w:firstRow="0" w:lastRow="0" w:firstColumn="1" w:lastColumn="0" w:oddVBand="0" w:evenVBand="0" w:oddHBand="0" w:evenHBand="0" w:firstRowFirstColumn="0" w:firstRowLastColumn="0" w:lastRowFirstColumn="0" w:lastRowLastColumn="0"/>
            <w:tcW w:w="3011" w:type="dxa"/>
          </w:tcPr>
          <w:p w:rsidR="00011A40" w:rsidRPr="00712A51" w:rsidRDefault="00011A40" w:rsidP="00743052">
            <w:pPr>
              <w:jc w:val="both"/>
              <w:rPr>
                <w:rFonts w:ascii="Palatino Linotype" w:eastAsia="Palatino Linotype" w:hAnsi="Palatino Linotype" w:cs="Palatino Linotype"/>
                <w:b w:val="0"/>
              </w:rPr>
            </w:pPr>
            <w:r w:rsidRPr="00712A51">
              <w:rPr>
                <w:rFonts w:ascii="Palatino Linotype" w:eastAsia="Palatino Linotype" w:hAnsi="Palatino Linotype" w:cs="Palatino Linotype"/>
                <w:b w:val="0"/>
              </w:rPr>
              <w:t>Conocer si registra asistencia, en caso contrario el fundamento para no hacerlo.</w:t>
            </w:r>
          </w:p>
          <w:p w:rsidR="00011A40" w:rsidRPr="00712A51" w:rsidRDefault="00011A40" w:rsidP="00743052">
            <w:pPr>
              <w:jc w:val="both"/>
              <w:rPr>
                <w:rFonts w:ascii="Palatino Linotype" w:eastAsia="Palatino Linotype" w:hAnsi="Palatino Linotype" w:cs="Palatino Linotype"/>
                <w:b w:val="0"/>
                <w:iCs/>
              </w:rPr>
            </w:pPr>
          </w:p>
        </w:tc>
        <w:tc>
          <w:tcPr>
            <w:tcW w:w="3363" w:type="dxa"/>
          </w:tcPr>
          <w:p w:rsidR="00011A40" w:rsidRPr="00712A51" w:rsidRDefault="00BB5EF4" w:rsidP="00743052">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 xml:space="preserve">  </w:t>
            </w:r>
            <w:r w:rsidR="00BD11AF" w:rsidRPr="00712A51">
              <w:rPr>
                <w:rFonts w:ascii="Palatino Linotype" w:eastAsia="Palatino Linotype" w:hAnsi="Palatino Linotype" w:cs="Palatino Linotype"/>
                <w:iCs/>
              </w:rPr>
              <w:t xml:space="preserve">La subdirección de organización de personal y la procuraduría de defensa del trabajo señaló que el servidor público registra su asistencia mediante lector biométrico </w:t>
            </w:r>
            <w:r w:rsidR="00BD11AF" w:rsidRPr="00712A51">
              <w:rPr>
                <w:rFonts w:ascii="Palatino Linotype" w:eastAsia="Palatino Linotype" w:hAnsi="Palatino Linotype" w:cs="Palatino Linotype"/>
                <w:i/>
                <w:iCs/>
              </w:rPr>
              <w:t>de conformidad con el Procedimiento: 202 "REGISTRO DE PUNTUALIDAD Y ASISTENCIA", Norma 20301/202-07 del Manual de Normas y Procedimientos de Desarrollo y Administración de Personal.</w:t>
            </w:r>
          </w:p>
        </w:tc>
        <w:tc>
          <w:tcPr>
            <w:tcW w:w="3612" w:type="dxa"/>
          </w:tcPr>
          <w:p w:rsidR="00011A40" w:rsidRPr="00712A51" w:rsidRDefault="00BD11AF" w:rsidP="00743052">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Colma son los solicitado, señaló que si hay registro de asistencia y dio contestación el servidor público habilitado.</w:t>
            </w:r>
          </w:p>
        </w:tc>
      </w:tr>
      <w:tr w:rsidR="00011A40" w:rsidRPr="00712A51" w:rsidTr="00712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1" w:type="dxa"/>
          </w:tcPr>
          <w:p w:rsidR="007111AE" w:rsidRPr="00712A51" w:rsidRDefault="00011A40" w:rsidP="00743052">
            <w:pPr>
              <w:pBdr>
                <w:top w:val="nil"/>
                <w:left w:val="nil"/>
                <w:bottom w:val="nil"/>
                <w:right w:val="nil"/>
                <w:between w:val="nil"/>
              </w:pBdr>
              <w:jc w:val="both"/>
              <w:rPr>
                <w:rFonts w:ascii="Palatino Linotype" w:eastAsia="Palatino Linotype" w:hAnsi="Palatino Linotype" w:cs="Palatino Linotype"/>
                <w:b w:val="0"/>
              </w:rPr>
            </w:pPr>
            <w:r w:rsidRPr="00712A51">
              <w:rPr>
                <w:rFonts w:ascii="Palatino Linotype" w:eastAsia="Palatino Linotype" w:hAnsi="Palatino Linotype" w:cs="Palatino Linotype"/>
                <w:b w:val="0"/>
              </w:rPr>
              <w:t>Funciones de los meses de junio, julio, agost</w:t>
            </w:r>
            <w:r w:rsidR="007111AE" w:rsidRPr="00712A51">
              <w:rPr>
                <w:rFonts w:ascii="Palatino Linotype" w:eastAsia="Palatino Linotype" w:hAnsi="Palatino Linotype" w:cs="Palatino Linotype"/>
                <w:b w:val="0"/>
              </w:rPr>
              <w:t>o, septiembre y octubre de 2025, para el caso de que no haya presentado y desempeñado sus funciones, conocer si el Órgano Interno de Control ha implementado una acción.</w:t>
            </w:r>
          </w:p>
          <w:p w:rsidR="00011A40" w:rsidRPr="00712A51" w:rsidRDefault="00011A40" w:rsidP="00743052">
            <w:pPr>
              <w:jc w:val="both"/>
              <w:rPr>
                <w:rFonts w:ascii="Palatino Linotype" w:eastAsia="Palatino Linotype" w:hAnsi="Palatino Linotype" w:cs="Palatino Linotype"/>
                <w:b w:val="0"/>
              </w:rPr>
            </w:pPr>
          </w:p>
          <w:p w:rsidR="00011A40" w:rsidRPr="00712A51" w:rsidRDefault="00011A40" w:rsidP="00743052">
            <w:pPr>
              <w:jc w:val="both"/>
              <w:rPr>
                <w:rFonts w:ascii="Palatino Linotype" w:eastAsia="Palatino Linotype" w:hAnsi="Palatino Linotype" w:cs="Palatino Linotype"/>
                <w:b w:val="0"/>
                <w:iCs/>
              </w:rPr>
            </w:pPr>
          </w:p>
        </w:tc>
        <w:tc>
          <w:tcPr>
            <w:tcW w:w="3363" w:type="dxa"/>
          </w:tcPr>
          <w:p w:rsidR="00011A40" w:rsidRPr="00712A51" w:rsidRDefault="00BD11AF" w:rsidP="00743052">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 xml:space="preserve">A través de la respuesta e informe justificado, el procurador de la defensa del trabajo y la subdirección de organización de personal señalaron las funciones. </w:t>
            </w:r>
          </w:p>
          <w:p w:rsidR="00BD11AF" w:rsidRPr="00712A51" w:rsidRDefault="00BD11AF" w:rsidP="00743052">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 xml:space="preserve">Asimismo, el servidor público de quien se requirió la información adjuntó un documento ad hoc con las funciones realizadas durante la temporalidad requerida. </w:t>
            </w:r>
          </w:p>
        </w:tc>
        <w:tc>
          <w:tcPr>
            <w:tcW w:w="3612" w:type="dxa"/>
          </w:tcPr>
          <w:p w:rsidR="00011A40" w:rsidRPr="00712A51" w:rsidRDefault="00BD11AF" w:rsidP="00743052">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 xml:space="preserve">Colma, la respuesta fue emitida por </w:t>
            </w:r>
            <w:r w:rsidR="007111AE" w:rsidRPr="00712A51">
              <w:rPr>
                <w:rFonts w:ascii="Palatino Linotype" w:eastAsia="Palatino Linotype" w:hAnsi="Palatino Linotype" w:cs="Palatino Linotype"/>
                <w:iCs/>
              </w:rPr>
              <w:t xml:space="preserve">el servidor público habilitado y señalaron las funciones realizadas por el servidor público. </w:t>
            </w:r>
          </w:p>
          <w:p w:rsidR="007111AE" w:rsidRPr="00712A51" w:rsidRDefault="007111AE" w:rsidP="00743052">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p>
        </w:tc>
      </w:tr>
      <w:tr w:rsidR="00011A40" w:rsidRPr="00712A51" w:rsidTr="00712A51">
        <w:tc>
          <w:tcPr>
            <w:cnfStyle w:val="001000000000" w:firstRow="0" w:lastRow="0" w:firstColumn="1" w:lastColumn="0" w:oddVBand="0" w:evenVBand="0" w:oddHBand="0" w:evenHBand="0" w:firstRowFirstColumn="0" w:firstRowLastColumn="0" w:lastRowFirstColumn="0" w:lastRowLastColumn="0"/>
            <w:tcW w:w="3011" w:type="dxa"/>
          </w:tcPr>
          <w:p w:rsidR="00011A40" w:rsidRPr="00712A51" w:rsidRDefault="00011A40" w:rsidP="00743052">
            <w:pPr>
              <w:jc w:val="both"/>
              <w:rPr>
                <w:rFonts w:ascii="Palatino Linotype" w:eastAsia="Palatino Linotype" w:hAnsi="Palatino Linotype" w:cs="Palatino Linotype"/>
                <w:b w:val="0"/>
                <w:iCs/>
              </w:rPr>
            </w:pPr>
            <w:r w:rsidRPr="00712A51">
              <w:rPr>
                <w:rFonts w:ascii="Palatino Linotype" w:eastAsia="Palatino Linotype" w:hAnsi="Palatino Linotype" w:cs="Palatino Linotype"/>
                <w:b w:val="0"/>
                <w:iCs/>
              </w:rPr>
              <w:t>Recibos de pago.</w:t>
            </w:r>
          </w:p>
          <w:p w:rsidR="00011A40" w:rsidRPr="00712A51" w:rsidRDefault="00011A40" w:rsidP="00743052">
            <w:pPr>
              <w:jc w:val="both"/>
              <w:rPr>
                <w:rFonts w:ascii="Palatino Linotype" w:eastAsia="Palatino Linotype" w:hAnsi="Palatino Linotype" w:cs="Palatino Linotype"/>
                <w:b w:val="0"/>
                <w:iCs/>
              </w:rPr>
            </w:pPr>
          </w:p>
        </w:tc>
        <w:tc>
          <w:tcPr>
            <w:tcW w:w="3363" w:type="dxa"/>
          </w:tcPr>
          <w:p w:rsidR="00011A40" w:rsidRPr="00712A51" w:rsidRDefault="00652C02" w:rsidP="00743052">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 xml:space="preserve">La subdirección de organización y personal, señaló que dicho documento es de carácter personal y que </w:t>
            </w:r>
            <w:r w:rsidRPr="00712A51">
              <w:rPr>
                <w:rFonts w:ascii="Palatino Linotype" w:eastAsia="Palatino Linotype" w:hAnsi="Palatino Linotype" w:cs="Palatino Linotype"/>
                <w:iCs/>
              </w:rPr>
              <w:lastRenderedPageBreak/>
              <w:t>sólo la persona servidora pública puede consultarlo con una clave confidencial, misma que es generada por ésta. Lo anterior, de conformidad con lo establecido en el Procedimiento: 081 "Pago de nómina a servidoras públicas y a servidores públicos de mandos superiores, mandos medios y de enlace y apoyo técnico", Norma 20301/081-04 del Manual antes citado.</w:t>
            </w:r>
          </w:p>
          <w:p w:rsidR="00652C02" w:rsidRPr="00712A51" w:rsidRDefault="00652C02" w:rsidP="00743052">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tc>
        <w:tc>
          <w:tcPr>
            <w:tcW w:w="3612" w:type="dxa"/>
          </w:tcPr>
          <w:p w:rsidR="00011A40" w:rsidRPr="00712A51" w:rsidRDefault="00652C02" w:rsidP="00743052">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lastRenderedPageBreak/>
              <w:t>No colma</w:t>
            </w:r>
          </w:p>
        </w:tc>
      </w:tr>
      <w:tr w:rsidR="00011A40" w:rsidRPr="00712A51" w:rsidTr="00712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1" w:type="dxa"/>
          </w:tcPr>
          <w:p w:rsidR="00011A40" w:rsidRPr="00712A51" w:rsidRDefault="00011A40" w:rsidP="00743052">
            <w:pPr>
              <w:jc w:val="both"/>
              <w:rPr>
                <w:rFonts w:ascii="Palatino Linotype" w:eastAsia="Palatino Linotype" w:hAnsi="Palatino Linotype" w:cs="Palatino Linotype"/>
                <w:b w:val="0"/>
                <w:iCs/>
              </w:rPr>
            </w:pPr>
            <w:r w:rsidRPr="00712A51">
              <w:rPr>
                <w:rFonts w:ascii="Palatino Linotype" w:eastAsia="Palatino Linotype" w:hAnsi="Palatino Linotype" w:cs="Palatino Linotype"/>
                <w:b w:val="0"/>
                <w:iCs/>
              </w:rPr>
              <w:t>Opinión de secretario y superior inmediato respecto a la situación.</w:t>
            </w:r>
          </w:p>
          <w:p w:rsidR="00011A40" w:rsidRPr="00712A51" w:rsidRDefault="00011A40" w:rsidP="00743052">
            <w:pPr>
              <w:jc w:val="both"/>
              <w:rPr>
                <w:rFonts w:ascii="Palatino Linotype" w:eastAsia="Palatino Linotype" w:hAnsi="Palatino Linotype" w:cs="Palatino Linotype"/>
                <w:b w:val="0"/>
                <w:iCs/>
              </w:rPr>
            </w:pPr>
          </w:p>
        </w:tc>
        <w:tc>
          <w:tcPr>
            <w:tcW w:w="3363" w:type="dxa"/>
          </w:tcPr>
          <w:p w:rsidR="00011A40" w:rsidRPr="00712A51" w:rsidRDefault="004F013E" w:rsidP="00743052">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 xml:space="preserve">Señaló que la información pública debe referirse a documentos, archivos o registros existentes y toda vez que la petición se trata de una valoración personal, subjetiva no es posible emitir opiniones, juicios de valor o generar información que no obre en sus archivos. </w:t>
            </w:r>
          </w:p>
        </w:tc>
        <w:tc>
          <w:tcPr>
            <w:tcW w:w="3612" w:type="dxa"/>
          </w:tcPr>
          <w:p w:rsidR="00011A40" w:rsidRPr="00712A51" w:rsidRDefault="004F013E" w:rsidP="00743052">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712A51">
              <w:rPr>
                <w:rFonts w:ascii="Palatino Linotype" w:eastAsia="Palatino Linotype" w:hAnsi="Palatino Linotype" w:cs="Palatino Linotype"/>
                <w:iCs/>
              </w:rPr>
              <w:t xml:space="preserve">Colma, por tratarse de un derecho de petición. </w:t>
            </w:r>
          </w:p>
        </w:tc>
      </w:tr>
    </w:tbl>
    <w:p w:rsidR="00011A40" w:rsidRPr="00712A51" w:rsidRDefault="00011A40" w:rsidP="00743052">
      <w:pPr>
        <w:pBdr>
          <w:top w:val="nil"/>
          <w:left w:val="nil"/>
          <w:bottom w:val="nil"/>
          <w:right w:val="nil"/>
          <w:between w:val="nil"/>
        </w:pBdr>
        <w:spacing w:line="360" w:lineRule="auto"/>
        <w:jc w:val="both"/>
        <w:rPr>
          <w:rFonts w:ascii="Palatino Linotype" w:eastAsia="Palatino Linotype" w:hAnsi="Palatino Linotype" w:cs="Palatino Linotype"/>
          <w:i/>
          <w:iCs/>
        </w:rPr>
      </w:pPr>
    </w:p>
    <w:p w:rsidR="000169CC" w:rsidRPr="00712A51" w:rsidRDefault="000169CC" w:rsidP="00743052">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652C02" w:rsidRPr="00712A51" w:rsidRDefault="00652C02" w:rsidP="00743052">
      <w:pPr>
        <w:pStyle w:val="Prrafodelista"/>
        <w:numPr>
          <w:ilvl w:val="0"/>
          <w:numId w:val="2"/>
        </w:numPr>
        <w:spacing w:line="360" w:lineRule="auto"/>
        <w:ind w:left="0" w:firstLine="0"/>
        <w:jc w:val="both"/>
        <w:rPr>
          <w:rFonts w:ascii="Palatino Linotype" w:eastAsia="Calibri" w:hAnsi="Palatino Linotype" w:cs="Arial"/>
        </w:rPr>
      </w:pPr>
      <w:r w:rsidRPr="00712A51">
        <w:rPr>
          <w:rFonts w:ascii="Palatino Linotype" w:eastAsia="Calibri" w:hAnsi="Palatino Linotype" w:cs="Arial"/>
        </w:rPr>
        <w:t xml:space="preserve">No debemos perder de vista que, el derecho de acceso a la información es </w:t>
      </w:r>
      <w:r w:rsidRPr="00712A51">
        <w:rPr>
          <w:rFonts w:ascii="Palatino Linotype" w:hAnsi="Palatino Linotype" w:cs="Arial"/>
          <w:color w:val="000000" w:themeColor="text1"/>
        </w:rPr>
        <w:t xml:space="preserve">la </w:t>
      </w:r>
      <w:r w:rsidRPr="00712A51">
        <w:rPr>
          <w:rFonts w:ascii="Palatino Linotype" w:eastAsia="MS Mincho" w:hAnsi="Palatino Linotype"/>
          <w:i/>
        </w:rPr>
        <w:t>igualdad de oportunidades para recibir, buscar e impartir información</w:t>
      </w:r>
      <w:r w:rsidRPr="00712A51">
        <w:rPr>
          <w:rStyle w:val="Refdenotaalpie"/>
          <w:rFonts w:ascii="Palatino Linotype" w:eastAsia="MS Mincho" w:hAnsi="Palatino Linotype"/>
          <w:i/>
        </w:rPr>
        <w:footnoteReference w:id="1"/>
      </w:r>
      <w:r w:rsidRPr="00712A51">
        <w:rPr>
          <w:rFonts w:ascii="Palatino Linotype" w:eastAsia="MS Mincho" w:hAnsi="Palatino Linotype"/>
          <w:i/>
        </w:rPr>
        <w:t xml:space="preserve"> en posesión de cualquier autoridad, entidad, órgano y organismo de los poderes Ejecutivo, Legislativo y Judicial, órganos autónomos, partidos políticos, fideicomisos, y fondos públicos, así como de cualquier persona física, moral o sindicato que </w:t>
      </w:r>
      <w:r w:rsidRPr="00712A51">
        <w:rPr>
          <w:rFonts w:ascii="Palatino Linotype" w:eastAsia="MS Mincho" w:hAnsi="Palatino Linotype"/>
          <w:i/>
        </w:rPr>
        <w:lastRenderedPageBreak/>
        <w:t>reciba y ejerza recursos públicos o realice actos de autoridad en el ámbito federal, estatal y municipal</w:t>
      </w:r>
      <w:r w:rsidRPr="00712A51">
        <w:rPr>
          <w:rStyle w:val="Refdenotaalpie"/>
          <w:rFonts w:ascii="Palatino Linotype" w:eastAsia="MS Mincho" w:hAnsi="Palatino Linotype"/>
        </w:rPr>
        <w:footnoteReference w:id="2"/>
      </w:r>
      <w:r w:rsidRPr="00712A51">
        <w:rPr>
          <w:rFonts w:ascii="Palatino Linotype" w:eastAsia="MS Mincho" w:hAnsi="Palatino Linotype"/>
          <w:i/>
        </w:rPr>
        <w:t xml:space="preserve"> </w:t>
      </w:r>
      <w:r w:rsidRPr="00712A51">
        <w:rPr>
          <w:rFonts w:ascii="Palatino Linotype" w:eastAsia="MS Mincho" w:hAnsi="Palatino Linotype"/>
        </w:rPr>
        <w:t xml:space="preserve">que se constituye como una herramienta fundamental para </w:t>
      </w:r>
      <w:r w:rsidRPr="00712A51">
        <w:rPr>
          <w:rFonts w:ascii="Palatino Linotype" w:eastAsia="MS Mincho" w:hAnsi="Palatino Linotype"/>
          <w:i/>
        </w:rPr>
        <w:t>ejercer control democrático de las gestiones estatales, de forma tal que puedan cuestionar, indagar y considerar si se está dando un adecuado cumplimiento de las funciones públicas,</w:t>
      </w:r>
      <w:r w:rsidRPr="00712A51">
        <w:rPr>
          <w:rStyle w:val="Refdenotaalpie"/>
          <w:rFonts w:ascii="Palatino Linotype" w:eastAsia="MS Mincho" w:hAnsi="Palatino Linotype"/>
          <w:i/>
        </w:rPr>
        <w:footnoteReference w:id="3"/>
      </w:r>
      <w:r w:rsidRPr="00712A51">
        <w:rPr>
          <w:rFonts w:ascii="Palatino Linotype" w:eastAsia="MS Mincho" w:hAnsi="Palatino Linotype"/>
        </w:rPr>
        <w:t>fomentando</w:t>
      </w:r>
      <w:r w:rsidRPr="00712A51">
        <w:rPr>
          <w:rFonts w:ascii="Palatino Linotype" w:eastAsia="MS Mincho" w:hAnsi="Palatino Linotype"/>
          <w:i/>
        </w:rPr>
        <w:t xml:space="preserve"> la transparencia de las actividades estatales y</w:t>
      </w:r>
      <w:r w:rsidRPr="00712A51">
        <w:rPr>
          <w:rFonts w:ascii="Palatino Linotype" w:eastAsia="MS Mincho" w:hAnsi="Palatino Linotype"/>
        </w:rPr>
        <w:t xml:space="preserve"> promoviendo</w:t>
      </w:r>
      <w:r w:rsidRPr="00712A51">
        <w:rPr>
          <w:rFonts w:ascii="Palatino Linotype" w:eastAsia="MS Mincho" w:hAnsi="Palatino Linotype"/>
          <w:i/>
        </w:rPr>
        <w:t xml:space="preserve"> la responsabilidad de los funcionarios sobre su gestión pública</w:t>
      </w:r>
      <w:r w:rsidRPr="00712A51">
        <w:rPr>
          <w:rStyle w:val="Refdenotaalpie"/>
          <w:rFonts w:ascii="Palatino Linotype" w:eastAsia="MS Mincho" w:hAnsi="Palatino Linotype"/>
          <w:i/>
        </w:rPr>
        <w:footnoteReference w:id="4"/>
      </w:r>
      <w:r w:rsidRPr="00712A51">
        <w:rPr>
          <w:rFonts w:ascii="Palatino Linotype" w:eastAsia="MS Mincho" w:hAnsi="Palatino Linotype"/>
          <w:i/>
        </w:rPr>
        <w:t xml:space="preserve"> </w:t>
      </w:r>
      <w:r w:rsidRPr="00712A51">
        <w:rPr>
          <w:rFonts w:ascii="Palatino Linotype" w:eastAsia="MS Mincho" w:hAnsi="Palatino Linotype"/>
        </w:rPr>
        <w:t>que permite</w:t>
      </w:r>
      <w:r w:rsidRPr="00712A51">
        <w:rPr>
          <w:rFonts w:ascii="Palatino Linotype" w:eastAsia="MS Mincho" w:hAnsi="Palatino Linotype"/>
          <w:i/>
        </w:rPr>
        <w:t xml:space="preserve"> saber qué están haciendo los gobiernos por sus pueblos, sin lo cual la verdad languidecería y la participación en el gobierno permanecería fragmentada.</w:t>
      </w:r>
      <w:r w:rsidRPr="00712A51">
        <w:rPr>
          <w:rStyle w:val="Refdenotaalpie"/>
          <w:rFonts w:ascii="Palatino Linotype" w:eastAsia="MS Mincho" w:hAnsi="Palatino Linotype"/>
          <w:i/>
        </w:rPr>
        <w:footnoteReference w:id="5"/>
      </w:r>
      <w:r w:rsidRPr="00712A51">
        <w:rPr>
          <w:rFonts w:ascii="Palatino Linotype" w:eastAsia="MS Mincho" w:hAnsi="Palatino Linotype"/>
        </w:rPr>
        <w:t xml:space="preserve"> ”</w:t>
      </w:r>
    </w:p>
    <w:p w:rsidR="00652C02" w:rsidRPr="00712A51" w:rsidRDefault="00652C02" w:rsidP="00743052">
      <w:pPr>
        <w:pStyle w:val="Prrafodelista"/>
        <w:jc w:val="both"/>
        <w:rPr>
          <w:rFonts w:ascii="Palatino Linotype" w:eastAsia="Calibri" w:hAnsi="Palatino Linotype" w:cs="Arial"/>
        </w:rPr>
      </w:pPr>
    </w:p>
    <w:p w:rsidR="00652C02" w:rsidRPr="00712A51" w:rsidRDefault="00652C02" w:rsidP="00743052">
      <w:pPr>
        <w:pStyle w:val="Prrafodelista"/>
        <w:numPr>
          <w:ilvl w:val="0"/>
          <w:numId w:val="2"/>
        </w:numPr>
        <w:spacing w:line="360" w:lineRule="auto"/>
        <w:ind w:left="0" w:firstLine="0"/>
        <w:jc w:val="both"/>
        <w:rPr>
          <w:rFonts w:ascii="Palatino Linotype" w:eastAsia="Calibri" w:hAnsi="Palatino Linotype" w:cs="Arial"/>
        </w:rPr>
      </w:pPr>
      <w:r w:rsidRPr="00712A51">
        <w:rPr>
          <w:rFonts w:ascii="Palatino Linotype" w:eastAsia="Calibri" w:hAnsi="Palatino Linotype" w:cs="Arial"/>
        </w:rPr>
        <w:t>E</w:t>
      </w:r>
      <w:r w:rsidRPr="00712A51">
        <w:rPr>
          <w:rFonts w:ascii="Palatino Linotype" w:eastAsia="MS Mincho" w:hAnsi="Palatino Linotype"/>
        </w:rPr>
        <w:t xml:space="preserve">l acceso a la información es un derecho humano constitucional y convencionalmente reconocido y para tal efecto </w:t>
      </w:r>
      <w:r w:rsidRPr="00712A51">
        <w:rPr>
          <w:rFonts w:ascii="Palatino Linotype" w:eastAsia="Calibri" w:hAnsi="Palatino Linotype"/>
          <w:lang w:val="es-ES"/>
        </w:rPr>
        <w:t xml:space="preserve">el párrafo tercero del artículo primero de la Constitución Política de los Estados Unidos Mexicanos establece el deber de todas las autoridades, </w:t>
      </w:r>
      <w:r w:rsidRPr="00712A51">
        <w:rPr>
          <w:rFonts w:ascii="Palatino Linotype" w:eastAsia="Calibri" w:hAnsi="Palatino Linotype"/>
          <w:i/>
          <w:lang w:val="es-ES"/>
        </w:rPr>
        <w:t xml:space="preserve">en el ámbito de sus atribuciones, de promover, respetar, proteger y </w:t>
      </w:r>
      <w:r w:rsidRPr="00712A51">
        <w:rPr>
          <w:rFonts w:ascii="Palatino Linotype" w:eastAsia="Calibri" w:hAnsi="Palatino Linotype"/>
          <w:b/>
          <w:i/>
          <w:lang w:val="es-ES"/>
        </w:rPr>
        <w:t>garantizar</w:t>
      </w:r>
      <w:r w:rsidRPr="00712A51">
        <w:rPr>
          <w:rFonts w:ascii="Palatino Linotype" w:eastAsia="Calibri" w:hAnsi="Palatino Linotype"/>
          <w:i/>
          <w:lang w:val="es-ES"/>
        </w:rPr>
        <w:t xml:space="preserve"> los derechos humanos. </w:t>
      </w:r>
      <w:r w:rsidRPr="00712A51">
        <w:rPr>
          <w:rFonts w:ascii="Palatino Linotype" w:eastAsia="Calibri" w:hAnsi="Palatino Linotype"/>
          <w:lang w:val="es-ES"/>
        </w:rPr>
        <w:t>En cuanto al derecho de acceso a la información, la Ley de Transparencia y Acceso a la Información Pública del Estado de México y Municipios prevé establece que</w:t>
      </w:r>
      <w:r w:rsidRPr="00712A51">
        <w:rPr>
          <w:rFonts w:ascii="Palatino Linotype" w:eastAsia="Calibri" w:hAnsi="Palatino Linotype"/>
          <w:b/>
          <w:i/>
          <w:lang w:val="es-ES"/>
        </w:rPr>
        <w:t xml:space="preserve"> e</w:t>
      </w:r>
      <w:r w:rsidRPr="00712A51">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Pr="00712A51">
        <w:rPr>
          <w:rStyle w:val="Refdenotaalpie"/>
          <w:rFonts w:ascii="Palatino Linotype" w:hAnsi="Palatino Linotype"/>
          <w:i/>
        </w:rPr>
        <w:footnoteReference w:id="6"/>
      </w:r>
      <w:r w:rsidRPr="00712A51">
        <w:rPr>
          <w:rFonts w:ascii="Palatino Linotype" w:hAnsi="Palatino Linotype"/>
          <w:i/>
        </w:rPr>
        <w:t xml:space="preserve">, </w:t>
      </w:r>
      <w:r w:rsidRPr="00712A51">
        <w:rPr>
          <w:rFonts w:ascii="Palatino Linotype" w:hAnsi="Palatino Linotype"/>
        </w:rPr>
        <w:t>asimismo establece</w:t>
      </w:r>
      <w:r w:rsidRPr="00712A51">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652C02" w:rsidRPr="00712A51" w:rsidRDefault="00652C02" w:rsidP="00743052">
      <w:pPr>
        <w:pStyle w:val="Prrafodelista"/>
        <w:numPr>
          <w:ilvl w:val="0"/>
          <w:numId w:val="2"/>
        </w:numPr>
        <w:tabs>
          <w:tab w:val="left" w:pos="426"/>
        </w:tabs>
        <w:spacing w:before="240" w:after="360" w:line="360" w:lineRule="auto"/>
        <w:ind w:left="0" w:firstLine="0"/>
        <w:jc w:val="both"/>
        <w:rPr>
          <w:rFonts w:ascii="Palatino Linotype" w:hAnsi="Palatino Linotype" w:cs="Arial"/>
          <w:i/>
          <w:color w:val="000000" w:themeColor="text1"/>
        </w:rPr>
      </w:pPr>
      <w:r w:rsidRPr="00712A51">
        <w:rPr>
          <w:rFonts w:ascii="Palatino Linotype" w:hAnsi="Palatino Linotype"/>
          <w:color w:val="000000" w:themeColor="text1"/>
        </w:rPr>
        <w:lastRenderedPageBreak/>
        <w:t xml:space="preserve">Resulta necesario referir que, el </w:t>
      </w:r>
      <w:r w:rsidRPr="00712A51">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712A51">
        <w:rPr>
          <w:rFonts w:ascii="Palatino Linotype" w:eastAsia="Calibri" w:hAnsi="Palatino Linotype" w:cs="Arial"/>
          <w:b/>
        </w:rPr>
        <w:t>los Sujetos Obligados deberán documentar todo acto que se derive del ejercicio de sus facultades, competencias o funciones,</w:t>
      </w:r>
      <w:r w:rsidRPr="00712A51">
        <w:rPr>
          <w:rFonts w:ascii="Palatino Linotype" w:eastAsia="Calibri" w:hAnsi="Palatino Linotype" w:cs="Arial"/>
        </w:rPr>
        <w:t xml:space="preserve"> considerando desde su origen la eventual publicidad y reutilización de la información que generen, posean o administren.</w:t>
      </w:r>
    </w:p>
    <w:p w:rsidR="00652C02" w:rsidRPr="00712A51" w:rsidRDefault="00652C02" w:rsidP="00743052">
      <w:pPr>
        <w:pStyle w:val="Prrafodelista"/>
        <w:spacing w:line="360" w:lineRule="auto"/>
        <w:jc w:val="both"/>
        <w:rPr>
          <w:rFonts w:ascii="Palatino Linotype" w:hAnsi="Palatino Linotype" w:cs="Arial"/>
          <w:i/>
          <w:color w:val="000000" w:themeColor="text1"/>
        </w:rPr>
      </w:pPr>
    </w:p>
    <w:p w:rsidR="00652C02" w:rsidRPr="00712A51" w:rsidRDefault="00652C02" w:rsidP="00743052">
      <w:pPr>
        <w:pStyle w:val="Prrafodelista"/>
        <w:numPr>
          <w:ilvl w:val="0"/>
          <w:numId w:val="2"/>
        </w:numPr>
        <w:spacing w:line="360" w:lineRule="auto"/>
        <w:ind w:left="0" w:right="49" w:firstLine="0"/>
        <w:jc w:val="both"/>
        <w:rPr>
          <w:rFonts w:ascii="Palatino Linotype" w:hAnsi="Palatino Linotype" w:cs="Arial"/>
          <w:color w:val="000000"/>
        </w:rPr>
      </w:pPr>
      <w:r w:rsidRPr="00712A51">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652C02" w:rsidRPr="00712A51" w:rsidRDefault="00652C02" w:rsidP="00743052">
      <w:pPr>
        <w:pStyle w:val="Prrafodelista"/>
        <w:spacing w:line="360" w:lineRule="auto"/>
        <w:jc w:val="both"/>
        <w:rPr>
          <w:rFonts w:ascii="Palatino Linotype" w:hAnsi="Palatino Linotype" w:cs="Arial"/>
          <w:color w:val="000000"/>
        </w:rPr>
      </w:pP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r w:rsidRPr="00712A51">
        <w:rPr>
          <w:rFonts w:ascii="Palatino Linotype" w:hAnsi="Palatino Linotype" w:cs="Bookman Old Style,Bold"/>
          <w:b/>
          <w:bCs/>
          <w:i/>
        </w:rPr>
        <w:t xml:space="preserve">Artículo 4. </w:t>
      </w:r>
      <w:r w:rsidRPr="00712A51">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r w:rsidRPr="00712A51">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r w:rsidRPr="00712A51">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652C02" w:rsidRPr="00712A51" w:rsidRDefault="00652C02" w:rsidP="00743052">
      <w:pPr>
        <w:autoSpaceDE w:val="0"/>
        <w:autoSpaceDN w:val="0"/>
        <w:adjustRightInd w:val="0"/>
        <w:spacing w:line="360" w:lineRule="auto"/>
        <w:ind w:right="567"/>
        <w:jc w:val="both"/>
        <w:rPr>
          <w:rFonts w:ascii="Palatino Linotype" w:hAnsi="Palatino Linotype" w:cs="Arial"/>
          <w:i/>
          <w:color w:val="000000"/>
        </w:rPr>
      </w:pP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r w:rsidRPr="00712A51">
        <w:rPr>
          <w:rFonts w:ascii="Palatino Linotype" w:hAnsi="Palatino Linotype" w:cs="Bookman Old Style,Bold"/>
          <w:b/>
          <w:bCs/>
          <w:i/>
        </w:rPr>
        <w:t xml:space="preserve">Artículo 12. </w:t>
      </w:r>
      <w:r w:rsidRPr="00712A51">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p>
    <w:p w:rsidR="00652C02" w:rsidRPr="00712A51" w:rsidRDefault="00652C02" w:rsidP="00743052">
      <w:pPr>
        <w:autoSpaceDE w:val="0"/>
        <w:autoSpaceDN w:val="0"/>
        <w:adjustRightInd w:val="0"/>
        <w:spacing w:line="360" w:lineRule="auto"/>
        <w:ind w:left="567" w:right="567"/>
        <w:jc w:val="both"/>
        <w:rPr>
          <w:rFonts w:ascii="Palatino Linotype" w:hAnsi="Palatino Linotype" w:cs="Bookman Old Style"/>
          <w:i/>
        </w:rPr>
      </w:pPr>
      <w:r w:rsidRPr="00712A51">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712A51">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652C02" w:rsidRPr="00712A51" w:rsidRDefault="00652C02" w:rsidP="00743052">
      <w:pPr>
        <w:autoSpaceDE w:val="0"/>
        <w:autoSpaceDN w:val="0"/>
        <w:adjustRightInd w:val="0"/>
        <w:spacing w:line="360" w:lineRule="auto"/>
        <w:ind w:left="567" w:right="567"/>
        <w:jc w:val="both"/>
        <w:rPr>
          <w:rFonts w:ascii="Palatino Linotype" w:hAnsi="Palatino Linotype" w:cs="Arial"/>
          <w:i/>
          <w:color w:val="000000"/>
        </w:rPr>
      </w:pPr>
    </w:p>
    <w:p w:rsidR="00652C02" w:rsidRPr="00712A51" w:rsidRDefault="00652C02" w:rsidP="00743052">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712A51">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712A51">
        <w:rPr>
          <w:rStyle w:val="Refdenotaalpie"/>
          <w:rFonts w:ascii="Palatino Linotype" w:hAnsi="Palatino Linotype"/>
          <w:lang w:val="es-ES"/>
        </w:rPr>
        <w:footnoteReference w:id="7"/>
      </w:r>
      <w:r w:rsidRPr="00712A51">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652C02" w:rsidRPr="00712A51" w:rsidRDefault="00652C02" w:rsidP="00743052">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712A51">
        <w:rPr>
          <w:rFonts w:ascii="Palatino Linotype" w:hAnsi="Palatino Linotype"/>
          <w:lang w:val="es-ES"/>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652C02" w:rsidRPr="00712A51" w:rsidRDefault="00652C02" w:rsidP="00743052">
      <w:pPr>
        <w:pStyle w:val="Prrafodelista"/>
        <w:spacing w:line="360" w:lineRule="auto"/>
        <w:jc w:val="both"/>
        <w:rPr>
          <w:rFonts w:ascii="Palatino Linotype" w:hAnsi="Palatino Linotype"/>
          <w:lang w:val="es-ES"/>
        </w:rPr>
      </w:pPr>
    </w:p>
    <w:p w:rsidR="00652C02" w:rsidRPr="00712A51" w:rsidRDefault="00652C02" w:rsidP="00743052">
      <w:pPr>
        <w:pStyle w:val="Prrafodelista"/>
        <w:tabs>
          <w:tab w:val="left" w:pos="851"/>
        </w:tabs>
        <w:spacing w:line="360" w:lineRule="auto"/>
        <w:ind w:left="567" w:right="567"/>
        <w:jc w:val="both"/>
        <w:rPr>
          <w:rFonts w:ascii="Palatino Linotype" w:hAnsi="Palatino Linotype"/>
          <w:i/>
        </w:rPr>
      </w:pPr>
      <w:r w:rsidRPr="00712A51">
        <w:rPr>
          <w:rFonts w:ascii="Palatino Linotype" w:hAnsi="Palatino Linotype"/>
          <w:b/>
          <w:i/>
        </w:rPr>
        <w:t>ACCESO A LA INFORMACIÓN. IMPLICACIÓN DEL PRINCIPIO DE MÁXIMA PUBLICIDAD EN EL DERECHO FUNDAMENTAL RELATIVO.</w:t>
      </w:r>
      <w:r w:rsidRPr="00712A51">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w:t>
      </w:r>
      <w:r w:rsidRPr="00712A51">
        <w:rPr>
          <w:rFonts w:ascii="Palatino Linotype" w:hAnsi="Palatino Linotype"/>
          <w:i/>
        </w:rPr>
        <w:lastRenderedPageBreak/>
        <w:t xml:space="preserve">la legislación secundaria y justificados bajo determinadas circunstancias, se podrá clasificar como confidencial o reservada, esto es, considerarla con una calidad diversa. </w:t>
      </w:r>
    </w:p>
    <w:p w:rsidR="00652C02" w:rsidRPr="00712A51" w:rsidRDefault="00652C02" w:rsidP="00743052">
      <w:pPr>
        <w:pStyle w:val="Prrafodelista"/>
        <w:tabs>
          <w:tab w:val="left" w:pos="851"/>
        </w:tabs>
        <w:spacing w:line="360" w:lineRule="auto"/>
        <w:ind w:left="567" w:right="567"/>
        <w:jc w:val="both"/>
        <w:rPr>
          <w:rFonts w:ascii="Palatino Linotype" w:hAnsi="Palatino Linotype"/>
          <w:i/>
        </w:rPr>
      </w:pPr>
    </w:p>
    <w:p w:rsidR="00652C02" w:rsidRPr="00712A51" w:rsidRDefault="00652C02" w:rsidP="00743052">
      <w:pPr>
        <w:pStyle w:val="Prrafodelista"/>
        <w:tabs>
          <w:tab w:val="left" w:pos="851"/>
        </w:tabs>
        <w:spacing w:line="360" w:lineRule="auto"/>
        <w:ind w:left="567" w:right="567"/>
        <w:jc w:val="both"/>
        <w:rPr>
          <w:rFonts w:ascii="Palatino Linotype" w:hAnsi="Palatino Linotype"/>
          <w:i/>
        </w:rPr>
      </w:pPr>
      <w:r w:rsidRPr="00712A51">
        <w:rPr>
          <w:rFonts w:ascii="Palatino Linotype" w:hAnsi="Palatino Linotype"/>
          <w:i/>
        </w:rPr>
        <w:t xml:space="preserve">CUARTO TRIBUNAL COLEGIADO EN MATERIA ADMINISTRATIVA DEL PRIMER CIRCUITO. </w:t>
      </w:r>
    </w:p>
    <w:p w:rsidR="00652C02" w:rsidRPr="00712A51" w:rsidRDefault="00652C02" w:rsidP="00743052">
      <w:pPr>
        <w:pStyle w:val="Prrafodelista"/>
        <w:tabs>
          <w:tab w:val="left" w:pos="851"/>
        </w:tabs>
        <w:spacing w:line="360" w:lineRule="auto"/>
        <w:ind w:left="567" w:right="567"/>
        <w:jc w:val="both"/>
        <w:rPr>
          <w:rFonts w:ascii="Palatino Linotype" w:hAnsi="Palatino Linotype"/>
          <w:i/>
        </w:rPr>
      </w:pPr>
    </w:p>
    <w:p w:rsidR="00652C02" w:rsidRPr="00712A51" w:rsidRDefault="00652C02" w:rsidP="00743052">
      <w:pPr>
        <w:pStyle w:val="Prrafodelista"/>
        <w:tabs>
          <w:tab w:val="left" w:pos="851"/>
        </w:tabs>
        <w:spacing w:line="360" w:lineRule="auto"/>
        <w:ind w:left="567" w:right="567"/>
        <w:jc w:val="both"/>
        <w:rPr>
          <w:rFonts w:ascii="Palatino Linotype" w:hAnsi="Palatino Linotype"/>
          <w:i/>
          <w:lang w:val="es-ES"/>
        </w:rPr>
      </w:pPr>
      <w:r w:rsidRPr="00712A51">
        <w:rPr>
          <w:rFonts w:ascii="Palatino Linotype" w:hAnsi="Palatino Linotype"/>
          <w:i/>
        </w:rPr>
        <w:t>Amparo en revisión 257/2012. Ruth Corona Muñoz. 6 de diciembre de 2012. Unanimidad de votos. Ponente: Jean Claude Tron Petit. Secretaria: Mayra Susana Martínez López.</w:t>
      </w:r>
    </w:p>
    <w:p w:rsidR="00652C02" w:rsidRPr="00712A51" w:rsidRDefault="00652C02" w:rsidP="00743052">
      <w:pPr>
        <w:pStyle w:val="Prrafodelista"/>
        <w:spacing w:line="360" w:lineRule="auto"/>
        <w:jc w:val="both"/>
        <w:rPr>
          <w:rFonts w:ascii="Palatino Linotype" w:hAnsi="Palatino Linotype"/>
          <w:lang w:val="es-ES"/>
        </w:rPr>
      </w:pPr>
    </w:p>
    <w:p w:rsidR="00652C02" w:rsidRPr="00712A51" w:rsidRDefault="00652C02" w:rsidP="00743052">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712A51">
        <w:rPr>
          <w:rFonts w:ascii="Palatino Linotype" w:hAnsi="Palatino Linotype"/>
          <w:lang w:val="es-ES"/>
        </w:rPr>
        <w:t>El derecho de acceso a la información encuentra su materia elemental en los documentos, y la Ley de Transparencia local  nos brinda el siguiente concepto, para darnos un mejor panorama:</w:t>
      </w:r>
    </w:p>
    <w:p w:rsidR="00652C02" w:rsidRPr="00712A51" w:rsidRDefault="00652C02" w:rsidP="00743052">
      <w:pPr>
        <w:autoSpaceDE w:val="0"/>
        <w:autoSpaceDN w:val="0"/>
        <w:adjustRightInd w:val="0"/>
        <w:spacing w:line="360" w:lineRule="auto"/>
        <w:ind w:left="567" w:right="567"/>
        <w:jc w:val="both"/>
        <w:rPr>
          <w:rFonts w:ascii="Palatino Linotype" w:hAnsi="Palatino Linotype"/>
          <w:i/>
          <w:lang w:val="es-ES"/>
        </w:rPr>
      </w:pPr>
      <w:r w:rsidRPr="00712A51">
        <w:rPr>
          <w:rFonts w:ascii="Palatino Linotype" w:eastAsiaTheme="minorHAnsi" w:hAnsi="Palatino Linotype" w:cs="Bookman Old Style,Bold"/>
          <w:b/>
          <w:bCs/>
          <w:i/>
          <w:lang w:eastAsia="en-US"/>
        </w:rPr>
        <w:t xml:space="preserve">XI. Documento: </w:t>
      </w:r>
      <w:r w:rsidRPr="00712A51">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712A51">
        <w:rPr>
          <w:rFonts w:ascii="Palatino Linotype" w:eastAsiaTheme="minorHAnsi" w:hAnsi="Palatino Linotype" w:cs="Bookman Old Style"/>
          <w:b/>
          <w:i/>
          <w:lang w:eastAsia="en-US"/>
        </w:rPr>
        <w:t>cualquier otro registro</w:t>
      </w:r>
      <w:r w:rsidRPr="00712A51">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652C02" w:rsidRPr="00712A51" w:rsidRDefault="00652C02" w:rsidP="00743052">
      <w:pPr>
        <w:pStyle w:val="Prrafodelista"/>
        <w:tabs>
          <w:tab w:val="left" w:pos="851"/>
        </w:tabs>
        <w:spacing w:line="360" w:lineRule="auto"/>
        <w:ind w:left="0" w:right="49"/>
        <w:jc w:val="both"/>
        <w:rPr>
          <w:rFonts w:ascii="Palatino Linotype" w:hAnsi="Palatino Linotype"/>
          <w:lang w:val="es-ES"/>
        </w:rPr>
      </w:pPr>
    </w:p>
    <w:p w:rsidR="00652C02" w:rsidRPr="00712A51" w:rsidRDefault="00652C02" w:rsidP="00743052">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712A51">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652C02" w:rsidRPr="00712A51" w:rsidRDefault="00652C02" w:rsidP="00743052">
      <w:pPr>
        <w:pStyle w:val="Prrafodelista"/>
        <w:spacing w:line="360" w:lineRule="auto"/>
        <w:ind w:left="0"/>
        <w:jc w:val="both"/>
        <w:rPr>
          <w:rFonts w:ascii="Palatino Linotype" w:eastAsia="MS Mincho" w:hAnsi="Palatino Linotype"/>
        </w:rPr>
      </w:pPr>
    </w:p>
    <w:p w:rsidR="007111AE" w:rsidRPr="00712A51" w:rsidRDefault="007111AE" w:rsidP="00743052">
      <w:pPr>
        <w:pStyle w:val="Prrafodelista"/>
        <w:numPr>
          <w:ilvl w:val="0"/>
          <w:numId w:val="5"/>
        </w:numPr>
        <w:spacing w:line="360" w:lineRule="auto"/>
        <w:jc w:val="both"/>
        <w:rPr>
          <w:rFonts w:ascii="Palatino Linotype" w:eastAsia="MS Mincho" w:hAnsi="Palatino Linotype"/>
          <w:b/>
        </w:rPr>
      </w:pPr>
      <w:r w:rsidRPr="00712A51">
        <w:rPr>
          <w:rFonts w:ascii="Palatino Linotype" w:eastAsia="MS Mincho" w:hAnsi="Palatino Linotype"/>
          <w:b/>
        </w:rPr>
        <w:lastRenderedPageBreak/>
        <w:t>De los recibos de nómina.</w:t>
      </w:r>
    </w:p>
    <w:p w:rsidR="007111AE" w:rsidRPr="00712A51" w:rsidRDefault="007111AE" w:rsidP="00743052">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Ahora bien, </w:t>
      </w:r>
      <w:r w:rsidRPr="00712A51">
        <w:rPr>
          <w:rFonts w:ascii="Palatino Linotype" w:eastAsia="Palatino Linotype" w:hAnsi="Palatino Linotype" w:cs="Palatino Linotype"/>
          <w:color w:val="000000"/>
        </w:rPr>
        <w:t>es necesario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7111AE" w:rsidRPr="00712A51" w:rsidRDefault="007111AE" w:rsidP="00743052">
      <w:pPr>
        <w:spacing w:before="240"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b/>
          <w:i/>
        </w:rPr>
        <w:t xml:space="preserve">“NÓMINA </w:t>
      </w:r>
      <w:r w:rsidRPr="00712A51">
        <w:rPr>
          <w:rFonts w:ascii="Palatino Linotype" w:eastAsia="Palatino Linotype" w:hAnsi="Palatino Linotype" w:cs="Palatino Linotype"/>
          <w:i/>
        </w:rPr>
        <w:t>Listado general de los trabajadores de una institución, en</w:t>
      </w:r>
      <w:r w:rsidRPr="00712A51">
        <w:rPr>
          <w:rFonts w:ascii="Palatino Linotype" w:eastAsia="Palatino Linotype" w:hAnsi="Palatino Linotype" w:cs="Palatino Linotype"/>
          <w:b/>
          <w:i/>
        </w:rPr>
        <w:t xml:space="preserve"> </w:t>
      </w:r>
      <w:r w:rsidRPr="00712A51">
        <w:rPr>
          <w:rFonts w:ascii="Palatino Linotype" w:eastAsia="Palatino Linotype" w:hAnsi="Palatino Linotype" w:cs="Palatino Linotype"/>
          <w:i/>
        </w:rPr>
        <w:t>el cual se asientan las percepciones brutas, deducciones y</w:t>
      </w:r>
      <w:r w:rsidRPr="00712A51">
        <w:rPr>
          <w:rFonts w:ascii="Palatino Linotype" w:eastAsia="Palatino Linotype" w:hAnsi="Palatino Linotype" w:cs="Palatino Linotype"/>
          <w:b/>
          <w:i/>
        </w:rPr>
        <w:t xml:space="preserve"> </w:t>
      </w:r>
      <w:r w:rsidRPr="00712A51">
        <w:rPr>
          <w:rFonts w:ascii="Palatino Linotype" w:eastAsia="Palatino Linotype" w:hAnsi="Palatino Linotype" w:cs="Palatino Linotype"/>
          <w:i/>
        </w:rPr>
        <w:t>alcance neto de las mismas; la nómina es utilizada para</w:t>
      </w:r>
      <w:r w:rsidRPr="00712A51">
        <w:rPr>
          <w:rFonts w:ascii="Palatino Linotype" w:eastAsia="Palatino Linotype" w:hAnsi="Palatino Linotype" w:cs="Palatino Linotype"/>
          <w:b/>
          <w:i/>
        </w:rPr>
        <w:t xml:space="preserve"> </w:t>
      </w:r>
      <w:r w:rsidRPr="00712A51">
        <w:rPr>
          <w:rFonts w:ascii="Palatino Linotype" w:eastAsia="Palatino Linotype" w:hAnsi="Palatino Linotype" w:cs="Palatino Linotype"/>
          <w:i/>
        </w:rPr>
        <w:t>efectuar los pagos periódicos (semanales, quincenales o</w:t>
      </w:r>
      <w:r w:rsidRPr="00712A51">
        <w:rPr>
          <w:rFonts w:ascii="Palatino Linotype" w:eastAsia="Palatino Linotype" w:hAnsi="Palatino Linotype" w:cs="Palatino Linotype"/>
          <w:b/>
          <w:i/>
        </w:rPr>
        <w:t xml:space="preserve"> </w:t>
      </w:r>
      <w:r w:rsidRPr="00712A51">
        <w:rPr>
          <w:rFonts w:ascii="Palatino Linotype" w:eastAsia="Palatino Linotype" w:hAnsi="Palatino Linotype" w:cs="Palatino Linotype"/>
          <w:i/>
        </w:rPr>
        <w:t>mensuales) a los trabajadores por concepto de sueldos y</w:t>
      </w:r>
      <w:r w:rsidRPr="00712A51">
        <w:rPr>
          <w:rFonts w:ascii="Palatino Linotype" w:eastAsia="Palatino Linotype" w:hAnsi="Palatino Linotype" w:cs="Palatino Linotype"/>
          <w:b/>
          <w:i/>
        </w:rPr>
        <w:t xml:space="preserve"> </w:t>
      </w:r>
      <w:r w:rsidRPr="00712A51">
        <w:rPr>
          <w:rFonts w:ascii="Palatino Linotype" w:eastAsia="Palatino Linotype" w:hAnsi="Palatino Linotype" w:cs="Palatino Linotype"/>
          <w:i/>
        </w:rPr>
        <w:t>salarios.”(Sic)</w:t>
      </w:r>
    </w:p>
    <w:p w:rsidR="007111AE" w:rsidRPr="00712A51" w:rsidRDefault="007111AE" w:rsidP="00743052">
      <w:pPr>
        <w:spacing w:line="360" w:lineRule="auto"/>
        <w:ind w:right="-876"/>
        <w:jc w:val="both"/>
        <w:rPr>
          <w:rFonts w:ascii="Palatino Linotype" w:eastAsia="Palatino Linotype" w:hAnsi="Palatino Linotype" w:cs="Palatino Linotype"/>
        </w:rPr>
      </w:pPr>
    </w:p>
    <w:p w:rsidR="007111AE" w:rsidRPr="00712A51" w:rsidRDefault="007111AE" w:rsidP="00743052">
      <w:pPr>
        <w:numPr>
          <w:ilvl w:val="0"/>
          <w:numId w:val="2"/>
        </w:numPr>
        <w:pBdr>
          <w:top w:val="nil"/>
          <w:left w:val="nil"/>
          <w:bottom w:val="nil"/>
          <w:right w:val="nil"/>
          <w:between w:val="nil"/>
        </w:pBdr>
        <w:spacing w:line="360" w:lineRule="auto"/>
        <w:ind w:left="0" w:right="-167" w:firstLine="0"/>
        <w:jc w:val="both"/>
        <w:rPr>
          <w:rFonts w:ascii="Palatino Linotype" w:eastAsia="Century Gothic" w:hAnsi="Palatino Linotype" w:cs="Century Gothic"/>
          <w:color w:val="000000"/>
        </w:rPr>
      </w:pPr>
      <w:r w:rsidRPr="00712A51">
        <w:rPr>
          <w:rFonts w:ascii="Palatino Linotype" w:eastAsia="Palatino Linotype" w:hAnsi="Palatino Linotype" w:cs="Palatino Linotype"/>
          <w:color w:val="000000"/>
        </w:rPr>
        <w:t xml:space="preserve">En base a lo anterior, conviene a traer lo establecido por el artículo 804, fracción II, de la Ley Federal de Trabajo, el cual a la letra establece: </w:t>
      </w:r>
    </w:p>
    <w:p w:rsidR="007111AE" w:rsidRPr="00712A51" w:rsidRDefault="007111AE" w:rsidP="00743052">
      <w:pPr>
        <w:pBdr>
          <w:top w:val="nil"/>
          <w:left w:val="nil"/>
          <w:bottom w:val="nil"/>
          <w:right w:val="nil"/>
          <w:between w:val="nil"/>
        </w:pBdr>
        <w:spacing w:line="360" w:lineRule="auto"/>
        <w:ind w:right="-167"/>
        <w:jc w:val="both"/>
        <w:rPr>
          <w:rFonts w:ascii="Palatino Linotype" w:eastAsia="Century Gothic" w:hAnsi="Palatino Linotype" w:cs="Century Gothic"/>
          <w:color w:val="000000"/>
        </w:rPr>
      </w:pP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i/>
        </w:rPr>
        <w:t>“</w:t>
      </w:r>
      <w:r w:rsidRPr="00712A51">
        <w:rPr>
          <w:rFonts w:ascii="Palatino Linotype" w:eastAsia="Palatino Linotype" w:hAnsi="Palatino Linotype" w:cs="Palatino Linotype"/>
          <w:b/>
          <w:i/>
        </w:rPr>
        <w:t>Artículo 804.-</w:t>
      </w:r>
      <w:r w:rsidRPr="00712A51">
        <w:rPr>
          <w:rFonts w:ascii="Palatino Linotype" w:eastAsia="Palatino Linotype" w:hAnsi="Palatino Linotype" w:cs="Palatino Linotype"/>
          <w:i/>
        </w:rPr>
        <w:t xml:space="preserve"> </w:t>
      </w:r>
      <w:r w:rsidRPr="00712A51">
        <w:rPr>
          <w:rFonts w:ascii="Palatino Linotype" w:eastAsia="Palatino Linotype" w:hAnsi="Palatino Linotype" w:cs="Palatino Linotype"/>
          <w:b/>
          <w:i/>
        </w:rPr>
        <w:t>El patrón tiene obligación de conservar y exhibir en juicio los documentos que a continuación se precisan</w:t>
      </w:r>
      <w:r w:rsidRPr="00712A51">
        <w:rPr>
          <w:rFonts w:ascii="Palatino Linotype" w:eastAsia="Palatino Linotype" w:hAnsi="Palatino Linotype" w:cs="Palatino Linotype"/>
          <w:i/>
        </w:rPr>
        <w:t>:</w:t>
      </w:r>
    </w:p>
    <w:p w:rsidR="007111AE" w:rsidRPr="00712A51" w:rsidRDefault="007111AE" w:rsidP="00743052">
      <w:pPr>
        <w:spacing w:line="276" w:lineRule="auto"/>
        <w:ind w:left="851" w:right="822"/>
        <w:jc w:val="both"/>
        <w:rPr>
          <w:rFonts w:ascii="Palatino Linotype" w:eastAsia="Palatino Linotype" w:hAnsi="Palatino Linotype" w:cs="Palatino Linotype"/>
          <w:i/>
        </w:rPr>
      </w:pP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b/>
          <w:i/>
        </w:rPr>
        <w:t>II.</w:t>
      </w:r>
      <w:r w:rsidRPr="00712A51">
        <w:rPr>
          <w:rFonts w:ascii="Palatino Linotype" w:eastAsia="Palatino Linotype" w:hAnsi="Palatino Linotype" w:cs="Palatino Linotype"/>
          <w:i/>
        </w:rPr>
        <w:t xml:space="preserve"> Listas de raya</w:t>
      </w:r>
      <w:r w:rsidRPr="00712A51">
        <w:rPr>
          <w:rFonts w:ascii="Palatino Linotype" w:eastAsia="Palatino Linotype" w:hAnsi="Palatino Linotype" w:cs="Palatino Linotype"/>
          <w:b/>
          <w:i/>
        </w:rPr>
        <w:t xml:space="preserve"> o nómina de personal</w:t>
      </w:r>
      <w:r w:rsidRPr="00712A51">
        <w:rPr>
          <w:rFonts w:ascii="Palatino Linotype" w:eastAsia="Palatino Linotype" w:hAnsi="Palatino Linotype" w:cs="Palatino Linotype"/>
          <w:i/>
        </w:rPr>
        <w:t xml:space="preserve">, cuando se lleven en el centro de trabajo; o recibos de pagos de salarios; </w:t>
      </w: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i/>
        </w:rPr>
        <w:t>(…)</w:t>
      </w: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712A51">
        <w:rPr>
          <w:rFonts w:ascii="Palatino Linotype" w:eastAsia="Palatino Linotype" w:hAnsi="Palatino Linotype" w:cs="Palatino Linotype"/>
          <w:b/>
          <w:i/>
        </w:rPr>
        <w:t xml:space="preserve">los señalados en las fracciones II, III y </w:t>
      </w:r>
      <w:r w:rsidRPr="00712A51">
        <w:rPr>
          <w:rFonts w:ascii="Palatino Linotype" w:eastAsia="Palatino Linotype" w:hAnsi="Palatino Linotype" w:cs="Palatino Linotype"/>
          <w:b/>
          <w:i/>
        </w:rPr>
        <w:lastRenderedPageBreak/>
        <w:t>IV, durante el último año y un año después de que se extinga la relación laboral</w:t>
      </w:r>
      <w:r w:rsidRPr="00712A51">
        <w:rPr>
          <w:rFonts w:ascii="Palatino Linotype" w:eastAsia="Palatino Linotype" w:hAnsi="Palatino Linotype" w:cs="Palatino Linotype"/>
          <w:i/>
        </w:rPr>
        <w:t>; y los mencionados en la fracción V, conforme lo señalen las Leyes que los rijan.” (Sic)</w:t>
      </w:r>
    </w:p>
    <w:p w:rsidR="007111AE" w:rsidRPr="00712A51" w:rsidRDefault="007111AE" w:rsidP="00743052">
      <w:pPr>
        <w:pBdr>
          <w:top w:val="nil"/>
          <w:left w:val="nil"/>
          <w:bottom w:val="nil"/>
          <w:right w:val="nil"/>
          <w:between w:val="nil"/>
        </w:pBdr>
        <w:spacing w:line="360" w:lineRule="auto"/>
        <w:ind w:left="1778" w:right="-28"/>
        <w:jc w:val="both"/>
        <w:rPr>
          <w:rFonts w:ascii="Palatino Linotype" w:hAnsi="Palatino Linotype"/>
          <w:color w:val="000000"/>
        </w:rPr>
      </w:pPr>
    </w:p>
    <w:p w:rsidR="007111AE" w:rsidRPr="00712A51" w:rsidRDefault="007111AE" w:rsidP="00743052">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rPr>
      </w:pPr>
      <w:r w:rsidRPr="00712A51">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7111AE" w:rsidRPr="00712A51" w:rsidRDefault="007111AE" w:rsidP="00743052">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7111AE" w:rsidRPr="00712A51" w:rsidRDefault="007111AE" w:rsidP="00743052">
      <w:pPr>
        <w:numPr>
          <w:ilvl w:val="0"/>
          <w:numId w:val="2"/>
        </w:numPr>
        <w:pBdr>
          <w:top w:val="nil"/>
          <w:left w:val="nil"/>
          <w:bottom w:val="nil"/>
          <w:right w:val="nil"/>
          <w:between w:val="nil"/>
        </w:pBdr>
        <w:spacing w:after="240" w:line="360" w:lineRule="auto"/>
        <w:ind w:left="0" w:right="-28" w:firstLine="0"/>
        <w:jc w:val="both"/>
        <w:rPr>
          <w:rFonts w:ascii="Palatino Linotype" w:hAnsi="Palatino Linotype"/>
          <w:color w:val="000000"/>
        </w:rPr>
      </w:pPr>
      <w:r w:rsidRPr="00712A51">
        <w:rPr>
          <w:rFonts w:ascii="Palatino Linotype" w:eastAsia="Palatino Linotype" w:hAnsi="Palatino Linotype" w:cs="Palatino Linotype"/>
          <w:color w:val="000000"/>
        </w:rPr>
        <w:t>En ese contexto, tratándose de servidores públicos de los Municipios la Ley del Trabajo de los Servidores Públicos del Estado y Municipios, en su artículo 220-K, establece lo siguiente:</w:t>
      </w:r>
    </w:p>
    <w:p w:rsidR="007111AE" w:rsidRPr="00712A51" w:rsidRDefault="007111AE" w:rsidP="00743052">
      <w:pPr>
        <w:spacing w:before="240"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b/>
          <w:i/>
        </w:rPr>
        <w:t>“ARTÍCULO 220 K.-</w:t>
      </w:r>
      <w:r w:rsidRPr="00712A51">
        <w:rPr>
          <w:rFonts w:ascii="Palatino Linotype" w:eastAsia="Palatino Linotype" w:hAnsi="Palatino Linotype" w:cs="Palatino Linotype"/>
          <w:i/>
        </w:rPr>
        <w:t xml:space="preserve"> La </w:t>
      </w:r>
      <w:r w:rsidRPr="00712A51">
        <w:rPr>
          <w:rFonts w:ascii="Palatino Linotype" w:eastAsia="Palatino Linotype" w:hAnsi="Palatino Linotype" w:cs="Palatino Linotype"/>
          <w:b/>
          <w:i/>
        </w:rPr>
        <w:t>institución o dependencia pública tiene la obligación de conservar y exhibir en el proceso los documentos que a continuación</w:t>
      </w:r>
      <w:r w:rsidRPr="00712A51">
        <w:rPr>
          <w:rFonts w:ascii="Palatino Linotype" w:eastAsia="Palatino Linotype" w:hAnsi="Palatino Linotype" w:cs="Palatino Linotype"/>
          <w:i/>
        </w:rPr>
        <w:t xml:space="preserve"> </w:t>
      </w:r>
      <w:r w:rsidRPr="00712A51">
        <w:rPr>
          <w:rFonts w:ascii="Palatino Linotype" w:eastAsia="Palatino Linotype" w:hAnsi="Palatino Linotype" w:cs="Palatino Linotype"/>
          <w:b/>
          <w:i/>
        </w:rPr>
        <w:t>se precisan</w:t>
      </w:r>
      <w:r w:rsidRPr="00712A51">
        <w:rPr>
          <w:rFonts w:ascii="Palatino Linotype" w:eastAsia="Palatino Linotype" w:hAnsi="Palatino Linotype" w:cs="Palatino Linotype"/>
          <w:i/>
        </w:rPr>
        <w:t>:</w:t>
      </w: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i/>
        </w:rPr>
        <w:t>…</w:t>
      </w:r>
    </w:p>
    <w:p w:rsidR="007111AE" w:rsidRPr="00712A51" w:rsidRDefault="007111AE" w:rsidP="00743052">
      <w:pPr>
        <w:spacing w:line="276" w:lineRule="auto"/>
        <w:ind w:left="851" w:right="822"/>
        <w:jc w:val="both"/>
        <w:rPr>
          <w:rFonts w:ascii="Palatino Linotype" w:eastAsia="Palatino Linotype" w:hAnsi="Palatino Linotype" w:cs="Palatino Linotype"/>
          <w:b/>
          <w:i/>
        </w:rPr>
      </w:pPr>
      <w:r w:rsidRPr="00712A51">
        <w:rPr>
          <w:rFonts w:ascii="Palatino Linotype" w:eastAsia="Palatino Linotype" w:hAnsi="Palatino Linotype" w:cs="Palatino Linotype"/>
          <w:i/>
        </w:rPr>
        <w:t>II</w:t>
      </w:r>
      <w:r w:rsidRPr="00712A51">
        <w:rPr>
          <w:rFonts w:ascii="Palatino Linotype" w:eastAsia="Palatino Linotype" w:hAnsi="Palatino Linotype" w:cs="Palatino Linotype"/>
          <w:i/>
          <w:u w:val="single"/>
        </w:rPr>
        <w:t xml:space="preserve">. </w:t>
      </w:r>
      <w:r w:rsidRPr="00712A51">
        <w:rPr>
          <w:rFonts w:ascii="Palatino Linotype" w:eastAsia="Palatino Linotype" w:hAnsi="Palatino Linotype" w:cs="Palatino Linotype"/>
          <w:b/>
          <w:i/>
          <w:u w:val="single"/>
        </w:rPr>
        <w:t>Recibos de pagos de salarios o</w:t>
      </w:r>
      <w:r w:rsidRPr="00712A51">
        <w:rPr>
          <w:rFonts w:ascii="Palatino Linotype" w:eastAsia="Palatino Linotype" w:hAnsi="Palatino Linotype" w:cs="Palatino Linotype"/>
          <w:i/>
          <w:u w:val="single"/>
        </w:rPr>
        <w:t xml:space="preserve"> </w:t>
      </w:r>
      <w:r w:rsidRPr="00712A51">
        <w:rPr>
          <w:rFonts w:ascii="Palatino Linotype" w:eastAsia="Palatino Linotype" w:hAnsi="Palatino Linotype" w:cs="Palatino Linotype"/>
          <w:b/>
          <w:i/>
          <w:u w:val="single"/>
        </w:rPr>
        <w:t>las constancias documentales del pago de salario</w:t>
      </w:r>
      <w:r w:rsidRPr="00712A51">
        <w:rPr>
          <w:rFonts w:ascii="Palatino Linotype" w:eastAsia="Palatino Linotype" w:hAnsi="Palatino Linotype" w:cs="Palatino Linotype"/>
          <w:i/>
          <w:u w:val="single"/>
        </w:rPr>
        <w:t xml:space="preserve"> </w:t>
      </w:r>
      <w:r w:rsidRPr="00712A51">
        <w:rPr>
          <w:rFonts w:ascii="Palatino Linotype" w:eastAsia="Palatino Linotype" w:hAnsi="Palatino Linotype" w:cs="Palatino Linotype"/>
          <w:b/>
          <w:i/>
          <w:u w:val="single"/>
        </w:rPr>
        <w:t>cuando sea por depósito o mediante información electrónica;</w:t>
      </w: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i/>
        </w:rPr>
        <w:t>…</w:t>
      </w: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7111AE" w:rsidRPr="00712A51" w:rsidRDefault="007111AE" w:rsidP="00743052">
      <w:pPr>
        <w:spacing w:line="276" w:lineRule="auto"/>
        <w:ind w:left="851" w:right="822"/>
        <w:jc w:val="both"/>
        <w:rPr>
          <w:rFonts w:ascii="Palatino Linotype" w:eastAsia="Palatino Linotype" w:hAnsi="Palatino Linotype" w:cs="Palatino Linotype"/>
          <w:i/>
        </w:rPr>
      </w:pPr>
      <w:r w:rsidRPr="00712A51">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7111AE" w:rsidRPr="00712A51" w:rsidRDefault="007111AE" w:rsidP="00743052">
      <w:pPr>
        <w:tabs>
          <w:tab w:val="left" w:pos="9072"/>
        </w:tabs>
        <w:ind w:right="-876"/>
        <w:jc w:val="both"/>
        <w:rPr>
          <w:rFonts w:ascii="Palatino Linotype" w:eastAsia="Palatino Linotype" w:hAnsi="Palatino Linotype" w:cs="Palatino Linotype"/>
          <w:i/>
        </w:rPr>
      </w:pPr>
    </w:p>
    <w:p w:rsidR="007111AE" w:rsidRPr="00712A51" w:rsidRDefault="007111AE" w:rsidP="00743052">
      <w:pPr>
        <w:numPr>
          <w:ilvl w:val="0"/>
          <w:numId w:val="2"/>
        </w:numPr>
        <w:pBdr>
          <w:top w:val="nil"/>
          <w:left w:val="nil"/>
          <w:bottom w:val="nil"/>
          <w:right w:val="nil"/>
          <w:between w:val="nil"/>
        </w:pBdr>
        <w:spacing w:line="360" w:lineRule="auto"/>
        <w:ind w:left="0" w:right="113" w:firstLine="0"/>
        <w:jc w:val="both"/>
        <w:rPr>
          <w:rFonts w:ascii="Palatino Linotype" w:hAnsi="Palatino Linotype"/>
          <w:color w:val="000000"/>
        </w:rPr>
      </w:pPr>
      <w:r w:rsidRPr="00712A51">
        <w:rPr>
          <w:rFonts w:ascii="Palatino Linotype" w:eastAsia="Palatino Linotype" w:hAnsi="Palatino Linotype" w:cs="Palatino Linotype"/>
          <w:color w:val="000000"/>
        </w:rPr>
        <w:lastRenderedPageBreak/>
        <w:t xml:space="preserve">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 </w:t>
      </w:r>
    </w:p>
    <w:p w:rsidR="00712A51" w:rsidRPr="00712A51" w:rsidRDefault="00712A51" w:rsidP="00712A51">
      <w:pPr>
        <w:pBdr>
          <w:top w:val="nil"/>
          <w:left w:val="nil"/>
          <w:bottom w:val="nil"/>
          <w:right w:val="nil"/>
          <w:between w:val="nil"/>
        </w:pBdr>
        <w:spacing w:line="360" w:lineRule="auto"/>
        <w:ind w:right="113"/>
        <w:jc w:val="both"/>
        <w:rPr>
          <w:rFonts w:ascii="Palatino Linotype" w:hAnsi="Palatino Linotype"/>
          <w:color w:val="000000"/>
        </w:rPr>
      </w:pPr>
    </w:p>
    <w:p w:rsidR="007111AE" w:rsidRPr="00712A51" w:rsidRDefault="007111AE" w:rsidP="00743052">
      <w:pPr>
        <w:numPr>
          <w:ilvl w:val="0"/>
          <w:numId w:val="2"/>
        </w:numPr>
        <w:tabs>
          <w:tab w:val="left" w:pos="0"/>
        </w:tabs>
        <w:spacing w:before="240" w:after="240" w:line="360" w:lineRule="auto"/>
        <w:ind w:left="0" w:right="49" w:firstLine="0"/>
        <w:contextualSpacing/>
        <w:jc w:val="both"/>
        <w:rPr>
          <w:rFonts w:ascii="Palatino Linotype" w:eastAsia="MS Mincho" w:hAnsi="Palatino Linotype" w:cs="Arial"/>
          <w:bCs/>
          <w:iCs/>
        </w:rPr>
      </w:pPr>
      <w:r w:rsidRPr="00712A51">
        <w:rPr>
          <w:rFonts w:ascii="Palatino Linotype" w:eastAsia="Palatino Linotype" w:hAnsi="Palatino Linotype" w:cs="Palatino Linotype"/>
        </w:rPr>
        <w:t xml:space="preserve">Consecuentemente es necesario señalar que, para justificar la publicidad sobre los datos relativos a los montos por concepto de pago de las remuneraciones, los criterios </w:t>
      </w:r>
      <w:r w:rsidRPr="00712A51">
        <w:rPr>
          <w:rFonts w:ascii="Palatino Linotype" w:eastAsia="Palatino Linotype" w:hAnsi="Palatino Linotype" w:cs="Palatino Linotype"/>
          <w:b/>
        </w:rPr>
        <w:t>01/2003</w:t>
      </w:r>
      <w:r w:rsidRPr="00712A51">
        <w:rPr>
          <w:rFonts w:ascii="Palatino Linotype" w:eastAsia="Palatino Linotype" w:hAnsi="Palatino Linotype" w:cs="Palatino Linotype"/>
        </w:rPr>
        <w:t xml:space="preserve"> y </w:t>
      </w:r>
      <w:r w:rsidRPr="00712A51">
        <w:rPr>
          <w:rFonts w:ascii="Palatino Linotype" w:eastAsia="Palatino Linotype" w:hAnsi="Palatino Linotype" w:cs="Palatino Linotype"/>
          <w:b/>
        </w:rPr>
        <w:t>02/2003</w:t>
      </w:r>
      <w:r w:rsidRPr="00712A51">
        <w:rPr>
          <w:rFonts w:ascii="Palatino Linotype" w:eastAsia="Palatino Linotype" w:hAnsi="Palatino Linotype" w:cs="Palatino Linotype"/>
        </w:rPr>
        <w:t xml:space="preserve"> emitidos por el Comité de Acceso a la Información Pública y Protección de Datos Personales de la Suprema Corte de Justicia de la Nación que a continuación se citan: </w:t>
      </w:r>
    </w:p>
    <w:p w:rsidR="007111AE" w:rsidRPr="00712A51" w:rsidRDefault="007111AE" w:rsidP="00743052">
      <w:pPr>
        <w:tabs>
          <w:tab w:val="left" w:pos="0"/>
          <w:tab w:val="left" w:pos="426"/>
        </w:tabs>
        <w:spacing w:before="240" w:after="240" w:line="360" w:lineRule="auto"/>
        <w:ind w:right="49"/>
        <w:contextualSpacing/>
        <w:jc w:val="both"/>
        <w:rPr>
          <w:rFonts w:ascii="Palatino Linotype" w:eastAsia="MS Mincho" w:hAnsi="Palatino Linotype" w:cs="Arial"/>
          <w:bCs/>
          <w:iCs/>
        </w:rPr>
      </w:pPr>
    </w:p>
    <w:p w:rsidR="007111AE" w:rsidRPr="00712A51" w:rsidRDefault="007111AE" w:rsidP="00743052">
      <w:pPr>
        <w:spacing w:line="276" w:lineRule="auto"/>
        <w:ind w:left="851" w:right="851"/>
        <w:jc w:val="both"/>
        <w:rPr>
          <w:rFonts w:ascii="Palatino Linotype" w:eastAsia="Palatino Linotype" w:hAnsi="Palatino Linotype" w:cs="Palatino Linotype"/>
          <w:b/>
          <w:i/>
        </w:rPr>
      </w:pPr>
      <w:r w:rsidRPr="00712A51">
        <w:rPr>
          <w:rFonts w:ascii="Palatino Linotype" w:eastAsia="Palatino Linotype" w:hAnsi="Palatino Linotype" w:cs="Palatino Linotype"/>
          <w:b/>
          <w:i/>
        </w:rPr>
        <w:t>“Criterio 01/2003.</w:t>
      </w:r>
    </w:p>
    <w:p w:rsidR="007111AE" w:rsidRPr="00712A51" w:rsidRDefault="007111AE" w:rsidP="00743052">
      <w:pPr>
        <w:spacing w:line="276" w:lineRule="auto"/>
        <w:ind w:left="851" w:right="851"/>
        <w:jc w:val="both"/>
        <w:rPr>
          <w:rFonts w:ascii="Palatino Linotype" w:eastAsia="Palatino Linotype" w:hAnsi="Palatino Linotype" w:cs="Palatino Linotype"/>
          <w:i/>
        </w:rPr>
      </w:pPr>
      <w:r w:rsidRPr="00712A51">
        <w:rPr>
          <w:rFonts w:ascii="Palatino Linotype" w:eastAsia="Palatino Linotype" w:hAnsi="Palatino Linotype" w:cs="Palatino Linotype"/>
          <w:b/>
          <w:i/>
        </w:rPr>
        <w:t>INGRESOS DE LOS SERVIDORES PÚBLICOS. CONSTITUYEN INFORMACIÓN PÚBLICA AÚN Y CUANDO SU DIFUSIÓN PUEDE AFECTAR LA VIDA O LA SEGURIDAD DE AQUELLOS.</w:t>
      </w:r>
      <w:r w:rsidRPr="00712A51">
        <w:rPr>
          <w:rFonts w:ascii="Palatino Linotype" w:eastAsia="Palatino Linotype" w:hAnsi="Palatino Linotype" w:cs="Palatino Linotype"/>
          <w:i/>
        </w:rPr>
        <w:t xml:space="preserve"> </w:t>
      </w:r>
    </w:p>
    <w:p w:rsidR="007111AE" w:rsidRPr="00712A51" w:rsidRDefault="007111AE" w:rsidP="00743052">
      <w:pPr>
        <w:spacing w:line="276" w:lineRule="auto"/>
        <w:ind w:left="851" w:right="851"/>
        <w:jc w:val="both"/>
        <w:rPr>
          <w:rFonts w:ascii="Palatino Linotype" w:eastAsia="Palatino Linotype" w:hAnsi="Palatino Linotype" w:cs="Palatino Linotype"/>
          <w:i/>
          <w:u w:val="single"/>
        </w:rPr>
      </w:pPr>
      <w:r w:rsidRPr="00712A51">
        <w:rPr>
          <w:rFonts w:ascii="Palatino Linotype" w:eastAsia="Palatino Linotype" w:hAnsi="Palatino Linotype" w:cs="Palatino Linotype"/>
          <w:i/>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712A51">
        <w:rPr>
          <w:rFonts w:ascii="Palatino Linotype" w:eastAsia="Palatino Linotype" w:hAnsi="Palatino Linotype" w:cs="Palatino Linotype"/>
          <w:b/>
          <w:i/>
          <w:u w:val="single"/>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w:t>
      </w:r>
      <w:r w:rsidRPr="00712A51">
        <w:rPr>
          <w:rFonts w:ascii="Palatino Linotype" w:eastAsia="Palatino Linotype" w:hAnsi="Palatino Linotype" w:cs="Palatino Linotype"/>
          <w:b/>
          <w:i/>
          <w:u w:val="single"/>
        </w:rPr>
        <w:lastRenderedPageBreak/>
        <w:t>encuentran su origen en mayor medida en las contribuciones aportados por los gobernados</w:t>
      </w:r>
      <w:r w:rsidRPr="00712A51">
        <w:rPr>
          <w:rFonts w:ascii="Palatino Linotype" w:eastAsia="Palatino Linotype" w:hAnsi="Palatino Linotype" w:cs="Palatino Linotype"/>
          <w:i/>
          <w:u w:val="single"/>
        </w:rPr>
        <w:t>…”</w:t>
      </w:r>
    </w:p>
    <w:p w:rsidR="007111AE" w:rsidRPr="00712A51" w:rsidRDefault="007111AE" w:rsidP="00743052">
      <w:pPr>
        <w:spacing w:line="276" w:lineRule="auto"/>
        <w:ind w:left="851" w:right="851"/>
        <w:jc w:val="both"/>
        <w:rPr>
          <w:rFonts w:ascii="Palatino Linotype" w:eastAsia="Palatino Linotype" w:hAnsi="Palatino Linotype" w:cs="Palatino Linotype"/>
          <w:i/>
        </w:rPr>
      </w:pPr>
    </w:p>
    <w:p w:rsidR="007111AE" w:rsidRPr="00712A51" w:rsidRDefault="007111AE" w:rsidP="00743052">
      <w:pPr>
        <w:spacing w:line="276" w:lineRule="auto"/>
        <w:ind w:left="851" w:right="851"/>
        <w:jc w:val="both"/>
        <w:rPr>
          <w:rFonts w:ascii="Palatino Linotype" w:eastAsia="Palatino Linotype" w:hAnsi="Palatino Linotype" w:cs="Palatino Linotype"/>
          <w:b/>
          <w:i/>
        </w:rPr>
      </w:pPr>
      <w:r w:rsidRPr="00712A51">
        <w:rPr>
          <w:rFonts w:ascii="Palatino Linotype" w:eastAsia="Palatino Linotype" w:hAnsi="Palatino Linotype" w:cs="Palatino Linotype"/>
          <w:b/>
          <w:i/>
        </w:rPr>
        <w:t>“Criterio 02/2003.</w:t>
      </w:r>
    </w:p>
    <w:p w:rsidR="007111AE" w:rsidRPr="00712A51" w:rsidRDefault="007111AE" w:rsidP="00743052">
      <w:pPr>
        <w:spacing w:line="276" w:lineRule="auto"/>
        <w:ind w:left="851" w:right="851"/>
        <w:jc w:val="both"/>
        <w:rPr>
          <w:rFonts w:ascii="Palatino Linotype" w:eastAsia="Palatino Linotype" w:hAnsi="Palatino Linotype" w:cs="Palatino Linotype"/>
          <w:i/>
        </w:rPr>
      </w:pPr>
      <w:r w:rsidRPr="00712A51">
        <w:rPr>
          <w:rFonts w:ascii="Palatino Linotype" w:eastAsia="Palatino Linotype" w:hAnsi="Palatino Linotype" w:cs="Palatino Linotype"/>
          <w:b/>
          <w:i/>
        </w:rPr>
        <w:t>INGRESOS DE LOS SERVIDORES PÚBLICOS, SON INFORMACIÓN PÚBLICA AÚN Y CUANDO CONSTITUYEN DATOS PERSONALES QUE SE REFIEREN AL PATRIMONIO DE AQUÉLLOS.</w:t>
      </w:r>
      <w:r w:rsidRPr="00712A51">
        <w:rPr>
          <w:rFonts w:ascii="Palatino Linotype" w:eastAsia="Palatino Linotype" w:hAnsi="Palatino Linotype" w:cs="Palatino Linotype"/>
          <w:i/>
        </w:rPr>
        <w:t xml:space="preserve"> </w:t>
      </w:r>
    </w:p>
    <w:p w:rsidR="007111AE" w:rsidRPr="00712A51" w:rsidRDefault="007111AE" w:rsidP="00743052">
      <w:pPr>
        <w:spacing w:line="276" w:lineRule="auto"/>
        <w:ind w:left="851" w:right="851"/>
        <w:jc w:val="both"/>
        <w:rPr>
          <w:rFonts w:ascii="Palatino Linotype" w:eastAsia="Palatino Linotype" w:hAnsi="Palatino Linotype" w:cs="Palatino Linotype"/>
          <w:b/>
          <w:i/>
        </w:rPr>
      </w:pPr>
      <w:r w:rsidRPr="00712A51">
        <w:rPr>
          <w:rFonts w:ascii="Palatino Linotype" w:eastAsia="Palatino Linotype" w:hAnsi="Palatino Linotype" w:cs="Palatino Linotype"/>
          <w:i/>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712A51">
        <w:rPr>
          <w:rFonts w:ascii="Palatino Linotype" w:eastAsia="Palatino Linotype" w:hAnsi="Palatino Linotype" w:cs="Palatino Linotype"/>
          <w:b/>
          <w:i/>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712A51">
        <w:rPr>
          <w:rFonts w:ascii="Palatino Linotype" w:eastAsia="Palatino Linotype" w:hAnsi="Palatino Linotype" w:cs="Palatino Linotype"/>
          <w:i/>
        </w:rPr>
        <w:t xml:space="preserve"> el sistema de compensación…” </w:t>
      </w:r>
      <w:r w:rsidRPr="00712A51">
        <w:rPr>
          <w:rFonts w:ascii="Palatino Linotype" w:eastAsia="Palatino Linotype" w:hAnsi="Palatino Linotype" w:cs="Palatino Linotype"/>
          <w:b/>
          <w:i/>
        </w:rPr>
        <w:t>[Sic]</w:t>
      </w:r>
    </w:p>
    <w:p w:rsidR="007111AE" w:rsidRPr="00712A51" w:rsidRDefault="007111AE" w:rsidP="00743052">
      <w:pPr>
        <w:spacing w:line="360" w:lineRule="auto"/>
        <w:jc w:val="both"/>
        <w:rPr>
          <w:rFonts w:ascii="Palatino Linotype" w:hAnsi="Palatino Linotype"/>
        </w:rPr>
      </w:pPr>
    </w:p>
    <w:p w:rsidR="007111AE" w:rsidRPr="00712A51" w:rsidRDefault="007111AE" w:rsidP="00743052">
      <w:pPr>
        <w:pStyle w:val="Prrafodelista"/>
        <w:numPr>
          <w:ilvl w:val="0"/>
          <w:numId w:val="2"/>
        </w:numPr>
        <w:spacing w:line="360" w:lineRule="auto"/>
        <w:ind w:left="0" w:right="49" w:firstLine="0"/>
        <w:contextualSpacing w:val="0"/>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Robustece lo anterior, el artículo 92, fracción VIII de la Ley de Transparencia y Acceso a la Información Pública del Estado de México y Municipios, señala: </w:t>
      </w:r>
    </w:p>
    <w:p w:rsidR="007111AE" w:rsidRPr="00712A51" w:rsidRDefault="007111AE" w:rsidP="00743052">
      <w:pPr>
        <w:spacing w:line="360" w:lineRule="auto"/>
        <w:ind w:right="49"/>
        <w:jc w:val="both"/>
        <w:rPr>
          <w:rFonts w:ascii="Palatino Linotype" w:eastAsia="Palatino Linotype" w:hAnsi="Palatino Linotype" w:cs="Palatino Linotype"/>
        </w:rPr>
      </w:pPr>
    </w:p>
    <w:p w:rsidR="007111AE" w:rsidRPr="00712A51" w:rsidRDefault="007111AE" w:rsidP="00743052">
      <w:pPr>
        <w:spacing w:line="276" w:lineRule="auto"/>
        <w:ind w:left="851" w:right="900"/>
        <w:jc w:val="both"/>
        <w:rPr>
          <w:rFonts w:ascii="Palatino Linotype" w:eastAsia="Palatino Linotype" w:hAnsi="Palatino Linotype" w:cs="Palatino Linotype"/>
          <w:i/>
        </w:rPr>
      </w:pPr>
      <w:r w:rsidRPr="00712A51">
        <w:rPr>
          <w:rFonts w:ascii="Palatino Linotype" w:eastAsia="Palatino Linotype" w:hAnsi="Palatino Linotype" w:cs="Palatino Linotype"/>
          <w:i/>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7111AE" w:rsidRPr="00712A51" w:rsidRDefault="007111AE" w:rsidP="00743052">
      <w:pPr>
        <w:spacing w:line="276" w:lineRule="auto"/>
        <w:ind w:left="851" w:right="900"/>
        <w:jc w:val="both"/>
        <w:rPr>
          <w:rFonts w:ascii="Palatino Linotype" w:eastAsia="Palatino Linotype" w:hAnsi="Palatino Linotype" w:cs="Palatino Linotype"/>
          <w:i/>
        </w:rPr>
      </w:pPr>
      <w:r w:rsidRPr="00712A51">
        <w:rPr>
          <w:rFonts w:ascii="Palatino Linotype" w:eastAsia="Palatino Linotype" w:hAnsi="Palatino Linotype" w:cs="Palatino Linotype"/>
          <w:i/>
        </w:rPr>
        <w:t>(…)</w:t>
      </w:r>
    </w:p>
    <w:p w:rsidR="007111AE" w:rsidRPr="00712A51" w:rsidRDefault="007111AE" w:rsidP="00743052">
      <w:pPr>
        <w:spacing w:line="276" w:lineRule="auto"/>
        <w:ind w:left="851" w:right="900"/>
        <w:jc w:val="both"/>
        <w:rPr>
          <w:rFonts w:ascii="Palatino Linotype" w:eastAsia="Palatino Linotype" w:hAnsi="Palatino Linotype" w:cs="Palatino Linotype"/>
          <w:i/>
        </w:rPr>
      </w:pPr>
      <w:r w:rsidRPr="00712A51">
        <w:rPr>
          <w:rFonts w:ascii="Palatino Linotype" w:eastAsia="Palatino Linotype" w:hAnsi="Palatino Linotype" w:cs="Palatino Linotype"/>
          <w:i/>
        </w:rPr>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7111AE" w:rsidRPr="00712A51" w:rsidRDefault="007111AE" w:rsidP="00743052">
      <w:pPr>
        <w:numPr>
          <w:ilvl w:val="0"/>
          <w:numId w:val="2"/>
        </w:numPr>
        <w:tabs>
          <w:tab w:val="left" w:pos="0"/>
        </w:tabs>
        <w:spacing w:before="240" w:after="240" w:line="360" w:lineRule="auto"/>
        <w:ind w:left="0" w:right="49" w:firstLine="0"/>
        <w:contextualSpacing/>
        <w:jc w:val="both"/>
        <w:rPr>
          <w:rFonts w:ascii="Palatino Linotype" w:eastAsia="MS Mincho" w:hAnsi="Palatino Linotype" w:cs="Arial"/>
          <w:bCs/>
          <w:iCs/>
        </w:rPr>
      </w:pPr>
      <w:r w:rsidRPr="00712A51">
        <w:rPr>
          <w:rFonts w:ascii="Palatino Linotype" w:eastAsia="Palatino Linotype" w:hAnsi="Palatino Linotype" w:cs="Palatino Linotype"/>
        </w:rPr>
        <w:lastRenderedPageBreak/>
        <w:t>En este sentido, la Ley de Transparencia y Acceso a la Información Pública del Estado de México y Municipios refiere que los Sujetos Obligados deberán tener disponible en medio impreso o electrónico, de manera permanente y actualizada, de forma sencilla, precisa y entendible para los particulares, las remuneraciones que perciban los servidores públicos de acuerdo con lo establecido en el Código Financiero del Estado de México y Municipios.</w:t>
      </w:r>
    </w:p>
    <w:p w:rsidR="00011A40" w:rsidRPr="00712A51" w:rsidRDefault="00011A40" w:rsidP="00743052">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743052" w:rsidRPr="00712A51" w:rsidRDefault="00CA5A87" w:rsidP="00743052">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rPr>
        <w:t>En ese sentido, se debe precisar que el Sujeto Obligado señaló que n</w:t>
      </w:r>
      <w:r w:rsidR="00C41C42" w:rsidRPr="00712A51">
        <w:rPr>
          <w:rFonts w:ascii="Palatino Linotype" w:eastAsia="Palatino Linotype" w:hAnsi="Palatino Linotype" w:cs="Palatino Linotype"/>
        </w:rPr>
        <w:t>o</w:t>
      </w:r>
      <w:r w:rsidRPr="00712A51">
        <w:rPr>
          <w:rFonts w:ascii="Palatino Linotype" w:eastAsia="Palatino Linotype" w:hAnsi="Palatino Linotype" w:cs="Palatino Linotype"/>
        </w:rPr>
        <w:t xml:space="preserve"> se tiene los recibos de nómina ya que cada uno es consultado de forma dire</w:t>
      </w:r>
      <w:r w:rsidR="00743052" w:rsidRPr="00712A51">
        <w:rPr>
          <w:rFonts w:ascii="Palatino Linotype" w:eastAsia="Palatino Linotype" w:hAnsi="Palatino Linotype" w:cs="Palatino Linotype"/>
        </w:rPr>
        <w:t xml:space="preserve">cta por los servidores públicos; al respecto, conviene señalar que </w:t>
      </w:r>
      <w:r w:rsidRPr="00712A51">
        <w:rPr>
          <w:rFonts w:ascii="Palatino Linotype" w:eastAsia="Palatino Linotype" w:hAnsi="Palatino Linotype" w:cs="Palatino Linotype"/>
        </w:rPr>
        <w:t xml:space="preserve"> </w:t>
      </w:r>
      <w:r w:rsidR="00743052" w:rsidRPr="00712A51">
        <w:rPr>
          <w:rFonts w:ascii="Palatino Linotype" w:eastAsia="Palatino Linotype" w:hAnsi="Palatino Linotype" w:cs="Palatino Linotype"/>
        </w:rPr>
        <w:t xml:space="preserve">el once de septiembre de dos mil veintitrés, se expide una nueva Ley Orgánica de la Administración Pública del Estado de México, la cual establece las bases para la organización y el funcionamiento de la Administración Pública Estatal, generando modificaciones a su conformación, entre otras crea la </w:t>
      </w:r>
      <w:r w:rsidR="00743052" w:rsidRPr="00712A51">
        <w:rPr>
          <w:rFonts w:ascii="Palatino Linotype" w:eastAsia="Palatino Linotype" w:hAnsi="Palatino Linotype" w:cs="Palatino Linotype"/>
          <w:b/>
        </w:rPr>
        <w:t xml:space="preserve">“Oficialía Mayor”, </w:t>
      </w:r>
      <w:r w:rsidR="00743052" w:rsidRPr="00712A51">
        <w:rPr>
          <w:rFonts w:ascii="Palatino Linotype" w:eastAsia="Palatino Linotype" w:hAnsi="Palatino Linotype" w:cs="Palatino Linotype"/>
        </w:rPr>
        <w:t xml:space="preserve">como la dependencia encargada de planear, organizar, normar y dirigir la administración y desarrollo de los recursos humanos, materiales y servicios para el apoyo administrativo y tecnológico que requieran las dependencias del Poder Ejecutivo de la entidad; por lo que mediante Acuerdo de fecha veintisiete de septiembre del mismo año se transfieren los recursos de la Subsecretaría de Administración de la Secretaría de Finanzas a la Oficialía Mayor; por lo que a la fecha de la solicitud de información la Dependencia que posee, administra o genera la información requerida por el Solicitante de acuerdo a sus atribuciones es la </w:t>
      </w:r>
      <w:r w:rsidR="00743052" w:rsidRPr="00712A51">
        <w:rPr>
          <w:rFonts w:ascii="Palatino Linotype" w:eastAsia="Palatino Linotype" w:hAnsi="Palatino Linotype" w:cs="Palatino Linotype"/>
          <w:b/>
        </w:rPr>
        <w:t xml:space="preserve">Oficialía Mayor, </w:t>
      </w:r>
      <w:r w:rsidR="00743052" w:rsidRPr="00712A51">
        <w:rPr>
          <w:rFonts w:ascii="Palatino Linotype" w:eastAsia="Palatino Linotype" w:hAnsi="Palatino Linotype" w:cs="Palatino Linotype"/>
        </w:rPr>
        <w:t xml:space="preserve">a través de la Dirección de Remuneraciones al Personal, tal como lo establece su Manual General de Organización, teniendo como objetivo coordinar la actualización de la información relativa a la situación laboral de los servidores públicos de las dependencias y órganos administrativos desconcentrados del Poder Ejecutivo de la entidad, a través del Sistema de </w:t>
      </w:r>
      <w:r w:rsidR="00743052" w:rsidRPr="00712A51">
        <w:rPr>
          <w:rFonts w:ascii="Palatino Linotype" w:eastAsia="Palatino Linotype" w:hAnsi="Palatino Linotype" w:cs="Palatino Linotype"/>
        </w:rPr>
        <w:lastRenderedPageBreak/>
        <w:t>Nómina del Sector Central del Poder Ejecutivo y entregarles las percepciones a que tienen derecho por la prestación de sus servicios</w:t>
      </w:r>
      <w:r w:rsidR="00743052" w:rsidRPr="00712A51">
        <w:rPr>
          <w:rFonts w:ascii="Palatino Linotype" w:eastAsia="Palatino Linotype" w:hAnsi="Palatino Linotype" w:cs="Palatino Linotype"/>
          <w:vertAlign w:val="superscript"/>
        </w:rPr>
        <w:footnoteReference w:id="8"/>
      </w:r>
      <w:r w:rsidR="00743052" w:rsidRPr="00712A51">
        <w:rPr>
          <w:rFonts w:ascii="Palatino Linotype" w:eastAsia="Palatino Linotype" w:hAnsi="Palatino Linotype" w:cs="Palatino Linotype"/>
        </w:rPr>
        <w:t xml:space="preserve">. </w:t>
      </w:r>
    </w:p>
    <w:p w:rsidR="00743052" w:rsidRPr="00712A51" w:rsidRDefault="00743052" w:rsidP="00743052">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743052" w:rsidRPr="00712A51" w:rsidRDefault="00743052" w:rsidP="00743052">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712A51">
        <w:rPr>
          <w:rFonts w:ascii="Palatino Linotype" w:eastAsia="Calibri" w:hAnsi="Palatino Linotype" w:cs="Arial"/>
        </w:rPr>
        <w:t>De lo anterior, se destaca que derivado del cambio de gobierno a nivel estatal, la Oficialía Mayor del Gobierno del Estado de México, a través de la Dirección de Remuneraciones al Personal dependiente de la Dirección de Personal, tiene dentro de sus atribuciones la gestión de los pagos</w:t>
      </w:r>
      <w:r w:rsidRPr="00712A51">
        <w:rPr>
          <w:rFonts w:ascii="Palatino Linotype" w:eastAsia="Calibri" w:hAnsi="Palatino Linotype" w:cs="Arial"/>
          <w:b/>
        </w:rPr>
        <w:t xml:space="preserve"> </w:t>
      </w:r>
      <w:r w:rsidRPr="00712A51">
        <w:rPr>
          <w:rFonts w:ascii="Palatino Linotype" w:eastAsia="Calibri" w:hAnsi="Palatino Linotype" w:cs="Arial"/>
        </w:rPr>
        <w:t xml:space="preserve"> a los servidores públicos de las dependencias del Poder Ejecutivo del Estado así como el resguardo de las evidencias documentales que los acreditan.</w:t>
      </w:r>
    </w:p>
    <w:p w:rsidR="00743052" w:rsidRPr="00712A51" w:rsidRDefault="00743052" w:rsidP="00743052">
      <w:pPr>
        <w:pStyle w:val="Prrafodelista"/>
        <w:jc w:val="both"/>
        <w:rPr>
          <w:rFonts w:ascii="Palatino Linotype" w:eastAsia="Palatino Linotype" w:hAnsi="Palatino Linotype" w:cs="Palatino Linotype"/>
          <w:color w:val="000000"/>
        </w:rPr>
      </w:pPr>
    </w:p>
    <w:p w:rsidR="00743052" w:rsidRPr="00712A51" w:rsidRDefault="00743052" w:rsidP="00743052">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bCs/>
          <w:iCs/>
          <w:color w:val="000000"/>
        </w:rPr>
      </w:pPr>
      <w:r w:rsidRPr="00712A51">
        <w:rPr>
          <w:rFonts w:ascii="Palatino Linotype" w:eastAsia="Palatino Linotype" w:hAnsi="Palatino Linotype" w:cs="Palatino Linotype"/>
          <w:color w:val="000000"/>
        </w:rPr>
        <w:t xml:space="preserve">Por lo que al referir el Sujeto Obligado que no tiene acceso a la información solicitada toda vez que se encuentra en una plataforma (G2G) a la que solo los servidores públicos tienen acceso mediante usuarios y contraseñas individualizadas, señala a resumidas cuentas que no posee, genera o administra tal información, sin embargo, </w:t>
      </w:r>
      <w:r w:rsidRPr="00712A51">
        <w:rPr>
          <w:rFonts w:ascii="Palatino Linotype" w:eastAsia="Palatino Linotype" w:hAnsi="Palatino Linotype" w:cs="Palatino Linotype"/>
          <w:bCs/>
          <w:iCs/>
          <w:color w:val="000000"/>
        </w:rPr>
        <w:t>es necesario precisar que en el presente caso, se trata de las remuneraciones de los servidores públicos que laboran para una institución pública, es decir, que dicha información se busca acreditar la manera en que se ejercieron determinados recursos públicos; sobre el tema, según Arizmendi, Guillermo (2016), en la “Ley General de Transparencia y Acceso a la Información Pública Comentada” (p. 240 y 241), los recursos  públicos, deber ser administrados con responsabilidad y transparencia.</w:t>
      </w:r>
    </w:p>
    <w:p w:rsidR="00743052" w:rsidRPr="00712A51" w:rsidRDefault="00743052" w:rsidP="00743052">
      <w:pPr>
        <w:pStyle w:val="Prrafodelista"/>
        <w:jc w:val="both"/>
        <w:rPr>
          <w:rFonts w:ascii="Palatino Linotype" w:hAnsi="Palatino Linotype" w:cs="Tahoma"/>
          <w:bCs/>
          <w:iCs/>
          <w:lang w:eastAsia="es-ES"/>
        </w:rPr>
      </w:pPr>
    </w:p>
    <w:p w:rsidR="00743052" w:rsidRPr="00712A51" w:rsidRDefault="00743052" w:rsidP="00743052">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bCs/>
          <w:iCs/>
          <w:color w:val="000000"/>
        </w:rPr>
      </w:pPr>
      <w:r w:rsidRPr="00712A51">
        <w:rPr>
          <w:rFonts w:ascii="Palatino Linotype" w:hAnsi="Palatino Linotype" w:cs="Tahoma"/>
          <w:bCs/>
          <w:iCs/>
          <w:lang w:eastAsia="es-ES"/>
        </w:rPr>
        <w:t xml:space="preserve">En ese orden de ideas, los artículos 134 de la Constitución Política de los Estados Unidos  Mexicanos y el 129 de la Constitución Política del Estado Libre y Soberano de México,  establecen que los recursos públicos de que dispongan, entre otros, los Municipios, se  administrarán con eficiencia, eficacia, economía, transparencia y honradez; sobre lo referido, </w:t>
      </w:r>
      <w:r w:rsidRPr="00712A51">
        <w:rPr>
          <w:rFonts w:ascii="Palatino Linotype" w:hAnsi="Palatino Linotype" w:cs="Tahoma"/>
          <w:bCs/>
          <w:iCs/>
          <w:lang w:eastAsia="es-ES"/>
        </w:rPr>
        <w:lastRenderedPageBreak/>
        <w:t>la Tesis número 1a.CXLV/2009, Novena Época, publicada en el Semanario Judicial de la Federación, Tomo XXX, de septiembre de dos mil nueve, (p. 2712), establece lo siguiente:</w:t>
      </w:r>
    </w:p>
    <w:p w:rsidR="00743052" w:rsidRPr="00712A51" w:rsidRDefault="00743052" w:rsidP="00743052">
      <w:pPr>
        <w:pStyle w:val="Prrafodelista"/>
        <w:tabs>
          <w:tab w:val="left" w:pos="7080"/>
        </w:tabs>
        <w:spacing w:line="360" w:lineRule="auto"/>
        <w:ind w:left="360"/>
        <w:jc w:val="both"/>
        <w:rPr>
          <w:rFonts w:ascii="Palatino Linotype" w:hAnsi="Palatino Linotype" w:cs="Tahoma"/>
          <w:bCs/>
          <w:iCs/>
          <w:lang w:eastAsia="es-ES"/>
        </w:rPr>
      </w:pPr>
    </w:p>
    <w:p w:rsidR="00743052" w:rsidRPr="00712A51" w:rsidRDefault="00743052" w:rsidP="00743052">
      <w:pPr>
        <w:pStyle w:val="Prrafodelista"/>
        <w:spacing w:line="360" w:lineRule="auto"/>
        <w:ind w:left="851" w:right="822"/>
        <w:jc w:val="both"/>
        <w:rPr>
          <w:rFonts w:ascii="Palatino Linotype" w:hAnsi="Palatino Linotype" w:cs="Arial"/>
          <w:lang w:val="es-ES" w:eastAsia="es-ES"/>
        </w:rPr>
      </w:pPr>
      <w:r w:rsidRPr="00712A51">
        <w:rPr>
          <w:rFonts w:ascii="Palatino Linotype" w:hAnsi="Palatino Linotype" w:cs="Arial"/>
          <w:lang w:val="es-ES" w:eastAsia="es-ES"/>
        </w:rPr>
        <w:t>“</w:t>
      </w:r>
      <w:r w:rsidRPr="00712A51">
        <w:rPr>
          <w:rFonts w:ascii="Palatino Linotype" w:hAnsi="Palatino Linotype" w:cs="Arial"/>
          <w:b/>
          <w:i/>
          <w:lang w:val="es-ES" w:eastAsia="es-ES"/>
        </w:rPr>
        <w:t>GASTO PÚBLICO. EL ARTÍCULO 134 DE LA CONSTITUCIÓN POLÍTICA DE LOS  ESTADOS UNIDOS MEXICANOS ELEVA A RANGO CONSTITUCIONAL LOS  PRINCIPIOS DE LEGALIDAD, EFICIENCIA, EFICACIA, ECONOMÍA,  TRANSPARENCIA Y HONRADEZ EN ESTA MATERIA.</w:t>
      </w:r>
      <w:r w:rsidRPr="00712A51">
        <w:rPr>
          <w:rFonts w:ascii="Palatino Linotype" w:hAnsi="Palatino Linotype" w:cs="Arial"/>
          <w:i/>
          <w:lang w:val="es-ES" w:eastAsia="es-ES"/>
        </w:rPr>
        <w:t xml:space="preserve"> Del citado precepto constitucional  se advierte que el correcto ejercicio del gasto público se salvaguarda por los siguientes principios:</w:t>
      </w:r>
      <w:r w:rsidRPr="00712A51">
        <w:rPr>
          <w:rFonts w:ascii="Palatino Linotype" w:hAnsi="Palatino Linotype" w:cs="Arial"/>
          <w:lang w:val="es-ES" w:eastAsia="es-ES"/>
        </w:rPr>
        <w:t xml:space="preserve"> </w:t>
      </w:r>
      <w:r w:rsidRPr="00712A51">
        <w:rPr>
          <w:rFonts w:ascii="Palatino Linotype" w:hAnsi="Palatino Linotype" w:cs="Arial"/>
          <w:i/>
          <w:lang w:val="es-ES" w:eastAsia="es-ES"/>
        </w:rPr>
        <w:t>1. Legalidad, en tanto que debe estar prescrito en el Presupuesto de Egresos o, en su defecto, en  una ley expedida por el Congreso de la Unión, lo cual significa la sujeción de las autoridades a un  modelo normativo previamente establecido; 2. Honradez, pues implica que no debe llevarse a cabo  de manera abusiva, ni para un destino diverso al programado; 3. Eficiencia, en el entendido de que  las autoridades deben disponer de los medios que estimen convenientes para que el ejercicio del</w:t>
      </w:r>
      <w:r w:rsidRPr="00712A51">
        <w:rPr>
          <w:rFonts w:ascii="Palatino Linotype" w:hAnsi="Palatino Linotype" w:cs="Arial"/>
          <w:lang w:val="es-ES" w:eastAsia="es-ES"/>
        </w:rPr>
        <w:t xml:space="preserve"> gasto </w:t>
      </w:r>
      <w:r w:rsidRPr="00712A51">
        <w:rPr>
          <w:rFonts w:ascii="Palatino Linotype" w:hAnsi="Palatino Linotype" w:cs="Arial"/>
          <w:i/>
          <w:lang w:val="es-ES" w:eastAsia="es-ES"/>
        </w:rPr>
        <w:t>público logre el fin para el cual se programó y destinó; 4. Eficacia, ya que es indispensable contar con la capacidad suficiente para lograr las metas estimadas; 5. Economía, en el sentido de que el gasto público debe ejercerse recta y prudentemente, lo cual implica que los servidores públicos siempre deben buscar las mejores condiciones de contratación para el Estado, y 6. Transparencia, para permitir hacer del conocimiento público el ejercicio del gasto estatal.”</w:t>
      </w:r>
      <w:r w:rsidRPr="00712A51">
        <w:rPr>
          <w:rFonts w:ascii="Palatino Linotype" w:hAnsi="Palatino Linotype" w:cs="Arial"/>
          <w:lang w:val="es-ES" w:eastAsia="es-ES"/>
        </w:rPr>
        <w:t xml:space="preserve"> </w:t>
      </w:r>
    </w:p>
    <w:p w:rsidR="00743052" w:rsidRPr="00712A51" w:rsidRDefault="00743052" w:rsidP="00743052">
      <w:pPr>
        <w:pStyle w:val="Prrafodelista"/>
        <w:spacing w:line="360" w:lineRule="auto"/>
        <w:ind w:left="360"/>
        <w:jc w:val="both"/>
        <w:rPr>
          <w:rFonts w:ascii="Palatino Linotype" w:hAnsi="Palatino Linotype" w:cs="Arial"/>
          <w:lang w:val="es-ES" w:eastAsia="es-ES"/>
        </w:rPr>
      </w:pPr>
    </w:p>
    <w:p w:rsidR="00743052" w:rsidRPr="00712A51" w:rsidRDefault="00743052" w:rsidP="00743052">
      <w:pPr>
        <w:pStyle w:val="Prrafodelista"/>
        <w:numPr>
          <w:ilvl w:val="0"/>
          <w:numId w:val="2"/>
        </w:numPr>
        <w:spacing w:line="360" w:lineRule="auto"/>
        <w:ind w:left="0" w:firstLine="0"/>
        <w:jc w:val="both"/>
        <w:rPr>
          <w:rFonts w:ascii="Palatino Linotype" w:hAnsi="Palatino Linotype" w:cs="Arial"/>
          <w:lang w:val="es-ES" w:eastAsia="es-ES"/>
        </w:rPr>
      </w:pPr>
      <w:r w:rsidRPr="00712A51">
        <w:rPr>
          <w:rFonts w:ascii="Palatino Linotype" w:hAnsi="Palatino Linotype" w:cs="Arial"/>
          <w:lang w:val="es-ES" w:eastAsia="es-ES"/>
        </w:rPr>
        <w:t xml:space="preserve">Como se logra observar, el ejercicio de recursos públicos por parte de los tres niveles de Gobierno, que incluye a los Municipios, debe seguir el Principio de Transparencia, que implica </w:t>
      </w:r>
      <w:r w:rsidRPr="00712A51">
        <w:rPr>
          <w:rFonts w:ascii="Palatino Linotype" w:hAnsi="Palatino Linotype" w:cs="Arial"/>
          <w:lang w:val="es-ES" w:eastAsia="es-ES"/>
        </w:rPr>
        <w:lastRenderedPageBreak/>
        <w:t xml:space="preserve">permitir a la ciudadanía conocer en la forma en que se gasta el Estado, los recursos  con los que cuenta para el cumplimiento de sus obligaciones y atribuciones.  </w:t>
      </w:r>
    </w:p>
    <w:p w:rsidR="00743052" w:rsidRPr="00712A51" w:rsidRDefault="00743052" w:rsidP="00743052">
      <w:pPr>
        <w:pStyle w:val="Prrafodelista"/>
        <w:spacing w:line="360" w:lineRule="auto"/>
        <w:ind w:left="0"/>
        <w:jc w:val="both"/>
        <w:rPr>
          <w:rFonts w:ascii="Palatino Linotype" w:hAnsi="Palatino Linotype" w:cs="Arial"/>
          <w:lang w:val="es-ES" w:eastAsia="es-ES"/>
        </w:rPr>
      </w:pPr>
    </w:p>
    <w:p w:rsidR="00743052" w:rsidRPr="00712A51" w:rsidRDefault="00743052" w:rsidP="00743052">
      <w:pPr>
        <w:pStyle w:val="Prrafodelista"/>
        <w:numPr>
          <w:ilvl w:val="0"/>
          <w:numId w:val="2"/>
        </w:numPr>
        <w:spacing w:line="360" w:lineRule="auto"/>
        <w:ind w:left="0" w:firstLine="0"/>
        <w:jc w:val="both"/>
        <w:rPr>
          <w:rFonts w:ascii="Palatino Linotype" w:hAnsi="Palatino Linotype" w:cs="Arial"/>
          <w:lang w:val="es-ES" w:eastAsia="es-ES"/>
        </w:rPr>
      </w:pPr>
      <w:r w:rsidRPr="00712A51">
        <w:rPr>
          <w:rFonts w:ascii="Palatino Linotype" w:hAnsi="Palatino Linotype" w:cs="Arial"/>
          <w:lang w:val="es-ES" w:eastAsia="es-ES"/>
        </w:rPr>
        <w:t xml:space="preserve">Conforme a lo anterior, se logra vislumbrar que cualquier tipo de erogación de recursos por parte de las instituciones públicas, guarda la naturaleza de pública; por lo que, las remuneraciones, sueldos y prestaciones de los servidores públicos, rinde cuentas de los recursos utilizados por la Secretaría General de Gobierno, para el pago de personal.  </w:t>
      </w:r>
    </w:p>
    <w:p w:rsidR="00743052" w:rsidRPr="00712A51" w:rsidRDefault="00743052" w:rsidP="00743052">
      <w:pPr>
        <w:pStyle w:val="Prrafodelista"/>
        <w:jc w:val="both"/>
        <w:rPr>
          <w:rFonts w:ascii="Palatino Linotype" w:hAnsi="Palatino Linotype" w:cs="Arial"/>
          <w:lang w:val="es-ES" w:eastAsia="es-ES"/>
        </w:rPr>
      </w:pPr>
    </w:p>
    <w:p w:rsidR="00743052" w:rsidRPr="00712A51" w:rsidRDefault="00743052" w:rsidP="00743052">
      <w:pPr>
        <w:pStyle w:val="Prrafodelista"/>
        <w:numPr>
          <w:ilvl w:val="0"/>
          <w:numId w:val="2"/>
        </w:numPr>
        <w:spacing w:line="360" w:lineRule="auto"/>
        <w:ind w:left="0" w:firstLine="0"/>
        <w:jc w:val="both"/>
        <w:rPr>
          <w:rFonts w:ascii="Palatino Linotype" w:hAnsi="Palatino Linotype" w:cs="Arial"/>
          <w:lang w:val="es-ES" w:eastAsia="es-ES"/>
        </w:rPr>
      </w:pPr>
      <w:r w:rsidRPr="00712A51">
        <w:rPr>
          <w:rFonts w:ascii="Palatino Linotype" w:hAnsi="Palatino Linotype" w:cs="Arial"/>
          <w:lang w:val="es-ES" w:eastAsia="es-ES"/>
        </w:rPr>
        <w:t xml:space="preserve">Además, este Instituto considera que la Secretaría General de Gobierno, debe de contar con algún  documento que dé cuenta de las remuneraciones pagadas a los servidores  públicos, es decir, aquel que contenga los sueldos, prestaciones y de deducciones; pues del propio </w:t>
      </w:r>
      <w:r w:rsidRPr="00712A51">
        <w:rPr>
          <w:rFonts w:ascii="Palatino Linotype" w:hAnsi="Palatino Linotype" w:cs="Tahoma"/>
          <w:bCs/>
          <w:iCs/>
          <w:lang w:eastAsia="es-ES"/>
        </w:rPr>
        <w:t>Portal de Gestión Interna G2G, se logra vislumbrar un apartado para las Coordinaciones Administrativas, entre las cuáles se encuentra la del Sujeto Obligado y el cual precisa que dicha área puede obtener los siguientes documentos:</w:t>
      </w:r>
    </w:p>
    <w:p w:rsidR="00743052" w:rsidRPr="00712A51" w:rsidRDefault="00743052" w:rsidP="00743052">
      <w:pPr>
        <w:pStyle w:val="Prrafodelista"/>
        <w:spacing w:line="360" w:lineRule="auto"/>
        <w:ind w:left="360"/>
        <w:jc w:val="both"/>
        <w:rPr>
          <w:rFonts w:ascii="Palatino Linotype" w:hAnsi="Palatino Linotype" w:cs="Arial"/>
          <w:lang w:val="es-ES" w:eastAsia="es-ES"/>
        </w:rPr>
      </w:pPr>
    </w:p>
    <w:p w:rsidR="00743052" w:rsidRPr="00712A51" w:rsidRDefault="00743052" w:rsidP="00743052">
      <w:pPr>
        <w:pStyle w:val="Prrafodelista"/>
        <w:spacing w:line="360" w:lineRule="auto"/>
        <w:ind w:left="360"/>
        <w:jc w:val="center"/>
        <w:rPr>
          <w:rFonts w:ascii="Palatino Linotype" w:hAnsi="Palatino Linotype" w:cs="Arial"/>
          <w:lang w:val="es-ES" w:eastAsia="es-ES"/>
        </w:rPr>
      </w:pPr>
      <w:r w:rsidRPr="00712A51">
        <w:rPr>
          <w:rFonts w:ascii="Palatino Linotype" w:hAnsi="Palatino Linotype"/>
          <w:noProof/>
        </w:rPr>
        <w:drawing>
          <wp:inline distT="0" distB="0" distL="0" distR="0" wp14:anchorId="3153EDBA" wp14:editId="7BD3D481">
            <wp:extent cx="4577439" cy="1995055"/>
            <wp:effectExtent l="0" t="0" r="0" b="5715"/>
            <wp:docPr id="3064786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78649" name=""/>
                    <pic:cNvPicPr/>
                  </pic:nvPicPr>
                  <pic:blipFill>
                    <a:blip r:embed="rId11" cstate="email">
                      <a:extLst>
                        <a:ext uri="{28A0092B-C50C-407E-A947-70E740481C1C}">
                          <a14:useLocalDpi xmlns:a14="http://schemas.microsoft.com/office/drawing/2010/main"/>
                        </a:ext>
                      </a:extLst>
                    </a:blip>
                    <a:stretch>
                      <a:fillRect/>
                    </a:stretch>
                  </pic:blipFill>
                  <pic:spPr>
                    <a:xfrm>
                      <a:off x="0" y="0"/>
                      <a:ext cx="4601883" cy="2005709"/>
                    </a:xfrm>
                    <a:prstGeom prst="rect">
                      <a:avLst/>
                    </a:prstGeom>
                  </pic:spPr>
                </pic:pic>
              </a:graphicData>
            </a:graphic>
          </wp:inline>
        </w:drawing>
      </w:r>
    </w:p>
    <w:p w:rsidR="00743052" w:rsidRPr="00712A51" w:rsidRDefault="00743052" w:rsidP="00743052">
      <w:pPr>
        <w:pStyle w:val="Prrafodelista"/>
        <w:spacing w:line="360" w:lineRule="auto"/>
        <w:ind w:left="360"/>
        <w:jc w:val="both"/>
        <w:rPr>
          <w:rFonts w:ascii="Palatino Linotype" w:hAnsi="Palatino Linotype" w:cs="Arial"/>
          <w:lang w:val="es-ES" w:eastAsia="es-ES"/>
        </w:rPr>
      </w:pPr>
    </w:p>
    <w:p w:rsidR="00DC054A" w:rsidRPr="00712A51" w:rsidRDefault="00743052" w:rsidP="00DC054A">
      <w:pPr>
        <w:pStyle w:val="Prrafodelista"/>
        <w:numPr>
          <w:ilvl w:val="0"/>
          <w:numId w:val="2"/>
        </w:numPr>
        <w:spacing w:line="360" w:lineRule="auto"/>
        <w:ind w:left="0" w:firstLine="0"/>
        <w:jc w:val="both"/>
        <w:rPr>
          <w:rFonts w:ascii="Palatino Linotype" w:hAnsi="Palatino Linotype" w:cs="Arial"/>
          <w:lang w:val="es-ES" w:eastAsia="es-ES"/>
        </w:rPr>
      </w:pPr>
      <w:r w:rsidRPr="00712A51">
        <w:rPr>
          <w:rFonts w:ascii="Palatino Linotype" w:hAnsi="Palatino Linotype" w:cs="Arial"/>
          <w:lang w:val="es-ES" w:eastAsia="es-ES"/>
        </w:rPr>
        <w:t xml:space="preserve">Conforme a lo anterior, existen documentos a los que puede acceder el Sujeto Obligado y que dan cuenta de la información peticionada, tal como lo es el Comprobante de </w:t>
      </w:r>
      <w:r w:rsidRPr="00712A51">
        <w:rPr>
          <w:rFonts w:ascii="Palatino Linotype" w:hAnsi="Palatino Linotype" w:cs="Arial"/>
          <w:lang w:val="es-ES" w:eastAsia="es-ES"/>
        </w:rPr>
        <w:lastRenderedPageBreak/>
        <w:t>percepciones y deducciones, así como, la Constancia quincenal de percepciones y deducciones, los cuáles conforme al portal mencionado, tienen validez oficial.</w:t>
      </w:r>
    </w:p>
    <w:p w:rsidR="00DC054A" w:rsidRPr="00712A51" w:rsidRDefault="00DC054A" w:rsidP="00DC054A">
      <w:pPr>
        <w:pStyle w:val="Prrafodelista"/>
        <w:spacing w:line="360" w:lineRule="auto"/>
        <w:ind w:left="0"/>
        <w:jc w:val="both"/>
        <w:rPr>
          <w:rFonts w:ascii="Palatino Linotype" w:hAnsi="Palatino Linotype" w:cs="Arial"/>
          <w:lang w:val="es-ES" w:eastAsia="es-ES"/>
        </w:rPr>
      </w:pPr>
    </w:p>
    <w:p w:rsidR="00011A40" w:rsidRPr="00712A51" w:rsidRDefault="00DC054A" w:rsidP="00DC054A">
      <w:pPr>
        <w:pStyle w:val="Prrafodelista"/>
        <w:numPr>
          <w:ilvl w:val="0"/>
          <w:numId w:val="2"/>
        </w:numPr>
        <w:spacing w:line="360" w:lineRule="auto"/>
        <w:ind w:left="0" w:firstLine="0"/>
        <w:jc w:val="both"/>
        <w:rPr>
          <w:rFonts w:ascii="Palatino Linotype" w:hAnsi="Palatino Linotype" w:cs="Arial"/>
          <w:lang w:val="es-ES" w:eastAsia="es-ES"/>
        </w:rPr>
      </w:pPr>
      <w:r w:rsidRPr="00712A51">
        <w:rPr>
          <w:rFonts w:ascii="Palatino Linotype" w:eastAsia="Palatino Linotype" w:hAnsi="Palatino Linotype" w:cs="Palatino Linotype"/>
        </w:rPr>
        <w:t>En ese contexto</w:t>
      </w:r>
      <w:r w:rsidR="00C41C42" w:rsidRPr="00712A51">
        <w:rPr>
          <w:rFonts w:ascii="Palatino Linotype" w:eastAsia="Palatino Linotype" w:hAnsi="Palatino Linotype" w:cs="Palatino Linotype"/>
        </w:rPr>
        <w:t xml:space="preserve">, </w:t>
      </w:r>
      <w:r w:rsidR="00CA5A87" w:rsidRPr="00712A51">
        <w:rPr>
          <w:rFonts w:ascii="Palatino Linotype" w:eastAsia="Palatino Linotype" w:hAnsi="Palatino Linotype" w:cs="Palatino Linotype"/>
        </w:rPr>
        <w:t xml:space="preserve">este Órgano Garante </w:t>
      </w:r>
      <w:r w:rsidR="00C41C42" w:rsidRPr="00712A51">
        <w:rPr>
          <w:rFonts w:ascii="Palatino Linotype" w:eastAsia="Palatino Linotype" w:hAnsi="Palatino Linotype" w:cs="Palatino Linotype"/>
        </w:rPr>
        <w:t xml:space="preserve">advierte </w:t>
      </w:r>
      <w:r w:rsidRPr="00712A51">
        <w:rPr>
          <w:rFonts w:ascii="Palatino Linotype" w:eastAsia="Palatino Linotype" w:hAnsi="Palatino Linotype" w:cs="Palatino Linotype"/>
        </w:rPr>
        <w:t>que el Sujeto Obligado posee otros documentos que pueden dar cuenta de lo</w:t>
      </w:r>
      <w:r w:rsidR="00C41C42" w:rsidRPr="00712A51">
        <w:rPr>
          <w:rFonts w:ascii="Palatino Linotype" w:eastAsia="Palatino Linotype" w:hAnsi="Palatino Linotype" w:cs="Palatino Linotype"/>
        </w:rPr>
        <w:t xml:space="preserve"> solicitado, por ello, </w:t>
      </w:r>
      <w:r w:rsidR="00CA5A87" w:rsidRPr="00712A51">
        <w:rPr>
          <w:rFonts w:ascii="Palatino Linotype" w:eastAsia="Palatino Linotype" w:hAnsi="Palatino Linotype" w:cs="Palatino Linotype"/>
        </w:rPr>
        <w:t xml:space="preserve">determina procedente ordenar </w:t>
      </w:r>
      <w:r w:rsidRPr="00712A51">
        <w:rPr>
          <w:rFonts w:ascii="Palatino Linotype" w:eastAsia="Palatino Linotype" w:hAnsi="Palatino Linotype" w:cs="Palatino Linotype"/>
        </w:rPr>
        <w:t>el soporte documental</w:t>
      </w:r>
      <w:r w:rsidR="00CA5A87" w:rsidRPr="00712A51">
        <w:rPr>
          <w:rFonts w:ascii="Palatino Linotype" w:eastAsia="Palatino Linotype" w:hAnsi="Palatino Linotype" w:cs="Palatino Linotype"/>
        </w:rPr>
        <w:t xml:space="preserve"> en el que se advierten las remuneraciones del servidor público. </w:t>
      </w:r>
    </w:p>
    <w:p w:rsidR="00011A40" w:rsidRPr="00712A51" w:rsidRDefault="00011A40" w:rsidP="00743052">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169CC" w:rsidRPr="00712A51" w:rsidRDefault="000169CC" w:rsidP="00743052">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712A51">
        <w:rPr>
          <w:rFonts w:ascii="Palatino Linotype" w:eastAsia="Palatino Linotype" w:hAnsi="Palatino Linotype" w:cs="Palatino Linotype"/>
          <w:b/>
          <w:bCs/>
          <w:color w:val="000000"/>
        </w:rPr>
        <w:t>RECURRENTE</w:t>
      </w:r>
      <w:r w:rsidRPr="00712A51">
        <w:rPr>
          <w:rFonts w:ascii="Palatino Linotype" w:eastAsia="Palatino Linotype" w:hAnsi="Palatino Linotype" w:cs="Palatino Linotype"/>
          <w:color w:val="000000"/>
        </w:rPr>
        <w:t xml:space="preserve"> dentro del recurso de revisión </w:t>
      </w:r>
      <w:r w:rsidR="00C41C42" w:rsidRPr="00712A51">
        <w:rPr>
          <w:rFonts w:ascii="Palatino Linotype" w:eastAsia="Palatino Linotype" w:hAnsi="Palatino Linotype" w:cs="Palatino Linotype"/>
          <w:b/>
          <w:bCs/>
          <w:color w:val="000000"/>
        </w:rPr>
        <w:t>13028</w:t>
      </w:r>
      <w:r w:rsidRPr="00712A51">
        <w:rPr>
          <w:rFonts w:ascii="Palatino Linotype" w:eastAsia="Palatino Linotype" w:hAnsi="Palatino Linotype" w:cs="Palatino Linotype"/>
          <w:b/>
          <w:bCs/>
          <w:color w:val="000000"/>
        </w:rPr>
        <w:t>/INFOEM/IP/RR/2025</w:t>
      </w:r>
      <w:r w:rsidRPr="00712A51">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w:t>
      </w:r>
      <w:r w:rsidRPr="00712A51">
        <w:rPr>
          <w:rFonts w:ascii="Palatino Linotype" w:eastAsia="Palatino Linotype" w:hAnsi="Palatino Linotype" w:cs="Palatino Linotype"/>
        </w:rPr>
        <w:t xml:space="preserve">de México y Municipios, se </w:t>
      </w:r>
      <w:r w:rsidRPr="00712A51">
        <w:rPr>
          <w:rFonts w:ascii="Palatino Linotype" w:eastAsia="Palatino Linotype" w:hAnsi="Palatino Linotype" w:cs="Palatino Linotype"/>
          <w:b/>
          <w:bCs/>
        </w:rPr>
        <w:t>MODIFICA</w:t>
      </w:r>
      <w:r w:rsidRPr="00712A51">
        <w:rPr>
          <w:rFonts w:ascii="Palatino Linotype" w:eastAsia="Palatino Linotype" w:hAnsi="Palatino Linotype" w:cs="Palatino Linotype"/>
        </w:rPr>
        <w:t xml:space="preserve"> la respuesta a la solicitud de información número </w:t>
      </w:r>
      <w:hyperlink r:id="rId12" w:history="1">
        <w:r w:rsidR="00C41C42" w:rsidRPr="00712A51">
          <w:rPr>
            <w:rStyle w:val="Hipervnculo"/>
            <w:rFonts w:ascii="Palatino Linotype" w:eastAsia="Palatino Linotype" w:hAnsi="Palatino Linotype" w:cs="Palatino Linotype"/>
            <w:b/>
            <w:bCs/>
            <w:color w:val="auto"/>
          </w:rPr>
          <w:t>00141/ST/IP/2025</w:t>
        </w:r>
      </w:hyperlink>
      <w:r w:rsidRPr="00712A51">
        <w:rPr>
          <w:rFonts w:ascii="Palatino Linotype" w:eastAsia="Palatino Linotype" w:hAnsi="Palatino Linotype" w:cs="Palatino Linotype"/>
          <w:b/>
          <w:bCs/>
        </w:rPr>
        <w:t xml:space="preserve"> </w:t>
      </w:r>
      <w:r w:rsidRPr="00712A51">
        <w:rPr>
          <w:rFonts w:ascii="Palatino Linotype" w:eastAsia="Palatino Linotype" w:hAnsi="Palatino Linotype" w:cs="Palatino Linotype"/>
        </w:rPr>
        <w:t xml:space="preserve">y </w:t>
      </w:r>
      <w:r w:rsidRPr="00712A51">
        <w:rPr>
          <w:rFonts w:ascii="Palatino Linotype" w:eastAsia="Palatino Linotype" w:hAnsi="Palatino Linotype" w:cs="Palatino Linotype"/>
          <w:color w:val="000000"/>
        </w:rPr>
        <w:t xml:space="preserve">se </w:t>
      </w:r>
      <w:r w:rsidRPr="00712A51">
        <w:rPr>
          <w:rFonts w:ascii="Palatino Linotype" w:eastAsia="Palatino Linotype" w:hAnsi="Palatino Linotype" w:cs="Palatino Linotype"/>
          <w:b/>
          <w:bCs/>
          <w:color w:val="000000"/>
        </w:rPr>
        <w:t xml:space="preserve">ORDENA </w:t>
      </w:r>
      <w:r w:rsidRPr="00712A51">
        <w:rPr>
          <w:rFonts w:ascii="Palatino Linotype" w:eastAsia="Palatino Linotype" w:hAnsi="Palatino Linotype" w:cs="Palatino Linotype"/>
          <w:color w:val="000000"/>
        </w:rPr>
        <w:t>entregar, de ser procedente en versión</w:t>
      </w:r>
      <w:r w:rsidR="00C41C42" w:rsidRPr="00712A51">
        <w:rPr>
          <w:rFonts w:ascii="Palatino Linotype" w:eastAsia="Palatino Linotype" w:hAnsi="Palatino Linotype" w:cs="Palatino Linotype"/>
          <w:color w:val="000000"/>
        </w:rPr>
        <w:t xml:space="preserve"> pública, lo siguiente</w:t>
      </w:r>
      <w:r w:rsidRPr="00712A51">
        <w:rPr>
          <w:rFonts w:ascii="Palatino Linotype" w:eastAsia="Palatino Linotype" w:hAnsi="Palatino Linotype" w:cs="Palatino Linotype"/>
          <w:color w:val="000000"/>
        </w:rPr>
        <w:t>:</w:t>
      </w:r>
    </w:p>
    <w:p w:rsidR="000169CC" w:rsidRPr="00712A51" w:rsidRDefault="000169CC" w:rsidP="00743052">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169CC" w:rsidRPr="00712A51" w:rsidRDefault="000169CC" w:rsidP="00743052">
      <w:pPr>
        <w:pStyle w:val="Prrafodelista"/>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712A51">
        <w:rPr>
          <w:rFonts w:ascii="Palatino Linotype" w:eastAsia="Palatino Linotype" w:hAnsi="Palatino Linotype" w:cs="Palatino Linotype"/>
          <w:b/>
          <w:bCs/>
          <w:color w:val="000000"/>
        </w:rPr>
        <w:t>Soporte documental do</w:t>
      </w:r>
      <w:r w:rsidR="00C41C42" w:rsidRPr="00712A51">
        <w:rPr>
          <w:rFonts w:ascii="Palatino Linotype" w:eastAsia="Palatino Linotype" w:hAnsi="Palatino Linotype" w:cs="Palatino Linotype"/>
          <w:b/>
          <w:bCs/>
          <w:color w:val="000000"/>
        </w:rPr>
        <w:t>nde consten las remuneraciones del servidor público referido en la solicitud de información, correspondientes a la segunda quince de septiembre y la primera quincena de octubre de dos mil veinticinco.</w:t>
      </w:r>
      <w:r w:rsidRPr="00712A51">
        <w:rPr>
          <w:rFonts w:ascii="Palatino Linotype" w:eastAsia="Palatino Linotype" w:hAnsi="Palatino Linotype" w:cs="Palatino Linotype"/>
          <w:b/>
          <w:bCs/>
          <w:color w:val="000000"/>
        </w:rPr>
        <w:t xml:space="preserve"> </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rPr>
      </w:pPr>
    </w:p>
    <w:p w:rsidR="000169CC" w:rsidRPr="00712A51" w:rsidRDefault="000169CC" w:rsidP="00743052">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t>QUINTO. De la versión pública.</w:t>
      </w:r>
    </w:p>
    <w:p w:rsidR="000169CC" w:rsidRPr="00712A51" w:rsidRDefault="000169CC" w:rsidP="00743052">
      <w:pPr>
        <w:pStyle w:val="Prrafodelista"/>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Debe destacarse que, debido a la naturaleza de la información solicitada</w:t>
      </w:r>
      <w:r w:rsidRPr="00712A51">
        <w:rPr>
          <w:rFonts w:ascii="Palatino Linotype" w:eastAsia="Palatino Linotype" w:hAnsi="Palatino Linotype" w:cs="Palatino Linotype"/>
          <w:b/>
          <w:color w:val="000000"/>
        </w:rPr>
        <w:t xml:space="preserve"> </w:t>
      </w:r>
      <w:r w:rsidRPr="00712A51">
        <w:rPr>
          <w:rFonts w:ascii="Palatino Linotype" w:eastAsia="Palatino Linotype" w:hAnsi="Palatino Linotype" w:cs="Palatino Linotype"/>
          <w:color w:val="000000"/>
        </w:rPr>
        <w:t xml:space="preserve">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w:t>
      </w:r>
      <w:r w:rsidRPr="00712A51">
        <w:rPr>
          <w:rFonts w:ascii="Palatino Linotype" w:eastAsia="Palatino Linotype" w:hAnsi="Palatino Linotype" w:cs="Palatino Linotype"/>
          <w:color w:val="000000"/>
        </w:rPr>
        <w:lastRenderedPageBreak/>
        <w:t>servidores públicos y en su caso generar la versión pública de los documentos por las consideraciones que se estimen pertinentes.</w:t>
      </w:r>
    </w:p>
    <w:p w:rsidR="000169CC" w:rsidRPr="00712A51" w:rsidRDefault="000169CC" w:rsidP="00743052">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0169CC" w:rsidRPr="00712A51" w:rsidRDefault="000169CC" w:rsidP="00743052">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0169CC" w:rsidRPr="00712A51" w:rsidRDefault="000169CC" w:rsidP="00743052">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7513"/>
      </w:tblGrid>
      <w:tr w:rsidR="000169CC" w:rsidRPr="00712A51" w:rsidTr="00712A51">
        <w:tc>
          <w:tcPr>
            <w:tcW w:w="2547" w:type="dxa"/>
          </w:tcPr>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a) Requisitos previos.</w:t>
            </w:r>
          </w:p>
        </w:tc>
        <w:tc>
          <w:tcPr>
            <w:tcW w:w="7513" w:type="dxa"/>
          </w:tcPr>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Al hacerlo tienen que precisar de qué información se trata, señalando el supuesto de clasificación (confidencialidad o reserva).</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Además, se debe señalar el procedimiento, de los tres que establecen los artículos 132 y 106 de la Ley Estatal y General, respectivamente.</w:t>
            </w:r>
          </w:p>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712A51">
              <w:rPr>
                <w:rFonts w:ascii="Palatino Linotype" w:eastAsia="Palatino Linotype" w:hAnsi="Palatino Linotype" w:cs="Palatino Linotype"/>
                <w:u w:val="single"/>
              </w:rPr>
              <w:t xml:space="preserve">no se puede hacer un acuerdo para clasificar de manera general todos los documentos de un expediente o área,  </w:t>
            </w:r>
            <w:r w:rsidRPr="00712A51">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0169CC" w:rsidRPr="00712A51" w:rsidTr="00712A51">
        <w:tc>
          <w:tcPr>
            <w:tcW w:w="2547" w:type="dxa"/>
          </w:tcPr>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b) Supuestos de clasificación.</w:t>
            </w:r>
          </w:p>
        </w:tc>
        <w:tc>
          <w:tcPr>
            <w:tcW w:w="7513" w:type="dxa"/>
          </w:tcPr>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w:t>
            </w:r>
            <w:r w:rsidRPr="00712A51">
              <w:rPr>
                <w:rFonts w:ascii="Palatino Linotype" w:eastAsia="Palatino Linotype" w:hAnsi="Palatino Linotype" w:cs="Palatino Linotype"/>
              </w:rPr>
              <w:lastRenderedPageBreak/>
              <w:t>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El </w:t>
            </w:r>
            <w:r w:rsidRPr="00712A51">
              <w:rPr>
                <w:rFonts w:ascii="Palatino Linotype" w:eastAsia="Palatino Linotype" w:hAnsi="Palatino Linotype" w:cs="Palatino Linotype"/>
                <w:b/>
              </w:rPr>
              <w:t>SUJETO OBLIGADO</w:t>
            </w:r>
            <w:r w:rsidRPr="00712A51">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169CC" w:rsidRPr="00712A51" w:rsidTr="00712A51">
        <w:tc>
          <w:tcPr>
            <w:tcW w:w="2547" w:type="dxa"/>
          </w:tcPr>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c) Formalidades para emitir el acuerdo de clasificación.</w:t>
            </w:r>
          </w:p>
        </w:tc>
        <w:tc>
          <w:tcPr>
            <w:tcW w:w="7513" w:type="dxa"/>
          </w:tcPr>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Es necesario que </w:t>
            </w:r>
            <w:r w:rsidRPr="00712A51">
              <w:rPr>
                <w:rFonts w:ascii="Palatino Linotype" w:eastAsia="Palatino Linotype" w:hAnsi="Palatino Linotype" w:cs="Palatino Linotype"/>
                <w:b/>
                <w:u w:val="single"/>
              </w:rPr>
              <w:t>el acto reúna con los requisitos elementales</w:t>
            </w:r>
            <w:r w:rsidRPr="00712A51">
              <w:rPr>
                <w:rFonts w:ascii="Palatino Linotype" w:eastAsia="Palatino Linotype" w:hAnsi="Palatino Linotype" w:cs="Palatino Linotype"/>
              </w:rPr>
              <w:t>, entre ellos, que la autoridad que va a emitir el acto de autoridad sea la legalmente facultada para ello.</w:t>
            </w:r>
          </w:p>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169CC" w:rsidRPr="00712A51" w:rsidTr="00712A51">
        <w:tc>
          <w:tcPr>
            <w:tcW w:w="2547" w:type="dxa"/>
          </w:tcPr>
          <w:p w:rsidR="000169CC" w:rsidRPr="00712A51" w:rsidRDefault="000169CC" w:rsidP="00743052">
            <w:pPr>
              <w:spacing w:line="276" w:lineRule="auto"/>
              <w:jc w:val="both"/>
              <w:rPr>
                <w:rFonts w:ascii="Palatino Linotype" w:eastAsia="Palatino Linotype" w:hAnsi="Palatino Linotype" w:cs="Palatino Linotype"/>
              </w:rPr>
            </w:pPr>
          </w:p>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d) Requisitos de fondo del acuerdo de clasificación. </w:t>
            </w:r>
          </w:p>
        </w:tc>
        <w:tc>
          <w:tcPr>
            <w:tcW w:w="7513" w:type="dxa"/>
          </w:tcPr>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12A51">
              <w:rPr>
                <w:rFonts w:ascii="Palatino Linotype" w:eastAsia="Palatino Linotype" w:hAnsi="Palatino Linotype" w:cs="Palatino Linotype"/>
                <w:b/>
              </w:rPr>
              <w:t>Sujetos Obligados</w:t>
            </w:r>
            <w:r w:rsidRPr="00712A51">
              <w:rPr>
                <w:rFonts w:ascii="Palatino Linotype" w:eastAsia="Palatino Linotype" w:hAnsi="Palatino Linotype" w:cs="Palatino Linotype"/>
              </w:rPr>
              <w:t xml:space="preserve">, por lo que deberán fundar y motivar debidamente la clasificación. </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De lo anterior, se desprende que para una correcta </w:t>
            </w:r>
            <w:r w:rsidRPr="00712A51">
              <w:rPr>
                <w:rFonts w:ascii="Palatino Linotype" w:eastAsia="Palatino Linotype" w:hAnsi="Palatino Linotype" w:cs="Palatino Linotype"/>
                <w:b/>
              </w:rPr>
              <w:t>clasificación total o parcial</w:t>
            </w:r>
            <w:r w:rsidRPr="00712A51">
              <w:rPr>
                <w:rFonts w:ascii="Palatino Linotype" w:eastAsia="Palatino Linotype" w:hAnsi="Palatino Linotype" w:cs="Palatino Linotype"/>
              </w:rPr>
              <w:t xml:space="preserve">, esto es determinar los datos que se suprimen en las </w:t>
            </w:r>
            <w:r w:rsidRPr="00712A51">
              <w:rPr>
                <w:rFonts w:ascii="Palatino Linotype" w:eastAsia="Palatino Linotype" w:hAnsi="Palatino Linotype" w:cs="Palatino Linotype"/>
              </w:rPr>
              <w:lastRenderedPageBreak/>
              <w:t>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Ahora bien, </w:t>
            </w:r>
            <w:r w:rsidRPr="00712A51">
              <w:rPr>
                <w:rFonts w:ascii="Palatino Linotype" w:eastAsia="Palatino Linotype" w:hAnsi="Palatino Linotype" w:cs="Palatino Linotype"/>
                <w:b/>
                <w:u w:val="single"/>
              </w:rPr>
              <w:t>para cada caso además de fundar y motivar</w:t>
            </w:r>
            <w:r w:rsidRPr="00712A51">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169CC" w:rsidRPr="00712A51" w:rsidTr="00712A51">
        <w:tc>
          <w:tcPr>
            <w:tcW w:w="2547" w:type="dxa"/>
          </w:tcPr>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 xml:space="preserve">e) Condiciones especiales de la clasificación de la información como confidencial. </w:t>
            </w:r>
          </w:p>
          <w:p w:rsidR="000169CC" w:rsidRPr="00712A51" w:rsidRDefault="000169CC" w:rsidP="00743052">
            <w:pPr>
              <w:spacing w:line="276" w:lineRule="auto"/>
              <w:jc w:val="both"/>
              <w:rPr>
                <w:rFonts w:ascii="Palatino Linotype" w:eastAsia="Palatino Linotype" w:hAnsi="Palatino Linotype" w:cs="Palatino Linotype"/>
              </w:rPr>
            </w:pPr>
          </w:p>
        </w:tc>
        <w:tc>
          <w:tcPr>
            <w:tcW w:w="7513" w:type="dxa"/>
          </w:tcPr>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0169CC" w:rsidRPr="00712A51" w:rsidRDefault="000169CC" w:rsidP="00743052">
            <w:pPr>
              <w:spacing w:line="276" w:lineRule="auto"/>
              <w:ind w:right="49"/>
              <w:jc w:val="both"/>
              <w:rPr>
                <w:rFonts w:ascii="Palatino Linotype" w:eastAsia="Palatino Linotype" w:hAnsi="Palatino Linotype" w:cs="Palatino Linotype"/>
              </w:rPr>
            </w:pPr>
            <w:r w:rsidRPr="00712A51">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169CC" w:rsidRPr="00712A51" w:rsidRDefault="000169CC" w:rsidP="00743052">
            <w:pPr>
              <w:spacing w:line="276" w:lineRule="auto"/>
              <w:jc w:val="both"/>
              <w:rPr>
                <w:rFonts w:ascii="Palatino Linotype" w:eastAsia="Palatino Linotype" w:hAnsi="Palatino Linotype" w:cs="Palatino Linotype"/>
              </w:rPr>
            </w:pPr>
            <w:r w:rsidRPr="00712A51">
              <w:rPr>
                <w:rFonts w:ascii="Palatino Linotype" w:eastAsia="Palatino Linotype" w:hAnsi="Palatino Linotype" w:cs="Palatino Linotype"/>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169CC" w:rsidRPr="00712A51" w:rsidRDefault="000169CC" w:rsidP="00743052">
      <w:pPr>
        <w:spacing w:line="360" w:lineRule="auto"/>
        <w:jc w:val="both"/>
        <w:rPr>
          <w:rFonts w:ascii="Palatino Linotype" w:eastAsia="Palatino Linotype" w:hAnsi="Palatino Linotype" w:cs="Palatino Linotype"/>
        </w:rPr>
      </w:pPr>
    </w:p>
    <w:p w:rsidR="00C41C42" w:rsidRPr="00712A51" w:rsidRDefault="00C41C42" w:rsidP="00743052">
      <w:pPr>
        <w:pStyle w:val="Prrafodelista"/>
        <w:numPr>
          <w:ilvl w:val="0"/>
          <w:numId w:val="2"/>
        </w:numPr>
        <w:spacing w:line="360" w:lineRule="auto"/>
        <w:ind w:left="0" w:firstLine="0"/>
        <w:jc w:val="both"/>
        <w:rPr>
          <w:rFonts w:ascii="Palatino Linotype" w:hAnsi="Palatino Linotype" w:cs="Arial"/>
        </w:rPr>
      </w:pPr>
      <w:r w:rsidRPr="00712A51">
        <w:rPr>
          <w:rFonts w:ascii="Palatino Linotype" w:hAnsi="Palatino Linotype"/>
          <w:color w:val="222222"/>
        </w:rPr>
        <w:t>Por otro lado, de manera enunciativa mas no limitativas, dentro de los elementos que integran los recibos de nómina se pueden encontrar los siguientes:</w:t>
      </w:r>
    </w:p>
    <w:p w:rsidR="00C41C42" w:rsidRPr="00712A51" w:rsidRDefault="00C41C42" w:rsidP="00743052">
      <w:pPr>
        <w:pStyle w:val="Prrafodelista"/>
        <w:spacing w:line="360" w:lineRule="auto"/>
        <w:ind w:left="0"/>
        <w:jc w:val="both"/>
        <w:rPr>
          <w:rFonts w:ascii="Palatino Linotype" w:hAnsi="Palatino Linotype" w:cs="Arial"/>
        </w:rPr>
      </w:pP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Clave Única de Registro de Población (CURP);</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Número de ISSEMyM;</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Número de empleado;</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Registro Federal de Contribuyentes (RFC);</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Número de Serie del CSD del SAT;</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Número de Serie del CDS del emisor;</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Serie y folio;</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Firma;</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Código QR;</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Sello Digital del Contribuyente; y</w:t>
      </w:r>
    </w:p>
    <w:p w:rsidR="00C41C42" w:rsidRPr="00712A51" w:rsidRDefault="00C41C42" w:rsidP="00743052">
      <w:pPr>
        <w:pStyle w:val="Prrafodelista"/>
        <w:numPr>
          <w:ilvl w:val="0"/>
          <w:numId w:val="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Sello Digital del SAT.</w:t>
      </w:r>
    </w:p>
    <w:p w:rsidR="00C41C42" w:rsidRPr="00712A51" w:rsidRDefault="00C41C42" w:rsidP="00743052">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C41C42" w:rsidRPr="00712A51" w:rsidRDefault="00C41C42" w:rsidP="00743052">
      <w:pPr>
        <w:pStyle w:val="Ttulo3"/>
        <w:numPr>
          <w:ilvl w:val="0"/>
          <w:numId w:val="9"/>
        </w:numPr>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t>Clave Única de Registro de Población (CURP).</w:t>
      </w:r>
    </w:p>
    <w:p w:rsidR="00C41C42" w:rsidRPr="00712A51" w:rsidRDefault="00C41C42" w:rsidP="00743052">
      <w:pPr>
        <w:pStyle w:val="Prrafodelista"/>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w:t>
      </w:r>
      <w:r w:rsidRPr="00712A51">
        <w:rPr>
          <w:rFonts w:ascii="Palatino Linotype" w:eastAsia="Palatino Linotype" w:hAnsi="Palatino Linotype" w:cs="Palatino Linotype"/>
          <w:color w:val="000000"/>
        </w:rPr>
        <w:lastRenderedPageBreak/>
        <w:t xml:space="preserve">ésta, se integra por dieciocho (18) caracteres.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Entre las características de la CURP, se encuentra: </w:t>
      </w:r>
    </w:p>
    <w:p w:rsidR="00C41C42" w:rsidRPr="00712A51" w:rsidRDefault="00C41C42" w:rsidP="00743052">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712A51">
        <w:rPr>
          <w:rFonts w:ascii="Palatino Linotype" w:eastAsia="Palatino Linotype" w:hAnsi="Palatino Linotype" w:cs="Palatino Linotype"/>
          <w:b/>
        </w:rPr>
        <w:t xml:space="preserve">Composición. </w:t>
      </w:r>
      <w:r w:rsidRPr="00712A51">
        <w:rPr>
          <w:rFonts w:ascii="Palatino Linotype" w:eastAsia="Palatino Linotype" w:hAnsi="Palatino Linotype" w:cs="Palatino Linotype"/>
        </w:rPr>
        <w:t>Alfanumérica.</w:t>
      </w:r>
    </w:p>
    <w:p w:rsidR="00C41C42" w:rsidRPr="00712A51" w:rsidRDefault="00C41C42" w:rsidP="00743052">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712A51">
        <w:rPr>
          <w:rFonts w:ascii="Palatino Linotype" w:eastAsia="Palatino Linotype" w:hAnsi="Palatino Linotype" w:cs="Palatino Linotype"/>
          <w:b/>
        </w:rPr>
        <w:t xml:space="preserve">Longitud. </w:t>
      </w:r>
      <w:r w:rsidRPr="00712A51">
        <w:rPr>
          <w:rFonts w:ascii="Palatino Linotype" w:eastAsia="Palatino Linotype" w:hAnsi="Palatino Linotype" w:cs="Palatino Linotype"/>
        </w:rPr>
        <w:t xml:space="preserve"> 18 caracteres.</w:t>
      </w:r>
    </w:p>
    <w:p w:rsidR="00C41C42" w:rsidRPr="00712A51" w:rsidRDefault="00C41C42" w:rsidP="00743052">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712A51">
        <w:rPr>
          <w:rFonts w:ascii="Palatino Linotype" w:eastAsia="Palatino Linotype" w:hAnsi="Palatino Linotype" w:cs="Palatino Linotype"/>
          <w:b/>
        </w:rPr>
        <w:t xml:space="preserve">Naturaleza. </w:t>
      </w:r>
      <w:r w:rsidRPr="00712A51">
        <w:rPr>
          <w:rFonts w:ascii="Palatino Linotype" w:eastAsia="Palatino Linotype" w:hAnsi="Palatino Linotype" w:cs="Palatino Linotype"/>
        </w:rPr>
        <w:t>Biunívoca.</w:t>
      </w:r>
    </w:p>
    <w:p w:rsidR="00C41C42" w:rsidRPr="00712A51" w:rsidRDefault="00C41C42" w:rsidP="00743052">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712A51">
        <w:rPr>
          <w:rFonts w:ascii="Palatino Linotype" w:eastAsia="Palatino Linotype" w:hAnsi="Palatino Linotype" w:cs="Palatino Linotype"/>
          <w:b/>
        </w:rPr>
        <w:t xml:space="preserve">Universalidad. </w:t>
      </w:r>
      <w:r w:rsidRPr="00712A51">
        <w:rPr>
          <w:rFonts w:ascii="Palatino Linotype" w:eastAsia="Palatino Linotype" w:hAnsi="Palatino Linotype" w:cs="Palatino Linotype"/>
        </w:rPr>
        <w:t>Se asigna a todas las personas que conforman la población.</w:t>
      </w:r>
    </w:p>
    <w:p w:rsidR="00C41C42" w:rsidRPr="00712A51" w:rsidRDefault="00C41C42" w:rsidP="00743052">
      <w:pPr>
        <w:pStyle w:val="Prrafodelista"/>
        <w:tabs>
          <w:tab w:val="left" w:pos="426"/>
          <w:tab w:val="left" w:pos="567"/>
        </w:tabs>
        <w:spacing w:line="360" w:lineRule="auto"/>
        <w:ind w:left="851" w:right="567"/>
        <w:jc w:val="both"/>
        <w:rPr>
          <w:rFonts w:ascii="Palatino Linotype" w:eastAsia="Palatino Linotype" w:hAnsi="Palatino Linotype" w:cs="Palatino Linotype"/>
          <w:b/>
        </w:rPr>
      </w:pPr>
      <w:r w:rsidRPr="00712A51">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Es entonces que, de lo anterior, se desprende que la Clave Única de Registro de Población es un dato personal confidencial, ya que por sí releva información personal de su titular, y su exposición únicamente vulneraría la esfera privada del mismo, aunado a que no </w:t>
      </w:r>
      <w:r w:rsidRPr="00712A51">
        <w:rPr>
          <w:rFonts w:ascii="Palatino Linotype" w:eastAsia="Palatino Linotype" w:hAnsi="Palatino Linotype" w:cs="Palatino Linotype"/>
          <w:color w:val="000000"/>
        </w:rPr>
        <w:lastRenderedPageBreak/>
        <w:t>guarda relación con el desempeño profesional o laboral de un individuo ni con el ejercicio de recursos públicos.</w:t>
      </w:r>
    </w:p>
    <w:p w:rsidR="00C41C42" w:rsidRPr="00712A51" w:rsidRDefault="00C41C42" w:rsidP="00743052">
      <w:pPr>
        <w:pStyle w:val="Ttulo3"/>
        <w:numPr>
          <w:ilvl w:val="0"/>
          <w:numId w:val="11"/>
        </w:numPr>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t>Clave ISSEMyM</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C41C42" w:rsidRPr="00712A51" w:rsidRDefault="00C41C42" w:rsidP="00743052">
      <w:pPr>
        <w:pStyle w:val="Ttulo3"/>
        <w:numPr>
          <w:ilvl w:val="0"/>
          <w:numId w:val="11"/>
        </w:numPr>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lastRenderedPageBreak/>
        <w:t>Número de empleado.</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C41C42" w:rsidRPr="00712A51" w:rsidRDefault="00C41C42" w:rsidP="00743052">
      <w:pPr>
        <w:pStyle w:val="Prrafodelista"/>
        <w:pBdr>
          <w:top w:val="nil"/>
          <w:left w:val="nil"/>
          <w:bottom w:val="nil"/>
          <w:right w:val="nil"/>
          <w:between w:val="nil"/>
        </w:pBdr>
        <w:spacing w:line="276" w:lineRule="auto"/>
        <w:ind w:left="851" w:right="822"/>
        <w:jc w:val="both"/>
        <w:rPr>
          <w:rFonts w:ascii="Palatino Linotype" w:eastAsia="Palatino Linotype" w:hAnsi="Palatino Linotype" w:cs="Palatino Linotype"/>
          <w:i/>
          <w:color w:val="000000"/>
        </w:rPr>
      </w:pPr>
      <w:r w:rsidRPr="00712A51">
        <w:rPr>
          <w:rFonts w:ascii="Palatino Linotype" w:eastAsia="Palatino Linotype" w:hAnsi="Palatino Linotype" w:cs="Palatino Linotype"/>
          <w:b/>
          <w:i/>
          <w:color w:val="000000"/>
        </w:rPr>
        <w:t>Número de empleado.</w:t>
      </w:r>
      <w:r w:rsidRPr="00712A51">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C41C42" w:rsidRPr="00712A51" w:rsidRDefault="00C41C42" w:rsidP="00743052">
      <w:pPr>
        <w:pStyle w:val="Ttulo3"/>
        <w:numPr>
          <w:ilvl w:val="0"/>
          <w:numId w:val="11"/>
        </w:numPr>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t>Registro Federal de Contribuyentes (RFC)</w:t>
      </w:r>
      <w:bookmarkStart w:id="6" w:name="_GoBack"/>
      <w:bookmarkEnd w:id="6"/>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lastRenderedPageBreak/>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C41C42" w:rsidRPr="00712A51" w:rsidRDefault="00C41C42" w:rsidP="00743052">
      <w:pPr>
        <w:pStyle w:val="Prrafodelista"/>
        <w:spacing w:line="276" w:lineRule="auto"/>
        <w:ind w:left="851"/>
        <w:jc w:val="both"/>
        <w:rPr>
          <w:rFonts w:ascii="Palatino Linotype" w:eastAsia="Palatino Linotype" w:hAnsi="Palatino Linotype" w:cs="Palatino Linotype"/>
          <w:b/>
          <w:i/>
        </w:rPr>
      </w:pPr>
      <w:r w:rsidRPr="00712A51">
        <w:rPr>
          <w:rFonts w:ascii="Palatino Linotype" w:eastAsia="Palatino Linotype" w:hAnsi="Palatino Linotype" w:cs="Palatino Linotype"/>
          <w:b/>
          <w:i/>
        </w:rPr>
        <w:t xml:space="preserve">Registro Federal de Contribuyentes (RFC) de personas físicas. </w:t>
      </w:r>
    </w:p>
    <w:p w:rsidR="00C41C42" w:rsidRPr="00712A51" w:rsidRDefault="00C41C42" w:rsidP="00743052">
      <w:pPr>
        <w:pStyle w:val="Prrafodelista"/>
        <w:pBdr>
          <w:top w:val="nil"/>
          <w:left w:val="nil"/>
          <w:bottom w:val="nil"/>
          <w:right w:val="nil"/>
          <w:between w:val="nil"/>
        </w:pBdr>
        <w:spacing w:line="276" w:lineRule="auto"/>
        <w:ind w:left="851" w:right="567"/>
        <w:jc w:val="both"/>
        <w:rPr>
          <w:rFonts w:ascii="Palatino Linotype" w:eastAsia="Palatino Linotype" w:hAnsi="Palatino Linotype" w:cs="Palatino Linotype"/>
          <w:i/>
          <w:color w:val="000000"/>
        </w:rPr>
      </w:pPr>
      <w:r w:rsidRPr="00712A51">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b/>
          <w:color w:val="000000"/>
        </w:rPr>
        <w:lastRenderedPageBreak/>
        <w:t>De tal suerte, el Registro Federal de Contribuyentes de las personas físicas no guarda relación con la transparencia de los recursos públicos</w:t>
      </w:r>
      <w:r w:rsidRPr="00712A51">
        <w:rPr>
          <w:rFonts w:ascii="Palatino Linotype" w:eastAsia="Palatino Linotype" w:hAnsi="Palatino Linotype" w:cs="Palatino Linotype"/>
          <w:color w:val="000000"/>
        </w:rPr>
        <w:t>, así como tampoco con el desempeño laboral que pueda tener una persona.</w:t>
      </w:r>
      <w:bookmarkStart w:id="7" w:name="_heading=h.35nkun2" w:colFirst="0" w:colLast="0"/>
      <w:bookmarkEnd w:id="7"/>
    </w:p>
    <w:p w:rsidR="00C41C42" w:rsidRPr="00712A51" w:rsidRDefault="00C41C42" w:rsidP="00743052">
      <w:pPr>
        <w:pStyle w:val="Ttulo3"/>
        <w:numPr>
          <w:ilvl w:val="0"/>
          <w:numId w:val="11"/>
        </w:numPr>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t>Deducciones personales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712A51">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712A51">
        <w:rPr>
          <w:rFonts w:ascii="Palatino Linotype" w:eastAsia="Palatino Linotype" w:hAnsi="Palatino Linotype" w:cs="Palatino Linotype"/>
          <w:color w:val="000000"/>
        </w:rPr>
        <w:t>, seguro de vida, accidentes y enfermedades.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8" w:name="_heading=h.1ksv4uv" w:colFirst="0" w:colLast="0"/>
      <w:bookmarkEnd w:id="8"/>
    </w:p>
    <w:p w:rsidR="00C41C42" w:rsidRPr="00712A51" w:rsidRDefault="00C41C42" w:rsidP="00743052">
      <w:pPr>
        <w:pStyle w:val="Ttulo3"/>
        <w:numPr>
          <w:ilvl w:val="0"/>
          <w:numId w:val="11"/>
        </w:numPr>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lastRenderedPageBreak/>
        <w:t>CÓDIGO QR</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sidRPr="00712A51">
        <w:rPr>
          <w:rFonts w:ascii="Palatino Linotype" w:eastAsia="Palatino Linotype" w:hAnsi="Palatino Linotype" w:cs="Palatino Linotype"/>
          <w:i/>
          <w:color w:val="000000"/>
        </w:rPr>
        <w:t>QR Code (Quick Response Code)</w:t>
      </w:r>
      <w:r w:rsidRPr="00712A51">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3">
        <w:r w:rsidRPr="00712A51">
          <w:rPr>
            <w:rFonts w:ascii="Palatino Linotype" w:eastAsia="Palatino Linotype" w:hAnsi="Palatino Linotype" w:cs="Palatino Linotype"/>
            <w:color w:val="0563C1"/>
            <w:u w:val="single"/>
          </w:rPr>
          <w:t>http://dof.gob.mx/nota_detalle.php?codigo=5492254&amp;fecha=28/07/2017</w:t>
        </w:r>
      </w:hyperlink>
      <w:r w:rsidRPr="00712A51">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C41C42" w:rsidRPr="00712A51" w:rsidRDefault="00C41C42" w:rsidP="00743052">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Clave Única de Registro de Población (CURP)</w:t>
      </w:r>
    </w:p>
    <w:p w:rsidR="00C41C42" w:rsidRPr="00712A51" w:rsidRDefault="00C41C42" w:rsidP="00743052">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Clave ISSEMyM</w:t>
      </w:r>
    </w:p>
    <w:p w:rsidR="00C41C42" w:rsidRPr="00712A51" w:rsidRDefault="00C41C42" w:rsidP="00743052">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 xml:space="preserve">Número de empleado </w:t>
      </w:r>
      <w:r w:rsidRPr="00712A51">
        <w:rPr>
          <w:rFonts w:ascii="Palatino Linotype" w:eastAsia="Palatino Linotype" w:hAnsi="Palatino Linotype" w:cs="Palatino Linotype"/>
          <w:b/>
          <w:color w:val="000000"/>
        </w:rPr>
        <w:t>(sólo en el caso de que contenga datos personales o se relacione con los mismos, de lo contrario es información pública)</w:t>
      </w:r>
    </w:p>
    <w:p w:rsidR="00C41C42" w:rsidRPr="00712A51" w:rsidRDefault="00C41C42" w:rsidP="00743052">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Registro Federal de Contribuyentes (RFC)</w:t>
      </w:r>
    </w:p>
    <w:p w:rsidR="00C41C42" w:rsidRPr="00712A51" w:rsidRDefault="00C41C42" w:rsidP="00743052">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color w:val="000000"/>
        </w:rPr>
        <w:t>Deducciones personales</w:t>
      </w:r>
    </w:p>
    <w:p w:rsidR="00C41C42" w:rsidRPr="00712A51" w:rsidRDefault="00C41C42" w:rsidP="00743052">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lastRenderedPageBreak/>
        <w:t>Código QR</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Ahora bien, siguiendo con el análisis de los datos que contienen los recibos remitidos, siguen los siguientes:</w:t>
      </w:r>
      <w:bookmarkStart w:id="9" w:name="_heading=h.44sinio" w:colFirst="0" w:colLast="0"/>
      <w:bookmarkEnd w:id="9"/>
    </w:p>
    <w:p w:rsidR="00C41C42" w:rsidRPr="00712A51" w:rsidRDefault="00C41C42" w:rsidP="00743052">
      <w:pPr>
        <w:pStyle w:val="Ttulo3"/>
        <w:numPr>
          <w:ilvl w:val="0"/>
          <w:numId w:val="12"/>
        </w:numPr>
        <w:spacing w:line="360" w:lineRule="auto"/>
        <w:ind w:right="397"/>
        <w:jc w:val="both"/>
        <w:rPr>
          <w:rFonts w:ascii="Palatino Linotype" w:eastAsia="Palatino Linotype" w:hAnsi="Palatino Linotype" w:cs="Palatino Linotype"/>
          <w:b/>
          <w:color w:val="000000"/>
        </w:rPr>
      </w:pPr>
      <w:r w:rsidRPr="00712A51">
        <w:rPr>
          <w:rFonts w:ascii="Palatino Linotype" w:eastAsia="Palatino Linotype" w:hAnsi="Palatino Linotype" w:cs="Palatino Linotype"/>
          <w:b/>
          <w:color w:val="000000"/>
        </w:rPr>
        <w:t>Sellos digitales del emisor y del Servicio de Administración Tributaria y cadena original del complemento de certificación digital del órgano previamente señalado; así como folio fiscal. (PUBLICOS)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w:t>
      </w:r>
      <w:r w:rsidRPr="00712A51">
        <w:rPr>
          <w:rFonts w:ascii="Palatino Linotype" w:eastAsia="Palatino Linotype" w:hAnsi="Palatino Linotype" w:cs="Palatino Linotype"/>
          <w:color w:val="000000"/>
        </w:rPr>
        <w:lastRenderedPageBreak/>
        <w:t>información personal de los contribuyentes, esta se encuentra encriptada como se verá a continuación.</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Las cadenas originales y sellos que se agregan a las facturas</w:t>
      </w:r>
      <w:r w:rsidRPr="00712A51">
        <w:rPr>
          <w:rFonts w:ascii="Palatino Linotype" w:eastAsia="Palatino Linotype" w:hAnsi="Palatino Linotype" w:cs="Palatino Linotype"/>
          <w:b/>
          <w:color w:val="000000"/>
        </w:rPr>
        <w:t>,</w:t>
      </w:r>
      <w:r w:rsidRPr="00712A51">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C41C42" w:rsidRPr="00712A51" w:rsidRDefault="00C41C42" w:rsidP="00743052">
      <w:pPr>
        <w:pStyle w:val="Prrafodelista"/>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“Elementos utilizados en la generación de Sellos Digitales:</w:t>
      </w:r>
    </w:p>
    <w:p w:rsidR="00C41C42" w:rsidRPr="00712A51" w:rsidRDefault="00C41C42" w:rsidP="00743052">
      <w:pPr>
        <w:pStyle w:val="Prrafodelista"/>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•Cadena Original, el elemento a sellar, en este caso de un comprobante fiscal digital a través de Internet.</w:t>
      </w:r>
    </w:p>
    <w:p w:rsidR="00C41C42" w:rsidRPr="00712A51" w:rsidRDefault="00C41C42" w:rsidP="00743052">
      <w:pPr>
        <w:pStyle w:val="Prrafodelista"/>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•Certificado de Sello Digital y su correspondiente clave privada.</w:t>
      </w:r>
    </w:p>
    <w:p w:rsidR="00C41C42" w:rsidRPr="00712A51" w:rsidRDefault="00C41C42" w:rsidP="00743052">
      <w:pPr>
        <w:pStyle w:val="Prrafodelista"/>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•Algoritmos de criptografía de clave pública para firma electrónica avanzada.</w:t>
      </w:r>
    </w:p>
    <w:p w:rsidR="00C41C42" w:rsidRPr="00712A51" w:rsidRDefault="00C41C42" w:rsidP="00743052">
      <w:pPr>
        <w:pStyle w:val="Prrafodelista"/>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•Especificaciones de conversión de la firma electrónica avanzada a Base 64.</w:t>
      </w:r>
    </w:p>
    <w:p w:rsidR="00C41C42" w:rsidRPr="00712A51" w:rsidRDefault="00C41C42" w:rsidP="00743052">
      <w:pPr>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Para la generación de sellos digitales se utiliza criptografía de clave pública aplicada a una cadena original.</w:t>
      </w:r>
    </w:p>
    <w:p w:rsidR="00C41C42" w:rsidRPr="00712A51" w:rsidRDefault="00C41C42" w:rsidP="00743052">
      <w:pPr>
        <w:spacing w:line="276" w:lineRule="auto"/>
        <w:ind w:left="851" w:right="539"/>
        <w:jc w:val="both"/>
        <w:rPr>
          <w:rFonts w:ascii="Palatino Linotype" w:eastAsia="Palatino Linotype" w:hAnsi="Palatino Linotype" w:cs="Palatino Linotype"/>
          <w:i/>
        </w:rPr>
      </w:pPr>
    </w:p>
    <w:p w:rsidR="00C41C42" w:rsidRPr="00712A51" w:rsidRDefault="00C41C42" w:rsidP="00743052">
      <w:pPr>
        <w:pStyle w:val="Prrafodelista"/>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Criptografía de la Clave Pública</w:t>
      </w:r>
    </w:p>
    <w:p w:rsidR="00C41C42" w:rsidRPr="00712A51" w:rsidRDefault="00C41C42" w:rsidP="00743052">
      <w:pPr>
        <w:pStyle w:val="Prrafodelista"/>
        <w:spacing w:line="276" w:lineRule="auto"/>
        <w:ind w:left="851" w:right="539"/>
        <w:jc w:val="both"/>
        <w:rPr>
          <w:rFonts w:ascii="Palatino Linotype" w:eastAsia="Palatino Linotype" w:hAnsi="Palatino Linotype" w:cs="Palatino Linotype"/>
          <w:i/>
        </w:rPr>
      </w:pPr>
      <w:r w:rsidRPr="00712A51">
        <w:rPr>
          <w:rFonts w:ascii="Palatino Linotype" w:eastAsia="Palatino Linotype" w:hAnsi="Palatino Linotype" w:cs="Palatino Linotype"/>
          <w:i/>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Es decir, por sí solos las cadenas originales y los sellos originales no contienen datos personales confidenciales, por lo que se considera que no actualizan en supuesto de confidencialidad previsto en el artículo 143, fracción I, de la Ley de Transparencia y Acceso a </w:t>
      </w:r>
      <w:r w:rsidRPr="00712A51">
        <w:rPr>
          <w:rFonts w:ascii="Palatino Linotype" w:eastAsia="Palatino Linotype" w:hAnsi="Palatino Linotype" w:cs="Palatino Linotype"/>
          <w:color w:val="000000"/>
        </w:rPr>
        <w:lastRenderedPageBreak/>
        <w:t>la Información Pública del Estado de México y Municipios y, por el contrario, son información que permite corroborar la legitimidad de la factura, de ser el caso, por lo que guardan el carácter de público.</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C41C42" w:rsidRPr="00712A51" w:rsidRDefault="00C41C42" w:rsidP="00743052">
      <w:pPr>
        <w:spacing w:before="240" w:after="240" w:line="360" w:lineRule="auto"/>
        <w:jc w:val="both"/>
        <w:rPr>
          <w:rFonts w:ascii="Palatino Linotype" w:hAnsi="Palatino Linotype"/>
          <w:color w:val="222222"/>
        </w:rPr>
      </w:pPr>
      <w:r w:rsidRPr="00712A51">
        <w:rPr>
          <w:rFonts w:ascii="Palatino Linotype" w:eastAsia="Palatino Linotype" w:hAnsi="Palatino Linotype" w:cs="Palatino Linotype"/>
          <w:noProof/>
        </w:rPr>
        <w:drawing>
          <wp:inline distT="0" distB="0" distL="0" distR="0" wp14:anchorId="5E9FF962" wp14:editId="3A2F166B">
            <wp:extent cx="5612130" cy="42473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t="40505" r="32588" b="47482"/>
                    <a:stretch>
                      <a:fillRect/>
                    </a:stretch>
                  </pic:blipFill>
                  <pic:spPr>
                    <a:xfrm>
                      <a:off x="0" y="0"/>
                      <a:ext cx="5612130" cy="424735"/>
                    </a:xfrm>
                    <a:prstGeom prst="rect">
                      <a:avLst/>
                    </a:prstGeom>
                    <a:ln/>
                  </pic:spPr>
                </pic:pic>
              </a:graphicData>
            </a:graphic>
          </wp:inline>
        </w:drawing>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eastAsia="Palatino Linotype" w:hAnsi="Palatino Linotype" w:cs="Palatino Linotype"/>
          <w:color w:val="000000"/>
        </w:rPr>
        <w:t xml:space="preserve">De lo anteriormente transcrito, se aprecia que la versión pública que remitió el Sujeto Obligado resulta excesiva, pues se pretende clasificar información que es de carácter pública, tal como las deducciones, total de deducciones, otros pagos, así como sellos y cadenas </w:t>
      </w:r>
      <w:r w:rsidRPr="00712A51">
        <w:rPr>
          <w:rFonts w:ascii="Palatino Linotype" w:eastAsia="Palatino Linotype" w:hAnsi="Palatino Linotype" w:cs="Palatino Linotype"/>
          <w:color w:val="000000"/>
        </w:rPr>
        <w:lastRenderedPageBreak/>
        <w:t>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rsidR="00C41C42" w:rsidRPr="00712A51" w:rsidRDefault="00C41C42" w:rsidP="00743052">
      <w:pPr>
        <w:pStyle w:val="Prrafodelista"/>
        <w:numPr>
          <w:ilvl w:val="0"/>
          <w:numId w:val="12"/>
        </w:numPr>
        <w:spacing w:line="360" w:lineRule="auto"/>
        <w:contextualSpacing w:val="0"/>
        <w:jc w:val="both"/>
        <w:rPr>
          <w:rFonts w:ascii="Palatino Linotype" w:hAnsi="Palatino Linotype" w:cs="Arial"/>
          <w:b/>
        </w:rPr>
      </w:pPr>
      <w:r w:rsidRPr="00712A51">
        <w:rPr>
          <w:rFonts w:ascii="Palatino Linotype" w:hAnsi="Palatino Linotype" w:cs="Arial"/>
          <w:b/>
        </w:rPr>
        <w:t>Deducciones que no son personales.</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hAnsi="Palatino Linotype" w:cs="Arial"/>
        </w:rPr>
        <w:t>La Ley del Trabajo de los Servidores Públicos del Estado y Municipios</w:t>
      </w:r>
      <w:r w:rsidRPr="00712A51">
        <w:rPr>
          <w:rStyle w:val="Refdenotaalpie"/>
          <w:rFonts w:ascii="Palatino Linotype" w:hAnsi="Palatino Linotype" w:cs="Arial"/>
        </w:rPr>
        <w:footnoteReference w:id="9"/>
      </w:r>
      <w:r w:rsidRPr="00712A51">
        <w:rPr>
          <w:rFonts w:ascii="Palatino Linotype" w:hAnsi="Palatino Linotype" w:cs="Arial"/>
        </w:rPr>
        <w:t xml:space="preserve"> en el artículo 84 establece lo siguiente:</w:t>
      </w:r>
    </w:p>
    <w:p w:rsidR="00C41C42" w:rsidRPr="00712A51" w:rsidRDefault="00C41C42" w:rsidP="00743052">
      <w:pPr>
        <w:pStyle w:val="Prrafodelista"/>
        <w:spacing w:line="276" w:lineRule="auto"/>
        <w:ind w:left="851" w:right="822"/>
        <w:jc w:val="both"/>
        <w:rPr>
          <w:rFonts w:ascii="Palatino Linotype" w:hAnsi="Palatino Linotype"/>
          <w:i/>
        </w:rPr>
      </w:pPr>
      <w:r w:rsidRPr="00712A51">
        <w:rPr>
          <w:rFonts w:ascii="Palatino Linotype" w:hAnsi="Palatino Linotype"/>
          <w:i/>
        </w:rPr>
        <w:t xml:space="preserve">ARTÍCULO 84. Sólo podrán hacerse retenciones, descuentos o deducciones al sueldo de los servidores públicos por concepto de: </w:t>
      </w:r>
    </w:p>
    <w:p w:rsidR="00C41C42" w:rsidRPr="00712A51" w:rsidRDefault="00C41C42" w:rsidP="00743052">
      <w:pPr>
        <w:pStyle w:val="Prrafodelista"/>
        <w:spacing w:line="276" w:lineRule="auto"/>
        <w:ind w:left="851" w:right="822"/>
        <w:jc w:val="both"/>
        <w:rPr>
          <w:rFonts w:ascii="Palatino Linotype" w:hAnsi="Palatino Linotype"/>
          <w:b/>
          <w:i/>
        </w:rPr>
      </w:pPr>
      <w:r w:rsidRPr="00712A51">
        <w:rPr>
          <w:rFonts w:ascii="Palatino Linotype" w:hAnsi="Palatino Linotype"/>
          <w:b/>
          <w:i/>
        </w:rPr>
        <w:t>I. Gravámenes fiscales relacionados con el sueldo;</w:t>
      </w:r>
    </w:p>
    <w:p w:rsidR="00C41C42" w:rsidRPr="00712A51" w:rsidRDefault="00C41C42" w:rsidP="00743052">
      <w:pPr>
        <w:pStyle w:val="Prrafodelista"/>
        <w:spacing w:line="276" w:lineRule="auto"/>
        <w:ind w:left="851" w:right="822"/>
        <w:jc w:val="both"/>
        <w:rPr>
          <w:rFonts w:ascii="Palatino Linotype" w:hAnsi="Palatino Linotype"/>
          <w:i/>
        </w:rPr>
      </w:pPr>
      <w:r w:rsidRPr="00712A51">
        <w:rPr>
          <w:rFonts w:ascii="Palatino Linotype" w:hAnsi="Palatino Linotype"/>
          <w:i/>
        </w:rPr>
        <w:t xml:space="preserve">II. Deudas contraídas con las instituciones públicas o dependencias por concepto de anticipos de sueldo, pagos hechos con exceso, errores o pérdidas debidamente comprobados; </w:t>
      </w:r>
    </w:p>
    <w:p w:rsidR="00C41C42" w:rsidRPr="00712A51" w:rsidRDefault="00C41C42" w:rsidP="00743052">
      <w:pPr>
        <w:pStyle w:val="Prrafodelista"/>
        <w:spacing w:line="276" w:lineRule="auto"/>
        <w:ind w:left="851" w:right="822"/>
        <w:jc w:val="both"/>
        <w:rPr>
          <w:rFonts w:ascii="Palatino Linotype" w:hAnsi="Palatino Linotype"/>
          <w:i/>
        </w:rPr>
      </w:pPr>
      <w:r w:rsidRPr="00712A51">
        <w:rPr>
          <w:rFonts w:ascii="Palatino Linotype" w:hAnsi="Palatino Linotype"/>
          <w:i/>
        </w:rPr>
        <w:t xml:space="preserve">III. Cuotas sindicales; </w:t>
      </w:r>
    </w:p>
    <w:p w:rsidR="00C41C42" w:rsidRPr="00712A51" w:rsidRDefault="00C41C42" w:rsidP="00743052">
      <w:pPr>
        <w:pStyle w:val="Prrafodelista"/>
        <w:spacing w:line="276" w:lineRule="auto"/>
        <w:ind w:left="851" w:right="822"/>
        <w:jc w:val="both"/>
        <w:rPr>
          <w:rFonts w:ascii="Palatino Linotype" w:hAnsi="Palatino Linotype"/>
          <w:b/>
          <w:i/>
        </w:rPr>
      </w:pPr>
      <w:r w:rsidRPr="00712A51">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rsidR="00C41C42" w:rsidRPr="00712A51" w:rsidRDefault="00C41C42" w:rsidP="00743052">
      <w:pPr>
        <w:pStyle w:val="Prrafodelista"/>
        <w:spacing w:line="276" w:lineRule="auto"/>
        <w:ind w:left="851" w:right="822"/>
        <w:jc w:val="both"/>
        <w:rPr>
          <w:rFonts w:ascii="Palatino Linotype" w:hAnsi="Palatino Linotype"/>
          <w:b/>
          <w:i/>
        </w:rPr>
      </w:pPr>
      <w:r w:rsidRPr="00712A51">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rsidR="00C41C42" w:rsidRPr="00712A51" w:rsidRDefault="00C41C42" w:rsidP="00743052">
      <w:pPr>
        <w:pStyle w:val="Prrafodelista"/>
        <w:spacing w:line="276" w:lineRule="auto"/>
        <w:ind w:left="851" w:right="822"/>
        <w:jc w:val="both"/>
        <w:rPr>
          <w:rFonts w:ascii="Palatino Linotype" w:hAnsi="Palatino Linotype"/>
          <w:i/>
        </w:rPr>
      </w:pPr>
      <w:r w:rsidRPr="00712A51">
        <w:rPr>
          <w:rFonts w:ascii="Palatino Linotype" w:hAnsi="Palatino Linotype"/>
          <w:i/>
        </w:rPr>
        <w:t xml:space="preserve">VI. Obligaciones a cargo del servidor público con las que haya consentido, derivadas de la adquisición o del uso de habitaciones consideradas como de interés social; </w:t>
      </w:r>
    </w:p>
    <w:p w:rsidR="00C41C42" w:rsidRPr="00712A51" w:rsidRDefault="00C41C42" w:rsidP="00743052">
      <w:pPr>
        <w:pStyle w:val="Prrafodelista"/>
        <w:spacing w:line="276" w:lineRule="auto"/>
        <w:ind w:left="851" w:right="822"/>
        <w:jc w:val="both"/>
        <w:rPr>
          <w:rFonts w:ascii="Palatino Linotype" w:hAnsi="Palatino Linotype"/>
          <w:i/>
        </w:rPr>
      </w:pPr>
      <w:r w:rsidRPr="00712A51">
        <w:rPr>
          <w:rFonts w:ascii="Palatino Linotype" w:hAnsi="Palatino Linotype"/>
          <w:i/>
        </w:rPr>
        <w:t xml:space="preserve">VII. Faltas de puntualidad o de asistencia injustificadas; </w:t>
      </w:r>
    </w:p>
    <w:p w:rsidR="00C41C42" w:rsidRPr="00712A51" w:rsidRDefault="00C41C42" w:rsidP="00743052">
      <w:pPr>
        <w:pStyle w:val="Prrafodelista"/>
        <w:spacing w:line="276" w:lineRule="auto"/>
        <w:ind w:left="851" w:right="822"/>
        <w:jc w:val="both"/>
        <w:rPr>
          <w:rFonts w:ascii="Palatino Linotype" w:hAnsi="Palatino Linotype"/>
          <w:i/>
        </w:rPr>
      </w:pPr>
      <w:r w:rsidRPr="00712A51">
        <w:rPr>
          <w:rFonts w:ascii="Palatino Linotype" w:hAnsi="Palatino Linotype"/>
          <w:i/>
        </w:rPr>
        <w:lastRenderedPageBreak/>
        <w:t xml:space="preserve">VIII. Pensiones alimenticias ordenadas por la autoridad judicial; o </w:t>
      </w:r>
    </w:p>
    <w:p w:rsidR="00C41C42" w:rsidRPr="00712A51" w:rsidRDefault="00C41C42" w:rsidP="00743052">
      <w:pPr>
        <w:pStyle w:val="Prrafodelista"/>
        <w:spacing w:line="276" w:lineRule="auto"/>
        <w:ind w:left="851" w:right="822"/>
        <w:jc w:val="both"/>
        <w:rPr>
          <w:rFonts w:ascii="Palatino Linotype" w:hAnsi="Palatino Linotype"/>
          <w:i/>
        </w:rPr>
      </w:pPr>
      <w:r w:rsidRPr="00712A51">
        <w:rPr>
          <w:rFonts w:ascii="Palatino Linotype" w:hAnsi="Palatino Linotype"/>
          <w:i/>
        </w:rPr>
        <w:t>IX. Cualquier otro convenido con instituciones de servicios y aceptado por el servidor público.</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hAnsi="Palatino Linotype" w:cs="Arial"/>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C41C42" w:rsidRPr="00712A51" w:rsidRDefault="00C41C42" w:rsidP="00743052">
      <w:pPr>
        <w:pStyle w:val="Prrafodelista"/>
        <w:numPr>
          <w:ilvl w:val="0"/>
          <w:numId w:val="12"/>
        </w:numPr>
        <w:spacing w:line="360" w:lineRule="auto"/>
        <w:contextualSpacing w:val="0"/>
        <w:jc w:val="both"/>
        <w:rPr>
          <w:rFonts w:ascii="Palatino Linotype" w:hAnsi="Palatino Linotype" w:cs="Arial"/>
        </w:rPr>
      </w:pPr>
      <w:r w:rsidRPr="00712A51">
        <w:rPr>
          <w:rFonts w:ascii="Palatino Linotype" w:hAnsi="Palatino Linotype" w:cs="Arial"/>
          <w:b/>
        </w:rPr>
        <w:t>Seguro de Capitalización Individualizado.</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hAnsi="Palatino Linotype" w:cs="Arial"/>
        </w:rPr>
        <w:t>El Sistema de Capitalización Individualizado es el mecanismo mediante el cual, un servidor público y la Institución en la que labora, acumulan recursos, adicionales a su pensión; mismo que se integra hasta por tres rubros, los cuales son los siguientes:</w:t>
      </w:r>
    </w:p>
    <w:p w:rsidR="00C41C42" w:rsidRPr="00712A51" w:rsidRDefault="00C41C42" w:rsidP="00743052">
      <w:pPr>
        <w:pStyle w:val="Prrafodelista"/>
        <w:spacing w:line="360" w:lineRule="auto"/>
        <w:ind w:left="851" w:right="822"/>
        <w:jc w:val="both"/>
        <w:rPr>
          <w:rFonts w:ascii="Palatino Linotype" w:hAnsi="Palatino Linotype" w:cs="Arial"/>
        </w:rPr>
      </w:pPr>
      <w:r w:rsidRPr="00712A51">
        <w:rPr>
          <w:rFonts w:ascii="Palatino Linotype" w:hAnsi="Palatino Linotype" w:cs="Arial"/>
        </w:rPr>
        <w:t>•</w:t>
      </w:r>
      <w:r w:rsidRPr="00712A51">
        <w:rPr>
          <w:rFonts w:ascii="Palatino Linotype" w:hAnsi="Palatino Linotype" w:cs="Arial"/>
        </w:rPr>
        <w:tab/>
        <w:t>Subcuenta de cuota obligatoria; que corresponde a un porcentaje del sueldo sujeto a cotización, que se descuenta al servir público de manera automática.</w:t>
      </w:r>
    </w:p>
    <w:p w:rsidR="00C41C42" w:rsidRPr="00712A51" w:rsidRDefault="00C41C42" w:rsidP="00743052">
      <w:pPr>
        <w:pStyle w:val="Prrafodelista"/>
        <w:spacing w:line="360" w:lineRule="auto"/>
        <w:ind w:left="851" w:right="822"/>
        <w:jc w:val="both"/>
        <w:rPr>
          <w:rFonts w:ascii="Palatino Linotype" w:hAnsi="Palatino Linotype" w:cs="Arial"/>
        </w:rPr>
      </w:pPr>
      <w:r w:rsidRPr="00712A51">
        <w:rPr>
          <w:rFonts w:ascii="Palatino Linotype" w:hAnsi="Palatino Linotype" w:cs="Arial"/>
        </w:rPr>
        <w:t>•</w:t>
      </w:r>
      <w:r w:rsidRPr="00712A51">
        <w:rPr>
          <w:rFonts w:ascii="Palatino Linotype" w:hAnsi="Palatino Linotype" w:cs="Arial"/>
        </w:rPr>
        <w:tab/>
        <w:t>Subcuenta de aportación obligatoria: que es la aportación que realiza la Institución a favor del servidor público, el cual equivale a un porcentaje del sueldo sujeto a cotización.</w:t>
      </w:r>
    </w:p>
    <w:p w:rsidR="00C41C42" w:rsidRPr="00712A51" w:rsidRDefault="00C41C42" w:rsidP="00743052">
      <w:pPr>
        <w:pStyle w:val="Prrafodelista"/>
        <w:spacing w:line="360" w:lineRule="auto"/>
        <w:ind w:left="851" w:right="822"/>
        <w:jc w:val="both"/>
        <w:rPr>
          <w:rFonts w:ascii="Palatino Linotype" w:hAnsi="Palatino Linotype" w:cs="Arial"/>
        </w:rPr>
      </w:pPr>
      <w:r w:rsidRPr="00712A51">
        <w:rPr>
          <w:rFonts w:ascii="Palatino Linotype" w:hAnsi="Palatino Linotype" w:cs="Arial"/>
        </w:rPr>
        <w:t>•</w:t>
      </w:r>
      <w:r w:rsidRPr="00712A51">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hAnsi="Palatino Linotype" w:cs="Arial"/>
        </w:rPr>
        <w:lastRenderedPageBreak/>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C41C42" w:rsidRPr="00712A51" w:rsidRDefault="00C41C42" w:rsidP="00743052">
      <w:pPr>
        <w:pStyle w:val="Prrafodelista"/>
        <w:spacing w:line="276" w:lineRule="auto"/>
        <w:ind w:left="567" w:right="822"/>
        <w:jc w:val="both"/>
        <w:rPr>
          <w:rFonts w:ascii="Palatino Linotype" w:hAnsi="Palatino Linotype" w:cs="Arial"/>
          <w:i/>
        </w:rPr>
      </w:pPr>
      <w:r w:rsidRPr="00712A51">
        <w:rPr>
          <w:rFonts w:ascii="Palatino Linotype" w:hAnsi="Palatino Linotype" w:cs="Arial"/>
          <w:i/>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w:t>
      </w:r>
      <w:r w:rsidRPr="00712A51">
        <w:rPr>
          <w:rFonts w:ascii="Palatino Linotype" w:hAnsi="Palatino Linotype" w:cs="Arial"/>
          <w:i/>
        </w:rPr>
        <w:lastRenderedPageBreak/>
        <w:t>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712A51">
        <w:rPr>
          <w:rFonts w:ascii="Palatino Linotype" w:hAnsi="Palatino Linotype" w:cs="Arial"/>
        </w:rPr>
        <w:t xml:space="preserve"> </w:t>
      </w:r>
    </w:p>
    <w:p w:rsidR="00C41C42" w:rsidRPr="00712A51" w:rsidRDefault="00C41C42" w:rsidP="00743052">
      <w:pPr>
        <w:numPr>
          <w:ilvl w:val="0"/>
          <w:numId w:val="2"/>
        </w:numPr>
        <w:spacing w:before="240" w:after="240" w:line="360" w:lineRule="auto"/>
        <w:ind w:left="0" w:firstLine="0"/>
        <w:jc w:val="both"/>
        <w:rPr>
          <w:rFonts w:ascii="Palatino Linotype" w:hAnsi="Palatino Linotype"/>
          <w:color w:val="222222"/>
        </w:rPr>
      </w:pPr>
      <w:r w:rsidRPr="00712A51">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0169CC" w:rsidRPr="00712A51" w:rsidRDefault="000169CC" w:rsidP="00743052">
      <w:pPr>
        <w:numPr>
          <w:ilvl w:val="0"/>
          <w:numId w:val="2"/>
        </w:numPr>
        <w:spacing w:line="360" w:lineRule="auto"/>
        <w:ind w:left="0" w:firstLine="0"/>
        <w:jc w:val="both"/>
        <w:rPr>
          <w:rFonts w:ascii="Palatino Linotype" w:eastAsia="Palatino Linotype" w:hAnsi="Palatino Linotype" w:cs="Palatino Linotype"/>
        </w:rPr>
      </w:pPr>
      <w:r w:rsidRPr="00712A51">
        <w:rPr>
          <w:rFonts w:ascii="Palatino Linotype" w:eastAsia="Palatino Linotype" w:hAnsi="Palatino Linotype" w:cs="Palatino Linotype"/>
          <w:color w:val="000000"/>
        </w:rPr>
        <w:t xml:space="preserve">Por lo anteriormente expuesto y fundado, este </w:t>
      </w:r>
      <w:r w:rsidRPr="00712A51">
        <w:rPr>
          <w:rFonts w:ascii="Palatino Linotype" w:eastAsia="Palatino Linotype" w:hAnsi="Palatino Linotype" w:cs="Palatino Linotype"/>
          <w:b/>
          <w:bCs/>
          <w:color w:val="000000"/>
        </w:rPr>
        <w:t>ÓRGANO GARANTE</w:t>
      </w:r>
      <w:r w:rsidRPr="00712A51">
        <w:rPr>
          <w:rFonts w:ascii="Palatino Linotype" w:eastAsia="Palatino Linotype" w:hAnsi="Palatino Linotype" w:cs="Palatino Linotype"/>
          <w:color w:val="000000"/>
        </w:rPr>
        <w:t xml:space="preserve"> emite los siguientes:</w:t>
      </w:r>
    </w:p>
    <w:p w:rsidR="000169CC" w:rsidRPr="00712A51" w:rsidRDefault="000169CC" w:rsidP="005E5C33">
      <w:pPr>
        <w:keepNext/>
        <w:keepLines/>
        <w:spacing w:before="240" w:line="360" w:lineRule="auto"/>
        <w:jc w:val="center"/>
        <w:rPr>
          <w:rFonts w:ascii="Palatino Linotype" w:eastAsia="Palatino Linotype" w:hAnsi="Palatino Linotype" w:cs="Palatino Linotype"/>
          <w:b/>
          <w:bCs/>
          <w:color w:val="000000"/>
        </w:rPr>
      </w:pPr>
      <w:r w:rsidRPr="00712A51">
        <w:rPr>
          <w:rFonts w:ascii="Palatino Linotype" w:eastAsia="Palatino Linotype" w:hAnsi="Palatino Linotype" w:cs="Palatino Linotype"/>
          <w:b/>
          <w:bCs/>
          <w:color w:val="000000"/>
        </w:rPr>
        <w:t>R E S O L U T I V O S</w:t>
      </w:r>
    </w:p>
    <w:p w:rsidR="000169CC" w:rsidRPr="00712A51" w:rsidRDefault="000169CC" w:rsidP="00743052">
      <w:pPr>
        <w:keepNext/>
        <w:keepLines/>
        <w:spacing w:before="240" w:line="360" w:lineRule="auto"/>
        <w:jc w:val="both"/>
        <w:rPr>
          <w:rFonts w:ascii="Palatino Linotype" w:eastAsia="Palatino Linotype" w:hAnsi="Palatino Linotype" w:cs="Palatino Linotype"/>
          <w:b/>
          <w:bCs/>
          <w:color w:val="000000"/>
        </w:rPr>
      </w:pPr>
    </w:p>
    <w:p w:rsidR="000169CC" w:rsidRPr="00712A51" w:rsidRDefault="000169CC" w:rsidP="00743052">
      <w:pP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b/>
          <w:bCs/>
        </w:rPr>
        <w:t xml:space="preserve">PRIMERO. </w:t>
      </w:r>
      <w:r w:rsidRPr="00712A51">
        <w:rPr>
          <w:rFonts w:ascii="Palatino Linotype" w:eastAsia="Palatino Linotype" w:hAnsi="Palatino Linotype" w:cs="Palatino Linotype"/>
        </w:rPr>
        <w:t>Resultan fundadas las</w:t>
      </w:r>
      <w:r w:rsidRPr="00712A51">
        <w:rPr>
          <w:rFonts w:ascii="Palatino Linotype" w:eastAsia="Palatino Linotype" w:hAnsi="Palatino Linotype" w:cs="Palatino Linotype"/>
          <w:b/>
          <w:bCs/>
        </w:rPr>
        <w:t xml:space="preserve"> </w:t>
      </w:r>
      <w:r w:rsidRPr="00712A51">
        <w:rPr>
          <w:rFonts w:ascii="Palatino Linotype" w:eastAsia="Palatino Linotype" w:hAnsi="Palatino Linotype" w:cs="Palatino Linotype"/>
        </w:rPr>
        <w:t xml:space="preserve">razones o motivos de inconformidad hechos valer en el recurso de revisión </w:t>
      </w:r>
      <w:r w:rsidR="00C41C42" w:rsidRPr="00712A51">
        <w:rPr>
          <w:rFonts w:ascii="Palatino Linotype" w:eastAsia="Palatino Linotype" w:hAnsi="Palatino Linotype" w:cs="Palatino Linotype"/>
          <w:b/>
          <w:bCs/>
        </w:rPr>
        <w:t>13028</w:t>
      </w:r>
      <w:r w:rsidRPr="00712A51">
        <w:rPr>
          <w:rFonts w:ascii="Palatino Linotype" w:eastAsia="Palatino Linotype" w:hAnsi="Palatino Linotype" w:cs="Palatino Linotype"/>
          <w:b/>
          <w:bCs/>
        </w:rPr>
        <w:t xml:space="preserve">/INFOEM/IP/RR/2025 </w:t>
      </w:r>
      <w:r w:rsidRPr="00712A51">
        <w:rPr>
          <w:rFonts w:ascii="Palatino Linotype" w:eastAsia="Palatino Linotype" w:hAnsi="Palatino Linotype" w:cs="Palatino Linotype"/>
        </w:rPr>
        <w:t xml:space="preserve">en términos del </w:t>
      </w:r>
      <w:r w:rsidRPr="00712A51">
        <w:rPr>
          <w:rFonts w:ascii="Palatino Linotype" w:eastAsia="Palatino Linotype" w:hAnsi="Palatino Linotype" w:cs="Palatino Linotype"/>
          <w:b/>
          <w:bCs/>
        </w:rPr>
        <w:t>Considerando</w:t>
      </w:r>
      <w:r w:rsidRPr="00712A51">
        <w:rPr>
          <w:rFonts w:ascii="Palatino Linotype" w:eastAsia="Palatino Linotype" w:hAnsi="Palatino Linotype" w:cs="Palatino Linotype"/>
        </w:rPr>
        <w:t xml:space="preserve"> </w:t>
      </w:r>
      <w:r w:rsidRPr="00712A51">
        <w:rPr>
          <w:rFonts w:ascii="Palatino Linotype" w:eastAsia="Palatino Linotype" w:hAnsi="Palatino Linotype" w:cs="Palatino Linotype"/>
          <w:b/>
          <w:bCs/>
        </w:rPr>
        <w:t>CUARTO</w:t>
      </w:r>
      <w:r w:rsidR="00C41C42" w:rsidRPr="00712A51">
        <w:rPr>
          <w:rFonts w:ascii="Palatino Linotype" w:eastAsia="Palatino Linotype" w:hAnsi="Palatino Linotype" w:cs="Palatino Linotype"/>
          <w:b/>
          <w:bCs/>
        </w:rPr>
        <w:t xml:space="preserve"> y QUINTO</w:t>
      </w:r>
      <w:r w:rsidRPr="00712A51">
        <w:rPr>
          <w:rFonts w:ascii="Palatino Linotype" w:eastAsia="Palatino Linotype" w:hAnsi="Palatino Linotype" w:cs="Palatino Linotype"/>
          <w:b/>
          <w:bCs/>
        </w:rPr>
        <w:t xml:space="preserve"> </w:t>
      </w:r>
      <w:r w:rsidRPr="00712A51">
        <w:rPr>
          <w:rFonts w:ascii="Palatino Linotype" w:eastAsia="Palatino Linotype" w:hAnsi="Palatino Linotype" w:cs="Palatino Linotype"/>
        </w:rPr>
        <w:t>de la presente resolución.</w:t>
      </w:r>
    </w:p>
    <w:p w:rsidR="000169CC" w:rsidRPr="00712A51" w:rsidRDefault="000169CC" w:rsidP="00743052">
      <w:pPr>
        <w:spacing w:line="360" w:lineRule="auto"/>
        <w:jc w:val="both"/>
        <w:rPr>
          <w:rFonts w:ascii="Palatino Linotype" w:eastAsia="Palatino Linotype" w:hAnsi="Palatino Linotype" w:cs="Palatino Linotype"/>
        </w:rPr>
      </w:pPr>
    </w:p>
    <w:p w:rsidR="000169CC" w:rsidRPr="00712A51" w:rsidRDefault="000169CC" w:rsidP="00743052">
      <w:pPr>
        <w:spacing w:line="360" w:lineRule="auto"/>
        <w:jc w:val="both"/>
        <w:rPr>
          <w:rFonts w:ascii="Palatino Linotype" w:eastAsia="Palatino Linotype" w:hAnsi="Palatino Linotype" w:cs="Palatino Linotype"/>
        </w:rPr>
      </w:pPr>
      <w:bookmarkStart w:id="10" w:name="_heading=h.26in1rg" w:colFirst="0" w:colLast="0"/>
      <w:bookmarkEnd w:id="10"/>
      <w:r w:rsidRPr="00712A51">
        <w:rPr>
          <w:rFonts w:ascii="Palatino Linotype" w:eastAsia="Palatino Linotype" w:hAnsi="Palatino Linotype" w:cs="Palatino Linotype"/>
          <w:b/>
          <w:bCs/>
        </w:rPr>
        <w:t>SEGUNDO.</w:t>
      </w:r>
      <w:r w:rsidRPr="00712A51">
        <w:rPr>
          <w:rFonts w:ascii="Palatino Linotype" w:eastAsia="Palatino Linotype" w:hAnsi="Palatino Linotype" w:cs="Palatino Linotype"/>
          <w:color w:val="2F5496"/>
        </w:rPr>
        <w:t xml:space="preserve"> </w:t>
      </w:r>
      <w:r w:rsidRPr="00712A51">
        <w:rPr>
          <w:rFonts w:ascii="Palatino Linotype" w:eastAsia="Palatino Linotype" w:hAnsi="Palatino Linotype" w:cs="Palatino Linotype"/>
        </w:rPr>
        <w:t>Se</w:t>
      </w:r>
      <w:r w:rsidRPr="00712A51">
        <w:rPr>
          <w:rFonts w:ascii="Palatino Linotype" w:eastAsia="Palatino Linotype" w:hAnsi="Palatino Linotype" w:cs="Palatino Linotype"/>
          <w:b/>
          <w:bCs/>
        </w:rPr>
        <w:t xml:space="preserve"> MODIFICA </w:t>
      </w:r>
      <w:r w:rsidRPr="00712A51">
        <w:rPr>
          <w:rFonts w:ascii="Palatino Linotype" w:eastAsia="Palatino Linotype" w:hAnsi="Palatino Linotype" w:cs="Palatino Linotype"/>
        </w:rPr>
        <w:t xml:space="preserve">la respuesta emitida por la </w:t>
      </w:r>
      <w:r w:rsidR="00C41C42" w:rsidRPr="00712A51">
        <w:rPr>
          <w:rFonts w:ascii="Palatino Linotype" w:eastAsia="Palatino Linotype" w:hAnsi="Palatino Linotype" w:cs="Palatino Linotype"/>
          <w:b/>
          <w:bCs/>
        </w:rPr>
        <w:t xml:space="preserve">Secretaría del Trabajo </w:t>
      </w:r>
      <w:r w:rsidRPr="00712A51">
        <w:rPr>
          <w:rFonts w:ascii="Palatino Linotype" w:eastAsia="Palatino Linotype" w:hAnsi="Palatino Linotype" w:cs="Palatino Linotype"/>
        </w:rPr>
        <w:t xml:space="preserve">a la solicitud </w:t>
      </w:r>
      <w:hyperlink r:id="rId15" w:history="1">
        <w:r w:rsidR="00C41C42" w:rsidRPr="00712A51">
          <w:rPr>
            <w:rStyle w:val="Hipervnculo"/>
            <w:rFonts w:ascii="Palatino Linotype" w:eastAsia="Palatino Linotype" w:hAnsi="Palatino Linotype" w:cs="Palatino Linotype"/>
            <w:b/>
            <w:bCs/>
            <w:color w:val="auto"/>
            <w:u w:val="none"/>
          </w:rPr>
          <w:t>00141/ST/IP/2025</w:t>
        </w:r>
      </w:hyperlink>
      <w:r w:rsidRPr="00712A51">
        <w:rPr>
          <w:rFonts w:ascii="Palatino Linotype" w:eastAsia="Palatino Linotype" w:hAnsi="Palatino Linotype" w:cs="Palatino Linotype"/>
          <w:b/>
          <w:bCs/>
        </w:rPr>
        <w:t>,</w:t>
      </w:r>
      <w:r w:rsidRPr="00712A51">
        <w:rPr>
          <w:rFonts w:ascii="Palatino Linotype" w:eastAsia="Palatino Linotype" w:hAnsi="Palatino Linotype" w:cs="Palatino Linotype"/>
        </w:rPr>
        <w:t xml:space="preserve"> y se </w:t>
      </w:r>
      <w:r w:rsidRPr="00712A51">
        <w:rPr>
          <w:rFonts w:ascii="Palatino Linotype" w:eastAsia="Palatino Linotype" w:hAnsi="Palatino Linotype" w:cs="Palatino Linotype"/>
          <w:b/>
          <w:bCs/>
        </w:rPr>
        <w:t>ORDENA</w:t>
      </w:r>
      <w:r w:rsidRPr="00712A51">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0169CC" w:rsidRPr="00712A51" w:rsidRDefault="000169CC" w:rsidP="00743052">
      <w:pPr>
        <w:spacing w:line="360" w:lineRule="auto"/>
        <w:jc w:val="both"/>
        <w:rPr>
          <w:rFonts w:ascii="Palatino Linotype" w:eastAsia="Palatino Linotype" w:hAnsi="Palatino Linotype" w:cs="Palatino Linotype"/>
        </w:rPr>
      </w:pPr>
    </w:p>
    <w:p w:rsidR="00C41C42" w:rsidRPr="00712A51" w:rsidRDefault="00C41C42" w:rsidP="00DC054A">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rPr>
      </w:pPr>
      <w:bookmarkStart w:id="11" w:name="_heading=h.6oxbj6l8i40c" w:colFirst="0" w:colLast="0"/>
      <w:bookmarkEnd w:id="11"/>
      <w:r w:rsidRPr="00712A51">
        <w:rPr>
          <w:rFonts w:ascii="Palatino Linotype" w:eastAsia="Palatino Linotype" w:hAnsi="Palatino Linotype" w:cs="Palatino Linotype"/>
          <w:b/>
          <w:bCs/>
          <w:color w:val="000000"/>
        </w:rPr>
        <w:lastRenderedPageBreak/>
        <w:t xml:space="preserve">Soporte documental donde consten las remuneraciones del servidor público referido en la solicitud de información, correspondientes a la segunda quince del mes de septiembre y la primera quincena de octubre de dos mil veinticinco. </w:t>
      </w:r>
    </w:p>
    <w:p w:rsidR="000169CC" w:rsidRPr="00712A51" w:rsidRDefault="000169CC" w:rsidP="00743052">
      <w:pPr>
        <w:pBdr>
          <w:top w:val="nil"/>
          <w:left w:val="nil"/>
          <w:bottom w:val="nil"/>
          <w:right w:val="nil"/>
          <w:between w:val="nil"/>
        </w:pBdr>
        <w:spacing w:line="360" w:lineRule="auto"/>
        <w:ind w:left="851" w:right="822"/>
        <w:jc w:val="both"/>
        <w:rPr>
          <w:rFonts w:ascii="Palatino Linotype" w:eastAsia="Palatino Linotype" w:hAnsi="Palatino Linotype" w:cs="Palatino Linotype"/>
          <w:b/>
        </w:rPr>
      </w:pPr>
    </w:p>
    <w:p w:rsidR="000169CC" w:rsidRPr="00712A51" w:rsidRDefault="000169CC" w:rsidP="00743052">
      <w:pPr>
        <w:tabs>
          <w:tab w:val="left" w:pos="993"/>
        </w:tabs>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color w:val="000000"/>
        </w:rPr>
        <w:t xml:space="preserve">Para </w:t>
      </w:r>
      <w:r w:rsidRPr="00712A51">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712A51">
        <w:rPr>
          <w:rFonts w:ascii="Palatino Linotype" w:eastAsia="Palatino Linotype" w:hAnsi="Palatino Linotype" w:cs="Palatino Linotype"/>
          <w:b/>
          <w:bCs/>
        </w:rPr>
        <w:t>RECURRENTE</w:t>
      </w:r>
      <w:r w:rsidRPr="00712A51">
        <w:rPr>
          <w:rFonts w:ascii="Palatino Linotype" w:eastAsia="Palatino Linotype" w:hAnsi="Palatino Linotype" w:cs="Palatino Linotype"/>
        </w:rPr>
        <w:t>.</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b/>
        </w:rPr>
      </w:pPr>
    </w:p>
    <w:p w:rsidR="000169CC" w:rsidRPr="00712A51" w:rsidRDefault="000169CC" w:rsidP="00743052">
      <w:pPr>
        <w:shd w:val="clear" w:color="auto" w:fill="FFFFFF"/>
        <w:spacing w:line="360" w:lineRule="auto"/>
        <w:jc w:val="both"/>
        <w:rPr>
          <w:rFonts w:ascii="Palatino Linotype" w:eastAsia="Palatino Linotype" w:hAnsi="Palatino Linotype" w:cs="Palatino Linotype"/>
          <w:color w:val="222222"/>
        </w:rPr>
      </w:pPr>
      <w:r w:rsidRPr="00712A51">
        <w:rPr>
          <w:rFonts w:ascii="Palatino Linotype" w:eastAsia="Palatino Linotype" w:hAnsi="Palatino Linotype" w:cs="Palatino Linotype"/>
          <w:b/>
          <w:bCs/>
          <w:color w:val="222222"/>
        </w:rPr>
        <w:t xml:space="preserve">TERCERO. </w:t>
      </w:r>
      <w:r w:rsidRPr="00712A51">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712A51">
        <w:rPr>
          <w:rFonts w:ascii="Palatino Linotype" w:eastAsia="Palatino Linotype" w:hAnsi="Palatino Linotype" w:cs="Palatino Linotype"/>
          <w:b/>
          <w:bCs/>
          <w:color w:val="222222"/>
        </w:rPr>
        <w:t>dé cumplimiento a lo ordenado dentro del plazo de diez días hábiles,</w:t>
      </w:r>
      <w:r w:rsidRPr="00712A51">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169CC" w:rsidRPr="00712A51" w:rsidRDefault="000169CC" w:rsidP="00743052">
      <w:pPr>
        <w:shd w:val="clear" w:color="auto" w:fill="FFFFFF"/>
        <w:spacing w:line="360" w:lineRule="auto"/>
        <w:jc w:val="both"/>
        <w:rPr>
          <w:rFonts w:ascii="Palatino Linotype" w:eastAsia="Palatino Linotype" w:hAnsi="Palatino Linotype" w:cs="Palatino Linotype"/>
          <w:b/>
          <w:bCs/>
          <w:color w:val="222222"/>
        </w:rPr>
      </w:pPr>
    </w:p>
    <w:p w:rsidR="000169CC" w:rsidRPr="00712A51" w:rsidRDefault="000169CC" w:rsidP="00743052">
      <w:pPr>
        <w:shd w:val="clear" w:color="auto" w:fill="FFFFFF"/>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b/>
          <w:bCs/>
          <w:color w:val="000000"/>
        </w:rPr>
        <w:t>CUARTO.</w:t>
      </w:r>
      <w:r w:rsidRPr="00712A51">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712A51">
        <w:rPr>
          <w:rFonts w:ascii="Palatino Linotype" w:eastAsia="Palatino Linotype" w:hAnsi="Palatino Linotype" w:cs="Palatino Linotype"/>
          <w:b/>
          <w:bCs/>
          <w:color w:val="000000"/>
        </w:rPr>
        <w:lastRenderedPageBreak/>
        <w:t>SUJETO OBLIGADO</w:t>
      </w:r>
      <w:r w:rsidRPr="00712A51">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0169CC" w:rsidRPr="00712A51" w:rsidRDefault="000169CC" w:rsidP="00743052">
      <w:pPr>
        <w:spacing w:line="360" w:lineRule="auto"/>
        <w:jc w:val="both"/>
        <w:rPr>
          <w:rFonts w:ascii="Palatino Linotype" w:eastAsia="Palatino Linotype" w:hAnsi="Palatino Linotype" w:cs="Palatino Linotype"/>
        </w:rPr>
      </w:pPr>
    </w:p>
    <w:p w:rsidR="000169CC" w:rsidRPr="00712A51" w:rsidRDefault="000169CC" w:rsidP="00743052">
      <w:pPr>
        <w:shd w:val="clear" w:color="auto" w:fill="FFFFFF"/>
        <w:spacing w:line="360" w:lineRule="auto"/>
        <w:jc w:val="both"/>
        <w:rPr>
          <w:rFonts w:ascii="Palatino Linotype" w:eastAsia="Palatino Linotype" w:hAnsi="Palatino Linotype" w:cs="Palatino Linotype"/>
          <w:color w:val="000000"/>
        </w:rPr>
      </w:pPr>
      <w:r w:rsidRPr="00712A51">
        <w:rPr>
          <w:rFonts w:ascii="Palatino Linotype" w:eastAsia="Palatino Linotype" w:hAnsi="Palatino Linotype" w:cs="Palatino Linotype"/>
          <w:b/>
          <w:bCs/>
        </w:rPr>
        <w:t xml:space="preserve">QUINTO. </w:t>
      </w:r>
      <w:r w:rsidRPr="00712A51">
        <w:rPr>
          <w:rFonts w:ascii="Palatino Linotype" w:eastAsia="Palatino Linotype" w:hAnsi="Palatino Linotype" w:cs="Palatino Linotype"/>
          <w:b/>
          <w:bCs/>
          <w:color w:val="222222"/>
        </w:rPr>
        <w:t xml:space="preserve">Notifíquese </w:t>
      </w:r>
      <w:r w:rsidRPr="00712A51">
        <w:rPr>
          <w:rFonts w:ascii="Palatino Linotype" w:eastAsia="Palatino Linotype" w:hAnsi="Palatino Linotype" w:cs="Palatino Linotype"/>
          <w:color w:val="222222"/>
        </w:rPr>
        <w:t xml:space="preserve">al </w:t>
      </w:r>
      <w:r w:rsidRPr="00712A51">
        <w:rPr>
          <w:rFonts w:ascii="Palatino Linotype" w:eastAsia="Palatino Linotype" w:hAnsi="Palatino Linotype" w:cs="Palatino Linotype"/>
          <w:b/>
          <w:bCs/>
          <w:color w:val="222222"/>
        </w:rPr>
        <w:t>RECURRENTE</w:t>
      </w:r>
      <w:r w:rsidRPr="00712A51">
        <w:rPr>
          <w:rFonts w:ascii="Palatino Linotype" w:eastAsia="Palatino Linotype" w:hAnsi="Palatino Linotype" w:cs="Palatino Linotype"/>
          <w:color w:val="222222"/>
        </w:rPr>
        <w:t xml:space="preserve"> </w:t>
      </w:r>
      <w:r w:rsidRPr="00712A51">
        <w:rPr>
          <w:rFonts w:ascii="Palatino Linotype" w:eastAsia="Palatino Linotype" w:hAnsi="Palatino Linotype" w:cs="Palatino Linotype"/>
        </w:rPr>
        <w:t>la presente resolución vía Sistema de Acceso a la Información Mexiquense (SAIMEX).</w:t>
      </w:r>
    </w:p>
    <w:p w:rsidR="000169CC" w:rsidRPr="00712A51" w:rsidRDefault="000169CC" w:rsidP="00743052">
      <w:pPr>
        <w:shd w:val="clear" w:color="auto" w:fill="FFFFFF"/>
        <w:spacing w:line="360" w:lineRule="auto"/>
        <w:jc w:val="both"/>
        <w:rPr>
          <w:rFonts w:ascii="Palatino Linotype" w:eastAsia="Palatino Linotype" w:hAnsi="Palatino Linotype" w:cs="Palatino Linotype"/>
        </w:rPr>
      </w:pPr>
    </w:p>
    <w:p w:rsidR="000169CC" w:rsidRPr="00712A51" w:rsidRDefault="000169CC" w:rsidP="00743052">
      <w:pPr>
        <w:spacing w:line="360" w:lineRule="auto"/>
        <w:jc w:val="both"/>
        <w:rPr>
          <w:rFonts w:ascii="Palatino Linotype" w:eastAsia="Palatino Linotype" w:hAnsi="Palatino Linotype" w:cs="Palatino Linotype"/>
        </w:rPr>
      </w:pPr>
      <w:r w:rsidRPr="00712A51">
        <w:rPr>
          <w:rFonts w:ascii="Palatino Linotype" w:eastAsia="Palatino Linotype" w:hAnsi="Palatino Linotype" w:cs="Palatino Linotype"/>
          <w:b/>
          <w:bCs/>
        </w:rPr>
        <w:t>SEXTO.</w:t>
      </w:r>
      <w:r w:rsidRPr="00712A51">
        <w:rPr>
          <w:rFonts w:ascii="Palatino Linotype" w:eastAsia="Palatino Linotype" w:hAnsi="Palatino Linotype" w:cs="Palatino Linotype"/>
        </w:rPr>
        <w:t xml:space="preserve"> Se hace del conocimiento del </w:t>
      </w:r>
      <w:r w:rsidRPr="00712A51">
        <w:rPr>
          <w:rFonts w:ascii="Palatino Linotype" w:eastAsia="Palatino Linotype" w:hAnsi="Palatino Linotype" w:cs="Palatino Linotype"/>
          <w:b/>
          <w:bCs/>
        </w:rPr>
        <w:t>RECURRENTE</w:t>
      </w:r>
      <w:r w:rsidRPr="00712A51">
        <w:rPr>
          <w:rFonts w:ascii="Palatino Linotype" w:eastAsia="Palatino Linotype" w:hAnsi="Palatino Linotype" w:cs="Palatino Linotype"/>
          <w:color w:val="222222"/>
        </w:rPr>
        <w:t xml:space="preserve"> </w:t>
      </w:r>
      <w:r w:rsidRPr="00712A51">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5C33" w:rsidRPr="00712A51" w:rsidRDefault="005E5C33" w:rsidP="005E5C33">
      <w:pPr>
        <w:spacing w:before="240" w:after="240" w:line="360" w:lineRule="auto"/>
        <w:ind w:firstLine="1"/>
        <w:jc w:val="both"/>
        <w:rPr>
          <w:rFonts w:ascii="Palatino Linotype" w:hAnsi="Palatino Linotype"/>
        </w:rPr>
      </w:pPr>
      <w:bookmarkStart w:id="12" w:name="_Hlk99014733"/>
      <w:r w:rsidRPr="00712A5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712A51">
        <w:rPr>
          <w:rFonts w:ascii="Palatino Linotype" w:hAnsi="Palatino Linotype" w:cs="Palatino Linotype"/>
          <w:color w:val="000000" w:themeColor="text1"/>
        </w:rPr>
        <w:t>ALEXIS TAPIA RAMÍREZ.</w:t>
      </w:r>
    </w:p>
    <w:bookmarkEnd w:id="12"/>
    <w:p w:rsidR="000169CC" w:rsidRPr="00712A51" w:rsidRDefault="000169CC" w:rsidP="00743052">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0169CC" w:rsidRPr="00712A51" w:rsidRDefault="000169CC" w:rsidP="00743052">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pBdr>
          <w:top w:val="nil"/>
          <w:left w:val="nil"/>
          <w:bottom w:val="nil"/>
          <w:right w:val="nil"/>
          <w:between w:val="nil"/>
        </w:pBdr>
        <w:ind w:left="720"/>
        <w:jc w:val="both"/>
        <w:rPr>
          <w:rFonts w:ascii="Palatino Linotype" w:eastAsia="Palatino Linotype" w:hAnsi="Palatino Linotype" w:cs="Palatino Linotype"/>
          <w:color w:val="000000"/>
        </w:rPr>
      </w:pPr>
    </w:p>
    <w:p w:rsidR="000169CC" w:rsidRPr="00712A51" w:rsidRDefault="000169CC" w:rsidP="0074305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0169CC" w:rsidRPr="00712A51" w:rsidRDefault="000169CC" w:rsidP="00743052">
      <w:pPr>
        <w:jc w:val="both"/>
        <w:rPr>
          <w:rFonts w:ascii="Palatino Linotype" w:hAnsi="Palatino Linotype"/>
        </w:rPr>
      </w:pPr>
    </w:p>
    <w:p w:rsidR="005C7195" w:rsidRPr="00712A51" w:rsidRDefault="005C7195"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p w:rsidR="001A49DA" w:rsidRPr="00712A51" w:rsidRDefault="001A49DA" w:rsidP="00743052">
      <w:pPr>
        <w:jc w:val="both"/>
        <w:rPr>
          <w:rFonts w:ascii="Palatino Linotype" w:hAnsi="Palatino Linotype"/>
        </w:rPr>
      </w:pPr>
    </w:p>
    <w:sectPr w:rsidR="001A49DA" w:rsidRPr="00712A51" w:rsidSect="00712A51">
      <w:headerReference w:type="even" r:id="rId16"/>
      <w:headerReference w:type="default" r:id="rId17"/>
      <w:footerReference w:type="default" r:id="rId18"/>
      <w:headerReference w:type="first" r:id="rId19"/>
      <w:footerReference w:type="first" r:id="rId20"/>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2E3" w:rsidRDefault="007C52E3" w:rsidP="000169CC">
      <w:r>
        <w:separator/>
      </w:r>
    </w:p>
  </w:endnote>
  <w:endnote w:type="continuationSeparator" w:id="0">
    <w:p w:rsidR="007C52E3" w:rsidRDefault="007C52E3" w:rsidP="00016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3E" w:rsidRPr="00712A51" w:rsidRDefault="004F013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12A51">
      <w:rPr>
        <w:rFonts w:ascii="Palatino Linotype" w:hAnsi="Palatino Linotype"/>
        <w:color w:val="000000"/>
        <w:sz w:val="22"/>
      </w:rPr>
      <w:t xml:space="preserve">Página </w:t>
    </w:r>
    <w:r w:rsidRPr="00712A51">
      <w:rPr>
        <w:rFonts w:ascii="Palatino Linotype" w:hAnsi="Palatino Linotype"/>
        <w:b/>
        <w:bCs/>
        <w:color w:val="000000"/>
        <w:sz w:val="22"/>
      </w:rPr>
      <w:fldChar w:fldCharType="begin"/>
    </w:r>
    <w:r w:rsidRPr="00712A51">
      <w:rPr>
        <w:rFonts w:ascii="Palatino Linotype" w:hAnsi="Palatino Linotype"/>
        <w:b/>
        <w:bCs/>
        <w:color w:val="000000"/>
        <w:sz w:val="22"/>
      </w:rPr>
      <w:instrText>PAGE</w:instrText>
    </w:r>
    <w:r w:rsidRPr="00712A51">
      <w:rPr>
        <w:rFonts w:ascii="Palatino Linotype" w:hAnsi="Palatino Linotype"/>
        <w:b/>
        <w:bCs/>
        <w:color w:val="000000"/>
        <w:sz w:val="22"/>
      </w:rPr>
      <w:fldChar w:fldCharType="separate"/>
    </w:r>
    <w:r w:rsidR="00712A51">
      <w:rPr>
        <w:rFonts w:ascii="Palatino Linotype" w:hAnsi="Palatino Linotype"/>
        <w:b/>
        <w:bCs/>
        <w:noProof/>
        <w:color w:val="000000"/>
        <w:sz w:val="22"/>
      </w:rPr>
      <w:t>32</w:t>
    </w:r>
    <w:r w:rsidRPr="00712A51">
      <w:rPr>
        <w:rFonts w:ascii="Palatino Linotype" w:hAnsi="Palatino Linotype"/>
        <w:b/>
        <w:bCs/>
        <w:color w:val="000000"/>
        <w:sz w:val="22"/>
      </w:rPr>
      <w:fldChar w:fldCharType="end"/>
    </w:r>
    <w:r w:rsidRPr="00712A51">
      <w:rPr>
        <w:rFonts w:ascii="Palatino Linotype" w:hAnsi="Palatino Linotype"/>
        <w:color w:val="000000"/>
        <w:sz w:val="22"/>
      </w:rPr>
      <w:t xml:space="preserve"> de </w:t>
    </w:r>
    <w:r w:rsidRPr="00712A51">
      <w:rPr>
        <w:rFonts w:ascii="Palatino Linotype" w:hAnsi="Palatino Linotype"/>
        <w:b/>
        <w:bCs/>
        <w:color w:val="000000"/>
        <w:sz w:val="22"/>
      </w:rPr>
      <w:fldChar w:fldCharType="begin"/>
    </w:r>
    <w:r w:rsidRPr="00712A51">
      <w:rPr>
        <w:rFonts w:ascii="Palatino Linotype" w:hAnsi="Palatino Linotype"/>
        <w:b/>
        <w:bCs/>
        <w:color w:val="000000"/>
        <w:sz w:val="22"/>
      </w:rPr>
      <w:instrText>NUMPAGES</w:instrText>
    </w:r>
    <w:r w:rsidRPr="00712A51">
      <w:rPr>
        <w:rFonts w:ascii="Palatino Linotype" w:hAnsi="Palatino Linotype"/>
        <w:b/>
        <w:bCs/>
        <w:color w:val="000000"/>
        <w:sz w:val="22"/>
      </w:rPr>
      <w:fldChar w:fldCharType="separate"/>
    </w:r>
    <w:r w:rsidR="00712A51">
      <w:rPr>
        <w:rFonts w:ascii="Palatino Linotype" w:hAnsi="Palatino Linotype"/>
        <w:b/>
        <w:bCs/>
        <w:noProof/>
        <w:color w:val="000000"/>
        <w:sz w:val="22"/>
      </w:rPr>
      <w:t>46</w:t>
    </w:r>
    <w:r w:rsidRPr="00712A51">
      <w:rPr>
        <w:rFonts w:ascii="Palatino Linotype" w:hAnsi="Palatino Linotype"/>
        <w:b/>
        <w:bCs/>
        <w:color w:val="000000"/>
        <w:sz w:val="22"/>
      </w:rPr>
      <w:fldChar w:fldCharType="end"/>
    </w:r>
  </w:p>
  <w:p w:rsidR="004F013E" w:rsidRDefault="004F013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3E" w:rsidRPr="00712A51" w:rsidRDefault="004F013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12A51">
      <w:rPr>
        <w:rFonts w:ascii="Palatino Linotype" w:hAnsi="Palatino Linotype"/>
        <w:color w:val="000000"/>
        <w:sz w:val="22"/>
      </w:rPr>
      <w:t xml:space="preserve">Página </w:t>
    </w:r>
    <w:r w:rsidRPr="00712A51">
      <w:rPr>
        <w:rFonts w:ascii="Palatino Linotype" w:hAnsi="Palatino Linotype"/>
        <w:b/>
        <w:bCs/>
        <w:color w:val="000000"/>
        <w:sz w:val="22"/>
      </w:rPr>
      <w:fldChar w:fldCharType="begin"/>
    </w:r>
    <w:r w:rsidRPr="00712A51">
      <w:rPr>
        <w:rFonts w:ascii="Palatino Linotype" w:hAnsi="Palatino Linotype"/>
        <w:b/>
        <w:bCs/>
        <w:color w:val="000000"/>
        <w:sz w:val="22"/>
      </w:rPr>
      <w:instrText>PAGE</w:instrText>
    </w:r>
    <w:r w:rsidRPr="00712A51">
      <w:rPr>
        <w:rFonts w:ascii="Palatino Linotype" w:hAnsi="Palatino Linotype"/>
        <w:b/>
        <w:bCs/>
        <w:color w:val="000000"/>
        <w:sz w:val="22"/>
      </w:rPr>
      <w:fldChar w:fldCharType="separate"/>
    </w:r>
    <w:r w:rsidR="00712A51">
      <w:rPr>
        <w:rFonts w:ascii="Palatino Linotype" w:hAnsi="Palatino Linotype"/>
        <w:b/>
        <w:bCs/>
        <w:noProof/>
        <w:color w:val="000000"/>
        <w:sz w:val="22"/>
      </w:rPr>
      <w:t>1</w:t>
    </w:r>
    <w:r w:rsidRPr="00712A51">
      <w:rPr>
        <w:rFonts w:ascii="Palatino Linotype" w:hAnsi="Palatino Linotype"/>
        <w:b/>
        <w:bCs/>
        <w:color w:val="000000"/>
        <w:sz w:val="22"/>
      </w:rPr>
      <w:fldChar w:fldCharType="end"/>
    </w:r>
    <w:r w:rsidRPr="00712A51">
      <w:rPr>
        <w:rFonts w:ascii="Palatino Linotype" w:hAnsi="Palatino Linotype"/>
        <w:color w:val="000000"/>
        <w:sz w:val="22"/>
      </w:rPr>
      <w:t xml:space="preserve"> de </w:t>
    </w:r>
    <w:r w:rsidRPr="00712A51">
      <w:rPr>
        <w:rFonts w:ascii="Palatino Linotype" w:hAnsi="Palatino Linotype"/>
        <w:b/>
        <w:bCs/>
        <w:color w:val="000000"/>
        <w:sz w:val="22"/>
      </w:rPr>
      <w:fldChar w:fldCharType="begin"/>
    </w:r>
    <w:r w:rsidRPr="00712A51">
      <w:rPr>
        <w:rFonts w:ascii="Palatino Linotype" w:hAnsi="Palatino Linotype"/>
        <w:b/>
        <w:bCs/>
        <w:color w:val="000000"/>
        <w:sz w:val="22"/>
      </w:rPr>
      <w:instrText>NUMPAGES</w:instrText>
    </w:r>
    <w:r w:rsidRPr="00712A51">
      <w:rPr>
        <w:rFonts w:ascii="Palatino Linotype" w:hAnsi="Palatino Linotype"/>
        <w:b/>
        <w:bCs/>
        <w:color w:val="000000"/>
        <w:sz w:val="22"/>
      </w:rPr>
      <w:fldChar w:fldCharType="separate"/>
    </w:r>
    <w:r w:rsidR="00712A51">
      <w:rPr>
        <w:rFonts w:ascii="Palatino Linotype" w:hAnsi="Palatino Linotype"/>
        <w:b/>
        <w:bCs/>
        <w:noProof/>
        <w:color w:val="000000"/>
        <w:sz w:val="22"/>
      </w:rPr>
      <w:t>46</w:t>
    </w:r>
    <w:r w:rsidRPr="00712A51">
      <w:rPr>
        <w:rFonts w:ascii="Palatino Linotype" w:hAnsi="Palatino Linotype"/>
        <w:b/>
        <w:bCs/>
        <w:color w:val="000000"/>
        <w:sz w:val="22"/>
      </w:rPr>
      <w:fldChar w:fldCharType="end"/>
    </w:r>
  </w:p>
  <w:p w:rsidR="004F013E" w:rsidRDefault="004F013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2E3" w:rsidRDefault="007C52E3" w:rsidP="000169CC">
      <w:r>
        <w:separator/>
      </w:r>
    </w:p>
  </w:footnote>
  <w:footnote w:type="continuationSeparator" w:id="0">
    <w:p w:rsidR="007C52E3" w:rsidRDefault="007C52E3" w:rsidP="000169CC">
      <w:r>
        <w:continuationSeparator/>
      </w:r>
    </w:p>
  </w:footnote>
  <w:footnote w:id="1">
    <w:p w:rsidR="00652C02" w:rsidRDefault="00652C02" w:rsidP="00652C02">
      <w:pPr>
        <w:pStyle w:val="Textonotapie"/>
      </w:pPr>
      <w:r>
        <w:rPr>
          <w:rStyle w:val="Refdenotaalpie"/>
        </w:rPr>
        <w:footnoteRef/>
      </w:r>
      <w:r>
        <w:t xml:space="preserve"> Convención Americana sobre Derechos Humanos. Artículo 13.</w:t>
      </w:r>
    </w:p>
  </w:footnote>
  <w:footnote w:id="2">
    <w:p w:rsidR="00652C02" w:rsidRDefault="00652C02" w:rsidP="00652C02">
      <w:pPr>
        <w:pStyle w:val="Textonotapie"/>
      </w:pPr>
      <w:r>
        <w:rPr>
          <w:rStyle w:val="Refdenotaalpie"/>
        </w:rPr>
        <w:footnoteRef/>
      </w:r>
      <w:r>
        <w:t xml:space="preserve"> Constitución Política de los Estados Unidos Mexicanos. Artículo sexto, sección A, Fracción I.</w:t>
      </w:r>
    </w:p>
  </w:footnote>
  <w:footnote w:id="3">
    <w:p w:rsidR="00652C02" w:rsidRDefault="00652C02" w:rsidP="00652C02">
      <w:pPr>
        <w:pStyle w:val="Textonotapie"/>
      </w:pPr>
      <w:r>
        <w:rPr>
          <w:rStyle w:val="Refdenotaalpie"/>
        </w:rPr>
        <w:footnoteRef/>
      </w:r>
      <w:r>
        <w:t xml:space="preserve"> Corte Interamericana de Derechos Humanos. Caso Claude Reyes y otros vs Chile. Sentencia de 19 de septiembre de 2006. Serie C. No. 151. Párr. 86.</w:t>
      </w:r>
    </w:p>
  </w:footnote>
  <w:footnote w:id="4">
    <w:p w:rsidR="00652C02" w:rsidRDefault="00652C02" w:rsidP="00652C02">
      <w:pPr>
        <w:pStyle w:val="Textonotapie"/>
      </w:pPr>
      <w:r>
        <w:rPr>
          <w:rStyle w:val="Refdenotaalpie"/>
        </w:rPr>
        <w:footnoteRef/>
      </w:r>
      <w:r>
        <w:t xml:space="preserve"> Ibídem. Párr. 87.</w:t>
      </w:r>
    </w:p>
  </w:footnote>
  <w:footnote w:id="5">
    <w:p w:rsidR="00652C02" w:rsidRDefault="00652C02" w:rsidP="00652C02">
      <w:pPr>
        <w:pStyle w:val="Textonotapie"/>
      </w:pPr>
      <w:r>
        <w:rPr>
          <w:rStyle w:val="Refdenotaalpie"/>
        </w:rPr>
        <w:footnoteRef/>
      </w:r>
      <w: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89286F">
          <w:rPr>
            <w:rStyle w:val="Hipervnculo"/>
          </w:rPr>
          <w:t>http://www.oas.org/es/cidh/expresion/documentos_basicos/declaraciones.asp</w:t>
        </w:r>
      </w:hyperlink>
      <w:r>
        <w:t>.</w:t>
      </w:r>
    </w:p>
  </w:footnote>
  <w:footnote w:id="6">
    <w:p w:rsidR="00652C02" w:rsidRDefault="00652C02" w:rsidP="00652C02">
      <w:pPr>
        <w:pStyle w:val="Textonotapie"/>
      </w:pPr>
      <w:r>
        <w:rPr>
          <w:rStyle w:val="Refdenotaalpie"/>
        </w:rPr>
        <w:footnoteRef/>
      </w:r>
      <w:r>
        <w:t xml:space="preserve"> Artículo 150. Ley de Transparencia y Acceso a la Información Pública del Estado de México y Municipios.</w:t>
      </w:r>
    </w:p>
    <w:p w:rsidR="00652C02" w:rsidRDefault="00652C02" w:rsidP="00652C02">
      <w:pPr>
        <w:pStyle w:val="Textonotapie"/>
      </w:pPr>
      <w:r>
        <w:t>Artículo 151. Ibídem.</w:t>
      </w:r>
    </w:p>
  </w:footnote>
  <w:footnote w:id="7">
    <w:p w:rsidR="00652C02" w:rsidRDefault="00652C02" w:rsidP="00652C02">
      <w:pPr>
        <w:pStyle w:val="Textonotapie"/>
      </w:pPr>
      <w:r>
        <w:rPr>
          <w:rStyle w:val="Refdenotaalpie"/>
        </w:rPr>
        <w:footnoteRef/>
      </w:r>
      <w:r>
        <w:t xml:space="preserve"> Ley de Transparencia y Acceso a la Información Pública del Estado de México y Municipios. Artículo 9. …</w:t>
      </w:r>
    </w:p>
    <w:p w:rsidR="00652C02" w:rsidRDefault="00652C02" w:rsidP="00652C02">
      <w:pPr>
        <w:pStyle w:val="Textonotapie"/>
      </w:pPr>
      <w:r>
        <w:t>II. Eficacia: Obligación del Instituto para tutelar, de manera efectiva, el derecho de acceso a la información;</w:t>
      </w:r>
    </w:p>
    <w:p w:rsidR="00652C02" w:rsidRDefault="00652C02" w:rsidP="00652C02">
      <w:pPr>
        <w:pStyle w:val="Textonotapie"/>
      </w:pPr>
      <w:r>
        <w:t xml:space="preserve">… </w:t>
      </w:r>
    </w:p>
  </w:footnote>
  <w:footnote w:id="8">
    <w:p w:rsidR="00743052" w:rsidRDefault="00743052" w:rsidP="00743052">
      <w:pPr>
        <w:pStyle w:val="Textonotapie"/>
      </w:pPr>
      <w:r>
        <w:rPr>
          <w:rStyle w:val="Refdenotaalpie"/>
        </w:rPr>
        <w:footnoteRef/>
      </w:r>
      <w:r>
        <w:t xml:space="preserve"> Manual de Organización de Oficialía Mayor. 23400004040000L DIRECCIÓN DE REMUNERACIONES AL PERSONAL.</w:t>
      </w:r>
    </w:p>
  </w:footnote>
  <w:footnote w:id="9">
    <w:p w:rsidR="00C41C42" w:rsidRDefault="00C41C42" w:rsidP="00C41C42">
      <w:pPr>
        <w:pStyle w:val="Textonotapie"/>
      </w:pPr>
      <w:r>
        <w:rPr>
          <w:rStyle w:val="Refdenotaalpie"/>
        </w:rPr>
        <w:footnoteRef/>
      </w:r>
      <w:r>
        <w:t xml:space="preserve"> </w:t>
      </w:r>
      <w:hyperlink r:id="rId2" w:history="1">
        <w:r w:rsidRPr="008A46CF">
          <w:rPr>
            <w:rStyle w:val="Hipervnculo"/>
          </w:rPr>
          <w:t>https://legislacion.edomex.gob.mx/sites/legislacion.edomex.gob.mx/files/files/pdf/ley/vig/leyvig083.pdf</w:t>
        </w:r>
      </w:hyperlink>
    </w:p>
    <w:p w:rsidR="00C41C42" w:rsidRDefault="00C41C42" w:rsidP="00C41C42">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3E" w:rsidRDefault="007C52E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977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4F013E" w:rsidTr="00712A51">
      <w:trPr>
        <w:trHeight w:val="1435"/>
      </w:trPr>
      <w:tc>
        <w:tcPr>
          <w:tcW w:w="2268" w:type="dxa"/>
          <w:shd w:val="clear" w:color="auto" w:fill="auto"/>
        </w:tcPr>
        <w:p w:rsidR="004F013E" w:rsidRDefault="004F013E">
          <w:pPr>
            <w:tabs>
              <w:tab w:val="right" w:pos="4273"/>
            </w:tabs>
            <w:rPr>
              <w:rFonts w:ascii="Garamond" w:eastAsia="Garamond" w:hAnsi="Garamond" w:cs="Garamond"/>
              <w:sz w:val="16"/>
              <w:szCs w:val="16"/>
            </w:rPr>
          </w:pPr>
        </w:p>
      </w:tc>
      <w:tc>
        <w:tcPr>
          <w:tcW w:w="8222" w:type="dxa"/>
          <w:shd w:val="clear" w:color="auto" w:fill="auto"/>
        </w:tcPr>
        <w:tbl>
          <w:tblPr>
            <w:tblW w:w="7088" w:type="dxa"/>
            <w:tblInd w:w="1168" w:type="dxa"/>
            <w:tblLayout w:type="fixed"/>
            <w:tblLook w:val="0400" w:firstRow="0" w:lastRow="0" w:firstColumn="0" w:lastColumn="0" w:noHBand="0" w:noVBand="1"/>
          </w:tblPr>
          <w:tblGrid>
            <w:gridCol w:w="2977"/>
            <w:gridCol w:w="4111"/>
          </w:tblGrid>
          <w:tr w:rsidR="004F013E" w:rsidTr="00712A51">
            <w:trPr>
              <w:trHeight w:val="150"/>
            </w:trPr>
            <w:tc>
              <w:tcPr>
                <w:tcW w:w="2977" w:type="dxa"/>
                <w:shd w:val="clear" w:color="auto" w:fill="auto"/>
              </w:tcPr>
              <w:p w:rsidR="004F013E" w:rsidRPr="00712A51" w:rsidRDefault="004F013E" w:rsidP="005E5C33">
                <w:pPr>
                  <w:tabs>
                    <w:tab w:val="right" w:pos="8838"/>
                  </w:tabs>
                  <w:ind w:right="-105"/>
                  <w:rPr>
                    <w:rFonts w:ascii="Palatino Linotype" w:eastAsia="Palatino Linotype" w:hAnsi="Palatino Linotype" w:cs="Palatino Linotype"/>
                    <w:b/>
                    <w:bCs/>
                    <w:szCs w:val="22"/>
                  </w:rPr>
                </w:pPr>
                <w:r w:rsidRPr="00712A51">
                  <w:rPr>
                    <w:rFonts w:ascii="Palatino Linotype" w:eastAsia="Palatino Linotype" w:hAnsi="Palatino Linotype" w:cs="Palatino Linotype"/>
                    <w:b/>
                    <w:bCs/>
                    <w:szCs w:val="22"/>
                  </w:rPr>
                  <w:t>Recurso de Revisión:</w:t>
                </w:r>
              </w:p>
            </w:tc>
            <w:tc>
              <w:tcPr>
                <w:tcW w:w="4111" w:type="dxa"/>
                <w:shd w:val="clear" w:color="auto" w:fill="auto"/>
              </w:tcPr>
              <w:p w:rsidR="004F013E" w:rsidRPr="00712A51" w:rsidRDefault="004F013E" w:rsidP="005E5C33">
                <w:pPr>
                  <w:tabs>
                    <w:tab w:val="right" w:pos="8838"/>
                  </w:tabs>
                  <w:ind w:right="-1090"/>
                  <w:jc w:val="both"/>
                  <w:rPr>
                    <w:rFonts w:ascii="Palatino Linotype" w:eastAsia="Palatino Linotype" w:hAnsi="Palatino Linotype" w:cs="Palatino Linotype"/>
                    <w:szCs w:val="22"/>
                  </w:rPr>
                </w:pPr>
                <w:r w:rsidRPr="00712A51">
                  <w:rPr>
                    <w:rFonts w:ascii="Palatino Linotype" w:eastAsia="Palatino Linotype" w:hAnsi="Palatino Linotype" w:cs="Palatino Linotype"/>
                    <w:szCs w:val="22"/>
                  </w:rPr>
                  <w:t>13028/INFOEM/IP/RR/2025</w:t>
                </w:r>
                <w:r w:rsidRPr="00712A51">
                  <w:rPr>
                    <w:rFonts w:ascii="Palatino Linotype" w:eastAsia="Palatino Linotype" w:hAnsi="Palatino Linotype" w:cs="Palatino Linotype"/>
                    <w:b/>
                    <w:bCs/>
                    <w:szCs w:val="22"/>
                  </w:rPr>
                  <w:t xml:space="preserve"> </w:t>
                </w:r>
              </w:p>
            </w:tc>
          </w:tr>
          <w:tr w:rsidR="004F013E" w:rsidTr="00712A51">
            <w:trPr>
              <w:trHeight w:val="295"/>
            </w:trPr>
            <w:tc>
              <w:tcPr>
                <w:tcW w:w="2977" w:type="dxa"/>
                <w:shd w:val="clear" w:color="auto" w:fill="auto"/>
              </w:tcPr>
              <w:p w:rsidR="004F013E" w:rsidRPr="00712A51" w:rsidRDefault="004F013E" w:rsidP="005E5C33">
                <w:pPr>
                  <w:tabs>
                    <w:tab w:val="right" w:pos="8838"/>
                  </w:tabs>
                  <w:ind w:right="-105"/>
                  <w:rPr>
                    <w:rFonts w:ascii="Palatino Linotype" w:eastAsia="Palatino Linotype" w:hAnsi="Palatino Linotype" w:cs="Palatino Linotype"/>
                    <w:b/>
                    <w:bCs/>
                    <w:szCs w:val="22"/>
                  </w:rPr>
                </w:pPr>
                <w:r w:rsidRPr="00712A51">
                  <w:rPr>
                    <w:rFonts w:ascii="Palatino Linotype" w:eastAsia="Palatino Linotype" w:hAnsi="Palatino Linotype" w:cs="Palatino Linotype"/>
                    <w:b/>
                    <w:bCs/>
                    <w:szCs w:val="22"/>
                  </w:rPr>
                  <w:t>Sujeto Obligado:</w:t>
                </w:r>
              </w:p>
            </w:tc>
            <w:tc>
              <w:tcPr>
                <w:tcW w:w="4111" w:type="dxa"/>
                <w:shd w:val="clear" w:color="auto" w:fill="auto"/>
              </w:tcPr>
              <w:p w:rsidR="004F013E" w:rsidRPr="00712A51" w:rsidRDefault="004F013E" w:rsidP="005E5C33">
                <w:pPr>
                  <w:tabs>
                    <w:tab w:val="left" w:pos="2834"/>
                    <w:tab w:val="right" w:pos="8838"/>
                  </w:tabs>
                  <w:ind w:right="-1090"/>
                  <w:jc w:val="both"/>
                  <w:rPr>
                    <w:rFonts w:ascii="Palatino Linotype" w:eastAsia="Palatino Linotype" w:hAnsi="Palatino Linotype" w:cs="Palatino Linotype"/>
                    <w:szCs w:val="22"/>
                  </w:rPr>
                </w:pPr>
                <w:r w:rsidRPr="00712A51">
                  <w:rPr>
                    <w:rFonts w:ascii="Palatino Linotype" w:eastAsia="Palatino Linotype" w:hAnsi="Palatino Linotype" w:cs="Palatino Linotype"/>
                    <w:bCs/>
                    <w:szCs w:val="22"/>
                  </w:rPr>
                  <w:t>Secretaría del Trabajo</w:t>
                </w:r>
              </w:p>
            </w:tc>
          </w:tr>
          <w:tr w:rsidR="004F013E" w:rsidTr="00712A51">
            <w:trPr>
              <w:trHeight w:val="295"/>
            </w:trPr>
            <w:tc>
              <w:tcPr>
                <w:tcW w:w="2977" w:type="dxa"/>
                <w:shd w:val="clear" w:color="auto" w:fill="auto"/>
              </w:tcPr>
              <w:p w:rsidR="004F013E" w:rsidRPr="00712A51" w:rsidRDefault="004F013E" w:rsidP="005E5C33">
                <w:pPr>
                  <w:tabs>
                    <w:tab w:val="right" w:pos="8838"/>
                  </w:tabs>
                  <w:ind w:right="-105"/>
                  <w:rPr>
                    <w:rFonts w:ascii="Palatino Linotype" w:eastAsia="Palatino Linotype" w:hAnsi="Palatino Linotype" w:cs="Palatino Linotype"/>
                    <w:b/>
                    <w:bCs/>
                    <w:szCs w:val="22"/>
                  </w:rPr>
                </w:pPr>
                <w:r w:rsidRPr="00712A51">
                  <w:rPr>
                    <w:rFonts w:ascii="Palatino Linotype" w:eastAsia="Palatino Linotype" w:hAnsi="Palatino Linotype" w:cs="Palatino Linotype"/>
                    <w:b/>
                    <w:bCs/>
                    <w:szCs w:val="22"/>
                  </w:rPr>
                  <w:t>Comisionado ponente:</w:t>
                </w:r>
              </w:p>
            </w:tc>
            <w:tc>
              <w:tcPr>
                <w:tcW w:w="4111" w:type="dxa"/>
                <w:shd w:val="clear" w:color="auto" w:fill="auto"/>
              </w:tcPr>
              <w:p w:rsidR="004F013E" w:rsidRPr="00712A51" w:rsidRDefault="004F013E" w:rsidP="005E5C33">
                <w:pPr>
                  <w:tabs>
                    <w:tab w:val="right" w:pos="8838"/>
                  </w:tabs>
                  <w:ind w:right="-1090"/>
                  <w:jc w:val="both"/>
                  <w:rPr>
                    <w:rFonts w:ascii="Palatino Linotype" w:eastAsia="Palatino Linotype" w:hAnsi="Palatino Linotype" w:cs="Palatino Linotype"/>
                    <w:szCs w:val="22"/>
                  </w:rPr>
                </w:pPr>
                <w:r w:rsidRPr="00712A51">
                  <w:rPr>
                    <w:rFonts w:ascii="Palatino Linotype" w:eastAsia="Palatino Linotype" w:hAnsi="Palatino Linotype" w:cs="Palatino Linotype"/>
                    <w:szCs w:val="22"/>
                  </w:rPr>
                  <w:t>María del Rosario Mejía Ayala</w:t>
                </w:r>
              </w:p>
              <w:p w:rsidR="004F013E" w:rsidRPr="00712A51" w:rsidRDefault="004F013E" w:rsidP="005E5C33">
                <w:pPr>
                  <w:tabs>
                    <w:tab w:val="right" w:pos="8838"/>
                  </w:tabs>
                  <w:ind w:right="-1090"/>
                  <w:jc w:val="both"/>
                  <w:rPr>
                    <w:rFonts w:ascii="Palatino Linotype" w:eastAsia="Palatino Linotype" w:hAnsi="Palatino Linotype" w:cs="Palatino Linotype"/>
                    <w:b/>
                    <w:bCs/>
                    <w:szCs w:val="22"/>
                  </w:rPr>
                </w:pPr>
              </w:p>
            </w:tc>
          </w:tr>
        </w:tbl>
        <w:p w:rsidR="004F013E" w:rsidRDefault="004F013E">
          <w:pPr>
            <w:tabs>
              <w:tab w:val="right" w:pos="8838"/>
            </w:tabs>
            <w:ind w:left="-28"/>
            <w:jc w:val="both"/>
            <w:rPr>
              <w:rFonts w:ascii="Arial" w:eastAsia="Arial" w:hAnsi="Arial" w:cs="Arial"/>
              <w:b/>
              <w:bCs/>
              <w:sz w:val="22"/>
              <w:szCs w:val="22"/>
            </w:rPr>
          </w:pPr>
        </w:p>
      </w:tc>
    </w:tr>
  </w:tbl>
  <w:p w:rsidR="004F013E" w:rsidRDefault="007C52E3">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4F013E">
      <w:trPr>
        <w:trHeight w:val="1435"/>
      </w:trPr>
      <w:tc>
        <w:tcPr>
          <w:tcW w:w="2265" w:type="dxa"/>
          <w:shd w:val="clear" w:color="auto" w:fill="auto"/>
        </w:tcPr>
        <w:p w:rsidR="004F013E" w:rsidRDefault="004F013E">
          <w:pPr>
            <w:tabs>
              <w:tab w:val="right" w:pos="4273"/>
            </w:tabs>
            <w:rPr>
              <w:rFonts w:ascii="Garamond" w:eastAsia="Garamond" w:hAnsi="Garamond" w:cs="Garamond"/>
              <w:sz w:val="22"/>
              <w:szCs w:val="22"/>
            </w:rPr>
          </w:pPr>
        </w:p>
      </w:tc>
      <w:tc>
        <w:tcPr>
          <w:tcW w:w="7755" w:type="dxa"/>
          <w:shd w:val="clear" w:color="auto" w:fill="auto"/>
        </w:tcPr>
        <w:tbl>
          <w:tblPr>
            <w:tblW w:w="7658" w:type="dxa"/>
            <w:tblInd w:w="1313" w:type="dxa"/>
            <w:tblLayout w:type="fixed"/>
            <w:tblLook w:val="0400" w:firstRow="0" w:lastRow="0" w:firstColumn="0" w:lastColumn="0" w:noHBand="0" w:noVBand="1"/>
          </w:tblPr>
          <w:tblGrid>
            <w:gridCol w:w="2693"/>
            <w:gridCol w:w="4965"/>
          </w:tblGrid>
          <w:tr w:rsidR="004F013E" w:rsidTr="00712A51">
            <w:trPr>
              <w:trHeight w:val="144"/>
            </w:trPr>
            <w:tc>
              <w:tcPr>
                <w:tcW w:w="2693" w:type="dxa"/>
                <w:shd w:val="clear" w:color="auto" w:fill="auto"/>
              </w:tcPr>
              <w:p w:rsidR="004F013E" w:rsidRPr="00712A51" w:rsidRDefault="004F013E" w:rsidP="00712A51">
                <w:pPr>
                  <w:tabs>
                    <w:tab w:val="right" w:pos="8838"/>
                  </w:tabs>
                  <w:ind w:left="-264" w:right="-105" w:firstLine="195"/>
                  <w:rPr>
                    <w:rFonts w:ascii="Palatino Linotype" w:eastAsia="Palatino Linotype" w:hAnsi="Palatino Linotype" w:cs="Palatino Linotype"/>
                    <w:b/>
                    <w:bCs/>
                    <w:szCs w:val="22"/>
                  </w:rPr>
                </w:pPr>
                <w:r w:rsidRPr="00712A51">
                  <w:rPr>
                    <w:rFonts w:ascii="Palatino Linotype" w:eastAsia="Palatino Linotype" w:hAnsi="Palatino Linotype" w:cs="Palatino Linotype"/>
                    <w:b/>
                    <w:bCs/>
                    <w:szCs w:val="22"/>
                  </w:rPr>
                  <w:t>Recurso de Revisión:</w:t>
                </w:r>
              </w:p>
            </w:tc>
            <w:tc>
              <w:tcPr>
                <w:tcW w:w="4965" w:type="dxa"/>
                <w:shd w:val="clear" w:color="auto" w:fill="auto"/>
              </w:tcPr>
              <w:p w:rsidR="004F013E" w:rsidRPr="00712A51" w:rsidRDefault="004F013E" w:rsidP="00712A51">
                <w:pPr>
                  <w:tabs>
                    <w:tab w:val="right" w:pos="8838"/>
                  </w:tabs>
                  <w:ind w:left="-74" w:right="-1269"/>
                  <w:rPr>
                    <w:rFonts w:ascii="Palatino Linotype" w:eastAsia="Palatino Linotype" w:hAnsi="Palatino Linotype" w:cs="Palatino Linotype"/>
                    <w:szCs w:val="22"/>
                  </w:rPr>
                </w:pPr>
                <w:r w:rsidRPr="00712A51">
                  <w:rPr>
                    <w:rFonts w:ascii="Palatino Linotype" w:eastAsia="Palatino Linotype" w:hAnsi="Palatino Linotype" w:cs="Palatino Linotype"/>
                    <w:szCs w:val="22"/>
                  </w:rPr>
                  <w:t>13028/INFOEM/IP/RR/2025</w:t>
                </w:r>
              </w:p>
            </w:tc>
          </w:tr>
          <w:tr w:rsidR="004F013E" w:rsidTr="00712A51">
            <w:trPr>
              <w:trHeight w:val="144"/>
            </w:trPr>
            <w:tc>
              <w:tcPr>
                <w:tcW w:w="2693" w:type="dxa"/>
                <w:shd w:val="clear" w:color="auto" w:fill="auto"/>
              </w:tcPr>
              <w:p w:rsidR="004F013E" w:rsidRPr="00712A51" w:rsidRDefault="004F013E" w:rsidP="00712A51">
                <w:pPr>
                  <w:tabs>
                    <w:tab w:val="right" w:pos="8838"/>
                  </w:tabs>
                  <w:ind w:left="-74" w:right="-105"/>
                  <w:rPr>
                    <w:rFonts w:ascii="Palatino Linotype" w:eastAsia="Palatino Linotype" w:hAnsi="Palatino Linotype" w:cs="Palatino Linotype"/>
                    <w:b/>
                    <w:bCs/>
                    <w:szCs w:val="22"/>
                  </w:rPr>
                </w:pPr>
                <w:r w:rsidRPr="00712A51">
                  <w:rPr>
                    <w:rFonts w:ascii="Palatino Linotype" w:eastAsia="Palatino Linotype" w:hAnsi="Palatino Linotype" w:cs="Palatino Linotype"/>
                    <w:b/>
                    <w:bCs/>
                    <w:szCs w:val="22"/>
                  </w:rPr>
                  <w:t>Recurrente:</w:t>
                </w:r>
              </w:p>
            </w:tc>
            <w:tc>
              <w:tcPr>
                <w:tcW w:w="4965" w:type="dxa"/>
                <w:shd w:val="clear" w:color="auto" w:fill="auto"/>
              </w:tcPr>
              <w:p w:rsidR="004F013E" w:rsidRPr="00712A51" w:rsidRDefault="004F013E" w:rsidP="00712A51">
                <w:pPr>
                  <w:tabs>
                    <w:tab w:val="left" w:pos="3122"/>
                    <w:tab w:val="right" w:pos="8838"/>
                  </w:tabs>
                  <w:ind w:left="-74" w:right="-1269"/>
                  <w:rPr>
                    <w:rFonts w:ascii="Palatino Linotype" w:eastAsia="Palatino Linotype" w:hAnsi="Palatino Linotype" w:cs="Palatino Linotype"/>
                    <w:szCs w:val="22"/>
                  </w:rPr>
                </w:pPr>
                <w:r w:rsidRPr="00712A51">
                  <w:rPr>
                    <w:rFonts w:ascii="Palatino Linotype" w:eastAsia="Palatino Linotype" w:hAnsi="Palatino Linotype" w:cs="Palatino Linotype"/>
                    <w:b/>
                    <w:bCs/>
                    <w:szCs w:val="22"/>
                  </w:rPr>
                  <w:t> </w:t>
                </w:r>
              </w:p>
            </w:tc>
          </w:tr>
          <w:tr w:rsidR="004F013E" w:rsidTr="00712A51">
            <w:trPr>
              <w:trHeight w:val="283"/>
            </w:trPr>
            <w:tc>
              <w:tcPr>
                <w:tcW w:w="2693" w:type="dxa"/>
                <w:shd w:val="clear" w:color="auto" w:fill="auto"/>
              </w:tcPr>
              <w:p w:rsidR="004F013E" w:rsidRPr="00712A51" w:rsidRDefault="004F013E" w:rsidP="00712A51">
                <w:pPr>
                  <w:tabs>
                    <w:tab w:val="right" w:pos="8838"/>
                  </w:tabs>
                  <w:ind w:left="-74" w:right="-105"/>
                  <w:rPr>
                    <w:rFonts w:ascii="Palatino Linotype" w:eastAsia="Palatino Linotype" w:hAnsi="Palatino Linotype" w:cs="Palatino Linotype"/>
                    <w:b/>
                    <w:bCs/>
                    <w:szCs w:val="22"/>
                  </w:rPr>
                </w:pPr>
                <w:r w:rsidRPr="00712A51">
                  <w:rPr>
                    <w:rFonts w:ascii="Palatino Linotype" w:eastAsia="Palatino Linotype" w:hAnsi="Palatino Linotype" w:cs="Palatino Linotype"/>
                    <w:b/>
                    <w:bCs/>
                    <w:szCs w:val="22"/>
                  </w:rPr>
                  <w:t>Sujeto Obligado:</w:t>
                </w:r>
              </w:p>
            </w:tc>
            <w:tc>
              <w:tcPr>
                <w:tcW w:w="4965" w:type="dxa"/>
                <w:shd w:val="clear" w:color="auto" w:fill="auto"/>
              </w:tcPr>
              <w:p w:rsidR="004F013E" w:rsidRPr="00712A51" w:rsidRDefault="00712A51" w:rsidP="00712A51">
                <w:pPr>
                  <w:tabs>
                    <w:tab w:val="left" w:pos="2834"/>
                    <w:tab w:val="right" w:pos="8838"/>
                  </w:tabs>
                  <w:ind w:left="-74" w:right="-1269"/>
                  <w:rPr>
                    <w:rFonts w:ascii="Palatino Linotype" w:eastAsia="Palatino Linotype" w:hAnsi="Palatino Linotype" w:cs="Palatino Linotype"/>
                    <w:szCs w:val="22"/>
                  </w:rPr>
                </w:pPr>
                <w:r>
                  <w:rPr>
                    <w:rFonts w:ascii="Palatino Linotype" w:eastAsia="Palatino Linotype" w:hAnsi="Palatino Linotype" w:cs="Palatino Linotype"/>
                    <w:bCs/>
                    <w:szCs w:val="22"/>
                  </w:rPr>
                  <w:t>Secretaría del Trabajo</w:t>
                </w:r>
              </w:p>
            </w:tc>
          </w:tr>
          <w:tr w:rsidR="004F013E" w:rsidTr="00712A51">
            <w:trPr>
              <w:trHeight w:val="283"/>
            </w:trPr>
            <w:tc>
              <w:tcPr>
                <w:tcW w:w="2693" w:type="dxa"/>
                <w:shd w:val="clear" w:color="auto" w:fill="auto"/>
              </w:tcPr>
              <w:p w:rsidR="004F013E" w:rsidRPr="00712A51" w:rsidRDefault="004F013E" w:rsidP="00712A51">
                <w:pPr>
                  <w:tabs>
                    <w:tab w:val="right" w:pos="8838"/>
                  </w:tabs>
                  <w:ind w:left="-74" w:right="-105"/>
                  <w:rPr>
                    <w:rFonts w:ascii="Palatino Linotype" w:eastAsia="Palatino Linotype" w:hAnsi="Palatino Linotype" w:cs="Palatino Linotype"/>
                    <w:b/>
                    <w:bCs/>
                    <w:szCs w:val="22"/>
                  </w:rPr>
                </w:pPr>
                <w:r w:rsidRPr="00712A51">
                  <w:rPr>
                    <w:rFonts w:ascii="Palatino Linotype" w:eastAsia="Palatino Linotype" w:hAnsi="Palatino Linotype" w:cs="Palatino Linotype"/>
                    <w:b/>
                    <w:bCs/>
                    <w:szCs w:val="22"/>
                  </w:rPr>
                  <w:t>Comisionado ponente:</w:t>
                </w:r>
              </w:p>
            </w:tc>
            <w:tc>
              <w:tcPr>
                <w:tcW w:w="4965" w:type="dxa"/>
                <w:shd w:val="clear" w:color="auto" w:fill="auto"/>
              </w:tcPr>
              <w:p w:rsidR="004F013E" w:rsidRPr="00712A51" w:rsidRDefault="004F013E" w:rsidP="00712A51">
                <w:pPr>
                  <w:tabs>
                    <w:tab w:val="right" w:pos="8838"/>
                  </w:tabs>
                  <w:ind w:left="-74" w:right="-1269"/>
                  <w:rPr>
                    <w:rFonts w:ascii="Palatino Linotype" w:eastAsia="Palatino Linotype" w:hAnsi="Palatino Linotype" w:cs="Palatino Linotype"/>
                    <w:szCs w:val="22"/>
                  </w:rPr>
                </w:pPr>
                <w:r w:rsidRPr="00712A51">
                  <w:rPr>
                    <w:rFonts w:ascii="Palatino Linotype" w:eastAsia="Palatino Linotype" w:hAnsi="Palatino Linotype" w:cs="Palatino Linotype"/>
                    <w:szCs w:val="22"/>
                  </w:rPr>
                  <w:t>María del Rosario Mejía Ayala</w:t>
                </w:r>
              </w:p>
              <w:p w:rsidR="004F013E" w:rsidRPr="00712A51" w:rsidRDefault="004F013E" w:rsidP="00712A51">
                <w:pPr>
                  <w:tabs>
                    <w:tab w:val="right" w:pos="8838"/>
                  </w:tabs>
                  <w:ind w:left="-74" w:right="-1269"/>
                  <w:rPr>
                    <w:rFonts w:ascii="Palatino Linotype" w:eastAsia="Palatino Linotype" w:hAnsi="Palatino Linotype" w:cs="Palatino Linotype"/>
                    <w:b/>
                    <w:bCs/>
                    <w:szCs w:val="22"/>
                  </w:rPr>
                </w:pPr>
              </w:p>
            </w:tc>
          </w:tr>
        </w:tbl>
        <w:p w:rsidR="004F013E" w:rsidRDefault="004F013E">
          <w:pPr>
            <w:tabs>
              <w:tab w:val="right" w:pos="8838"/>
            </w:tabs>
            <w:ind w:left="-28"/>
            <w:jc w:val="both"/>
            <w:rPr>
              <w:rFonts w:ascii="Arial" w:eastAsia="Arial" w:hAnsi="Arial" w:cs="Arial"/>
              <w:b/>
              <w:bCs/>
              <w:sz w:val="22"/>
              <w:szCs w:val="22"/>
            </w:rPr>
          </w:pPr>
        </w:p>
      </w:tc>
    </w:tr>
  </w:tbl>
  <w:p w:rsidR="004F013E" w:rsidRDefault="00712A51">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54.4pt;margin-top:-120.45pt;width:589.8pt;height:768pt;z-index:-25165772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272A"/>
    <w:multiLevelType w:val="hybridMultilevel"/>
    <w:tmpl w:val="822401C2"/>
    <w:lvl w:ilvl="0" w:tplc="CC90568E">
      <w:start w:val="19"/>
      <w:numFmt w:val="decimal"/>
      <w:lvlText w:val="%1."/>
      <w:lvlJc w:val="left"/>
      <w:pPr>
        <w:ind w:left="928" w:hanging="360"/>
      </w:pPr>
      <w:rPr>
        <w:rFonts w:hint="default"/>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1B6D54"/>
    <w:multiLevelType w:val="hybridMultilevel"/>
    <w:tmpl w:val="88827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7305C0"/>
    <w:multiLevelType w:val="hybridMultilevel"/>
    <w:tmpl w:val="10701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01E7287"/>
    <w:multiLevelType w:val="hybridMultilevel"/>
    <w:tmpl w:val="098A3778"/>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9"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5ED2C3A"/>
    <w:multiLevelType w:val="multilevel"/>
    <w:tmpl w:val="E7B0E20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5A18C9"/>
    <w:multiLevelType w:val="multilevel"/>
    <w:tmpl w:val="2A462C2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3204EE"/>
    <w:multiLevelType w:val="hybridMultilevel"/>
    <w:tmpl w:val="C9566436"/>
    <w:lvl w:ilvl="0" w:tplc="AAE0F64C">
      <w:start w:val="1"/>
      <w:numFmt w:val="decimal"/>
      <w:lvlText w:val="%1."/>
      <w:lvlJc w:val="left"/>
      <w:pPr>
        <w:ind w:left="1778" w:hanging="360"/>
      </w:pPr>
      <w:rPr>
        <w:rFonts w:ascii="Palatino Linotype" w:hAnsi="Palatino Linotype"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11"/>
  </w:num>
  <w:num w:numId="4">
    <w:abstractNumId w:val="10"/>
  </w:num>
  <w:num w:numId="5">
    <w:abstractNumId w:val="1"/>
  </w:num>
  <w:num w:numId="6">
    <w:abstractNumId w:val="8"/>
  </w:num>
  <w:num w:numId="7">
    <w:abstractNumId w:val="5"/>
  </w:num>
  <w:num w:numId="8">
    <w:abstractNumId w:val="13"/>
  </w:num>
  <w:num w:numId="9">
    <w:abstractNumId w:val="7"/>
  </w:num>
  <w:num w:numId="10">
    <w:abstractNumId w:val="9"/>
  </w:num>
  <w:num w:numId="11">
    <w:abstractNumId w:val="3"/>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9CC"/>
    <w:rsid w:val="00011A40"/>
    <w:rsid w:val="000169CC"/>
    <w:rsid w:val="0010558C"/>
    <w:rsid w:val="0013647E"/>
    <w:rsid w:val="001A49DA"/>
    <w:rsid w:val="003B69BE"/>
    <w:rsid w:val="00487C03"/>
    <w:rsid w:val="004F013E"/>
    <w:rsid w:val="005C7195"/>
    <w:rsid w:val="005E5C33"/>
    <w:rsid w:val="00652C02"/>
    <w:rsid w:val="007111AE"/>
    <w:rsid w:val="00712A51"/>
    <w:rsid w:val="00743052"/>
    <w:rsid w:val="007C52E3"/>
    <w:rsid w:val="00860853"/>
    <w:rsid w:val="008825F7"/>
    <w:rsid w:val="00977B29"/>
    <w:rsid w:val="00A05349"/>
    <w:rsid w:val="00AF05FE"/>
    <w:rsid w:val="00BB5EF4"/>
    <w:rsid w:val="00BD11AF"/>
    <w:rsid w:val="00C41C42"/>
    <w:rsid w:val="00C728D6"/>
    <w:rsid w:val="00CA5A87"/>
    <w:rsid w:val="00DC054A"/>
    <w:rsid w:val="00E20936"/>
    <w:rsid w:val="00E82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79A09293-AF9F-408A-9FD9-43C3C97B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69C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0169CC"/>
    <w:pPr>
      <w:keepNext/>
      <w:keepLines/>
      <w:spacing w:before="240"/>
      <w:outlineLvl w:val="0"/>
    </w:pPr>
    <w:rPr>
      <w:rFonts w:ascii="Calibri" w:eastAsia="Calibri" w:hAnsi="Calibri" w:cs="Calibri"/>
      <w:color w:val="2E75B5"/>
      <w:sz w:val="32"/>
      <w:szCs w:val="32"/>
    </w:rPr>
  </w:style>
  <w:style w:type="paragraph" w:styleId="Ttulo3">
    <w:name w:val="heading 3"/>
    <w:basedOn w:val="Normal"/>
    <w:next w:val="Normal"/>
    <w:link w:val="Ttulo3Car"/>
    <w:uiPriority w:val="9"/>
    <w:unhideWhenUsed/>
    <w:qFormat/>
    <w:rsid w:val="00C41C42"/>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169CC"/>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169C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169CC"/>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0169CC"/>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169CC"/>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169CC"/>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0169CC"/>
    <w:rPr>
      <w:vertAlign w:val="superscript"/>
    </w:rPr>
  </w:style>
  <w:style w:type="paragraph" w:styleId="Piedepgina">
    <w:name w:val="footer"/>
    <w:basedOn w:val="Normal"/>
    <w:link w:val="PiedepginaCar"/>
    <w:uiPriority w:val="99"/>
    <w:unhideWhenUsed/>
    <w:rsid w:val="000169CC"/>
    <w:pPr>
      <w:tabs>
        <w:tab w:val="center" w:pos="4419"/>
        <w:tab w:val="right" w:pos="8838"/>
      </w:tabs>
    </w:pPr>
  </w:style>
  <w:style w:type="character" w:customStyle="1" w:styleId="PiedepginaCar">
    <w:name w:val="Pie de página Car"/>
    <w:basedOn w:val="Fuentedeprrafopredeter"/>
    <w:link w:val="Piedepgina"/>
    <w:uiPriority w:val="99"/>
    <w:rsid w:val="000169CC"/>
    <w:rPr>
      <w:rFonts w:ascii="Times New Roman" w:eastAsia="Times New Roman" w:hAnsi="Times New Roman" w:cs="Times New Roman"/>
      <w:sz w:val="24"/>
      <w:szCs w:val="24"/>
      <w:lang w:eastAsia="es-MX"/>
    </w:rPr>
  </w:style>
  <w:style w:type="table" w:styleId="Tablaconcuadrcula">
    <w:name w:val="Table Grid"/>
    <w:basedOn w:val="Tablanormal"/>
    <w:uiPriority w:val="39"/>
    <w:rsid w:val="00011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011A4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tulo3Car">
    <w:name w:val="Título 3 Car"/>
    <w:basedOn w:val="Fuentedeprrafopredeter"/>
    <w:link w:val="Ttulo3"/>
    <w:uiPriority w:val="9"/>
    <w:rsid w:val="00C41C42"/>
    <w:rPr>
      <w:rFonts w:asciiTheme="majorHAnsi" w:eastAsiaTheme="majorEastAsia" w:hAnsiTheme="majorHAnsi" w:cstheme="majorBidi"/>
      <w:color w:val="1F4D78" w:themeColor="accent1" w:themeShade="7F"/>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33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17596.page" TargetMode="External"/><Relationship Id="rId13" Type="http://schemas.openxmlformats.org/officeDocument/2006/relationships/hyperlink" Target="http://dof.gob.mx/nota_detalle.php?codigo=5492254&amp;fecha=28/07/2017"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aimex.org.mx/saimex/solicitud/downloadAttach/2617595.page" TargetMode="External"/><Relationship Id="rId12" Type="http://schemas.openxmlformats.org/officeDocument/2006/relationships/hyperlink" Target="javascript:abrirAcuse(71885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javascript:abrirAcuse(718853);" TargetMode="External"/><Relationship Id="rId10" Type="http://schemas.openxmlformats.org/officeDocument/2006/relationships/hyperlink" Target="https://www.saimex.org.mx/saimex/solicitud/downloadAttach/2617598.pag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saimex.org.mx/saimex/solicitud/downloadAttach/2617597.page"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egislacion.edomex.gob.mx/sites/legislacion.edomex.gob.mx/files/files/pdf/ley/vig/leyvig083.pdf" TargetMode="External"/><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46</Pages>
  <Words>11581</Words>
  <Characters>63700</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cp:lastPrinted>2026-05-14T17:45:00Z</cp:lastPrinted>
  <dcterms:created xsi:type="dcterms:W3CDTF">2026-05-11T18:46:00Z</dcterms:created>
  <dcterms:modified xsi:type="dcterms:W3CDTF">2026-05-18T23:09:00Z</dcterms:modified>
</cp:coreProperties>
</file>