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2A93B" w14:textId="7BB670F5"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1650AB" w:rsidRPr="00AB4284">
        <w:rPr>
          <w:rFonts w:ascii="Palatino Linotype" w:eastAsia="Palatino Linotype" w:hAnsi="Palatino Linotype" w:cs="Palatino Linotype"/>
          <w:sz w:val="22"/>
          <w:szCs w:val="22"/>
        </w:rPr>
        <w:t>cinco de marzo</w:t>
      </w:r>
      <w:r w:rsidR="00FC4683"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sz w:val="22"/>
          <w:szCs w:val="22"/>
        </w:rPr>
        <w:t xml:space="preserve">de dos mil </w:t>
      </w:r>
      <w:r w:rsidR="00382740" w:rsidRPr="00AB4284">
        <w:rPr>
          <w:rFonts w:ascii="Palatino Linotype" w:eastAsia="Palatino Linotype" w:hAnsi="Palatino Linotype" w:cs="Palatino Linotype"/>
          <w:sz w:val="22"/>
          <w:szCs w:val="22"/>
        </w:rPr>
        <w:t>veintiséis</w:t>
      </w:r>
      <w:r w:rsidRPr="00AB4284">
        <w:rPr>
          <w:rFonts w:ascii="Palatino Linotype" w:eastAsia="Palatino Linotype" w:hAnsi="Palatino Linotype" w:cs="Palatino Linotype"/>
          <w:sz w:val="22"/>
          <w:szCs w:val="22"/>
        </w:rPr>
        <w:t xml:space="preserve">. </w:t>
      </w:r>
    </w:p>
    <w:p w14:paraId="32D33C57" w14:textId="1F53AEA1" w:rsidR="00694AA0" w:rsidRPr="00AB4284" w:rsidRDefault="005B22BA">
      <w:pPr>
        <w:tabs>
          <w:tab w:val="left" w:pos="5812"/>
        </w:tabs>
        <w:spacing w:before="240" w:after="240" w:line="360" w:lineRule="auto"/>
        <w:jc w:val="both"/>
        <w:rPr>
          <w:rFonts w:ascii="Palatino Linotype" w:eastAsia="Palatino Linotype" w:hAnsi="Palatino Linotype" w:cs="Palatino Linotype"/>
          <w:sz w:val="22"/>
          <w:szCs w:val="22"/>
        </w:rPr>
      </w:pPr>
      <w:bookmarkStart w:id="0" w:name="_heading=h.daj3j2xo6q66" w:colFirst="0" w:colLast="0"/>
      <w:bookmarkEnd w:id="0"/>
      <w:r w:rsidRPr="00AB4284">
        <w:rPr>
          <w:rFonts w:ascii="Palatino Linotype" w:eastAsia="Palatino Linotype" w:hAnsi="Palatino Linotype" w:cs="Palatino Linotype"/>
          <w:b/>
          <w:sz w:val="22"/>
          <w:szCs w:val="22"/>
        </w:rPr>
        <w:t>VISTO</w:t>
      </w:r>
      <w:r w:rsidRPr="00AB4284">
        <w:rPr>
          <w:rFonts w:ascii="Palatino Linotype" w:eastAsia="Palatino Linotype" w:hAnsi="Palatino Linotype" w:cs="Palatino Linotype"/>
          <w:sz w:val="22"/>
          <w:szCs w:val="22"/>
        </w:rPr>
        <w:t xml:space="preserve"> el expediente formado con motivo del recurso de revisión </w:t>
      </w:r>
      <w:r w:rsidR="001650AB" w:rsidRPr="00AB4284">
        <w:rPr>
          <w:rFonts w:ascii="Palatino Linotype" w:eastAsia="Palatino Linotype" w:hAnsi="Palatino Linotype" w:cs="Palatino Linotype"/>
          <w:b/>
          <w:sz w:val="22"/>
          <w:szCs w:val="22"/>
        </w:rPr>
        <w:t>00024</w:t>
      </w:r>
      <w:r w:rsidRPr="00AB4284">
        <w:rPr>
          <w:rFonts w:ascii="Palatino Linotype" w:eastAsia="Palatino Linotype" w:hAnsi="Palatino Linotype" w:cs="Palatino Linotype"/>
          <w:b/>
          <w:sz w:val="22"/>
          <w:szCs w:val="22"/>
        </w:rPr>
        <w:t>/INFOEM/IP/RR/202</w:t>
      </w:r>
      <w:r w:rsidR="001650AB" w:rsidRPr="00AB4284">
        <w:rPr>
          <w:rFonts w:ascii="Palatino Linotype" w:eastAsia="Palatino Linotype" w:hAnsi="Palatino Linotype" w:cs="Palatino Linotype"/>
          <w:b/>
          <w:sz w:val="22"/>
          <w:szCs w:val="22"/>
        </w:rPr>
        <w:t>6</w:t>
      </w:r>
      <w:r w:rsidRPr="00AB4284">
        <w:rPr>
          <w:rFonts w:ascii="Palatino Linotype" w:eastAsia="Palatino Linotype" w:hAnsi="Palatino Linotype" w:cs="Palatino Linotype"/>
          <w:sz w:val="22"/>
          <w:szCs w:val="22"/>
        </w:rPr>
        <w:t>, interpuesto por</w:t>
      </w:r>
      <w:r w:rsidR="002E322B" w:rsidRPr="00AB4284">
        <w:rPr>
          <w:rFonts w:ascii="Palatino Linotype" w:eastAsia="Palatino Linotype" w:hAnsi="Palatino Linotype" w:cs="Palatino Linotype"/>
          <w:sz w:val="22"/>
          <w:szCs w:val="22"/>
        </w:rPr>
        <w:t xml:space="preserve"> </w:t>
      </w:r>
      <w:r w:rsidR="00405983" w:rsidRPr="00405983">
        <w:rPr>
          <w:rFonts w:ascii="Palatino Linotype" w:eastAsia="Palatino Linotype" w:hAnsi="Palatino Linotype" w:cs="Palatino Linotype"/>
          <w:b/>
          <w:bCs/>
          <w:sz w:val="22"/>
          <w:szCs w:val="22"/>
        </w:rPr>
        <w:t>XXXXX XXXXXX XXXXXXXX</w:t>
      </w:r>
      <w:bookmarkStart w:id="1" w:name="_GoBack"/>
      <w:bookmarkEnd w:id="1"/>
      <w:r w:rsidR="001A3D4C" w:rsidRPr="00AB4284">
        <w:rPr>
          <w:rFonts w:ascii="Palatino Linotype" w:eastAsia="Palatino Linotype" w:hAnsi="Palatino Linotype" w:cs="Palatino Linotype"/>
          <w:b/>
          <w:sz w:val="22"/>
          <w:szCs w:val="22"/>
        </w:rPr>
        <w:t>,</w:t>
      </w:r>
      <w:r w:rsidRPr="00AB4284">
        <w:rPr>
          <w:rFonts w:ascii="Palatino Linotype" w:eastAsia="Palatino Linotype" w:hAnsi="Palatino Linotype" w:cs="Palatino Linotype"/>
          <w:sz w:val="22"/>
          <w:szCs w:val="22"/>
        </w:rPr>
        <w:t xml:space="preserve"> en lo sucesivo</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la parte </w:t>
      </w:r>
      <w:r w:rsidRPr="00AB4284">
        <w:rPr>
          <w:rFonts w:ascii="Palatino Linotype" w:eastAsia="Palatino Linotype" w:hAnsi="Palatino Linotype" w:cs="Palatino Linotype"/>
          <w:b/>
          <w:sz w:val="22"/>
          <w:szCs w:val="22"/>
        </w:rPr>
        <w:t>Recurrente,</w:t>
      </w:r>
      <w:r w:rsidRPr="00AB4284">
        <w:rPr>
          <w:rFonts w:ascii="Palatino Linotype" w:eastAsia="Palatino Linotype" w:hAnsi="Palatino Linotype" w:cs="Palatino Linotype"/>
          <w:sz w:val="22"/>
          <w:szCs w:val="22"/>
        </w:rPr>
        <w:t xml:space="preserve"> en contra de la respuesta a la solicitud de información con número de folio</w:t>
      </w:r>
      <w:r w:rsidRPr="00AB4284">
        <w:rPr>
          <w:rFonts w:ascii="Palatino Linotype" w:eastAsia="Palatino Linotype" w:hAnsi="Palatino Linotype" w:cs="Palatino Linotype"/>
          <w:b/>
          <w:sz w:val="22"/>
          <w:szCs w:val="22"/>
        </w:rPr>
        <w:t xml:space="preserve"> </w:t>
      </w:r>
      <w:r w:rsidR="001650AB" w:rsidRPr="00AB4284">
        <w:rPr>
          <w:rFonts w:ascii="Palatino Linotype" w:eastAsia="Palatino Linotype" w:hAnsi="Palatino Linotype" w:cs="Palatino Linotype"/>
          <w:b/>
          <w:sz w:val="22"/>
          <w:szCs w:val="22"/>
        </w:rPr>
        <w:t>01570/TEPOTZOT/IP/2025</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por parte del </w:t>
      </w:r>
      <w:r w:rsidR="00382908" w:rsidRPr="00AB4284">
        <w:rPr>
          <w:rFonts w:ascii="Palatino Linotype" w:eastAsia="Palatino Linotype" w:hAnsi="Palatino Linotype" w:cs="Palatino Linotype"/>
          <w:b/>
          <w:sz w:val="22"/>
          <w:szCs w:val="22"/>
        </w:rPr>
        <w:t>Ayuntamiento de Tepotzotlán</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en lo sucesivo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 xml:space="preserve">se procede a dictar la presente resolución con base en los siguientes: </w:t>
      </w:r>
    </w:p>
    <w:p w14:paraId="6CBEA268" w14:textId="77777777" w:rsidR="00694AA0" w:rsidRPr="00AB4284" w:rsidRDefault="005B22BA">
      <w:pPr>
        <w:spacing w:before="240" w:after="240" w:line="360" w:lineRule="auto"/>
        <w:jc w:val="center"/>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I. A N T E C E D E N T E S</w:t>
      </w:r>
    </w:p>
    <w:p w14:paraId="68695096" w14:textId="6CD3D30E" w:rsidR="00694AA0" w:rsidRPr="00AB4284" w:rsidRDefault="005B22BA">
      <w:pPr>
        <w:spacing w:before="240" w:after="240" w:line="360" w:lineRule="auto"/>
        <w:jc w:val="both"/>
        <w:rPr>
          <w:rFonts w:ascii="Palatino Linotype" w:eastAsia="Palatino Linotype" w:hAnsi="Palatino Linotype" w:cs="Palatino Linotype"/>
          <w:sz w:val="22"/>
          <w:szCs w:val="22"/>
        </w:rPr>
      </w:pPr>
      <w:bookmarkStart w:id="2" w:name="_heading=h.gjdgxs" w:colFirst="0" w:colLast="0"/>
      <w:bookmarkEnd w:id="2"/>
      <w:r w:rsidRPr="00AB4284">
        <w:rPr>
          <w:rFonts w:ascii="Palatino Linotype" w:eastAsia="Palatino Linotype" w:hAnsi="Palatino Linotype" w:cs="Palatino Linotype"/>
          <w:b/>
          <w:sz w:val="22"/>
          <w:szCs w:val="22"/>
        </w:rPr>
        <w:t>1. Solicitud de acceso a la información.</w:t>
      </w:r>
      <w:r w:rsidRPr="00AB4284">
        <w:rPr>
          <w:rFonts w:ascii="Palatino Linotype" w:eastAsia="Palatino Linotype" w:hAnsi="Palatino Linotype" w:cs="Palatino Linotype"/>
          <w:sz w:val="22"/>
          <w:szCs w:val="22"/>
        </w:rPr>
        <w:t xml:space="preserve"> El </w:t>
      </w:r>
      <w:r w:rsidR="00842531" w:rsidRPr="00AB4284">
        <w:rPr>
          <w:rFonts w:ascii="Palatino Linotype" w:eastAsia="Palatino Linotype" w:hAnsi="Palatino Linotype" w:cs="Palatino Linotype"/>
          <w:b/>
          <w:sz w:val="22"/>
          <w:szCs w:val="22"/>
        </w:rPr>
        <w:t xml:space="preserve">veintinueve de noviembre </w:t>
      </w:r>
      <w:r w:rsidR="009502ED" w:rsidRPr="00AB4284">
        <w:rPr>
          <w:rFonts w:ascii="Palatino Linotype" w:eastAsia="Palatino Linotype" w:hAnsi="Palatino Linotype" w:cs="Palatino Linotype"/>
          <w:b/>
          <w:sz w:val="22"/>
          <w:szCs w:val="22"/>
        </w:rPr>
        <w:t>de</w:t>
      </w:r>
      <w:r w:rsidRPr="00AB4284">
        <w:rPr>
          <w:rFonts w:ascii="Palatino Linotype" w:eastAsia="Palatino Linotype" w:hAnsi="Palatino Linotype" w:cs="Palatino Linotype"/>
          <w:b/>
          <w:sz w:val="22"/>
          <w:szCs w:val="22"/>
        </w:rPr>
        <w:t xml:space="preserve"> dos mil veinticinco,</w:t>
      </w:r>
      <w:r w:rsidRPr="00AB4284">
        <w:rPr>
          <w:rFonts w:ascii="Palatino Linotype" w:eastAsia="Palatino Linotype" w:hAnsi="Palatino Linotype" w:cs="Palatino Linotype"/>
          <w:sz w:val="22"/>
          <w:szCs w:val="22"/>
        </w:rPr>
        <w:t xml:space="preserve"> la parte </w:t>
      </w:r>
      <w:r w:rsidRPr="00AB4284">
        <w:rPr>
          <w:rFonts w:ascii="Palatino Linotype" w:eastAsia="Palatino Linotype" w:hAnsi="Palatino Linotype" w:cs="Palatino Linotype"/>
          <w:b/>
          <w:sz w:val="22"/>
          <w:szCs w:val="22"/>
        </w:rPr>
        <w:t xml:space="preserve">Recurrente </w:t>
      </w:r>
      <w:r w:rsidR="007D6158" w:rsidRPr="00AB4284">
        <w:rPr>
          <w:rFonts w:ascii="Palatino Linotype" w:eastAsia="Palatino Linotype" w:hAnsi="Palatino Linotype" w:cs="Palatino Linotype"/>
          <w:sz w:val="22"/>
          <w:szCs w:val="22"/>
        </w:rPr>
        <w:t xml:space="preserve">presentó la solicitud de acceso a la información pública ante el </w:t>
      </w:r>
      <w:r w:rsidR="007D6158" w:rsidRPr="00AB4284">
        <w:rPr>
          <w:rFonts w:ascii="Palatino Linotype" w:eastAsia="Palatino Linotype" w:hAnsi="Palatino Linotype" w:cs="Palatino Linotype"/>
          <w:b/>
          <w:sz w:val="22"/>
          <w:szCs w:val="22"/>
        </w:rPr>
        <w:t>Sujeto Obligado</w:t>
      </w:r>
      <w:r w:rsidR="007D6158" w:rsidRPr="00AB4284">
        <w:rPr>
          <w:rFonts w:ascii="Palatino Linotype" w:eastAsia="Palatino Linotype" w:hAnsi="Palatino Linotype" w:cs="Palatino Linotype"/>
          <w:sz w:val="22"/>
          <w:szCs w:val="22"/>
        </w:rPr>
        <w:t xml:space="preserve">, a través del Sistema de Acceso a la Información Mexiquense, en lo subsecuente el </w:t>
      </w:r>
      <w:r w:rsidR="007D6158" w:rsidRPr="00AB4284">
        <w:rPr>
          <w:rFonts w:ascii="Palatino Linotype" w:eastAsia="Palatino Linotype" w:hAnsi="Palatino Linotype" w:cs="Palatino Linotype"/>
          <w:b/>
          <w:sz w:val="22"/>
          <w:szCs w:val="22"/>
        </w:rPr>
        <w:t>SAIMEX,</w:t>
      </w:r>
      <w:r w:rsidR="00842531" w:rsidRPr="00AB4284">
        <w:rPr>
          <w:rFonts w:ascii="Palatino Linotype" w:eastAsia="Palatino Linotype" w:hAnsi="Palatino Linotype" w:cs="Palatino Linotype"/>
          <w:b/>
          <w:sz w:val="22"/>
          <w:szCs w:val="22"/>
        </w:rPr>
        <w:t xml:space="preserve"> </w:t>
      </w:r>
      <w:r w:rsidR="00842531" w:rsidRPr="00AB4284">
        <w:rPr>
          <w:rFonts w:ascii="Palatino Linotype" w:eastAsia="Palatino Linotype" w:hAnsi="Palatino Linotype" w:cs="Palatino Linotype"/>
          <w:bCs/>
          <w:sz w:val="22"/>
          <w:szCs w:val="22"/>
        </w:rPr>
        <w:t>sin embargo, al corresponder con un día inhábil se tuvo por presentada el</w:t>
      </w:r>
      <w:r w:rsidR="007D6158" w:rsidRPr="00AB4284">
        <w:rPr>
          <w:rFonts w:ascii="Palatino Linotype" w:eastAsia="Palatino Linotype" w:hAnsi="Palatino Linotype" w:cs="Palatino Linotype"/>
          <w:sz w:val="22"/>
          <w:szCs w:val="22"/>
        </w:rPr>
        <w:t xml:space="preserve"> </w:t>
      </w:r>
      <w:r w:rsidR="00842531" w:rsidRPr="00AB4284">
        <w:rPr>
          <w:rFonts w:ascii="Palatino Linotype" w:eastAsia="Palatino Linotype" w:hAnsi="Palatino Linotype" w:cs="Palatino Linotype"/>
          <w:b/>
          <w:sz w:val="22"/>
          <w:szCs w:val="22"/>
        </w:rPr>
        <w:t>uno de diciembre de dos mil veinticinco</w:t>
      </w:r>
      <w:r w:rsidR="00842531"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sz w:val="22"/>
          <w:szCs w:val="22"/>
        </w:rPr>
        <w:t>mediante la cual requirió lo siguiente:</w:t>
      </w:r>
    </w:p>
    <w:p w14:paraId="2B457E68" w14:textId="30510157" w:rsidR="00694AA0" w:rsidRPr="00AB4284" w:rsidRDefault="005B22BA" w:rsidP="00D15C4F">
      <w:pPr>
        <w:spacing w:before="120" w:after="120"/>
        <w:ind w:left="851" w:right="902"/>
        <w:jc w:val="both"/>
        <w:rPr>
          <w:rFonts w:ascii="Palatino Linotype" w:eastAsia="Palatino Linotype" w:hAnsi="Palatino Linotype" w:cs="Palatino Linotype"/>
          <w:b/>
          <w:i/>
          <w:sz w:val="22"/>
          <w:szCs w:val="22"/>
        </w:rPr>
      </w:pPr>
      <w:r w:rsidRPr="00AB4284">
        <w:rPr>
          <w:rFonts w:ascii="Palatino Linotype" w:eastAsia="Palatino Linotype" w:hAnsi="Palatino Linotype" w:cs="Palatino Linotype"/>
          <w:i/>
          <w:sz w:val="22"/>
          <w:szCs w:val="22"/>
        </w:rPr>
        <w:t xml:space="preserve"> “</w:t>
      </w:r>
      <w:r w:rsidR="00A17609" w:rsidRPr="00AB4284">
        <w:rPr>
          <w:rFonts w:ascii="Palatino Linotype" w:eastAsia="Palatino Linotype" w:hAnsi="Palatino Linotype" w:cs="Palatino Linotype"/>
          <w:i/>
          <w:sz w:val="22"/>
          <w:szCs w:val="22"/>
        </w:rPr>
        <w:t xml:space="preserve">Con fundamento en el artículo 146 de la LOMEM solicito la información sobre </w:t>
      </w:r>
      <w:r w:rsidR="00A17609" w:rsidRPr="00AB4284">
        <w:rPr>
          <w:rFonts w:ascii="Palatino Linotype" w:eastAsia="Palatino Linotype" w:hAnsi="Palatino Linotype" w:cs="Palatino Linotype"/>
          <w:b/>
          <w:i/>
          <w:sz w:val="22"/>
          <w:szCs w:val="22"/>
          <w:u w:val="single"/>
        </w:rPr>
        <w:t>mantenimiento y rehabilitación de espacios deportivos</w:t>
      </w:r>
      <w:r w:rsidR="00A17609" w:rsidRPr="00AB4284">
        <w:rPr>
          <w:rFonts w:ascii="Palatino Linotype" w:eastAsia="Palatino Linotype" w:hAnsi="Palatino Linotype" w:cs="Palatino Linotype"/>
          <w:i/>
          <w:sz w:val="22"/>
          <w:szCs w:val="22"/>
        </w:rPr>
        <w:t>.</w:t>
      </w:r>
      <w:r w:rsidRPr="00AB4284">
        <w:rPr>
          <w:rFonts w:ascii="Palatino Linotype" w:eastAsia="Palatino Linotype" w:hAnsi="Palatino Linotype" w:cs="Palatino Linotype"/>
          <w:b/>
          <w:i/>
          <w:sz w:val="22"/>
          <w:szCs w:val="22"/>
        </w:rPr>
        <w:t>”</w:t>
      </w:r>
      <w:r w:rsidRPr="00AB4284">
        <w:rPr>
          <w:rFonts w:ascii="Palatino Linotype" w:eastAsia="Palatino Linotype" w:hAnsi="Palatino Linotype" w:cs="Palatino Linotype"/>
          <w:i/>
          <w:sz w:val="22"/>
          <w:szCs w:val="22"/>
        </w:rPr>
        <w:t xml:space="preserve"> (sic) </w:t>
      </w:r>
    </w:p>
    <w:p w14:paraId="00632FFF" w14:textId="77777777" w:rsidR="007D6158" w:rsidRPr="00AB4284" w:rsidRDefault="007D6158" w:rsidP="007D6158">
      <w:pPr>
        <w:spacing w:before="240" w:after="240" w:line="360" w:lineRule="auto"/>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 xml:space="preserve">Modalidad de Entrega: </w:t>
      </w:r>
      <w:r w:rsidRPr="00AB4284">
        <w:rPr>
          <w:rFonts w:ascii="Palatino Linotype" w:eastAsia="Palatino Linotype" w:hAnsi="Palatino Linotype" w:cs="Palatino Linotype"/>
          <w:sz w:val="22"/>
          <w:szCs w:val="22"/>
        </w:rPr>
        <w:t>a través del</w:t>
      </w:r>
      <w:r w:rsidRPr="00AB4284">
        <w:rPr>
          <w:rFonts w:ascii="Palatino Linotype" w:eastAsia="Palatino Linotype" w:hAnsi="Palatino Linotype" w:cs="Palatino Linotype"/>
          <w:b/>
          <w:sz w:val="22"/>
          <w:szCs w:val="22"/>
        </w:rPr>
        <w:t xml:space="preserve"> SAIMEX.</w:t>
      </w:r>
    </w:p>
    <w:p w14:paraId="7686068F" w14:textId="1C23EA77"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sz w:val="22"/>
          <w:szCs w:val="22"/>
        </w:rPr>
        <w:t xml:space="preserve">2. Respuesta. </w:t>
      </w:r>
      <w:r w:rsidR="004A5926" w:rsidRPr="00AB4284">
        <w:rPr>
          <w:rFonts w:ascii="Palatino Linotype" w:eastAsia="Palatino Linotype" w:hAnsi="Palatino Linotype" w:cs="Palatino Linotype"/>
          <w:sz w:val="22"/>
          <w:szCs w:val="22"/>
        </w:rPr>
        <w:t xml:space="preserve">El </w:t>
      </w:r>
      <w:r w:rsidR="00A17609" w:rsidRPr="00AB4284">
        <w:rPr>
          <w:rFonts w:ascii="Palatino Linotype" w:eastAsia="Palatino Linotype" w:hAnsi="Palatino Linotype" w:cs="Palatino Linotype"/>
          <w:b/>
          <w:sz w:val="22"/>
          <w:szCs w:val="22"/>
        </w:rPr>
        <w:t>veintiséis de diciembre</w:t>
      </w:r>
      <w:r w:rsidR="007D6158"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b/>
          <w:sz w:val="22"/>
          <w:szCs w:val="22"/>
        </w:rPr>
        <w:t>de dos mil veinticinco,</w:t>
      </w:r>
      <w:r w:rsidRPr="00AB4284">
        <w:rPr>
          <w:rFonts w:ascii="Palatino Linotype" w:eastAsia="Palatino Linotype" w:hAnsi="Palatino Linotype" w:cs="Palatino Linotype"/>
          <w:sz w:val="22"/>
          <w:szCs w:val="22"/>
        </w:rPr>
        <w:t xml:space="preserve">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0EB69FD4" w14:textId="24ED3788" w:rsidR="00694AA0" w:rsidRPr="00AB4284" w:rsidRDefault="005B22BA">
      <w:pPr>
        <w:spacing w:before="240" w:after="24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lastRenderedPageBreak/>
        <w:t>“…</w:t>
      </w:r>
      <w:r w:rsidR="00A17609" w:rsidRPr="00AB4284">
        <w:rPr>
          <w:rFonts w:ascii="Palatino Linotype" w:eastAsia="Palatino Linotype" w:hAnsi="Palatino Linotype" w:cs="Palatino Linotype"/>
          <w:i/>
          <w:sz w:val="22"/>
          <w:szCs w:val="22"/>
        </w:rPr>
        <w:t>SE ADJUNTA RESPUESTA DE SERVIDOR PÚBLICO HABILITADO</w:t>
      </w:r>
      <w:r w:rsidR="0018603F" w:rsidRPr="00AB4284">
        <w:rPr>
          <w:rFonts w:ascii="Palatino Linotype" w:eastAsia="Palatino Linotype" w:hAnsi="Palatino Linotype" w:cs="Palatino Linotype"/>
          <w:i/>
          <w:sz w:val="22"/>
          <w:szCs w:val="22"/>
        </w:rPr>
        <w:t>.</w:t>
      </w:r>
      <w:r w:rsidRPr="00AB4284">
        <w:rPr>
          <w:rFonts w:ascii="Palatino Linotype" w:eastAsia="Palatino Linotype" w:hAnsi="Palatino Linotype" w:cs="Palatino Linotype"/>
          <w:i/>
          <w:sz w:val="22"/>
          <w:szCs w:val="22"/>
        </w:rPr>
        <w:t>..” (sic)</w:t>
      </w:r>
    </w:p>
    <w:p w14:paraId="3B782C95" w14:textId="609457F8" w:rsidR="00A17609" w:rsidRPr="00AB4284" w:rsidRDefault="005B22BA" w:rsidP="004F28E7">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adjuntó</w:t>
      </w:r>
      <w:r w:rsidR="00D067D1" w:rsidRPr="00AB4284">
        <w:rPr>
          <w:rFonts w:ascii="Palatino Linotype" w:eastAsia="Palatino Linotype" w:hAnsi="Palatino Linotype" w:cs="Palatino Linotype"/>
          <w:sz w:val="22"/>
          <w:szCs w:val="22"/>
        </w:rPr>
        <w:t xml:space="preserve"> </w:t>
      </w:r>
      <w:r w:rsidR="00A17609" w:rsidRPr="00AB4284">
        <w:rPr>
          <w:rFonts w:ascii="Palatino Linotype" w:eastAsia="Palatino Linotype" w:hAnsi="Palatino Linotype" w:cs="Palatino Linotype"/>
          <w:sz w:val="22"/>
          <w:szCs w:val="22"/>
        </w:rPr>
        <w:t>el oficio HAT/UTAIP/2025/1215, mediante el cual</w:t>
      </w:r>
      <w:r w:rsidR="000E065C" w:rsidRPr="00AB4284">
        <w:rPr>
          <w:rFonts w:ascii="Palatino Linotype" w:eastAsia="Palatino Linotype" w:hAnsi="Palatino Linotype" w:cs="Palatino Linotype"/>
          <w:sz w:val="22"/>
          <w:szCs w:val="22"/>
        </w:rPr>
        <w:t xml:space="preserve"> la titular de la Unidad de Transparencia </w:t>
      </w:r>
      <w:r w:rsidR="004F28E7" w:rsidRPr="00AB4284">
        <w:rPr>
          <w:rFonts w:ascii="Palatino Linotype" w:eastAsia="Palatino Linotype" w:hAnsi="Palatino Linotype" w:cs="Palatino Linotype"/>
          <w:sz w:val="22"/>
          <w:szCs w:val="22"/>
        </w:rPr>
        <w:t xml:space="preserve">hizo del conocimiento de la persona solicitante que la información requerida no era competencia del ayuntamiento, sugiriendo presentar la solicitud ante el Instituto Municipal de Cultura Física y Deporte de Tepotzotlán, al ser un Sujeto Obligado diverso de conformidad con el </w:t>
      </w:r>
      <w:r w:rsidR="004F28E7" w:rsidRPr="00AB4284">
        <w:rPr>
          <w:rFonts w:ascii="Palatino Linotype" w:hAnsi="Palatino Linotype"/>
          <w:sz w:val="22"/>
          <w:szCs w:val="22"/>
        </w:rPr>
        <w:t xml:space="preserve">Padrón de Sujetos Obligados en materia de Transparencia y Acceso a la Información Pública del Estado de México y Municipios </w:t>
      </w:r>
      <w:r w:rsidR="00401D4B" w:rsidRPr="00AB4284">
        <w:rPr>
          <w:rFonts w:ascii="Palatino Linotype" w:hAnsi="Palatino Linotype"/>
          <w:sz w:val="22"/>
          <w:szCs w:val="22"/>
        </w:rPr>
        <w:t>emitido</w:t>
      </w:r>
      <w:r w:rsidR="004F28E7" w:rsidRPr="00AB4284">
        <w:rPr>
          <w:rFonts w:ascii="Palatino Linotype" w:hAnsi="Palatino Linotype"/>
          <w:sz w:val="22"/>
          <w:szCs w:val="22"/>
        </w:rPr>
        <w:t xml:space="preserve"> por este Instituto.</w:t>
      </w:r>
    </w:p>
    <w:p w14:paraId="5F735353" w14:textId="2539471E" w:rsidR="00D571DC" w:rsidRPr="00AB4284" w:rsidRDefault="005B22BA">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sz w:val="22"/>
          <w:szCs w:val="22"/>
        </w:rPr>
        <w:t xml:space="preserve">3. Interposición del recurso de revisión. </w:t>
      </w:r>
      <w:r w:rsidRPr="00AB4284">
        <w:rPr>
          <w:rFonts w:ascii="Palatino Linotype" w:eastAsia="Palatino Linotype" w:hAnsi="Palatino Linotype" w:cs="Palatino Linotype"/>
          <w:sz w:val="22"/>
          <w:szCs w:val="22"/>
        </w:rPr>
        <w:t xml:space="preserve">Inconforme con los términos de la respuesta emitida por parte del </w:t>
      </w:r>
      <w:r w:rsidRPr="00AB4284">
        <w:rPr>
          <w:rFonts w:ascii="Palatino Linotype" w:eastAsia="Palatino Linotype" w:hAnsi="Palatino Linotype" w:cs="Palatino Linotype"/>
          <w:b/>
          <w:sz w:val="22"/>
          <w:szCs w:val="22"/>
        </w:rPr>
        <w:t>Sujeto Obligado</w:t>
      </w:r>
      <w:r w:rsidRPr="00AB4284">
        <w:rPr>
          <w:rFonts w:ascii="Palatino Linotype" w:eastAsia="Palatino Linotype" w:hAnsi="Palatino Linotype" w:cs="Palatino Linotype"/>
          <w:sz w:val="22"/>
          <w:szCs w:val="22"/>
        </w:rPr>
        <w:t xml:space="preserve">, el </w:t>
      </w:r>
      <w:r w:rsidR="00870252" w:rsidRPr="00AB4284">
        <w:rPr>
          <w:rFonts w:ascii="Palatino Linotype" w:eastAsia="Palatino Linotype" w:hAnsi="Palatino Linotype" w:cs="Palatino Linotype"/>
          <w:b/>
          <w:sz w:val="22"/>
          <w:szCs w:val="22"/>
        </w:rPr>
        <w:t>veintiséis de diciembre</w:t>
      </w:r>
      <w:r w:rsidR="006262EB"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b/>
          <w:sz w:val="22"/>
          <w:szCs w:val="22"/>
        </w:rPr>
        <w:t>de dos mil veinticinco,</w:t>
      </w:r>
      <w:r w:rsidRPr="00AB4284">
        <w:rPr>
          <w:rFonts w:ascii="Palatino Linotype" w:eastAsia="Palatino Linotype" w:hAnsi="Palatino Linotype" w:cs="Palatino Linotype"/>
          <w:sz w:val="22"/>
          <w:szCs w:val="22"/>
        </w:rPr>
        <w:t xml:space="preserve"> la parte </w:t>
      </w:r>
      <w:r w:rsidRPr="00AB4284">
        <w:rPr>
          <w:rFonts w:ascii="Palatino Linotype" w:eastAsia="Palatino Linotype" w:hAnsi="Palatino Linotype" w:cs="Palatino Linotype"/>
          <w:b/>
          <w:sz w:val="22"/>
          <w:szCs w:val="22"/>
        </w:rPr>
        <w:t>Recurrente</w:t>
      </w:r>
      <w:r w:rsidRPr="00AB4284">
        <w:rPr>
          <w:rFonts w:ascii="Palatino Linotype" w:eastAsia="Palatino Linotype" w:hAnsi="Palatino Linotype" w:cs="Palatino Linotype"/>
          <w:sz w:val="22"/>
          <w:szCs w:val="22"/>
        </w:rPr>
        <w:t xml:space="preserve"> interpuso el recurso de revisión a través de </w:t>
      </w:r>
      <w:r w:rsidRPr="00AB4284">
        <w:rPr>
          <w:rFonts w:ascii="Palatino Linotype" w:eastAsia="Palatino Linotype" w:hAnsi="Palatino Linotype" w:cs="Palatino Linotype"/>
          <w:b/>
          <w:sz w:val="22"/>
          <w:szCs w:val="22"/>
        </w:rPr>
        <w:t xml:space="preserve">SAIMEX, </w:t>
      </w:r>
      <w:r w:rsidR="00870252" w:rsidRPr="00AB4284">
        <w:rPr>
          <w:rFonts w:ascii="Palatino Linotype" w:eastAsia="Palatino Linotype" w:hAnsi="Palatino Linotype" w:cs="Palatino Linotype"/>
          <w:sz w:val="22"/>
          <w:szCs w:val="22"/>
        </w:rPr>
        <w:t xml:space="preserve">sin embargo, al corresponder con un día inhábil, se tuvo por interpuesto el </w:t>
      </w:r>
      <w:r w:rsidR="00870252" w:rsidRPr="00AB4284">
        <w:rPr>
          <w:rFonts w:ascii="Palatino Linotype" w:eastAsia="Palatino Linotype" w:hAnsi="Palatino Linotype" w:cs="Palatino Linotype"/>
          <w:b/>
          <w:sz w:val="22"/>
          <w:szCs w:val="22"/>
        </w:rPr>
        <w:t xml:space="preserve">doce de enero de dos mil </w:t>
      </w:r>
      <w:r w:rsidR="00E46253" w:rsidRPr="00AB4284">
        <w:rPr>
          <w:rFonts w:ascii="Palatino Linotype" w:eastAsia="Palatino Linotype" w:hAnsi="Palatino Linotype" w:cs="Palatino Linotype"/>
          <w:b/>
          <w:sz w:val="22"/>
          <w:szCs w:val="22"/>
        </w:rPr>
        <w:t>veintiséis</w:t>
      </w:r>
      <w:r w:rsidR="00870252"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en donde se manifestó de la siguiente manera:</w:t>
      </w:r>
    </w:p>
    <w:p w14:paraId="7C2BF786" w14:textId="77777777" w:rsidR="00694AA0" w:rsidRPr="00AB4284" w:rsidRDefault="005B22BA">
      <w:pPr>
        <w:spacing w:before="240" w:after="240" w:line="360" w:lineRule="auto"/>
        <w:ind w:right="49"/>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 xml:space="preserve">Acto impugnado: </w:t>
      </w:r>
    </w:p>
    <w:p w14:paraId="3DC3BF9F" w14:textId="6F192454" w:rsidR="00694AA0" w:rsidRPr="00AB4284" w:rsidRDefault="005B22BA" w:rsidP="00F25291">
      <w:pPr>
        <w:ind w:left="851" w:right="900"/>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r w:rsidR="005C0836" w:rsidRPr="00AB4284">
        <w:rPr>
          <w:rFonts w:ascii="Palatino Linotype" w:eastAsia="Palatino Linotype" w:hAnsi="Palatino Linotype" w:cs="Palatino Linotype"/>
          <w:i/>
          <w:sz w:val="22"/>
          <w:szCs w:val="22"/>
        </w:rPr>
        <w:t>Con fundamento en el artículo 146 de la LOMEM solicito la información sobre mantenimiento y rehabilitación de espacios deportivos.</w:t>
      </w:r>
      <w:r w:rsidRPr="00AB4284">
        <w:rPr>
          <w:rFonts w:ascii="Palatino Linotype" w:eastAsia="Palatino Linotype" w:hAnsi="Palatino Linotype" w:cs="Palatino Linotype"/>
          <w:i/>
          <w:sz w:val="22"/>
          <w:szCs w:val="22"/>
        </w:rPr>
        <w:t>” (sic)</w:t>
      </w:r>
    </w:p>
    <w:p w14:paraId="367E1F4A" w14:textId="77777777" w:rsidR="006262EB" w:rsidRPr="00AB4284" w:rsidRDefault="006262EB" w:rsidP="009C1FBD">
      <w:pPr>
        <w:ind w:left="851" w:right="900"/>
        <w:rPr>
          <w:rFonts w:ascii="Palatino Linotype" w:eastAsia="Palatino Linotype" w:hAnsi="Palatino Linotype" w:cs="Palatino Linotype"/>
          <w:i/>
          <w:sz w:val="22"/>
          <w:szCs w:val="22"/>
        </w:rPr>
      </w:pPr>
    </w:p>
    <w:p w14:paraId="199B1EFD" w14:textId="77777777" w:rsidR="00694AA0" w:rsidRPr="00AB4284" w:rsidRDefault="005B22BA">
      <w:pPr>
        <w:spacing w:line="360" w:lineRule="auto"/>
        <w:jc w:val="both"/>
        <w:rPr>
          <w:rFonts w:ascii="Palatino Linotype" w:eastAsia="Palatino Linotype" w:hAnsi="Palatino Linotype" w:cs="Palatino Linotype"/>
          <w:sz w:val="22"/>
          <w:szCs w:val="22"/>
        </w:rPr>
      </w:pPr>
      <w:bookmarkStart w:id="3" w:name="_heading=h.30j0zll" w:colFirst="0" w:colLast="0"/>
      <w:bookmarkEnd w:id="3"/>
      <w:r w:rsidRPr="00AB4284">
        <w:rPr>
          <w:rFonts w:ascii="Palatino Linotype" w:eastAsia="Palatino Linotype" w:hAnsi="Palatino Linotype" w:cs="Palatino Linotype"/>
          <w:b/>
          <w:sz w:val="22"/>
          <w:szCs w:val="22"/>
        </w:rPr>
        <w:t>Y, Razones o motivos de inconformidad</w:t>
      </w:r>
      <w:r w:rsidRPr="00AB4284">
        <w:rPr>
          <w:rFonts w:ascii="Palatino Linotype" w:eastAsia="Palatino Linotype" w:hAnsi="Palatino Linotype" w:cs="Palatino Linotype"/>
          <w:sz w:val="22"/>
          <w:szCs w:val="22"/>
        </w:rPr>
        <w:t>:</w:t>
      </w:r>
    </w:p>
    <w:p w14:paraId="6F009CC9" w14:textId="45A6A826" w:rsidR="00694AA0" w:rsidRPr="00AB4284" w:rsidRDefault="005B22BA">
      <w:pPr>
        <w:tabs>
          <w:tab w:val="left" w:pos="2745"/>
        </w:tabs>
        <w:spacing w:before="240" w:after="240"/>
        <w:ind w:left="851" w:right="900"/>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r w:rsidR="005C0836" w:rsidRPr="00AB4284">
        <w:rPr>
          <w:rFonts w:ascii="Palatino Linotype" w:eastAsia="Palatino Linotype" w:hAnsi="Palatino Linotype" w:cs="Palatino Linotype"/>
          <w:i/>
          <w:sz w:val="22"/>
          <w:szCs w:val="22"/>
        </w:rPr>
        <w:t xml:space="preserve">En materia de acceso a la información: El solicitante NO está obligado a fundamentar correctamente. La solicitud fue clara: “Información sobre mantenimiento y rehabilitación de espacios deportivos” Eso: Es materia municipal Involucra obra pública Implica uso de recursos públicos Es información que debe existir La autoridad debió interpretar la solicitud conforme a su contenido, no aferrarse a un artículo citado por el solicitante.La autoridad SÍ está obligada a entender la petición y atenderla AGRAVIOS El H. Ayuntamiento de Tepotzotlán vulnera mi derecho humano de acceso a la información pública al emitir una declaratoria de incompetencia infundada, restrictiva y carente de debida motivación, en relación con la solicitud de información sobre </w:t>
      </w:r>
      <w:r w:rsidR="005C0836" w:rsidRPr="00AB4284">
        <w:rPr>
          <w:rFonts w:ascii="Palatino Linotype" w:eastAsia="Palatino Linotype" w:hAnsi="Palatino Linotype" w:cs="Palatino Linotype"/>
          <w:i/>
          <w:sz w:val="22"/>
          <w:szCs w:val="22"/>
        </w:rPr>
        <w:lastRenderedPageBreak/>
        <w:t>mantenimiento y rehabilitación de espacios deportivos, contraviniendo los principios de máxima publicidad, legalidad, objetividad y facilitación del acceso a la información. PRIMER AGRAVIO El error o imprecisión en el fundamento citado por el solicitante NO es causal de incompetencia En la solicitud original se citó como referencia el artículo 146 de la Ley Orgánica Municipal del Estado de México. Sin embargo, conforme a los principios que rigen el derecho de acceso a la información pública, el solicitante no está obligado a fundamentar jurídicamente su petición, ni a hacerlo de manera correcta. La autoridad responsable tenía la obligación de atender la solicitud conforme a su contenido material, es decir, proporcionar información relacionada con el mantenimiento y rehabilitación de espacios deportivos, y no basar su respuesta en una interpretación formalista del fundamento citado. Declararse incompetente por la referencia normativa señalada por el solicitante constituye una práctica evasiva, ya que el posible error del solicitante no puede trasladar ni extinguir la competencia material del sujeto obligado. SEGUNDO AGRAVIO Incorrecta y deficiente fundamentación legal por parte del sujeto obligado Aun cuando la autoridad alude al artículo 146 de la Ley Orgánica Municipal del Estado de México, dicho precepto no regula ni limita la competencia municipal en materia de obra pública, mantenimiento o rehabilitación de espacios deportivos, sino que versa sobre el sistema de mérito y reconocimiento del servicio público municipal. Por lo tanto, la respuesta impugnada carece de una adecuada fundamentación y motivación, al no existir relación alguna entre el precepto citado y el objeto real de la solicitud. TERCER AGRAVIO Competencia material del Ayuntamiento en la información solicitada El mantenimiento y rehabilitación de espacios deportivos corresponde a funciones propias del municipio, vinculadas con: La administración de bienes del dominio público municipal, La planeación, ejecución y supervisión de obra pública, El ejercicio y control de recursos públicos municipales. En consecuencia, el H. Ayuntamiento de Tepotzotlán sí es competente para atender solicitudes de información relacionadas con dichas materias, aun cuando la operación cotidiana de algunos espacios sea realizada por un organismo descentralizado. CUARTO AGRAVIO Violación al principio de máxima publicidad y al deber de facilitar el acceso a la información La declaratoria de incompetencia impugnada: Fragmenta indebidamente la información pública, Traslada la carga al solicitante, Obstaculiza el acceso efectivo a información de interés público, Contraviene el principio de máxima publicidad previsto en el artículo 6º constitucional y en la Ley de Transparencia local. La autoridad omitió emitir una respuesta de fondo, parcial o canalizada, limitándose a evadir su obligación de transparencia. PETICIÓN Por lo expuesto, solicito respetuosamente a este H. Instituto: Se revoque la declaratoria de incompetencia emitida por el H. Ayuntamiento de Tepotzotlán. Se ordene al sujeto obligado emitir una nueva respuesta debidamente fundada y motivada, atendiendo el fondo de la solicitud relativa al mantenimiento y rehabilitación de espacios deportivos. En su caso, se instruya la correcta canalización o emisión de respuesta parcial, sin trasladar al solicitante la carga de identificar al sujeto obligado competente.</w:t>
      </w:r>
      <w:r w:rsidR="00D74224" w:rsidRPr="00AB4284">
        <w:rPr>
          <w:rFonts w:ascii="Palatino Linotype" w:eastAsia="Palatino Linotype" w:hAnsi="Palatino Linotype" w:cs="Palatino Linotype"/>
          <w:i/>
          <w:sz w:val="22"/>
          <w:szCs w:val="22"/>
        </w:rPr>
        <w:t xml:space="preserve">” </w:t>
      </w:r>
      <w:r w:rsidRPr="00AB4284">
        <w:rPr>
          <w:rFonts w:ascii="Palatino Linotype" w:eastAsia="Palatino Linotype" w:hAnsi="Palatino Linotype" w:cs="Palatino Linotype"/>
          <w:i/>
          <w:sz w:val="22"/>
          <w:szCs w:val="22"/>
        </w:rPr>
        <w:t>(sic)</w:t>
      </w:r>
    </w:p>
    <w:p w14:paraId="058BB2CD" w14:textId="77777777" w:rsidR="00694AA0" w:rsidRPr="00AB4284" w:rsidRDefault="005B22BA">
      <w:pPr>
        <w:spacing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sz w:val="22"/>
          <w:szCs w:val="22"/>
        </w:rPr>
        <w:t xml:space="preserve">4. Turno. </w:t>
      </w:r>
      <w:r w:rsidRPr="00AB4284">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AB4284">
        <w:rPr>
          <w:rFonts w:ascii="Palatino Linotype" w:eastAsia="Palatino Linotype" w:hAnsi="Palatino Linotype" w:cs="Palatino Linotype"/>
          <w:b/>
          <w:sz w:val="22"/>
          <w:szCs w:val="22"/>
        </w:rPr>
        <w:t xml:space="preserve">Guadalupe Ramírez Peña, </w:t>
      </w:r>
      <w:r w:rsidRPr="00AB4284">
        <w:rPr>
          <w:rFonts w:ascii="Palatino Linotype" w:eastAsia="Palatino Linotype" w:hAnsi="Palatino Linotype" w:cs="Palatino Linotype"/>
          <w:sz w:val="22"/>
          <w:szCs w:val="22"/>
        </w:rPr>
        <w:t>a efecto de que analizara sobre su admisión o su desechamiento.</w:t>
      </w:r>
    </w:p>
    <w:p w14:paraId="5B57059D" w14:textId="285A4F07" w:rsidR="00694AA0" w:rsidRPr="00AB4284" w:rsidRDefault="005B22BA">
      <w:pPr>
        <w:spacing w:before="240" w:after="240" w:line="360" w:lineRule="auto"/>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5. Admisión del Recurso de revisión.</w:t>
      </w:r>
      <w:r w:rsidRPr="00AB4284">
        <w:rPr>
          <w:rFonts w:ascii="Palatino Linotype" w:eastAsia="Palatino Linotype" w:hAnsi="Palatino Linotype" w:cs="Palatino Linotype"/>
          <w:sz w:val="22"/>
          <w:szCs w:val="22"/>
        </w:rPr>
        <w:t xml:space="preserve"> El</w:t>
      </w:r>
      <w:r w:rsidRPr="00AB4284">
        <w:rPr>
          <w:rFonts w:ascii="Palatino Linotype" w:eastAsia="Palatino Linotype" w:hAnsi="Palatino Linotype" w:cs="Palatino Linotype"/>
          <w:b/>
          <w:sz w:val="22"/>
          <w:szCs w:val="22"/>
        </w:rPr>
        <w:t xml:space="preserve"> </w:t>
      </w:r>
      <w:r w:rsidR="005C0836" w:rsidRPr="00AB4284">
        <w:rPr>
          <w:rFonts w:ascii="Palatino Linotype" w:eastAsia="Palatino Linotype" w:hAnsi="Palatino Linotype" w:cs="Palatino Linotype"/>
          <w:b/>
          <w:sz w:val="22"/>
          <w:szCs w:val="22"/>
        </w:rPr>
        <w:t>trece de enero</w:t>
      </w:r>
      <w:r w:rsidRPr="00AB4284">
        <w:rPr>
          <w:rFonts w:ascii="Palatino Linotype" w:eastAsia="Palatino Linotype" w:hAnsi="Palatino Linotype" w:cs="Palatino Linotype"/>
          <w:b/>
          <w:sz w:val="22"/>
          <w:szCs w:val="22"/>
        </w:rPr>
        <w:t xml:space="preserve"> de dos mil </w:t>
      </w:r>
      <w:r w:rsidR="002A6516" w:rsidRPr="00AB4284">
        <w:rPr>
          <w:rFonts w:ascii="Palatino Linotype" w:eastAsia="Palatino Linotype" w:hAnsi="Palatino Linotype" w:cs="Palatino Linotype"/>
          <w:b/>
          <w:sz w:val="22"/>
          <w:szCs w:val="22"/>
        </w:rPr>
        <w:t>veinti</w:t>
      </w:r>
      <w:r w:rsidR="005C0836" w:rsidRPr="00AB4284">
        <w:rPr>
          <w:rFonts w:ascii="Palatino Linotype" w:eastAsia="Palatino Linotype" w:hAnsi="Palatino Linotype" w:cs="Palatino Linotype"/>
          <w:b/>
          <w:sz w:val="22"/>
          <w:szCs w:val="22"/>
        </w:rPr>
        <w:t>séis</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presentara su informe justificado.</w:t>
      </w:r>
    </w:p>
    <w:p w14:paraId="751FE7CE" w14:textId="77777777" w:rsidR="007458B0" w:rsidRPr="00AB4284" w:rsidRDefault="005B22BA" w:rsidP="007458B0">
      <w:pPr>
        <w:widowControl w:val="0"/>
        <w:spacing w:line="360" w:lineRule="auto"/>
        <w:ind w:right="49"/>
        <w:jc w:val="both"/>
        <w:rPr>
          <w:rFonts w:ascii="Palatino Linotype" w:eastAsia="Palatino Linotype" w:hAnsi="Palatino Linotype" w:cs="Palatino Linotype"/>
          <w:sz w:val="22"/>
          <w:szCs w:val="22"/>
        </w:rPr>
      </w:pPr>
      <w:bookmarkStart w:id="4" w:name="_heading=h.2s8eyo1" w:colFirst="0" w:colLast="0"/>
      <w:bookmarkEnd w:id="4"/>
      <w:r w:rsidRPr="00AB4284">
        <w:rPr>
          <w:rFonts w:ascii="Palatino Linotype" w:eastAsia="Palatino Linotype" w:hAnsi="Palatino Linotype" w:cs="Palatino Linotype"/>
          <w:b/>
          <w:sz w:val="22"/>
          <w:szCs w:val="22"/>
        </w:rPr>
        <w:t>6. Manifestaciones</w:t>
      </w:r>
      <w:r w:rsidRPr="00AB4284">
        <w:rPr>
          <w:rFonts w:ascii="Palatino Linotype" w:eastAsia="Palatino Linotype" w:hAnsi="Palatino Linotype" w:cs="Palatino Linotype"/>
          <w:sz w:val="22"/>
          <w:szCs w:val="22"/>
        </w:rPr>
        <w:t xml:space="preserve">. </w:t>
      </w:r>
      <w:r w:rsidR="007458B0" w:rsidRPr="00AB4284">
        <w:rPr>
          <w:rFonts w:ascii="Palatino Linotype" w:eastAsia="Palatino Linotype" w:hAnsi="Palatino Linotype" w:cs="Palatino Linotype"/>
          <w:sz w:val="22"/>
          <w:szCs w:val="22"/>
        </w:rPr>
        <w:t xml:space="preserve">De constancias del expediente electrónico del SAIMEX, se observa que el </w:t>
      </w:r>
      <w:r w:rsidR="007458B0" w:rsidRPr="00AB4284">
        <w:rPr>
          <w:rFonts w:ascii="Palatino Linotype" w:eastAsia="Palatino Linotype" w:hAnsi="Palatino Linotype" w:cs="Palatino Linotype"/>
          <w:b/>
          <w:sz w:val="22"/>
          <w:szCs w:val="22"/>
        </w:rPr>
        <w:t>Sujeto Obligado</w:t>
      </w:r>
      <w:r w:rsidR="007458B0" w:rsidRPr="00AB4284">
        <w:rPr>
          <w:rFonts w:ascii="Palatino Linotype" w:eastAsia="Palatino Linotype" w:hAnsi="Palatino Linotype" w:cs="Palatino Linotype"/>
          <w:sz w:val="22"/>
          <w:szCs w:val="22"/>
        </w:rPr>
        <w:t xml:space="preserve"> fue omiso en rendir su informe justificado; así como, la parte </w:t>
      </w:r>
      <w:r w:rsidR="007458B0" w:rsidRPr="00AB4284">
        <w:rPr>
          <w:rFonts w:ascii="Palatino Linotype" w:eastAsia="Palatino Linotype" w:hAnsi="Palatino Linotype" w:cs="Palatino Linotype"/>
          <w:b/>
          <w:sz w:val="22"/>
          <w:szCs w:val="22"/>
        </w:rPr>
        <w:t xml:space="preserve">Recurrente </w:t>
      </w:r>
      <w:r w:rsidR="007458B0" w:rsidRPr="00AB4284">
        <w:rPr>
          <w:rFonts w:ascii="Palatino Linotype" w:eastAsia="Palatino Linotype" w:hAnsi="Palatino Linotype" w:cs="Palatino Linotype"/>
          <w:sz w:val="22"/>
          <w:szCs w:val="22"/>
        </w:rPr>
        <w:t>fue omisa en hacer valer manifestaciones o rendir alegatos que conforme a derecho resultaran procedentes, como se muestra:</w:t>
      </w:r>
    </w:p>
    <w:p w14:paraId="16F2E6AF" w14:textId="68273626" w:rsidR="0038287E" w:rsidRPr="00AB4284" w:rsidRDefault="00E81721" w:rsidP="0038287E">
      <w:pPr>
        <w:widowControl w:val="0"/>
        <w:spacing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noProof/>
          <w:sz w:val="22"/>
          <w:szCs w:val="22"/>
        </w:rPr>
        <w:drawing>
          <wp:inline distT="0" distB="0" distL="0" distR="0" wp14:anchorId="4355449E" wp14:editId="2DEB8E3F">
            <wp:extent cx="5612130" cy="161353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613535"/>
                    </a:xfrm>
                    <a:prstGeom prst="rect">
                      <a:avLst/>
                    </a:prstGeom>
                  </pic:spPr>
                </pic:pic>
              </a:graphicData>
            </a:graphic>
          </wp:inline>
        </w:drawing>
      </w:r>
    </w:p>
    <w:p w14:paraId="33B88E38" w14:textId="77777777" w:rsidR="007458B0" w:rsidRPr="00AB4284" w:rsidRDefault="007458B0" w:rsidP="007458B0">
      <w:pPr>
        <w:widowControl w:val="0"/>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sz w:val="22"/>
          <w:szCs w:val="22"/>
        </w:rPr>
        <w:t xml:space="preserve">7. Cierre de instrucción. </w:t>
      </w:r>
      <w:r w:rsidRPr="00AB428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Pr="00AB4284">
        <w:rPr>
          <w:rFonts w:ascii="Palatino Linotype" w:eastAsia="Palatino Linotype" w:hAnsi="Palatino Linotype" w:cs="Palatino Linotype"/>
          <w:b/>
          <w:bCs/>
          <w:sz w:val="22"/>
          <w:szCs w:val="22"/>
        </w:rPr>
        <w:t>nueve de febrero</w:t>
      </w:r>
      <w:r w:rsidRPr="00AB4284">
        <w:rPr>
          <w:rFonts w:ascii="Palatino Linotype" w:eastAsia="Palatino Linotype" w:hAnsi="Palatino Linotype" w:cs="Palatino Linotype"/>
          <w:b/>
          <w:sz w:val="22"/>
          <w:szCs w:val="22"/>
        </w:rPr>
        <w:t xml:space="preserve"> de enero de dos mil veintiséis</w:t>
      </w:r>
      <w:r w:rsidRPr="00AB4284">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8B70E44" w14:textId="46C68C26" w:rsidR="00E23D61" w:rsidRPr="00AB4284" w:rsidRDefault="00E23D61" w:rsidP="00E23D61">
      <w:pPr>
        <w:spacing w:before="240" w:after="240" w:line="360" w:lineRule="auto"/>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8. Ampliación del término para resolver</w:t>
      </w:r>
      <w:r w:rsidRPr="00AB4284">
        <w:rPr>
          <w:rFonts w:ascii="Palatino Linotype" w:eastAsia="Palatino Linotype" w:hAnsi="Palatino Linotype" w:cs="Palatino Linotype"/>
          <w:sz w:val="22"/>
          <w:szCs w:val="22"/>
        </w:rPr>
        <w:t xml:space="preserve">. El </w:t>
      </w:r>
      <w:r w:rsidR="007458B0" w:rsidRPr="00AB4284">
        <w:rPr>
          <w:rFonts w:ascii="Palatino Linotype" w:eastAsia="Palatino Linotype" w:hAnsi="Palatino Linotype" w:cs="Palatino Linotype"/>
          <w:b/>
          <w:sz w:val="22"/>
          <w:szCs w:val="22"/>
        </w:rPr>
        <w:t>veinticuatro</w:t>
      </w:r>
      <w:r w:rsidRPr="00AB4284">
        <w:rPr>
          <w:rFonts w:ascii="Palatino Linotype" w:eastAsia="Palatino Linotype" w:hAnsi="Palatino Linotype" w:cs="Palatino Linotype"/>
          <w:b/>
          <w:sz w:val="22"/>
          <w:szCs w:val="22"/>
        </w:rPr>
        <w:t xml:space="preserve"> de febrero de dos mil veintiséis</w:t>
      </w:r>
      <w:r w:rsidRPr="00AB4284">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3632DFE2" w14:textId="77777777"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8C3A9B5" w14:textId="77777777" w:rsidR="00694AA0" w:rsidRPr="00AB4284" w:rsidRDefault="005B22BA">
      <w:pPr>
        <w:widowControl w:val="0"/>
        <w:spacing w:before="240" w:after="240" w:line="360" w:lineRule="auto"/>
        <w:jc w:val="center"/>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II. C O N S I D E R A N D O S</w:t>
      </w:r>
    </w:p>
    <w:p w14:paraId="65525EF7" w14:textId="60C8B49A"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sz w:val="22"/>
          <w:szCs w:val="22"/>
        </w:rPr>
        <w:t>Primero. Competencia.</w:t>
      </w:r>
      <w:r w:rsidRPr="00AB428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w:t>
      </w:r>
      <w:r w:rsidR="008E0B27" w:rsidRPr="00AB4284">
        <w:rPr>
          <w:rFonts w:ascii="Palatino Linotype" w:eastAsia="Palatino Linotype" w:hAnsi="Palatino Linotype" w:cs="Palatino Linotype"/>
          <w:sz w:val="22"/>
          <w:szCs w:val="22"/>
        </w:rPr>
        <w:t>cuarto, cuadragésimo quinto y cuadragésimo sexto</w:t>
      </w:r>
      <w:r w:rsidRPr="00AB4284">
        <w:rPr>
          <w:rFonts w:ascii="Palatino Linotype" w:eastAsia="Palatino Linotype" w:hAnsi="Palatino Linotype" w:cs="Palatino Linotype"/>
          <w:sz w:val="22"/>
          <w:szCs w:val="22"/>
        </w:rPr>
        <w:t xml:space="preserve">, fracciones IV y V de la Constitución Política del Estado Libre y Soberano de México; </w:t>
      </w:r>
      <w:r w:rsidR="00BE3EF4" w:rsidRPr="00AB4284">
        <w:rPr>
          <w:rFonts w:ascii="Palatino Linotype" w:eastAsia="Palatino Linotype" w:hAnsi="Palatino Linotype" w:cs="Palatino Linotype"/>
          <w:sz w:val="22"/>
          <w:szCs w:val="22"/>
        </w:rPr>
        <w:t xml:space="preserve">transitorio Cuarto del Decreto número 198 de la “LXII” Legislatura del Estado de México; </w:t>
      </w:r>
      <w:r w:rsidRPr="00AB4284">
        <w:rPr>
          <w:rFonts w:ascii="Palatino Linotype" w:eastAsia="Palatino Linotype" w:hAnsi="Palatino Linotype" w:cs="Palatino Linotype"/>
          <w:sz w:val="22"/>
          <w:szCs w:val="22"/>
        </w:rPr>
        <w:t>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4121E3F" w14:textId="77777777" w:rsidR="00694AA0" w:rsidRPr="00AB4284" w:rsidRDefault="005B22BA">
      <w:pPr>
        <w:spacing w:before="240" w:after="240" w:line="360" w:lineRule="auto"/>
        <w:jc w:val="both"/>
        <w:rPr>
          <w:rFonts w:ascii="Palatino Linotype" w:eastAsia="Palatino Linotype" w:hAnsi="Palatino Linotype" w:cs="Palatino Linotype"/>
          <w:sz w:val="22"/>
          <w:szCs w:val="22"/>
        </w:rPr>
      </w:pPr>
      <w:bookmarkStart w:id="5" w:name="_heading=h.tyjcwt" w:colFirst="0" w:colLast="0"/>
      <w:bookmarkEnd w:id="5"/>
      <w:r w:rsidRPr="00AB4284">
        <w:rPr>
          <w:rFonts w:ascii="Palatino Linotype" w:eastAsia="Palatino Linotype" w:hAnsi="Palatino Linotype" w:cs="Palatino Linotype"/>
          <w:b/>
          <w:sz w:val="22"/>
          <w:szCs w:val="22"/>
        </w:rPr>
        <w:t>Segundo. Oportunidad y Procedibilidad del Recurso de Revisión</w:t>
      </w:r>
      <w:r w:rsidRPr="00AB4284">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661F1BAB" w14:textId="01D65424"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 xml:space="preserve">remitió la respuesta a la solicitud de información el día </w:t>
      </w:r>
      <w:r w:rsidR="004431D2" w:rsidRPr="00AB4284">
        <w:rPr>
          <w:rFonts w:ascii="Palatino Linotype" w:eastAsia="Palatino Linotype" w:hAnsi="Palatino Linotype" w:cs="Palatino Linotype"/>
          <w:b/>
          <w:sz w:val="22"/>
          <w:szCs w:val="22"/>
        </w:rPr>
        <w:t>veintiséis de diciembre de</w:t>
      </w:r>
      <w:r w:rsidR="00133291" w:rsidRPr="00AB4284">
        <w:rPr>
          <w:rFonts w:ascii="Palatino Linotype" w:eastAsia="Palatino Linotype" w:hAnsi="Palatino Linotype" w:cs="Palatino Linotype"/>
          <w:b/>
          <w:sz w:val="22"/>
          <w:szCs w:val="22"/>
        </w:rPr>
        <w:t xml:space="preserve"> dos mil veinticinco</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mientras que el recurso de revisión interpuesto por la parte </w:t>
      </w:r>
      <w:r w:rsidRPr="00AB4284">
        <w:rPr>
          <w:rFonts w:ascii="Palatino Linotype" w:eastAsia="Palatino Linotype" w:hAnsi="Palatino Linotype" w:cs="Palatino Linotype"/>
          <w:b/>
          <w:sz w:val="22"/>
          <w:szCs w:val="22"/>
        </w:rPr>
        <w:t xml:space="preserve">Recurrente, </w:t>
      </w:r>
      <w:r w:rsidRPr="00AB4284">
        <w:rPr>
          <w:rFonts w:ascii="Palatino Linotype" w:eastAsia="Palatino Linotype" w:hAnsi="Palatino Linotype" w:cs="Palatino Linotype"/>
          <w:sz w:val="22"/>
          <w:szCs w:val="22"/>
        </w:rPr>
        <w:t>se tuvo por presentado el día</w:t>
      </w:r>
      <w:r w:rsidRPr="00AB4284">
        <w:rPr>
          <w:rFonts w:ascii="Palatino Linotype" w:eastAsia="Palatino Linotype" w:hAnsi="Palatino Linotype" w:cs="Palatino Linotype"/>
          <w:b/>
          <w:sz w:val="22"/>
          <w:szCs w:val="22"/>
        </w:rPr>
        <w:t xml:space="preserve"> </w:t>
      </w:r>
      <w:r w:rsidR="004431D2" w:rsidRPr="00AB4284">
        <w:rPr>
          <w:rFonts w:ascii="Palatino Linotype" w:eastAsia="Palatino Linotype" w:hAnsi="Palatino Linotype" w:cs="Palatino Linotype"/>
          <w:b/>
          <w:sz w:val="22"/>
          <w:szCs w:val="22"/>
        </w:rPr>
        <w:t>doce de enero de dos mil veintiséis</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 xml:space="preserve">esto es, </w:t>
      </w:r>
      <w:r w:rsidR="00313CA2" w:rsidRPr="00AB4284">
        <w:rPr>
          <w:rFonts w:ascii="Palatino Linotype" w:eastAsia="Palatino Linotype" w:hAnsi="Palatino Linotype" w:cs="Palatino Linotype"/>
          <w:sz w:val="22"/>
          <w:szCs w:val="22"/>
        </w:rPr>
        <w:t xml:space="preserve">al </w:t>
      </w:r>
      <w:r w:rsidR="004431D2" w:rsidRPr="00AB4284">
        <w:rPr>
          <w:rFonts w:ascii="Palatino Linotype" w:eastAsia="Palatino Linotype" w:hAnsi="Palatino Linotype" w:cs="Palatino Linotype"/>
          <w:sz w:val="22"/>
          <w:szCs w:val="22"/>
        </w:rPr>
        <w:t xml:space="preserve">siguiente día hábil </w:t>
      </w:r>
      <w:r w:rsidR="00C1140A" w:rsidRPr="00AB4284">
        <w:rPr>
          <w:rFonts w:ascii="Palatino Linotype" w:eastAsia="Palatino Linotype" w:hAnsi="Palatino Linotype" w:cs="Palatino Linotype"/>
          <w:sz w:val="22"/>
          <w:szCs w:val="22"/>
        </w:rPr>
        <w:t>posterior a</w:t>
      </w:r>
      <w:r w:rsidRPr="00AB4284">
        <w:rPr>
          <w:rFonts w:ascii="Palatino Linotype" w:eastAsia="Palatino Linotype" w:hAnsi="Palatino Linotype" w:cs="Palatino Linotype"/>
          <w:sz w:val="22"/>
          <w:szCs w:val="22"/>
        </w:rPr>
        <w:t xml:space="preserve"> aquel en el que tuvo conocimiento de la respuesta impugnada. En este sentido, se concluye que el presente recurso de revisión se encuentra dentro de los márgenes temporales previstos en las disposiciones legales referidas.</w:t>
      </w:r>
    </w:p>
    <w:p w14:paraId="1F56F7F6" w14:textId="77777777" w:rsidR="00C00558" w:rsidRPr="00AB4284" w:rsidRDefault="00C00558" w:rsidP="00C00558">
      <w:pPr>
        <w:tabs>
          <w:tab w:val="left" w:pos="7938"/>
        </w:tabs>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2DB43ED9" w14:textId="23DC13F5" w:rsidR="006E155A" w:rsidRPr="00AB4284" w:rsidRDefault="005B22BA" w:rsidP="006E155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AB4284">
        <w:rPr>
          <w:rFonts w:ascii="Palatino Linotype" w:eastAsia="Palatino Linotype" w:hAnsi="Palatino Linotype" w:cs="Palatino Linotype"/>
          <w:b/>
          <w:sz w:val="22"/>
          <w:szCs w:val="22"/>
        </w:rPr>
        <w:t>Recurrente</w:t>
      </w:r>
      <w:r w:rsidRPr="00AB4284">
        <w:rPr>
          <w:rFonts w:ascii="Palatino Linotype" w:eastAsia="Palatino Linotype" w:hAnsi="Palatino Linotype" w:cs="Palatino Linotype"/>
          <w:sz w:val="22"/>
          <w:szCs w:val="22"/>
        </w:rPr>
        <w:t xml:space="preserve"> en sus motivos de inconformidad, de acuerdo al artículo 179, </w:t>
      </w:r>
      <w:r w:rsidR="00C00558" w:rsidRPr="00AB4284">
        <w:rPr>
          <w:rFonts w:ascii="Palatino Linotype" w:eastAsia="Palatino Linotype" w:hAnsi="Palatino Linotype" w:cs="Palatino Linotype"/>
          <w:sz w:val="22"/>
          <w:szCs w:val="22"/>
        </w:rPr>
        <w:t>f</w:t>
      </w:r>
      <w:r w:rsidR="00A521AD" w:rsidRPr="00AB4284">
        <w:rPr>
          <w:rFonts w:ascii="Palatino Linotype" w:eastAsia="Palatino Linotype" w:hAnsi="Palatino Linotype" w:cs="Palatino Linotype"/>
          <w:sz w:val="22"/>
          <w:szCs w:val="22"/>
        </w:rPr>
        <w:t>racciones IV</w:t>
      </w:r>
      <w:r w:rsidR="00200EBD" w:rsidRPr="00AB4284">
        <w:rPr>
          <w:rFonts w:ascii="Palatino Linotype" w:eastAsia="Palatino Linotype" w:hAnsi="Palatino Linotype" w:cs="Palatino Linotype"/>
          <w:sz w:val="22"/>
          <w:szCs w:val="22"/>
        </w:rPr>
        <w:t xml:space="preserve"> y XIII </w:t>
      </w:r>
      <w:r w:rsidR="006E155A" w:rsidRPr="00AB4284">
        <w:rPr>
          <w:rFonts w:ascii="Palatino Linotype" w:eastAsia="Palatino Linotype" w:hAnsi="Palatino Linotype" w:cs="Palatino Linotype"/>
          <w:sz w:val="22"/>
          <w:szCs w:val="22"/>
        </w:rPr>
        <w:t>del ordenamiento legal citado, que a la letra dice: </w:t>
      </w:r>
    </w:p>
    <w:p w14:paraId="76DBCF77" w14:textId="77777777" w:rsidR="006E155A" w:rsidRPr="00AB4284" w:rsidRDefault="006E155A" w:rsidP="006E155A">
      <w:pPr>
        <w:tabs>
          <w:tab w:val="left" w:pos="7938"/>
        </w:tabs>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r w:rsidRPr="00AB4284">
        <w:rPr>
          <w:rFonts w:ascii="Palatino Linotype" w:eastAsia="Palatino Linotype" w:hAnsi="Palatino Linotype" w:cs="Palatino Linotype"/>
          <w:b/>
          <w:i/>
          <w:sz w:val="22"/>
          <w:szCs w:val="22"/>
        </w:rPr>
        <w:t>Artículo 179.</w:t>
      </w:r>
      <w:r w:rsidRPr="00AB4284">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609BC029" w14:textId="14C4F929" w:rsidR="00561AA1" w:rsidRPr="00AB4284" w:rsidRDefault="00561AA1" w:rsidP="006E155A">
      <w:pPr>
        <w:tabs>
          <w:tab w:val="left" w:pos="7938"/>
        </w:tabs>
        <w:spacing w:before="120" w:after="120"/>
        <w:ind w:left="851" w:right="900"/>
        <w:jc w:val="both"/>
        <w:rPr>
          <w:rFonts w:ascii="Palatino Linotype" w:hAnsi="Palatino Linotype"/>
          <w:b/>
          <w:i/>
          <w:sz w:val="22"/>
          <w:szCs w:val="22"/>
        </w:rPr>
      </w:pPr>
      <w:r w:rsidRPr="00AB4284">
        <w:rPr>
          <w:rFonts w:ascii="Palatino Linotype" w:hAnsi="Palatino Linotype"/>
          <w:b/>
          <w:i/>
          <w:sz w:val="22"/>
          <w:szCs w:val="22"/>
        </w:rPr>
        <w:t>...</w:t>
      </w:r>
    </w:p>
    <w:p w14:paraId="779FFD50" w14:textId="77777777" w:rsidR="00A521AD" w:rsidRPr="00AB4284" w:rsidRDefault="00A521AD" w:rsidP="006E155A">
      <w:pPr>
        <w:tabs>
          <w:tab w:val="left" w:pos="7938"/>
        </w:tabs>
        <w:spacing w:before="120" w:after="120"/>
        <w:ind w:left="851" w:right="900"/>
        <w:jc w:val="both"/>
        <w:rPr>
          <w:rFonts w:ascii="Palatino Linotype" w:hAnsi="Palatino Linotype"/>
          <w:i/>
          <w:sz w:val="22"/>
          <w:szCs w:val="22"/>
        </w:rPr>
      </w:pPr>
      <w:r w:rsidRPr="00AB4284">
        <w:rPr>
          <w:rFonts w:ascii="Palatino Linotype" w:hAnsi="Palatino Linotype"/>
          <w:b/>
          <w:i/>
          <w:sz w:val="22"/>
          <w:szCs w:val="22"/>
        </w:rPr>
        <w:t>IV</w:t>
      </w:r>
      <w:r w:rsidRPr="00AB4284">
        <w:rPr>
          <w:rFonts w:ascii="Palatino Linotype" w:hAnsi="Palatino Linotype"/>
          <w:i/>
          <w:sz w:val="22"/>
          <w:szCs w:val="22"/>
        </w:rPr>
        <w:t xml:space="preserve">. La declaración de incompetencia por el sujeto obligado; </w:t>
      </w:r>
    </w:p>
    <w:p w14:paraId="30B3D2CA" w14:textId="77777777" w:rsidR="00A521AD" w:rsidRPr="00AB4284" w:rsidRDefault="00A521AD" w:rsidP="006E155A">
      <w:pPr>
        <w:tabs>
          <w:tab w:val="left" w:pos="7938"/>
        </w:tabs>
        <w:spacing w:before="120" w:after="120"/>
        <w:ind w:left="851" w:right="900"/>
        <w:jc w:val="both"/>
        <w:rPr>
          <w:rFonts w:ascii="Palatino Linotype" w:hAnsi="Palatino Linotype"/>
          <w:i/>
          <w:sz w:val="22"/>
          <w:szCs w:val="22"/>
        </w:rPr>
      </w:pPr>
      <w:r w:rsidRPr="00AB4284">
        <w:rPr>
          <w:rFonts w:ascii="Palatino Linotype" w:hAnsi="Palatino Linotype"/>
          <w:i/>
          <w:sz w:val="22"/>
          <w:szCs w:val="22"/>
        </w:rPr>
        <w:t>...</w:t>
      </w:r>
    </w:p>
    <w:p w14:paraId="57894972" w14:textId="0C8F863F" w:rsidR="006E155A" w:rsidRPr="00AB4284" w:rsidRDefault="00A521AD" w:rsidP="00200EBD">
      <w:pPr>
        <w:tabs>
          <w:tab w:val="left" w:pos="7938"/>
        </w:tabs>
        <w:spacing w:before="120" w:after="120"/>
        <w:ind w:left="851" w:right="900"/>
        <w:jc w:val="both"/>
        <w:rPr>
          <w:rFonts w:ascii="Palatino Linotype" w:eastAsia="Palatino Linotype" w:hAnsi="Palatino Linotype" w:cs="Palatino Linotype"/>
          <w:i/>
          <w:sz w:val="22"/>
          <w:szCs w:val="22"/>
        </w:rPr>
      </w:pPr>
      <w:r w:rsidRPr="00AB4284">
        <w:rPr>
          <w:rFonts w:ascii="Palatino Linotype" w:hAnsi="Palatino Linotype"/>
          <w:i/>
          <w:sz w:val="22"/>
          <w:szCs w:val="22"/>
        </w:rPr>
        <w:cr/>
      </w:r>
      <w:r w:rsidR="00200EBD" w:rsidRPr="00AB4284">
        <w:rPr>
          <w:rFonts w:ascii="Palatino Linotype" w:hAnsi="Palatino Linotype"/>
          <w:sz w:val="22"/>
          <w:szCs w:val="22"/>
        </w:rPr>
        <w:t xml:space="preserve"> </w:t>
      </w:r>
      <w:r w:rsidR="00200EBD" w:rsidRPr="00AB4284">
        <w:rPr>
          <w:rFonts w:ascii="Palatino Linotype" w:hAnsi="Palatino Linotype"/>
          <w:b/>
          <w:i/>
          <w:sz w:val="22"/>
          <w:szCs w:val="22"/>
        </w:rPr>
        <w:t>XIII.</w:t>
      </w:r>
      <w:r w:rsidR="00200EBD" w:rsidRPr="00AB4284">
        <w:rPr>
          <w:rFonts w:ascii="Palatino Linotype" w:hAnsi="Palatino Linotype"/>
          <w:i/>
          <w:sz w:val="22"/>
          <w:szCs w:val="22"/>
        </w:rPr>
        <w:t xml:space="preserve"> La falta, deficiencia o insuficiencia de la fundamentación y/o motivación en la respuesta; y</w:t>
      </w:r>
      <w:r w:rsidR="00133291" w:rsidRPr="00AB4284">
        <w:rPr>
          <w:rFonts w:ascii="Palatino Linotype" w:hAnsi="Palatino Linotype"/>
          <w:i/>
          <w:sz w:val="22"/>
          <w:szCs w:val="22"/>
        </w:rPr>
        <w:t>;</w:t>
      </w:r>
      <w:r w:rsidR="006E155A" w:rsidRPr="00AB4284">
        <w:rPr>
          <w:rFonts w:ascii="Palatino Linotype" w:eastAsia="Palatino Linotype" w:hAnsi="Palatino Linotype" w:cs="Palatino Linotype"/>
          <w:i/>
          <w:sz w:val="22"/>
          <w:szCs w:val="22"/>
        </w:rPr>
        <w:t>”</w:t>
      </w:r>
    </w:p>
    <w:p w14:paraId="7B3D2575" w14:textId="77777777" w:rsidR="00694AA0" w:rsidRPr="00AB4284" w:rsidRDefault="005B22BA">
      <w:pPr>
        <w:spacing w:before="240" w:after="240" w:line="360" w:lineRule="auto"/>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 xml:space="preserve">Tercero. Materia de la revisión. </w:t>
      </w:r>
      <w:r w:rsidRPr="00AB4284">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AB4284">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AB4284">
        <w:rPr>
          <w:rFonts w:ascii="Palatino Linotype" w:eastAsia="Palatino Linotype" w:hAnsi="Palatino Linotype" w:cs="Palatino Linotype"/>
          <w:sz w:val="22"/>
          <w:szCs w:val="22"/>
        </w:rPr>
        <w:t xml:space="preserve">de la parte </w:t>
      </w:r>
      <w:r w:rsidRPr="00AB4284">
        <w:rPr>
          <w:rFonts w:ascii="Palatino Linotype" w:eastAsia="Palatino Linotype" w:hAnsi="Palatino Linotype" w:cs="Palatino Linotype"/>
          <w:b/>
          <w:sz w:val="22"/>
          <w:szCs w:val="22"/>
        </w:rPr>
        <w:t>Recurrente</w:t>
      </w:r>
      <w:r w:rsidRPr="00AB4284">
        <w:rPr>
          <w:rFonts w:ascii="Palatino Linotype" w:eastAsia="Palatino Linotype" w:hAnsi="Palatino Linotype" w:cs="Palatino Linotype"/>
          <w:sz w:val="22"/>
          <w:szCs w:val="22"/>
        </w:rPr>
        <w:t>, o en su defecto, en caso de ser procedente, ordenar la entrega de información.</w:t>
      </w:r>
    </w:p>
    <w:p w14:paraId="73D2F728" w14:textId="77777777" w:rsidR="00694AA0" w:rsidRPr="00AB4284" w:rsidRDefault="005B22BA">
      <w:pPr>
        <w:spacing w:before="240" w:after="240" w:line="360" w:lineRule="auto"/>
        <w:jc w:val="both"/>
        <w:rPr>
          <w:rFonts w:ascii="Palatino Linotype" w:eastAsia="Palatino Linotype" w:hAnsi="Palatino Linotype" w:cs="Palatino Linotype"/>
          <w:sz w:val="22"/>
          <w:szCs w:val="22"/>
        </w:rPr>
      </w:pPr>
      <w:bookmarkStart w:id="6" w:name="_heading=h.2et92p0" w:colFirst="0" w:colLast="0"/>
      <w:bookmarkEnd w:id="6"/>
      <w:r w:rsidRPr="00AB4284">
        <w:rPr>
          <w:rFonts w:ascii="Palatino Linotype" w:eastAsia="Palatino Linotype" w:hAnsi="Palatino Linotype" w:cs="Palatino Linotype"/>
          <w:b/>
          <w:sz w:val="22"/>
          <w:szCs w:val="22"/>
        </w:rPr>
        <w:t xml:space="preserve">Cuarto. Estudio del asunto. </w:t>
      </w:r>
      <w:r w:rsidRPr="00AB4284">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7F60AAE5" w14:textId="77777777" w:rsidR="00694AA0" w:rsidRPr="00AB4284" w:rsidRDefault="005B22BA">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r w:rsidRPr="00AB4284">
        <w:rPr>
          <w:rFonts w:ascii="Palatino Linotype" w:eastAsia="Palatino Linotype" w:hAnsi="Palatino Linotype" w:cs="Palatino Linotype"/>
          <w:b/>
          <w:i/>
          <w:sz w:val="22"/>
          <w:szCs w:val="22"/>
        </w:rPr>
        <w:t>Artículo 4</w:t>
      </w:r>
      <w:r w:rsidRPr="00AB4284">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A890CA7" w14:textId="77777777" w:rsidR="00694AA0" w:rsidRPr="00AB4284" w:rsidRDefault="005B22BA">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AB4284">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6B72714" w14:textId="77777777" w:rsidR="00694AA0" w:rsidRPr="00AB4284" w:rsidRDefault="005B22BA">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AB4284">
        <w:rPr>
          <w:rFonts w:ascii="Palatino Linotype" w:eastAsia="Palatino Linotype" w:hAnsi="Palatino Linotype" w:cs="Palatino Linotype"/>
          <w:i/>
          <w:sz w:val="22"/>
          <w:szCs w:val="22"/>
        </w:rPr>
        <w:t>.”</w:t>
      </w:r>
    </w:p>
    <w:p w14:paraId="2B62FDE3" w14:textId="77777777"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FB2BC38" w14:textId="77777777" w:rsidR="00694AA0" w:rsidRPr="00AB4284" w:rsidRDefault="005B22BA">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“Artículo 12.-</w:t>
      </w:r>
      <w:r w:rsidRPr="00AB4284">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56EB6026" w14:textId="77777777" w:rsidR="00694AA0" w:rsidRPr="00AB4284" w:rsidRDefault="005B22BA">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AB4284">
        <w:rPr>
          <w:rFonts w:ascii="Palatino Linotype" w:eastAsia="Palatino Linotype" w:hAnsi="Palatino Linotype" w:cs="Palatino Linotype"/>
          <w:i/>
          <w:sz w:val="22"/>
          <w:szCs w:val="22"/>
        </w:rPr>
        <w:t xml:space="preserve">. </w:t>
      </w:r>
      <w:r w:rsidRPr="00AB4284">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ED4674D" w14:textId="77777777" w:rsidR="00694AA0" w:rsidRPr="00AB4284" w:rsidRDefault="005B22BA">
      <w:pPr>
        <w:spacing w:before="240" w:after="240" w:line="360" w:lineRule="auto"/>
        <w:ind w:right="-93"/>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558BB21D" w14:textId="77777777" w:rsidR="00694AA0" w:rsidRPr="00AB4284" w:rsidRDefault="005B22BA">
      <w:pPr>
        <w:spacing w:before="240" w:after="240" w:line="360" w:lineRule="auto"/>
        <w:jc w:val="both"/>
        <w:rPr>
          <w:rFonts w:ascii="Palatino Linotype" w:eastAsia="Palatino Linotype" w:hAnsi="Palatino Linotype" w:cs="Palatino Linotype"/>
          <w:b/>
          <w:sz w:val="22"/>
          <w:szCs w:val="22"/>
        </w:rPr>
      </w:pPr>
      <w:r w:rsidRPr="00AB4284">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AB4284">
        <w:rPr>
          <w:rFonts w:ascii="Palatino Linotype" w:eastAsia="Palatino Linotype" w:hAnsi="Palatino Linotype" w:cs="Palatino Linotype"/>
          <w:b/>
          <w:sz w:val="22"/>
          <w:szCs w:val="22"/>
        </w:rPr>
        <w:t xml:space="preserve"> </w:t>
      </w:r>
    </w:p>
    <w:p w14:paraId="6B3CE4C4" w14:textId="77777777" w:rsidR="00694AA0" w:rsidRPr="00AB4284" w:rsidRDefault="005B22BA">
      <w:pPr>
        <w:spacing w:before="120" w:after="120"/>
        <w:ind w:left="1134"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 xml:space="preserve"> “</w:t>
      </w:r>
      <w:r w:rsidRPr="00AB4284">
        <w:rPr>
          <w:rFonts w:ascii="Palatino Linotype" w:eastAsia="Palatino Linotype" w:hAnsi="Palatino Linotype" w:cs="Palatino Linotype"/>
          <w:b/>
          <w:i/>
          <w:sz w:val="22"/>
          <w:szCs w:val="22"/>
        </w:rPr>
        <w:t>No existe obligación de elaborar documentos ad hoc para atender las solicitudes de acceso a la información.</w:t>
      </w:r>
      <w:r w:rsidRPr="00AB4284">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A211211" w14:textId="77777777" w:rsidR="00694AA0" w:rsidRPr="00AB4284" w:rsidRDefault="005B22BA">
      <w:pPr>
        <w:spacing w:before="120" w:after="12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1BEC828" w14:textId="77777777" w:rsidR="00694AA0" w:rsidRPr="00AB4284" w:rsidRDefault="005B22BA">
      <w:pPr>
        <w:spacing w:before="120" w:after="12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F115FEE"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r w:rsidRPr="00AB4284">
        <w:rPr>
          <w:rFonts w:ascii="Palatino Linotype" w:eastAsia="Palatino Linotype" w:hAnsi="Palatino Linotype" w:cs="Palatino Linotype"/>
          <w:b/>
          <w:i/>
          <w:sz w:val="22"/>
          <w:szCs w:val="22"/>
        </w:rPr>
        <w:t xml:space="preserve">Artículo 3. </w:t>
      </w:r>
      <w:r w:rsidRPr="00AB4284">
        <w:rPr>
          <w:rFonts w:ascii="Palatino Linotype" w:eastAsia="Palatino Linotype" w:hAnsi="Palatino Linotype" w:cs="Palatino Linotype"/>
          <w:i/>
          <w:sz w:val="22"/>
          <w:szCs w:val="22"/>
        </w:rPr>
        <w:t>Para los efectos de la presente Ley se entenderá por:</w:t>
      </w:r>
    </w:p>
    <w:p w14:paraId="2899E630"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p>
    <w:p w14:paraId="332076D0"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XI. Documento:</w:t>
      </w:r>
      <w:r w:rsidRPr="00AB4284">
        <w:rPr>
          <w:rFonts w:ascii="Palatino Linotype" w:eastAsia="Palatino Linotype" w:hAnsi="Palatino Linotype" w:cs="Palatino Linotype"/>
          <w:i/>
          <w:sz w:val="22"/>
          <w:szCs w:val="22"/>
        </w:rPr>
        <w:t xml:space="preserve"> Los expedientes, reportes, estudios, actas</w:t>
      </w:r>
      <w:r w:rsidRPr="00AB4284">
        <w:rPr>
          <w:rFonts w:ascii="Palatino Linotype" w:eastAsia="Palatino Linotype" w:hAnsi="Palatino Linotype" w:cs="Palatino Linotype"/>
          <w:b/>
          <w:i/>
          <w:sz w:val="22"/>
          <w:szCs w:val="22"/>
        </w:rPr>
        <w:t>,</w:t>
      </w:r>
      <w:r w:rsidRPr="00AB4284">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F7AC5F3" w14:textId="77777777"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4090AEB"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sz w:val="22"/>
          <w:szCs w:val="22"/>
        </w:rPr>
        <w:t>“</w:t>
      </w:r>
      <w:r w:rsidRPr="00AB4284">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AB4284">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9F494CB"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6FCE4CD"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2EE230AA"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3671B955" w14:textId="77777777" w:rsidR="00694AA0" w:rsidRPr="00AB4284" w:rsidRDefault="005B22BA" w:rsidP="00C00558">
      <w:pPr>
        <w:spacing w:before="120" w:after="120"/>
        <w:ind w:left="851" w:right="902"/>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43DFC7F9" w14:textId="77777777" w:rsidR="00694AA0" w:rsidRPr="00AB4284" w:rsidRDefault="005B22BA">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B0769FB" w14:textId="69DDF8DC" w:rsidR="00694AA0" w:rsidRPr="00AB4284" w:rsidRDefault="005B22BA">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En el mismo tenor, los artículos 6, apartado A, fracción I, de la Constitución Política de los Estados Unidos Mexicanos y 5, </w:t>
      </w:r>
      <w:r w:rsidR="00504FA2" w:rsidRPr="00AB4284">
        <w:rPr>
          <w:rFonts w:ascii="Palatino Linotype" w:eastAsia="Palatino Linotype" w:hAnsi="Palatino Linotype" w:cs="Palatino Linotype"/>
          <w:sz w:val="22"/>
          <w:szCs w:val="22"/>
        </w:rPr>
        <w:t xml:space="preserve">párrafo cuadragésimo sexto, </w:t>
      </w:r>
      <w:r w:rsidRPr="00AB4284">
        <w:rPr>
          <w:rFonts w:ascii="Palatino Linotype" w:eastAsia="Palatino Linotype" w:hAnsi="Palatino Linotype" w:cs="Palatino Linotype"/>
          <w:sz w:val="22"/>
          <w:szCs w:val="22"/>
        </w:rPr>
        <w:t>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243A8015" w14:textId="77777777" w:rsidR="00504FA2" w:rsidRPr="00AB4284" w:rsidRDefault="005B22BA" w:rsidP="00504FA2">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AB4284">
        <w:rPr>
          <w:rFonts w:ascii="Palatino Linotype" w:eastAsia="Palatino Linotype" w:hAnsi="Palatino Linotype" w:cs="Palatino Linotype"/>
          <w:b/>
          <w:sz w:val="22"/>
          <w:szCs w:val="22"/>
        </w:rPr>
        <w:t>Recurrente</w:t>
      </w:r>
      <w:r w:rsidRPr="00AB4284">
        <w:rPr>
          <w:rFonts w:ascii="Palatino Linotype" w:eastAsia="Palatino Linotype" w:hAnsi="Palatino Linotype" w:cs="Palatino Linotype"/>
          <w:sz w:val="22"/>
          <w:szCs w:val="22"/>
        </w:rPr>
        <w:t xml:space="preserve"> requirió al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le proporcione, información consistente en lo siguiente:</w:t>
      </w:r>
    </w:p>
    <w:p w14:paraId="77053156" w14:textId="6A42B43D" w:rsidR="00CD2C55" w:rsidRPr="00AB4284" w:rsidRDefault="00F212D2" w:rsidP="00761396">
      <w:pPr>
        <w:spacing w:before="240" w:after="240" w:line="360" w:lineRule="auto"/>
        <w:ind w:left="284"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1.</w:t>
      </w:r>
      <w:r w:rsidR="002D1187" w:rsidRPr="00AB4284">
        <w:rPr>
          <w:rFonts w:ascii="Palatino Linotype" w:eastAsia="Palatino Linotype" w:hAnsi="Palatino Linotype" w:cs="Palatino Linotype"/>
          <w:sz w:val="22"/>
          <w:szCs w:val="22"/>
        </w:rPr>
        <w:t xml:space="preserve"> Información sobre mantenimiento y rehabilitación de espacios deportivos.</w:t>
      </w:r>
    </w:p>
    <w:p w14:paraId="1C096A2B" w14:textId="292E1778" w:rsidR="002D1187" w:rsidRPr="00AB4284" w:rsidRDefault="002D1187" w:rsidP="005568B8">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Cabe señalar que la persona solicitante fundamentó su solicitud en el artículo 146 de la Ley Orgánica Municipal del Estado de México, que es del tenor literal siguiente:</w:t>
      </w:r>
    </w:p>
    <w:p w14:paraId="1B27D60A" w14:textId="77777777" w:rsidR="002D1187" w:rsidRPr="00AB4284" w:rsidRDefault="002D1187" w:rsidP="002D1187">
      <w:pPr>
        <w:spacing w:before="120" w:after="120"/>
        <w:ind w:left="851" w:right="902"/>
        <w:jc w:val="both"/>
        <w:rPr>
          <w:rFonts w:ascii="Palatino Linotype" w:hAnsi="Palatino Linotype"/>
          <w:i/>
          <w:sz w:val="22"/>
          <w:szCs w:val="22"/>
        </w:rPr>
      </w:pPr>
      <w:r w:rsidRPr="00AB4284">
        <w:rPr>
          <w:rFonts w:ascii="Palatino Linotype" w:eastAsia="Palatino Linotype" w:hAnsi="Palatino Linotype" w:cs="Palatino Linotype"/>
          <w:i/>
          <w:sz w:val="22"/>
          <w:szCs w:val="22"/>
        </w:rPr>
        <w:t>“</w:t>
      </w:r>
      <w:r w:rsidRPr="00AB4284">
        <w:rPr>
          <w:rFonts w:ascii="Palatino Linotype" w:hAnsi="Palatino Linotype"/>
          <w:b/>
          <w:i/>
          <w:sz w:val="22"/>
          <w:szCs w:val="22"/>
        </w:rPr>
        <w:t>Artículo 146</w:t>
      </w:r>
      <w:r w:rsidRPr="00AB4284">
        <w:rPr>
          <w:rFonts w:ascii="Palatino Linotype" w:hAnsi="Palatino Linotype"/>
          <w:i/>
          <w:sz w:val="22"/>
          <w:szCs w:val="22"/>
        </w:rPr>
        <w:t>.- El sistema de mérito y reconocimiento al servicio público municipal contará con una Comisión Municipal de Evaluación y Reconocimiento Público Municipal en la que participarán:</w:t>
      </w:r>
    </w:p>
    <w:p w14:paraId="795AF1B1" w14:textId="77777777" w:rsidR="002D1187" w:rsidRPr="00AB4284" w:rsidRDefault="002D1187" w:rsidP="002D1187">
      <w:pPr>
        <w:spacing w:before="120" w:after="120"/>
        <w:ind w:left="851" w:right="902"/>
        <w:jc w:val="both"/>
        <w:rPr>
          <w:rFonts w:ascii="Palatino Linotype" w:hAnsi="Palatino Linotype"/>
          <w:i/>
          <w:sz w:val="22"/>
          <w:szCs w:val="22"/>
        </w:rPr>
      </w:pPr>
      <w:r w:rsidRPr="00AB4284">
        <w:rPr>
          <w:rFonts w:ascii="Palatino Linotype" w:hAnsi="Palatino Linotype"/>
          <w:i/>
          <w:sz w:val="22"/>
          <w:szCs w:val="22"/>
        </w:rPr>
        <w:t xml:space="preserve">I. El presidente municipal, quien la presidirá; </w:t>
      </w:r>
    </w:p>
    <w:p w14:paraId="6BADBDE1" w14:textId="77777777" w:rsidR="002D1187" w:rsidRPr="00AB4284" w:rsidRDefault="002D1187" w:rsidP="002D1187">
      <w:pPr>
        <w:spacing w:before="120" w:after="120"/>
        <w:ind w:left="851" w:right="902"/>
        <w:jc w:val="both"/>
        <w:rPr>
          <w:rFonts w:ascii="Palatino Linotype" w:hAnsi="Palatino Linotype"/>
          <w:i/>
          <w:sz w:val="22"/>
          <w:szCs w:val="22"/>
        </w:rPr>
      </w:pPr>
      <w:r w:rsidRPr="00AB4284">
        <w:rPr>
          <w:rFonts w:ascii="Palatino Linotype" w:hAnsi="Palatino Linotype"/>
          <w:i/>
          <w:sz w:val="22"/>
          <w:szCs w:val="22"/>
        </w:rPr>
        <w:t xml:space="preserve">II. Un regidor como secretario técnico; </w:t>
      </w:r>
    </w:p>
    <w:p w14:paraId="384F4876" w14:textId="77777777" w:rsidR="002D1187" w:rsidRPr="00AB4284" w:rsidRDefault="002D1187" w:rsidP="002D1187">
      <w:pPr>
        <w:spacing w:before="120" w:after="120"/>
        <w:ind w:left="851" w:right="902"/>
        <w:jc w:val="both"/>
        <w:rPr>
          <w:rFonts w:ascii="Palatino Linotype" w:hAnsi="Palatino Linotype"/>
          <w:i/>
          <w:sz w:val="22"/>
          <w:szCs w:val="22"/>
        </w:rPr>
      </w:pPr>
      <w:r w:rsidRPr="00AB4284">
        <w:rPr>
          <w:rFonts w:ascii="Palatino Linotype" w:hAnsi="Palatino Linotype"/>
          <w:i/>
          <w:sz w:val="22"/>
          <w:szCs w:val="22"/>
        </w:rPr>
        <w:t xml:space="preserve">III. A invitación del presidente municipal, un representante del Gobierno del Estado; </w:t>
      </w:r>
    </w:p>
    <w:p w14:paraId="68471575" w14:textId="549BA34B" w:rsidR="002D1187" w:rsidRPr="00AB4284" w:rsidRDefault="002D1187" w:rsidP="002D1187">
      <w:pPr>
        <w:spacing w:before="120" w:after="120"/>
        <w:ind w:left="851" w:right="902"/>
        <w:jc w:val="both"/>
        <w:rPr>
          <w:rFonts w:ascii="Palatino Linotype" w:eastAsia="Palatino Linotype" w:hAnsi="Palatino Linotype" w:cs="Palatino Linotype"/>
          <w:i/>
          <w:sz w:val="22"/>
          <w:szCs w:val="22"/>
        </w:rPr>
      </w:pPr>
      <w:r w:rsidRPr="00AB4284">
        <w:rPr>
          <w:rFonts w:ascii="Palatino Linotype" w:hAnsi="Palatino Linotype"/>
          <w:i/>
          <w:sz w:val="22"/>
          <w:szCs w:val="22"/>
        </w:rPr>
        <w:t>IV. En su caso, representantes de colegios o asociaciones profesionales o técnicas.”</w:t>
      </w:r>
    </w:p>
    <w:p w14:paraId="303ABD94" w14:textId="46685E3F" w:rsidR="002D1187" w:rsidRPr="00AB4284" w:rsidRDefault="00E84E47" w:rsidP="003F6652">
      <w:pPr>
        <w:spacing w:before="240" w:after="240" w:line="360" w:lineRule="auto"/>
        <w:ind w:right="49"/>
        <w:jc w:val="both"/>
        <w:rPr>
          <w:rFonts w:ascii="Palatino Linotype" w:hAnsi="Palatino Linotype"/>
          <w:sz w:val="22"/>
          <w:szCs w:val="22"/>
        </w:rPr>
      </w:pPr>
      <w:r w:rsidRPr="00AB4284">
        <w:rPr>
          <w:rFonts w:ascii="Palatino Linotype" w:eastAsia="Palatino Linotype" w:hAnsi="Palatino Linotype" w:cs="Palatino Linotype"/>
          <w:sz w:val="22"/>
          <w:szCs w:val="22"/>
        </w:rPr>
        <w:t xml:space="preserve">En respuesta, la </w:t>
      </w:r>
      <w:r w:rsidR="00F844C6" w:rsidRPr="00AB4284">
        <w:rPr>
          <w:rFonts w:ascii="Palatino Linotype" w:eastAsia="Palatino Linotype" w:hAnsi="Palatino Linotype" w:cs="Palatino Linotype"/>
          <w:sz w:val="22"/>
          <w:szCs w:val="22"/>
        </w:rPr>
        <w:t xml:space="preserve">Unidad de Transparencia </w:t>
      </w:r>
      <w:r w:rsidR="001225FB" w:rsidRPr="00AB4284">
        <w:rPr>
          <w:rFonts w:ascii="Palatino Linotype" w:eastAsia="Palatino Linotype" w:hAnsi="Palatino Linotype" w:cs="Palatino Linotype"/>
          <w:sz w:val="22"/>
          <w:szCs w:val="22"/>
        </w:rPr>
        <w:t xml:space="preserve">hizo del conocimiento de la persona solicitante </w:t>
      </w:r>
      <w:r w:rsidR="0080115E" w:rsidRPr="00AB4284">
        <w:rPr>
          <w:rFonts w:ascii="Palatino Linotype" w:eastAsia="Palatino Linotype" w:hAnsi="Palatino Linotype" w:cs="Palatino Linotype"/>
          <w:sz w:val="22"/>
          <w:szCs w:val="22"/>
        </w:rPr>
        <w:t xml:space="preserve">que la información requerida no era competencia del </w:t>
      </w:r>
      <w:r w:rsidR="0080115E" w:rsidRPr="00AB4284">
        <w:rPr>
          <w:rFonts w:ascii="Palatino Linotype" w:eastAsia="Palatino Linotype" w:hAnsi="Palatino Linotype" w:cs="Palatino Linotype"/>
          <w:b/>
          <w:sz w:val="22"/>
          <w:szCs w:val="22"/>
        </w:rPr>
        <w:t xml:space="preserve">Sujeto Obligado, </w:t>
      </w:r>
      <w:r w:rsidR="0080115E" w:rsidRPr="00AB4284">
        <w:rPr>
          <w:rFonts w:ascii="Palatino Linotype" w:eastAsia="Palatino Linotype" w:hAnsi="Palatino Linotype" w:cs="Palatino Linotype"/>
          <w:sz w:val="22"/>
          <w:szCs w:val="22"/>
        </w:rPr>
        <w:t xml:space="preserve">por lo que le sugirió presentar la solicitud ante el </w:t>
      </w:r>
      <w:r w:rsidR="0080115E" w:rsidRPr="00AB4284">
        <w:rPr>
          <w:rFonts w:ascii="Palatino Linotype" w:hAnsi="Palatino Linotype"/>
          <w:sz w:val="22"/>
          <w:szCs w:val="22"/>
        </w:rPr>
        <w:t xml:space="preserve">Instituto Municipal de Cultura Física y Deporte de Tepotzotlán, como Sujeto Obligado </w:t>
      </w:r>
      <w:r w:rsidR="003F6652" w:rsidRPr="00AB4284">
        <w:rPr>
          <w:rFonts w:ascii="Palatino Linotype" w:hAnsi="Palatino Linotype"/>
          <w:sz w:val="22"/>
          <w:szCs w:val="22"/>
        </w:rPr>
        <w:t>reconocido en el Padrón de Sujetos Obligados en materia de Transparencia y Acceso a la Información Pública del Estado de México y Municipios.</w:t>
      </w:r>
    </w:p>
    <w:p w14:paraId="1042FD1D" w14:textId="5D664FDC" w:rsidR="007A6C82" w:rsidRPr="00AB4284" w:rsidRDefault="003F3C79" w:rsidP="003F6652">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Sin embargo, al no estar conforme con los términos de la solicitud, la persona solicitante interpuso el recurso de revisión que nos ocupa, </w:t>
      </w:r>
      <w:r w:rsidR="0098166B" w:rsidRPr="00AB4284">
        <w:rPr>
          <w:rFonts w:ascii="Palatino Linotype" w:eastAsia="Palatino Linotype" w:hAnsi="Palatino Linotype" w:cs="Palatino Linotype"/>
          <w:sz w:val="22"/>
          <w:szCs w:val="22"/>
        </w:rPr>
        <w:t xml:space="preserve">por medio del cual alegó que </w:t>
      </w:r>
      <w:r w:rsidR="00F531F6" w:rsidRPr="00AB4284">
        <w:rPr>
          <w:rFonts w:ascii="Palatino Linotype" w:eastAsia="Palatino Linotype" w:hAnsi="Palatino Linotype" w:cs="Palatino Linotype"/>
          <w:sz w:val="22"/>
          <w:szCs w:val="22"/>
        </w:rPr>
        <w:t xml:space="preserve">los solicitantes no </w:t>
      </w:r>
      <w:r w:rsidR="00450E3A" w:rsidRPr="00AB4284">
        <w:rPr>
          <w:rFonts w:ascii="Palatino Linotype" w:eastAsia="Palatino Linotype" w:hAnsi="Palatino Linotype" w:cs="Palatino Linotype"/>
          <w:sz w:val="22"/>
          <w:szCs w:val="22"/>
        </w:rPr>
        <w:t>están obligados a fundamentar correctamente</w:t>
      </w:r>
      <w:r w:rsidR="00476E4A" w:rsidRPr="00AB4284">
        <w:rPr>
          <w:rFonts w:ascii="Palatino Linotype" w:eastAsia="Palatino Linotype" w:hAnsi="Palatino Linotype" w:cs="Palatino Linotype"/>
          <w:sz w:val="22"/>
          <w:szCs w:val="22"/>
        </w:rPr>
        <w:t xml:space="preserve"> sus peticiones</w:t>
      </w:r>
      <w:r w:rsidR="00450E3A" w:rsidRPr="00AB4284">
        <w:rPr>
          <w:rFonts w:ascii="Palatino Linotype" w:eastAsia="Palatino Linotype" w:hAnsi="Palatino Linotype" w:cs="Palatino Linotype"/>
          <w:sz w:val="22"/>
          <w:szCs w:val="22"/>
        </w:rPr>
        <w:t>, sin embargo, su solicitud fue clara, la cual es de materia municipal al involucrar</w:t>
      </w:r>
      <w:r w:rsidR="007A6C82" w:rsidRPr="00AB4284">
        <w:rPr>
          <w:rFonts w:ascii="Palatino Linotype" w:eastAsia="Palatino Linotype" w:hAnsi="Palatino Linotype" w:cs="Palatino Linotype"/>
          <w:sz w:val="22"/>
          <w:szCs w:val="22"/>
        </w:rPr>
        <w:t xml:space="preserve"> la administración de bienes del dominio público municipal, planeación, ejecución y supervisión de obra pública </w:t>
      </w:r>
      <w:r w:rsidR="00450E3A" w:rsidRPr="00AB4284">
        <w:rPr>
          <w:rFonts w:ascii="Palatino Linotype" w:eastAsia="Palatino Linotype" w:hAnsi="Palatino Linotype" w:cs="Palatino Linotype"/>
          <w:sz w:val="22"/>
          <w:szCs w:val="22"/>
        </w:rPr>
        <w:t xml:space="preserve">y </w:t>
      </w:r>
      <w:r w:rsidR="007A6C82" w:rsidRPr="00AB4284">
        <w:rPr>
          <w:rFonts w:ascii="Palatino Linotype" w:eastAsia="Palatino Linotype" w:hAnsi="Palatino Linotype" w:cs="Palatino Linotype"/>
          <w:sz w:val="22"/>
          <w:szCs w:val="22"/>
        </w:rPr>
        <w:t>ejercicio y control de recursos públicos municipales</w:t>
      </w:r>
      <w:r w:rsidR="00450E3A" w:rsidRPr="00AB4284">
        <w:rPr>
          <w:rFonts w:ascii="Palatino Linotype" w:eastAsia="Palatino Linotype" w:hAnsi="Palatino Linotype" w:cs="Palatino Linotype"/>
          <w:sz w:val="22"/>
          <w:szCs w:val="22"/>
        </w:rPr>
        <w:t>, por lo que a su parecer la información</w:t>
      </w:r>
      <w:r w:rsidR="007A6C82" w:rsidRPr="00AB4284">
        <w:rPr>
          <w:rFonts w:ascii="Palatino Linotype" w:eastAsia="Palatino Linotype" w:hAnsi="Palatino Linotype" w:cs="Palatino Linotype"/>
          <w:sz w:val="22"/>
          <w:szCs w:val="22"/>
        </w:rPr>
        <w:t xml:space="preserve"> es competencia del Sujeto Obligado y </w:t>
      </w:r>
      <w:r w:rsidR="00450E3A" w:rsidRPr="00AB4284">
        <w:rPr>
          <w:rFonts w:ascii="Palatino Linotype" w:eastAsia="Palatino Linotype" w:hAnsi="Palatino Linotype" w:cs="Palatino Linotype"/>
          <w:sz w:val="22"/>
          <w:szCs w:val="22"/>
        </w:rPr>
        <w:t xml:space="preserve">debe existir, </w:t>
      </w:r>
      <w:r w:rsidR="009068AC" w:rsidRPr="00AB4284">
        <w:rPr>
          <w:rFonts w:ascii="Palatino Linotype" w:eastAsia="Palatino Linotype" w:hAnsi="Palatino Linotype" w:cs="Palatino Linotype"/>
          <w:sz w:val="22"/>
          <w:szCs w:val="22"/>
        </w:rPr>
        <w:t xml:space="preserve">no obstante, </w:t>
      </w:r>
      <w:r w:rsidR="00E92C81" w:rsidRPr="00AB4284">
        <w:rPr>
          <w:rFonts w:ascii="Palatino Linotype" w:eastAsia="Palatino Linotype" w:hAnsi="Palatino Linotype" w:cs="Palatino Linotype"/>
          <w:sz w:val="22"/>
          <w:szCs w:val="22"/>
        </w:rPr>
        <w:t xml:space="preserve">la respuesta </w:t>
      </w:r>
      <w:r w:rsidR="007A6C82" w:rsidRPr="00AB4284">
        <w:rPr>
          <w:rFonts w:ascii="Palatino Linotype" w:hAnsi="Palatino Linotype"/>
          <w:sz w:val="22"/>
          <w:szCs w:val="22"/>
        </w:rPr>
        <w:t>carece de una adecuada fundamentación y motivación</w:t>
      </w:r>
      <w:r w:rsidR="006241FB" w:rsidRPr="00AB4284">
        <w:rPr>
          <w:rFonts w:ascii="Palatino Linotype" w:hAnsi="Palatino Linotype"/>
          <w:sz w:val="22"/>
          <w:szCs w:val="22"/>
        </w:rPr>
        <w:t>.</w:t>
      </w:r>
    </w:p>
    <w:p w14:paraId="7B746CBB" w14:textId="77777777" w:rsidR="006B5B5A" w:rsidRPr="00AB4284" w:rsidRDefault="006B5B5A" w:rsidP="006B5B5A">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En la etapa de manifestaciones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 xml:space="preserve">fue omiso en rendir su informe justificado, y la parte </w:t>
      </w:r>
      <w:r w:rsidRPr="00AB4284">
        <w:rPr>
          <w:rFonts w:ascii="Palatino Linotype" w:eastAsia="Palatino Linotype" w:hAnsi="Palatino Linotype" w:cs="Palatino Linotype"/>
          <w:b/>
          <w:sz w:val="22"/>
          <w:szCs w:val="22"/>
        </w:rPr>
        <w:t xml:space="preserve">Recurrente </w:t>
      </w:r>
      <w:r w:rsidRPr="00AB4284">
        <w:rPr>
          <w:rFonts w:ascii="Palatino Linotype" w:eastAsia="Palatino Linotype" w:hAnsi="Palatino Linotype" w:cs="Palatino Linotype"/>
          <w:sz w:val="22"/>
          <w:szCs w:val="22"/>
        </w:rPr>
        <w:t>fue omisa en hacer valer manifestaciones o rendir alegatos que conforme a derecho resultaran procedentes, por lo tanto, se tiene por precluido su derecho.</w:t>
      </w:r>
    </w:p>
    <w:p w14:paraId="721A5E2D" w14:textId="77777777" w:rsidR="006B5B5A" w:rsidRPr="00AB4284" w:rsidRDefault="006B5B5A" w:rsidP="006B5B5A">
      <w:pPr>
        <w:spacing w:before="280" w:after="28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Una vez establecidas las posturas de las partes, se procede al análisis de los requerimientos de información, así como la información proporcionada por el </w:t>
      </w:r>
      <w:r w:rsidRPr="00AB4284">
        <w:rPr>
          <w:rFonts w:ascii="Palatino Linotype" w:eastAsia="Palatino Linotype" w:hAnsi="Palatino Linotype" w:cs="Palatino Linotype"/>
          <w:b/>
          <w:sz w:val="22"/>
          <w:szCs w:val="22"/>
        </w:rPr>
        <w:t xml:space="preserve">Sujeto Obligado, </w:t>
      </w:r>
      <w:r w:rsidRPr="00AB4284">
        <w:rPr>
          <w:rFonts w:ascii="Palatino Linotype" w:eastAsia="Palatino Linotype" w:hAnsi="Palatino Linotype" w:cs="Palatino Linotype"/>
          <w:sz w:val="22"/>
          <w:szCs w:val="22"/>
        </w:rPr>
        <w:t xml:space="preserve">en contraposición con el motivo de inconformidad alegado por la parte </w:t>
      </w:r>
      <w:r w:rsidRPr="00AB4284">
        <w:rPr>
          <w:rFonts w:ascii="Palatino Linotype" w:eastAsia="Palatino Linotype" w:hAnsi="Palatino Linotype" w:cs="Palatino Linotype"/>
          <w:b/>
          <w:sz w:val="22"/>
          <w:szCs w:val="22"/>
        </w:rPr>
        <w:t xml:space="preserve">Recurrente, </w:t>
      </w:r>
      <w:r w:rsidRPr="00AB4284">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44F09CE4" w14:textId="6A95BD28" w:rsidR="00EE2377" w:rsidRPr="00AB4284" w:rsidRDefault="008C2928" w:rsidP="0001493C">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En este contexto, </w:t>
      </w:r>
      <w:r w:rsidR="0001493C" w:rsidRPr="00AB4284">
        <w:rPr>
          <w:rFonts w:ascii="Palatino Linotype" w:eastAsia="Palatino Linotype" w:hAnsi="Palatino Linotype" w:cs="Palatino Linotype"/>
          <w:sz w:val="22"/>
          <w:szCs w:val="22"/>
        </w:rPr>
        <w:t xml:space="preserve">tomando en consideración la materia de la solicitud, es de señalar que de acuerdo con el artículo 38 del Bando Municipal de Tepotzotlán vigente a la fecha de presentación de la solicitud, la presidenta municipal se auxiliará en el ejercicio de sus facultades establecidas en las leyes correspondientes, ejecutando las mismas a través de las siguientes direcciones y áreas de la Administración Pública Municipal, mismas que estarán bajo su subordinación:  </w:t>
      </w:r>
    </w:p>
    <w:p w14:paraId="3CE065D3" w14:textId="77777777" w:rsidR="0001493C" w:rsidRPr="00AB4284" w:rsidRDefault="0001493C" w:rsidP="0001493C">
      <w:pPr>
        <w:spacing w:before="240" w:after="240" w:line="360" w:lineRule="auto"/>
        <w:ind w:left="284" w:right="49"/>
        <w:jc w:val="both"/>
        <w:rPr>
          <w:rFonts w:ascii="Palatino Linotype" w:hAnsi="Palatino Linotype"/>
          <w:b/>
          <w:sz w:val="22"/>
          <w:szCs w:val="22"/>
        </w:rPr>
      </w:pPr>
      <w:r w:rsidRPr="00AB4284">
        <w:rPr>
          <w:rFonts w:ascii="Palatino Linotype" w:hAnsi="Palatino Linotype"/>
          <w:b/>
          <w:sz w:val="22"/>
          <w:szCs w:val="22"/>
        </w:rPr>
        <w:t xml:space="preserve">I. DEPENDENCIAS ADMINISTRATIVAS </w:t>
      </w:r>
    </w:p>
    <w:p w14:paraId="6339D694"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 Secretaría del Ayuntamiento; </w:t>
      </w:r>
    </w:p>
    <w:p w14:paraId="6F687BD0"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 Secretaría Técnica y Particular; </w:t>
      </w:r>
    </w:p>
    <w:p w14:paraId="698F019A"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3. Oficina de Asesores; </w:t>
      </w:r>
    </w:p>
    <w:p w14:paraId="5FBE7866"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4. Dirección de Administración y Finanzas con funciones de Tesorería; </w:t>
      </w:r>
    </w:p>
    <w:p w14:paraId="0164E772" w14:textId="291DC60F"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5. Contraloría Interna Municipal;</w:t>
      </w:r>
    </w:p>
    <w:p w14:paraId="76440197"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6. Juzgado Cívico; </w:t>
      </w:r>
    </w:p>
    <w:p w14:paraId="0FEE7870"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7. Dirección de Seguridad Pública, Vial y Tránsito; </w:t>
      </w:r>
    </w:p>
    <w:p w14:paraId="6FD9EBD9"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8. Dirección Jurídica; </w:t>
      </w:r>
    </w:p>
    <w:p w14:paraId="42EE8179"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9. Dirección de Servicios Públicos; </w:t>
      </w:r>
    </w:p>
    <w:p w14:paraId="0D869528" w14:textId="52E9CC22"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10. Dirección de Desarrollo y Fomento Económico;</w:t>
      </w:r>
    </w:p>
    <w:p w14:paraId="6E4911A3"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11. Dirección de Obras Públicas; </w:t>
      </w:r>
    </w:p>
    <w:p w14:paraId="38E0E551"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12. Dirección de Desarrollo Urbano y Metropolitano; </w:t>
      </w:r>
    </w:p>
    <w:p w14:paraId="36354EAD"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13. Dirección de Medio Ambiente; </w:t>
      </w:r>
    </w:p>
    <w:p w14:paraId="70649E37"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14. Dirección de Educación y Bienestar Social; </w:t>
      </w:r>
    </w:p>
    <w:p w14:paraId="7FA033AE"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15. Dirección de Agua Potable, Drenaje y Alcantarillado; </w:t>
      </w:r>
    </w:p>
    <w:p w14:paraId="4DFCB5E8"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16. Dirección de Turismo y Cultura; </w:t>
      </w:r>
    </w:p>
    <w:p w14:paraId="6330AD34"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17. Dirección de las Mujeres; </w:t>
      </w:r>
    </w:p>
    <w:p w14:paraId="65EB80DD"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18. Unidad de Información, Planeación, Programación y Evaluación; </w:t>
      </w:r>
    </w:p>
    <w:p w14:paraId="322727D9"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19. Secretaria Técnica del Consejo Municipal de Seguridad Pública; </w:t>
      </w:r>
    </w:p>
    <w:p w14:paraId="17102951" w14:textId="14885B99"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20. Unidad de Transparencia y Acceso a la Información Pública; </w:t>
      </w:r>
    </w:p>
    <w:p w14:paraId="446CD8E6"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21. Centro de Control, Comando, Comunicaciones y Cómputo (C4); </w:t>
      </w:r>
    </w:p>
    <w:p w14:paraId="3FC12809" w14:textId="4E2ECC15"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22. Coordinación Municipal de Protección Civil y Bomberos; </w:t>
      </w:r>
    </w:p>
    <w:p w14:paraId="09A60DBF" w14:textId="745810C0"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23. Coordinación General Municipal de Mejora Regulatoria. </w:t>
      </w:r>
    </w:p>
    <w:p w14:paraId="7B4458B6"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b/>
          <w:sz w:val="22"/>
          <w:szCs w:val="22"/>
        </w:rPr>
        <w:t>II. ORGANISMOS DESCONCENTRADOS</w:t>
      </w:r>
      <w:r w:rsidRPr="00AB4284">
        <w:rPr>
          <w:rFonts w:ascii="Palatino Linotype" w:hAnsi="Palatino Linotype"/>
          <w:sz w:val="22"/>
          <w:szCs w:val="22"/>
        </w:rPr>
        <w:t xml:space="preserve"> </w:t>
      </w:r>
    </w:p>
    <w:p w14:paraId="55F101DE" w14:textId="71878EC2"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 Defensoría Municipal de los Derechos Humanos; </w:t>
      </w:r>
    </w:p>
    <w:p w14:paraId="7A709A66"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2. Sistema Municipal Anticorrupción. </w:t>
      </w:r>
    </w:p>
    <w:p w14:paraId="4EF55FD4" w14:textId="77777777" w:rsidR="0001493C" w:rsidRPr="00AB4284" w:rsidRDefault="0001493C" w:rsidP="0001493C">
      <w:pPr>
        <w:spacing w:before="240" w:after="240" w:line="360" w:lineRule="auto"/>
        <w:ind w:left="284" w:right="49"/>
        <w:jc w:val="both"/>
        <w:rPr>
          <w:rFonts w:ascii="Palatino Linotype" w:hAnsi="Palatino Linotype"/>
          <w:b/>
          <w:sz w:val="22"/>
          <w:szCs w:val="22"/>
        </w:rPr>
      </w:pPr>
      <w:r w:rsidRPr="00AB4284">
        <w:rPr>
          <w:rFonts w:ascii="Palatino Linotype" w:hAnsi="Palatino Linotype"/>
          <w:b/>
          <w:sz w:val="22"/>
          <w:szCs w:val="22"/>
        </w:rPr>
        <w:t xml:space="preserve">III. ORGANISMOS DESCENTRALIZADOS </w:t>
      </w:r>
    </w:p>
    <w:p w14:paraId="1F7F4D4B" w14:textId="77777777" w:rsidR="0001493C" w:rsidRPr="00AB4284" w:rsidRDefault="0001493C" w:rsidP="0001493C">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1. Sistema Municipal para el Desarrollo Integral de la Familia de Tepotzotlán; </w:t>
      </w:r>
    </w:p>
    <w:p w14:paraId="58B085B9" w14:textId="71C509DD" w:rsidR="0001493C" w:rsidRPr="00AB4284" w:rsidRDefault="0001493C" w:rsidP="0001493C">
      <w:pPr>
        <w:spacing w:before="240" w:after="240" w:line="360" w:lineRule="auto"/>
        <w:ind w:left="284" w:right="49"/>
        <w:jc w:val="both"/>
        <w:rPr>
          <w:rFonts w:ascii="Palatino Linotype" w:eastAsia="Palatino Linotype" w:hAnsi="Palatino Linotype" w:cs="Palatino Linotype"/>
          <w:b/>
          <w:sz w:val="22"/>
          <w:szCs w:val="22"/>
        </w:rPr>
      </w:pPr>
      <w:r w:rsidRPr="00AB4284">
        <w:rPr>
          <w:rFonts w:ascii="Palatino Linotype" w:hAnsi="Palatino Linotype"/>
          <w:b/>
          <w:sz w:val="22"/>
          <w:szCs w:val="22"/>
        </w:rPr>
        <w:t>2. Instituto Municipal de Cultura Física y Deporte de Tepotzotlán.</w:t>
      </w:r>
    </w:p>
    <w:p w14:paraId="5DA597E4" w14:textId="7C2E3D6E" w:rsidR="0001493C" w:rsidRPr="00AB4284" w:rsidRDefault="0001493C" w:rsidP="005568B8">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Como se advierte, el Instituto Municipal de Cultura Física y Deporte de Tepotzotlán</w:t>
      </w:r>
      <w:r w:rsidR="00777F2D" w:rsidRPr="00AB4284">
        <w:rPr>
          <w:rFonts w:ascii="Palatino Linotype" w:eastAsia="Palatino Linotype" w:hAnsi="Palatino Linotype" w:cs="Palatino Linotype"/>
          <w:sz w:val="22"/>
          <w:szCs w:val="22"/>
        </w:rPr>
        <w:t xml:space="preserve"> es un organismo descentralizado de la administración pública municipal.</w:t>
      </w:r>
    </w:p>
    <w:p w14:paraId="115B7402" w14:textId="77777777" w:rsidR="0025447F" w:rsidRPr="00AB4284" w:rsidRDefault="0025447F" w:rsidP="0025447F">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En lo que respecta a la descentralización administrativa, alude a un sistema propenso a transferir de un determinado centro de toma de decisiones, un conjunto de atribuciones, funciones, facultades, actividades y recursos en favor de entes, órganos, instituciones o regiones que se hallan en una situación de cierta subordinación, más no en una relación de jerarquía respecto del centro. En otras palabras, mediante la descentralización administrativa se confiere la personalidad jurídica propia a ciertos entes a los que se les otorga autonomía orgánica relativa, respecto del órgano central, para encargarles o encomendarles actividades administrativas.</w:t>
      </w:r>
    </w:p>
    <w:p w14:paraId="7C7E228D" w14:textId="77777777" w:rsidR="0025447F" w:rsidRPr="00AB4284" w:rsidRDefault="0025447F" w:rsidP="0025447F">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La descentralización administrativa implica la creación de personas jurídicas de derecho público, distintas al Estado y a la administración pública, y tiene diversas modalidades, como la territorial o regional, por servicio y por colaboración.</w:t>
      </w:r>
    </w:p>
    <w:p w14:paraId="0E007369" w14:textId="77777777" w:rsidR="0025447F" w:rsidRPr="00AB4284" w:rsidRDefault="0025447F" w:rsidP="0025447F">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La descentralización administrativa por servicio significa una delegación de ciertas facultades de las personas morales territoriales -estado, provincia, municipio-, en favor del propio servicio que se personaliza, con recursos propios y con poder de decisión, sin que por ello se rompan sus vínculos con aquellas, porque se establecen relaciones jurídicas obligadas que fijan el régimen de derecho al que se someten tales servicios personificados. Es decir, entraña la creación de una nueva persona jurídica de derecho público con una esfera de competencia, órganos propios y poder de decisión, sin perjuicio de que las personas morales territoriales, conserven determinadas facultades de intervención, pero que se caracteriza por tener autonomía jurídica, financiera y técnica.</w:t>
      </w:r>
    </w:p>
    <w:p w14:paraId="4258441C" w14:textId="77777777" w:rsidR="0025447F" w:rsidRPr="00AB4284" w:rsidRDefault="0025447F" w:rsidP="0025447F">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Gracias a la autonomía jurídica que implica la descentralización administrativa por servicio, el órgano descentralizado tiene personalidad jurídica propia; en virtud de su autonomía financiera cuenta con patrimonio propio; y en razón de su autonomía técnica, goza de una reglamentación propia y especifica.</w:t>
      </w:r>
    </w:p>
    <w:p w14:paraId="4F39AC28" w14:textId="77777777" w:rsidR="0025447F" w:rsidRPr="00AB4284" w:rsidRDefault="0025447F" w:rsidP="0025447F">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Así, pueden considerarse como las características más importantes de la descentralización administrativa por servicio las siguientes:</w:t>
      </w:r>
    </w:p>
    <w:p w14:paraId="728E4708"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1. Se crea una persona moral, siempre por ley o decreto del Ejecutivo;</w:t>
      </w:r>
    </w:p>
    <w:p w14:paraId="5747E934"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 xml:space="preserve">2. Se les asignan competencias exclusivas, para la atención de un fin de interés general o un servicio público determinado; </w:t>
      </w:r>
    </w:p>
    <w:p w14:paraId="7CCA4DEC"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 xml:space="preserve">3. </w:t>
      </w:r>
      <w:r w:rsidRPr="00AB4284">
        <w:rPr>
          <w:rFonts w:ascii="Palatino Linotype" w:hAnsi="Palatino Linotype"/>
          <w:b/>
          <w:sz w:val="22"/>
          <w:szCs w:val="22"/>
        </w:rPr>
        <w:t>Tienen autonomía orgánica y técnica;</w:t>
      </w:r>
      <w:r w:rsidRPr="00AB4284">
        <w:rPr>
          <w:rFonts w:ascii="Palatino Linotype" w:hAnsi="Palatino Linotype"/>
          <w:sz w:val="22"/>
          <w:szCs w:val="22"/>
        </w:rPr>
        <w:t xml:space="preserve"> </w:t>
      </w:r>
    </w:p>
    <w:p w14:paraId="781C555C"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 xml:space="preserve">4. </w:t>
      </w:r>
      <w:r w:rsidRPr="00AB4284">
        <w:rPr>
          <w:rFonts w:ascii="Palatino Linotype" w:hAnsi="Palatino Linotype"/>
          <w:b/>
          <w:sz w:val="22"/>
          <w:szCs w:val="22"/>
        </w:rPr>
        <w:t>Tienen personalidad jurídica</w:t>
      </w:r>
      <w:r w:rsidRPr="00AB4284">
        <w:rPr>
          <w:rFonts w:ascii="Palatino Linotype" w:hAnsi="Palatino Linotype"/>
          <w:sz w:val="22"/>
          <w:szCs w:val="22"/>
        </w:rPr>
        <w:t xml:space="preserve"> </w:t>
      </w:r>
      <w:r w:rsidRPr="00AB4284">
        <w:rPr>
          <w:rFonts w:ascii="Palatino Linotype" w:hAnsi="Palatino Linotype"/>
          <w:b/>
          <w:sz w:val="22"/>
          <w:szCs w:val="22"/>
        </w:rPr>
        <w:t>propia</w:t>
      </w:r>
      <w:r w:rsidRPr="00AB4284">
        <w:rPr>
          <w:rFonts w:ascii="Palatino Linotype" w:hAnsi="Palatino Linotype"/>
          <w:sz w:val="22"/>
          <w:szCs w:val="22"/>
        </w:rPr>
        <w:t xml:space="preserve"> -independiente de la personalidad de la administración pública-; </w:t>
      </w:r>
    </w:p>
    <w:p w14:paraId="7203A9B9"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 xml:space="preserve">5. </w:t>
      </w:r>
      <w:r w:rsidRPr="00AB4284">
        <w:rPr>
          <w:rFonts w:ascii="Palatino Linotype" w:hAnsi="Palatino Linotype"/>
          <w:b/>
          <w:sz w:val="22"/>
          <w:szCs w:val="22"/>
        </w:rPr>
        <w:t>Tienen patrimonio propio</w:t>
      </w:r>
      <w:r w:rsidRPr="00AB4284">
        <w:rPr>
          <w:rFonts w:ascii="Palatino Linotype" w:hAnsi="Palatino Linotype"/>
          <w:sz w:val="22"/>
          <w:szCs w:val="22"/>
        </w:rPr>
        <w:t xml:space="preserve"> -sus bienes son del Estado, pero están sometidos a un régimen jurídico especial, pues cuando desaparecen dichos órganos, los bienes vuelven al patrimonio del Estado-;</w:t>
      </w:r>
    </w:p>
    <w:p w14:paraId="11930F6D" w14:textId="77777777" w:rsidR="0025447F" w:rsidRPr="00AB4284" w:rsidRDefault="0025447F" w:rsidP="0025447F">
      <w:pPr>
        <w:spacing w:before="240" w:after="240" w:line="276" w:lineRule="auto"/>
        <w:ind w:left="284" w:right="51"/>
        <w:jc w:val="both"/>
        <w:rPr>
          <w:rFonts w:ascii="Palatino Linotype" w:hAnsi="Palatino Linotype"/>
          <w:sz w:val="22"/>
          <w:szCs w:val="22"/>
        </w:rPr>
      </w:pPr>
      <w:r w:rsidRPr="00AB4284">
        <w:rPr>
          <w:rFonts w:ascii="Palatino Linotype" w:hAnsi="Palatino Linotype"/>
          <w:sz w:val="22"/>
          <w:szCs w:val="22"/>
        </w:rPr>
        <w:t xml:space="preserve">6. Tienen una relación de tutela </w:t>
      </w:r>
      <w:r w:rsidRPr="00AB4284">
        <w:rPr>
          <w:rFonts w:ascii="Palatino Linotype" w:hAnsi="Palatino Linotype"/>
          <w:i/>
          <w:sz w:val="22"/>
          <w:szCs w:val="22"/>
        </w:rPr>
        <w:t>sui generis</w:t>
      </w:r>
      <w:r w:rsidRPr="00AB4284">
        <w:rPr>
          <w:rFonts w:ascii="Palatino Linotype" w:hAnsi="Palatino Linotype"/>
          <w:sz w:val="22"/>
          <w:szCs w:val="22"/>
        </w:rPr>
        <w:t xml:space="preserve"> respecto de la administración pública federal, estatal o municipal, que no es de jerarquía, sin embargo, el poder central conserva su poder de tutela y vigilancia para el control de los órganos descentralizados; y</w:t>
      </w:r>
    </w:p>
    <w:p w14:paraId="51C38DC1" w14:textId="77777777" w:rsidR="0025447F" w:rsidRPr="00AB4284" w:rsidRDefault="0025447F" w:rsidP="0025447F">
      <w:pPr>
        <w:spacing w:before="240" w:after="240" w:line="276" w:lineRule="auto"/>
        <w:ind w:left="284" w:right="51"/>
        <w:jc w:val="both"/>
        <w:rPr>
          <w:rFonts w:ascii="Palatino Linotype" w:eastAsia="Palatino Linotype" w:hAnsi="Palatino Linotype" w:cs="Palatino Linotype"/>
          <w:sz w:val="22"/>
          <w:szCs w:val="22"/>
        </w:rPr>
      </w:pPr>
      <w:r w:rsidRPr="00AB4284">
        <w:rPr>
          <w:rFonts w:ascii="Palatino Linotype" w:hAnsi="Palatino Linotype"/>
          <w:sz w:val="22"/>
          <w:szCs w:val="22"/>
        </w:rPr>
        <w:t xml:space="preserve">7. </w:t>
      </w:r>
      <w:r w:rsidRPr="00AB4284">
        <w:rPr>
          <w:rFonts w:ascii="Palatino Linotype" w:hAnsi="Palatino Linotype"/>
          <w:b/>
          <w:sz w:val="22"/>
          <w:szCs w:val="22"/>
        </w:rPr>
        <w:t>Tienen poder de decisión</w:t>
      </w:r>
      <w:r w:rsidRPr="00AB4284">
        <w:rPr>
          <w:rFonts w:ascii="Palatino Linotype" w:hAnsi="Palatino Linotype"/>
          <w:sz w:val="22"/>
          <w:szCs w:val="22"/>
        </w:rPr>
        <w:t>.</w:t>
      </w:r>
    </w:p>
    <w:p w14:paraId="14F79E6C" w14:textId="0CFDDC4E" w:rsidR="00777F2D" w:rsidRPr="00AB4284" w:rsidRDefault="0025447F" w:rsidP="005568B8">
      <w:pPr>
        <w:spacing w:before="240" w:after="240" w:line="360" w:lineRule="auto"/>
        <w:ind w:right="49"/>
        <w:jc w:val="both"/>
        <w:rPr>
          <w:rFonts w:ascii="Palatino Linotype" w:hAnsi="Palatino Linotype"/>
          <w:sz w:val="22"/>
          <w:szCs w:val="22"/>
        </w:rPr>
      </w:pPr>
      <w:r w:rsidRPr="00AB4284">
        <w:rPr>
          <w:rFonts w:ascii="Palatino Linotype" w:eastAsia="Palatino Linotype" w:hAnsi="Palatino Linotype" w:cs="Palatino Linotype"/>
          <w:sz w:val="22"/>
          <w:szCs w:val="22"/>
        </w:rPr>
        <w:t xml:space="preserve">En este orden de ideas, se precisa que </w:t>
      </w:r>
      <w:r w:rsidR="00E463A2" w:rsidRPr="00AB4284">
        <w:rPr>
          <w:rFonts w:ascii="Palatino Linotype" w:eastAsia="Palatino Linotype" w:hAnsi="Palatino Linotype" w:cs="Palatino Linotype"/>
          <w:sz w:val="22"/>
          <w:szCs w:val="22"/>
        </w:rPr>
        <w:t>el Instituto Municipal de Cultura Física y Deporte de Tepotzotlán</w:t>
      </w:r>
      <w:r w:rsidR="000F4DED" w:rsidRPr="00AB4284">
        <w:rPr>
          <w:rFonts w:ascii="Palatino Linotype" w:eastAsia="Palatino Linotype" w:hAnsi="Palatino Linotype" w:cs="Palatino Linotype"/>
          <w:sz w:val="22"/>
          <w:szCs w:val="22"/>
        </w:rPr>
        <w:t xml:space="preserve"> se creó mediante el Decreto número 129</w:t>
      </w:r>
      <w:r w:rsidR="000E4283" w:rsidRPr="00AB4284">
        <w:rPr>
          <w:rFonts w:ascii="Palatino Linotype" w:eastAsia="Palatino Linotype" w:hAnsi="Palatino Linotype" w:cs="Palatino Linotype"/>
          <w:sz w:val="22"/>
          <w:szCs w:val="22"/>
        </w:rPr>
        <w:t xml:space="preserve"> de la LVI </w:t>
      </w:r>
      <w:r w:rsidR="000E4283" w:rsidRPr="00AB4284">
        <w:rPr>
          <w:rFonts w:ascii="Palatino Linotype" w:hAnsi="Palatino Linotype"/>
          <w:sz w:val="22"/>
          <w:szCs w:val="22"/>
        </w:rPr>
        <w:t xml:space="preserve">Legislatura del Estado de México, publicado en el </w:t>
      </w:r>
      <w:r w:rsidR="000E4283" w:rsidRPr="00AB4284">
        <w:rPr>
          <w:rFonts w:ascii="Palatino Linotype" w:eastAsia="Palatino Linotype" w:hAnsi="Palatino Linotype" w:cs="Palatino Linotype"/>
          <w:sz w:val="22"/>
          <w:szCs w:val="22"/>
        </w:rPr>
        <w:t>Periódico Oficial “Gaceta del Gobierno” del Estado de México</w:t>
      </w:r>
      <w:r w:rsidR="000E4283" w:rsidRPr="00AB4284">
        <w:rPr>
          <w:rFonts w:ascii="Palatino Linotype" w:hAnsi="Palatino Linotype"/>
          <w:sz w:val="22"/>
          <w:szCs w:val="22"/>
        </w:rPr>
        <w:t xml:space="preserve">, el dos de abril de dos mil ocho, por medio del cual se expide la Ley que Crea el Organismo Público Descentralizado denominado Instituto Municipal de Cultura Física y Deporte de Tepotzotlán </w:t>
      </w:r>
      <w:r w:rsidR="000A330F" w:rsidRPr="00AB4284">
        <w:rPr>
          <w:rFonts w:ascii="Palatino Linotype" w:hAnsi="Palatino Linotype"/>
          <w:sz w:val="22"/>
          <w:szCs w:val="22"/>
        </w:rPr>
        <w:t>, en cuyo</w:t>
      </w:r>
      <w:r w:rsidR="00D15C4F" w:rsidRPr="00AB4284">
        <w:rPr>
          <w:rFonts w:ascii="Palatino Linotype" w:hAnsi="Palatino Linotype"/>
          <w:sz w:val="22"/>
          <w:szCs w:val="22"/>
        </w:rPr>
        <w:t>s</w:t>
      </w:r>
      <w:r w:rsidR="000A330F" w:rsidRPr="00AB4284">
        <w:rPr>
          <w:rFonts w:ascii="Palatino Linotype" w:hAnsi="Palatino Linotype"/>
          <w:sz w:val="22"/>
          <w:szCs w:val="22"/>
        </w:rPr>
        <w:t xml:space="preserve"> artículo</w:t>
      </w:r>
      <w:r w:rsidR="00D15C4F" w:rsidRPr="00AB4284">
        <w:rPr>
          <w:rFonts w:ascii="Palatino Linotype" w:hAnsi="Palatino Linotype"/>
          <w:sz w:val="22"/>
          <w:szCs w:val="22"/>
        </w:rPr>
        <w:t>s</w:t>
      </w:r>
      <w:r w:rsidR="000A330F" w:rsidRPr="00AB4284">
        <w:rPr>
          <w:rFonts w:ascii="Palatino Linotype" w:hAnsi="Palatino Linotype"/>
          <w:sz w:val="22"/>
          <w:szCs w:val="22"/>
        </w:rPr>
        <w:t xml:space="preserve"> 1º</w:t>
      </w:r>
      <w:r w:rsidR="00D15C4F" w:rsidRPr="00AB4284">
        <w:rPr>
          <w:rFonts w:ascii="Palatino Linotype" w:hAnsi="Palatino Linotype"/>
          <w:sz w:val="22"/>
          <w:szCs w:val="22"/>
        </w:rPr>
        <w:t xml:space="preserve"> y 3º </w:t>
      </w:r>
      <w:r w:rsidR="000A330F" w:rsidRPr="00AB4284">
        <w:rPr>
          <w:rFonts w:ascii="Palatino Linotype" w:hAnsi="Palatino Linotype"/>
          <w:sz w:val="22"/>
          <w:szCs w:val="22"/>
        </w:rPr>
        <w:t>se establece lo siguiente:</w:t>
      </w:r>
    </w:p>
    <w:p w14:paraId="01F941A8" w14:textId="77777777" w:rsidR="00D15C4F" w:rsidRPr="00AB4284" w:rsidRDefault="000A330F" w:rsidP="000A330F">
      <w:pPr>
        <w:spacing w:before="240" w:after="240"/>
        <w:ind w:left="851" w:right="900"/>
        <w:jc w:val="both"/>
        <w:rPr>
          <w:rFonts w:ascii="Palatino Linotype" w:hAnsi="Palatino Linotype"/>
          <w:i/>
          <w:sz w:val="22"/>
          <w:szCs w:val="22"/>
        </w:rPr>
      </w:pPr>
      <w:r w:rsidRPr="00AB4284">
        <w:rPr>
          <w:rFonts w:ascii="Palatino Linotype" w:eastAsia="Palatino Linotype" w:hAnsi="Palatino Linotype" w:cs="Palatino Linotype"/>
          <w:i/>
          <w:sz w:val="22"/>
          <w:szCs w:val="22"/>
        </w:rPr>
        <w:t>“</w:t>
      </w:r>
      <w:r w:rsidRPr="00AB4284">
        <w:rPr>
          <w:rFonts w:ascii="Palatino Linotype" w:hAnsi="Palatino Linotype"/>
          <w:b/>
          <w:i/>
          <w:sz w:val="22"/>
          <w:szCs w:val="22"/>
        </w:rPr>
        <w:t>Artículo 1</w:t>
      </w:r>
      <w:r w:rsidRPr="00AB4284">
        <w:rPr>
          <w:rFonts w:ascii="Palatino Linotype" w:hAnsi="Palatino Linotype"/>
          <w:i/>
          <w:sz w:val="22"/>
          <w:szCs w:val="22"/>
        </w:rPr>
        <w:t xml:space="preserve">.- Se crea el Organismo Público Descentralizado denominado “Instituto Municipal de Cultura Física y Deporte de Tepotzotlán”, como un </w:t>
      </w:r>
      <w:r w:rsidRPr="00AB4284">
        <w:rPr>
          <w:rFonts w:ascii="Palatino Linotype" w:hAnsi="Palatino Linotype"/>
          <w:b/>
          <w:i/>
          <w:sz w:val="22"/>
          <w:szCs w:val="22"/>
        </w:rPr>
        <w:t xml:space="preserve">organismo público descentralizado con </w:t>
      </w:r>
      <w:r w:rsidRPr="00AB4284">
        <w:rPr>
          <w:rFonts w:ascii="Palatino Linotype" w:hAnsi="Palatino Linotype"/>
          <w:b/>
          <w:i/>
          <w:sz w:val="22"/>
          <w:szCs w:val="22"/>
          <w:u w:val="single"/>
        </w:rPr>
        <w:t>personalidad jurídica y patrimonio propios</w:t>
      </w:r>
      <w:r w:rsidRPr="00AB4284">
        <w:rPr>
          <w:rFonts w:ascii="Palatino Linotype" w:hAnsi="Palatino Linotype"/>
          <w:i/>
          <w:sz w:val="22"/>
          <w:szCs w:val="22"/>
        </w:rPr>
        <w:t>.</w:t>
      </w:r>
    </w:p>
    <w:p w14:paraId="22192FB0" w14:textId="77777777" w:rsidR="00D15C4F" w:rsidRPr="00AB4284" w:rsidRDefault="00D15C4F" w:rsidP="000A330F">
      <w:pPr>
        <w:spacing w:before="240" w:after="240"/>
        <w:ind w:left="851" w:right="900"/>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i/>
          <w:sz w:val="22"/>
          <w:szCs w:val="22"/>
        </w:rPr>
        <w:t>...</w:t>
      </w:r>
    </w:p>
    <w:p w14:paraId="67907DC2" w14:textId="281BE50B" w:rsidR="000A330F" w:rsidRPr="00AB4284" w:rsidRDefault="00D15C4F" w:rsidP="000A330F">
      <w:pPr>
        <w:spacing w:before="240" w:after="240"/>
        <w:ind w:left="851" w:right="900"/>
        <w:jc w:val="both"/>
        <w:rPr>
          <w:rFonts w:ascii="Palatino Linotype" w:eastAsia="Palatino Linotype" w:hAnsi="Palatino Linotype" w:cs="Palatino Linotype"/>
          <w:i/>
          <w:sz w:val="22"/>
          <w:szCs w:val="22"/>
        </w:rPr>
      </w:pPr>
      <w:r w:rsidRPr="00AB4284">
        <w:rPr>
          <w:rFonts w:ascii="Palatino Linotype" w:hAnsi="Palatino Linotype"/>
          <w:b/>
          <w:i/>
          <w:sz w:val="22"/>
          <w:szCs w:val="22"/>
        </w:rPr>
        <w:t>Artículo 3</w:t>
      </w:r>
      <w:r w:rsidRPr="00AB4284">
        <w:rPr>
          <w:rFonts w:ascii="Palatino Linotype" w:hAnsi="Palatino Linotype"/>
          <w:i/>
          <w:sz w:val="22"/>
          <w:szCs w:val="22"/>
        </w:rPr>
        <w:t xml:space="preserve">.- El Instituto Municipal de Cultura Física y Deporte de Tepotzotlán, es sujeto de derechos y obligaciones, </w:t>
      </w:r>
      <w:r w:rsidRPr="00AB4284">
        <w:rPr>
          <w:rFonts w:ascii="Palatino Linotype" w:hAnsi="Palatino Linotype"/>
          <w:b/>
          <w:i/>
          <w:sz w:val="22"/>
          <w:szCs w:val="22"/>
        </w:rPr>
        <w:t>otorgándosele autonomía</w:t>
      </w:r>
      <w:r w:rsidRPr="00AB4284">
        <w:rPr>
          <w:rFonts w:ascii="Palatino Linotype" w:hAnsi="Palatino Linotype"/>
          <w:i/>
          <w:sz w:val="22"/>
          <w:szCs w:val="22"/>
        </w:rPr>
        <w:t xml:space="preserve"> necesaria para asegurar el cumplimiento del deber del municipio de promover el deporte y la cultura física</w:t>
      </w:r>
      <w:r w:rsidR="000A330F" w:rsidRPr="00AB4284">
        <w:rPr>
          <w:rFonts w:ascii="Palatino Linotype" w:eastAsia="Palatino Linotype" w:hAnsi="Palatino Linotype" w:cs="Palatino Linotype"/>
          <w:i/>
          <w:sz w:val="22"/>
          <w:szCs w:val="22"/>
        </w:rPr>
        <w:t>”</w:t>
      </w:r>
    </w:p>
    <w:p w14:paraId="2A7E6856" w14:textId="1554B607" w:rsidR="000A330F" w:rsidRPr="00AB4284" w:rsidRDefault="000A330F" w:rsidP="000A330F">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Derivado de lo anterior, se precisa que </w:t>
      </w:r>
      <w:r w:rsidRPr="00AB4284">
        <w:rPr>
          <w:rFonts w:ascii="Palatino Linotype" w:eastAsia="Palatino Linotype" w:hAnsi="Palatino Linotype" w:cs="Palatino Linotype"/>
          <w:b/>
          <w:sz w:val="22"/>
          <w:szCs w:val="22"/>
          <w:u w:val="single"/>
        </w:rPr>
        <w:t>el Instituto Municipal de Cultura Física y Deporte de Tepotzotlán</w:t>
      </w:r>
      <w:r w:rsidRPr="00AB4284">
        <w:rPr>
          <w:rFonts w:ascii="Palatino Linotype" w:eastAsia="Palatino Linotype" w:hAnsi="Palatino Linotype" w:cs="Palatino Linotype"/>
          <w:b/>
          <w:sz w:val="22"/>
          <w:szCs w:val="22"/>
        </w:rPr>
        <w:t xml:space="preserve"> </w:t>
      </w:r>
      <w:r w:rsidRPr="00AB4284">
        <w:rPr>
          <w:rFonts w:ascii="Palatino Linotype" w:eastAsia="Palatino Linotype" w:hAnsi="Palatino Linotype" w:cs="Palatino Linotype"/>
          <w:sz w:val="22"/>
          <w:szCs w:val="22"/>
        </w:rPr>
        <w:t>en una entidad que</w:t>
      </w:r>
      <w:r w:rsidR="00893A31" w:rsidRPr="00AB4284">
        <w:rPr>
          <w:rFonts w:ascii="Palatino Linotype" w:eastAsia="Palatino Linotype" w:hAnsi="Palatino Linotype" w:cs="Palatino Linotype"/>
          <w:sz w:val="22"/>
          <w:szCs w:val="22"/>
        </w:rPr>
        <w:t>,</w:t>
      </w:r>
      <w:r w:rsidRPr="00AB4284">
        <w:rPr>
          <w:rFonts w:ascii="Palatino Linotype" w:eastAsia="Palatino Linotype" w:hAnsi="Palatino Linotype" w:cs="Palatino Linotype"/>
          <w:sz w:val="22"/>
          <w:szCs w:val="22"/>
        </w:rPr>
        <w:t xml:space="preserve"> si bien forma parte de la Administración Pública Municipal, </w:t>
      </w:r>
      <w:r w:rsidRPr="00AB4284">
        <w:rPr>
          <w:rFonts w:ascii="Palatino Linotype" w:eastAsia="Palatino Linotype" w:hAnsi="Palatino Linotype" w:cs="Palatino Linotype"/>
          <w:b/>
          <w:sz w:val="22"/>
          <w:szCs w:val="22"/>
        </w:rPr>
        <w:t xml:space="preserve">está dotada de personalidad jurídica propia, patrimonio propio y autonomía en el manejo de sus recursos, </w:t>
      </w:r>
      <w:r w:rsidRPr="00AB4284">
        <w:rPr>
          <w:rFonts w:ascii="Palatino Linotype" w:eastAsia="Palatino Linotype" w:hAnsi="Palatino Linotype" w:cs="Palatino Linotype"/>
          <w:sz w:val="22"/>
          <w:szCs w:val="22"/>
        </w:rPr>
        <w:t>por lo que cuentan con su propio objeto, marco normativo, atribuciones y estructura orgánica para el cumplimiento de las mismas.</w:t>
      </w:r>
    </w:p>
    <w:p w14:paraId="41ED4A83" w14:textId="0CE0537C" w:rsidR="006D2EFA" w:rsidRPr="00AB4284" w:rsidRDefault="00C8211D" w:rsidP="000A330F">
      <w:pPr>
        <w:spacing w:before="240" w:after="240" w:line="360" w:lineRule="auto"/>
        <w:jc w:val="both"/>
        <w:rPr>
          <w:rFonts w:ascii="Palatino Linotype" w:hAnsi="Palatino Linotype"/>
          <w:sz w:val="22"/>
          <w:szCs w:val="22"/>
        </w:rPr>
      </w:pPr>
      <w:r w:rsidRPr="00AB4284">
        <w:rPr>
          <w:rFonts w:ascii="Palatino Linotype" w:eastAsia="Palatino Linotype" w:hAnsi="Palatino Linotype" w:cs="Palatino Linotype"/>
          <w:sz w:val="22"/>
          <w:szCs w:val="22"/>
        </w:rPr>
        <w:t xml:space="preserve">En este sentido, el artículo 5 de la </w:t>
      </w:r>
      <w:r w:rsidRPr="00AB4284">
        <w:rPr>
          <w:rFonts w:ascii="Palatino Linotype" w:hAnsi="Palatino Linotype"/>
          <w:sz w:val="22"/>
          <w:szCs w:val="22"/>
        </w:rPr>
        <w:t xml:space="preserve">Ley que Crea el Organismo Público Descentralizado denominado Instituto Municipal de Cultura Física y Deporte de Tepotzotlán </w:t>
      </w:r>
      <w:r w:rsidR="006D2EFA" w:rsidRPr="00AB4284">
        <w:rPr>
          <w:rFonts w:ascii="Palatino Linotype" w:hAnsi="Palatino Linotype"/>
          <w:sz w:val="22"/>
          <w:szCs w:val="22"/>
        </w:rPr>
        <w:t>confiere a</w:t>
      </w:r>
      <w:r w:rsidR="001813EF" w:rsidRPr="00AB4284">
        <w:rPr>
          <w:rFonts w:ascii="Palatino Linotype" w:hAnsi="Palatino Linotype"/>
          <w:sz w:val="22"/>
          <w:szCs w:val="22"/>
        </w:rPr>
        <w:t xml:space="preserve"> </w:t>
      </w:r>
      <w:r w:rsidR="006D2EFA" w:rsidRPr="00AB4284">
        <w:rPr>
          <w:rFonts w:ascii="Palatino Linotype" w:hAnsi="Palatino Linotype"/>
          <w:sz w:val="22"/>
          <w:szCs w:val="22"/>
        </w:rPr>
        <w:t>dicho organismo, las siguientes atribuciones:</w:t>
      </w:r>
    </w:p>
    <w:p w14:paraId="43279E7A"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I. Crear escuelas populares de iniciación deportiva en pueblos, comunidades, barrios y colonias del municipio de Tepotzotlán; </w:t>
      </w:r>
    </w:p>
    <w:p w14:paraId="723D66E6"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II. Crear el sistema municipal de becas académicas, económicas y alimenticias para deportistas distinguidos del municipio; </w:t>
      </w:r>
    </w:p>
    <w:p w14:paraId="23BB4182"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III. Crear torneos estudiantiles permanentes en los niveles: preescolar, primaria, secundaria y media superior; </w:t>
      </w:r>
    </w:p>
    <w:p w14:paraId="0D7AF2D8"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IV. Organizar clubes deportivos populares permanentes; </w:t>
      </w:r>
    </w:p>
    <w:p w14:paraId="13F79CB3"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V. Involucrar a los sectores públicos, social y privado en el deporte municipal; </w:t>
      </w:r>
    </w:p>
    <w:p w14:paraId="387653B2"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VI. Presentar públicamente los programas deportivos municipales, sus objetivos, metas, estrategias y resultados; </w:t>
      </w:r>
    </w:p>
    <w:p w14:paraId="73BEDD55"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VII. Otorgar dirección técnica de calidad a representaciones municipales; </w:t>
      </w:r>
    </w:p>
    <w:p w14:paraId="52655EC4" w14:textId="7C3E0C4C"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VIII. Otorgar asesorías al deporte formativo y de recreación; </w:t>
      </w:r>
    </w:p>
    <w:p w14:paraId="6A8A985D" w14:textId="15F161F8"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IX. Promover el uso de instalaciones deportivas públicas y privadas; </w:t>
      </w:r>
    </w:p>
    <w:p w14:paraId="0F068D6E"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b/>
          <w:sz w:val="22"/>
          <w:szCs w:val="22"/>
        </w:rPr>
        <w:t>X. Promover y desarrollar instalaciones públicas y privadas</w:t>
      </w:r>
      <w:r w:rsidRPr="00AB4284">
        <w:rPr>
          <w:rFonts w:ascii="Palatino Linotype" w:hAnsi="Palatino Linotype"/>
          <w:sz w:val="22"/>
          <w:szCs w:val="22"/>
        </w:rPr>
        <w:t xml:space="preserve">; </w:t>
      </w:r>
    </w:p>
    <w:p w14:paraId="6D937501" w14:textId="096C6E0F"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XI. Desarrollar corrientes sociales y deportivas del mérito; </w:t>
      </w:r>
    </w:p>
    <w:p w14:paraId="2CFDE7C7" w14:textId="4CFC8852" w:rsidR="006D2EFA" w:rsidRPr="00AB4284" w:rsidRDefault="006D2EFA" w:rsidP="006D2EFA">
      <w:pPr>
        <w:spacing w:before="240" w:after="240" w:line="360" w:lineRule="auto"/>
        <w:ind w:left="284"/>
        <w:jc w:val="both"/>
        <w:rPr>
          <w:rFonts w:ascii="Palatino Linotype" w:hAnsi="Palatino Linotype"/>
          <w:b/>
          <w:sz w:val="22"/>
          <w:szCs w:val="22"/>
        </w:rPr>
      </w:pPr>
      <w:r w:rsidRPr="00AB4284">
        <w:rPr>
          <w:rFonts w:ascii="Palatino Linotype" w:hAnsi="Palatino Linotype"/>
          <w:b/>
          <w:sz w:val="22"/>
          <w:szCs w:val="22"/>
        </w:rPr>
        <w:t xml:space="preserve">XII. Crear el registro municipal de instalaciones deportivas; </w:t>
      </w:r>
    </w:p>
    <w:p w14:paraId="738392D6" w14:textId="23B17963"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XIII. Crear el registro municipal de deportistas, deportes, clubes, ligas y torneos deportivos;</w:t>
      </w:r>
    </w:p>
    <w:p w14:paraId="1AB64136"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XIV. Crear el registro municipal de jueces, árbitros, entrenadores, profesores de educación física, médicos del deporte, psicólogos del deporte y escuelas del deporte; </w:t>
      </w:r>
    </w:p>
    <w:p w14:paraId="10B3316A" w14:textId="77777777" w:rsidR="006D2EFA" w:rsidRPr="00AB4284" w:rsidRDefault="006D2EFA" w:rsidP="006D2EFA">
      <w:pPr>
        <w:spacing w:before="240" w:after="240" w:line="360" w:lineRule="auto"/>
        <w:ind w:left="284"/>
        <w:jc w:val="both"/>
        <w:rPr>
          <w:rFonts w:ascii="Palatino Linotype" w:hAnsi="Palatino Linotype"/>
          <w:sz w:val="22"/>
          <w:szCs w:val="22"/>
        </w:rPr>
      </w:pPr>
      <w:r w:rsidRPr="00AB4284">
        <w:rPr>
          <w:rFonts w:ascii="Palatino Linotype" w:hAnsi="Palatino Linotype"/>
          <w:sz w:val="22"/>
          <w:szCs w:val="22"/>
        </w:rPr>
        <w:t xml:space="preserve">XV. Brindar apoyo logístico a los eventos deportivos que se desarrollan en el municipio; y </w:t>
      </w:r>
    </w:p>
    <w:p w14:paraId="114A722A" w14:textId="457B79D6" w:rsidR="00C8211D" w:rsidRPr="00AB4284" w:rsidRDefault="006D2EFA" w:rsidP="006D2EFA">
      <w:pPr>
        <w:spacing w:before="240" w:after="240" w:line="360" w:lineRule="auto"/>
        <w:ind w:left="284"/>
        <w:jc w:val="both"/>
        <w:rPr>
          <w:rFonts w:ascii="Palatino Linotype" w:eastAsia="Palatino Linotype" w:hAnsi="Palatino Linotype" w:cs="Palatino Linotype"/>
          <w:sz w:val="22"/>
          <w:szCs w:val="22"/>
        </w:rPr>
      </w:pPr>
      <w:r w:rsidRPr="00AB4284">
        <w:rPr>
          <w:rFonts w:ascii="Palatino Linotype" w:hAnsi="Palatino Linotype"/>
          <w:sz w:val="22"/>
          <w:szCs w:val="22"/>
        </w:rPr>
        <w:t>XVI. Las demás que las leyes de la materia le señalen.</w:t>
      </w:r>
      <w:r w:rsidR="00C8211D" w:rsidRPr="00AB4284">
        <w:rPr>
          <w:rFonts w:ascii="Palatino Linotype" w:hAnsi="Palatino Linotype"/>
          <w:sz w:val="22"/>
          <w:szCs w:val="22"/>
        </w:rPr>
        <w:t xml:space="preserve"> </w:t>
      </w:r>
    </w:p>
    <w:p w14:paraId="7A8559A4" w14:textId="03DC2B07" w:rsidR="00777F2D" w:rsidRPr="00AB4284" w:rsidRDefault="001813EF" w:rsidP="005568B8">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Por otro lado, el patrimonio del Instituto Municipal de Cultura Física y Deporte de Tepotzotlán, de conformidad con el artículo 24 del ordenamiento en análisis se integra de la siguiente forma:</w:t>
      </w:r>
    </w:p>
    <w:p w14:paraId="7533A589" w14:textId="77777777" w:rsidR="001813EF" w:rsidRPr="00AB4284" w:rsidRDefault="001813EF" w:rsidP="001813EF">
      <w:pPr>
        <w:spacing w:before="240" w:after="240" w:line="360" w:lineRule="auto"/>
        <w:ind w:left="284"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 xml:space="preserve">I. </w:t>
      </w:r>
      <w:r w:rsidRPr="00AB4284">
        <w:rPr>
          <w:rFonts w:ascii="Palatino Linotype" w:eastAsia="Palatino Linotype" w:hAnsi="Palatino Linotype" w:cs="Palatino Linotype"/>
          <w:b/>
          <w:bCs/>
          <w:sz w:val="22"/>
          <w:szCs w:val="22"/>
        </w:rPr>
        <w:t>La asignación anual del 2% del total del presupuesto de egresos del Municipio</w:t>
      </w:r>
      <w:r w:rsidRPr="00AB4284">
        <w:rPr>
          <w:rFonts w:ascii="Palatino Linotype" w:eastAsia="Palatino Linotype" w:hAnsi="Palatino Linotype" w:cs="Palatino Linotype"/>
          <w:sz w:val="22"/>
          <w:szCs w:val="22"/>
        </w:rPr>
        <w:t>.</w:t>
      </w:r>
    </w:p>
    <w:p w14:paraId="2DEDC67D" w14:textId="14E2F2AE" w:rsidR="001813EF" w:rsidRPr="00AB4284" w:rsidRDefault="001813EF" w:rsidP="001813EF">
      <w:pPr>
        <w:spacing w:before="240" w:after="240" w:line="360" w:lineRule="auto"/>
        <w:ind w:left="284" w:right="49"/>
        <w:jc w:val="both"/>
        <w:rPr>
          <w:rFonts w:ascii="Palatino Linotype" w:eastAsia="Palatino Linotype" w:hAnsi="Palatino Linotype" w:cs="Palatino Linotype"/>
          <w:b/>
          <w:sz w:val="22"/>
          <w:szCs w:val="22"/>
          <w:u w:val="single"/>
        </w:rPr>
      </w:pPr>
      <w:r w:rsidRPr="00AB4284">
        <w:rPr>
          <w:rFonts w:ascii="Palatino Linotype" w:eastAsia="Palatino Linotype" w:hAnsi="Palatino Linotype" w:cs="Palatino Linotype"/>
          <w:b/>
          <w:sz w:val="22"/>
          <w:szCs w:val="22"/>
          <w:u w:val="single"/>
        </w:rPr>
        <w:t>II. Los bienes muebles e inmuebles que el Ayuntamiento le asigne como organismo público descentralizado.</w:t>
      </w:r>
    </w:p>
    <w:p w14:paraId="7997AAE9" w14:textId="4C240C5E" w:rsidR="001813EF" w:rsidRPr="00AB4284" w:rsidRDefault="001813EF" w:rsidP="001813EF">
      <w:pPr>
        <w:spacing w:before="240" w:after="240" w:line="360" w:lineRule="auto"/>
        <w:ind w:left="284" w:right="49"/>
        <w:jc w:val="both"/>
        <w:rPr>
          <w:rFonts w:ascii="Palatino Linotype" w:eastAsia="Palatino Linotype" w:hAnsi="Palatino Linotype" w:cs="Palatino Linotype"/>
          <w:bCs/>
          <w:sz w:val="22"/>
          <w:szCs w:val="22"/>
        </w:rPr>
      </w:pPr>
      <w:r w:rsidRPr="00AB4284">
        <w:rPr>
          <w:rFonts w:ascii="Palatino Linotype" w:eastAsia="Palatino Linotype" w:hAnsi="Palatino Linotype" w:cs="Palatino Linotype"/>
          <w:b/>
          <w:sz w:val="22"/>
          <w:szCs w:val="22"/>
        </w:rPr>
        <w:t xml:space="preserve">III. </w:t>
      </w:r>
      <w:r w:rsidRPr="00AB4284">
        <w:rPr>
          <w:rFonts w:ascii="Palatino Linotype" w:eastAsia="Palatino Linotype" w:hAnsi="Palatino Linotype" w:cs="Palatino Linotype"/>
          <w:bCs/>
          <w:sz w:val="22"/>
          <w:szCs w:val="22"/>
        </w:rPr>
        <w:t>Los apoyos financieros, subsidios, valores, bienes y servicios que provengan del gobierno federal, estatal y municipal.</w:t>
      </w:r>
    </w:p>
    <w:p w14:paraId="5F972A9D" w14:textId="4BE702DC" w:rsidR="001813EF" w:rsidRPr="00AB4284" w:rsidRDefault="001813EF" w:rsidP="001813EF">
      <w:pPr>
        <w:spacing w:before="240" w:after="240" w:line="360" w:lineRule="auto"/>
        <w:ind w:left="284"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IV. Los productos, concesiones, aprovechamientos, donativos, cooperaciones y demás ingresos que adquiera por cualquier título, ya sea público, privado o social.</w:t>
      </w:r>
    </w:p>
    <w:p w14:paraId="306B513C" w14:textId="454AB395" w:rsidR="001813EF" w:rsidRPr="00AB4284" w:rsidRDefault="001813EF" w:rsidP="001813EF">
      <w:pPr>
        <w:spacing w:before="240" w:after="240" w:line="360" w:lineRule="auto"/>
        <w:ind w:left="284"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V. Los ingresos y utilidades que obtenga por prestación de sus servicios</w:t>
      </w:r>
    </w:p>
    <w:p w14:paraId="39D748FB" w14:textId="748CAE34" w:rsidR="001813EF" w:rsidRPr="00AB4284" w:rsidRDefault="00A30DF1" w:rsidP="005568B8">
      <w:pPr>
        <w:spacing w:before="240" w:after="240" w:line="360" w:lineRule="auto"/>
        <w:ind w:right="49"/>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Por lo que se refiere a la estructura orgánica del Instituto Municipal de Cultura Física y Deporte de Tepotzotlán, el Manual de Organización de dicho organismo contempla las siguientes unidades administrativas:</w:t>
      </w:r>
    </w:p>
    <w:p w14:paraId="5403ED3C" w14:textId="3B0F97FB" w:rsidR="00A30DF1" w:rsidRPr="00AB4284" w:rsidRDefault="00A30DF1" w:rsidP="00A30DF1">
      <w:pPr>
        <w:spacing w:before="240" w:after="240" w:line="360" w:lineRule="auto"/>
        <w:ind w:right="49"/>
        <w:jc w:val="center"/>
        <w:rPr>
          <w:rFonts w:ascii="Palatino Linotype" w:eastAsia="Palatino Linotype" w:hAnsi="Palatino Linotype" w:cs="Palatino Linotype"/>
          <w:sz w:val="22"/>
          <w:szCs w:val="22"/>
        </w:rPr>
      </w:pPr>
      <w:r w:rsidRPr="00AB4284">
        <w:rPr>
          <w:rFonts w:ascii="Palatino Linotype" w:eastAsia="Palatino Linotype" w:hAnsi="Palatino Linotype" w:cs="Palatino Linotype"/>
          <w:noProof/>
          <w:sz w:val="22"/>
          <w:szCs w:val="22"/>
        </w:rPr>
        <w:drawing>
          <wp:inline distT="0" distB="0" distL="0" distR="0" wp14:anchorId="60464EF3" wp14:editId="044FA728">
            <wp:extent cx="4105848" cy="3000794"/>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5848" cy="3000794"/>
                    </a:xfrm>
                    <a:prstGeom prst="rect">
                      <a:avLst/>
                    </a:prstGeom>
                  </pic:spPr>
                </pic:pic>
              </a:graphicData>
            </a:graphic>
          </wp:inline>
        </w:drawing>
      </w:r>
    </w:p>
    <w:p w14:paraId="39B73E79" w14:textId="77777777" w:rsidR="00A30DF1" w:rsidRPr="00AB4284" w:rsidRDefault="00A30DF1" w:rsidP="005568B8">
      <w:pPr>
        <w:spacing w:before="240" w:after="240" w:line="360" w:lineRule="auto"/>
        <w:ind w:right="49"/>
        <w:jc w:val="both"/>
        <w:rPr>
          <w:rFonts w:ascii="Palatino Linotype" w:hAnsi="Palatino Linotype"/>
          <w:sz w:val="22"/>
          <w:szCs w:val="22"/>
        </w:rPr>
      </w:pPr>
      <w:r w:rsidRPr="00AB4284">
        <w:rPr>
          <w:rFonts w:ascii="Palatino Linotype" w:eastAsia="Palatino Linotype" w:hAnsi="Palatino Linotype" w:cs="Palatino Linotype"/>
          <w:sz w:val="22"/>
          <w:szCs w:val="22"/>
        </w:rPr>
        <w:t xml:space="preserve">Por lo que se refiere a la </w:t>
      </w:r>
      <w:r w:rsidRPr="00AB4284">
        <w:rPr>
          <w:rFonts w:ascii="Palatino Linotype" w:eastAsia="Palatino Linotype" w:hAnsi="Palatino Linotype" w:cs="Palatino Linotype"/>
          <w:b/>
          <w:sz w:val="22"/>
          <w:szCs w:val="22"/>
        </w:rPr>
        <w:t>Dirección de Administración y Finanzas</w:t>
      </w:r>
      <w:r w:rsidRPr="00AB4284">
        <w:rPr>
          <w:rFonts w:ascii="Palatino Linotype" w:eastAsia="Palatino Linotype" w:hAnsi="Palatino Linotype" w:cs="Palatino Linotype"/>
          <w:sz w:val="22"/>
          <w:szCs w:val="22"/>
        </w:rPr>
        <w:t xml:space="preserve">, cuyo objetivo consiste en dirigir y administrar los recursos financieros de que dispone el Instituto para su mejor aprovechamiento, a través de los sistemas de programación, presupuestario, contabilidad, registro y control de estos, así como las </w:t>
      </w:r>
      <w:r w:rsidRPr="00AB4284">
        <w:rPr>
          <w:rFonts w:ascii="Palatino Linotype" w:hAnsi="Palatino Linotype"/>
          <w:sz w:val="22"/>
          <w:szCs w:val="22"/>
        </w:rPr>
        <w:t>acciones relativas a la recuperación de créditos, y pago de los compromisos contraídos, en observancia a la normatividad y transparencia de cuentas, a fin de contribuir a la operación optima de las unidades administrativas y el logro de metas y programas del Instituto, el Manual de Organización contempla las siguientes atribuciones en su parte conducente:</w:t>
      </w:r>
    </w:p>
    <w:p w14:paraId="79737593" w14:textId="77777777" w:rsidR="00A30DF1" w:rsidRPr="00AB4284" w:rsidRDefault="00A30DF1" w:rsidP="002B604F">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Administrar los Recursos Humanos, Financieros, Materiales y Servicios Generales, coadyuvar al logro de los objetivos y metas del Instituto.</w:t>
      </w:r>
    </w:p>
    <w:p w14:paraId="5A260053" w14:textId="77777777" w:rsidR="00A30DF1" w:rsidRPr="00AB4284" w:rsidRDefault="00A30DF1" w:rsidP="002B604F">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 - Coordinar y supervisar el ejercicio presupuestal de los recursos asignados al Instituto, con apego a la normatividad vigente. </w:t>
      </w:r>
    </w:p>
    <w:p w14:paraId="4C4C6346" w14:textId="77777777" w:rsidR="00A30DF1" w:rsidRPr="00AB4284" w:rsidRDefault="00A30DF1" w:rsidP="002B604F">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 Controlar los ingresos propios que obtenga el Instituto Municipal de Cultura Física y Deporte de Tepotzotlán, producto del uso, aprovechamiento y explotación de los espacios deportivos, </w:t>
      </w:r>
      <w:r w:rsidRPr="00AB4284">
        <w:rPr>
          <w:rFonts w:ascii="Palatino Linotype" w:hAnsi="Palatino Linotype"/>
          <w:b/>
          <w:sz w:val="22"/>
          <w:szCs w:val="22"/>
        </w:rPr>
        <w:t xml:space="preserve">para atender las necesidades de </w:t>
      </w:r>
      <w:r w:rsidRPr="00AB4284">
        <w:rPr>
          <w:rFonts w:ascii="Palatino Linotype" w:hAnsi="Palatino Linotype"/>
          <w:b/>
          <w:sz w:val="22"/>
          <w:szCs w:val="22"/>
          <w:u w:val="single"/>
        </w:rPr>
        <w:t>obra, rehabilitación, remodelación, adecuación, mantenimiento у equipamiento de las instalaciones deportivas</w:t>
      </w:r>
      <w:r w:rsidRPr="00AB4284">
        <w:rPr>
          <w:rFonts w:ascii="Palatino Linotype" w:hAnsi="Palatino Linotype"/>
          <w:b/>
          <w:sz w:val="22"/>
          <w:szCs w:val="22"/>
        </w:rPr>
        <w:t xml:space="preserve"> asignadas al Instituto.</w:t>
      </w:r>
      <w:r w:rsidRPr="00AB4284">
        <w:rPr>
          <w:rFonts w:ascii="Palatino Linotype" w:hAnsi="Palatino Linotype"/>
          <w:sz w:val="22"/>
          <w:szCs w:val="22"/>
        </w:rPr>
        <w:t xml:space="preserve"> </w:t>
      </w:r>
    </w:p>
    <w:p w14:paraId="16C299C1" w14:textId="3659C369" w:rsidR="00A30DF1" w:rsidRPr="00AB4284" w:rsidRDefault="00A30DF1" w:rsidP="002B604F">
      <w:pPr>
        <w:spacing w:before="240" w:after="240" w:line="360" w:lineRule="auto"/>
        <w:ind w:left="284" w:right="49"/>
        <w:jc w:val="both"/>
        <w:rPr>
          <w:rFonts w:ascii="Palatino Linotype" w:hAnsi="Palatino Linotype"/>
          <w:sz w:val="22"/>
          <w:szCs w:val="22"/>
          <w:u w:val="single"/>
        </w:rPr>
      </w:pPr>
      <w:r w:rsidRPr="00AB4284">
        <w:rPr>
          <w:rFonts w:ascii="Palatino Linotype" w:hAnsi="Palatino Linotype"/>
          <w:sz w:val="22"/>
          <w:szCs w:val="22"/>
        </w:rPr>
        <w:t xml:space="preserve">- Verificar que las adquisiciones de bienes, servicios y arrendamientos en cualquier modalidad de adjudicación no se fracciones o, de la misma forma se deberá observar lo propio, </w:t>
      </w:r>
      <w:r w:rsidRPr="00AB4284">
        <w:rPr>
          <w:rFonts w:ascii="Palatino Linotype" w:hAnsi="Palatino Linotype"/>
          <w:b/>
          <w:sz w:val="22"/>
          <w:szCs w:val="22"/>
        </w:rPr>
        <w:t xml:space="preserve">tratándose de adjudicaciones de </w:t>
      </w:r>
      <w:r w:rsidRPr="00AB4284">
        <w:rPr>
          <w:rFonts w:ascii="Palatino Linotype" w:hAnsi="Palatino Linotype"/>
          <w:b/>
          <w:sz w:val="22"/>
          <w:szCs w:val="22"/>
          <w:u w:val="single"/>
        </w:rPr>
        <w:t>obra pública y servicios relacionados con la misma</w:t>
      </w:r>
      <w:r w:rsidRPr="00AB4284">
        <w:rPr>
          <w:rFonts w:ascii="Palatino Linotype" w:hAnsi="Palatino Linotype"/>
          <w:sz w:val="22"/>
          <w:szCs w:val="22"/>
          <w:u w:val="single"/>
        </w:rPr>
        <w:t>.</w:t>
      </w:r>
    </w:p>
    <w:p w14:paraId="634D21EE" w14:textId="77777777" w:rsidR="00A30DF1" w:rsidRPr="00AB4284" w:rsidRDefault="00A30DF1" w:rsidP="002B604F">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 Vigilar que las adquisiciones contratación de servicios se efectuarán de conformidad con las disposiciones de la Ley de Contratación Públicas del Estado de México y en su caso del reglamento respectivo o de acuerdo con la normatividad federal cuando sea el caso, previo dictamen del comité de adquisiciones y servicios respectivo. </w:t>
      </w:r>
    </w:p>
    <w:p w14:paraId="2CAA7321" w14:textId="332DA400" w:rsidR="00A30DF1" w:rsidRPr="00AB4284" w:rsidRDefault="00A30DF1" w:rsidP="002B604F">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Realizar convocatoria pública en las adquisiciones, arrendamientos y servicios a través de licitaciones públicas.</w:t>
      </w:r>
    </w:p>
    <w:p w14:paraId="78F95CAD" w14:textId="01CE1206" w:rsidR="00A30DF1" w:rsidRPr="00AB4284" w:rsidRDefault="00346F0D" w:rsidP="005568B8">
      <w:pPr>
        <w:spacing w:before="240" w:after="240" w:line="360" w:lineRule="auto"/>
        <w:ind w:right="49"/>
        <w:jc w:val="both"/>
        <w:rPr>
          <w:rFonts w:ascii="Palatino Linotype" w:hAnsi="Palatino Linotype"/>
          <w:sz w:val="22"/>
          <w:szCs w:val="22"/>
        </w:rPr>
      </w:pPr>
      <w:r w:rsidRPr="00AB4284">
        <w:rPr>
          <w:rFonts w:ascii="Palatino Linotype" w:hAnsi="Palatino Linotype"/>
          <w:sz w:val="22"/>
          <w:szCs w:val="22"/>
        </w:rPr>
        <w:t xml:space="preserve">Asimismo, </w:t>
      </w:r>
      <w:r w:rsidR="002B604F" w:rsidRPr="00AB4284">
        <w:rPr>
          <w:rFonts w:ascii="Palatino Linotype" w:hAnsi="Palatino Linotype"/>
          <w:sz w:val="22"/>
          <w:szCs w:val="22"/>
        </w:rPr>
        <w:t xml:space="preserve">el área de </w:t>
      </w:r>
      <w:r w:rsidR="002B604F" w:rsidRPr="00AB4284">
        <w:rPr>
          <w:rFonts w:ascii="Palatino Linotype" w:hAnsi="Palatino Linotype"/>
          <w:b/>
          <w:sz w:val="22"/>
          <w:szCs w:val="22"/>
        </w:rPr>
        <w:t>Supervisión de Infraestructura y Mantenimiento</w:t>
      </w:r>
      <w:r w:rsidR="002B604F" w:rsidRPr="00AB4284">
        <w:rPr>
          <w:rFonts w:ascii="Palatino Linotype" w:hAnsi="Palatino Linotype"/>
          <w:sz w:val="22"/>
          <w:szCs w:val="22"/>
        </w:rPr>
        <w:t xml:space="preserve"> </w:t>
      </w:r>
      <w:r w:rsidRPr="00AB4284">
        <w:rPr>
          <w:rFonts w:ascii="Palatino Linotype" w:hAnsi="Palatino Linotype"/>
          <w:sz w:val="22"/>
          <w:szCs w:val="22"/>
        </w:rPr>
        <w:t>se encarga de las acciones de prevención, reparación y mantenimiento de todas las instalaciones deportivas municipales para garantizar y/o salvaguardar la integridad de los entrenadores, atletas, deportistas, padres de familia y de cualquier persona que haga uso de las instalaciones deportivas que estén bajo resguardo del Instituto Municipal de Cultura Física y Deporte de Tepotzotlán</w:t>
      </w:r>
      <w:r w:rsidR="008D0989" w:rsidRPr="00AB4284">
        <w:rPr>
          <w:rFonts w:ascii="Palatino Linotype" w:hAnsi="Palatino Linotype"/>
          <w:sz w:val="22"/>
          <w:szCs w:val="22"/>
        </w:rPr>
        <w:t xml:space="preserve">, entre cuyas atribuciones se encuentran las siguientes de conformidad con el Manual de Organización: </w:t>
      </w:r>
    </w:p>
    <w:p w14:paraId="1073E8E5" w14:textId="77777777" w:rsidR="008D0989" w:rsidRPr="00AB4284" w:rsidRDefault="008D0989" w:rsidP="008D0989">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 Realizar mantenimiento, mejoramiento y/o dotación de escenarios deportivos y recreativos. </w:t>
      </w:r>
    </w:p>
    <w:p w14:paraId="4882F37E" w14:textId="13FA60F8" w:rsidR="002B604F" w:rsidRPr="00AB4284" w:rsidRDefault="008D0989" w:rsidP="008D0989">
      <w:pPr>
        <w:spacing w:before="240" w:after="240" w:line="360" w:lineRule="auto"/>
        <w:ind w:left="284" w:right="49"/>
        <w:jc w:val="both"/>
        <w:rPr>
          <w:rFonts w:ascii="Palatino Linotype" w:hAnsi="Palatino Linotype"/>
          <w:sz w:val="22"/>
          <w:szCs w:val="22"/>
        </w:rPr>
      </w:pPr>
      <w:r w:rsidRPr="00AB4284">
        <w:rPr>
          <w:rFonts w:ascii="Palatino Linotype" w:hAnsi="Palatino Linotype"/>
          <w:sz w:val="22"/>
          <w:szCs w:val="22"/>
        </w:rPr>
        <w:t xml:space="preserve">- </w:t>
      </w:r>
      <w:r w:rsidRPr="00AB4284">
        <w:rPr>
          <w:rFonts w:ascii="Palatino Linotype" w:hAnsi="Palatino Linotype"/>
          <w:b/>
          <w:sz w:val="22"/>
          <w:szCs w:val="22"/>
        </w:rPr>
        <w:t>Proporcionar cotidianamente el mantenimiento preventivo y correctivo de las instalaciones que ocupa el Instituto</w:t>
      </w:r>
      <w:r w:rsidRPr="00AB4284">
        <w:rPr>
          <w:rFonts w:ascii="Palatino Linotype" w:hAnsi="Palatino Linotype"/>
          <w:sz w:val="22"/>
          <w:szCs w:val="22"/>
        </w:rPr>
        <w:t xml:space="preserve">, así como el mobiliario y equipo de oficina existente. </w:t>
      </w:r>
    </w:p>
    <w:p w14:paraId="35819EC7" w14:textId="73B6F3EE" w:rsidR="009E1822" w:rsidRPr="00AB4284" w:rsidRDefault="00D15C4F" w:rsidP="009E1822">
      <w:pPr>
        <w:spacing w:before="240" w:after="240" w:line="360" w:lineRule="auto"/>
        <w:ind w:right="49"/>
        <w:jc w:val="both"/>
        <w:rPr>
          <w:rFonts w:ascii="Palatino Linotype" w:hAnsi="Palatino Linotype"/>
          <w:sz w:val="22"/>
          <w:szCs w:val="22"/>
        </w:rPr>
      </w:pPr>
      <w:r w:rsidRPr="00AB4284">
        <w:rPr>
          <w:rFonts w:ascii="Palatino Linotype" w:hAnsi="Palatino Linotype"/>
          <w:sz w:val="22"/>
          <w:szCs w:val="22"/>
        </w:rPr>
        <w:t xml:space="preserve">Con base en lo previo, se colige que el </w:t>
      </w:r>
      <w:r w:rsidRPr="00AB4284">
        <w:rPr>
          <w:rFonts w:ascii="Palatino Linotype" w:eastAsia="Palatino Linotype" w:hAnsi="Palatino Linotype" w:cs="Palatino Linotype"/>
          <w:sz w:val="22"/>
          <w:szCs w:val="22"/>
        </w:rPr>
        <w:t>Instituto Municipal de Cultura Física y Deporte de Tepotzotlán</w:t>
      </w:r>
      <w:r w:rsidR="005B4AB4" w:rsidRPr="00AB4284">
        <w:rPr>
          <w:rFonts w:ascii="Palatino Linotype" w:hAnsi="Palatino Linotype"/>
          <w:sz w:val="22"/>
          <w:szCs w:val="22"/>
        </w:rPr>
        <w:t xml:space="preserve">, como el organismo público descentralizado responsable de promover e impulsar la cultura física y el deporte en el municipio de Tepotzotlán, </w:t>
      </w:r>
      <w:r w:rsidR="009E1822" w:rsidRPr="00AB4284">
        <w:rPr>
          <w:rFonts w:ascii="Palatino Linotype" w:hAnsi="Palatino Linotype"/>
          <w:sz w:val="22"/>
          <w:szCs w:val="22"/>
        </w:rPr>
        <w:t xml:space="preserve">que cuenta con personalidad jurídica y patrimonio propios es competente para conocer de la información que es del interés de la persona solicitante, </w:t>
      </w:r>
      <w:r w:rsidR="007E38E2" w:rsidRPr="00AB4284">
        <w:rPr>
          <w:rFonts w:ascii="Palatino Linotype" w:hAnsi="Palatino Linotype"/>
          <w:sz w:val="22"/>
          <w:szCs w:val="22"/>
        </w:rPr>
        <w:t xml:space="preserve">la cual versa específicamente sobre el </w:t>
      </w:r>
      <w:r w:rsidR="007E38E2" w:rsidRPr="00AB4284">
        <w:rPr>
          <w:rFonts w:ascii="Palatino Linotype" w:hAnsi="Palatino Linotype"/>
          <w:b/>
          <w:sz w:val="22"/>
          <w:szCs w:val="22"/>
        </w:rPr>
        <w:t>mantenimiento y rehabilitación de espacios deportivos</w:t>
      </w:r>
      <w:r w:rsidR="007E38E2" w:rsidRPr="00AB4284">
        <w:rPr>
          <w:rFonts w:ascii="Palatino Linotype" w:hAnsi="Palatino Linotype"/>
          <w:sz w:val="22"/>
          <w:szCs w:val="22"/>
        </w:rPr>
        <w:t xml:space="preserve">, ello en virtud de que dicho organismo </w:t>
      </w:r>
      <w:r w:rsidR="007E38E2" w:rsidRPr="00AB4284">
        <w:rPr>
          <w:rFonts w:ascii="Palatino Linotype" w:hAnsi="Palatino Linotype"/>
          <w:b/>
          <w:sz w:val="22"/>
          <w:szCs w:val="22"/>
          <w:u w:val="single"/>
        </w:rPr>
        <w:t>está</w:t>
      </w:r>
      <w:r w:rsidR="009E1822" w:rsidRPr="00AB4284">
        <w:rPr>
          <w:rFonts w:ascii="Palatino Linotype" w:hAnsi="Palatino Linotype"/>
          <w:b/>
          <w:sz w:val="22"/>
          <w:szCs w:val="22"/>
          <w:u w:val="single"/>
        </w:rPr>
        <w:t xml:space="preserve"> facultado para atender las necesidades de obra, rehabilitación, remodelación, adecuación, mantenimiento у equipamiento de las instalaciones deportivas que le sean asignadas</w:t>
      </w:r>
      <w:r w:rsidR="009E1822" w:rsidRPr="00AB4284">
        <w:rPr>
          <w:rFonts w:ascii="Palatino Linotype" w:hAnsi="Palatino Linotype"/>
          <w:sz w:val="22"/>
          <w:szCs w:val="22"/>
        </w:rPr>
        <w:t xml:space="preserve">, así como </w:t>
      </w:r>
      <w:r w:rsidR="009E1822" w:rsidRPr="00AB4284">
        <w:rPr>
          <w:rFonts w:ascii="Palatino Linotype" w:hAnsi="Palatino Linotype"/>
          <w:b/>
          <w:sz w:val="22"/>
          <w:szCs w:val="22"/>
          <w:u w:val="single"/>
        </w:rPr>
        <w:t>llevar a cabo los procedimientos de adjudicación en cualquiera de sus modalidades relacionados con la adquisición de bienes, contratación de servicios, obra pública y servicios relacionados con la misma</w:t>
      </w:r>
      <w:r w:rsidR="009E1822" w:rsidRPr="00AB4284">
        <w:rPr>
          <w:rFonts w:ascii="Palatino Linotype" w:hAnsi="Palatino Linotype"/>
          <w:sz w:val="22"/>
          <w:szCs w:val="22"/>
        </w:rPr>
        <w:t>.</w:t>
      </w:r>
    </w:p>
    <w:p w14:paraId="6EB95B70" w14:textId="7736EEF7" w:rsidR="007E38E2" w:rsidRPr="00AB4284" w:rsidRDefault="007E38E2" w:rsidP="007E38E2">
      <w:pPr>
        <w:tabs>
          <w:tab w:val="left" w:pos="284"/>
        </w:tabs>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Asimismo, es de suma importancia mencionar que en materia de transparencia el Ayuntamiento de Tepotzotlán y el</w:t>
      </w:r>
      <w:r w:rsidRPr="00AB4284">
        <w:rPr>
          <w:sz w:val="22"/>
          <w:szCs w:val="22"/>
        </w:rPr>
        <w:t xml:space="preserve"> </w:t>
      </w:r>
      <w:r w:rsidRPr="00AB4284">
        <w:rPr>
          <w:rFonts w:ascii="Palatino Linotype" w:eastAsia="Palatino Linotype" w:hAnsi="Palatino Linotype" w:cs="Palatino Linotype"/>
          <w:sz w:val="22"/>
          <w:szCs w:val="22"/>
        </w:rPr>
        <w:t>Instituto Municipal de Cultura Física y Deporte de Tepotzotlán, son reconocidos como Sujetos Obligados independientes de conformidad con el Padrón de Sujetos Obligados en materia de Transparencia y Acceso a la Información Pública del Estado de México y Municipios aprobado por el Pleno de este Instituto el veintisiete de enero de dos mil diecisiete y sus modificaciones posteriores, como se ilustra a continuación para mejor referencia:</w:t>
      </w:r>
    </w:p>
    <w:p w14:paraId="49BD5BF7" w14:textId="1ECE3781" w:rsidR="007E38E2" w:rsidRPr="00AB4284" w:rsidRDefault="007E38E2" w:rsidP="009E1822">
      <w:pPr>
        <w:spacing w:before="240" w:after="240" w:line="360" w:lineRule="auto"/>
        <w:ind w:right="49"/>
        <w:jc w:val="both"/>
        <w:rPr>
          <w:rFonts w:ascii="Palatino Linotype" w:hAnsi="Palatino Linotype"/>
          <w:sz w:val="22"/>
          <w:szCs w:val="22"/>
        </w:rPr>
      </w:pPr>
      <w:r w:rsidRPr="00AB4284">
        <w:rPr>
          <w:rFonts w:ascii="Palatino Linotype" w:eastAsia="Palatino Linotype" w:hAnsi="Palatino Linotype" w:cs="Palatino Linotype"/>
          <w:noProof/>
          <w:sz w:val="22"/>
          <w:szCs w:val="22"/>
        </w:rPr>
        <w:drawing>
          <wp:inline distT="0" distB="0" distL="0" distR="0" wp14:anchorId="5EF18048" wp14:editId="20AC95A6">
            <wp:extent cx="5612130" cy="300355"/>
            <wp:effectExtent l="0" t="0" r="7620" b="4445"/>
            <wp:docPr id="11329303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12130" cy="300355"/>
                    </a:xfrm>
                    <a:prstGeom prst="rect">
                      <a:avLst/>
                    </a:prstGeom>
                    <a:ln/>
                  </pic:spPr>
                </pic:pic>
              </a:graphicData>
            </a:graphic>
          </wp:inline>
        </w:drawing>
      </w:r>
      <w:r w:rsidRPr="00AB4284">
        <w:rPr>
          <w:rFonts w:ascii="Palatino Linotype" w:hAnsi="Palatino Linotype"/>
          <w:noProof/>
          <w:sz w:val="22"/>
          <w:szCs w:val="22"/>
        </w:rPr>
        <w:drawing>
          <wp:inline distT="0" distB="0" distL="0" distR="0" wp14:anchorId="71322E68" wp14:editId="21FDC07D">
            <wp:extent cx="5612130" cy="33337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33375"/>
                    </a:xfrm>
                    <a:prstGeom prst="rect">
                      <a:avLst/>
                    </a:prstGeom>
                  </pic:spPr>
                </pic:pic>
              </a:graphicData>
            </a:graphic>
          </wp:inline>
        </w:drawing>
      </w:r>
    </w:p>
    <w:p w14:paraId="795FDC2F" w14:textId="2C7E7C25" w:rsidR="007E38E2" w:rsidRPr="00AB4284" w:rsidRDefault="007E38E2" w:rsidP="009E1822">
      <w:pPr>
        <w:spacing w:before="240" w:after="240" w:line="360" w:lineRule="auto"/>
        <w:ind w:right="49"/>
        <w:jc w:val="both"/>
        <w:rPr>
          <w:rFonts w:ascii="Palatino Linotype" w:hAnsi="Palatino Linotype"/>
          <w:sz w:val="22"/>
          <w:szCs w:val="22"/>
        </w:rPr>
      </w:pPr>
      <w:r w:rsidRPr="00AB4284">
        <w:rPr>
          <w:rFonts w:ascii="Palatino Linotype" w:hAnsi="Palatino Linotype"/>
          <w:noProof/>
          <w:sz w:val="22"/>
          <w:szCs w:val="22"/>
        </w:rPr>
        <w:drawing>
          <wp:inline distT="0" distB="0" distL="0" distR="0" wp14:anchorId="3CC8B25E" wp14:editId="5084AF04">
            <wp:extent cx="5612130" cy="342265"/>
            <wp:effectExtent l="0" t="0" r="762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342265"/>
                    </a:xfrm>
                    <a:prstGeom prst="rect">
                      <a:avLst/>
                    </a:prstGeom>
                  </pic:spPr>
                </pic:pic>
              </a:graphicData>
            </a:graphic>
          </wp:inline>
        </w:drawing>
      </w:r>
      <w:r w:rsidRPr="00AB4284">
        <w:rPr>
          <w:rFonts w:ascii="Palatino Linotype" w:hAnsi="Palatino Linotype"/>
          <w:noProof/>
          <w:sz w:val="22"/>
          <w:szCs w:val="22"/>
        </w:rPr>
        <w:drawing>
          <wp:inline distT="0" distB="0" distL="0" distR="0" wp14:anchorId="745D7B10" wp14:editId="74BE4534">
            <wp:extent cx="5612130" cy="360680"/>
            <wp:effectExtent l="0" t="0" r="762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360680"/>
                    </a:xfrm>
                    <a:prstGeom prst="rect">
                      <a:avLst/>
                    </a:prstGeom>
                  </pic:spPr>
                </pic:pic>
              </a:graphicData>
            </a:graphic>
          </wp:inline>
        </w:drawing>
      </w:r>
      <w:r w:rsidRPr="00AB4284">
        <w:rPr>
          <w:rFonts w:ascii="Palatino Linotype" w:hAnsi="Palatino Linotype"/>
          <w:noProof/>
          <w:sz w:val="22"/>
          <w:szCs w:val="22"/>
        </w:rPr>
        <w:drawing>
          <wp:inline distT="0" distB="0" distL="0" distR="0" wp14:anchorId="34A1159A" wp14:editId="1D0A7BAF">
            <wp:extent cx="5612130" cy="32448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24485"/>
                    </a:xfrm>
                    <a:prstGeom prst="rect">
                      <a:avLst/>
                    </a:prstGeom>
                  </pic:spPr>
                </pic:pic>
              </a:graphicData>
            </a:graphic>
          </wp:inline>
        </w:drawing>
      </w:r>
    </w:p>
    <w:p w14:paraId="222270E0" w14:textId="16E0495F" w:rsidR="007E38E2" w:rsidRPr="00AB4284" w:rsidRDefault="007E38E2" w:rsidP="007E38E2">
      <w:pPr>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Por consiguiente, ambos Sujetos Obligados deben cumplir con las obligaciones, procesos, procedimientos y responsabilidades establecidas en la Ley General de Transparencia y Acceso a la Información Pública, la Ley de Transparencia Local y demás ordenamientos jurídicos de la materia, en los sistemas que se determinen, además de fomentar la Transparencia, el ejercicio del Derecho de Acceso a la Información Pública y la eficiencia de los Sujetos Obligados, así como la participación ciudadana.</w:t>
      </w:r>
    </w:p>
    <w:p w14:paraId="1E5102B7" w14:textId="4F5B0DF2" w:rsidR="007E38E2" w:rsidRPr="00AB4284" w:rsidRDefault="00911AB2" w:rsidP="007E38E2">
      <w:pPr>
        <w:spacing w:before="240" w:after="240" w:line="360" w:lineRule="auto"/>
        <w:jc w:val="both"/>
        <w:rPr>
          <w:rFonts w:ascii="Palatino Linotype" w:eastAsia="Palatino Linotype" w:hAnsi="Palatino Linotype" w:cs="Palatino Linotype"/>
          <w:b/>
          <w:bCs/>
          <w:sz w:val="22"/>
          <w:szCs w:val="22"/>
          <w:u w:val="single"/>
        </w:rPr>
      </w:pPr>
      <w:r w:rsidRPr="00AB4284">
        <w:rPr>
          <w:rFonts w:ascii="Palatino Linotype" w:eastAsia="Palatino Linotype" w:hAnsi="Palatino Linotype" w:cs="Palatino Linotype"/>
          <w:sz w:val="22"/>
          <w:szCs w:val="22"/>
        </w:rPr>
        <w:t>En este tenor</w:t>
      </w:r>
      <w:r w:rsidR="007E38E2" w:rsidRPr="00AB4284">
        <w:rPr>
          <w:rFonts w:ascii="Palatino Linotype" w:eastAsia="Palatino Linotype" w:hAnsi="Palatino Linotype" w:cs="Palatino Linotype"/>
          <w:sz w:val="22"/>
          <w:szCs w:val="22"/>
        </w:rPr>
        <w:t xml:space="preserve">, toda vez que el </w:t>
      </w:r>
      <w:r w:rsidR="007E38E2" w:rsidRPr="00AB4284">
        <w:rPr>
          <w:rFonts w:ascii="Palatino Linotype" w:eastAsia="Palatino Linotype" w:hAnsi="Palatino Linotype" w:cs="Palatino Linotype"/>
          <w:b/>
          <w:bCs/>
          <w:sz w:val="22"/>
          <w:szCs w:val="22"/>
          <w:u w:val="single"/>
        </w:rPr>
        <w:t>Instituto Municipal de Cultura Física y Deporte de Tepotzotlán, es responsable de transparentar la información que en ejercicio de las atribuciones genere, administre y/o posea a través de sus unidades administrativas, es posible advertir que el ayuntamiento no cuenta con competencia para proporcionar información que le compete a aquel.</w:t>
      </w:r>
    </w:p>
    <w:p w14:paraId="24E1E8F2" w14:textId="237070E0" w:rsidR="007E38E2" w:rsidRPr="00AB4284" w:rsidRDefault="00911AB2" w:rsidP="007E38E2">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Bajo las consideraciones expuestas,</w:t>
      </w:r>
      <w:r w:rsidR="007E38E2"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sz w:val="22"/>
          <w:szCs w:val="22"/>
        </w:rPr>
        <w:t>se colige</w:t>
      </w:r>
      <w:r w:rsidR="007E38E2" w:rsidRPr="00AB4284">
        <w:rPr>
          <w:rFonts w:ascii="Palatino Linotype" w:eastAsia="Palatino Linotype" w:hAnsi="Palatino Linotype" w:cs="Palatino Linotype"/>
          <w:sz w:val="22"/>
          <w:szCs w:val="22"/>
        </w:rPr>
        <w:t xml:space="preserve"> que existe una evidente incompetencia por parte del </w:t>
      </w:r>
      <w:r w:rsidR="007E38E2" w:rsidRPr="00AB4284">
        <w:rPr>
          <w:rFonts w:ascii="Palatino Linotype" w:eastAsia="Palatino Linotype" w:hAnsi="Palatino Linotype" w:cs="Palatino Linotype"/>
          <w:b/>
          <w:sz w:val="22"/>
          <w:szCs w:val="22"/>
        </w:rPr>
        <w:t>Sujeto Obligado</w:t>
      </w:r>
      <w:r w:rsidR="007E38E2" w:rsidRPr="00AB4284">
        <w:rPr>
          <w:rFonts w:ascii="Palatino Linotype" w:eastAsia="Palatino Linotype" w:hAnsi="Palatino Linotype" w:cs="Palatino Linotype"/>
          <w:sz w:val="22"/>
          <w:szCs w:val="22"/>
        </w:rPr>
        <w:t xml:space="preserve"> para satisfacer lo solicitado, en términos del Criterio orientador con Clave de control SO/013/2017 emitido por el entonces Pleno del Instituto Nacional de Transparencia, Acceso a la Información y Protección de Datos Personales, el cual, para pronta referencia se reproduce a continuación:</w:t>
      </w:r>
    </w:p>
    <w:p w14:paraId="09B243D0" w14:textId="77777777" w:rsidR="007E38E2" w:rsidRPr="00AB4284" w:rsidRDefault="007E38E2" w:rsidP="007E38E2">
      <w:pPr>
        <w:spacing w:before="120" w:after="120"/>
        <w:ind w:left="851" w:right="851"/>
        <w:jc w:val="both"/>
        <w:rPr>
          <w:rFonts w:ascii="Palatino Linotype" w:eastAsia="Palatino Linotype" w:hAnsi="Palatino Linotype" w:cs="Palatino Linotype"/>
          <w:i/>
          <w:sz w:val="22"/>
          <w:szCs w:val="22"/>
        </w:rPr>
      </w:pPr>
      <w:r w:rsidRPr="00AB4284">
        <w:rPr>
          <w:rFonts w:ascii="Palatino Linotype" w:eastAsia="Palatino Linotype" w:hAnsi="Palatino Linotype" w:cs="Palatino Linotype"/>
          <w:b/>
          <w:i/>
          <w:sz w:val="22"/>
          <w:szCs w:val="22"/>
        </w:rPr>
        <w:t>“Incompetencia. La incompetencia implica la ausencia de atribuciones del sujeto obligado para poseer la información solicitada</w:t>
      </w:r>
      <w:r w:rsidRPr="00AB4284">
        <w:rPr>
          <w:rFonts w:ascii="Palatino Linotype" w:eastAsia="Palatino Linotype" w:hAnsi="Palatino Linotype" w:cs="Palatino Linotype"/>
          <w:i/>
          <w:sz w:val="22"/>
          <w:szCs w:val="22"/>
        </w:rPr>
        <w:t xml:space="preserve">; es decir, se trata de una cuestión de derecho, </w:t>
      </w:r>
      <w:r w:rsidRPr="00AB4284">
        <w:rPr>
          <w:rFonts w:ascii="Palatino Linotype" w:eastAsia="Palatino Linotype" w:hAnsi="Palatino Linotype" w:cs="Palatino Linotype"/>
          <w:b/>
          <w:i/>
          <w:sz w:val="22"/>
          <w:szCs w:val="22"/>
        </w:rPr>
        <w:t>en tanto que no existan facultades para contar con lo requerido</w:t>
      </w:r>
      <w:r w:rsidRPr="00AB4284">
        <w:rPr>
          <w:rFonts w:ascii="Palatino Linotype" w:eastAsia="Palatino Linotype" w:hAnsi="Palatino Linotype" w:cs="Palatino Linotype"/>
          <w:i/>
          <w:sz w:val="22"/>
          <w:szCs w:val="22"/>
        </w:rPr>
        <w:t>; por lo que la incompetencia es una cualidad atribuida al sujeto obligado que la declara.”</w:t>
      </w:r>
    </w:p>
    <w:p w14:paraId="084A713A" w14:textId="064ABEC1" w:rsidR="007E38E2" w:rsidRPr="00AB4284" w:rsidRDefault="00911AB2" w:rsidP="007E38E2">
      <w:pPr>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rPr>
        <w:t xml:space="preserve">Por consiguiente </w:t>
      </w:r>
      <w:r w:rsidR="007E38E2" w:rsidRPr="00AB4284">
        <w:rPr>
          <w:rFonts w:ascii="Palatino Linotype" w:eastAsia="Palatino Linotype" w:hAnsi="Palatino Linotype" w:cs="Palatino Linotype"/>
          <w:sz w:val="22"/>
          <w:szCs w:val="22"/>
          <w:lang w:eastAsia="en-US"/>
        </w:rPr>
        <w:t>no es procedente la entrega de información alguna para atender la solicitud de información, bajo la premisa de que los Sujetos Obligados sólo deben proporcionar aquella información que hubieran generado en el ejercicio de sus atribuciones y que obre en sus archivos, de conformidad con lo establecido en el artículo 12 de la Ley de Transparencia y Acceso a la Información Pública del Estado de México y Municipios, de aplicación supletoria, lo que a</w:t>
      </w:r>
      <w:r w:rsidR="007E38E2" w:rsidRPr="00AB4284">
        <w:rPr>
          <w:rFonts w:ascii="Palatino Linotype" w:eastAsia="Palatino Linotype" w:hAnsi="Palatino Linotype" w:cs="Palatino Linotype"/>
          <w:i/>
          <w:sz w:val="22"/>
          <w:szCs w:val="22"/>
          <w:lang w:eastAsia="en-US"/>
        </w:rPr>
        <w:t xml:space="preserve"> contrario sensu</w:t>
      </w:r>
      <w:r w:rsidR="007E38E2" w:rsidRPr="00AB4284">
        <w:rPr>
          <w:rFonts w:ascii="Palatino Linotype" w:eastAsia="Palatino Linotype" w:hAnsi="Palatino Linotype" w:cs="Palatino Linotype"/>
          <w:sz w:val="22"/>
          <w:szCs w:val="22"/>
          <w:lang w:eastAsia="en-US"/>
        </w:rPr>
        <w:t xml:space="preserve"> significa que no se está obligado a proporcionar lo que no obre en sus archivos, en consecuencia,  el pronunciamiento vertido por la Unidad de Transparencia, es suficiente para tener por atendidos los requerimientos de información. </w:t>
      </w:r>
    </w:p>
    <w:p w14:paraId="2AE68135" w14:textId="77777777" w:rsidR="007E38E2" w:rsidRPr="00AB4284" w:rsidRDefault="007E38E2" w:rsidP="007E38E2">
      <w:pPr>
        <w:spacing w:after="200" w:line="360" w:lineRule="auto"/>
        <w:ind w:right="49"/>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 xml:space="preserve">Dicho lo anterior, respecto a la Declaración de Incompetencia, la Ley de Transparencia y Acceso a la Información Pública del Estado de México, de aplicación supletoria, establece en los artículos 49, fracción II y 167, lo siguiente: </w:t>
      </w:r>
    </w:p>
    <w:p w14:paraId="67F79E80" w14:textId="77777777" w:rsidR="007E38E2" w:rsidRPr="00AB4284" w:rsidRDefault="007E38E2" w:rsidP="00911AB2">
      <w:pPr>
        <w:tabs>
          <w:tab w:val="left" w:pos="1134"/>
          <w:tab w:val="left" w:pos="1276"/>
        </w:tabs>
        <w:spacing w:before="120" w:after="120"/>
        <w:ind w:left="567" w:right="902"/>
        <w:jc w:val="both"/>
        <w:rPr>
          <w:rFonts w:ascii="Palatino Linotype" w:eastAsia="Palatino Linotype" w:hAnsi="Palatino Linotype" w:cs="Palatino Linotype"/>
          <w:i/>
          <w:sz w:val="22"/>
          <w:szCs w:val="22"/>
          <w:lang w:eastAsia="en-US"/>
        </w:rPr>
      </w:pPr>
      <w:r w:rsidRPr="00AB4284">
        <w:rPr>
          <w:rFonts w:ascii="Palatino Linotype" w:eastAsia="Palatino Linotype" w:hAnsi="Palatino Linotype" w:cs="Palatino Linotype"/>
          <w:i/>
          <w:sz w:val="22"/>
          <w:szCs w:val="22"/>
          <w:lang w:eastAsia="en-US"/>
        </w:rPr>
        <w:t>“</w:t>
      </w:r>
      <w:r w:rsidRPr="00AB4284">
        <w:rPr>
          <w:rFonts w:ascii="Palatino Linotype" w:eastAsia="Palatino Linotype" w:hAnsi="Palatino Linotype" w:cs="Palatino Linotype"/>
          <w:b/>
          <w:i/>
          <w:sz w:val="22"/>
          <w:szCs w:val="22"/>
          <w:lang w:eastAsia="en-US"/>
        </w:rPr>
        <w:t>Artículo 49.</w:t>
      </w:r>
      <w:r w:rsidRPr="00AB4284">
        <w:rPr>
          <w:rFonts w:ascii="Palatino Linotype" w:eastAsia="Palatino Linotype" w:hAnsi="Palatino Linotype" w:cs="Palatino Linotype"/>
          <w:i/>
          <w:sz w:val="22"/>
          <w:szCs w:val="22"/>
          <w:lang w:eastAsia="en-US"/>
        </w:rPr>
        <w:t xml:space="preserve"> </w:t>
      </w:r>
      <w:r w:rsidRPr="00AB4284">
        <w:rPr>
          <w:rFonts w:ascii="Palatino Linotype" w:eastAsia="Palatino Linotype" w:hAnsi="Palatino Linotype" w:cs="Palatino Linotype"/>
          <w:b/>
          <w:i/>
          <w:sz w:val="22"/>
          <w:szCs w:val="22"/>
          <w:lang w:eastAsia="en-US"/>
        </w:rPr>
        <w:t>Los Comités de Transparencia</w:t>
      </w:r>
      <w:r w:rsidRPr="00AB4284">
        <w:rPr>
          <w:rFonts w:ascii="Palatino Linotype" w:eastAsia="Palatino Linotype" w:hAnsi="Palatino Linotype" w:cs="Palatino Linotype"/>
          <w:i/>
          <w:sz w:val="22"/>
          <w:szCs w:val="22"/>
          <w:lang w:eastAsia="en-US"/>
        </w:rPr>
        <w:t xml:space="preserve"> tendrán las siguientes atribuciones:</w:t>
      </w:r>
    </w:p>
    <w:p w14:paraId="218882F2" w14:textId="77777777" w:rsidR="007E38E2" w:rsidRPr="00AB4284" w:rsidRDefault="007E38E2" w:rsidP="00911AB2">
      <w:pPr>
        <w:tabs>
          <w:tab w:val="left" w:pos="1134"/>
        </w:tabs>
        <w:spacing w:before="120" w:after="120"/>
        <w:ind w:left="567" w:right="902"/>
        <w:jc w:val="both"/>
        <w:rPr>
          <w:rFonts w:ascii="Palatino Linotype" w:eastAsia="Palatino Linotype" w:hAnsi="Palatino Linotype" w:cs="Palatino Linotype"/>
          <w:b/>
          <w:i/>
          <w:sz w:val="22"/>
          <w:szCs w:val="22"/>
          <w:lang w:eastAsia="en-US"/>
        </w:rPr>
      </w:pPr>
      <w:r w:rsidRPr="00AB4284">
        <w:rPr>
          <w:rFonts w:ascii="Palatino Linotype" w:eastAsia="Palatino Linotype" w:hAnsi="Palatino Linotype" w:cs="Palatino Linotype"/>
          <w:b/>
          <w:i/>
          <w:sz w:val="22"/>
          <w:szCs w:val="22"/>
          <w:lang w:eastAsia="en-US"/>
        </w:rPr>
        <w:t>...</w:t>
      </w:r>
    </w:p>
    <w:p w14:paraId="0D144DB7" w14:textId="77777777" w:rsidR="007E38E2" w:rsidRPr="00AB4284" w:rsidRDefault="007E38E2" w:rsidP="00911AB2">
      <w:pPr>
        <w:tabs>
          <w:tab w:val="left" w:pos="1134"/>
        </w:tabs>
        <w:spacing w:before="120" w:after="120"/>
        <w:ind w:left="567" w:right="902"/>
        <w:jc w:val="both"/>
        <w:rPr>
          <w:rFonts w:ascii="Palatino Linotype" w:eastAsia="Palatino Linotype" w:hAnsi="Palatino Linotype" w:cs="Palatino Linotype"/>
          <w:b/>
          <w:i/>
          <w:sz w:val="22"/>
          <w:szCs w:val="22"/>
          <w:u w:val="single"/>
          <w:lang w:eastAsia="en-US"/>
        </w:rPr>
      </w:pPr>
      <w:r w:rsidRPr="00AB4284">
        <w:rPr>
          <w:rFonts w:ascii="Palatino Linotype" w:eastAsia="Palatino Linotype" w:hAnsi="Palatino Linotype" w:cs="Palatino Linotype"/>
          <w:b/>
          <w:i/>
          <w:sz w:val="22"/>
          <w:szCs w:val="22"/>
          <w:lang w:eastAsia="en-US"/>
        </w:rPr>
        <w:t>II.</w:t>
      </w:r>
      <w:r w:rsidRPr="00AB4284">
        <w:rPr>
          <w:rFonts w:ascii="Palatino Linotype" w:hAnsi="Palatino Linotype"/>
          <w:sz w:val="22"/>
          <w:szCs w:val="22"/>
          <w:lang w:eastAsia="en-US"/>
        </w:rPr>
        <w:t xml:space="preserve"> </w:t>
      </w:r>
      <w:r w:rsidRPr="00AB4284">
        <w:rPr>
          <w:rFonts w:ascii="Palatino Linotype" w:eastAsia="Palatino Linotype" w:hAnsi="Palatino Linotype" w:cs="Palatino Linotype"/>
          <w:b/>
          <w:i/>
          <w:sz w:val="22"/>
          <w:szCs w:val="22"/>
          <w:lang w:eastAsia="en-US"/>
        </w:rPr>
        <w:t>Confirmar, modificar o revocar</w:t>
      </w:r>
      <w:r w:rsidRPr="00AB4284">
        <w:rPr>
          <w:rFonts w:ascii="Palatino Linotype" w:eastAsia="Palatino Linotype" w:hAnsi="Palatino Linotype" w:cs="Palatino Linotype"/>
          <w:i/>
          <w:sz w:val="22"/>
          <w:szCs w:val="22"/>
          <w:lang w:eastAsia="en-US"/>
        </w:rPr>
        <w:t xml:space="preserve"> las determinaciones que en materia de ampliación del plazo de respuesta, clasificación de la información </w:t>
      </w:r>
      <w:r w:rsidRPr="00AB4284">
        <w:rPr>
          <w:rFonts w:ascii="Palatino Linotype" w:eastAsia="Palatino Linotype" w:hAnsi="Palatino Linotype" w:cs="Palatino Linotype"/>
          <w:b/>
          <w:i/>
          <w:sz w:val="22"/>
          <w:szCs w:val="22"/>
          <w:lang w:eastAsia="en-US"/>
        </w:rPr>
        <w:t>y declaración</w:t>
      </w:r>
      <w:r w:rsidRPr="00AB4284">
        <w:rPr>
          <w:rFonts w:ascii="Palatino Linotype" w:eastAsia="Palatino Linotype" w:hAnsi="Palatino Linotype" w:cs="Palatino Linotype"/>
          <w:i/>
          <w:sz w:val="22"/>
          <w:szCs w:val="22"/>
          <w:lang w:eastAsia="en-US"/>
        </w:rPr>
        <w:t xml:space="preserve"> de inexistencia o </w:t>
      </w:r>
      <w:r w:rsidRPr="00AB4284">
        <w:rPr>
          <w:rFonts w:ascii="Palatino Linotype" w:eastAsia="Palatino Linotype" w:hAnsi="Palatino Linotype" w:cs="Palatino Linotype"/>
          <w:b/>
          <w:i/>
          <w:sz w:val="22"/>
          <w:szCs w:val="22"/>
          <w:lang w:eastAsia="en-US"/>
        </w:rPr>
        <w:t>de incompetencia realicen los titulares de las áreas de los sujetos obligados;</w:t>
      </w:r>
    </w:p>
    <w:p w14:paraId="5EF62A1D" w14:textId="77777777" w:rsidR="007E38E2" w:rsidRPr="00AB4284" w:rsidRDefault="007E38E2" w:rsidP="00911AB2">
      <w:pPr>
        <w:tabs>
          <w:tab w:val="left" w:pos="1134"/>
        </w:tabs>
        <w:spacing w:before="120" w:after="120"/>
        <w:ind w:left="567" w:right="902"/>
        <w:jc w:val="both"/>
        <w:rPr>
          <w:rFonts w:ascii="Palatino Linotype" w:eastAsia="Palatino Linotype" w:hAnsi="Palatino Linotype" w:cs="Palatino Linotype"/>
          <w:b/>
          <w:i/>
          <w:sz w:val="22"/>
          <w:szCs w:val="22"/>
          <w:lang w:eastAsia="en-US"/>
        </w:rPr>
      </w:pPr>
      <w:r w:rsidRPr="00AB4284">
        <w:rPr>
          <w:rFonts w:ascii="Palatino Linotype" w:eastAsia="Palatino Linotype" w:hAnsi="Palatino Linotype" w:cs="Palatino Linotype"/>
          <w:b/>
          <w:i/>
          <w:sz w:val="22"/>
          <w:szCs w:val="22"/>
          <w:lang w:eastAsia="en-US"/>
        </w:rPr>
        <w:t>...</w:t>
      </w:r>
    </w:p>
    <w:p w14:paraId="24BA8310" w14:textId="77777777" w:rsidR="007E38E2" w:rsidRPr="00AB4284" w:rsidRDefault="007E38E2" w:rsidP="00911AB2">
      <w:pPr>
        <w:tabs>
          <w:tab w:val="left" w:pos="1134"/>
        </w:tabs>
        <w:spacing w:before="120" w:after="120"/>
        <w:ind w:left="567" w:right="902"/>
        <w:jc w:val="both"/>
        <w:rPr>
          <w:rFonts w:ascii="Palatino Linotype" w:eastAsia="Palatino Linotype" w:hAnsi="Palatino Linotype" w:cs="Palatino Linotype"/>
          <w:b/>
          <w:i/>
          <w:sz w:val="22"/>
          <w:szCs w:val="22"/>
          <w:lang w:eastAsia="en-US"/>
        </w:rPr>
      </w:pPr>
      <w:r w:rsidRPr="00AB4284">
        <w:rPr>
          <w:rFonts w:ascii="Palatino Linotype" w:eastAsia="Palatino Linotype" w:hAnsi="Palatino Linotype" w:cs="Palatino Linotype"/>
          <w:b/>
          <w:i/>
          <w:sz w:val="22"/>
          <w:szCs w:val="22"/>
          <w:lang w:eastAsia="en-US"/>
        </w:rPr>
        <w:t>Artículo 167</w:t>
      </w:r>
      <w:r w:rsidRPr="00AB4284">
        <w:rPr>
          <w:rFonts w:ascii="Palatino Linotype" w:eastAsia="Palatino Linotype" w:hAnsi="Palatino Linotype" w:cs="Palatino Linotype"/>
          <w:i/>
          <w:sz w:val="22"/>
          <w:szCs w:val="22"/>
          <w:lang w:eastAsia="en-US"/>
        </w:rPr>
        <w:t xml:space="preserve">. </w:t>
      </w:r>
      <w:r w:rsidRPr="00AB4284">
        <w:rPr>
          <w:rFonts w:ascii="Palatino Linotype" w:eastAsia="Palatino Linotype" w:hAnsi="Palatino Linotype" w:cs="Palatino Linotype"/>
          <w:b/>
          <w:i/>
          <w:sz w:val="22"/>
          <w:szCs w:val="22"/>
          <w:lang w:eastAsia="en-US"/>
        </w:rPr>
        <w:t>Cuando las unidades de transparencia determinen la notoria incompetencia</w:t>
      </w:r>
      <w:r w:rsidRPr="00AB4284">
        <w:rPr>
          <w:rFonts w:ascii="Palatino Linotype" w:eastAsia="Palatino Linotype" w:hAnsi="Palatino Linotype" w:cs="Palatino Linotype"/>
          <w:i/>
          <w:sz w:val="22"/>
          <w:szCs w:val="22"/>
          <w:lang w:eastAsia="en-US"/>
        </w:rPr>
        <w:t xml:space="preserve"> por parte de los sujetos obligados, dentro del ámbito de aplicación, para atender la solicitud de acceso a la información, </w:t>
      </w:r>
      <w:r w:rsidRPr="00AB4284">
        <w:rPr>
          <w:rFonts w:ascii="Palatino Linotype" w:eastAsia="Palatino Linotype" w:hAnsi="Palatino Linotype" w:cs="Palatino Linotype"/>
          <w:b/>
          <w:i/>
          <w:sz w:val="22"/>
          <w:szCs w:val="22"/>
          <w:lang w:eastAsia="en-US"/>
        </w:rPr>
        <w:t>deberán comunicarlo al solicitante, dentro de los tres días hábiles posteriores a la recepción de la solicitud</w:t>
      </w:r>
      <w:r w:rsidRPr="00AB4284">
        <w:rPr>
          <w:rFonts w:ascii="Palatino Linotype" w:eastAsia="Palatino Linotype" w:hAnsi="Palatino Linotype" w:cs="Palatino Linotype"/>
          <w:i/>
          <w:sz w:val="22"/>
          <w:szCs w:val="22"/>
          <w:lang w:eastAsia="en-US"/>
        </w:rPr>
        <w:t xml:space="preserve"> y, </w:t>
      </w:r>
      <w:r w:rsidRPr="00AB4284">
        <w:rPr>
          <w:rFonts w:ascii="Palatino Linotype" w:eastAsia="Palatino Linotype" w:hAnsi="Palatino Linotype" w:cs="Palatino Linotype"/>
          <w:b/>
          <w:i/>
          <w:sz w:val="22"/>
          <w:szCs w:val="22"/>
          <w:lang w:eastAsia="en-US"/>
        </w:rPr>
        <w:t>en su caso orientar al solicitante, el o los sujetos obligados competentes.”</w:t>
      </w:r>
    </w:p>
    <w:p w14:paraId="2242BF33" w14:textId="77777777"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b/>
          <w:sz w:val="22"/>
          <w:szCs w:val="22"/>
          <w:lang w:eastAsia="en-US"/>
        </w:rPr>
      </w:pPr>
      <w:r w:rsidRPr="00AB4284">
        <w:rPr>
          <w:rFonts w:ascii="Palatino Linotype" w:eastAsia="Palatino Linotype" w:hAnsi="Palatino Linotype" w:cs="Palatino Linotype"/>
          <w:sz w:val="22"/>
          <w:szCs w:val="22"/>
          <w:lang w:eastAsia="en-US"/>
        </w:rPr>
        <w:t>De los preceptos citados se desprende que es atribución del Comité de Transparencia confirmar, modificar o revocar, en su caso, la declaración de incompetencia,</w:t>
      </w:r>
      <w:r w:rsidRPr="00AB4284">
        <w:rPr>
          <w:rFonts w:ascii="Palatino Linotype" w:eastAsia="Palatino Linotype" w:hAnsi="Palatino Linotype" w:cs="Palatino Linotype"/>
          <w:b/>
          <w:sz w:val="22"/>
          <w:szCs w:val="22"/>
          <w:lang w:eastAsia="en-US"/>
        </w:rPr>
        <w:t xml:space="preserve"> en aquellos casos en los que no se trate de una notoria incompetencia. </w:t>
      </w:r>
    </w:p>
    <w:p w14:paraId="75ADDED1" w14:textId="77777777"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sz w:val="22"/>
          <w:szCs w:val="22"/>
          <w:u w:val="single"/>
          <w:lang w:eastAsia="en-US"/>
        </w:rPr>
      </w:pPr>
      <w:r w:rsidRPr="00AB4284">
        <w:rPr>
          <w:rFonts w:ascii="Palatino Linotype" w:eastAsia="Palatino Linotype" w:hAnsi="Palatino Linotype" w:cs="Palatino Linotype"/>
          <w:sz w:val="22"/>
          <w:szCs w:val="22"/>
          <w:lang w:eastAsia="en-US"/>
        </w:rPr>
        <w:t xml:space="preserve">Puesto que la Ley también prevé que dicho acuerdo no es necesario cuando la Unidad de Transparencia determine que la incompetencia es notoria dando un plazo de tres días hábiles para hacerlo del conocimiento de la persona solicitante. En otras palabras, la Ley de la Materia confiere a las Unidades de Transparencia la posibilidad de notificar la incompetencia cuando ésta sea notoria, siendo innecesario que dicha circunstancia sea sometida a consideración de los integrantes del Comité de Transparencia </w:t>
      </w:r>
      <w:r w:rsidRPr="00AB4284">
        <w:rPr>
          <w:rFonts w:ascii="Palatino Linotype" w:eastAsia="Palatino Linotype" w:hAnsi="Palatino Linotype" w:cs="Palatino Linotype"/>
          <w:sz w:val="22"/>
          <w:szCs w:val="22"/>
          <w:u w:val="single"/>
          <w:lang w:eastAsia="en-US"/>
        </w:rPr>
        <w:t xml:space="preserve">para su aprobación. </w:t>
      </w:r>
    </w:p>
    <w:p w14:paraId="2A49E938" w14:textId="6DD7DA6B"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 xml:space="preserve">Como sustento de lo anterior, resulta aplicable el Criterio </w:t>
      </w:r>
      <w:r w:rsidR="00911AB2" w:rsidRPr="00AB4284">
        <w:rPr>
          <w:rFonts w:ascii="Palatino Linotype" w:eastAsia="Palatino Linotype" w:hAnsi="Palatino Linotype" w:cs="Palatino Linotype"/>
          <w:sz w:val="22"/>
          <w:szCs w:val="22"/>
          <w:lang w:eastAsia="en-US"/>
        </w:rPr>
        <w:t>o</w:t>
      </w:r>
      <w:r w:rsidRPr="00AB4284">
        <w:rPr>
          <w:rFonts w:ascii="Palatino Linotype" w:eastAsia="Palatino Linotype" w:hAnsi="Palatino Linotype" w:cs="Palatino Linotype"/>
          <w:sz w:val="22"/>
          <w:szCs w:val="22"/>
          <w:lang w:eastAsia="en-US"/>
        </w:rPr>
        <w:t>rientador</w:t>
      </w:r>
      <w:r w:rsidR="00911AB2" w:rsidRPr="00AB4284">
        <w:rPr>
          <w:rFonts w:ascii="Palatino Linotype" w:eastAsia="Palatino Linotype" w:hAnsi="Palatino Linotype" w:cs="Palatino Linotype"/>
          <w:sz w:val="22"/>
          <w:szCs w:val="22"/>
          <w:lang w:eastAsia="en-US"/>
        </w:rPr>
        <w:t xml:space="preserve"> con clave de control</w:t>
      </w:r>
      <w:r w:rsidRPr="00AB4284">
        <w:rPr>
          <w:rFonts w:ascii="Palatino Linotype" w:eastAsia="Palatino Linotype" w:hAnsi="Palatino Linotype" w:cs="Palatino Linotype"/>
          <w:sz w:val="22"/>
          <w:szCs w:val="22"/>
          <w:lang w:eastAsia="en-US"/>
        </w:rPr>
        <w:t xml:space="preserve"> </w:t>
      </w:r>
      <w:r w:rsidR="00911AB2" w:rsidRPr="00AB4284">
        <w:rPr>
          <w:rFonts w:ascii="Palatino Linotype" w:eastAsia="Palatino Linotype" w:hAnsi="Palatino Linotype" w:cs="Palatino Linotype"/>
          <w:sz w:val="22"/>
          <w:szCs w:val="22"/>
          <w:lang w:eastAsia="en-US"/>
        </w:rPr>
        <w:t>SO/002/2020</w:t>
      </w:r>
      <w:r w:rsidRPr="00AB4284">
        <w:rPr>
          <w:rFonts w:ascii="Palatino Linotype" w:eastAsia="Palatino Linotype" w:hAnsi="Palatino Linotype" w:cs="Palatino Linotype"/>
          <w:sz w:val="22"/>
          <w:szCs w:val="22"/>
          <w:lang w:eastAsia="en-US"/>
        </w:rPr>
        <w:t xml:space="preserve">, emitido por el entonces Instituto Nacional de Transparencia, Acceso a la Información, y Protección de Datos Personales, INAI, que lleva por rubro y texto los siguientes:  </w:t>
      </w:r>
    </w:p>
    <w:p w14:paraId="7084D565" w14:textId="77777777" w:rsidR="007E38E2" w:rsidRPr="00AB4284" w:rsidRDefault="007E38E2" w:rsidP="002A00F2">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n-US"/>
        </w:rPr>
      </w:pPr>
      <w:r w:rsidRPr="00AB4284">
        <w:rPr>
          <w:rFonts w:ascii="Palatino Linotype" w:eastAsia="Palatino Linotype" w:hAnsi="Palatino Linotype" w:cs="Palatino Linotype"/>
          <w:b/>
          <w:i/>
          <w:sz w:val="22"/>
          <w:szCs w:val="22"/>
          <w:lang w:eastAsia="en-US"/>
        </w:rPr>
        <w:t>“Declaración de incompetencia por parte del Comité, cuando no sea notoria o manifiesta.</w:t>
      </w:r>
      <w:r w:rsidRPr="00AB4284">
        <w:rPr>
          <w:rFonts w:ascii="Palatino Linotype" w:eastAsia="Palatino Linotype" w:hAnsi="Palatino Linotype" w:cs="Palatino Linotype"/>
          <w:i/>
          <w:sz w:val="22"/>
          <w:szCs w:val="22"/>
          <w:lang w:eastAsia="en-US"/>
        </w:rPr>
        <w:t xml:space="preserve"> Cuando la normatividad que prevé las atribuciones del sujeto obligado no sea clara en delimitar su competencia respecto a lo requerido por la persona solicitante y resulte necesario efectuar un análisis mayor para determinar la incompetencia, ésta debe ser declarada por el Comité de Transparencia.”</w:t>
      </w:r>
    </w:p>
    <w:p w14:paraId="32FB6B8B" w14:textId="77777777"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AB4284">
        <w:rPr>
          <w:rFonts w:ascii="Palatino Linotype" w:eastAsia="Palatino Linotype" w:hAnsi="Palatino Linotype" w:cs="Palatino Linotype"/>
          <w:b/>
          <w:sz w:val="22"/>
          <w:szCs w:val="22"/>
          <w:lang w:eastAsia="en-US"/>
        </w:rPr>
        <w:t xml:space="preserve"> </w:t>
      </w:r>
      <w:r w:rsidRPr="00AB4284">
        <w:rPr>
          <w:rFonts w:ascii="Palatino Linotype" w:eastAsia="Palatino Linotype" w:hAnsi="Palatino Linotype" w:cs="Palatino Linotype"/>
          <w:b/>
          <w:sz w:val="22"/>
          <w:szCs w:val="22"/>
          <w:u w:val="single"/>
          <w:lang w:eastAsia="en-US"/>
        </w:rPr>
        <w:t>duda razonable sobre la administración del documento materia de la solicitud de información</w:t>
      </w:r>
      <w:r w:rsidRPr="00AB4284">
        <w:rPr>
          <w:rFonts w:ascii="Palatino Linotype" w:eastAsia="Palatino Linotype" w:hAnsi="Palatino Linotype" w:cs="Palatino Linotype"/>
          <w:sz w:val="22"/>
          <w:szCs w:val="22"/>
          <w:lang w:eastAsia="en-US"/>
        </w:rPr>
        <w:t>, como se lee enseguida:</w:t>
      </w:r>
    </w:p>
    <w:p w14:paraId="7259840B" w14:textId="77777777" w:rsidR="007E38E2" w:rsidRPr="00AB4284" w:rsidRDefault="007E38E2" w:rsidP="00893A31">
      <w:pPr>
        <w:tabs>
          <w:tab w:val="left" w:pos="1418"/>
        </w:tabs>
        <w:spacing w:before="120" w:after="120"/>
        <w:ind w:left="851" w:right="902"/>
        <w:jc w:val="both"/>
        <w:rPr>
          <w:rFonts w:ascii="Palatino Linotype" w:eastAsia="Palatino Linotype" w:hAnsi="Palatino Linotype" w:cs="Palatino Linotype"/>
          <w:i/>
          <w:sz w:val="22"/>
          <w:szCs w:val="22"/>
          <w:lang w:eastAsia="en-US"/>
        </w:rPr>
      </w:pPr>
      <w:r w:rsidRPr="00AB4284">
        <w:rPr>
          <w:rFonts w:ascii="Palatino Linotype" w:eastAsia="Palatino Linotype" w:hAnsi="Palatino Linotype" w:cs="Palatino Linotype"/>
          <w:b/>
          <w:i/>
          <w:sz w:val="22"/>
          <w:szCs w:val="22"/>
          <w:lang w:eastAsia="en-US"/>
        </w:rPr>
        <w:t xml:space="preserve">“DECLARATORIA DE INCOMPETENCIA DEL SUJETO OBLIGADO. SUPUESTO PARA CONFIRMARLA POR ACUERDO DEL COMITÉ DE TRANSPARENCIA. </w:t>
      </w:r>
      <w:r w:rsidRPr="00AB4284">
        <w:rPr>
          <w:rFonts w:ascii="Palatino Linotype" w:eastAsia="Palatino Linotype" w:hAnsi="Palatino Linotype" w:cs="Palatino Linotype"/>
          <w:i/>
          <w:sz w:val="22"/>
          <w:szCs w:val="22"/>
          <w:lang w:eastAsia="en-US"/>
        </w:rPr>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AB4284">
        <w:rPr>
          <w:rFonts w:ascii="Palatino Linotype" w:eastAsia="Palatino Linotype" w:hAnsi="Palatino Linotype" w:cs="Palatino Linotype"/>
          <w:b/>
          <w:i/>
          <w:sz w:val="22"/>
          <w:szCs w:val="22"/>
          <w:lang w:eastAsia="en-US"/>
        </w:rPr>
        <w:t xml:space="preserve">al ejercer el derecho de acceso a la información pública cabe la posibilidad de que existan atribuciones concurrentes entre dos o más Sujetos Obligados que </w:t>
      </w:r>
      <w:r w:rsidRPr="00AB4284">
        <w:rPr>
          <w:rFonts w:ascii="Palatino Linotype" w:eastAsia="Palatino Linotype" w:hAnsi="Palatino Linotype" w:cs="Palatino Linotype"/>
          <w:b/>
          <w:i/>
          <w:sz w:val="22"/>
          <w:szCs w:val="22"/>
          <w:u w:val="single"/>
          <w:lang w:eastAsia="en-US"/>
        </w:rPr>
        <w:t>impiden determinar dentro del término legal de tres días hábiles</w:t>
      </w:r>
      <w:r w:rsidRPr="00AB4284">
        <w:rPr>
          <w:rFonts w:ascii="Palatino Linotype" w:eastAsia="Palatino Linotype" w:hAnsi="Palatino Linotype" w:cs="Palatino Linotype"/>
          <w:b/>
          <w:i/>
          <w:sz w:val="22"/>
          <w:szCs w:val="22"/>
          <w:lang w:eastAsia="en-US"/>
        </w:rPr>
        <w:t>, si se posee o no la información por el Sujeto Obligado requerid</w:t>
      </w:r>
      <w:r w:rsidRPr="00AB4284">
        <w:rPr>
          <w:rFonts w:ascii="Palatino Linotype" w:eastAsia="Palatino Linotype" w:hAnsi="Palatino Linotype" w:cs="Palatino Linotype"/>
          <w:i/>
          <w:sz w:val="22"/>
          <w:szCs w:val="22"/>
          <w:lang w:eastAsia="en-US"/>
        </w:rPr>
        <w:t>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6F2B7DF3" w14:textId="72D28561"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 xml:space="preserve">En el caso particular, dado que se ha demostrado que la incompetencia del </w:t>
      </w:r>
      <w:r w:rsidRPr="00AB4284">
        <w:rPr>
          <w:rFonts w:ascii="Palatino Linotype" w:eastAsia="Palatino Linotype" w:hAnsi="Palatino Linotype" w:cs="Palatino Linotype"/>
          <w:b/>
          <w:sz w:val="22"/>
          <w:szCs w:val="22"/>
          <w:lang w:eastAsia="en-US"/>
        </w:rPr>
        <w:t>Sujeto Obligado</w:t>
      </w:r>
      <w:r w:rsidRPr="00AB4284">
        <w:rPr>
          <w:rFonts w:ascii="Palatino Linotype" w:eastAsia="Palatino Linotype" w:hAnsi="Palatino Linotype" w:cs="Palatino Linotype"/>
          <w:sz w:val="22"/>
          <w:szCs w:val="22"/>
          <w:lang w:eastAsia="en-US"/>
        </w:rPr>
        <w:t xml:space="preserve"> es notoria, resulta innecesaria la emisión de una declaratoria formal de incompetencia a través del Comité de Transparencia.</w:t>
      </w:r>
    </w:p>
    <w:p w14:paraId="728BB91A" w14:textId="2F85FE0C" w:rsidR="007E38E2" w:rsidRPr="00AB4284" w:rsidRDefault="007E38E2" w:rsidP="007E38E2">
      <w:pPr>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 xml:space="preserve">Atento a lo anterior, se dejan a salvo los derechos de la parte </w:t>
      </w:r>
      <w:r w:rsidRPr="00AB4284">
        <w:rPr>
          <w:rFonts w:ascii="Palatino Linotype" w:eastAsia="Palatino Linotype" w:hAnsi="Palatino Linotype" w:cs="Palatino Linotype"/>
          <w:b/>
          <w:sz w:val="22"/>
          <w:szCs w:val="22"/>
          <w:lang w:eastAsia="en-US"/>
        </w:rPr>
        <w:t>Recurrente</w:t>
      </w:r>
      <w:r w:rsidRPr="00AB4284">
        <w:rPr>
          <w:rFonts w:ascii="Palatino Linotype" w:eastAsia="Palatino Linotype" w:hAnsi="Palatino Linotype" w:cs="Palatino Linotype"/>
          <w:sz w:val="22"/>
          <w:szCs w:val="22"/>
          <w:lang w:eastAsia="en-US"/>
        </w:rPr>
        <w:t xml:space="preserve"> para que, en caso de c</w:t>
      </w:r>
      <w:r w:rsidR="002A00F2" w:rsidRPr="00AB4284">
        <w:rPr>
          <w:rFonts w:ascii="Palatino Linotype" w:eastAsia="Palatino Linotype" w:hAnsi="Palatino Linotype" w:cs="Palatino Linotype"/>
          <w:sz w:val="22"/>
          <w:szCs w:val="22"/>
          <w:lang w:eastAsia="en-US"/>
        </w:rPr>
        <w:t>onsiderarlo oportuno formule la solicitud de información ante el Sujeto</w:t>
      </w:r>
      <w:r w:rsidRPr="00AB4284">
        <w:rPr>
          <w:rFonts w:ascii="Palatino Linotype" w:eastAsia="Palatino Linotype" w:hAnsi="Palatino Linotype" w:cs="Palatino Linotype"/>
          <w:sz w:val="22"/>
          <w:szCs w:val="22"/>
          <w:lang w:eastAsia="en-US"/>
        </w:rPr>
        <w:t xml:space="preserve"> Obligado</w:t>
      </w:r>
      <w:r w:rsidR="002A00F2" w:rsidRPr="00AB4284">
        <w:rPr>
          <w:rFonts w:ascii="Palatino Linotype" w:eastAsia="Palatino Linotype" w:hAnsi="Palatino Linotype" w:cs="Palatino Linotype"/>
          <w:sz w:val="22"/>
          <w:szCs w:val="22"/>
          <w:lang w:eastAsia="en-US"/>
        </w:rPr>
        <w:t xml:space="preserve"> competente.</w:t>
      </w:r>
    </w:p>
    <w:p w14:paraId="754914F3" w14:textId="7BB3442E" w:rsidR="007E38E2" w:rsidRPr="00AB4284" w:rsidRDefault="007E38E2" w:rsidP="007E38E2">
      <w:pPr>
        <w:tabs>
          <w:tab w:val="left" w:pos="142"/>
          <w:tab w:val="left" w:pos="284"/>
        </w:tabs>
        <w:spacing w:before="240" w:after="240" w:line="360" w:lineRule="auto"/>
        <w:jc w:val="both"/>
        <w:rPr>
          <w:rFonts w:ascii="Palatino Linotype" w:eastAsia="Palatino Linotype" w:hAnsi="Palatino Linotype" w:cs="Palatino Linotype"/>
          <w:sz w:val="22"/>
          <w:szCs w:val="22"/>
          <w:lang w:eastAsia="en-US"/>
        </w:rPr>
      </w:pPr>
      <w:r w:rsidRPr="00AB4284">
        <w:rPr>
          <w:rFonts w:ascii="Palatino Linotype" w:eastAsia="Palatino Linotype" w:hAnsi="Palatino Linotype" w:cs="Palatino Linotype"/>
          <w:sz w:val="22"/>
          <w:szCs w:val="22"/>
          <w:lang w:eastAsia="en-US"/>
        </w:rPr>
        <w:t xml:space="preserve">Derivado de lo expuesto, dado que el </w:t>
      </w:r>
      <w:r w:rsidRPr="00AB4284">
        <w:rPr>
          <w:rFonts w:ascii="Palatino Linotype" w:eastAsia="Palatino Linotype" w:hAnsi="Palatino Linotype" w:cs="Palatino Linotype"/>
          <w:b/>
          <w:sz w:val="22"/>
          <w:szCs w:val="22"/>
          <w:lang w:eastAsia="en-US"/>
        </w:rPr>
        <w:t>Sujeto Obligado</w:t>
      </w:r>
      <w:r w:rsidRPr="00AB4284">
        <w:rPr>
          <w:rFonts w:ascii="Palatino Linotype" w:eastAsia="Palatino Linotype" w:hAnsi="Palatino Linotype" w:cs="Palatino Linotype"/>
          <w:sz w:val="22"/>
          <w:szCs w:val="22"/>
          <w:lang w:eastAsia="en-US"/>
        </w:rPr>
        <w:t xml:space="preserve"> informó de la notoria incompetencia para atender favorablemente la solicitud a la persona solicitante, asimismo le orientó al </w:t>
      </w:r>
      <w:r w:rsidR="00382908" w:rsidRPr="00AB4284">
        <w:rPr>
          <w:rFonts w:ascii="Palatino Linotype" w:eastAsia="Palatino Linotype" w:hAnsi="Palatino Linotype" w:cs="Palatino Linotype"/>
          <w:sz w:val="22"/>
          <w:szCs w:val="22"/>
        </w:rPr>
        <w:t>Instituto Municipal de Cultura Física y Deporte de Tepotzotlán</w:t>
      </w:r>
      <w:r w:rsidR="00382908" w:rsidRPr="00AB4284">
        <w:rPr>
          <w:rFonts w:ascii="Palatino Linotype" w:eastAsia="Palatino Linotype" w:hAnsi="Palatino Linotype" w:cs="Palatino Linotype"/>
          <w:sz w:val="22"/>
          <w:szCs w:val="22"/>
          <w:lang w:eastAsia="en-US"/>
        </w:rPr>
        <w:t>, como el Sujeto Obligado</w:t>
      </w:r>
      <w:r w:rsidRPr="00AB4284">
        <w:rPr>
          <w:rFonts w:ascii="Palatino Linotype" w:eastAsia="Palatino Linotype" w:hAnsi="Palatino Linotype" w:cs="Palatino Linotype"/>
          <w:sz w:val="22"/>
          <w:szCs w:val="22"/>
          <w:lang w:eastAsia="en-US"/>
        </w:rPr>
        <w:t xml:space="preserve"> competente para generar, administrar o poseer la información que es de su interés, siendo de vital importancia señalar que la facultad de orientación a las personas solicitantes para que formulen su solicitud ante el Sujeto Obligado competente es potestativa; se concluye que motivos de inconformidad de la parte </w:t>
      </w:r>
      <w:r w:rsidRPr="00AB4284">
        <w:rPr>
          <w:rFonts w:ascii="Palatino Linotype" w:eastAsia="Palatino Linotype" w:hAnsi="Palatino Linotype" w:cs="Palatino Linotype"/>
          <w:b/>
          <w:sz w:val="22"/>
          <w:szCs w:val="22"/>
          <w:lang w:eastAsia="en-US"/>
        </w:rPr>
        <w:t xml:space="preserve">Recurrente </w:t>
      </w:r>
      <w:r w:rsidRPr="00AB4284">
        <w:rPr>
          <w:rFonts w:ascii="Palatino Linotype" w:eastAsia="Palatino Linotype" w:hAnsi="Palatino Linotype" w:cs="Palatino Linotype"/>
          <w:sz w:val="22"/>
          <w:szCs w:val="22"/>
          <w:lang w:eastAsia="en-US"/>
        </w:rPr>
        <w:t xml:space="preserve">son infundados, por lo que resulta procedente </w:t>
      </w:r>
      <w:r w:rsidRPr="00AB4284">
        <w:rPr>
          <w:rFonts w:ascii="Palatino Linotype" w:eastAsia="Palatino Linotype" w:hAnsi="Palatino Linotype" w:cs="Palatino Linotype"/>
          <w:i/>
          <w:sz w:val="22"/>
          <w:szCs w:val="22"/>
          <w:lang w:eastAsia="en-US"/>
        </w:rPr>
        <w:t xml:space="preserve">confirmar </w:t>
      </w:r>
      <w:r w:rsidRPr="00AB4284">
        <w:rPr>
          <w:rFonts w:ascii="Palatino Linotype" w:eastAsia="Palatino Linotype" w:hAnsi="Palatino Linotype" w:cs="Palatino Linotype"/>
          <w:sz w:val="22"/>
          <w:szCs w:val="22"/>
          <w:lang w:eastAsia="en-US"/>
        </w:rPr>
        <w:t xml:space="preserve">la respuesta proporcionada a la solicitud de información </w:t>
      </w:r>
      <w:r w:rsidR="00382908" w:rsidRPr="00AB4284">
        <w:rPr>
          <w:rFonts w:ascii="Palatino Linotype" w:eastAsia="Palatino Linotype" w:hAnsi="Palatino Linotype" w:cs="Palatino Linotype"/>
          <w:b/>
          <w:sz w:val="22"/>
          <w:szCs w:val="22"/>
          <w:lang w:eastAsia="en-US"/>
        </w:rPr>
        <w:t>01570/TEPOTZOT/IP/2025</w:t>
      </w:r>
      <w:r w:rsidRPr="00AB4284">
        <w:rPr>
          <w:rFonts w:ascii="Palatino Linotype" w:eastAsia="Palatino Linotype" w:hAnsi="Palatino Linotype" w:cs="Palatino Linotype"/>
          <w:sz w:val="22"/>
          <w:szCs w:val="22"/>
          <w:lang w:eastAsia="en-US"/>
        </w:rPr>
        <w:t>.</w:t>
      </w:r>
    </w:p>
    <w:p w14:paraId="4368008A" w14:textId="77777777" w:rsidR="00331A87" w:rsidRPr="00AB4284" w:rsidRDefault="00331A87" w:rsidP="00331A87">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Así, con fundamento en lo prescrito en los artículos 5 párrafos cuadragésimo cuarto, cuadragésimo quinto cuadragésimo sexto,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0B4B5E69" w14:textId="77777777" w:rsidR="00694AA0" w:rsidRPr="00AB4284" w:rsidRDefault="005B22BA">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AB4284">
        <w:rPr>
          <w:rFonts w:ascii="Palatino Linotype" w:eastAsia="Palatino Linotype" w:hAnsi="Palatino Linotype" w:cs="Palatino Linotype"/>
          <w:b/>
          <w:sz w:val="22"/>
          <w:szCs w:val="22"/>
        </w:rPr>
        <w:t>III. R E S U E L V E</w:t>
      </w:r>
    </w:p>
    <w:p w14:paraId="38D40968" w14:textId="451F0089" w:rsidR="00382908" w:rsidRPr="00AB4284" w:rsidRDefault="00382908" w:rsidP="00382908">
      <w:pPr>
        <w:spacing w:before="240" w:after="240" w:line="360" w:lineRule="auto"/>
        <w:jc w:val="both"/>
        <w:rPr>
          <w:rFonts w:ascii="Palatino Linotype" w:eastAsia="Palatino Linotype" w:hAnsi="Palatino Linotype" w:cs="Palatino Linotype"/>
          <w:sz w:val="22"/>
          <w:szCs w:val="22"/>
        </w:rPr>
      </w:pPr>
      <w:bookmarkStart w:id="7" w:name="_heading=h.26in1rg" w:colFirst="0" w:colLast="0"/>
      <w:bookmarkStart w:id="8" w:name="_heading=h.lnxbz9" w:colFirst="0" w:colLast="0"/>
      <w:bookmarkEnd w:id="7"/>
      <w:bookmarkEnd w:id="8"/>
      <w:r w:rsidRPr="00AB4284">
        <w:rPr>
          <w:rFonts w:ascii="Palatino Linotype" w:eastAsia="Palatino Linotype" w:hAnsi="Palatino Linotype" w:cs="Palatino Linotype"/>
          <w:b/>
          <w:bCs/>
          <w:sz w:val="22"/>
          <w:szCs w:val="22"/>
        </w:rPr>
        <w:t xml:space="preserve">Primero. </w:t>
      </w:r>
      <w:r w:rsidRPr="00AB4284">
        <w:rPr>
          <w:rFonts w:ascii="Palatino Linotype" w:eastAsia="Palatino Linotype" w:hAnsi="Palatino Linotype" w:cs="Palatino Linotype"/>
          <w:sz w:val="22"/>
          <w:szCs w:val="22"/>
        </w:rPr>
        <w:t>Resultan</w:t>
      </w:r>
      <w:r w:rsidRPr="00AB4284">
        <w:rPr>
          <w:rFonts w:ascii="Palatino Linotype" w:eastAsia="Palatino Linotype" w:hAnsi="Palatino Linotype" w:cs="Palatino Linotype"/>
          <w:b/>
          <w:bCs/>
          <w:sz w:val="22"/>
          <w:szCs w:val="22"/>
        </w:rPr>
        <w:t xml:space="preserve"> infundadas</w:t>
      </w:r>
      <w:r w:rsidRPr="00AB4284">
        <w:rPr>
          <w:rFonts w:ascii="Palatino Linotype" w:eastAsia="Palatino Linotype" w:hAnsi="Palatino Linotype" w:cs="Palatino Linotype"/>
          <w:sz w:val="22"/>
          <w:szCs w:val="22"/>
        </w:rPr>
        <w:t xml:space="preserve"> las razones o motivos de inconformidad hechos valer por la parte</w:t>
      </w:r>
      <w:r w:rsidRPr="00AB4284">
        <w:rPr>
          <w:rFonts w:ascii="Palatino Linotype" w:eastAsia="Palatino Linotype" w:hAnsi="Palatino Linotype" w:cs="Palatino Linotype"/>
          <w:b/>
          <w:bCs/>
          <w:sz w:val="22"/>
          <w:szCs w:val="22"/>
        </w:rPr>
        <w:t xml:space="preserve"> Recurrente</w:t>
      </w:r>
      <w:r w:rsidRPr="00AB4284">
        <w:rPr>
          <w:rFonts w:ascii="Palatino Linotype" w:eastAsia="Palatino Linotype" w:hAnsi="Palatino Linotype" w:cs="Palatino Linotype"/>
          <w:sz w:val="22"/>
          <w:szCs w:val="22"/>
        </w:rPr>
        <w:t xml:space="preserve"> en el recurso de revisión </w:t>
      </w:r>
      <w:r w:rsidRPr="00AB4284">
        <w:rPr>
          <w:rFonts w:ascii="Palatino Linotype" w:eastAsia="Palatino Linotype" w:hAnsi="Palatino Linotype" w:cs="Palatino Linotype"/>
          <w:b/>
          <w:bCs/>
          <w:sz w:val="22"/>
          <w:szCs w:val="22"/>
        </w:rPr>
        <w:t>00024/INFOEM/IP/RR/2026</w:t>
      </w:r>
      <w:r w:rsidRPr="00AB4284">
        <w:rPr>
          <w:rFonts w:ascii="Palatino Linotype" w:eastAsia="Palatino Linotype" w:hAnsi="Palatino Linotype" w:cs="Palatino Linotype"/>
          <w:sz w:val="22"/>
          <w:szCs w:val="22"/>
        </w:rPr>
        <w:t xml:space="preserve">; por lo que, en términos del </w:t>
      </w:r>
      <w:r w:rsidRPr="00AB4284">
        <w:rPr>
          <w:rFonts w:ascii="Palatino Linotype" w:eastAsia="Palatino Linotype" w:hAnsi="Palatino Linotype" w:cs="Palatino Linotype"/>
          <w:b/>
          <w:sz w:val="22"/>
          <w:szCs w:val="22"/>
        </w:rPr>
        <w:t>Considerando</w:t>
      </w:r>
      <w:r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b/>
          <w:sz w:val="22"/>
          <w:szCs w:val="22"/>
        </w:rPr>
        <w:t xml:space="preserve">Cuarto </w:t>
      </w:r>
      <w:r w:rsidRPr="00AB4284">
        <w:rPr>
          <w:rFonts w:ascii="Palatino Linotype" w:eastAsia="Palatino Linotype" w:hAnsi="Palatino Linotype" w:cs="Palatino Linotype"/>
          <w:sz w:val="22"/>
          <w:szCs w:val="22"/>
        </w:rPr>
        <w:t xml:space="preserve">de esta resolución, se </w:t>
      </w:r>
      <w:r w:rsidRPr="00AB4284">
        <w:rPr>
          <w:rFonts w:ascii="Palatino Linotype" w:eastAsia="Palatino Linotype" w:hAnsi="Palatino Linotype" w:cs="Palatino Linotype"/>
          <w:b/>
          <w:sz w:val="22"/>
          <w:szCs w:val="22"/>
        </w:rPr>
        <w:t xml:space="preserve">Confirma </w:t>
      </w:r>
      <w:r w:rsidRPr="00AB4284">
        <w:rPr>
          <w:rFonts w:ascii="Palatino Linotype" w:eastAsia="Palatino Linotype" w:hAnsi="Palatino Linotype" w:cs="Palatino Linotype"/>
          <w:sz w:val="22"/>
          <w:szCs w:val="22"/>
        </w:rPr>
        <w:t xml:space="preserve">la respuesta emitida por el </w:t>
      </w:r>
      <w:r w:rsidRPr="00AB4284">
        <w:rPr>
          <w:rFonts w:ascii="Palatino Linotype" w:eastAsia="Palatino Linotype" w:hAnsi="Palatino Linotype" w:cs="Palatino Linotype"/>
          <w:b/>
          <w:sz w:val="22"/>
          <w:szCs w:val="22"/>
        </w:rPr>
        <w:t xml:space="preserve">Sujeto Obligado. </w:t>
      </w:r>
    </w:p>
    <w:p w14:paraId="3979B4D9" w14:textId="77777777" w:rsidR="00382908" w:rsidRPr="00AB4284" w:rsidRDefault="00382908" w:rsidP="00382908">
      <w:pPr>
        <w:spacing w:before="240" w:after="240" w:line="360" w:lineRule="auto"/>
        <w:jc w:val="both"/>
        <w:rPr>
          <w:rFonts w:ascii="Palatino Linotype" w:eastAsia="Palatino Linotype" w:hAnsi="Palatino Linotype" w:cs="Palatino Linotype"/>
          <w:sz w:val="22"/>
          <w:szCs w:val="22"/>
        </w:rPr>
      </w:pPr>
      <w:bookmarkStart w:id="9" w:name="_heading=h.4cxau4am0rpd" w:colFirst="0" w:colLast="0"/>
      <w:bookmarkEnd w:id="9"/>
      <w:r w:rsidRPr="00AB4284">
        <w:rPr>
          <w:rFonts w:ascii="Palatino Linotype" w:eastAsia="Palatino Linotype" w:hAnsi="Palatino Linotype" w:cs="Palatino Linotype"/>
          <w:b/>
          <w:sz w:val="22"/>
          <w:szCs w:val="22"/>
        </w:rPr>
        <w:t xml:space="preserve">Segundo. Notifíquese, </w:t>
      </w:r>
      <w:r w:rsidRPr="00AB4284">
        <w:rPr>
          <w:rFonts w:ascii="Palatino Linotype" w:eastAsia="Palatino Linotype" w:hAnsi="Palatino Linotype" w:cs="Palatino Linotype"/>
          <w:sz w:val="22"/>
          <w:szCs w:val="22"/>
        </w:rPr>
        <w:t>vía</w:t>
      </w:r>
      <w:r w:rsidRPr="00AB4284">
        <w:rPr>
          <w:rFonts w:ascii="Palatino Linotype" w:eastAsia="Palatino Linotype" w:hAnsi="Palatino Linotype" w:cs="Palatino Linotype"/>
          <w:b/>
          <w:sz w:val="22"/>
          <w:szCs w:val="22"/>
        </w:rPr>
        <w:t xml:space="preserve"> SAIMEX</w:t>
      </w:r>
      <w:r w:rsidRPr="00AB4284">
        <w:rPr>
          <w:rFonts w:ascii="Palatino Linotype" w:eastAsia="Palatino Linotype" w:hAnsi="Palatino Linotype" w:cs="Palatino Linotype"/>
          <w:b/>
          <w:i/>
          <w:sz w:val="22"/>
          <w:szCs w:val="22"/>
        </w:rPr>
        <w:t xml:space="preserve">, </w:t>
      </w:r>
      <w:r w:rsidRPr="00AB4284">
        <w:rPr>
          <w:rFonts w:ascii="Palatino Linotype" w:eastAsia="Palatino Linotype" w:hAnsi="Palatino Linotype" w:cs="Palatino Linotype"/>
          <w:sz w:val="22"/>
          <w:szCs w:val="22"/>
        </w:rPr>
        <w:t>la presente resolución</w:t>
      </w:r>
      <w:r w:rsidRPr="00AB4284">
        <w:rPr>
          <w:rFonts w:ascii="Palatino Linotype" w:eastAsia="Palatino Linotype" w:hAnsi="Palatino Linotype" w:cs="Palatino Linotype"/>
          <w:b/>
          <w:i/>
          <w:sz w:val="22"/>
          <w:szCs w:val="22"/>
        </w:rPr>
        <w:t xml:space="preserve"> </w:t>
      </w:r>
      <w:r w:rsidRPr="00AB4284">
        <w:rPr>
          <w:rFonts w:ascii="Palatino Linotype" w:eastAsia="Palatino Linotype" w:hAnsi="Palatino Linotype" w:cs="Palatino Linotype"/>
          <w:sz w:val="22"/>
          <w:szCs w:val="22"/>
        </w:rPr>
        <w:t xml:space="preserve">a la persona Titular de la Unidad de Transparencia del </w:t>
      </w:r>
      <w:r w:rsidRPr="00AB4284">
        <w:rPr>
          <w:rFonts w:ascii="Palatino Linotype" w:eastAsia="Palatino Linotype" w:hAnsi="Palatino Linotype" w:cs="Palatino Linotype"/>
          <w:b/>
          <w:sz w:val="22"/>
          <w:szCs w:val="22"/>
        </w:rPr>
        <w:t>Sujeto Obligado</w:t>
      </w:r>
      <w:r w:rsidRPr="00AB4284">
        <w:rPr>
          <w:rFonts w:ascii="Palatino Linotype" w:eastAsia="Palatino Linotype" w:hAnsi="Palatino Linotype" w:cs="Palatino Linotype"/>
          <w:sz w:val="22"/>
          <w:szCs w:val="22"/>
        </w:rPr>
        <w:t xml:space="preserve"> para su conocimiento, en términos del artículo 189 de la Ley de Transparencia y Acceso a la Información Pública del Estado de México y Municipios.</w:t>
      </w:r>
    </w:p>
    <w:p w14:paraId="0D1BA90D" w14:textId="77777777" w:rsidR="00382908" w:rsidRPr="00AB4284" w:rsidRDefault="00382908" w:rsidP="00382908">
      <w:pPr>
        <w:spacing w:before="240" w:after="240" w:line="360" w:lineRule="auto"/>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b/>
          <w:bCs/>
          <w:sz w:val="22"/>
          <w:szCs w:val="22"/>
        </w:rPr>
        <w:t xml:space="preserve">Tercero. Notifíquese, </w:t>
      </w:r>
      <w:r w:rsidRPr="00AB4284">
        <w:rPr>
          <w:rFonts w:ascii="Palatino Linotype" w:eastAsia="Palatino Linotype" w:hAnsi="Palatino Linotype" w:cs="Palatino Linotype"/>
          <w:sz w:val="22"/>
          <w:szCs w:val="22"/>
        </w:rPr>
        <w:t xml:space="preserve">vía </w:t>
      </w:r>
      <w:r w:rsidRPr="00AB4284">
        <w:rPr>
          <w:rFonts w:ascii="Palatino Linotype" w:eastAsia="Palatino Linotype" w:hAnsi="Palatino Linotype" w:cs="Palatino Linotype"/>
          <w:b/>
          <w:bCs/>
          <w:sz w:val="22"/>
          <w:szCs w:val="22"/>
        </w:rPr>
        <w:t>SAIMEX</w:t>
      </w:r>
      <w:r w:rsidRPr="00AB4284">
        <w:rPr>
          <w:rFonts w:ascii="Palatino Linotype" w:eastAsia="Palatino Linotype" w:hAnsi="Palatino Linotype" w:cs="Palatino Linotype"/>
          <w:sz w:val="22"/>
          <w:szCs w:val="22"/>
        </w:rPr>
        <w:t xml:space="preserve">, a la parte </w:t>
      </w:r>
      <w:r w:rsidRPr="00AB4284">
        <w:rPr>
          <w:rFonts w:ascii="Palatino Linotype" w:eastAsia="Palatino Linotype" w:hAnsi="Palatino Linotype" w:cs="Palatino Linotype"/>
          <w:b/>
          <w:bCs/>
          <w:sz w:val="22"/>
          <w:szCs w:val="22"/>
        </w:rPr>
        <w:t>Recurrente</w:t>
      </w:r>
      <w:r w:rsidRPr="00AB4284">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C146F11" w14:textId="117C92EF" w:rsidR="00694AA0" w:rsidRPr="00AB4284" w:rsidRDefault="005B22BA">
      <w:pPr>
        <w:tabs>
          <w:tab w:val="left" w:pos="8647"/>
        </w:tabs>
        <w:spacing w:before="240" w:after="240" w:line="360" w:lineRule="auto"/>
        <w:ind w:right="51"/>
        <w:jc w:val="both"/>
        <w:rPr>
          <w:rFonts w:ascii="Palatino Linotype" w:eastAsia="Palatino Linotype" w:hAnsi="Palatino Linotype" w:cs="Palatino Linotype"/>
          <w:sz w:val="22"/>
          <w:szCs w:val="22"/>
        </w:rPr>
      </w:pPr>
      <w:r w:rsidRPr="00AB4284">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w:t>
      </w:r>
      <w:r w:rsidR="00FC4683" w:rsidRPr="00AB4284">
        <w:rPr>
          <w:rFonts w:ascii="Palatino Linotype" w:eastAsia="Palatino Linotype" w:hAnsi="Palatino Linotype" w:cs="Palatino Linotype"/>
          <w:sz w:val="22"/>
          <w:szCs w:val="22"/>
        </w:rPr>
        <w:t xml:space="preserve">EÑA, EN LA </w:t>
      </w:r>
      <w:r w:rsidR="00391F5D" w:rsidRPr="00AB4284">
        <w:rPr>
          <w:rFonts w:ascii="Palatino Linotype" w:eastAsia="Palatino Linotype" w:hAnsi="Palatino Linotype" w:cs="Palatino Linotype"/>
          <w:sz w:val="22"/>
          <w:szCs w:val="22"/>
        </w:rPr>
        <w:t>OCTAVA</w:t>
      </w:r>
      <w:r w:rsidR="00FC4683"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sz w:val="22"/>
          <w:szCs w:val="22"/>
        </w:rPr>
        <w:t xml:space="preserve">SESIÓN ORDINARIA CELEBRADA EL </w:t>
      </w:r>
      <w:r w:rsidR="00391F5D" w:rsidRPr="00AB4284">
        <w:rPr>
          <w:rFonts w:ascii="Palatino Linotype" w:eastAsia="Palatino Linotype" w:hAnsi="Palatino Linotype" w:cs="Palatino Linotype"/>
          <w:sz w:val="22"/>
          <w:szCs w:val="22"/>
        </w:rPr>
        <w:t>CINCO DE MARZO</w:t>
      </w:r>
      <w:r w:rsidR="001A3D4C" w:rsidRPr="00AB4284">
        <w:rPr>
          <w:rFonts w:ascii="Palatino Linotype" w:eastAsia="Palatino Linotype" w:hAnsi="Palatino Linotype" w:cs="Palatino Linotype"/>
          <w:sz w:val="22"/>
          <w:szCs w:val="22"/>
        </w:rPr>
        <w:t xml:space="preserve"> </w:t>
      </w:r>
      <w:r w:rsidRPr="00AB4284">
        <w:rPr>
          <w:rFonts w:ascii="Palatino Linotype" w:eastAsia="Palatino Linotype" w:hAnsi="Palatino Linotype" w:cs="Palatino Linotype"/>
          <w:sz w:val="22"/>
          <w:szCs w:val="22"/>
        </w:rPr>
        <w:t>DE DOS MIL VEINTI</w:t>
      </w:r>
      <w:r w:rsidR="00382740" w:rsidRPr="00AB4284">
        <w:rPr>
          <w:rFonts w:ascii="Palatino Linotype" w:eastAsia="Palatino Linotype" w:hAnsi="Palatino Linotype" w:cs="Palatino Linotype"/>
          <w:sz w:val="22"/>
          <w:szCs w:val="22"/>
        </w:rPr>
        <w:t>SÉIS</w:t>
      </w:r>
      <w:r w:rsidRPr="00AB4284">
        <w:rPr>
          <w:rFonts w:ascii="Palatino Linotype" w:eastAsia="Palatino Linotype" w:hAnsi="Palatino Linotype" w:cs="Palatino Linotype"/>
          <w:sz w:val="22"/>
          <w:szCs w:val="22"/>
        </w:rPr>
        <w:t>, ANTE EL SECRETARIO TÉCNICO DEL PLENO ALEXIS TAPIA RAMÍREZ.</w:t>
      </w:r>
    </w:p>
    <w:p w14:paraId="36F5D5CA"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10176E8B" w14:textId="77777777" w:rsidR="00694AA0" w:rsidRPr="00AB4284" w:rsidRDefault="00694AA0">
      <w:pPr>
        <w:spacing w:line="360" w:lineRule="auto"/>
        <w:jc w:val="center"/>
        <w:rPr>
          <w:rFonts w:ascii="Palatino Linotype" w:eastAsia="Palatino Linotype" w:hAnsi="Palatino Linotype" w:cs="Palatino Linotype"/>
          <w:sz w:val="22"/>
          <w:szCs w:val="22"/>
        </w:rPr>
      </w:pPr>
    </w:p>
    <w:p w14:paraId="6DF87AE6"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708FB06E"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537054EF"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17774119"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5509219D"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5A5B7374"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016906CE"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3536C243"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10C74B60"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48A36858"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3FE6DE95"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16F5DDC9"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714A31D2"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46664245"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5C092A01"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669D5981"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3D7F8E58"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61848FB2" w14:textId="77777777" w:rsidR="00694AA0" w:rsidRPr="00AB4284" w:rsidRDefault="00694AA0">
      <w:pPr>
        <w:spacing w:line="360" w:lineRule="auto"/>
        <w:jc w:val="both"/>
        <w:rPr>
          <w:rFonts w:ascii="Palatino Linotype" w:eastAsia="Palatino Linotype" w:hAnsi="Palatino Linotype" w:cs="Palatino Linotype"/>
          <w:sz w:val="22"/>
          <w:szCs w:val="22"/>
        </w:rPr>
      </w:pPr>
    </w:p>
    <w:p w14:paraId="5684A0AB" w14:textId="51443F49" w:rsidR="006F3A18" w:rsidRPr="00AB4284" w:rsidRDefault="006F3A18">
      <w:pPr>
        <w:spacing w:line="360" w:lineRule="auto"/>
        <w:jc w:val="both"/>
        <w:rPr>
          <w:rFonts w:ascii="Palatino Linotype" w:eastAsia="Palatino Linotype" w:hAnsi="Palatino Linotype" w:cs="Palatino Linotype"/>
          <w:sz w:val="22"/>
          <w:szCs w:val="22"/>
        </w:rPr>
      </w:pPr>
    </w:p>
    <w:p w14:paraId="5B98A2B3" w14:textId="77777777" w:rsidR="00C1140A" w:rsidRPr="00AB4284" w:rsidRDefault="00C1140A">
      <w:pPr>
        <w:spacing w:line="360" w:lineRule="auto"/>
        <w:jc w:val="both"/>
        <w:rPr>
          <w:rFonts w:ascii="Palatino Linotype" w:eastAsia="Palatino Linotype" w:hAnsi="Palatino Linotype" w:cs="Palatino Linotype"/>
          <w:sz w:val="22"/>
          <w:szCs w:val="22"/>
        </w:rPr>
      </w:pPr>
    </w:p>
    <w:p w14:paraId="700A6F79" w14:textId="77777777" w:rsidR="00C8211D" w:rsidRPr="00AB4284" w:rsidRDefault="00C8211D">
      <w:pPr>
        <w:spacing w:line="360" w:lineRule="auto"/>
        <w:jc w:val="both"/>
        <w:rPr>
          <w:rFonts w:ascii="Palatino Linotype" w:eastAsia="Palatino Linotype" w:hAnsi="Palatino Linotype" w:cs="Palatino Linotype"/>
          <w:sz w:val="22"/>
          <w:szCs w:val="22"/>
        </w:rPr>
      </w:pPr>
    </w:p>
    <w:sectPr w:rsidR="00C8211D" w:rsidRPr="00AB4284">
      <w:headerReference w:type="default" r:id="rId15"/>
      <w:footerReference w:type="default" r:id="rId16"/>
      <w:headerReference w:type="first" r:id="rId17"/>
      <w:footerReference w:type="first" r:id="rId18"/>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D4013" w14:textId="77777777" w:rsidR="002E31E7" w:rsidRDefault="002E31E7">
      <w:r>
        <w:separator/>
      </w:r>
    </w:p>
  </w:endnote>
  <w:endnote w:type="continuationSeparator" w:id="0">
    <w:p w14:paraId="4A2EEB11" w14:textId="77777777" w:rsidR="002E31E7" w:rsidRDefault="002E3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DFD7A" w14:textId="1DC094D2" w:rsidR="007E38E2" w:rsidRDefault="007E38E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05983">
      <w:rPr>
        <w:rFonts w:ascii="Palatino Linotype" w:eastAsia="Palatino Linotype" w:hAnsi="Palatino Linotype" w:cs="Palatino Linotype"/>
        <w:b/>
        <w:noProof/>
        <w:color w:val="000000"/>
        <w:sz w:val="20"/>
        <w:szCs w:val="20"/>
      </w:rPr>
      <w:t>18</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05983">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01320A57" w14:textId="77777777" w:rsidR="007E38E2" w:rsidRDefault="007E38E2">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5D5DD" w14:textId="4FCF567C" w:rsidR="007E38E2" w:rsidRDefault="007E38E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05983">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05983">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71AA7E10" w14:textId="77777777" w:rsidR="007E38E2" w:rsidRDefault="007E38E2">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BA747" w14:textId="77777777" w:rsidR="002E31E7" w:rsidRDefault="002E31E7">
      <w:r>
        <w:separator/>
      </w:r>
    </w:p>
  </w:footnote>
  <w:footnote w:type="continuationSeparator" w:id="0">
    <w:p w14:paraId="795DC4CA" w14:textId="77777777" w:rsidR="002E31E7" w:rsidRDefault="002E31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A67F7" w14:textId="77777777" w:rsidR="007E38E2" w:rsidRDefault="007E38E2">
    <w:pPr>
      <w:rPr>
        <w:rFonts w:ascii="Cambria" w:eastAsia="Cambria" w:hAnsi="Cambria" w:cs="Cambria"/>
        <w:color w:val="000000"/>
      </w:rPr>
    </w:pPr>
    <w:r>
      <w:rPr>
        <w:noProof/>
      </w:rPr>
      <w:drawing>
        <wp:anchor distT="0" distB="0" distL="0" distR="0" simplePos="0" relativeHeight="251658240" behindDoc="1" locked="0" layoutInCell="1" hidden="0" allowOverlap="1" wp14:anchorId="737B4D0F" wp14:editId="5C481CA0">
          <wp:simplePos x="0" y="0"/>
          <wp:positionH relativeFrom="column">
            <wp:posOffset>-1080090</wp:posOffset>
          </wp:positionH>
          <wp:positionV relativeFrom="paragraph">
            <wp:posOffset>-488261</wp:posOffset>
          </wp:positionV>
          <wp:extent cx="7809865" cy="10165715"/>
          <wp:effectExtent l="0" t="0" r="0" b="0"/>
          <wp:wrapNone/>
          <wp:docPr id="19520825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2"/>
      <w:tblW w:w="5953" w:type="dxa"/>
      <w:tblInd w:w="3261" w:type="dxa"/>
      <w:tblLayout w:type="fixed"/>
      <w:tblLook w:val="0400" w:firstRow="0" w:lastRow="0" w:firstColumn="0" w:lastColumn="0" w:noHBand="0" w:noVBand="1"/>
    </w:tblPr>
    <w:tblGrid>
      <w:gridCol w:w="2489"/>
      <w:gridCol w:w="3464"/>
    </w:tblGrid>
    <w:tr w:rsidR="007E38E2" w14:paraId="0791587B" w14:textId="77777777">
      <w:tc>
        <w:tcPr>
          <w:tcW w:w="2489" w:type="dxa"/>
        </w:tcPr>
        <w:p w14:paraId="5B034C04" w14:textId="77777777" w:rsidR="007E38E2" w:rsidRDefault="007E38E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288814C3" w14:textId="1DDADA4C" w:rsidR="007E38E2" w:rsidRDefault="00316921" w:rsidP="001650A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00024/INFOEM/IP/RR/20</w:t>
          </w:r>
          <w:r w:rsidRPr="00AB4284">
            <w:rPr>
              <w:rFonts w:ascii="Palatino Linotype" w:eastAsia="Palatino Linotype" w:hAnsi="Palatino Linotype" w:cs="Palatino Linotype"/>
              <w:b/>
              <w:sz w:val="22"/>
              <w:szCs w:val="22"/>
            </w:rPr>
            <w:t>26</w:t>
          </w:r>
        </w:p>
      </w:tc>
    </w:tr>
    <w:tr w:rsidR="007E38E2" w14:paraId="704D61F0" w14:textId="77777777">
      <w:trPr>
        <w:trHeight w:val="228"/>
      </w:trPr>
      <w:tc>
        <w:tcPr>
          <w:tcW w:w="2489" w:type="dxa"/>
          <w:vAlign w:val="center"/>
        </w:tcPr>
        <w:p w14:paraId="6DFC1FC7" w14:textId="77777777" w:rsidR="007E38E2" w:rsidRDefault="007E38E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C5BFEDD" w14:textId="59D73FBF" w:rsidR="007E38E2" w:rsidRDefault="007E38E2">
          <w:pPr>
            <w:ind w:left="-45" w:right="176"/>
            <w:jc w:val="both"/>
            <w:rPr>
              <w:rFonts w:ascii="Palatino Linotype" w:eastAsia="Palatino Linotype" w:hAnsi="Palatino Linotype" w:cs="Palatino Linotype"/>
              <w:b/>
              <w:sz w:val="22"/>
              <w:szCs w:val="22"/>
            </w:rPr>
          </w:pPr>
          <w:r w:rsidRPr="001650AB">
            <w:rPr>
              <w:rFonts w:ascii="Palatino Linotype" w:eastAsia="Palatino Linotype" w:hAnsi="Palatino Linotype" w:cs="Palatino Linotype"/>
              <w:b/>
              <w:sz w:val="22"/>
              <w:szCs w:val="22"/>
            </w:rPr>
            <w:t>Ayuntamiento de Tepotzotlán</w:t>
          </w:r>
        </w:p>
      </w:tc>
    </w:tr>
    <w:tr w:rsidR="007E38E2" w14:paraId="2B5F7CE9" w14:textId="77777777">
      <w:tc>
        <w:tcPr>
          <w:tcW w:w="2489" w:type="dxa"/>
          <w:vAlign w:val="center"/>
        </w:tcPr>
        <w:p w14:paraId="63B3258D" w14:textId="77777777" w:rsidR="007E38E2" w:rsidRDefault="007E38E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AB48BAE" w14:textId="77777777" w:rsidR="007E38E2" w:rsidRDefault="007E38E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0947C34D" w14:textId="77777777" w:rsidR="007E38E2" w:rsidRDefault="007E38E2">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0846" w14:textId="77777777" w:rsidR="007E38E2" w:rsidRDefault="007E38E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557F20C8" wp14:editId="7DFE190E">
          <wp:simplePos x="0" y="0"/>
          <wp:positionH relativeFrom="page">
            <wp:align>left</wp:align>
          </wp:positionH>
          <wp:positionV relativeFrom="paragraph">
            <wp:posOffset>-369891</wp:posOffset>
          </wp:positionV>
          <wp:extent cx="7809865" cy="10165715"/>
          <wp:effectExtent l="0" t="0" r="635" b="6985"/>
          <wp:wrapNone/>
          <wp:docPr id="19520825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1"/>
      <w:tblW w:w="5953" w:type="dxa"/>
      <w:tblInd w:w="3261" w:type="dxa"/>
      <w:tblLayout w:type="fixed"/>
      <w:tblLook w:val="0400" w:firstRow="0" w:lastRow="0" w:firstColumn="0" w:lastColumn="0" w:noHBand="0" w:noVBand="1"/>
    </w:tblPr>
    <w:tblGrid>
      <w:gridCol w:w="2489"/>
      <w:gridCol w:w="3464"/>
    </w:tblGrid>
    <w:tr w:rsidR="007E38E2" w14:paraId="71B7394D" w14:textId="77777777">
      <w:tc>
        <w:tcPr>
          <w:tcW w:w="2489" w:type="dxa"/>
        </w:tcPr>
        <w:p w14:paraId="6F6314B5" w14:textId="77777777" w:rsidR="007E38E2" w:rsidRDefault="007E38E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471E5532" w14:textId="712A2B27" w:rsidR="007E38E2" w:rsidRDefault="007E38E2" w:rsidP="001650A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00024/INFOEM/IP/RR/2026</w:t>
          </w:r>
        </w:p>
      </w:tc>
    </w:tr>
    <w:tr w:rsidR="007E38E2" w14:paraId="4854212C" w14:textId="77777777">
      <w:tc>
        <w:tcPr>
          <w:tcW w:w="2489" w:type="dxa"/>
        </w:tcPr>
        <w:p w14:paraId="1D1E2C85" w14:textId="77777777" w:rsidR="007E38E2" w:rsidRDefault="007E38E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299EB360" w14:textId="2FAB2203" w:rsidR="007E38E2" w:rsidRPr="00E66354" w:rsidRDefault="00405983" w:rsidP="00405983">
          <w:pPr>
            <w:ind w:right="175"/>
            <w:jc w:val="both"/>
            <w:rPr>
              <w:rFonts w:ascii="Palatino Linotype" w:eastAsia="Palatino Linotype" w:hAnsi="Palatino Linotype" w:cs="Palatino Linotype"/>
              <w:b/>
              <w:sz w:val="22"/>
              <w:szCs w:val="22"/>
              <w:highlight w:val="yellow"/>
            </w:rPr>
          </w:pPr>
          <w:r>
            <w:rPr>
              <w:rFonts w:ascii="Palatino Linotype" w:eastAsia="Palatino Linotype" w:hAnsi="Palatino Linotype" w:cs="Palatino Linotype"/>
              <w:b/>
              <w:sz w:val="22"/>
              <w:szCs w:val="22"/>
            </w:rPr>
            <w:t>XXXXX XXXXXX XXXXXXXX</w:t>
          </w:r>
        </w:p>
      </w:tc>
    </w:tr>
    <w:tr w:rsidR="007E38E2" w14:paraId="082218B4" w14:textId="77777777">
      <w:trPr>
        <w:trHeight w:val="228"/>
      </w:trPr>
      <w:tc>
        <w:tcPr>
          <w:tcW w:w="2489" w:type="dxa"/>
          <w:vAlign w:val="center"/>
        </w:tcPr>
        <w:p w14:paraId="5E8970C5" w14:textId="77777777" w:rsidR="007E38E2" w:rsidRDefault="007E38E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9B822F6" w14:textId="6B5E4F0A" w:rsidR="007E38E2" w:rsidRDefault="007E38E2">
          <w:pPr>
            <w:ind w:left="-45" w:right="176"/>
            <w:jc w:val="both"/>
            <w:rPr>
              <w:rFonts w:ascii="Palatino Linotype" w:eastAsia="Palatino Linotype" w:hAnsi="Palatino Linotype" w:cs="Palatino Linotype"/>
              <w:b/>
              <w:sz w:val="22"/>
              <w:szCs w:val="22"/>
            </w:rPr>
          </w:pPr>
          <w:r w:rsidRPr="001650AB">
            <w:rPr>
              <w:rFonts w:ascii="Palatino Linotype" w:eastAsia="Palatino Linotype" w:hAnsi="Palatino Linotype" w:cs="Palatino Linotype"/>
              <w:b/>
              <w:sz w:val="22"/>
              <w:szCs w:val="22"/>
            </w:rPr>
            <w:t>Ayuntamiento de Tepotzotlán</w:t>
          </w:r>
        </w:p>
      </w:tc>
    </w:tr>
    <w:tr w:rsidR="007E38E2" w14:paraId="10C74DEA" w14:textId="77777777">
      <w:tc>
        <w:tcPr>
          <w:tcW w:w="2489" w:type="dxa"/>
          <w:vAlign w:val="center"/>
        </w:tcPr>
        <w:p w14:paraId="1F1A62FF" w14:textId="77777777" w:rsidR="007E38E2" w:rsidRDefault="007E38E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52548D8D" w14:textId="77777777" w:rsidR="007E38E2" w:rsidRDefault="007E38E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904CEDE" w14:textId="77777777" w:rsidR="007E38E2" w:rsidRDefault="007E38E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5FA81C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BD6295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5565543"/>
    <w:multiLevelType w:val="multilevel"/>
    <w:tmpl w:val="41889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079D8"/>
    <w:multiLevelType w:val="multilevel"/>
    <w:tmpl w:val="3196C92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5C81A7C"/>
    <w:multiLevelType w:val="multilevel"/>
    <w:tmpl w:val="99D40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B8F169B"/>
    <w:multiLevelType w:val="multilevel"/>
    <w:tmpl w:val="E67CC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D25AD0"/>
    <w:multiLevelType w:val="hybridMultilevel"/>
    <w:tmpl w:val="9B3E43EC"/>
    <w:lvl w:ilvl="0" w:tplc="2F461F4A">
      <w:start w:val="1"/>
      <w:numFmt w:val="decimal"/>
      <w:lvlText w:val="%1."/>
      <w:lvlJc w:val="left"/>
      <w:pPr>
        <w:ind w:left="644" w:hanging="360"/>
      </w:pPr>
      <w:rPr>
        <w:rFonts w:hint="default"/>
        <w:b w:val="0"/>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467007CA"/>
    <w:multiLevelType w:val="multilevel"/>
    <w:tmpl w:val="E646CB2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B5D6649"/>
    <w:multiLevelType w:val="hybridMultilevel"/>
    <w:tmpl w:val="E6E47A4A"/>
    <w:lvl w:ilvl="0" w:tplc="B880B31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ECA6C08"/>
    <w:multiLevelType w:val="multilevel"/>
    <w:tmpl w:val="77045766"/>
    <w:lvl w:ilvl="0">
      <w:start w:val="1"/>
      <w:numFmt w:val="decimal"/>
      <w:pStyle w:val="Listaconvietas3"/>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620930DE"/>
    <w:multiLevelType w:val="multilevel"/>
    <w:tmpl w:val="07B63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0CC0097"/>
    <w:multiLevelType w:val="hybridMultilevel"/>
    <w:tmpl w:val="11262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D4592D"/>
    <w:multiLevelType w:val="multilevel"/>
    <w:tmpl w:val="BB5AF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ED3330D"/>
    <w:multiLevelType w:val="multilevel"/>
    <w:tmpl w:val="7CAE87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4"/>
  </w:num>
  <w:num w:numId="2">
    <w:abstractNumId w:val="3"/>
  </w:num>
  <w:num w:numId="3">
    <w:abstractNumId w:val="15"/>
  </w:num>
  <w:num w:numId="4">
    <w:abstractNumId w:val="6"/>
  </w:num>
  <w:num w:numId="5">
    <w:abstractNumId w:val="9"/>
  </w:num>
  <w:num w:numId="6">
    <w:abstractNumId w:val="1"/>
  </w:num>
  <w:num w:numId="7">
    <w:abstractNumId w:val="0"/>
  </w:num>
  <w:num w:numId="8">
    <w:abstractNumId w:val="11"/>
  </w:num>
  <w:num w:numId="9">
    <w:abstractNumId w:val="5"/>
  </w:num>
  <w:num w:numId="10">
    <w:abstractNumId w:val="7"/>
  </w:num>
  <w:num w:numId="11">
    <w:abstractNumId w:val="12"/>
  </w:num>
  <w:num w:numId="12">
    <w:abstractNumId w:val="16"/>
  </w:num>
  <w:num w:numId="13">
    <w:abstractNumId w:val="4"/>
  </w:num>
  <w:num w:numId="14">
    <w:abstractNumId w:val="17"/>
  </w:num>
  <w:num w:numId="15">
    <w:abstractNumId w:val="2"/>
  </w:num>
  <w:num w:numId="16">
    <w:abstractNumId w:val="18"/>
  </w:num>
  <w:num w:numId="17">
    <w:abstractNumId w:val="13"/>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A0"/>
    <w:rsid w:val="000024A8"/>
    <w:rsid w:val="00004D58"/>
    <w:rsid w:val="000064B5"/>
    <w:rsid w:val="0001493C"/>
    <w:rsid w:val="000206D1"/>
    <w:rsid w:val="00025977"/>
    <w:rsid w:val="000309D9"/>
    <w:rsid w:val="0003226E"/>
    <w:rsid w:val="00034BC5"/>
    <w:rsid w:val="000419D8"/>
    <w:rsid w:val="00052702"/>
    <w:rsid w:val="00052F49"/>
    <w:rsid w:val="000555B5"/>
    <w:rsid w:val="000652D4"/>
    <w:rsid w:val="000653F9"/>
    <w:rsid w:val="000661FA"/>
    <w:rsid w:val="0006748F"/>
    <w:rsid w:val="000778D1"/>
    <w:rsid w:val="00080547"/>
    <w:rsid w:val="00080C9F"/>
    <w:rsid w:val="00082344"/>
    <w:rsid w:val="00082BC4"/>
    <w:rsid w:val="000844C8"/>
    <w:rsid w:val="0008515D"/>
    <w:rsid w:val="00090C8E"/>
    <w:rsid w:val="00094877"/>
    <w:rsid w:val="000967F1"/>
    <w:rsid w:val="000A330F"/>
    <w:rsid w:val="000A4D58"/>
    <w:rsid w:val="000A73DA"/>
    <w:rsid w:val="000A7B03"/>
    <w:rsid w:val="000B0896"/>
    <w:rsid w:val="000B0B75"/>
    <w:rsid w:val="000B3BB5"/>
    <w:rsid w:val="000C1C49"/>
    <w:rsid w:val="000C3127"/>
    <w:rsid w:val="000D0779"/>
    <w:rsid w:val="000D66CA"/>
    <w:rsid w:val="000D757F"/>
    <w:rsid w:val="000E065C"/>
    <w:rsid w:val="000E290B"/>
    <w:rsid w:val="000E4283"/>
    <w:rsid w:val="000F2854"/>
    <w:rsid w:val="000F2C48"/>
    <w:rsid w:val="000F4585"/>
    <w:rsid w:val="000F4DED"/>
    <w:rsid w:val="000F65ED"/>
    <w:rsid w:val="000F7A1C"/>
    <w:rsid w:val="00100890"/>
    <w:rsid w:val="00102489"/>
    <w:rsid w:val="00102F12"/>
    <w:rsid w:val="00116312"/>
    <w:rsid w:val="0011644B"/>
    <w:rsid w:val="00120198"/>
    <w:rsid w:val="001225FB"/>
    <w:rsid w:val="00122CF7"/>
    <w:rsid w:val="00124E71"/>
    <w:rsid w:val="0012634B"/>
    <w:rsid w:val="001309F0"/>
    <w:rsid w:val="001322B9"/>
    <w:rsid w:val="00132D33"/>
    <w:rsid w:val="00133291"/>
    <w:rsid w:val="00134ECF"/>
    <w:rsid w:val="001361C4"/>
    <w:rsid w:val="00142C8A"/>
    <w:rsid w:val="00143423"/>
    <w:rsid w:val="00143A14"/>
    <w:rsid w:val="001440AD"/>
    <w:rsid w:val="001452C0"/>
    <w:rsid w:val="00150E6D"/>
    <w:rsid w:val="00156057"/>
    <w:rsid w:val="00157D6E"/>
    <w:rsid w:val="00160734"/>
    <w:rsid w:val="0016401F"/>
    <w:rsid w:val="001650AB"/>
    <w:rsid w:val="001706FD"/>
    <w:rsid w:val="00176DB0"/>
    <w:rsid w:val="001813EF"/>
    <w:rsid w:val="00181750"/>
    <w:rsid w:val="0018290D"/>
    <w:rsid w:val="0018603F"/>
    <w:rsid w:val="00187914"/>
    <w:rsid w:val="00187FCA"/>
    <w:rsid w:val="00193278"/>
    <w:rsid w:val="0019636D"/>
    <w:rsid w:val="001A0778"/>
    <w:rsid w:val="001A32EE"/>
    <w:rsid w:val="001A3D4C"/>
    <w:rsid w:val="001B415E"/>
    <w:rsid w:val="001B5E9D"/>
    <w:rsid w:val="001B6B47"/>
    <w:rsid w:val="001C2313"/>
    <w:rsid w:val="001D1E76"/>
    <w:rsid w:val="001D2D68"/>
    <w:rsid w:val="001D5EA4"/>
    <w:rsid w:val="001E1623"/>
    <w:rsid w:val="001E2666"/>
    <w:rsid w:val="001E4554"/>
    <w:rsid w:val="001F28C8"/>
    <w:rsid w:val="001F3BA6"/>
    <w:rsid w:val="001F4FD3"/>
    <w:rsid w:val="001F64E8"/>
    <w:rsid w:val="001F7F14"/>
    <w:rsid w:val="0020097E"/>
    <w:rsid w:val="00200EBD"/>
    <w:rsid w:val="002056F0"/>
    <w:rsid w:val="0021130D"/>
    <w:rsid w:val="00213AC2"/>
    <w:rsid w:val="00213EC3"/>
    <w:rsid w:val="00220FE4"/>
    <w:rsid w:val="00223511"/>
    <w:rsid w:val="00225E6F"/>
    <w:rsid w:val="0023072C"/>
    <w:rsid w:val="0023184C"/>
    <w:rsid w:val="00231963"/>
    <w:rsid w:val="002341CA"/>
    <w:rsid w:val="002361D4"/>
    <w:rsid w:val="00236512"/>
    <w:rsid w:val="0024570E"/>
    <w:rsid w:val="00253ED3"/>
    <w:rsid w:val="0025447F"/>
    <w:rsid w:val="00262068"/>
    <w:rsid w:val="0026210D"/>
    <w:rsid w:val="00262320"/>
    <w:rsid w:val="00264911"/>
    <w:rsid w:val="00271BB8"/>
    <w:rsid w:val="002725BF"/>
    <w:rsid w:val="00273787"/>
    <w:rsid w:val="002825BA"/>
    <w:rsid w:val="0028645D"/>
    <w:rsid w:val="00287959"/>
    <w:rsid w:val="002951FD"/>
    <w:rsid w:val="002A00F2"/>
    <w:rsid w:val="002A6516"/>
    <w:rsid w:val="002A6FD5"/>
    <w:rsid w:val="002A7199"/>
    <w:rsid w:val="002B045F"/>
    <w:rsid w:val="002B2BAF"/>
    <w:rsid w:val="002B2F3E"/>
    <w:rsid w:val="002B4B3D"/>
    <w:rsid w:val="002B604F"/>
    <w:rsid w:val="002B7A69"/>
    <w:rsid w:val="002B7ACF"/>
    <w:rsid w:val="002C42D1"/>
    <w:rsid w:val="002C5F3C"/>
    <w:rsid w:val="002C703F"/>
    <w:rsid w:val="002D1187"/>
    <w:rsid w:val="002E146F"/>
    <w:rsid w:val="002E31E7"/>
    <w:rsid w:val="002E322B"/>
    <w:rsid w:val="002E3E87"/>
    <w:rsid w:val="002E461D"/>
    <w:rsid w:val="0030662C"/>
    <w:rsid w:val="00313CA2"/>
    <w:rsid w:val="00316921"/>
    <w:rsid w:val="00323056"/>
    <w:rsid w:val="00330224"/>
    <w:rsid w:val="00331A87"/>
    <w:rsid w:val="0033200D"/>
    <w:rsid w:val="003325DF"/>
    <w:rsid w:val="0034602C"/>
    <w:rsid w:val="0034618D"/>
    <w:rsid w:val="00346F0D"/>
    <w:rsid w:val="00347688"/>
    <w:rsid w:val="0035251B"/>
    <w:rsid w:val="0036325A"/>
    <w:rsid w:val="00365022"/>
    <w:rsid w:val="00367429"/>
    <w:rsid w:val="003739EE"/>
    <w:rsid w:val="00375184"/>
    <w:rsid w:val="003779F8"/>
    <w:rsid w:val="00382740"/>
    <w:rsid w:val="0038287E"/>
    <w:rsid w:val="00382908"/>
    <w:rsid w:val="00382B7F"/>
    <w:rsid w:val="00383985"/>
    <w:rsid w:val="0038463F"/>
    <w:rsid w:val="00386EDA"/>
    <w:rsid w:val="00391F52"/>
    <w:rsid w:val="00391F5D"/>
    <w:rsid w:val="00397531"/>
    <w:rsid w:val="00397DDF"/>
    <w:rsid w:val="003A2BE9"/>
    <w:rsid w:val="003B39BA"/>
    <w:rsid w:val="003B589D"/>
    <w:rsid w:val="003B5E1E"/>
    <w:rsid w:val="003C0FC7"/>
    <w:rsid w:val="003C46C2"/>
    <w:rsid w:val="003C6617"/>
    <w:rsid w:val="003C7B76"/>
    <w:rsid w:val="003D4C05"/>
    <w:rsid w:val="003D61F9"/>
    <w:rsid w:val="003D6643"/>
    <w:rsid w:val="003E3995"/>
    <w:rsid w:val="003F3603"/>
    <w:rsid w:val="003F3C79"/>
    <w:rsid w:val="003F50C0"/>
    <w:rsid w:val="003F6652"/>
    <w:rsid w:val="0040045C"/>
    <w:rsid w:val="0040067E"/>
    <w:rsid w:val="00401D4B"/>
    <w:rsid w:val="00405983"/>
    <w:rsid w:val="00420290"/>
    <w:rsid w:val="00420C30"/>
    <w:rsid w:val="00424DFD"/>
    <w:rsid w:val="00430882"/>
    <w:rsid w:val="00431976"/>
    <w:rsid w:val="00435111"/>
    <w:rsid w:val="004431D2"/>
    <w:rsid w:val="004439F2"/>
    <w:rsid w:val="00450E3A"/>
    <w:rsid w:val="00457843"/>
    <w:rsid w:val="00460C75"/>
    <w:rsid w:val="00463FB8"/>
    <w:rsid w:val="00471407"/>
    <w:rsid w:val="004730D4"/>
    <w:rsid w:val="00476E4A"/>
    <w:rsid w:val="004802E9"/>
    <w:rsid w:val="00483311"/>
    <w:rsid w:val="00483CA6"/>
    <w:rsid w:val="00485D01"/>
    <w:rsid w:val="00490112"/>
    <w:rsid w:val="00494CB2"/>
    <w:rsid w:val="004A13F9"/>
    <w:rsid w:val="004A30AD"/>
    <w:rsid w:val="004A5926"/>
    <w:rsid w:val="004A6693"/>
    <w:rsid w:val="004B0BBC"/>
    <w:rsid w:val="004B35BD"/>
    <w:rsid w:val="004B68AF"/>
    <w:rsid w:val="004C49B8"/>
    <w:rsid w:val="004D23F6"/>
    <w:rsid w:val="004D3EB9"/>
    <w:rsid w:val="004D6C3D"/>
    <w:rsid w:val="004D73B7"/>
    <w:rsid w:val="004D7DF2"/>
    <w:rsid w:val="004E1DF4"/>
    <w:rsid w:val="004E7391"/>
    <w:rsid w:val="004F1364"/>
    <w:rsid w:val="004F28E7"/>
    <w:rsid w:val="004F74FF"/>
    <w:rsid w:val="00500DA9"/>
    <w:rsid w:val="00503F99"/>
    <w:rsid w:val="00504175"/>
    <w:rsid w:val="00504FA2"/>
    <w:rsid w:val="0050510A"/>
    <w:rsid w:val="00510048"/>
    <w:rsid w:val="0051150E"/>
    <w:rsid w:val="0051666B"/>
    <w:rsid w:val="005262EA"/>
    <w:rsid w:val="00530D60"/>
    <w:rsid w:val="00533E33"/>
    <w:rsid w:val="00535FC8"/>
    <w:rsid w:val="00541317"/>
    <w:rsid w:val="005414BE"/>
    <w:rsid w:val="00544E94"/>
    <w:rsid w:val="00546E25"/>
    <w:rsid w:val="005475B9"/>
    <w:rsid w:val="00547E14"/>
    <w:rsid w:val="00552496"/>
    <w:rsid w:val="00554822"/>
    <w:rsid w:val="005568B8"/>
    <w:rsid w:val="00561AA1"/>
    <w:rsid w:val="005732B7"/>
    <w:rsid w:val="00574CB0"/>
    <w:rsid w:val="00574FB2"/>
    <w:rsid w:val="005771D4"/>
    <w:rsid w:val="005810A6"/>
    <w:rsid w:val="0058459E"/>
    <w:rsid w:val="005B22BA"/>
    <w:rsid w:val="005B4AB4"/>
    <w:rsid w:val="005C0836"/>
    <w:rsid w:val="005C0C18"/>
    <w:rsid w:val="005C240D"/>
    <w:rsid w:val="005C382B"/>
    <w:rsid w:val="005C5ECD"/>
    <w:rsid w:val="005D0FA8"/>
    <w:rsid w:val="005E3109"/>
    <w:rsid w:val="005F4F51"/>
    <w:rsid w:val="005F5AAF"/>
    <w:rsid w:val="00601597"/>
    <w:rsid w:val="006015C6"/>
    <w:rsid w:val="0061041C"/>
    <w:rsid w:val="00610DDC"/>
    <w:rsid w:val="006241FB"/>
    <w:rsid w:val="006262EB"/>
    <w:rsid w:val="00627673"/>
    <w:rsid w:val="00641BF3"/>
    <w:rsid w:val="006464CB"/>
    <w:rsid w:val="00655EF3"/>
    <w:rsid w:val="00663D56"/>
    <w:rsid w:val="006823DB"/>
    <w:rsid w:val="00694AA0"/>
    <w:rsid w:val="00695C11"/>
    <w:rsid w:val="006A0D3C"/>
    <w:rsid w:val="006A1F43"/>
    <w:rsid w:val="006A2500"/>
    <w:rsid w:val="006A35B9"/>
    <w:rsid w:val="006A424F"/>
    <w:rsid w:val="006B1360"/>
    <w:rsid w:val="006B339F"/>
    <w:rsid w:val="006B4AEC"/>
    <w:rsid w:val="006B5B5A"/>
    <w:rsid w:val="006C1064"/>
    <w:rsid w:val="006C7CC7"/>
    <w:rsid w:val="006D2EFA"/>
    <w:rsid w:val="006E155A"/>
    <w:rsid w:val="006E15E3"/>
    <w:rsid w:val="006E22E1"/>
    <w:rsid w:val="006F0386"/>
    <w:rsid w:val="006F3A18"/>
    <w:rsid w:val="006F4589"/>
    <w:rsid w:val="006F76B7"/>
    <w:rsid w:val="00702E1B"/>
    <w:rsid w:val="007048DE"/>
    <w:rsid w:val="007049C9"/>
    <w:rsid w:val="0070776B"/>
    <w:rsid w:val="007161DC"/>
    <w:rsid w:val="007165D6"/>
    <w:rsid w:val="0072757A"/>
    <w:rsid w:val="00727F38"/>
    <w:rsid w:val="007304EC"/>
    <w:rsid w:val="00731EF3"/>
    <w:rsid w:val="007333D5"/>
    <w:rsid w:val="007347D2"/>
    <w:rsid w:val="0074045F"/>
    <w:rsid w:val="00743D96"/>
    <w:rsid w:val="007458B0"/>
    <w:rsid w:val="00746A44"/>
    <w:rsid w:val="00751011"/>
    <w:rsid w:val="0075679E"/>
    <w:rsid w:val="00760B02"/>
    <w:rsid w:val="00761396"/>
    <w:rsid w:val="0076259D"/>
    <w:rsid w:val="0076423F"/>
    <w:rsid w:val="007643E2"/>
    <w:rsid w:val="00766F3A"/>
    <w:rsid w:val="0077158A"/>
    <w:rsid w:val="00771F7F"/>
    <w:rsid w:val="00777F2D"/>
    <w:rsid w:val="00786E97"/>
    <w:rsid w:val="00790D70"/>
    <w:rsid w:val="0079456E"/>
    <w:rsid w:val="007A29DA"/>
    <w:rsid w:val="007A3A27"/>
    <w:rsid w:val="007A6C82"/>
    <w:rsid w:val="007B1117"/>
    <w:rsid w:val="007B3781"/>
    <w:rsid w:val="007D00F0"/>
    <w:rsid w:val="007D0435"/>
    <w:rsid w:val="007D0E13"/>
    <w:rsid w:val="007D5593"/>
    <w:rsid w:val="007D6158"/>
    <w:rsid w:val="007E38E2"/>
    <w:rsid w:val="007E3B6A"/>
    <w:rsid w:val="007F113B"/>
    <w:rsid w:val="007F66F5"/>
    <w:rsid w:val="0080115E"/>
    <w:rsid w:val="00802635"/>
    <w:rsid w:val="0080393C"/>
    <w:rsid w:val="0080595B"/>
    <w:rsid w:val="008107E2"/>
    <w:rsid w:val="00814A5A"/>
    <w:rsid w:val="00816B9D"/>
    <w:rsid w:val="0082048C"/>
    <w:rsid w:val="00820E38"/>
    <w:rsid w:val="0082626C"/>
    <w:rsid w:val="00830AED"/>
    <w:rsid w:val="00831C7F"/>
    <w:rsid w:val="00832336"/>
    <w:rsid w:val="00837E5E"/>
    <w:rsid w:val="00842531"/>
    <w:rsid w:val="0084340C"/>
    <w:rsid w:val="0084377E"/>
    <w:rsid w:val="00854416"/>
    <w:rsid w:val="00857C0C"/>
    <w:rsid w:val="00867295"/>
    <w:rsid w:val="00870252"/>
    <w:rsid w:val="008823E0"/>
    <w:rsid w:val="00882DDC"/>
    <w:rsid w:val="00883836"/>
    <w:rsid w:val="0088463F"/>
    <w:rsid w:val="00885F07"/>
    <w:rsid w:val="008914DE"/>
    <w:rsid w:val="00893A31"/>
    <w:rsid w:val="00897BD0"/>
    <w:rsid w:val="008A165D"/>
    <w:rsid w:val="008A4625"/>
    <w:rsid w:val="008A4B43"/>
    <w:rsid w:val="008B3A1B"/>
    <w:rsid w:val="008B474D"/>
    <w:rsid w:val="008B5F54"/>
    <w:rsid w:val="008B7DA1"/>
    <w:rsid w:val="008C2928"/>
    <w:rsid w:val="008C7E00"/>
    <w:rsid w:val="008D0989"/>
    <w:rsid w:val="008D4E23"/>
    <w:rsid w:val="008E0B27"/>
    <w:rsid w:val="008E1CAA"/>
    <w:rsid w:val="008E26F9"/>
    <w:rsid w:val="008F5E0C"/>
    <w:rsid w:val="008F7C04"/>
    <w:rsid w:val="009068AC"/>
    <w:rsid w:val="00907832"/>
    <w:rsid w:val="00907CDD"/>
    <w:rsid w:val="00911AB2"/>
    <w:rsid w:val="00924016"/>
    <w:rsid w:val="0093285E"/>
    <w:rsid w:val="009452CA"/>
    <w:rsid w:val="009454C1"/>
    <w:rsid w:val="00947504"/>
    <w:rsid w:val="009502ED"/>
    <w:rsid w:val="00950E4F"/>
    <w:rsid w:val="009659E6"/>
    <w:rsid w:val="00967C99"/>
    <w:rsid w:val="009711CB"/>
    <w:rsid w:val="0097667F"/>
    <w:rsid w:val="00977C10"/>
    <w:rsid w:val="00980D6F"/>
    <w:rsid w:val="00980D84"/>
    <w:rsid w:val="0098166B"/>
    <w:rsid w:val="009844BB"/>
    <w:rsid w:val="00993B95"/>
    <w:rsid w:val="009952D9"/>
    <w:rsid w:val="009A3A3C"/>
    <w:rsid w:val="009A3E3A"/>
    <w:rsid w:val="009A6189"/>
    <w:rsid w:val="009B4ADD"/>
    <w:rsid w:val="009B6B82"/>
    <w:rsid w:val="009C1FBD"/>
    <w:rsid w:val="009D0D80"/>
    <w:rsid w:val="009D42B1"/>
    <w:rsid w:val="009D73E1"/>
    <w:rsid w:val="009E1382"/>
    <w:rsid w:val="009E1822"/>
    <w:rsid w:val="009E663F"/>
    <w:rsid w:val="009F4157"/>
    <w:rsid w:val="009F5343"/>
    <w:rsid w:val="009F561E"/>
    <w:rsid w:val="009F7CB0"/>
    <w:rsid w:val="00A00781"/>
    <w:rsid w:val="00A03417"/>
    <w:rsid w:val="00A11C10"/>
    <w:rsid w:val="00A12096"/>
    <w:rsid w:val="00A16791"/>
    <w:rsid w:val="00A17271"/>
    <w:rsid w:val="00A17609"/>
    <w:rsid w:val="00A20BCE"/>
    <w:rsid w:val="00A2767F"/>
    <w:rsid w:val="00A30507"/>
    <w:rsid w:val="00A30DF1"/>
    <w:rsid w:val="00A40950"/>
    <w:rsid w:val="00A521AD"/>
    <w:rsid w:val="00A52B1B"/>
    <w:rsid w:val="00A57A19"/>
    <w:rsid w:val="00A618B3"/>
    <w:rsid w:val="00A73534"/>
    <w:rsid w:val="00A755DC"/>
    <w:rsid w:val="00A80177"/>
    <w:rsid w:val="00A84826"/>
    <w:rsid w:val="00A8727F"/>
    <w:rsid w:val="00A9302F"/>
    <w:rsid w:val="00AA57D1"/>
    <w:rsid w:val="00AB180E"/>
    <w:rsid w:val="00AB4284"/>
    <w:rsid w:val="00AC01DB"/>
    <w:rsid w:val="00AC581C"/>
    <w:rsid w:val="00AC638F"/>
    <w:rsid w:val="00AD444D"/>
    <w:rsid w:val="00AD7617"/>
    <w:rsid w:val="00AE52C6"/>
    <w:rsid w:val="00AE7A45"/>
    <w:rsid w:val="00AF363C"/>
    <w:rsid w:val="00B00861"/>
    <w:rsid w:val="00B039D1"/>
    <w:rsid w:val="00B04225"/>
    <w:rsid w:val="00B04701"/>
    <w:rsid w:val="00B04E6A"/>
    <w:rsid w:val="00B06597"/>
    <w:rsid w:val="00B101D9"/>
    <w:rsid w:val="00B14870"/>
    <w:rsid w:val="00B14A23"/>
    <w:rsid w:val="00B221EC"/>
    <w:rsid w:val="00B30784"/>
    <w:rsid w:val="00B3392A"/>
    <w:rsid w:val="00B34E8D"/>
    <w:rsid w:val="00B437A7"/>
    <w:rsid w:val="00B5122B"/>
    <w:rsid w:val="00B623F2"/>
    <w:rsid w:val="00B653DB"/>
    <w:rsid w:val="00B66E30"/>
    <w:rsid w:val="00B70221"/>
    <w:rsid w:val="00B748A2"/>
    <w:rsid w:val="00B853F2"/>
    <w:rsid w:val="00B86CD7"/>
    <w:rsid w:val="00B90F26"/>
    <w:rsid w:val="00B919FC"/>
    <w:rsid w:val="00BA10C9"/>
    <w:rsid w:val="00BA72EB"/>
    <w:rsid w:val="00BB06F6"/>
    <w:rsid w:val="00BB3325"/>
    <w:rsid w:val="00BB403F"/>
    <w:rsid w:val="00BB495C"/>
    <w:rsid w:val="00BC0309"/>
    <w:rsid w:val="00BD020A"/>
    <w:rsid w:val="00BD504B"/>
    <w:rsid w:val="00BD66A4"/>
    <w:rsid w:val="00BE3CF9"/>
    <w:rsid w:val="00BE3EF4"/>
    <w:rsid w:val="00BF23F0"/>
    <w:rsid w:val="00BF2B46"/>
    <w:rsid w:val="00C00558"/>
    <w:rsid w:val="00C015F7"/>
    <w:rsid w:val="00C01C2E"/>
    <w:rsid w:val="00C10893"/>
    <w:rsid w:val="00C1117A"/>
    <w:rsid w:val="00C1140A"/>
    <w:rsid w:val="00C1289E"/>
    <w:rsid w:val="00C203BF"/>
    <w:rsid w:val="00C24F74"/>
    <w:rsid w:val="00C314BD"/>
    <w:rsid w:val="00C37F2C"/>
    <w:rsid w:val="00C438D0"/>
    <w:rsid w:val="00C46E38"/>
    <w:rsid w:val="00C505A8"/>
    <w:rsid w:val="00C531D8"/>
    <w:rsid w:val="00C5376A"/>
    <w:rsid w:val="00C62663"/>
    <w:rsid w:val="00C8211D"/>
    <w:rsid w:val="00C83CCB"/>
    <w:rsid w:val="00C85C03"/>
    <w:rsid w:val="00C90819"/>
    <w:rsid w:val="00C95F85"/>
    <w:rsid w:val="00C97F6E"/>
    <w:rsid w:val="00CA0E3E"/>
    <w:rsid w:val="00CA1A20"/>
    <w:rsid w:val="00CB19B5"/>
    <w:rsid w:val="00CB469A"/>
    <w:rsid w:val="00CC3687"/>
    <w:rsid w:val="00CC69D1"/>
    <w:rsid w:val="00CD210A"/>
    <w:rsid w:val="00CD2C55"/>
    <w:rsid w:val="00CD2E1D"/>
    <w:rsid w:val="00CD2F0E"/>
    <w:rsid w:val="00CE7F47"/>
    <w:rsid w:val="00D00DEE"/>
    <w:rsid w:val="00D02838"/>
    <w:rsid w:val="00D067D1"/>
    <w:rsid w:val="00D1493B"/>
    <w:rsid w:val="00D15C4F"/>
    <w:rsid w:val="00D17A09"/>
    <w:rsid w:val="00D258B6"/>
    <w:rsid w:val="00D3616F"/>
    <w:rsid w:val="00D36C2A"/>
    <w:rsid w:val="00D46BA0"/>
    <w:rsid w:val="00D47470"/>
    <w:rsid w:val="00D53CC1"/>
    <w:rsid w:val="00D55778"/>
    <w:rsid w:val="00D571DC"/>
    <w:rsid w:val="00D60D79"/>
    <w:rsid w:val="00D71F7C"/>
    <w:rsid w:val="00D74224"/>
    <w:rsid w:val="00D76018"/>
    <w:rsid w:val="00D77EC0"/>
    <w:rsid w:val="00D80AEE"/>
    <w:rsid w:val="00D86C32"/>
    <w:rsid w:val="00D926EE"/>
    <w:rsid w:val="00D93A7B"/>
    <w:rsid w:val="00DA3C43"/>
    <w:rsid w:val="00DB3F19"/>
    <w:rsid w:val="00DB513A"/>
    <w:rsid w:val="00DB5736"/>
    <w:rsid w:val="00DC1F5B"/>
    <w:rsid w:val="00DD1E25"/>
    <w:rsid w:val="00DD4B76"/>
    <w:rsid w:val="00DD4CBD"/>
    <w:rsid w:val="00DE5ADE"/>
    <w:rsid w:val="00DF17EB"/>
    <w:rsid w:val="00DF478E"/>
    <w:rsid w:val="00E00E1B"/>
    <w:rsid w:val="00E01AFC"/>
    <w:rsid w:val="00E03ABC"/>
    <w:rsid w:val="00E04FEE"/>
    <w:rsid w:val="00E1082D"/>
    <w:rsid w:val="00E16633"/>
    <w:rsid w:val="00E2140A"/>
    <w:rsid w:val="00E23D61"/>
    <w:rsid w:val="00E24D85"/>
    <w:rsid w:val="00E307A0"/>
    <w:rsid w:val="00E311B5"/>
    <w:rsid w:val="00E40785"/>
    <w:rsid w:val="00E417D0"/>
    <w:rsid w:val="00E43918"/>
    <w:rsid w:val="00E44511"/>
    <w:rsid w:val="00E44E94"/>
    <w:rsid w:val="00E46253"/>
    <w:rsid w:val="00E463A2"/>
    <w:rsid w:val="00E516E2"/>
    <w:rsid w:val="00E545C2"/>
    <w:rsid w:val="00E56B57"/>
    <w:rsid w:val="00E61814"/>
    <w:rsid w:val="00E66354"/>
    <w:rsid w:val="00E670ED"/>
    <w:rsid w:val="00E71C2F"/>
    <w:rsid w:val="00E768F3"/>
    <w:rsid w:val="00E80376"/>
    <w:rsid w:val="00E81721"/>
    <w:rsid w:val="00E84CB1"/>
    <w:rsid w:val="00E84E47"/>
    <w:rsid w:val="00E85FB2"/>
    <w:rsid w:val="00E91C46"/>
    <w:rsid w:val="00E92C81"/>
    <w:rsid w:val="00E93B86"/>
    <w:rsid w:val="00E94EF9"/>
    <w:rsid w:val="00EA2309"/>
    <w:rsid w:val="00EA40BA"/>
    <w:rsid w:val="00EA5A9A"/>
    <w:rsid w:val="00EA5CD6"/>
    <w:rsid w:val="00EB032A"/>
    <w:rsid w:val="00EB6F38"/>
    <w:rsid w:val="00EC00F9"/>
    <w:rsid w:val="00EC3811"/>
    <w:rsid w:val="00EC6393"/>
    <w:rsid w:val="00ED09D2"/>
    <w:rsid w:val="00ED39E8"/>
    <w:rsid w:val="00ED661A"/>
    <w:rsid w:val="00EE042E"/>
    <w:rsid w:val="00EE2377"/>
    <w:rsid w:val="00EF14B6"/>
    <w:rsid w:val="00EF5D8A"/>
    <w:rsid w:val="00F06F3B"/>
    <w:rsid w:val="00F1200E"/>
    <w:rsid w:val="00F136A4"/>
    <w:rsid w:val="00F1393C"/>
    <w:rsid w:val="00F13C63"/>
    <w:rsid w:val="00F16B97"/>
    <w:rsid w:val="00F20BEB"/>
    <w:rsid w:val="00F212D2"/>
    <w:rsid w:val="00F21D6B"/>
    <w:rsid w:val="00F221D2"/>
    <w:rsid w:val="00F231B8"/>
    <w:rsid w:val="00F2377F"/>
    <w:rsid w:val="00F25291"/>
    <w:rsid w:val="00F25CB7"/>
    <w:rsid w:val="00F25E2D"/>
    <w:rsid w:val="00F30612"/>
    <w:rsid w:val="00F30EE8"/>
    <w:rsid w:val="00F33904"/>
    <w:rsid w:val="00F33D9D"/>
    <w:rsid w:val="00F34BCC"/>
    <w:rsid w:val="00F3756A"/>
    <w:rsid w:val="00F40A78"/>
    <w:rsid w:val="00F50F75"/>
    <w:rsid w:val="00F531F6"/>
    <w:rsid w:val="00F539C1"/>
    <w:rsid w:val="00F55A0F"/>
    <w:rsid w:val="00F5701B"/>
    <w:rsid w:val="00F570F7"/>
    <w:rsid w:val="00F62323"/>
    <w:rsid w:val="00F62348"/>
    <w:rsid w:val="00F62898"/>
    <w:rsid w:val="00F66328"/>
    <w:rsid w:val="00F730DC"/>
    <w:rsid w:val="00F74D28"/>
    <w:rsid w:val="00F809E5"/>
    <w:rsid w:val="00F827DF"/>
    <w:rsid w:val="00F844C6"/>
    <w:rsid w:val="00F8506A"/>
    <w:rsid w:val="00F90070"/>
    <w:rsid w:val="00F91BC2"/>
    <w:rsid w:val="00F95385"/>
    <w:rsid w:val="00F96B54"/>
    <w:rsid w:val="00F97716"/>
    <w:rsid w:val="00FA0237"/>
    <w:rsid w:val="00FA376E"/>
    <w:rsid w:val="00FA3C9A"/>
    <w:rsid w:val="00FA55F6"/>
    <w:rsid w:val="00FB0090"/>
    <w:rsid w:val="00FB2F84"/>
    <w:rsid w:val="00FC30CF"/>
    <w:rsid w:val="00FC3482"/>
    <w:rsid w:val="00FC36ED"/>
    <w:rsid w:val="00FC3BE5"/>
    <w:rsid w:val="00FC4683"/>
    <w:rsid w:val="00FC54A4"/>
    <w:rsid w:val="00FD1D03"/>
    <w:rsid w:val="00FD3909"/>
    <w:rsid w:val="00FE251A"/>
    <w:rsid w:val="00FE3915"/>
    <w:rsid w:val="00FE75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6C3C"/>
  <w15:docId w15:val="{4E3D6FF7-1FD1-4EA6-BDE9-C4C1B259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3">
    <w:name w:val="TableNormal3"/>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6">
    <w:name w:val="Table Normal1"/>
    <w:tblPr>
      <w:tblCellMar>
        <w:top w:w="0" w:type="dxa"/>
        <w:left w:w="0" w:type="dxa"/>
        <w:bottom w:w="0" w:type="dxa"/>
        <w:right w:w="0" w:type="dxa"/>
      </w:tblCellMar>
    </w:tblPr>
  </w:style>
  <w:style w:type="table" w:customStyle="1" w:styleId="47">
    <w:name w:val="47"/>
    <w:basedOn w:val="TableNormal16"/>
    <w:tblPr>
      <w:tblStyleRowBandSize w:val="1"/>
      <w:tblStyleColBandSize w:val="1"/>
      <w:tblCellMar>
        <w:left w:w="115" w:type="dxa"/>
        <w:right w:w="115" w:type="dxa"/>
      </w:tblCellMar>
    </w:tblPr>
  </w:style>
  <w:style w:type="table" w:customStyle="1" w:styleId="46">
    <w:name w:val="46"/>
    <w:basedOn w:val="TableNormal16"/>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06B5C"/>
    <w:rPr>
      <w:vertAlign w:val="superscript"/>
    </w:rPr>
  </w:style>
  <w:style w:type="table" w:customStyle="1" w:styleId="45">
    <w:name w:val="45"/>
    <w:basedOn w:val="TableNormal16"/>
    <w:tblPr>
      <w:tblStyleRowBandSize w:val="1"/>
      <w:tblStyleColBandSize w:val="1"/>
      <w:tblCellMar>
        <w:left w:w="115" w:type="dxa"/>
        <w:right w:w="115" w:type="dxa"/>
      </w:tblCellMar>
    </w:tblPr>
  </w:style>
  <w:style w:type="table" w:customStyle="1" w:styleId="44">
    <w:name w:val="44"/>
    <w:basedOn w:val="TableNormal16"/>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43"/>
    <w:basedOn w:val="TableNormal20"/>
    <w:tblPr>
      <w:tblStyleRowBandSize w:val="1"/>
      <w:tblStyleColBandSize w:val="1"/>
      <w:tblCellMar>
        <w:left w:w="115" w:type="dxa"/>
        <w:right w:w="115" w:type="dxa"/>
      </w:tblCellMar>
    </w:tblPr>
  </w:style>
  <w:style w:type="table" w:customStyle="1" w:styleId="42">
    <w:name w:val="42"/>
    <w:basedOn w:val="TableNormal2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41">
    <w:name w:val="41"/>
    <w:basedOn w:val="TableNormal30"/>
    <w:tblPr>
      <w:tblStyleRowBandSize w:val="1"/>
      <w:tblStyleColBandSize w:val="1"/>
      <w:tblCellMar>
        <w:left w:w="108" w:type="dxa"/>
        <w:right w:w="108" w:type="dxa"/>
      </w:tblCellMar>
    </w:tblPr>
  </w:style>
  <w:style w:type="table" w:customStyle="1" w:styleId="40">
    <w:name w:val="40"/>
    <w:basedOn w:val="TableNormal30"/>
    <w:tblPr>
      <w:tblStyleRowBandSize w:val="1"/>
      <w:tblStyleColBandSize w:val="1"/>
      <w:tblCellMar>
        <w:left w:w="108" w:type="dxa"/>
        <w:right w:w="108" w:type="dxa"/>
      </w:tblCellMar>
    </w:tblPr>
  </w:style>
  <w:style w:type="table" w:customStyle="1" w:styleId="39">
    <w:name w:val="39"/>
    <w:basedOn w:val="TableNormal30"/>
    <w:tblPr>
      <w:tblStyleRowBandSize w:val="1"/>
      <w:tblStyleColBandSize w:val="1"/>
      <w:tblCellMar>
        <w:left w:w="108" w:type="dxa"/>
        <w:right w:w="108" w:type="dxa"/>
      </w:tblCellMar>
    </w:tblPr>
  </w:style>
  <w:style w:type="table" w:customStyle="1" w:styleId="38">
    <w:name w:val="38"/>
    <w:basedOn w:val="TableNormal30"/>
    <w:tblPr>
      <w:tblStyleRowBandSize w:val="1"/>
      <w:tblStyleColBandSize w:val="1"/>
      <w:tblCellMar>
        <w:left w:w="108" w:type="dxa"/>
        <w:right w:w="108" w:type="dxa"/>
      </w:tblCellMar>
    </w:tblPr>
  </w:style>
  <w:style w:type="table" w:customStyle="1" w:styleId="37">
    <w:name w:val="37"/>
    <w:basedOn w:val="TableNormal30"/>
    <w:tblPr>
      <w:tblStyleRowBandSize w:val="1"/>
      <w:tblStyleColBandSize w:val="1"/>
      <w:tblCellMar>
        <w:left w:w="108" w:type="dxa"/>
        <w:right w:w="108" w:type="dxa"/>
      </w:tblCellMar>
    </w:tblPr>
  </w:style>
  <w:style w:type="table" w:customStyle="1" w:styleId="36">
    <w:name w:val="36"/>
    <w:basedOn w:val="TableNormal30"/>
    <w:tblPr>
      <w:tblStyleRowBandSize w:val="1"/>
      <w:tblStyleColBandSize w:val="1"/>
      <w:tblCellMar>
        <w:left w:w="115" w:type="dxa"/>
        <w:right w:w="115" w:type="dxa"/>
      </w:tblCellMar>
    </w:tblPr>
  </w:style>
  <w:style w:type="table" w:customStyle="1" w:styleId="35">
    <w:name w:val="35"/>
    <w:basedOn w:val="TableNormal30"/>
    <w:tblPr>
      <w:tblStyleRowBandSize w:val="1"/>
      <w:tblStyleColBandSize w:val="1"/>
      <w:tblCellMar>
        <w:left w:w="115" w:type="dxa"/>
        <w:right w:w="115" w:type="dxa"/>
      </w:tblCellMar>
    </w:tblPr>
  </w:style>
  <w:style w:type="table" w:customStyle="1" w:styleId="34">
    <w:name w:val="34"/>
    <w:basedOn w:val="TableNormal4"/>
    <w:tblPr>
      <w:tblStyleRowBandSize w:val="1"/>
      <w:tblStyleColBandSize w:val="1"/>
      <w:tblCellMar>
        <w:left w:w="108" w:type="dxa"/>
        <w:right w:w="108" w:type="dxa"/>
      </w:tblCellMar>
    </w:tblPr>
  </w:style>
  <w:style w:type="table" w:customStyle="1" w:styleId="33">
    <w:name w:val="33"/>
    <w:basedOn w:val="TableNormal4"/>
    <w:tblPr>
      <w:tblStyleRowBandSize w:val="1"/>
      <w:tblStyleColBandSize w:val="1"/>
      <w:tblCellMar>
        <w:left w:w="115" w:type="dxa"/>
        <w:right w:w="115" w:type="dxa"/>
      </w:tblCellMar>
    </w:tblPr>
  </w:style>
  <w:style w:type="table" w:customStyle="1" w:styleId="32">
    <w:name w:val="32"/>
    <w:basedOn w:val="TableNormal4"/>
    <w:tblPr>
      <w:tblStyleRowBandSize w:val="1"/>
      <w:tblStyleColBandSize w:val="1"/>
      <w:tblCellMar>
        <w:left w:w="115" w:type="dxa"/>
        <w:right w:w="115" w:type="dxa"/>
      </w:tblCellMar>
    </w:tblPr>
  </w:style>
  <w:style w:type="table" w:customStyle="1" w:styleId="31">
    <w:name w:val="31"/>
    <w:basedOn w:val="TableNormal5"/>
    <w:tblPr>
      <w:tblStyleRowBandSize w:val="1"/>
      <w:tblStyleColBandSize w:val="1"/>
      <w:tblCellMar>
        <w:left w:w="115" w:type="dxa"/>
        <w:right w:w="115" w:type="dxa"/>
      </w:tblCellMar>
    </w:tblPr>
  </w:style>
  <w:style w:type="table" w:customStyle="1" w:styleId="30">
    <w:name w:val="30"/>
    <w:basedOn w:val="TableNormal5"/>
    <w:tblPr>
      <w:tblStyleRowBandSize w:val="1"/>
      <w:tblStyleColBandSize w:val="1"/>
      <w:tblCellMar>
        <w:left w:w="115" w:type="dxa"/>
        <w:right w:w="115" w:type="dxa"/>
      </w:tblCellMar>
    </w:tblPr>
  </w:style>
  <w:style w:type="table" w:customStyle="1" w:styleId="29">
    <w:name w:val="29"/>
    <w:basedOn w:val="TableNormal5"/>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7"/>
    <w:tblPr>
      <w:tblStyleRowBandSize w:val="1"/>
      <w:tblStyleColBandSize w:val="1"/>
      <w:tblCellMar>
        <w:left w:w="115" w:type="dxa"/>
        <w:right w:w="115" w:type="dxa"/>
      </w:tblCellMar>
    </w:tblPr>
  </w:style>
  <w:style w:type="table" w:customStyle="1" w:styleId="25">
    <w:name w:val="25"/>
    <w:basedOn w:val="TableNormal7"/>
    <w:tblPr>
      <w:tblStyleRowBandSize w:val="1"/>
      <w:tblStyleColBandSize w:val="1"/>
      <w:tblCellMar>
        <w:left w:w="115" w:type="dxa"/>
        <w:right w:w="115" w:type="dxa"/>
      </w:tblCellMar>
    </w:tblPr>
  </w:style>
  <w:style w:type="table" w:customStyle="1" w:styleId="24">
    <w:name w:val="24"/>
    <w:basedOn w:val="TableNormal8"/>
    <w:tblPr>
      <w:tblStyleRowBandSize w:val="1"/>
      <w:tblStyleColBandSize w:val="1"/>
      <w:tblCellMar>
        <w:left w:w="115" w:type="dxa"/>
        <w:right w:w="115" w:type="dxa"/>
      </w:tblCellMar>
    </w:tblPr>
  </w:style>
  <w:style w:type="table" w:customStyle="1" w:styleId="23">
    <w:name w:val="23"/>
    <w:basedOn w:val="TableNormal8"/>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22">
    <w:name w:val="22"/>
    <w:basedOn w:val="TableNormal9"/>
    <w:tblPr>
      <w:tblStyleRowBandSize w:val="1"/>
      <w:tblStyleColBandSize w:val="1"/>
      <w:tblCellMar>
        <w:left w:w="115" w:type="dxa"/>
        <w:right w:w="115" w:type="dxa"/>
      </w:tblCellMar>
    </w:tblPr>
  </w:style>
  <w:style w:type="table" w:customStyle="1" w:styleId="21">
    <w:name w:val="21"/>
    <w:basedOn w:val="TableNormal9"/>
    <w:tblPr>
      <w:tblStyleRowBandSize w:val="1"/>
      <w:tblStyleColBandSize w:val="1"/>
      <w:tblCellMar>
        <w:left w:w="115" w:type="dxa"/>
        <w:right w:w="115" w:type="dxa"/>
      </w:tblCellMar>
    </w:tblPr>
  </w:style>
  <w:style w:type="table" w:customStyle="1" w:styleId="20">
    <w:name w:val="20"/>
    <w:basedOn w:val="TableNormal10"/>
    <w:tblPr>
      <w:tblStyleRowBandSize w:val="1"/>
      <w:tblStyleColBandSize w:val="1"/>
      <w:tblCellMar>
        <w:left w:w="115" w:type="dxa"/>
        <w:right w:w="115" w:type="dxa"/>
      </w:tblCellMar>
    </w:tblPr>
  </w:style>
  <w:style w:type="table" w:customStyle="1" w:styleId="19">
    <w:name w:val="19"/>
    <w:basedOn w:val="TableNormal10"/>
    <w:tblPr>
      <w:tblStyleRowBandSize w:val="1"/>
      <w:tblStyleColBandSize w:val="1"/>
      <w:tblCellMar>
        <w:left w:w="115" w:type="dxa"/>
        <w:right w:w="115" w:type="dxa"/>
      </w:tblCellMar>
    </w:tblPr>
  </w:style>
  <w:style w:type="table" w:customStyle="1" w:styleId="18">
    <w:name w:val="18"/>
    <w:basedOn w:val="TableNormal11"/>
    <w:tblPr>
      <w:tblStyleRowBandSize w:val="1"/>
      <w:tblStyleColBandSize w:val="1"/>
      <w:tblCellMar>
        <w:left w:w="115" w:type="dxa"/>
        <w:right w:w="115" w:type="dxa"/>
      </w:tblCellMar>
    </w:tblPr>
  </w:style>
  <w:style w:type="table" w:customStyle="1" w:styleId="17">
    <w:name w:val="17"/>
    <w:basedOn w:val="TableNormal11"/>
    <w:tblPr>
      <w:tblStyleRowBandSize w:val="1"/>
      <w:tblStyleColBandSize w:val="1"/>
      <w:tblCellMar>
        <w:left w:w="115" w:type="dxa"/>
        <w:right w:w="115" w:type="dxa"/>
      </w:tblCellMar>
    </w:tblPr>
  </w:style>
  <w:style w:type="table" w:customStyle="1" w:styleId="16">
    <w:name w:val="16"/>
    <w:basedOn w:val="TableNormal12"/>
    <w:tblPr>
      <w:tblStyleRowBandSize w:val="1"/>
      <w:tblStyleColBandSize w:val="1"/>
      <w:tblCellMar>
        <w:left w:w="115" w:type="dxa"/>
        <w:right w:w="115" w:type="dxa"/>
      </w:tblCellMar>
    </w:tblPr>
  </w:style>
  <w:style w:type="table" w:customStyle="1" w:styleId="15">
    <w:name w:val="15"/>
    <w:basedOn w:val="TableNormal12"/>
    <w:tblPr>
      <w:tblStyleRowBandSize w:val="1"/>
      <w:tblStyleColBandSize w:val="1"/>
      <w:tblCellMar>
        <w:left w:w="115" w:type="dxa"/>
        <w:right w:w="115" w:type="dxa"/>
      </w:tblCellMar>
    </w:tblPr>
  </w:style>
  <w:style w:type="table" w:customStyle="1" w:styleId="14">
    <w:name w:val="14"/>
    <w:basedOn w:val="TableNormal13"/>
    <w:tblPr>
      <w:tblStyleRowBandSize w:val="1"/>
      <w:tblStyleColBandSize w:val="1"/>
      <w:tblCellMar>
        <w:left w:w="115" w:type="dxa"/>
        <w:right w:w="115" w:type="dxa"/>
      </w:tblCellMar>
    </w:tblPr>
  </w:style>
  <w:style w:type="table" w:customStyle="1" w:styleId="13">
    <w:name w:val="13"/>
    <w:basedOn w:val="TableNormal13"/>
    <w:tblPr>
      <w:tblStyleRowBandSize w:val="1"/>
      <w:tblStyleColBandSize w:val="1"/>
      <w:tblCellMar>
        <w:left w:w="115" w:type="dxa"/>
        <w:right w:w="115" w:type="dxa"/>
      </w:tblCellMar>
    </w:tblPr>
  </w:style>
  <w:style w:type="table" w:customStyle="1" w:styleId="12">
    <w:name w:val="12"/>
    <w:basedOn w:val="TableNormal14"/>
    <w:tblPr>
      <w:tblStyleRowBandSize w:val="1"/>
      <w:tblStyleColBandSize w:val="1"/>
      <w:tblCellMar>
        <w:left w:w="115" w:type="dxa"/>
        <w:right w:w="115" w:type="dxa"/>
      </w:tblCellMar>
    </w:tblPr>
  </w:style>
  <w:style w:type="table" w:customStyle="1" w:styleId="11">
    <w:name w:val="11"/>
    <w:basedOn w:val="TableNormal14"/>
    <w:tblPr>
      <w:tblStyleRowBandSize w:val="1"/>
      <w:tblStyleColBandSize w:val="1"/>
      <w:tblCellMar>
        <w:left w:w="115" w:type="dxa"/>
        <w:right w:w="115" w:type="dxa"/>
      </w:tblCellMar>
    </w:tblPr>
  </w:style>
  <w:style w:type="table" w:customStyle="1" w:styleId="10">
    <w:name w:val="10"/>
    <w:basedOn w:val="TableNormal15"/>
    <w:tblPr>
      <w:tblStyleRowBandSize w:val="1"/>
      <w:tblStyleColBandSize w:val="1"/>
      <w:tblCellMar>
        <w:left w:w="115" w:type="dxa"/>
        <w:right w:w="115" w:type="dxa"/>
      </w:tblCellMar>
    </w:tblPr>
  </w:style>
  <w:style w:type="table" w:customStyle="1" w:styleId="9">
    <w:name w:val="9"/>
    <w:basedOn w:val="TableNormal15"/>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paragraph" w:styleId="Lista">
    <w:name w:val="List"/>
    <w:basedOn w:val="Normal"/>
    <w:uiPriority w:val="99"/>
    <w:unhideWhenUsed/>
    <w:rsid w:val="0076259D"/>
    <w:pPr>
      <w:ind w:left="283" w:hanging="283"/>
      <w:contextualSpacing/>
    </w:pPr>
  </w:style>
  <w:style w:type="paragraph" w:styleId="Lista2">
    <w:name w:val="List 2"/>
    <w:basedOn w:val="Normal"/>
    <w:uiPriority w:val="99"/>
    <w:unhideWhenUsed/>
    <w:rsid w:val="0076259D"/>
    <w:pPr>
      <w:ind w:left="566" w:hanging="283"/>
      <w:contextualSpacing/>
    </w:pPr>
  </w:style>
  <w:style w:type="paragraph" w:styleId="Lista3">
    <w:name w:val="List 3"/>
    <w:basedOn w:val="Normal"/>
    <w:uiPriority w:val="99"/>
    <w:unhideWhenUsed/>
    <w:rsid w:val="0076259D"/>
    <w:pPr>
      <w:ind w:left="849" w:hanging="283"/>
      <w:contextualSpacing/>
    </w:pPr>
  </w:style>
  <w:style w:type="paragraph" w:styleId="Lista4">
    <w:name w:val="List 4"/>
    <w:basedOn w:val="Normal"/>
    <w:uiPriority w:val="99"/>
    <w:unhideWhenUsed/>
    <w:rsid w:val="0076259D"/>
    <w:pPr>
      <w:ind w:left="1132" w:hanging="283"/>
      <w:contextualSpacing/>
    </w:pPr>
  </w:style>
  <w:style w:type="paragraph" w:styleId="Lista5">
    <w:name w:val="List 5"/>
    <w:basedOn w:val="Normal"/>
    <w:uiPriority w:val="99"/>
    <w:unhideWhenUsed/>
    <w:rsid w:val="0076259D"/>
    <w:pPr>
      <w:ind w:left="1415" w:hanging="283"/>
      <w:contextualSpacing/>
    </w:pPr>
  </w:style>
  <w:style w:type="paragraph" w:styleId="Saludo">
    <w:name w:val="Salutation"/>
    <w:basedOn w:val="Normal"/>
    <w:next w:val="Normal"/>
    <w:link w:val="SaludoCar"/>
    <w:uiPriority w:val="99"/>
    <w:unhideWhenUsed/>
    <w:rsid w:val="0076259D"/>
  </w:style>
  <w:style w:type="character" w:customStyle="1" w:styleId="SaludoCar">
    <w:name w:val="Saludo Car"/>
    <w:basedOn w:val="Fuentedeprrafopredeter"/>
    <w:link w:val="Saludo"/>
    <w:uiPriority w:val="99"/>
    <w:rsid w:val="0076259D"/>
  </w:style>
  <w:style w:type="paragraph" w:styleId="Listaconvietas">
    <w:name w:val="List Bullet"/>
    <w:basedOn w:val="Normal"/>
    <w:uiPriority w:val="99"/>
    <w:unhideWhenUsed/>
    <w:rsid w:val="0076259D"/>
    <w:pPr>
      <w:numPr>
        <w:numId w:val="6"/>
      </w:numPr>
      <w:contextualSpacing/>
    </w:pPr>
  </w:style>
  <w:style w:type="paragraph" w:styleId="Listaconvietas2">
    <w:name w:val="List Bullet 2"/>
    <w:basedOn w:val="Normal"/>
    <w:uiPriority w:val="99"/>
    <w:unhideWhenUsed/>
    <w:rsid w:val="0076259D"/>
    <w:pPr>
      <w:numPr>
        <w:numId w:val="7"/>
      </w:numPr>
      <w:contextualSpacing/>
    </w:pPr>
  </w:style>
  <w:style w:type="paragraph" w:styleId="Continuarlista">
    <w:name w:val="List Continue"/>
    <w:basedOn w:val="Normal"/>
    <w:uiPriority w:val="99"/>
    <w:unhideWhenUsed/>
    <w:rsid w:val="0076259D"/>
    <w:pPr>
      <w:spacing w:after="120"/>
      <w:ind w:left="283"/>
      <w:contextualSpacing/>
    </w:pPr>
  </w:style>
  <w:style w:type="paragraph" w:styleId="Textoindependiente">
    <w:name w:val="Body Text"/>
    <w:basedOn w:val="Normal"/>
    <w:link w:val="TextoindependienteCar"/>
    <w:uiPriority w:val="99"/>
    <w:unhideWhenUsed/>
    <w:rsid w:val="0076259D"/>
    <w:pPr>
      <w:spacing w:after="120"/>
    </w:pPr>
  </w:style>
  <w:style w:type="character" w:customStyle="1" w:styleId="TextoindependienteCar">
    <w:name w:val="Texto independiente Car"/>
    <w:basedOn w:val="Fuentedeprrafopredeter"/>
    <w:link w:val="Textoindependiente"/>
    <w:uiPriority w:val="99"/>
    <w:rsid w:val="0076259D"/>
  </w:style>
  <w:style w:type="paragraph" w:styleId="Sangradetextonormal">
    <w:name w:val="Body Text Indent"/>
    <w:basedOn w:val="Normal"/>
    <w:link w:val="SangradetextonormalCar"/>
    <w:uiPriority w:val="99"/>
    <w:unhideWhenUsed/>
    <w:rsid w:val="0076259D"/>
    <w:pPr>
      <w:spacing w:after="120"/>
      <w:ind w:left="283"/>
    </w:pPr>
  </w:style>
  <w:style w:type="character" w:customStyle="1" w:styleId="SangradetextonormalCar">
    <w:name w:val="Sangría de texto normal Car"/>
    <w:basedOn w:val="Fuentedeprrafopredeter"/>
    <w:link w:val="Sangradetextonormal"/>
    <w:uiPriority w:val="99"/>
    <w:rsid w:val="0076259D"/>
  </w:style>
  <w:style w:type="paragraph" w:styleId="Textoindependienteprimerasangra2">
    <w:name w:val="Body Text First Indent 2"/>
    <w:basedOn w:val="Sangradetextonormal"/>
    <w:link w:val="Textoindependienteprimerasangra2Car"/>
    <w:uiPriority w:val="99"/>
    <w:unhideWhenUsed/>
    <w:rsid w:val="0076259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259D"/>
  </w:style>
  <w:style w:type="character" w:customStyle="1" w:styleId="Mencinsinresolver3">
    <w:name w:val="Mención sin resolver3"/>
    <w:basedOn w:val="Fuentedeprrafopredeter"/>
    <w:uiPriority w:val="99"/>
    <w:semiHidden/>
    <w:unhideWhenUsed/>
    <w:rsid w:val="00C90819"/>
    <w:rPr>
      <w:color w:val="605E5C"/>
      <w:shd w:val="clear" w:color="auto" w:fill="E1DFDD"/>
    </w:rPr>
  </w:style>
  <w:style w:type="character" w:customStyle="1" w:styleId="Mencinsinresolver4">
    <w:name w:val="Mención sin resolver4"/>
    <w:basedOn w:val="Fuentedeprrafopredeter"/>
    <w:uiPriority w:val="99"/>
    <w:semiHidden/>
    <w:unhideWhenUsed/>
    <w:rsid w:val="002C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3920">
      <w:bodyDiv w:val="1"/>
      <w:marLeft w:val="0"/>
      <w:marRight w:val="0"/>
      <w:marTop w:val="0"/>
      <w:marBottom w:val="0"/>
      <w:divBdr>
        <w:top w:val="none" w:sz="0" w:space="0" w:color="auto"/>
        <w:left w:val="none" w:sz="0" w:space="0" w:color="auto"/>
        <w:bottom w:val="none" w:sz="0" w:space="0" w:color="auto"/>
        <w:right w:val="none" w:sz="0" w:space="0" w:color="auto"/>
      </w:divBdr>
    </w:div>
    <w:div w:id="1328094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UmA8CbdtqGPvZMvoJJm3uf21g==">CgMxLjAyCWguM3JkY3JqbjIOaC5kYWozajJ4bzZxNjYyCGguZ2pkZ3hzMgloLjNkeTZ2a20yCWguMzBqMHpsbDIJaC4yczhleW8xMghoLnR5amN3dDIJaC4yZXQ5MnAwMgloLjI2aW4xcmcyCWguMTdkcDh2dTIIaC5sbnhiejk4AHIhMUpERlNuZGw5LUV0aHkyYUNyYlJzTExMdi1WQTkzblFP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7475</Words>
  <Characters>41117</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Maricela Villagómez Martínez</cp:lastModifiedBy>
  <cp:revision>2</cp:revision>
  <dcterms:created xsi:type="dcterms:W3CDTF">2026-04-07T17:13:00Z</dcterms:created>
  <dcterms:modified xsi:type="dcterms:W3CDTF">2026-04-07T17:13:00Z</dcterms:modified>
</cp:coreProperties>
</file>