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EF8" w:rsidRDefault="008D66D3">
      <w:pPr>
        <w:tabs>
          <w:tab w:val="left" w:pos="0"/>
        </w:tabs>
        <w:spacing w:line="360" w:lineRule="auto"/>
        <w:ind w:right="-989"/>
        <w:jc w:val="both"/>
        <w:rPr>
          <w:rFonts w:ascii="Palatino Linotype" w:eastAsia="Palatino Linotype" w:hAnsi="Palatino Linotype" w:cs="Palatino Linotype"/>
          <w:b/>
          <w:bCs/>
        </w:rPr>
      </w:pPr>
      <w:bookmarkStart w:id="0" w:name="_heading=h.sre9h05q4v0b" w:colFirst="0" w:colLast="0"/>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F93EF8" w:rsidRDefault="00F93EF8">
      <w:pPr>
        <w:tabs>
          <w:tab w:val="left" w:pos="567"/>
        </w:tabs>
        <w:spacing w:line="360" w:lineRule="auto"/>
        <w:ind w:right="-989"/>
        <w:jc w:val="both"/>
        <w:rPr>
          <w:rFonts w:ascii="Palatino Linotype" w:eastAsia="Palatino Linotype" w:hAnsi="Palatino Linotype" w:cs="Palatino Linotype"/>
        </w:rPr>
      </w:pPr>
    </w:p>
    <w:p w:rsidR="00F93EF8" w:rsidRDefault="008D66D3">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bookmarkStart w:id="1" w:name="_heading=h.gjdgxs" w:colFirst="0" w:colLast="0"/>
      <w:bookmarkEnd w:id="1"/>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1998/INFOEM/IP/RR/2026</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02008/INFOEM/IP/RR/2026 y 02038/INFOEM/IP/RR/2026 </w:t>
      </w:r>
      <w:r>
        <w:rPr>
          <w:rFonts w:ascii="Palatino Linotype" w:eastAsia="Palatino Linotype" w:hAnsi="Palatino Linotype" w:cs="Palatino Linotype"/>
          <w:color w:val="000000"/>
        </w:rPr>
        <w:t>acumulados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promovidos por   </w:t>
      </w:r>
      <w:r w:rsidR="005B1493">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las respuestas del </w:t>
      </w:r>
      <w:r>
        <w:rPr>
          <w:rFonts w:ascii="Palatino Linotype" w:eastAsia="Palatino Linotype" w:hAnsi="Palatino Linotype" w:cs="Palatino Linotype"/>
          <w:b/>
          <w:bCs/>
          <w:color w:val="000000"/>
        </w:rPr>
        <w:t>Ayuntamiento de Tepotzotlán</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5B1493" w:rsidRDefault="005B1493">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pStyle w:val="Ttulo1"/>
        <w:tabs>
          <w:tab w:val="left" w:pos="567"/>
        </w:tabs>
        <w:spacing w:before="0" w:line="360" w:lineRule="auto"/>
        <w:ind w:right="-989"/>
        <w:jc w:val="center"/>
        <w:rPr>
          <w:b w:val="0"/>
          <w:bCs w:val="0"/>
        </w:rPr>
      </w:pPr>
      <w:bookmarkStart w:id="2" w:name="_heading=h.30j0zll" w:colFirst="0" w:colLast="0"/>
      <w:bookmarkEnd w:id="2"/>
      <w:r>
        <w:t>A N T E C E D E N T E S</w:t>
      </w:r>
    </w:p>
    <w:p w:rsidR="00F93EF8" w:rsidRDefault="00F93EF8">
      <w:pPr>
        <w:pStyle w:val="Ttulo1"/>
        <w:tabs>
          <w:tab w:val="left" w:pos="567"/>
        </w:tabs>
        <w:spacing w:before="0" w:line="360" w:lineRule="auto"/>
        <w:ind w:right="-989"/>
      </w:pPr>
    </w:p>
    <w:p w:rsidR="00F93EF8" w:rsidRDefault="008D66D3">
      <w:pPr>
        <w:numPr>
          <w:ilvl w:val="0"/>
          <w:numId w:val="20"/>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ocho de septiembre de dos mil veinticinco respectivamente, 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las solicitudes de información pública registradas con los números</w:t>
      </w:r>
      <w:r>
        <w:rPr>
          <w:rFonts w:ascii="Palatino Linotype" w:eastAsia="Palatino Linotype" w:hAnsi="Palatino Linotype" w:cs="Palatino Linotype"/>
          <w:b/>
          <w:bCs/>
          <w:color w:val="000000"/>
        </w:rPr>
        <w:t xml:space="preserve"> 00037/TEPOTZOT/IP/2026, 00064/TEPOTZOT/IP/2026 y 00038/TEPOTZOT/IP/2026, </w:t>
      </w:r>
      <w:r>
        <w:rPr>
          <w:rFonts w:ascii="Palatino Linotype" w:eastAsia="Palatino Linotype" w:hAnsi="Palatino Linotype" w:cs="Palatino Linotype"/>
        </w:rPr>
        <w:t>en las que</w:t>
      </w:r>
      <w:r>
        <w:rPr>
          <w:rFonts w:ascii="Palatino Linotype" w:eastAsia="Palatino Linotype" w:hAnsi="Palatino Linotype" w:cs="Palatino Linotype"/>
          <w:color w:val="000000"/>
        </w:rPr>
        <w:t xml:space="preserve"> se solicitó la siguiente información:</w:t>
      </w:r>
    </w:p>
    <w:p w:rsidR="005B1493" w:rsidRDefault="005B1493">
      <w:pPr>
        <w:pBdr>
          <w:top w:val="nil"/>
          <w:left w:val="nil"/>
          <w:bottom w:val="nil"/>
          <w:right w:val="nil"/>
          <w:between w:val="nil"/>
        </w:pBdr>
        <w:spacing w:line="360" w:lineRule="auto"/>
        <w:ind w:left="1134" w:right="-989"/>
        <w:jc w:val="both"/>
        <w:rPr>
          <w:rFonts w:ascii="Palatino Linotype" w:eastAsia="Palatino Linotype" w:hAnsi="Palatino Linotype" w:cs="Palatino Linotype"/>
          <w:b/>
          <w:bCs/>
        </w:rPr>
      </w:pPr>
    </w:p>
    <w:p w:rsidR="00F93EF8" w:rsidRDefault="008D66D3">
      <w:pPr>
        <w:pBdr>
          <w:top w:val="nil"/>
          <w:left w:val="nil"/>
          <w:bottom w:val="nil"/>
          <w:right w:val="nil"/>
          <w:between w:val="nil"/>
        </w:pBdr>
        <w:spacing w:line="360"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rPr>
        <w:t>00037/TEPOTZOT/IP/2026:</w:t>
      </w:r>
    </w:p>
    <w:p w:rsidR="00F93EF8" w:rsidRDefault="008D66D3">
      <w:p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copia simple de las bitácoras de obra de todas las obras públicas ejecutadas en 2024 y 2025.” (Sic).</w:t>
      </w:r>
    </w:p>
    <w:p w:rsidR="00F93EF8" w:rsidRDefault="00F93EF8">
      <w:pPr>
        <w:pBdr>
          <w:top w:val="nil"/>
          <w:left w:val="nil"/>
          <w:bottom w:val="nil"/>
          <w:right w:val="nil"/>
          <w:between w:val="nil"/>
        </w:pBdr>
        <w:ind w:left="1134" w:right="-989"/>
        <w:jc w:val="center"/>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ind w:left="1134" w:right="-98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00064/TEPOTZOT/IP/2026 </w:t>
      </w:r>
    </w:p>
    <w:p w:rsidR="00F93EF8" w:rsidRDefault="008D66D3">
      <w:p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“Relación de obras públicas del ejercicio 2025 que no fueron concluidas, indicando: Obra Monto asignado Monto ejercido Avance físico y financiero Motivo de la no conclusión Estatus actual del recurso” (Sic).</w:t>
      </w:r>
    </w:p>
    <w:p w:rsidR="00F93EF8" w:rsidRDefault="008D66D3">
      <w:pPr>
        <w:pBdr>
          <w:top w:val="nil"/>
          <w:left w:val="nil"/>
          <w:bottom w:val="nil"/>
          <w:right w:val="nil"/>
          <w:between w:val="nil"/>
        </w:pBdr>
        <w:ind w:left="1134" w:right="-98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 </w:t>
      </w:r>
      <w:r>
        <w:rPr>
          <w:rFonts w:ascii="Palatino Linotype" w:eastAsia="Palatino Linotype" w:hAnsi="Palatino Linotype" w:cs="Palatino Linotype"/>
          <w:b/>
          <w:bCs/>
        </w:rPr>
        <w:t>00038/TEPOTZOT/IP/2026</w:t>
      </w:r>
    </w:p>
    <w:p w:rsidR="00F93EF8" w:rsidRDefault="008D66D3">
      <w:p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se informe qué obras públicas presentan retrasos, suspensión o abandono, indicando causa, responsable y acciones correctivas implementadas.” (Sic).</w:t>
      </w:r>
    </w:p>
    <w:p w:rsidR="00F93EF8" w:rsidRDefault="00F93EF8">
      <w:pPr>
        <w:pBdr>
          <w:top w:val="nil"/>
          <w:left w:val="nil"/>
          <w:bottom w:val="nil"/>
          <w:right w:val="nil"/>
          <w:between w:val="nil"/>
        </w:pBdr>
        <w:ind w:left="1134" w:right="-989"/>
        <w:rPr>
          <w:rFonts w:ascii="Palatino Linotype" w:eastAsia="Palatino Linotype" w:hAnsi="Palatino Linotype" w:cs="Palatino Linotype"/>
          <w:i/>
          <w:iCs/>
          <w:color w:val="000000"/>
        </w:rPr>
      </w:pPr>
    </w:p>
    <w:p w:rsidR="00F93EF8" w:rsidRDefault="008D66D3">
      <w:pPr>
        <w:numPr>
          <w:ilvl w:val="0"/>
          <w:numId w:val="21"/>
        </w:numPr>
        <w:pBdr>
          <w:top w:val="nil"/>
          <w:left w:val="nil"/>
          <w:bottom w:val="nil"/>
          <w:right w:val="nil"/>
          <w:between w:val="nil"/>
        </w:pBdr>
        <w:spacing w:line="360" w:lineRule="auto"/>
        <w:ind w:left="1134"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Modalidad de entrega: </w:t>
      </w:r>
      <w:r>
        <w:rPr>
          <w:rFonts w:ascii="Palatino Linotype" w:eastAsia="Palatino Linotype" w:hAnsi="Palatino Linotype" w:cs="Palatino Linotype"/>
          <w:color w:val="000000"/>
        </w:rPr>
        <w:t xml:space="preserve">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F93EF8" w:rsidRDefault="00F93EF8">
      <w:pPr>
        <w:pBdr>
          <w:top w:val="nil"/>
          <w:left w:val="nil"/>
          <w:bottom w:val="nil"/>
          <w:right w:val="nil"/>
          <w:between w:val="nil"/>
        </w:pBdr>
        <w:ind w:right="-989"/>
        <w:jc w:val="both"/>
        <w:rPr>
          <w:rFonts w:ascii="Palatino Linotype" w:eastAsia="Palatino Linotype" w:hAnsi="Palatino Linotype" w:cs="Palatino Linotype"/>
          <w:i/>
          <w:iCs/>
          <w:color w:val="000000"/>
        </w:rPr>
      </w:pPr>
    </w:p>
    <w:p w:rsidR="00F93EF8" w:rsidRDefault="008D66D3">
      <w:pPr>
        <w:numPr>
          <w:ilvl w:val="0"/>
          <w:numId w:val="4"/>
        </w:numPr>
        <w:pBdr>
          <w:top w:val="nil"/>
          <w:left w:val="nil"/>
          <w:bottom w:val="nil"/>
          <w:right w:val="nil"/>
          <w:between w:val="nil"/>
        </w:pBdr>
        <w:spacing w:before="240"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 las constancias que obran en el expediente electrónico del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se advierte que en fecha </w:t>
      </w:r>
      <w:r>
        <w:rPr>
          <w:rFonts w:ascii="Palatino Linotype" w:eastAsia="Palatino Linotype" w:hAnsi="Palatino Linotype" w:cs="Palatino Linotype"/>
          <w:b/>
          <w:bCs/>
          <w:color w:val="000000"/>
        </w:rPr>
        <w:t xml:space="preserve">tres de febrero de dos mil veintiséis, El Sujeto Obligado </w:t>
      </w:r>
      <w:r>
        <w:rPr>
          <w:rFonts w:ascii="Palatino Linotype" w:eastAsia="Palatino Linotype" w:hAnsi="Palatino Linotype" w:cs="Palatino Linotype"/>
          <w:color w:val="000000"/>
        </w:rPr>
        <w:t xml:space="preserve">solicitó prórroga de siete días para recabar la información solicitada y dar cumplimiento a lo requerido por </w:t>
      </w:r>
      <w:r>
        <w:rPr>
          <w:rFonts w:ascii="Palatino Linotype" w:eastAsia="Palatino Linotype" w:hAnsi="Palatino Linotype" w:cs="Palatino Linotype"/>
          <w:b/>
          <w:bCs/>
          <w:color w:val="000000"/>
        </w:rPr>
        <w:t xml:space="preserve">La Recurrente, </w:t>
      </w:r>
      <w:r>
        <w:rPr>
          <w:rFonts w:ascii="Palatino Linotype" w:eastAsia="Palatino Linotype" w:hAnsi="Palatino Linotype" w:cs="Palatino Linotype"/>
          <w:color w:val="000000"/>
        </w:rPr>
        <w:t>advirtiendo que dicha prórroga</w:t>
      </w:r>
      <w:r>
        <w:rPr>
          <w:rFonts w:ascii="Palatino Linotype" w:eastAsia="Palatino Linotype" w:hAnsi="Palatino Linotype" w:cs="Palatino Linotype"/>
          <w:b/>
          <w:bCs/>
          <w:color w:val="000000"/>
        </w:rPr>
        <w:t xml:space="preserve"> NO</w:t>
      </w:r>
      <w:r>
        <w:rPr>
          <w:rFonts w:ascii="Palatino Linotype" w:eastAsia="Palatino Linotype" w:hAnsi="Palatino Linotype" w:cs="Palatino Linotype"/>
          <w:color w:val="000000"/>
        </w:rPr>
        <w:t xml:space="preserve"> cumple con lo establecido en el artículo 49, fracción II, así como en el artículo 163 segundo párrafo, de la Ley de Transparencia y Acceso a la Información Pública del Estado de México y Municipios.</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F93EF8" w:rsidRDefault="008D66D3">
      <w:pPr>
        <w:numPr>
          <w:ilvl w:val="0"/>
          <w:numId w:val="4"/>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Derivado de lo anterior</w:t>
      </w:r>
      <w:r>
        <w:rPr>
          <w:rFonts w:ascii="Palatino Linotype" w:eastAsia="Palatino Linotype" w:hAnsi="Palatino Linotype" w:cs="Palatino Linotype"/>
          <w:b/>
          <w:bCs/>
          <w:color w:val="000000"/>
        </w:rPr>
        <w:t>, EL SUJETO OBLIGADO</w:t>
      </w:r>
      <w:r>
        <w:rPr>
          <w:rFonts w:ascii="Palatino Linotype" w:eastAsia="Palatino Linotype" w:hAnsi="Palatino Linotype" w:cs="Palatino Linotype"/>
          <w:color w:val="000000"/>
        </w:rPr>
        <w:t xml:space="preserve"> no proporcionó respuesta a las solicitudes de información dentro del plazo de quince días establecido en el artículo 163 de la Ley de Transparencia y Acceso a la Información Pública del Estado de México y Municipios.</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F93EF8" w:rsidRDefault="008D66D3">
      <w:pPr>
        <w:numPr>
          <w:ilvl w:val="0"/>
          <w:numId w:val="14"/>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Ante la falta de respuesta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los Recursos de Revisión el </w:t>
      </w:r>
      <w:r>
        <w:rPr>
          <w:rFonts w:ascii="Palatino Linotype" w:eastAsia="Palatino Linotype" w:hAnsi="Palatino Linotype" w:cs="Palatino Linotype"/>
          <w:b/>
          <w:bCs/>
          <w:color w:val="000000"/>
        </w:rPr>
        <w:t xml:space="preserve">dieciséis de febrero de dos mil veintiséis, </w:t>
      </w:r>
      <w:r>
        <w:rPr>
          <w:rFonts w:ascii="Palatino Linotype" w:eastAsia="Palatino Linotype" w:hAnsi="Palatino Linotype" w:cs="Palatino Linotype"/>
          <w:color w:val="000000"/>
        </w:rPr>
        <w:t xml:space="preserve">registrados en 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con números de expediente </w:t>
      </w:r>
      <w:r>
        <w:rPr>
          <w:rFonts w:ascii="Palatino Linotype" w:eastAsia="Palatino Linotype" w:hAnsi="Palatino Linotype" w:cs="Palatino Linotype"/>
          <w:b/>
          <w:bCs/>
        </w:rPr>
        <w:t>1998/INFOEM/IP/RR/2026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02008/INFOEM/IP/RR/2026 y 02038/INFOEM/IP/RR/2026</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cuales aduce las siguientes manifestaciones:</w:t>
      </w:r>
    </w:p>
    <w:p w:rsidR="00F93EF8" w:rsidRDefault="00F93EF8">
      <w:pPr>
        <w:pBdr>
          <w:top w:val="nil"/>
          <w:left w:val="nil"/>
          <w:bottom w:val="nil"/>
          <w:right w:val="nil"/>
          <w:between w:val="nil"/>
        </w:pBdr>
        <w:ind w:right="-989"/>
        <w:jc w:val="both"/>
        <w:rPr>
          <w:rFonts w:ascii="Palatino Linotype" w:eastAsia="Palatino Linotype" w:hAnsi="Palatino Linotype" w:cs="Palatino Linotype"/>
        </w:rPr>
      </w:pPr>
    </w:p>
    <w:p w:rsidR="005B1493" w:rsidRDefault="005B1493">
      <w:pPr>
        <w:pBdr>
          <w:top w:val="nil"/>
          <w:left w:val="nil"/>
          <w:bottom w:val="nil"/>
          <w:right w:val="nil"/>
          <w:between w:val="nil"/>
        </w:pBdr>
        <w:ind w:right="-989"/>
        <w:jc w:val="both"/>
        <w:rPr>
          <w:rFonts w:ascii="Palatino Linotype" w:eastAsia="Palatino Linotype" w:hAnsi="Palatino Linotype" w:cs="Palatino Linotype"/>
        </w:rPr>
      </w:pPr>
    </w:p>
    <w:p w:rsidR="005B1493" w:rsidRDefault="005B1493">
      <w:pPr>
        <w:pBdr>
          <w:top w:val="nil"/>
          <w:left w:val="nil"/>
          <w:bottom w:val="nil"/>
          <w:right w:val="nil"/>
          <w:between w:val="nil"/>
        </w:pBdr>
        <w:ind w:right="-989"/>
        <w:jc w:val="both"/>
        <w:rPr>
          <w:rFonts w:ascii="Palatino Linotype" w:eastAsia="Palatino Linotype" w:hAnsi="Palatino Linotype" w:cs="Palatino Linotype"/>
        </w:rPr>
      </w:pPr>
    </w:p>
    <w:p w:rsidR="005B1493" w:rsidRDefault="005B1493">
      <w:pPr>
        <w:pBdr>
          <w:top w:val="nil"/>
          <w:left w:val="nil"/>
          <w:bottom w:val="nil"/>
          <w:right w:val="nil"/>
          <w:between w:val="nil"/>
        </w:pBdr>
        <w:ind w:right="-989"/>
        <w:jc w:val="both"/>
        <w:rPr>
          <w:rFonts w:ascii="Palatino Linotype" w:eastAsia="Palatino Linotype" w:hAnsi="Palatino Linotype" w:cs="Palatino Linotype"/>
        </w:rPr>
      </w:pPr>
    </w:p>
    <w:p w:rsidR="005B1493" w:rsidRDefault="005B1493">
      <w:pPr>
        <w:pBdr>
          <w:top w:val="nil"/>
          <w:left w:val="nil"/>
          <w:bottom w:val="nil"/>
          <w:right w:val="nil"/>
          <w:between w:val="nil"/>
        </w:pBdr>
        <w:ind w:right="-989"/>
        <w:jc w:val="both"/>
        <w:rPr>
          <w:rFonts w:ascii="Palatino Linotype" w:eastAsia="Palatino Linotype" w:hAnsi="Palatino Linotype" w:cs="Palatino Linotype"/>
        </w:rPr>
      </w:pPr>
      <w:bookmarkStart w:id="3" w:name="_GoBack"/>
      <w:bookmarkEnd w:id="3"/>
    </w:p>
    <w:p w:rsidR="00F93EF8" w:rsidRDefault="008D66D3">
      <w:pPr>
        <w:spacing w:line="360" w:lineRule="auto"/>
        <w:ind w:left="426" w:right="-989"/>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1998/INFOEM/IP/RR/2026 </w:t>
      </w:r>
      <w:r>
        <w:rPr>
          <w:rFonts w:ascii="Palatino Linotype" w:eastAsia="Palatino Linotype" w:hAnsi="Palatino Linotype" w:cs="Palatino Linotype"/>
          <w:i/>
          <w:iCs/>
        </w:rPr>
        <w:t>(00037/TEPOTZOT/IP/2026)</w:t>
      </w:r>
      <w:r>
        <w:rPr>
          <w:rFonts w:ascii="Palatino Linotype" w:eastAsia="Palatino Linotype" w:hAnsi="Palatino Linotype" w:cs="Palatino Linotype"/>
          <w:b/>
          <w:bCs/>
        </w:rPr>
        <w:t>:</w:t>
      </w:r>
    </w:p>
    <w:p w:rsidR="00F93EF8" w:rsidRDefault="008D66D3">
      <w:pPr>
        <w:numPr>
          <w:ilvl w:val="0"/>
          <w:numId w:val="24"/>
        </w:numPr>
        <w:spacing w:line="360" w:lineRule="auto"/>
        <w:ind w:right="-989"/>
        <w:jc w:val="both"/>
        <w:rPr>
          <w:rFonts w:ascii="Palatino Linotype" w:eastAsia="Palatino Linotype" w:hAnsi="Palatino Linotype" w:cs="Palatino Linotype"/>
          <w:color w:val="000000"/>
        </w:rPr>
      </w:pPr>
      <w:bookmarkStart w:id="4" w:name="_heading=h.9cztjmjg47qf" w:colFirst="0" w:colLast="0"/>
      <w:bookmarkEnd w:id="4"/>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p>
    <w:p w:rsidR="00F93EF8" w:rsidRDefault="008D66D3">
      <w:pPr>
        <w:spacing w:line="276" w:lineRule="auto"/>
        <w:ind w:left="426"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r>
        <w:rPr>
          <w:rFonts w:ascii="Palatino Linotype" w:eastAsia="Palatino Linotype" w:hAnsi="Palatino Linotype" w:cs="Palatino Linotype"/>
          <w:i/>
          <w:iCs/>
          <w:color w:val="000000"/>
        </w:rPr>
        <w:t>Solicito copia simple de las bitácoras de obra de todas las obras públicas ejecutadas en 2024 y 2025.”</w:t>
      </w:r>
      <w:r>
        <w:rPr>
          <w:rFonts w:ascii="Palatino Linotype" w:eastAsia="Palatino Linotype" w:hAnsi="Palatino Linotype" w:cs="Palatino Linotype"/>
          <w:b/>
          <w:bCs/>
          <w:i/>
          <w:iCs/>
          <w:color w:val="000000"/>
        </w:rPr>
        <w:t>(Sic)</w:t>
      </w:r>
    </w:p>
    <w:p w:rsidR="00F93EF8" w:rsidRDefault="008D66D3">
      <w:pPr>
        <w:numPr>
          <w:ilvl w:val="0"/>
          <w:numId w:val="22"/>
        </w:num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p>
    <w:p w:rsidR="00F93EF8" w:rsidRDefault="008D66D3">
      <w:pPr>
        <w:spacing w:line="276" w:lineRule="auto"/>
        <w:ind w:left="425"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w:t>
      </w:r>
      <w:r>
        <w:rPr>
          <w:rFonts w:ascii="Palatino Linotype" w:eastAsia="Palatino Linotype" w:hAnsi="Palatino Linotype" w:cs="Palatino Linotype"/>
          <w:i/>
          <w:iCs/>
          <w:color w:val="000000"/>
        </w:rPr>
        <w:lastRenderedPageBreak/>
        <w:t>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correspondiente.”(Sic)</w:t>
      </w:r>
    </w:p>
    <w:p w:rsidR="00F93EF8" w:rsidRDefault="00F93EF8">
      <w:pPr>
        <w:ind w:left="425" w:right="-989"/>
        <w:jc w:val="both"/>
        <w:rPr>
          <w:rFonts w:ascii="Palatino Linotype" w:eastAsia="Palatino Linotype" w:hAnsi="Palatino Linotype" w:cs="Palatino Linotype"/>
          <w:b/>
          <w:bCs/>
          <w:i/>
          <w:iCs/>
          <w:color w:val="000000"/>
        </w:rPr>
      </w:pPr>
    </w:p>
    <w:p w:rsidR="00F93EF8" w:rsidRDefault="008D66D3">
      <w:pPr>
        <w:spacing w:line="360" w:lineRule="auto"/>
        <w:ind w:left="426" w:right="-98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 02008/INFOEM/IP/RR/2026</w:t>
      </w:r>
      <w:r>
        <w:rPr>
          <w:rFonts w:ascii="Palatino Linotype" w:eastAsia="Palatino Linotype" w:hAnsi="Palatino Linotype" w:cs="Palatino Linotype"/>
          <w:i/>
          <w:iCs/>
        </w:rPr>
        <w:t>(00064/TEPOTZOT/IP/2026)</w:t>
      </w:r>
      <w:r>
        <w:rPr>
          <w:rFonts w:ascii="Palatino Linotype" w:eastAsia="Palatino Linotype" w:hAnsi="Palatino Linotype" w:cs="Palatino Linotype"/>
          <w:b/>
          <w:bCs/>
        </w:rPr>
        <w:t xml:space="preserve">: </w:t>
      </w:r>
    </w:p>
    <w:p w:rsidR="00F93EF8" w:rsidRDefault="008D66D3">
      <w:pPr>
        <w:numPr>
          <w:ilvl w:val="0"/>
          <w:numId w:val="2"/>
        </w:num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p>
    <w:p w:rsidR="00F93EF8" w:rsidRDefault="008D66D3">
      <w:pPr>
        <w:spacing w:line="360" w:lineRule="auto"/>
        <w:ind w:left="425"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r>
        <w:rPr>
          <w:rFonts w:ascii="Palatino Linotype" w:eastAsia="Palatino Linotype" w:hAnsi="Palatino Linotype" w:cs="Palatino Linotype"/>
          <w:i/>
          <w:iCs/>
          <w:color w:val="000000"/>
        </w:rPr>
        <w:t>Relación de obras públicas del ejercicio 2025 que no fueron concluidas, indicando: Obra Monto asignado Monto ejercido Avance físico y financiero Motivo de la no conclusión Estatus actual del recurso</w:t>
      </w:r>
      <w:r>
        <w:rPr>
          <w:rFonts w:ascii="Palatino Linotype" w:eastAsia="Palatino Linotype" w:hAnsi="Palatino Linotype" w:cs="Palatino Linotype"/>
          <w:b/>
          <w:bCs/>
          <w:i/>
          <w:iCs/>
          <w:color w:val="000000"/>
        </w:rPr>
        <w:t>”(Sic)</w:t>
      </w:r>
    </w:p>
    <w:p w:rsidR="00F93EF8" w:rsidRDefault="00F93EF8">
      <w:pPr>
        <w:spacing w:line="360" w:lineRule="auto"/>
        <w:ind w:left="425" w:right="-989"/>
        <w:jc w:val="both"/>
        <w:rPr>
          <w:rFonts w:ascii="Palatino Linotype" w:eastAsia="Palatino Linotype" w:hAnsi="Palatino Linotype" w:cs="Palatino Linotype"/>
          <w:b/>
          <w:bCs/>
          <w:i/>
          <w:iCs/>
          <w:color w:val="000000"/>
        </w:rPr>
      </w:pPr>
    </w:p>
    <w:p w:rsidR="00F93EF8" w:rsidRDefault="008D66D3">
      <w:pPr>
        <w:numPr>
          <w:ilvl w:val="0"/>
          <w:numId w:val="3"/>
        </w:num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p>
    <w:p w:rsidR="00F93EF8" w:rsidRDefault="008D66D3">
      <w:pPr>
        <w:spacing w:line="276" w:lineRule="auto"/>
        <w:ind w:left="425"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w:t>
      </w:r>
      <w:r>
        <w:rPr>
          <w:rFonts w:ascii="Palatino Linotype" w:eastAsia="Palatino Linotype" w:hAnsi="Palatino Linotype" w:cs="Palatino Linotype"/>
          <w:i/>
          <w:iCs/>
          <w:color w:val="000000"/>
        </w:rPr>
        <w:lastRenderedPageBreak/>
        <w:t>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correspondiente.”(Sic)</w:t>
      </w:r>
    </w:p>
    <w:p w:rsidR="00BB4A9A" w:rsidRDefault="00BB4A9A">
      <w:pPr>
        <w:spacing w:line="276" w:lineRule="auto"/>
        <w:ind w:left="425" w:right="-989"/>
        <w:jc w:val="both"/>
        <w:rPr>
          <w:rFonts w:ascii="Palatino Linotype" w:eastAsia="Palatino Linotype" w:hAnsi="Palatino Linotype" w:cs="Palatino Linotype"/>
          <w:i/>
          <w:iCs/>
          <w:color w:val="000000"/>
        </w:rPr>
      </w:pPr>
    </w:p>
    <w:p w:rsidR="00F93EF8" w:rsidRDefault="008D66D3">
      <w:pPr>
        <w:spacing w:line="360" w:lineRule="auto"/>
        <w:ind w:left="426" w:right="-989"/>
        <w:jc w:val="both"/>
        <w:rPr>
          <w:rFonts w:ascii="Palatino Linotype" w:eastAsia="Palatino Linotype" w:hAnsi="Palatino Linotype" w:cs="Palatino Linotype"/>
          <w:b/>
          <w:bCs/>
        </w:rPr>
      </w:pPr>
      <w:r>
        <w:rPr>
          <w:rFonts w:ascii="Palatino Linotype" w:eastAsia="Palatino Linotype" w:hAnsi="Palatino Linotype" w:cs="Palatino Linotype"/>
          <w:b/>
          <w:bCs/>
        </w:rPr>
        <w:t>02038/INFOEM/IP/RR/2026</w:t>
      </w:r>
      <w:r>
        <w:rPr>
          <w:rFonts w:ascii="Palatino Linotype" w:eastAsia="Palatino Linotype" w:hAnsi="Palatino Linotype" w:cs="Palatino Linotype"/>
          <w:i/>
          <w:iCs/>
        </w:rPr>
        <w:t>(00038/TEPOTZOT/IP/2026)</w:t>
      </w:r>
      <w:r>
        <w:rPr>
          <w:rFonts w:ascii="Palatino Linotype" w:eastAsia="Palatino Linotype" w:hAnsi="Palatino Linotype" w:cs="Palatino Linotype"/>
          <w:b/>
          <w:bCs/>
        </w:rPr>
        <w:t>:</w:t>
      </w:r>
    </w:p>
    <w:p w:rsidR="00F93EF8" w:rsidRDefault="008D66D3">
      <w:pPr>
        <w:numPr>
          <w:ilvl w:val="0"/>
          <w:numId w:val="23"/>
        </w:num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p>
    <w:p w:rsidR="00F93EF8" w:rsidRDefault="008D66D3">
      <w:pPr>
        <w:spacing w:line="276" w:lineRule="auto"/>
        <w:ind w:left="425"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w:t>
      </w:r>
      <w:r>
        <w:rPr>
          <w:rFonts w:ascii="Palatino Linotype" w:eastAsia="Palatino Linotype" w:hAnsi="Palatino Linotype" w:cs="Palatino Linotype"/>
          <w:i/>
          <w:iCs/>
          <w:color w:val="000000"/>
        </w:rPr>
        <w:t>Solicito se informe qué obras públicas presentan retrasos, suspensión o abandono, indicando causa, responsable y acciones correctivas implementadas.</w:t>
      </w:r>
      <w:r>
        <w:rPr>
          <w:rFonts w:ascii="Palatino Linotype" w:eastAsia="Palatino Linotype" w:hAnsi="Palatino Linotype" w:cs="Palatino Linotype"/>
          <w:b/>
          <w:bCs/>
          <w:i/>
          <w:iCs/>
          <w:color w:val="000000"/>
        </w:rPr>
        <w:t>”(Sic)</w:t>
      </w:r>
    </w:p>
    <w:p w:rsidR="00F93EF8" w:rsidRDefault="00F93EF8">
      <w:pPr>
        <w:spacing w:line="276" w:lineRule="auto"/>
        <w:ind w:left="425" w:right="-989"/>
        <w:jc w:val="both"/>
        <w:rPr>
          <w:rFonts w:ascii="Palatino Linotype" w:eastAsia="Palatino Linotype" w:hAnsi="Palatino Linotype" w:cs="Palatino Linotype"/>
          <w:b/>
          <w:bCs/>
          <w:i/>
          <w:iCs/>
          <w:color w:val="000000"/>
        </w:rPr>
      </w:pPr>
    </w:p>
    <w:p w:rsidR="00BB4A9A" w:rsidRDefault="00BB4A9A">
      <w:pPr>
        <w:spacing w:line="276" w:lineRule="auto"/>
        <w:ind w:left="425" w:right="-989"/>
        <w:jc w:val="both"/>
        <w:rPr>
          <w:rFonts w:ascii="Palatino Linotype" w:eastAsia="Palatino Linotype" w:hAnsi="Palatino Linotype" w:cs="Palatino Linotype"/>
          <w:b/>
          <w:bCs/>
          <w:i/>
          <w:iCs/>
          <w:color w:val="000000"/>
        </w:rPr>
      </w:pPr>
    </w:p>
    <w:p w:rsidR="00F93EF8" w:rsidRDefault="008D66D3">
      <w:pPr>
        <w:numPr>
          <w:ilvl w:val="0"/>
          <w:numId w:val="1"/>
        </w:numP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p>
    <w:p w:rsidR="00F93EF8" w:rsidRDefault="008D66D3">
      <w:pPr>
        <w:spacing w:line="276" w:lineRule="auto"/>
        <w:ind w:left="425"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w:t>
      </w:r>
      <w:r>
        <w:rPr>
          <w:rFonts w:ascii="Palatino Linotype" w:eastAsia="Palatino Linotype" w:hAnsi="Palatino Linotype" w:cs="Palatino Linotype"/>
          <w:i/>
          <w:iCs/>
          <w:color w:val="000000"/>
        </w:rPr>
        <w:lastRenderedPageBreak/>
        <w:t>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correspondiente.”(Sic)</w:t>
      </w:r>
    </w:p>
    <w:p w:rsidR="00F93EF8" w:rsidRDefault="00F93EF8">
      <w:pPr>
        <w:ind w:right="-989"/>
        <w:jc w:val="both"/>
        <w:rPr>
          <w:rFonts w:ascii="Palatino Linotype" w:eastAsia="Palatino Linotype" w:hAnsi="Palatino Linotype" w:cs="Palatino Linotype"/>
          <w:i/>
          <w:iCs/>
          <w:color w:val="000000"/>
        </w:rPr>
      </w:pPr>
    </w:p>
    <w:p w:rsidR="00F93EF8" w:rsidRDefault="008D66D3">
      <w:pPr>
        <w:numPr>
          <w:ilvl w:val="0"/>
          <w:numId w:val="14"/>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Consecutivamente, con fundamento en lo dispuesto por el artículo 185 fracción I de la Ley de Transparencia y Acceso a la Información Pública del Estado de México y Municipios, los recursos de referencia, fueron turnados a la Comisionada María del Rosario Mejía Ayala, Guadalupe Ramírez Peña y José Martínez Vilchis, con el objeto de su análisis.</w:t>
      </w:r>
    </w:p>
    <w:p w:rsidR="00F93EF8" w:rsidRDefault="00F93EF8">
      <w:pPr>
        <w:pBdr>
          <w:top w:val="nil"/>
          <w:left w:val="nil"/>
          <w:bottom w:val="nil"/>
          <w:right w:val="nil"/>
          <w:between w:val="nil"/>
        </w:pBdr>
        <w:spacing w:line="360" w:lineRule="auto"/>
        <w:ind w:left="720" w:right="-989"/>
        <w:jc w:val="both"/>
        <w:rPr>
          <w:rFonts w:ascii="Palatino Linotype" w:eastAsia="Palatino Linotype" w:hAnsi="Palatino Linotype" w:cs="Palatino Linotype"/>
          <w:color w:val="000000"/>
        </w:rPr>
      </w:pPr>
    </w:p>
    <w:p w:rsidR="00F93EF8" w:rsidRPr="00BB4A9A" w:rsidRDefault="008D66D3">
      <w:pPr>
        <w:numPr>
          <w:ilvl w:val="0"/>
          <w:numId w:val="14"/>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Los Comisionados Ponentes, con fundamento en lo dispuesto por el artículo 185 fracción II de la ley de la materia, a través de los acuerdos de admisión notificados en fechas diecisiete y diecinueve de febrero de dos mil veintiséis, pusieron a disposición de las partes el expediente electrónico vía Sistema de Acceso a la Información Mexiquense SAIMEX a efecto de que en un plazo máximo de siete días manifestara lo que a su derecho conviniera, ofreciera pruebas y alegatos según correspondiera a los casos concretos, de esta forma para que el SUJETO OBLIGADO presentará el Informe Justificado procedente.</w:t>
      </w:r>
    </w:p>
    <w:p w:rsidR="00BB4A9A" w:rsidRDefault="00BB4A9A" w:rsidP="00BB4A9A">
      <w:pPr>
        <w:pBdr>
          <w:top w:val="nil"/>
          <w:left w:val="nil"/>
          <w:bottom w:val="nil"/>
          <w:right w:val="nil"/>
          <w:between w:val="nil"/>
        </w:pBdr>
        <w:spacing w:line="360" w:lineRule="auto"/>
        <w:ind w:right="-989"/>
        <w:jc w:val="both"/>
        <w:rPr>
          <w:color w:val="000000"/>
        </w:rPr>
      </w:pPr>
    </w:p>
    <w:p w:rsidR="00F93EF8" w:rsidRDefault="008D66D3">
      <w:pPr>
        <w:numPr>
          <w:ilvl w:val="0"/>
          <w:numId w:val="14"/>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De las constancias que obran en el expediente digital del recurso de revisión que hoy se resuelve, se aprecia que el SUJETO OBLIGADO  presentó dentro de los recursos en fecha </w:t>
      </w:r>
      <w:r>
        <w:rPr>
          <w:rFonts w:ascii="Palatino Linotype" w:eastAsia="Palatino Linotype" w:hAnsi="Palatino Linotype" w:cs="Palatino Linotype"/>
          <w:color w:val="000000"/>
        </w:rPr>
        <w:lastRenderedPageBreak/>
        <w:t xml:space="preserve">veinticinco de febrero de dos mil veintiséis un archivo en formato pdf denominado </w:t>
      </w:r>
      <w:r>
        <w:rPr>
          <w:rFonts w:ascii="Palatino Linotype" w:eastAsia="Palatino Linotype" w:hAnsi="Palatino Linotype" w:cs="Palatino Linotype"/>
          <w:b/>
          <w:bCs/>
          <w:i/>
          <w:iCs/>
          <w:color w:val="000000"/>
        </w:rPr>
        <w:t>DOP-146-2026_0001.pdf</w:t>
      </w:r>
      <w:r>
        <w:rPr>
          <w:rFonts w:ascii="Palatino Linotype" w:eastAsia="Palatino Linotype" w:hAnsi="Palatino Linotype" w:cs="Palatino Linotype"/>
          <w:color w:val="000000"/>
        </w:rPr>
        <w:t xml:space="preserve"> donde el Director de Obras Públicas refiere lo siguiente:</w:t>
      </w:r>
    </w:p>
    <w:p w:rsidR="00F93EF8" w:rsidRDefault="008D66D3">
      <w:p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1998/INFOEM/IP/RR/2026 </w:t>
      </w:r>
      <w:r>
        <w:rPr>
          <w:rFonts w:ascii="Palatino Linotype" w:eastAsia="Palatino Linotype" w:hAnsi="Palatino Linotype" w:cs="Palatino Linotype"/>
          <w:i/>
          <w:iCs/>
          <w:color w:val="000000"/>
        </w:rPr>
        <w:t>(00037/TEPOTZOT/IP/2026): Que después de una búsqueda exhaustiva y minuciosa informa que la carga de la información se imposibilita en el SAIMEX debido al “gran almacenaje que ocupa” refiriendo el cambio de modalidad a consulta directa.</w:t>
      </w:r>
    </w:p>
    <w:p w:rsidR="00F93EF8" w:rsidRDefault="008D66D3">
      <w:p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02008/INFOEM/IP/RR/2026</w:t>
      </w:r>
      <w:r>
        <w:rPr>
          <w:rFonts w:ascii="Palatino Linotype" w:eastAsia="Palatino Linotype" w:hAnsi="Palatino Linotype" w:cs="Palatino Linotype"/>
          <w:i/>
          <w:iCs/>
          <w:color w:val="000000"/>
        </w:rPr>
        <w:t>(00064/TEPOTZOT/IP/2026): Que después de una búsqueda exhaustiva y minuciosa informa que no encontró la información con las referencias mencionadas.</w:t>
      </w:r>
    </w:p>
    <w:p w:rsidR="00F93EF8" w:rsidRDefault="008D66D3">
      <w:p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02038/INFOEM/IP/RR/2026</w:t>
      </w:r>
      <w:r>
        <w:rPr>
          <w:rFonts w:ascii="Palatino Linotype" w:eastAsia="Palatino Linotype" w:hAnsi="Palatino Linotype" w:cs="Palatino Linotype"/>
          <w:i/>
          <w:iCs/>
          <w:color w:val="000000"/>
        </w:rPr>
        <w:t>(00038/TEPOTZOT/IP/2026): Que después de una búsqueda exhaustiva y minuciosa informa que no encontró la información con las referencias mencionadas.</w:t>
      </w:r>
    </w:p>
    <w:p w:rsidR="00F93EF8" w:rsidRDefault="00F93EF8">
      <w:pPr>
        <w:pBdr>
          <w:top w:val="nil"/>
          <w:left w:val="nil"/>
          <w:bottom w:val="nil"/>
          <w:right w:val="nil"/>
          <w:between w:val="nil"/>
        </w:pBdr>
        <w:ind w:left="1134" w:right="-989"/>
        <w:rPr>
          <w:rFonts w:ascii="Palatino Linotype" w:eastAsia="Palatino Linotype" w:hAnsi="Palatino Linotype" w:cs="Palatino Linotype"/>
          <w:color w:val="000000"/>
        </w:rPr>
      </w:pPr>
    </w:p>
    <w:p w:rsidR="00F93EF8" w:rsidRDefault="008D66D3">
      <w:pPr>
        <w:numPr>
          <w:ilvl w:val="0"/>
          <w:numId w:val="14"/>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Por su parte EL RECURRENTE  dejó de realizar manifestaciones que a su derecho conviniera y asistieran.</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numPr>
          <w:ilvl w:val="0"/>
          <w:numId w:val="14"/>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b/>
          <w:bCs/>
          <w:color w:val="000000"/>
        </w:rPr>
        <w:t>dieciséis y veintiocho de abril de dos mil veintiséis</w:t>
      </w:r>
      <w:r>
        <w:rPr>
          <w:rFonts w:ascii="Palatino Linotype" w:eastAsia="Palatino Linotype" w:hAnsi="Palatino Linotype" w:cs="Palatino Linotype"/>
          <w:color w:val="000000"/>
        </w:rPr>
        <w:t>, se acordó ampliar el término para resolver el presente asunto.</w:t>
      </w:r>
    </w:p>
    <w:p w:rsidR="00F93EF8" w:rsidRDefault="00F93EF8">
      <w:pPr>
        <w:pBdr>
          <w:top w:val="nil"/>
          <w:left w:val="nil"/>
          <w:bottom w:val="nil"/>
          <w:right w:val="nil"/>
          <w:between w:val="nil"/>
        </w:pBdr>
        <w:ind w:right="-989"/>
        <w:rPr>
          <w:rFonts w:ascii="Palatino Linotype" w:eastAsia="Palatino Linotype" w:hAnsi="Palatino Linotype" w:cs="Palatino Linotype"/>
          <w:b/>
          <w:bCs/>
          <w:color w:val="000000"/>
        </w:rPr>
      </w:pPr>
    </w:p>
    <w:p w:rsidR="00F93EF8" w:rsidRDefault="008D66D3">
      <w:pPr>
        <w:numPr>
          <w:ilvl w:val="0"/>
          <w:numId w:val="14"/>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F93EF8" w:rsidRDefault="00F93EF8">
      <w:pPr>
        <w:pBdr>
          <w:top w:val="nil"/>
          <w:left w:val="nil"/>
          <w:bottom w:val="nil"/>
          <w:right w:val="nil"/>
          <w:between w:val="nil"/>
        </w:pBdr>
        <w:ind w:left="720" w:right="-989"/>
        <w:rPr>
          <w:rFonts w:ascii="Palatino Linotype" w:eastAsia="Palatino Linotype" w:hAnsi="Palatino Linotype" w:cs="Palatino Linotype"/>
          <w:color w:val="000000"/>
        </w:rPr>
      </w:pPr>
    </w:p>
    <w:p w:rsidR="00F93EF8" w:rsidRDefault="008D66D3">
      <w:pPr>
        <w:numPr>
          <w:ilvl w:val="0"/>
          <w:numId w:val="14"/>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En fecha once de mayo de dos mil veintiséis, al advertir la conexidad de causa y con la finalidad de evitar que se dicten resoluciones contradictorias, de conformidad con el artículo 195 de la Ley de Transparencia y Acceso a la Información Pública del Estado de </w:t>
      </w:r>
      <w:r>
        <w:rPr>
          <w:rFonts w:ascii="Palatino Linotype" w:eastAsia="Palatino Linotype" w:hAnsi="Palatino Linotype" w:cs="Palatino Linotype"/>
          <w:color w:val="000000"/>
        </w:rPr>
        <w:lastRenderedPageBreak/>
        <w:t xml:space="preserve">México y Municipios y artículo 18 del Código de Procedimientos Administrativos del Estado de México, se acordó la acumulación de los recursos </w:t>
      </w:r>
      <w:r>
        <w:rPr>
          <w:rFonts w:ascii="Palatino Linotype" w:eastAsia="Palatino Linotype" w:hAnsi="Palatino Linotype" w:cs="Palatino Linotype"/>
          <w:b/>
          <w:bCs/>
          <w:color w:val="000000"/>
        </w:rPr>
        <w:t>1998/INFOEM/IP/RR/2026</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02008/INFOEM/IP/RR/2026 y 02038/INFOEM/IP/RR/2026</w:t>
      </w:r>
      <w:r>
        <w:rPr>
          <w:rFonts w:ascii="Palatino Linotype" w:eastAsia="Palatino Linotype" w:hAnsi="Palatino Linotype" w:cs="Palatino Linotype"/>
          <w:color w:val="000000"/>
        </w:rPr>
        <w:t>, concertando que fuera Ponente la Comisionada María del Rosario Mejía Ayala.</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numPr>
          <w:ilvl w:val="0"/>
          <w:numId w:val="5"/>
        </w:numPr>
        <w:spacing w:line="360" w:lineRule="auto"/>
        <w:ind w:left="0" w:right="-98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Comisionada Ponente decretó el cierre de instrucción mediante acuerdos del </w:t>
      </w:r>
      <w:r>
        <w:rPr>
          <w:rFonts w:ascii="Palatino Linotype" w:eastAsia="Palatino Linotype" w:hAnsi="Palatino Linotype" w:cs="Palatino Linotype"/>
          <w:b/>
          <w:bCs/>
        </w:rPr>
        <w:t xml:space="preserve">veintiocho de abril y once de mayo de dos mil veintiséis; </w:t>
      </w:r>
      <w:r>
        <w:rPr>
          <w:rFonts w:ascii="Palatino Linotype" w:eastAsia="Palatino Linotype" w:hAnsi="Palatino Linotype" w:cs="Palatino Linotype"/>
        </w:rPr>
        <w:t xml:space="preserve">por lo que en virtud de que el expediente electrónico ha sido debidamente substanciado y no existir diligencia pendiente de desahogo, se procede a emitir la presente resolución que conforme a Derecho corresponda y </w:t>
      </w:r>
    </w:p>
    <w:p w:rsidR="00F93EF8" w:rsidRDefault="008D66D3">
      <w:pPr>
        <w:pStyle w:val="Ttulo1"/>
        <w:tabs>
          <w:tab w:val="left" w:pos="567"/>
        </w:tabs>
        <w:spacing w:before="0" w:line="360" w:lineRule="auto"/>
        <w:ind w:right="-989"/>
        <w:jc w:val="center"/>
      </w:pPr>
      <w:bookmarkStart w:id="5" w:name="_heading=h.tyjcwt" w:colFirst="0" w:colLast="0"/>
      <w:bookmarkEnd w:id="5"/>
      <w:r>
        <w:t>C O N S I D E R A N D O</w:t>
      </w:r>
    </w:p>
    <w:p w:rsidR="00F93EF8" w:rsidRDefault="00F93EF8">
      <w:pPr>
        <w:spacing w:line="360" w:lineRule="auto"/>
        <w:ind w:right="-989"/>
        <w:rPr>
          <w:rFonts w:ascii="Palatino Linotype" w:eastAsia="Palatino Linotype" w:hAnsi="Palatino Linotype" w:cs="Palatino Linotype"/>
        </w:rPr>
      </w:pPr>
    </w:p>
    <w:p w:rsidR="00F93EF8" w:rsidRDefault="008D66D3">
      <w:pPr>
        <w:pStyle w:val="Ttulo1"/>
        <w:tabs>
          <w:tab w:val="left" w:pos="567"/>
        </w:tabs>
        <w:spacing w:before="0" w:line="360" w:lineRule="auto"/>
        <w:ind w:right="-989"/>
      </w:pPr>
      <w:bookmarkStart w:id="6" w:name="_heading=h.3dy6vkm" w:colFirst="0" w:colLast="0"/>
      <w:bookmarkEnd w:id="6"/>
      <w:r>
        <w:t>PRIMERO. De la competencia</w:t>
      </w:r>
    </w:p>
    <w:p w:rsidR="00F93EF8" w:rsidRDefault="008D66D3">
      <w:pPr>
        <w:numPr>
          <w:ilvl w:val="0"/>
          <w:numId w:val="16"/>
        </w:numPr>
        <w:pBdr>
          <w:top w:val="nil"/>
          <w:left w:val="nil"/>
          <w:bottom w:val="nil"/>
          <w:right w:val="nil"/>
          <w:between w:val="nil"/>
        </w:pBdr>
        <w:tabs>
          <w:tab w:val="left" w:pos="426"/>
          <w:tab w:val="left" w:pos="567"/>
        </w:tabs>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93EF8" w:rsidRDefault="00F93EF8">
      <w:pPr>
        <w:pStyle w:val="Ttulo2"/>
        <w:spacing w:before="0" w:line="360" w:lineRule="auto"/>
        <w:ind w:right="-989"/>
      </w:pPr>
      <w:bookmarkStart w:id="7" w:name="_heading=h.995rgh4mfki6" w:colFirst="0" w:colLast="0"/>
      <w:bookmarkEnd w:id="7"/>
    </w:p>
    <w:p w:rsidR="00F93EF8" w:rsidRDefault="008D66D3">
      <w:pPr>
        <w:pStyle w:val="Ttulo2"/>
        <w:spacing w:before="0" w:line="360" w:lineRule="auto"/>
        <w:ind w:right="-989"/>
      </w:pPr>
      <w:bookmarkStart w:id="8" w:name="_heading=h.1t3h5sf" w:colFirst="0" w:colLast="0"/>
      <w:bookmarkEnd w:id="8"/>
      <w:r>
        <w:t>SEGUNDO. De la oportunidad y procedencia.</w:t>
      </w:r>
    </w:p>
    <w:p w:rsidR="00F93EF8" w:rsidRDefault="008D66D3">
      <w:pPr>
        <w:numPr>
          <w:ilvl w:val="0"/>
          <w:numId w:val="17"/>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 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dentro de los plazos establecidos en la Ley de Transparencia Local, a una solicitud de acceso a la información pública, el recurso podrá ser interpuesto en cualquier momento, por lo que la interposición del presente recurso de revisión resulta oportuna.</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numPr>
          <w:ilvl w:val="0"/>
          <w:numId w:val="18"/>
        </w:num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93EF8" w:rsidRDefault="00F93EF8">
      <w:pPr>
        <w:ind w:right="-989"/>
        <w:rPr>
          <w:rFonts w:ascii="Palatino Linotype" w:eastAsia="Palatino Linotype" w:hAnsi="Palatino Linotype" w:cs="Palatino Linotype"/>
        </w:rPr>
      </w:pPr>
    </w:p>
    <w:p w:rsidR="00F93EF8" w:rsidRDefault="008D66D3">
      <w:pPr>
        <w:pStyle w:val="Ttulo1"/>
        <w:spacing w:before="0" w:line="360" w:lineRule="auto"/>
        <w:ind w:right="-989"/>
      </w:pPr>
      <w:r>
        <w:t xml:space="preserve">TERCERO. Del planteamiento de la </w:t>
      </w:r>
      <w:r>
        <w:rPr>
          <w:i/>
          <w:iCs/>
        </w:rPr>
        <w:t>Litis</w:t>
      </w:r>
      <w:r>
        <w:t>.</w:t>
      </w:r>
    </w:p>
    <w:p w:rsidR="00F93EF8" w:rsidRDefault="008D66D3">
      <w:pPr>
        <w:numPr>
          <w:ilvl w:val="0"/>
          <w:numId w:val="6"/>
        </w:numPr>
        <w:pBdr>
          <w:top w:val="nil"/>
          <w:left w:val="nil"/>
          <w:bottom w:val="nil"/>
          <w:right w:val="nil"/>
          <w:between w:val="nil"/>
        </w:pBdr>
        <w:spacing w:line="360" w:lineRule="auto"/>
        <w:ind w:left="0" w:right="-98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F93EF8" w:rsidRDefault="008D66D3">
      <w:p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1998/INFOEM/IP/RR/2026: </w:t>
      </w:r>
    </w:p>
    <w:p w:rsidR="00F93EF8" w:rsidRDefault="008D66D3">
      <w:pPr>
        <w:numPr>
          <w:ilvl w:val="0"/>
          <w:numId w:val="7"/>
        </w:numPr>
        <w:pBdr>
          <w:top w:val="nil"/>
          <w:left w:val="nil"/>
          <w:bottom w:val="nil"/>
          <w:right w:val="nil"/>
          <w:between w:val="nil"/>
        </w:pBdr>
        <w:spacing w:line="360" w:lineRule="auto"/>
        <w:ind w:right="-989" w:hanging="36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copia simple de las bitácoras de obra de todas las obras públicas ejecutadas en 2024 y 2025. </w:t>
      </w:r>
    </w:p>
    <w:p w:rsidR="00F93EF8" w:rsidRDefault="008D66D3">
      <w:p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02008/INFOEM/IP/RR/2026: </w:t>
      </w:r>
    </w:p>
    <w:p w:rsidR="00F93EF8" w:rsidRDefault="008D66D3">
      <w:pPr>
        <w:numPr>
          <w:ilvl w:val="0"/>
          <w:numId w:val="7"/>
        </w:numPr>
        <w:pBdr>
          <w:top w:val="nil"/>
          <w:left w:val="nil"/>
          <w:bottom w:val="nil"/>
          <w:right w:val="nil"/>
          <w:between w:val="nil"/>
        </w:pBdr>
        <w:spacing w:line="360" w:lineRule="auto"/>
        <w:ind w:right="-989" w:hanging="36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Relación de obras públicas del ejercicio 2025 que no fueron concluidas, indicando: Obra, Monto asignado, Monto ejercido Avance físico y financiero Motivo de la no conclusión, estatus actual del recurso.</w:t>
      </w:r>
    </w:p>
    <w:p w:rsidR="00BB4A9A" w:rsidRDefault="00BB4A9A">
      <w:pPr>
        <w:spacing w:line="360" w:lineRule="auto"/>
        <w:ind w:right="-989"/>
        <w:jc w:val="both"/>
        <w:rPr>
          <w:rFonts w:ascii="Palatino Linotype" w:eastAsia="Palatino Linotype" w:hAnsi="Palatino Linotype" w:cs="Palatino Linotype"/>
          <w:b/>
          <w:bCs/>
        </w:rPr>
      </w:pPr>
    </w:p>
    <w:p w:rsidR="00BB4A9A" w:rsidRDefault="00BB4A9A">
      <w:pPr>
        <w:spacing w:line="360" w:lineRule="auto"/>
        <w:ind w:right="-989"/>
        <w:jc w:val="both"/>
        <w:rPr>
          <w:rFonts w:ascii="Palatino Linotype" w:eastAsia="Palatino Linotype" w:hAnsi="Palatino Linotype" w:cs="Palatino Linotype"/>
          <w:b/>
          <w:bCs/>
        </w:rPr>
      </w:pPr>
    </w:p>
    <w:p w:rsidR="00F93EF8" w:rsidRDefault="008D66D3">
      <w:pP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b/>
          <w:bCs/>
        </w:rPr>
        <w:t>02038/INFOEM/IP/RR/2026:</w:t>
      </w:r>
    </w:p>
    <w:p w:rsidR="00F93EF8" w:rsidRDefault="008D66D3">
      <w:pPr>
        <w:numPr>
          <w:ilvl w:val="0"/>
          <w:numId w:val="7"/>
        </w:numPr>
        <w:pBdr>
          <w:top w:val="nil"/>
          <w:left w:val="nil"/>
          <w:bottom w:val="nil"/>
          <w:right w:val="nil"/>
          <w:between w:val="nil"/>
        </w:pBdr>
        <w:spacing w:line="360" w:lineRule="auto"/>
        <w:ind w:right="-989" w:hanging="360"/>
        <w:jc w:val="both"/>
        <w:rPr>
          <w:rFonts w:ascii="Palatino Linotype" w:eastAsia="Palatino Linotype" w:hAnsi="Palatino Linotype" w:cs="Palatino Linotype"/>
          <w:b/>
          <w:bCs/>
          <w:color w:val="000000"/>
        </w:rPr>
      </w:pPr>
      <w:r>
        <w:rPr>
          <w:rFonts w:ascii="Palatino Linotype" w:eastAsia="Palatino Linotype" w:hAnsi="Palatino Linotype" w:cs="Palatino Linotype"/>
          <w:i/>
          <w:iCs/>
          <w:color w:val="000000"/>
        </w:rPr>
        <w:t>Relación de obras públicas que presentan retrasos, suspensión o abandono, indicando causa, responsable y acciones correctivas implementadas.</w:t>
      </w:r>
    </w:p>
    <w:p w:rsidR="00F93EF8" w:rsidRDefault="00F93EF8">
      <w:pPr>
        <w:spacing w:line="360" w:lineRule="auto"/>
        <w:ind w:left="993" w:right="-989"/>
        <w:jc w:val="both"/>
        <w:rPr>
          <w:rFonts w:ascii="Palatino Linotype" w:eastAsia="Palatino Linotype" w:hAnsi="Palatino Linotype" w:cs="Palatino Linotype"/>
          <w:b/>
          <w:bCs/>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emitió para las solicitudes su informe justificado  en términos del numeral sexto de la presente resolución.</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Posteriormente,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interpuso recurso de revisión en el que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w:t>
      </w:r>
      <w:r>
        <w:rPr>
          <w:rFonts w:ascii="Palatino Linotype" w:eastAsia="Palatino Linotype" w:hAnsi="Palatino Linotype" w:cs="Palatino Linotype"/>
          <w:b/>
          <w:bCs/>
          <w:color w:val="000000"/>
        </w:rPr>
        <w:t>la negativa de la información.</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i/>
          <w:iCs/>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w:t>
      </w:r>
    </w:p>
    <w:p w:rsidR="00F93EF8" w:rsidRDefault="00F93EF8">
      <w:pPr>
        <w:pStyle w:val="Ttulo1"/>
        <w:spacing w:before="0" w:line="360" w:lineRule="auto"/>
        <w:ind w:right="-989"/>
      </w:pPr>
    </w:p>
    <w:p w:rsidR="00F93EF8" w:rsidRDefault="008D66D3">
      <w:pPr>
        <w:pStyle w:val="Ttulo1"/>
        <w:spacing w:before="0" w:line="360" w:lineRule="auto"/>
        <w:ind w:right="-989"/>
      </w:pPr>
      <w:r>
        <w:t>CUARTO. Del estudio y resolución del asunto.</w:t>
      </w: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w:t>
      </w:r>
      <w:r>
        <w:rPr>
          <w:rFonts w:ascii="Palatino Linotype" w:eastAsia="Palatino Linotype" w:hAnsi="Palatino Linotype" w:cs="Palatino Linotype"/>
          <w:color w:val="000000"/>
        </w:rPr>
        <w:lastRenderedPageBreak/>
        <w:t>A), fracción I de la Constitución Política de los Estados Unidos Mexicanos, el cual establece que toda la información en posesión de cualquier autoridad es pública y sólo podrá ser reservada temporalmente por razones de interés público.</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F93EF8" w:rsidRDefault="00F93EF8">
      <w:pPr>
        <w:spacing w:line="360" w:lineRule="auto"/>
        <w:ind w:right="-989"/>
        <w:jc w:val="both"/>
        <w:rPr>
          <w:rFonts w:ascii="Palatino Linotype" w:eastAsia="Palatino Linotype" w:hAnsi="Palatino Linotype" w:cs="Palatino Linotype"/>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Finalmente, es relevante mencionar que el artículo 19 del ordenamiento local de la materia señala que se presume que la información debe existir si se refiere a las facultades, competencias y funciones que los ordenamientos jurídicos aplicables otorgan a los sujetos </w:t>
      </w:r>
      <w:r>
        <w:rPr>
          <w:rFonts w:ascii="Palatino Linotype" w:eastAsia="Palatino Linotype" w:hAnsi="Palatino Linotype" w:cs="Palatino Linotype"/>
          <w:color w:val="000000"/>
        </w:rPr>
        <w:lastRenderedPageBreak/>
        <w:t>obligados y en caso de que dichas facultades no se hayan ejercido, se deberá motivar la respuesta en función de las causas que motivaron tal circunstancia.</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Ante la falta de respuesta del Sujeto Obligado,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interpuso recursos de revisión en los que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por la negativa a la entrega de la información por parte de aquel.</w:t>
      </w:r>
    </w:p>
    <w:p w:rsidR="00F93EF8" w:rsidRDefault="00F93EF8">
      <w:pPr>
        <w:pBdr>
          <w:top w:val="nil"/>
          <w:left w:val="nil"/>
          <w:bottom w:val="nil"/>
          <w:right w:val="nil"/>
          <w:between w:val="nil"/>
        </w:pBdr>
        <w:ind w:left="720" w:right="-989"/>
        <w:rPr>
          <w:rFonts w:ascii="Palatino Linotype" w:eastAsia="Palatino Linotype" w:hAnsi="Palatino Linotype" w:cs="Palatino Linotype"/>
          <w:color w:val="000000"/>
        </w:rPr>
      </w:pPr>
    </w:p>
    <w:p w:rsidR="00F93EF8" w:rsidRDefault="008D66D3">
      <w:pPr>
        <w:numPr>
          <w:ilvl w:val="0"/>
          <w:numId w:val="8"/>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de  reiterar la información solicitada por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así como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mediante el siguiente cuadro descriptivo:</w:t>
      </w:r>
    </w:p>
    <w:tbl>
      <w:tblPr>
        <w:tblStyle w:val="a"/>
        <w:tblW w:w="9720" w:type="dxa"/>
        <w:jc w:val="center"/>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400" w:firstRow="0" w:lastRow="0" w:firstColumn="0" w:lastColumn="0" w:noHBand="0" w:noVBand="1"/>
      </w:tblPr>
      <w:tblGrid>
        <w:gridCol w:w="3465"/>
        <w:gridCol w:w="3285"/>
        <w:gridCol w:w="2970"/>
      </w:tblGrid>
      <w:tr w:rsidR="00F93EF8" w:rsidTr="00BB4A9A">
        <w:trPr>
          <w:jc w:val="center"/>
        </w:trPr>
        <w:tc>
          <w:tcPr>
            <w:tcW w:w="3465" w:type="dxa"/>
            <w:shd w:val="clear" w:color="auto" w:fill="EEECE1"/>
            <w:vAlign w:val="center"/>
          </w:tcPr>
          <w:p w:rsidR="00F93EF8" w:rsidRDefault="008D66D3" w:rsidP="00BB4A9A">
            <w:pPr>
              <w:ind w:right="-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INFORMACIÓN SOLICITADA</w:t>
            </w:r>
          </w:p>
        </w:tc>
        <w:tc>
          <w:tcPr>
            <w:tcW w:w="3285" w:type="dxa"/>
            <w:shd w:val="clear" w:color="auto" w:fill="EEECE1"/>
            <w:vAlign w:val="center"/>
          </w:tcPr>
          <w:p w:rsidR="00F93EF8" w:rsidRDefault="008D66D3" w:rsidP="00BB4A9A">
            <w:pPr>
              <w:ind w:right="-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RESPUESTA</w:t>
            </w:r>
          </w:p>
        </w:tc>
        <w:tc>
          <w:tcPr>
            <w:tcW w:w="2970" w:type="dxa"/>
            <w:shd w:val="clear" w:color="auto" w:fill="EEECE1"/>
            <w:vAlign w:val="center"/>
          </w:tcPr>
          <w:p w:rsidR="00F93EF8" w:rsidRDefault="008D66D3" w:rsidP="00BB4A9A">
            <w:pPr>
              <w:ind w:right="-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CUMPLIMIENTO</w:t>
            </w:r>
          </w:p>
        </w:tc>
      </w:tr>
      <w:tr w:rsidR="00F93EF8" w:rsidTr="00BB4A9A">
        <w:trPr>
          <w:jc w:val="center"/>
        </w:trPr>
        <w:tc>
          <w:tcPr>
            <w:tcW w:w="3465" w:type="dxa"/>
            <w:vAlign w:val="center"/>
          </w:tcPr>
          <w:p w:rsidR="00F93EF8" w:rsidRDefault="008D66D3">
            <w:pPr>
              <w:pBdr>
                <w:top w:val="nil"/>
                <w:left w:val="nil"/>
                <w:bottom w:val="nil"/>
                <w:right w:val="nil"/>
                <w:between w:val="nil"/>
              </w:pBdr>
              <w:ind w:right="-4"/>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1998/INFOEM/IP/RR/2026 </w:t>
            </w:r>
            <w:r>
              <w:rPr>
                <w:rFonts w:ascii="Palatino Linotype" w:eastAsia="Palatino Linotype" w:hAnsi="Palatino Linotype" w:cs="Palatino Linotype"/>
              </w:rPr>
              <w:t>bitácoras de obra de todas las obras públicas ejecutadas en 2024 y 2025</w:t>
            </w:r>
          </w:p>
        </w:tc>
        <w:tc>
          <w:tcPr>
            <w:tcW w:w="3285" w:type="dxa"/>
            <w:vAlign w:val="center"/>
          </w:tcPr>
          <w:p w:rsidR="00F93EF8" w:rsidRDefault="008D66D3">
            <w:pPr>
              <w:ind w:right="-4"/>
              <w:rPr>
                <w:rFonts w:ascii="Palatino Linotype" w:eastAsia="Palatino Linotype" w:hAnsi="Palatino Linotype" w:cs="Palatino Linotype"/>
                <w:i/>
                <w:iCs/>
              </w:rPr>
            </w:pPr>
            <w:r>
              <w:rPr>
                <w:rFonts w:ascii="Palatino Linotype" w:eastAsia="Palatino Linotype" w:hAnsi="Palatino Linotype" w:cs="Palatino Linotype"/>
                <w:i/>
                <w:iCs/>
              </w:rPr>
              <w:t>Refiere cambio de modalidad a consulta directa en razón del “gran almacenaje que ocupa”</w:t>
            </w:r>
          </w:p>
        </w:tc>
        <w:tc>
          <w:tcPr>
            <w:tcW w:w="2970" w:type="dxa"/>
            <w:vAlign w:val="center"/>
          </w:tcPr>
          <w:p w:rsidR="00F93EF8" w:rsidRDefault="008D66D3" w:rsidP="00BB4A9A">
            <w:pPr>
              <w:ind w:right="-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w:t>
            </w:r>
          </w:p>
        </w:tc>
      </w:tr>
      <w:tr w:rsidR="00F93EF8" w:rsidTr="00BB4A9A">
        <w:trPr>
          <w:jc w:val="center"/>
        </w:trPr>
        <w:tc>
          <w:tcPr>
            <w:tcW w:w="3465" w:type="dxa"/>
            <w:vAlign w:val="center"/>
          </w:tcPr>
          <w:p w:rsidR="00F93EF8" w:rsidRDefault="008D66D3">
            <w:pPr>
              <w:pBdr>
                <w:top w:val="nil"/>
                <w:left w:val="nil"/>
                <w:bottom w:val="nil"/>
                <w:right w:val="nil"/>
                <w:between w:val="nil"/>
              </w:pBdr>
              <w:ind w:right="-4"/>
              <w:rPr>
                <w:rFonts w:ascii="Palatino Linotype" w:eastAsia="Palatino Linotype" w:hAnsi="Palatino Linotype" w:cs="Palatino Linotype"/>
                <w:b/>
                <w:bCs/>
              </w:rPr>
            </w:pPr>
            <w:r>
              <w:rPr>
                <w:rFonts w:ascii="Palatino Linotype" w:eastAsia="Palatino Linotype" w:hAnsi="Palatino Linotype" w:cs="Palatino Linotype"/>
                <w:b/>
                <w:bCs/>
              </w:rPr>
              <w:t>02008/INFOEM/IP/RR/2026</w:t>
            </w:r>
          </w:p>
          <w:p w:rsidR="00F93EF8" w:rsidRDefault="008D66D3">
            <w:pPr>
              <w:pBdr>
                <w:top w:val="nil"/>
                <w:left w:val="nil"/>
                <w:bottom w:val="nil"/>
                <w:right w:val="nil"/>
                <w:between w:val="nil"/>
              </w:pBdr>
              <w:ind w:right="-4"/>
              <w:rPr>
                <w:rFonts w:ascii="Palatino Linotype" w:eastAsia="Palatino Linotype" w:hAnsi="Palatino Linotype" w:cs="Palatino Linotype"/>
              </w:rPr>
            </w:pPr>
            <w:r>
              <w:rPr>
                <w:rFonts w:ascii="Palatino Linotype" w:eastAsia="Palatino Linotype" w:hAnsi="Palatino Linotype" w:cs="Palatino Linotype"/>
              </w:rPr>
              <w:t>b)</w:t>
            </w:r>
            <w:r>
              <w:rPr>
                <w:rFonts w:ascii="Palatino Linotype" w:eastAsia="Palatino Linotype" w:hAnsi="Palatino Linotype" w:cs="Palatino Linotype"/>
              </w:rPr>
              <w:tab/>
              <w:t>Relación de obras públicas del ejercicio 2025 que no fueron concluidas, indicando: Obra, Monto asignado, Monto ejercido Avance físico y financiero Motivo de la no conclusión, Estatus actual del recurso</w:t>
            </w:r>
          </w:p>
        </w:tc>
        <w:tc>
          <w:tcPr>
            <w:tcW w:w="3285" w:type="dxa"/>
            <w:vAlign w:val="center"/>
          </w:tcPr>
          <w:p w:rsidR="00F93EF8" w:rsidRDefault="008D66D3">
            <w:pPr>
              <w:ind w:right="-4"/>
              <w:rPr>
                <w:rFonts w:ascii="Palatino Linotype" w:eastAsia="Palatino Linotype" w:hAnsi="Palatino Linotype" w:cs="Palatino Linotype"/>
                <w:i/>
                <w:iCs/>
              </w:rPr>
            </w:pPr>
            <w:r>
              <w:rPr>
                <w:rFonts w:ascii="Palatino Linotype" w:eastAsia="Palatino Linotype" w:hAnsi="Palatino Linotype" w:cs="Palatino Linotype"/>
                <w:i/>
                <w:iCs/>
              </w:rPr>
              <w:t>Refiere que después de una búsqueda minuciosa no fue posible localizarla</w:t>
            </w:r>
          </w:p>
        </w:tc>
        <w:tc>
          <w:tcPr>
            <w:tcW w:w="2970" w:type="dxa"/>
            <w:vAlign w:val="center"/>
          </w:tcPr>
          <w:p w:rsidR="00F93EF8" w:rsidRDefault="008D66D3" w:rsidP="00BB4A9A">
            <w:pPr>
              <w:ind w:right="-4"/>
              <w:jc w:val="center"/>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NO</w:t>
            </w:r>
          </w:p>
        </w:tc>
      </w:tr>
      <w:tr w:rsidR="00F93EF8" w:rsidTr="00BB4A9A">
        <w:trPr>
          <w:jc w:val="center"/>
        </w:trPr>
        <w:tc>
          <w:tcPr>
            <w:tcW w:w="3465" w:type="dxa"/>
            <w:vAlign w:val="center"/>
          </w:tcPr>
          <w:p w:rsidR="00F93EF8" w:rsidRDefault="008D66D3">
            <w:pPr>
              <w:pBdr>
                <w:top w:val="nil"/>
                <w:left w:val="nil"/>
                <w:bottom w:val="nil"/>
                <w:right w:val="nil"/>
                <w:between w:val="nil"/>
              </w:pBdr>
              <w:ind w:right="-4"/>
              <w:rPr>
                <w:rFonts w:ascii="Palatino Linotype" w:eastAsia="Palatino Linotype" w:hAnsi="Palatino Linotype" w:cs="Palatino Linotype"/>
                <w:b/>
                <w:bCs/>
              </w:rPr>
            </w:pPr>
            <w:r>
              <w:rPr>
                <w:rFonts w:ascii="Palatino Linotype" w:eastAsia="Palatino Linotype" w:hAnsi="Palatino Linotype" w:cs="Palatino Linotype"/>
                <w:b/>
                <w:bCs/>
              </w:rPr>
              <w:t>02038/INFOEM/IP/RR/2026</w:t>
            </w:r>
          </w:p>
          <w:p w:rsidR="00F93EF8" w:rsidRDefault="008D66D3">
            <w:pPr>
              <w:pBdr>
                <w:top w:val="nil"/>
                <w:left w:val="nil"/>
                <w:bottom w:val="nil"/>
                <w:right w:val="nil"/>
                <w:between w:val="nil"/>
              </w:pBdr>
              <w:ind w:right="-4"/>
              <w:rPr>
                <w:rFonts w:ascii="Palatino Linotype" w:eastAsia="Palatino Linotype" w:hAnsi="Palatino Linotype" w:cs="Palatino Linotype"/>
              </w:rPr>
            </w:pPr>
            <w:r>
              <w:rPr>
                <w:rFonts w:ascii="Palatino Linotype" w:eastAsia="Palatino Linotype" w:hAnsi="Palatino Linotype" w:cs="Palatino Linotype"/>
              </w:rPr>
              <w:t>c)</w:t>
            </w:r>
            <w:r>
              <w:rPr>
                <w:rFonts w:ascii="Palatino Linotype" w:eastAsia="Palatino Linotype" w:hAnsi="Palatino Linotype" w:cs="Palatino Linotype"/>
              </w:rPr>
              <w:tab/>
              <w:t>Relación de obras públicas que presentan retrasos, suspensión o abandono, indicando causa, responsable y acciones correctivas implementadas</w:t>
            </w:r>
          </w:p>
        </w:tc>
        <w:tc>
          <w:tcPr>
            <w:tcW w:w="3285" w:type="dxa"/>
            <w:vAlign w:val="center"/>
          </w:tcPr>
          <w:p w:rsidR="00F93EF8" w:rsidRDefault="008D66D3">
            <w:pPr>
              <w:ind w:right="-4"/>
              <w:rPr>
                <w:rFonts w:ascii="Palatino Linotype" w:eastAsia="Palatino Linotype" w:hAnsi="Palatino Linotype" w:cs="Palatino Linotype"/>
                <w:i/>
                <w:iCs/>
              </w:rPr>
            </w:pPr>
            <w:r>
              <w:rPr>
                <w:rFonts w:ascii="Palatino Linotype" w:eastAsia="Palatino Linotype" w:hAnsi="Palatino Linotype" w:cs="Palatino Linotype"/>
                <w:i/>
                <w:iCs/>
              </w:rPr>
              <w:t>Refiere que después de una búsqueda minuciosa no fue posible localizarla</w:t>
            </w:r>
          </w:p>
        </w:tc>
        <w:tc>
          <w:tcPr>
            <w:tcW w:w="2970" w:type="dxa"/>
            <w:vAlign w:val="center"/>
          </w:tcPr>
          <w:p w:rsidR="00F93EF8" w:rsidRDefault="008D66D3" w:rsidP="00BB4A9A">
            <w:pPr>
              <w:ind w:right="-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w:t>
            </w:r>
          </w:p>
          <w:p w:rsidR="00F93EF8" w:rsidRDefault="00F93EF8" w:rsidP="00BB4A9A">
            <w:pPr>
              <w:ind w:right="-4"/>
              <w:jc w:val="center"/>
              <w:rPr>
                <w:rFonts w:ascii="Palatino Linotype" w:eastAsia="Palatino Linotype" w:hAnsi="Palatino Linotype" w:cs="Palatino Linotype"/>
                <w:i/>
                <w:iCs/>
                <w:color w:val="000000"/>
              </w:rPr>
            </w:pPr>
          </w:p>
        </w:tc>
      </w:tr>
    </w:tbl>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lastRenderedPageBreak/>
        <w:t>Ahora bien, al respecto, es de señalar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 por lo que ,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 los servidores públicos habilitados que tengan bajo su resguardo la misma, de conformidad con los artículos 53, fracciones II y IV y 162 de la Ley de Transparencia y Acceso a la Información Pública del Estado de México y Municipios.</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lastRenderedPageBreak/>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rsidR="00F93EF8" w:rsidRDefault="008D66D3">
      <w:pPr>
        <w:numPr>
          <w:ilvl w:val="0"/>
          <w:numId w:val="9"/>
        </w:numPr>
        <w:pBdr>
          <w:top w:val="nil"/>
          <w:left w:val="nil"/>
          <w:bottom w:val="nil"/>
          <w:right w:val="nil"/>
          <w:between w:val="nil"/>
        </w:pBdr>
        <w:spacing w:before="240" w:line="360" w:lineRule="auto"/>
        <w:ind w:left="0" w:right="-989" w:firstLine="0"/>
        <w:jc w:val="both"/>
        <w:rPr>
          <w:color w:val="000000"/>
        </w:rPr>
      </w:pPr>
      <w:r>
        <w:rPr>
          <w:rFonts w:ascii="Palatino Linotype" w:eastAsia="Palatino Linotype" w:hAnsi="Palatino Linotype" w:cs="Palatino Linotype"/>
          <w:color w:val="000000"/>
        </w:rPr>
        <w:t>En esta línea de pensamiento, derivado del análisis de las constancias que obran en el expediente electrónico en el que se actúa, se advirtió que la Unidad de Transparencia turnó la solicitud de información para su atención a la Dirección de Obras Públicas, cuyo objetivo, de conformidad con el artículo 51 del Bando Municipal de Tepotzotlán consiste en la coordinación de las obras públicas previa autorización del Ayuntamiento que consiste en funciones de planeación, presupuestación, programación y ejecución.</w:t>
      </w:r>
    </w:p>
    <w:p w:rsidR="00F93EF8" w:rsidRDefault="00F93EF8">
      <w:pPr>
        <w:pBdr>
          <w:top w:val="nil"/>
          <w:left w:val="nil"/>
          <w:bottom w:val="nil"/>
          <w:right w:val="nil"/>
          <w:between w:val="nil"/>
        </w:pBdr>
        <w:spacing w:before="240" w:line="360" w:lineRule="auto"/>
        <w:ind w:left="360" w:right="-989"/>
        <w:jc w:val="both"/>
        <w:rPr>
          <w:rFonts w:ascii="Palatino Linotype" w:eastAsia="Palatino Linotype" w:hAnsi="Palatino Linotype" w:cs="Palatino Linotype"/>
        </w:rPr>
      </w:pPr>
    </w:p>
    <w:p w:rsidR="00F93EF8" w:rsidRDefault="008D66D3">
      <w:pPr>
        <w:numPr>
          <w:ilvl w:val="0"/>
          <w:numId w:val="9"/>
        </w:numPr>
        <w:pBdr>
          <w:top w:val="nil"/>
          <w:left w:val="nil"/>
          <w:bottom w:val="nil"/>
          <w:right w:val="nil"/>
          <w:between w:val="nil"/>
        </w:pBdr>
        <w:spacing w:after="240" w:line="360" w:lineRule="auto"/>
        <w:ind w:left="0" w:right="-989" w:firstLine="0"/>
        <w:jc w:val="both"/>
        <w:rPr>
          <w:color w:val="000000"/>
        </w:rPr>
      </w:pPr>
      <w:r>
        <w:rPr>
          <w:rFonts w:ascii="Palatino Linotype" w:eastAsia="Palatino Linotype" w:hAnsi="Palatino Linotype" w:cs="Palatino Linotype"/>
          <w:color w:val="000000"/>
        </w:rPr>
        <w:t>Mientras que el artículo 96 Bis de la Ley Orgánica Municipal del Estado de México confiere al titular de la Dirección de Obras Públicas las siguientes atribuciones en su parte conducente:</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Realizar la programación y ejecución de las obras públicas y servicios relacionados, que por orden expresa del Ayuntamiento requieran prioridad; </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Planear y coordinar los proyectos de obras públicas y servicios relacionados con las mismas que autorice el Ayuntamiento, una vez que se cumplan los requisitos de licitación y otros que determine la ley de la materia;</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Proyectar las obras públicas y servicios relacionados, que realice el Municipio, incluyendo la conservación y mantenimiento de edificios, monumentos, calles, parques y jardines;</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 Construir y ejecutar todas aquellas obras públicas y servicios relacionados, que aumenten y mantengan la infraestructura municipal y que estén consideradas en el programa respectivo; </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Determinar y cuantificar los materiales y trabajos necesarios para programas de construcción y mantenimiento de obras públicas y servicios relacionados; </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Vigilar que se cumplan y lleven a cabo los programas de construcción y mantenimiento de obras públicas y servicios relacionados;</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Vigilar la construcción en las obras por contrato y por administración que hayan sido adjudicadas a los contratistas;</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rPr>
        <w:t xml:space="preserve">- </w:t>
      </w:r>
      <w:r>
        <w:rPr>
          <w:rFonts w:ascii="Palatino Linotype" w:eastAsia="Palatino Linotype" w:hAnsi="Palatino Linotype" w:cs="Palatino Linotype"/>
          <w:b/>
          <w:bCs/>
          <w:i/>
          <w:iCs/>
        </w:rPr>
        <w:t xml:space="preserve">Administrar y ejercer, en el ámbito de su competencia, </w:t>
      </w:r>
      <w:r>
        <w:rPr>
          <w:rFonts w:ascii="Palatino Linotype" w:eastAsia="Palatino Linotype" w:hAnsi="Palatino Linotype" w:cs="Palatino Linotype"/>
          <w:b/>
          <w:bCs/>
          <w:i/>
          <w:iCs/>
          <w:u w:val="single"/>
        </w:rPr>
        <w:t>de manera coordinada con el Tesorero municipal,</w:t>
      </w:r>
      <w:r>
        <w:rPr>
          <w:rFonts w:ascii="Palatino Linotype" w:eastAsia="Palatino Linotype" w:hAnsi="Palatino Linotype" w:cs="Palatino Linotype"/>
          <w:b/>
          <w:bCs/>
          <w:i/>
          <w:iCs/>
        </w:rPr>
        <w:t xml:space="preserve"> los recursos públicos destinados a la planeación, programación, presupuestación, adjudicación, contratación, ejecución y control de la obra pública,</w:t>
      </w:r>
      <w:r>
        <w:rPr>
          <w:rFonts w:ascii="Palatino Linotype" w:eastAsia="Palatino Linotype" w:hAnsi="Palatino Linotype" w:cs="Palatino Linotype"/>
          <w:i/>
          <w:iCs/>
        </w:rPr>
        <w:t xml:space="preserve"> conforme a las disposiciones legales aplicables y en congruencia con los planes, programas, especificaciones técnicas, controles y procedimientos administrativos aprobados;</w:t>
      </w:r>
    </w:p>
    <w:p w:rsidR="00F93EF8" w:rsidRDefault="008D66D3">
      <w:pPr>
        <w:pBdr>
          <w:top w:val="nil"/>
          <w:left w:val="nil"/>
          <w:bottom w:val="nil"/>
          <w:right w:val="nil"/>
          <w:between w:val="nil"/>
        </w:pBd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Verificar que las obras públicas y los servicios relacionados con la misma, hayan sido programadas, presupuestadas, ejecutadas, adquiridas y contratadas en estricto apego a las disposiciones legales aplicables;</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Autorizar para su pago</w:t>
      </w:r>
      <w:r>
        <w:rPr>
          <w:rFonts w:ascii="Palatino Linotype" w:eastAsia="Palatino Linotype" w:hAnsi="Palatino Linotype" w:cs="Palatino Linotype"/>
          <w:i/>
          <w:iCs/>
        </w:rPr>
        <w:t xml:space="preserve">, previa validación del avance y calidad de las obras, </w:t>
      </w:r>
      <w:r>
        <w:rPr>
          <w:rFonts w:ascii="Palatino Linotype" w:eastAsia="Palatino Linotype" w:hAnsi="Palatino Linotype" w:cs="Palatino Linotype"/>
          <w:b/>
          <w:bCs/>
          <w:i/>
          <w:iCs/>
        </w:rPr>
        <w:t>los presupuestos y estimaciones que presenten los contratistas</w:t>
      </w:r>
      <w:r>
        <w:rPr>
          <w:rFonts w:ascii="Palatino Linotype" w:eastAsia="Palatino Linotype" w:hAnsi="Palatino Linotype" w:cs="Palatino Linotype"/>
          <w:i/>
          <w:iCs/>
        </w:rPr>
        <w:t xml:space="preserve"> de obras públicas municipales</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De lo anterior se advierte que si bien la Dirección de Obras Públicas cuenta con competencia para conocer de la información que es del interés de la persona solicitante, sin embargo, NO se atendió el procedimiento de búsqueda, el cual se constituye como la garantía primaria del derecho humano de acceso a la información pública, mismo que se rige por los principios de simplicidad, rapidez, gratuidad del procedimiento, auxilio y orientación a los solicitantes con el fin de otorgar la protección más amplia de este derecho, al no obrar constancia en el expediente electrónico del turno a todas las áreas competentes para contar </w:t>
      </w:r>
      <w:r>
        <w:rPr>
          <w:rFonts w:ascii="Palatino Linotype" w:eastAsia="Palatino Linotype" w:hAnsi="Palatino Linotype" w:cs="Palatino Linotype"/>
          <w:color w:val="000000"/>
        </w:rPr>
        <w:lastRenderedPageBreak/>
        <w:t xml:space="preserve">con la información materia de la solicitud, de manera enunciativa, más no limitativa, la </w:t>
      </w:r>
      <w:r>
        <w:rPr>
          <w:rFonts w:ascii="Palatino Linotype" w:eastAsia="Palatino Linotype" w:hAnsi="Palatino Linotype" w:cs="Palatino Linotype"/>
          <w:i/>
          <w:iCs/>
          <w:color w:val="000000"/>
        </w:rPr>
        <w:t>Tesorería Municipal, la Dirección de Desarrollo Urbano y Metropolitano y Contraloría Municipal</w:t>
      </w:r>
      <w:r>
        <w:rPr>
          <w:rFonts w:ascii="Palatino Linotype" w:eastAsia="Palatino Linotype" w:hAnsi="Palatino Linotype" w:cs="Palatino Linotype"/>
          <w:color w:val="000000"/>
        </w:rPr>
        <w:t>.</w:t>
      </w:r>
    </w:p>
    <w:p w:rsidR="00F93EF8" w:rsidRDefault="00F93EF8">
      <w:pPr>
        <w:spacing w:before="240" w:after="240"/>
        <w:ind w:right="-989"/>
        <w:jc w:val="both"/>
        <w:rPr>
          <w:rFonts w:ascii="Palatino Linotype" w:eastAsia="Palatino Linotype" w:hAnsi="Palatino Linotype" w:cs="Palatino Linotype"/>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Ahora bien, la Tesorería Municipal es el órgano encargado de la recaudación de los ingresos municipales y </w:t>
      </w:r>
      <w:r>
        <w:rPr>
          <w:rFonts w:ascii="Palatino Linotype" w:eastAsia="Palatino Linotype" w:hAnsi="Palatino Linotype" w:cs="Palatino Linotype"/>
          <w:b/>
          <w:bCs/>
          <w:color w:val="000000"/>
        </w:rPr>
        <w:t>responsable de realizar las erogaciones</w:t>
      </w:r>
      <w:r>
        <w:rPr>
          <w:rFonts w:ascii="Palatino Linotype" w:eastAsia="Palatino Linotype" w:hAnsi="Palatino Linotype" w:cs="Palatino Linotype"/>
          <w:color w:val="000000"/>
        </w:rPr>
        <w:t xml:space="preserve"> que haga el ayuntamiento </w:t>
      </w:r>
      <w:r>
        <w:rPr>
          <w:rFonts w:ascii="Palatino Linotype" w:eastAsia="Palatino Linotype" w:hAnsi="Palatino Linotype" w:cs="Palatino Linotype"/>
          <w:b/>
          <w:bCs/>
          <w:color w:val="000000"/>
        </w:rPr>
        <w:t>a través de los registros contables, financieros y administrativos</w:t>
      </w:r>
      <w:r>
        <w:rPr>
          <w:rFonts w:ascii="Palatino Linotype" w:eastAsia="Palatino Linotype" w:hAnsi="Palatino Linotype" w:cs="Palatino Linotype"/>
          <w:color w:val="000000"/>
        </w:rPr>
        <w:t xml:space="preserve"> de los ingresos, </w:t>
      </w:r>
      <w:r>
        <w:rPr>
          <w:rFonts w:ascii="Palatino Linotype" w:eastAsia="Palatino Linotype" w:hAnsi="Palatino Linotype" w:cs="Palatino Linotype"/>
          <w:b/>
          <w:bCs/>
          <w:color w:val="000000"/>
        </w:rPr>
        <w:t>egresos</w:t>
      </w:r>
      <w:r>
        <w:rPr>
          <w:rFonts w:ascii="Palatino Linotype" w:eastAsia="Palatino Linotype" w:hAnsi="Palatino Linotype" w:cs="Palatino Linotype"/>
          <w:color w:val="000000"/>
        </w:rPr>
        <w:t xml:space="preserve"> e inventarios; entre otras atribuciones, de conformidad con lo establecido en los artículos 93 y 95, fracciones I y IV de la Ley Orgánica Municipal del Estado de México, como se aprecia:</w:t>
      </w:r>
    </w:p>
    <w:p w:rsidR="00F93EF8" w:rsidRDefault="008D66D3">
      <w:pPr>
        <w:spacing w:before="120" w:after="120"/>
        <w:ind w:left="851"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93</w:t>
      </w:r>
      <w:r>
        <w:rPr>
          <w:rFonts w:ascii="Palatino Linotype" w:eastAsia="Palatino Linotype" w:hAnsi="Palatino Linotype" w:cs="Palatino Linotype"/>
          <w:i/>
          <w:iCs/>
        </w:rPr>
        <w:t>.- La tesorería municipal es el órgano encargado de la recaudación de los ingresos municipales y responsable de realizar las erogaciones que haga el ayuntamiento.</w:t>
      </w:r>
    </w:p>
    <w:p w:rsidR="00F93EF8" w:rsidRDefault="008D66D3">
      <w:pPr>
        <w:spacing w:before="120" w:after="120"/>
        <w:ind w:left="851"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851"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95</w:t>
      </w:r>
      <w:r>
        <w:rPr>
          <w:rFonts w:ascii="Palatino Linotype" w:eastAsia="Palatino Linotype" w:hAnsi="Palatino Linotype" w:cs="Palatino Linotype"/>
          <w:i/>
          <w:iCs/>
        </w:rPr>
        <w:t xml:space="preserve">.- Son atribuciones del tesorero municipal: </w:t>
      </w:r>
    </w:p>
    <w:p w:rsidR="00F93EF8" w:rsidRDefault="008D66D3">
      <w:pPr>
        <w:spacing w:before="120" w:after="120"/>
        <w:ind w:left="851"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Administrar la hacienda pública municipal</w:t>
      </w:r>
      <w:r>
        <w:rPr>
          <w:rFonts w:ascii="Palatino Linotype" w:eastAsia="Palatino Linotype" w:hAnsi="Palatino Linotype" w:cs="Palatino Linotype"/>
          <w:i/>
          <w:iCs/>
        </w:rPr>
        <w:t>, de conformidad con las disposiciones legales aplicables;</w:t>
      </w:r>
    </w:p>
    <w:p w:rsidR="00F93EF8" w:rsidRDefault="008D66D3">
      <w:pPr>
        <w:spacing w:before="120" w:after="120"/>
        <w:ind w:left="851"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851"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Llevar los registros contables, financieros y administrativos</w:t>
      </w:r>
      <w:r>
        <w:rPr>
          <w:rFonts w:ascii="Palatino Linotype" w:eastAsia="Palatino Linotype" w:hAnsi="Palatino Linotype" w:cs="Palatino Linotype"/>
          <w:b/>
          <w:bCs/>
          <w:i/>
          <w:iCs/>
        </w:rPr>
        <w:t xml:space="preserve"> de los ingresos, egresos</w:t>
      </w:r>
      <w:r>
        <w:rPr>
          <w:rFonts w:ascii="Palatino Linotype" w:eastAsia="Palatino Linotype" w:hAnsi="Palatino Linotype" w:cs="Palatino Linotype"/>
          <w:i/>
          <w:iCs/>
        </w:rPr>
        <w:t>, e inventarios;…”</w:t>
      </w:r>
    </w:p>
    <w:p w:rsidR="00F93EF8" w:rsidRDefault="00F93EF8">
      <w:pPr>
        <w:spacing w:before="120" w:after="120"/>
        <w:ind w:left="851"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before="240" w:line="360" w:lineRule="auto"/>
        <w:ind w:left="0" w:right="-989" w:firstLine="0"/>
        <w:jc w:val="both"/>
        <w:rPr>
          <w:color w:val="000000"/>
        </w:rPr>
      </w:pPr>
      <w:r>
        <w:rPr>
          <w:rFonts w:ascii="Palatino Linotype" w:eastAsia="Palatino Linotype" w:hAnsi="Palatino Linotype" w:cs="Palatino Linotype"/>
          <w:color w:val="000000"/>
        </w:rPr>
        <w:t xml:space="preserve">Por su parte La Dirección de Desarrollo Urbano y Metropolitano según dispone el artículo 52 del Bando Municipal, es responsable de acciones que propicien el desarrollo de las comunidades, con un enfoque sustentable, favoreciendo la infraestructura, el equipamiento, los servicios, las vialidades, la preservación del patrimonio cultural, la planeación e imagen urbana, los límites territoriales, la tenencia de la tierra, la conservación y mejoramiento del ambiente de los asentamientos humanos y centros urbanos del Municipio, así como apoyar con acciones orientadas a la modernización y optimización del </w:t>
      </w:r>
      <w:r>
        <w:rPr>
          <w:rFonts w:ascii="Palatino Linotype" w:eastAsia="Palatino Linotype" w:hAnsi="Palatino Linotype" w:cs="Palatino Linotype"/>
        </w:rPr>
        <w:lastRenderedPageBreak/>
        <w:t>transporte</w:t>
      </w:r>
      <w:r>
        <w:rPr>
          <w:rFonts w:ascii="Palatino Linotype" w:eastAsia="Palatino Linotype" w:hAnsi="Palatino Linotype" w:cs="Palatino Linotype"/>
          <w:color w:val="000000"/>
        </w:rPr>
        <w:t xml:space="preserve"> terrestre, entre otros, con la participación activa de la sociedad, cuyas atribuciones se encuentran establecidas en el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96 Sexies de la Ley Orgánica del Estado de México, entre las cuales se mencionan las siguientes:</w:t>
      </w:r>
    </w:p>
    <w:p w:rsidR="00F93EF8" w:rsidRDefault="008D66D3">
      <w:pPr>
        <w:numPr>
          <w:ilvl w:val="0"/>
          <w:numId w:val="11"/>
        </w:num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Ejecutar la política en materia de reordenamiento urbano;</w:t>
      </w:r>
    </w:p>
    <w:p w:rsidR="00F93EF8" w:rsidRDefault="008D66D3">
      <w:pPr>
        <w:numPr>
          <w:ilvl w:val="0"/>
          <w:numId w:val="11"/>
        </w:num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Proponer el plan municipal de desarrollo urbano, así como sus modificaciones, y los parciales que de ellos deriven; </w:t>
      </w:r>
    </w:p>
    <w:p w:rsidR="00F93EF8" w:rsidRDefault="008D66D3">
      <w:pPr>
        <w:numPr>
          <w:ilvl w:val="0"/>
          <w:numId w:val="11"/>
        </w:numPr>
        <w:pBdr>
          <w:top w:val="nil"/>
          <w:left w:val="nil"/>
          <w:bottom w:val="nil"/>
          <w:right w:val="nil"/>
          <w:between w:val="nil"/>
        </w:pBdr>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Participar en la elaboración o modificación del respectivo plan regional de desarrollo urbano o de los parciales que de éste deriven, cuando incluya parte o la totalidad de su territorio;</w:t>
      </w:r>
    </w:p>
    <w:p w:rsidR="00F93EF8" w:rsidRDefault="00F93EF8">
      <w:pPr>
        <w:pBdr>
          <w:top w:val="nil"/>
          <w:left w:val="nil"/>
          <w:bottom w:val="nil"/>
          <w:right w:val="nil"/>
          <w:between w:val="nil"/>
        </w:pBdr>
        <w:ind w:left="185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after="240" w:line="360" w:lineRule="auto"/>
        <w:ind w:left="0" w:right="-989" w:firstLine="0"/>
        <w:jc w:val="both"/>
        <w:rPr>
          <w:color w:val="000000"/>
        </w:rPr>
      </w:pPr>
      <w:r>
        <w:rPr>
          <w:rFonts w:ascii="Palatino Linotype" w:eastAsia="Palatino Linotype" w:hAnsi="Palatino Linotype" w:cs="Palatino Linotype"/>
          <w:color w:val="000000"/>
        </w:rPr>
        <w:t>Así mismo, respecto de la Contraloría Municipal, el artículo 110 de la Ley Orgánica del Estado de México, dispone que es el órgano interno de control encargado de promover, evaluar y fortalecer el buen funcionamiento del control interno, competente para aplicar las leyes en materia de responsabilidades de los servidores públicos, cuyas atribuciones se encuentran enmarcadas en el artículo 112 de la referida Ley, siendo de interés para el tema que nos ocupa, las siguientes: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112</w:t>
      </w:r>
      <w:r>
        <w:rPr>
          <w:rFonts w:ascii="Palatino Linotype" w:eastAsia="Palatino Linotype" w:hAnsi="Palatino Linotype" w:cs="Palatino Linotype"/>
          <w:i/>
          <w:iCs/>
        </w:rPr>
        <w:t>. El órgano interno de control municipal tendrá a su cargo las funciones siguientes: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Planear, programar, organizar y coordinar el sistema de control y evaluación municipal;</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Fiscalizar el ingreso y ejercicio del gasto público municipal y su congruencia con el presupuesto de egresos;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Establecer las bases generales para la realización de auditorías e inspecciones;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w:t>
      </w:r>
      <w:r>
        <w:rPr>
          <w:rFonts w:ascii="Palatino Linotype" w:eastAsia="Palatino Linotype" w:hAnsi="Palatino Linotype" w:cs="Palatino Linotype"/>
          <w:i/>
          <w:iCs/>
        </w:rPr>
        <w:t xml:space="preserve"> Establecer y operar un sistema de atención de quejas, denuncias y sugerencias;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w:t>
      </w:r>
      <w:r>
        <w:rPr>
          <w:rFonts w:ascii="Palatino Linotype" w:eastAsia="Palatino Linotype" w:hAnsi="Palatino Linotype" w:cs="Palatino Linotype"/>
          <w:i/>
          <w:iCs/>
        </w:rPr>
        <w:t xml:space="preserve"> Realizar auditorías y evaluaciones e informar del resultado de las mismas al ayuntamiento;</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w:t>
      </w:r>
    </w:p>
    <w:p w:rsidR="00F93EF8" w:rsidRDefault="008D66D3">
      <w:pPr>
        <w:spacing w:before="240" w:after="240"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lastRenderedPageBreak/>
        <w:t>Además, de conformidad con el artículo 86 del Bando Municipal de Tepotzotlán, el Órgano Interno de Control se auxilia de las siguientes áreas para el despacho de los asuntos que se le encomiendan:</w:t>
      </w:r>
    </w:p>
    <w:p w:rsidR="00F93EF8" w:rsidRDefault="008D66D3">
      <w:pPr>
        <w:numPr>
          <w:ilvl w:val="0"/>
          <w:numId w:val="10"/>
        </w:numPr>
        <w:pBdr>
          <w:top w:val="nil"/>
          <w:left w:val="nil"/>
          <w:bottom w:val="nil"/>
          <w:right w:val="nil"/>
          <w:between w:val="nil"/>
        </w:pBdr>
        <w:tabs>
          <w:tab w:val="left" w:pos="567"/>
        </w:tabs>
        <w:spacing w:before="120" w:after="120"/>
        <w:ind w:left="1134" w:right="-989"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Contralor Interno;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Notificador, Inspector, Visitador y Ejecutor;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Autoridad Investigadora;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Autoridad Substanciadora;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Autoridad Resolutora;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Defensora de Oficio;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VII. Unidad de Auditoría: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Auditor Financiero;</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b. Auditor de Obra; </w:t>
      </w:r>
    </w:p>
    <w:p w:rsidR="00F93EF8" w:rsidRDefault="008D66D3">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 Contralor Social.</w:t>
      </w:r>
    </w:p>
    <w:p w:rsidR="00BB4A9A" w:rsidRDefault="00BB4A9A">
      <w:pPr>
        <w:pBdr>
          <w:top w:val="nil"/>
          <w:left w:val="nil"/>
          <w:bottom w:val="nil"/>
          <w:right w:val="nil"/>
          <w:between w:val="nil"/>
        </w:pBdr>
        <w:tabs>
          <w:tab w:val="left" w:pos="567"/>
        </w:tabs>
        <w:spacing w:before="120" w:after="120"/>
        <w:ind w:left="1134" w:right="-989"/>
        <w:jc w:val="both"/>
        <w:rPr>
          <w:rFonts w:ascii="Palatino Linotype" w:eastAsia="Palatino Linotype" w:hAnsi="Palatino Linotype" w:cs="Palatino Linotype"/>
          <w:i/>
          <w:iCs/>
          <w:color w:val="000000"/>
        </w:rPr>
      </w:pPr>
    </w:p>
    <w:p w:rsidR="00F93EF8" w:rsidRDefault="008D66D3">
      <w:pPr>
        <w:numPr>
          <w:ilvl w:val="0"/>
          <w:numId w:val="9"/>
        </w:numPr>
        <w:pBdr>
          <w:top w:val="nil"/>
          <w:left w:val="nil"/>
          <w:bottom w:val="nil"/>
          <w:right w:val="nil"/>
          <w:between w:val="nil"/>
        </w:pBdr>
        <w:spacing w:before="120" w:after="240" w:line="360" w:lineRule="auto"/>
        <w:ind w:left="0" w:right="-989" w:firstLine="0"/>
        <w:jc w:val="both"/>
        <w:rPr>
          <w:color w:val="000000"/>
        </w:rPr>
      </w:pPr>
      <w:r>
        <w:rPr>
          <w:rFonts w:ascii="Palatino Linotype" w:eastAsia="Palatino Linotype" w:hAnsi="Palatino Linotype" w:cs="Palatino Linotype"/>
          <w:color w:val="000000"/>
        </w:rPr>
        <w:t xml:space="preserve">De donde se aprecia que  la Unidad de Auditoría tiene bajo su adscripción al Auditor de Obra, cuyo objetivo, de conformidad con el Manual de Organización de la Contraloría Municipal, consiste en comprobar la correcta y oportuna aplicación de los recursos asignados a las obras públicas; la realización de la planeación, programación, adjudicación, contratación y ejecución de las obras públicas conforme a la normatividad establecida y vigente; el cumplimiento de la programación establecida en los Programas Operativos Anuales de las dependencias; así como de verificar el cumplimiento de lo estipulado en el contrato referente al costo, calidad y tiempo de ejecución de la obra pública; el funcionamiento correcto de los sistemas de operación, registro, control e información inherentes a la realización de las obras públicas; el informe periódico de la dependencia auditada a las instancias correspondientes sobre el ejercicio del gasto, el avance físico y financiero de los programas autorizados que se </w:t>
      </w:r>
      <w:r>
        <w:rPr>
          <w:rFonts w:ascii="Palatino Linotype" w:eastAsia="Palatino Linotype" w:hAnsi="Palatino Linotype" w:cs="Palatino Linotype"/>
          <w:color w:val="000000"/>
        </w:rPr>
        <w:lastRenderedPageBreak/>
        <w:t>están ejecutando; y la integración de expedientes técnicos que permitan el análisis y evaluación de las acciones desarrolladas o por desarrollar debidamente requisitados y autorizados, para lo cual se le confieren las siguientes atribuciones:</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Participar en el seguimiento de la Planeación, Programación, Presupuestación, proceso de adjudicación de obras y servicios relacionados con las mismas.</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Realizar auditorías conforme al Programa Anual de Auditorias, Denuncias o por órdenes superiores, así como llevar a cabo inspecciones de forma aleatoria a la obra pública e infraestructura, pudiendo solicitar a los servidores públicos o contratistas los datos e informes relacionados con la misma.</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Verificar el cumplimiento de la normatividad establecida en la realización de las obras y la contratación de servicios, dependiendo del tipo de programas</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Verificar y vigilar la congruencia y pertinencia de los expedientes técnicos de las obras, tanto en el avance físico como en el avance contable.</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Verificar que las cantidades, conceptos, características y calidad de los materiales y suministros que amparen las estimaciones, correspondan con los físicamente aplicados en la obra.</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Vigilar la situación que guarda la obra pública y su congruencia con las normas y procedimientos relativos para su operación, de acuerdo con su avance en la ejecución.</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Participar desde el proceso de licitación, desarrollo y hasta el acto de entrega de recepción de las diferentes obras a ejecutar por la Dirección de Obras Públicas. Para ello se requiere de previa invitación de la Dirección de Obras Públicas. La cantidad de obras para dar seguimiento dependerá de los recursos proporcionados por el ayuntamiento, así como de las indicaciones proporcionadas por el titular de la contraloría interna.</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Supervisar los expedientes técnicos de obra para constatar su debida integración. Para ello se realizará de forma aleatoria, así como de aquellas que sean solicitadas por el titular de la contraloría interna.</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Supervisar el seguimiento a las obras en proceso mediante inspecciones de verificación.</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Participar en la revisión de los procesos de Licitación Pública, Invitación Restringida y Adjudicación Directa tanto de obras públicas como adquisición de bienes y servicios, a efecto de emitir las observaciones y recomendaciones correspondientes.</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Emitir opinión técnica correspondiente en los procedimientos de adjudicación en que se haya promovido una inconformidad administrativa por un convocado, y en caso de ser procedente de acuerdo con la resolución definitiva de la autoridad competente, se de vista a la Unidad Administrativa de Investigación para que se sirva actuar en el ejercicio de sus atribuciones, en alcance a lo previsto por los artículos 90 al 94 de la Ley de Contratación Pública del Estado de México y Municipios.</w:t>
      </w:r>
    </w:p>
    <w:p w:rsidR="00F93EF8" w:rsidRDefault="00F93EF8">
      <w:pPr>
        <w:spacing w:before="240" w:after="240"/>
        <w:ind w:left="113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De los lineamientos citados es  que no puede tenerse por satisfecho el Derecho de acceso de la persona solicitante toda vez que la respuesta proporcionada por la persona servidora pública habilitada de la Dirección de Obras Públicas no brinda certeza sobre la existencia o inexistencia de la información requerida por la persona solicitante, sin obtener resultados de la misma, siendo importante mencionar que el Pleno de este Instituto ha sostenido que, en aquellos casos en los que las personas solicitantes no señalen de manera concreta el o los documentos a los que desean acceder, al no ser expertos en la materia, los Sujetos Obligados cuentan con el deber de dar a las solicitudes una interpretación que les dé una expresión documental, ya que para que el derecho de acceso a la información pública de los particulares se satisfaga completamente, es necesario que se les brinde el acceso a datos, registros y todo tipo de información pública que conste en documentos, ya sea generados o que se encuentre en posesión de las autoridades, por tal motivo, privilegiando el principio de máxima publicidad, se deberá proceder a la entrega del soporte documental en donde conste la información que brinde respuesta a la solicitud, con la finalidad de que la persona solicitante pueda buscar conforme a su interés; como sustento a lo anterior resulta aplicable el criterio orientador con clave de control SO/016/2017, emitido por el entonces Instituto </w:t>
      </w:r>
      <w:r>
        <w:rPr>
          <w:rFonts w:ascii="Palatino Linotype" w:eastAsia="Palatino Linotype" w:hAnsi="Palatino Linotype" w:cs="Palatino Linotype"/>
          <w:color w:val="000000"/>
        </w:rPr>
        <w:lastRenderedPageBreak/>
        <w:t xml:space="preserve">Nacional de Transparencia, Acceso a la Información y Protección de Datos Personales, INAI, establece lo siguiente: </w:t>
      </w:r>
    </w:p>
    <w:p w:rsidR="00F93EF8" w:rsidRDefault="008D66D3">
      <w:pPr>
        <w:pBdr>
          <w:top w:val="nil"/>
          <w:left w:val="nil"/>
          <w:bottom w:val="nil"/>
          <w:right w:val="nil"/>
          <w:between w:val="nil"/>
        </w:pBdr>
        <w:spacing w:after="120"/>
        <w:ind w:left="1134" w:right="-989"/>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Pr>
          <w:rFonts w:ascii="Palatino Linotype" w:eastAsia="Palatino Linotype" w:hAnsi="Palatino Linotype" w:cs="Palatino Linotype"/>
          <w:b/>
          <w:bCs/>
          <w:i/>
          <w:iCs/>
        </w:rPr>
        <w:t xml:space="preserve">Expresión documental. </w:t>
      </w:r>
      <w:r>
        <w:rPr>
          <w:rFonts w:ascii="Palatino Linotype" w:eastAsia="Palatino Linotype" w:hAnsi="Palatino Linotype" w:cs="Palatino Linotype"/>
          <w:i/>
          <w:iCs/>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F93EF8" w:rsidRDefault="00F93EF8">
      <w:pPr>
        <w:spacing w:before="280" w:after="280"/>
        <w:ind w:right="-989"/>
        <w:jc w:val="both"/>
        <w:rPr>
          <w:rFonts w:ascii="Palatino Linotype" w:eastAsia="Palatino Linotype" w:hAnsi="Palatino Linotype" w:cs="Palatino Linotype"/>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Así mismo al no haberse observado el procedimiento de búsqueda al no advertirse pronunciamiento por parte de todas las áreas competentes para conocer de la información que es del interés de la persona solicitante se estima que para efectos de garantizar el Derecho de acceso de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deberá, previa búsqueda exhaustiva y razonable, hacer entrega de la información que atienda lo solicitado, en versión pública de ser procedente.</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Ahora bien, toda vez que ha quedado acreditado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tiene la facultad para celebrar contratos de obra pública, mismos que se elaboran en función del Programa Anual de Obra, documento que forma parte del Presupuesto de Egresos Municipal,  cuya versión definitiva se promulga y publica en la "Gaceta Municipal”, por el Presidente Municipal,  a más tardar el día veinticinco de febrero de cada año, de conformidad con los artículos 125, párrafo cuarto de la Constitución Política de Nuestro  Estado, 351, párrafo segundo del Código Financiero del Estado de México, y 47 de la Ley de Fiscalización Superior del Estado de México:</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125</w:t>
      </w: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i/>
          <w:iCs/>
        </w:rPr>
        <w:lastRenderedPageBreak/>
        <w:t xml:space="preserve">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Pr>
          <w:rFonts w:ascii="Palatino Linotype" w:eastAsia="Palatino Linotype" w:hAnsi="Palatino Linotype" w:cs="Palatino Linotype"/>
          <w:b/>
          <w:bCs/>
          <w:i/>
          <w:iCs/>
        </w:rPr>
        <w:t>La Presidenta o el Presidente Municipal, promulgará y publicará el Presupuesto de Egresos Municipal, a más tardar el día 25 de febrero de cada año debiendo enviarlo al Órgano Superior de Fiscalización en la misma fecha.”</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351</w:t>
      </w: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Los Ayuntamientos al aprobar en forma definitiva su presupuesto de egresos, deberán publicar en la "Gaceta Municipal</w:t>
      </w:r>
      <w:r>
        <w:rPr>
          <w:rFonts w:ascii="Palatino Linotype" w:eastAsia="Palatino Linotype" w:hAnsi="Palatino Linotype" w:cs="Palatino Linotype"/>
          <w:i/>
          <w:iCs/>
        </w:rPr>
        <w:t xml:space="preserve">" de manera clara y entendible, todas y cada una de las partidas que lo integran, las remuneraciones de todo tipo aprobadas para los miembros del ayuntamiento y para los servidores públicos en general, incluyendo mandos medios y superiores de la administración municipal, </w:t>
      </w:r>
      <w:r>
        <w:rPr>
          <w:rFonts w:ascii="Palatino Linotype" w:eastAsia="Palatino Linotype" w:hAnsi="Palatino Linotype" w:cs="Palatino Linotype"/>
          <w:b/>
          <w:bCs/>
          <w:i/>
          <w:iCs/>
        </w:rPr>
        <w:t>a más tardar el 25 de febrero del año para el cual habrá de aplicar dicho presupuesto.”</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47</w:t>
      </w:r>
      <w:r>
        <w:rPr>
          <w:rFonts w:ascii="Palatino Linotype" w:eastAsia="Palatino Linotype" w:hAnsi="Palatino Linotype" w:cs="Palatino Linotype"/>
          <w:i/>
          <w:iCs/>
        </w:rPr>
        <w:t xml:space="preserve">.- Los Presidentes Municipales y los Síndicos estarán obligados a </w:t>
      </w:r>
      <w:r>
        <w:rPr>
          <w:rFonts w:ascii="Palatino Linotype" w:eastAsia="Palatino Linotype" w:hAnsi="Palatino Linotype" w:cs="Palatino Linotype"/>
          <w:b/>
          <w:bCs/>
          <w:i/>
          <w:iCs/>
        </w:rPr>
        <w:t xml:space="preserve">informar al Órgano Superior, a más tardar el 25 de febrero de cada año, el Presupuesto de Egresos Municipal que haya aprobado el Ayuntamiento </w:t>
      </w:r>
      <w:r>
        <w:rPr>
          <w:rFonts w:ascii="Palatino Linotype" w:eastAsia="Palatino Linotype" w:hAnsi="Palatino Linotype" w:cs="Palatino Linotype"/>
          <w:i/>
          <w:iCs/>
        </w:rPr>
        <w:t>correspondiente.”</w:t>
      </w:r>
    </w:p>
    <w:p w:rsidR="00F93EF8" w:rsidRDefault="00F93EF8">
      <w:pPr>
        <w:spacing w:before="120" w:after="120"/>
        <w:ind w:left="113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Entre los formatos que integran el Presupuesto de Egresos aprobado, de conformidad con el numeral 3.4.1 del Manual para la Planeación, Programación y Presupuesto de Egresos Municipal, se encuentra el </w:t>
      </w:r>
      <w:r>
        <w:rPr>
          <w:rFonts w:ascii="Palatino Linotype" w:eastAsia="Palatino Linotype" w:hAnsi="Palatino Linotype" w:cs="Palatino Linotype"/>
          <w:b/>
          <w:bCs/>
          <w:color w:val="000000"/>
        </w:rPr>
        <w:t xml:space="preserve">PbRM-07a Programa Anual de Obra </w:t>
      </w:r>
      <w:r>
        <w:rPr>
          <w:rFonts w:ascii="Palatino Linotype" w:eastAsia="Palatino Linotype" w:hAnsi="Palatino Linotype" w:cs="Palatino Linotype"/>
          <w:color w:val="000000"/>
        </w:rPr>
        <w:t xml:space="preserve">y el </w:t>
      </w:r>
      <w:r>
        <w:rPr>
          <w:rFonts w:ascii="Palatino Linotype" w:eastAsia="Palatino Linotype" w:hAnsi="Palatino Linotype" w:cs="Palatino Linotype"/>
          <w:b/>
          <w:bCs/>
          <w:color w:val="000000"/>
        </w:rPr>
        <w:t>PbRM 07b Programa anual de obra (reparaciones y mantenimientos),</w:t>
      </w:r>
      <w:r>
        <w:rPr>
          <w:rFonts w:ascii="Palatino Linotype" w:eastAsia="Palatino Linotype" w:hAnsi="Palatino Linotype" w:cs="Palatino Linotype"/>
          <w:color w:val="000000"/>
        </w:rPr>
        <w:t xml:space="preserve"> los cuales especifican de manera precisa el período de ejecución y presupuesto ejercido de la obra pública de que se trate; así como la fuente de financiamiento con la que ésta se llevará a cabo, como se desprende de los formatos y los instructivo de llenado respectivos:</w:t>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4531410" cy="2614866"/>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531410" cy="2614866"/>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4323090" cy="3080653"/>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4323090" cy="3080653"/>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4389158" cy="3299567"/>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389158" cy="3299567"/>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5472353" cy="3114497"/>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5472353" cy="3114497"/>
                    </a:xfrm>
                    <a:prstGeom prst="rect">
                      <a:avLst/>
                    </a:prstGeom>
                    <a:ln/>
                  </pic:spPr>
                </pic:pic>
              </a:graphicData>
            </a:graphic>
          </wp:inline>
        </w:drawing>
      </w:r>
    </w:p>
    <w:p w:rsidR="00F93EF8" w:rsidRDefault="00F93EF8">
      <w:pPr>
        <w:spacing w:before="240" w:after="240"/>
        <w:ind w:right="-989"/>
        <w:jc w:val="center"/>
        <w:rPr>
          <w:rFonts w:ascii="Palatino Linotype" w:eastAsia="Palatino Linotype" w:hAnsi="Palatino Linotype" w:cs="Palatino Linotype"/>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lastRenderedPageBreak/>
        <w:t xml:space="preserve">De igual forma,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se encuentra obligado a entregar al Órgano Superior de Fiscalización del Estado de México, como parte de los informes trimestrales, el Avance del Programa Anual de Obras, como se desprende de los Lineamientos para la integración y presentación de los Informes Trimestrales Estatales y Municipales del Ejercicio Fiscal 2025, los cuales establecen el formato mediante el cual debe presentarse la información que integra dichos informes y los instructivos de llenado correspondientes; de conformidad con los Lineamientos del ejercicio 2025, la información que generan los entes fiscalizables de carácter municipal con motivo del avance del programa anual de obras, se encuentra contenida en el Módulo 2 Información Presupuestaria, Sub módulo Información Presupuestal (Plataforma Digital), como se muestra a continuación:</w:t>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5389594" cy="2655161"/>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389594" cy="2655161"/>
                    </a:xfrm>
                    <a:prstGeom prst="rect">
                      <a:avLst/>
                    </a:prstGeom>
                    <a:ln/>
                  </pic:spPr>
                </pic:pic>
              </a:graphicData>
            </a:graphic>
          </wp:inline>
        </w:drawing>
      </w:r>
    </w:p>
    <w:p w:rsidR="00F93EF8" w:rsidRDefault="00F93EF8">
      <w:pPr>
        <w:spacing w:before="240" w:after="240" w:line="360" w:lineRule="auto"/>
        <w:ind w:right="-989"/>
        <w:jc w:val="center"/>
        <w:rPr>
          <w:rFonts w:ascii="Palatino Linotype" w:eastAsia="Palatino Linotype" w:hAnsi="Palatino Linotype" w:cs="Palatino Linotype"/>
        </w:rPr>
      </w:pPr>
    </w:p>
    <w:p w:rsidR="00F93EF8" w:rsidRDefault="008D66D3">
      <w:pPr>
        <w:spacing w:before="240" w:after="240"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5612130" cy="349504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612130" cy="3495040"/>
                    </a:xfrm>
                    <a:prstGeom prst="rect">
                      <a:avLst/>
                    </a:prstGeom>
                    <a:ln/>
                  </pic:spPr>
                </pic:pic>
              </a:graphicData>
            </a:graphic>
          </wp:inline>
        </w:drawing>
      </w:r>
      <w:r>
        <w:rPr>
          <w:noProof/>
          <w:lang w:val="es-MX"/>
        </w:rPr>
        <mc:AlternateContent>
          <mc:Choice Requires="wpg">
            <w:drawing>
              <wp:anchor distT="0" distB="0" distL="114300" distR="114300" simplePos="0" relativeHeight="251658240" behindDoc="0" locked="0" layoutInCell="1" hidden="0" allowOverlap="1">
                <wp:simplePos x="0" y="0"/>
                <wp:positionH relativeFrom="column">
                  <wp:posOffset>658053</wp:posOffset>
                </wp:positionH>
                <wp:positionV relativeFrom="paragraph">
                  <wp:posOffset>2999077</wp:posOffset>
                </wp:positionV>
                <wp:extent cx="4856591" cy="308445"/>
                <wp:effectExtent l="0" t="0" r="0" b="0"/>
                <wp:wrapNone/>
                <wp:docPr id="1" name="Rectángulo 1"/>
                <wp:cNvGraphicFramePr/>
                <a:graphic xmlns:a="http://schemas.openxmlformats.org/drawingml/2006/main">
                  <a:graphicData uri="http://schemas.microsoft.com/office/word/2010/wordprocessingShape">
                    <wps:wsp>
                      <wps:cNvSpPr/>
                      <wps:spPr>
                        <a:xfrm>
                          <a:off x="2936755" y="3644828"/>
                          <a:ext cx="4818491" cy="270345"/>
                        </a:xfrm>
                        <a:prstGeom prst="rect">
                          <a:avLst/>
                        </a:prstGeom>
                        <a:noFill/>
                        <a:ln w="38100" cap="flat" cmpd="sng">
                          <a:solidFill>
                            <a:srgbClr val="C00000"/>
                          </a:solidFill>
                          <a:prstDash val="solid"/>
                          <a:round/>
                          <a:headEnd type="none" w="sm" len="sm"/>
                          <a:tailEnd type="none" w="sm" len="sm"/>
                        </a:ln>
                      </wps:spPr>
                      <wps:txbx>
                        <w:txbxContent>
                          <w:p w:rsidR="00F93EF8" w:rsidRDefault="00F93EF8">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658053</wp:posOffset>
                </wp:positionH>
                <wp:positionV relativeFrom="paragraph">
                  <wp:posOffset>2999077</wp:posOffset>
                </wp:positionV>
                <wp:extent cx="4856591" cy="308445"/>
                <wp:effectExtent b="0" l="0" r="0" t="0"/>
                <wp:wrapNone/>
                <wp:docPr id="1"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4856591" cy="308445"/>
                        </a:xfrm>
                        <a:prstGeom prst="rect"/>
                        <a:ln/>
                      </pic:spPr>
                    </pic:pic>
                  </a:graphicData>
                </a:graphic>
              </wp:anchor>
            </w:drawing>
          </mc:Fallback>
        </mc:AlternateContent>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5525584" cy="3110407"/>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525584" cy="3110407"/>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5523628" cy="2868061"/>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523628" cy="2868061"/>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5481855" cy="2120668"/>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481855" cy="2120668"/>
                    </a:xfrm>
                    <a:prstGeom prst="rect">
                      <a:avLst/>
                    </a:prstGeom>
                    <a:ln/>
                  </pic:spPr>
                </pic:pic>
              </a:graphicData>
            </a:graphic>
          </wp:inline>
        </w:drawing>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Por otro lado, es oportuno hacer alusión al Libro Décimo Segundo. De la obra pública, del Código Administrativo del Estado de México, el cual, de conformidad con el artículo 12.1, regular los actos relativos a la planeación, programación, presupuestación, adjudicación, contratación, ejecución y control de la obra pública, así como los servicios relacionados con la misma que, por sí o por conducto de terceros, realicen las secretarías y unidades administrativas del Poder Ejecutivo del Estado; la Fiscalía General de Justicia; los </w:t>
      </w:r>
      <w:r>
        <w:rPr>
          <w:rFonts w:ascii="Palatino Linotype" w:eastAsia="Palatino Linotype" w:hAnsi="Palatino Linotype" w:cs="Palatino Linotype"/>
          <w:color w:val="000000"/>
        </w:rPr>
        <w:lastRenderedPageBreak/>
        <w:t>ayuntamientos de los municipios del Estado; los organismos auxiliares y fideicomisos públicos del Estado y municipios; y los tribunales administrativos.</w:t>
      </w:r>
    </w:p>
    <w:p w:rsidR="00F93EF8" w:rsidRDefault="00F93EF8">
      <w:pPr>
        <w:spacing w:before="240" w:after="240"/>
        <w:ind w:right="-989"/>
        <w:jc w:val="both"/>
        <w:rPr>
          <w:rFonts w:ascii="Palatino Linotype" w:eastAsia="Palatino Linotype" w:hAnsi="Palatino Linotype" w:cs="Palatino Linotype"/>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En este tenor, de acuerdo con el artículo 12.4 del Libro Décimo Segundo del referido Código, se considera obra pública todo trabajo que tenga por objeto principal </w:t>
      </w:r>
      <w:r>
        <w:rPr>
          <w:rFonts w:ascii="Palatino Linotype" w:eastAsia="Palatino Linotype" w:hAnsi="Palatino Linotype" w:cs="Palatino Linotype"/>
          <w:i/>
          <w:iCs/>
          <w:color w:val="000000"/>
        </w:rPr>
        <w:t>construir, instalar, ampliar, adecuar, remodelar, restaurar, conservar, mantener, modificar o demoler bienes inmuebles propiedad del Estado, de sus dependencias y entidades y de los municipios y sus organismos con cargo a recursos públicos estatales o municipales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quedando comprendidos dentro de la obra pública: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mantenimiento, restauración, desmantelamiento o remoción de bienes muebles incorporados o adheridos a un inmueble;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Los proyectos integrales o comúnmente denominados llave en mano, en los cuales el contratista se obliga desde el diseño de la obra hasta su terminación total, incluyéndose, cuando se requiera, la transferencia de tecnología;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Los trabajos de exploración, localización y perforación; mejoramiento del suelo y/o subsuelo; desmontes y extracción y aquellos similares que tengan por objeto la explotación y desarrollo de los recursos naturales que se encuentran en el suelo y/o subsuelo;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Los trabajos de infraestructura agropecuaria e hidro - agrícola: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 instalación, montaje, colocación y/o aplicación, incluyendo las pruebas de operación de bienes muebles que deban incorporarse, adherirse o destinarse a un inmueble, siempre que dichos muebles sean proporcionados por la convocante al contratista o bien, cuando su adquisición esté incluida en los trabajos que se contraten y su precio sea menor al de estos últimos;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VI. Los demás que tengan por objeto principal alguno de los conceptos a que se refiere el párrafo primero de este artículo, excluyéndose expresamente los trabajos regulados por el Libro Décimo Sexto del Código.</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lastRenderedPageBreak/>
        <w:t>Así también del artículo 12.5 del Libro Décimo Segundo se señala que son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servicios relacionados con la obra pública, </w:t>
      </w:r>
      <w:r>
        <w:rPr>
          <w:rFonts w:ascii="Palatino Linotype" w:eastAsia="Palatino Linotype" w:hAnsi="Palatino Linotype" w:cs="Palatino Linotype"/>
          <w:i/>
          <w:iCs/>
          <w:color w:val="000000"/>
        </w:rPr>
        <w:t>los trabajos que tengan por objeto concebir, diseñar y calcular los elementos que integran un proyecto de obra pública; las investigaciones, estudios, asesorías y consultorías</w:t>
      </w:r>
      <w:r>
        <w:rPr>
          <w:rFonts w:ascii="Palatino Linotype" w:eastAsia="Palatino Linotype" w:hAnsi="Palatino Linotype" w:cs="Palatino Linotype"/>
          <w:color w:val="000000"/>
        </w:rPr>
        <w:t xml:space="preserve"> que se vinculen con los actos que regula el Libro Décimo Segundo; la dirección y supervisión de la ejecución de las obras y los estudios que tengan por objeto principal rehabilitar, corregir o incrementar la eficiencia de las instalaciones con excepción de los trabajos regulados por el Libro Décimo Sexto del Código, quedando comprendidos dentro de los servicios relacionados con la obra pública:</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La planeación, incluyendo los trabajos que tengan por objeto concebir, diseñar, proyectar y calcular los elementos que integran un proyecto de ingeniería básica, estructural de instalaciones, de infraestructura, industrial, electromecánica y de cualquier otra especialidad de la ingeniería que se requiera para integrar un proyecto ejecutivo de obra pública;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La planeación, incluyendo los trabajos que tengan por objeto concebir, diseñar, proyectar y calcular los elementos que integran un proyecto urbanístico, arquitectónico, de diseño gráfico o artístico y de cualquier otra especialidad del diseño, la arquitectura y el urbanismo, que se requiera para integrar un proyecto ejecutivo de obra pública, así como los estudios inherentes al desarrollo urbano en el Estado;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Los estudios técnicos de agrología y desarrollo pecuario, hidrología, mecánica de suelos, sismología, topografía, geología, geodesia, geofísica, geotermia, meteorología, aerofotogrametría, ambientales, ecológicos y de ingeniería de tránsito;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Los estudios económicos y de planeación de preinversión, factibilidad técnico económica, ecológica o social, de evaluación, adaptación, tenencia de la tierra, financieros, de desarrollo y restitución de la eficiencia de las instalaciones;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Los trabajos de coordinación, supervisión y control de obra; de laboratorio de análisis y control de calidad; de laboratorio de geotecnia, de resistencia de materiales y radiografías industriales; de preparación de especificaciones de construcción, presupuestación o la elaboración de cualquier otro documento o trabajo para la adjudicación del contrato de obra correspondiente;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VI.</w:t>
      </w:r>
      <w:r>
        <w:rPr>
          <w:rFonts w:ascii="Palatino Linotype" w:eastAsia="Palatino Linotype" w:hAnsi="Palatino Linotype" w:cs="Palatino Linotype"/>
          <w:i/>
          <w:iCs/>
        </w:rPr>
        <w:t xml:space="preserve"> Los trabajos de organización, informática, comunicaciones, cibernética y sistemas aplicados a las materias que regulan este Libro;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xml:space="preserve"> Los dictámenes, peritajes, avalúos y auditorías técnico normativas, y estudios aplicables a la obra pública;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xml:space="preserve"> Los estudios que tengan por objeto rehabilitar, corregir, sustituir o incrementar la eficiencia de las instalaciones en un bien inmueble;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IX.</w:t>
      </w:r>
      <w:r>
        <w:rPr>
          <w:rFonts w:ascii="Palatino Linotype" w:eastAsia="Palatino Linotype" w:hAnsi="Palatino Linotype" w:cs="Palatino Linotype"/>
          <w:i/>
          <w:iCs/>
        </w:rPr>
        <w:t xml:space="preserve"> Los estudios de apoyo tecnológico, incluyendo los de desarrollo y transferencia de tecnología, entre otros;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w:t>
      </w:r>
      <w:r>
        <w:rPr>
          <w:rFonts w:ascii="Palatino Linotype" w:eastAsia="Palatino Linotype" w:hAnsi="Palatino Linotype" w:cs="Palatino Linotype"/>
          <w:i/>
          <w:iCs/>
        </w:rPr>
        <w:t xml:space="preserve"> Los demás que tengan por objeto alguno de los conceptos a que se refiere el párrafo primero de este artículo.</w:t>
      </w:r>
    </w:p>
    <w:p w:rsidR="00F93EF8" w:rsidRDefault="00F93EF8">
      <w:pPr>
        <w:spacing w:before="240" w:after="240"/>
        <w:ind w:left="113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tabs>
          <w:tab w:val="left" w:pos="567"/>
        </w:tabs>
        <w:spacing w:before="240" w:after="240" w:line="360" w:lineRule="auto"/>
        <w:ind w:left="0" w:right="-989" w:firstLine="0"/>
        <w:jc w:val="both"/>
        <w:rPr>
          <w:color w:val="000000"/>
        </w:rPr>
      </w:pPr>
      <w:r>
        <w:rPr>
          <w:rFonts w:ascii="Palatino Linotype" w:eastAsia="Palatino Linotype" w:hAnsi="Palatino Linotype" w:cs="Palatino Linotype"/>
          <w:color w:val="000000"/>
        </w:rPr>
        <w:t>Por otra parte el artículo 12.12 del Libro Décimo Segundo, señala que en la planeación de la obra pública o de los servicios relacionados con la misma, las dependencias, entidades y ayuntamientos en lo que les corresponda, deberán, entre otras previsiones, considerar la disponibilidad de recursos financieros.</w:t>
      </w:r>
    </w:p>
    <w:p w:rsidR="00F93EF8" w:rsidRDefault="00F93EF8">
      <w:pPr>
        <w:tabs>
          <w:tab w:val="left" w:pos="567"/>
        </w:tabs>
        <w:spacing w:before="240" w:after="240"/>
        <w:ind w:right="-989"/>
        <w:jc w:val="both"/>
        <w:rPr>
          <w:rFonts w:ascii="Palatino Linotype" w:eastAsia="Palatino Linotype" w:hAnsi="Palatino Linotype" w:cs="Palatino Linotype"/>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Por cuanto hace al  procedimiento de adjudicación, el Capítulo Tercero del Libro Décimo Segundo del Código Administrativo del Estado de México, dispone lo siguiente:</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12.20</w:t>
      </w:r>
      <w:r>
        <w:rPr>
          <w:rFonts w:ascii="Palatino Linotype" w:eastAsia="Palatino Linotype" w:hAnsi="Palatino Linotype" w:cs="Palatino Linotype"/>
          <w:i/>
          <w:iCs/>
        </w:rPr>
        <w:t xml:space="preserve">.- Los contratos a que se refiere este Libro, </w:t>
      </w:r>
      <w:r>
        <w:rPr>
          <w:rFonts w:ascii="Palatino Linotype" w:eastAsia="Palatino Linotype" w:hAnsi="Palatino Linotype" w:cs="Palatino Linotype"/>
          <w:b/>
          <w:bCs/>
          <w:i/>
          <w:iCs/>
        </w:rPr>
        <w:t xml:space="preserve">se adjudicarán a través de </w:t>
      </w:r>
      <w:r>
        <w:rPr>
          <w:rFonts w:ascii="Palatino Linotype" w:eastAsia="Palatino Linotype" w:hAnsi="Palatino Linotype" w:cs="Palatino Linotype"/>
          <w:b/>
          <w:bCs/>
          <w:i/>
          <w:iCs/>
          <w:u w:val="single"/>
        </w:rPr>
        <w:t>licitaciones públicas</w:t>
      </w:r>
      <w:r>
        <w:rPr>
          <w:rFonts w:ascii="Palatino Linotype" w:eastAsia="Palatino Linotype" w:hAnsi="Palatino Linotype" w:cs="Palatino Linotype"/>
          <w:b/>
          <w:bCs/>
          <w:i/>
          <w:iCs/>
        </w:rPr>
        <w:t>, mediante convocatoria pública.</w:t>
      </w:r>
      <w:r>
        <w:rPr>
          <w:rFonts w:ascii="Palatino Linotype" w:eastAsia="Palatino Linotype" w:hAnsi="Palatino Linotype" w:cs="Palatino Linotype"/>
          <w:i/>
          <w:iCs/>
        </w:rPr>
        <w:t xml:space="preserv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12.21</w:t>
      </w:r>
      <w:r>
        <w:rPr>
          <w:rFonts w:ascii="Palatino Linotype" w:eastAsia="Palatino Linotype" w:hAnsi="Palatino Linotype" w:cs="Palatino Linotype"/>
          <w:i/>
          <w:iCs/>
        </w:rPr>
        <w:t xml:space="preserve">.- Las dependencias, entidades y ayuntamientos podrán adjudicar contratos para la ejecución de obra pública o servicios relacionados con la misma. </w:t>
      </w:r>
      <w:r>
        <w:rPr>
          <w:rFonts w:ascii="Palatino Linotype" w:eastAsia="Palatino Linotype" w:hAnsi="Palatino Linotype" w:cs="Palatino Linotype"/>
          <w:b/>
          <w:bCs/>
          <w:i/>
          <w:iCs/>
        </w:rPr>
        <w:t>mediante las excepciones al procedimiento de licitación</w:t>
      </w:r>
      <w:r>
        <w:rPr>
          <w:rFonts w:ascii="Palatino Linotype" w:eastAsia="Palatino Linotype" w:hAnsi="Palatino Linotype" w:cs="Palatino Linotype"/>
          <w:i/>
          <w:iCs/>
        </w:rPr>
        <w:t xml:space="preserve"> siguientes: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Invitación restringida</w:t>
      </w:r>
      <w:r>
        <w:rPr>
          <w:rFonts w:ascii="Palatino Linotype" w:eastAsia="Palatino Linotype" w:hAnsi="Palatino Linotype" w:cs="Palatino Linotype"/>
          <w:i/>
          <w:iCs/>
        </w:rPr>
        <w:t xml:space="preserv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Adjudicación directa.”</w:t>
      </w:r>
    </w:p>
    <w:p w:rsidR="00F93EF8" w:rsidRDefault="008D66D3">
      <w:pPr>
        <w:spacing w:before="240" w:after="240"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lastRenderedPageBreak/>
        <w:t>Como se advierte, la normativa contempla como modalidades para la adjudicación de contratos de obra pública y servicios relacionados con la misma la licitación pública, y de manera excepcional a través de invitación restringida y adjudicación directa, cuyas formalidades se encuentran previstas en el Reglamento del Libro Décimo Segundo del Código Administrativo del Estado de México, disponiendo lo siguiente:</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26</w:t>
      </w:r>
      <w:r>
        <w:rPr>
          <w:rFonts w:ascii="Palatino Linotype" w:eastAsia="Palatino Linotype" w:hAnsi="Palatino Linotype" w:cs="Palatino Linotype"/>
          <w:i/>
          <w:iCs/>
        </w:rPr>
        <w:t>.- La licitación pública es el procedimiento de adjudicación de una obra pública o de un servicio por convocatoria pública. Tiene por objeto asegurar la participación abierta de todos los interesados en igualdad de condiciones y la selección fundamentada y transparente de la propuesta más conveniente para las dependencias, entidades y ayuntamientos.</w:t>
      </w:r>
    </w:p>
    <w:p w:rsidR="00F93EF8" w:rsidRDefault="008D66D3">
      <w:pPr>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28.-</w:t>
      </w:r>
      <w:r>
        <w:rPr>
          <w:rFonts w:ascii="Palatino Linotype" w:eastAsia="Palatino Linotype" w:hAnsi="Palatino Linotype" w:cs="Palatino Linotype"/>
          <w:i/>
          <w:iCs/>
        </w:rPr>
        <w:t xml:space="preserve"> Las dependencias y entidades podrán convocar a licitación pública, adjudicar y contratar obra pública y servicios sólo cuando la Secretaría del Ramo se los haya autorizado por contar con elementos propios y organización necesarios para realizarlas. Esta autorización deberá estar publicada en la Gaceta del Gobierno del Estado de México.</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Los ayuntamientos, que realicen obras o servicios con cargo parcial o total a recursos estatales, deberán solicitar la autorización preferentemente al inicio de su periodo de gestión, la que deberá estar publicada en la Gaceta del Gobierno del Estado de México.</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30</w:t>
      </w:r>
      <w:r>
        <w:rPr>
          <w:rFonts w:ascii="Palatino Linotype" w:eastAsia="Palatino Linotype" w:hAnsi="Palatino Linotype" w:cs="Palatino Linotype"/>
          <w:i/>
          <w:iCs/>
        </w:rPr>
        <w:t xml:space="preserve">.- El procedimiento de licitación pública </w:t>
      </w:r>
      <w:r>
        <w:rPr>
          <w:rFonts w:ascii="Palatino Linotype" w:eastAsia="Palatino Linotype" w:hAnsi="Palatino Linotype" w:cs="Palatino Linotype"/>
          <w:b/>
          <w:bCs/>
          <w:i/>
          <w:iCs/>
        </w:rPr>
        <w:t>inicia con la publicación de la convocatoria</w:t>
      </w:r>
      <w:r>
        <w:rPr>
          <w:rFonts w:ascii="Palatino Linotype" w:eastAsia="Palatino Linotype" w:hAnsi="Palatino Linotype" w:cs="Palatino Linotype"/>
          <w:i/>
          <w:iCs/>
        </w:rPr>
        <w:t xml:space="preserve"> y concluye con el fallo y adjudicación. Cubrirá las etapas siguientes: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La formulación de las bases de licitación;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La publicación de la convocatoria;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venta de las bases de licitación;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La visita al sitio donde se realizarán los trabajos; </w:t>
      </w:r>
    </w:p>
    <w:p w:rsidR="00F93EF8" w:rsidRDefault="008D66D3">
      <w:pPr>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Las juntas de aclaraciones;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La presentación y apertura de propuestas;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xml:space="preserve"> La evaluación de propuestas; y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VIII.</w:t>
      </w:r>
      <w:r>
        <w:rPr>
          <w:rFonts w:ascii="Palatino Linotype" w:eastAsia="Palatino Linotype" w:hAnsi="Palatino Linotype" w:cs="Palatino Linotype"/>
          <w:i/>
          <w:iCs/>
        </w:rPr>
        <w:t xml:space="preserve"> El fallo y adjudicación.</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45.-</w:t>
      </w:r>
      <w:r>
        <w:rPr>
          <w:rFonts w:ascii="Palatino Linotype" w:eastAsia="Palatino Linotype" w:hAnsi="Palatino Linotype" w:cs="Palatino Linotype"/>
          <w:i/>
          <w:iCs/>
        </w:rPr>
        <w:t xml:space="preserve"> El convocante deberá requerir a los licitantes que integren los siguientes documentos de carácter legal y administrativo en sus propuestas: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Escrito en el que manifieste su domicilio en el Estado de México para oír y recibir notificaciones y los documentos correspondientes al procedimiento de licitación. En el domicilio señalado se podrán realizar las notificaciones, inclusive las de carácter personal, que surtirán todos sus efectos legales mientras no se señale otro distinto en el propio Estado;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Escrito en el que manifieste no encontrarse en ninguno de los supuestos del artículo 12.48 del Libro;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Declaración fiscal anual o estados financieros dictaminados por contador público certificado independiente, que corresponda al último ejercicio fiscal. Si el procedimiento de licitación se realiza durante el primer trimestre del año, se podrán presentar los estados financieros dictaminados por contador público certificado independiente o la declaración fiscal anual correspondientes al penúltimo ejercicio fiscal, en ambos casos, la última declaración fiscal provisional. Con la documentación financiera y fiscal se acreditará el capital contable requerido por el convocante.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IV. </w:t>
      </w:r>
      <w:r>
        <w:rPr>
          <w:rFonts w:ascii="Palatino Linotype" w:eastAsia="Palatino Linotype" w:hAnsi="Palatino Linotype" w:cs="Palatino Linotype"/>
          <w:i/>
          <w:iCs/>
        </w:rPr>
        <w:t>Las empresas de reciente creación deberán presentar la documentación financiera y fiscal más actualizada a la fecha de presentación de la propuesta;</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Identificación oficial vigente con fotografía, tratándose de personas físicas;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Manifestación escrita de la persona jurídica en que señale que su representante cuenta con facultades suficientes para comprometerla. Éste contendrá los datos siguientes: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De la persona jurídica: denominación o razón social, clave del registro federal de contribuyentes; nombre, número y circunscripción territorial del notario público o fedatario que protocolizó las escrituras públicas en las que consta el acta constitutiva y, en su caso, sus reformas o modificaciones; número y fecha de las mismas; descripción del objeto social, nombres de los accionistas; capital social; y los datos de inscripción en el Registro Público de Comercio, y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b.</w:t>
      </w:r>
      <w:r>
        <w:rPr>
          <w:rFonts w:ascii="Palatino Linotype" w:eastAsia="Palatino Linotype" w:hAnsi="Palatino Linotype" w:cs="Palatino Linotype"/>
          <w:i/>
          <w:iCs/>
        </w:rPr>
        <w:t xml:space="preserve"> Del representante: nombre del apoderado; nombre, número y circunscripción territorial del notario público o fedatario que protocolizó los instrumentos notariales; y número y fecha de éstos, en los que se asientan las facultades para suscribir la propuesta.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Los interesados que decidan agruparse para presentar una propuesta, acreditarán en forma individual los requisitos señalados, además de entregar una copia del convenio correspondiente en el que se precise la parte o partes de la obra que será responsabilidad de cada uno. El representante común presentará los documentos de los integrantes de la agrupación y los del convenio.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xml:space="preserve"> Documento en el que se comprometa a realizar la obra por el importe que señala, cumpliendo los requisitos determinados por el convocante;</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xml:space="preserve"> La garantía de seriedad de la propuesta: cheque cruzado o para depósito en cuenta, los que deberán ser expedidos a favor de: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En el caso de las dependencias al Gobierno del Estado de México;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b</w:t>
      </w:r>
      <w:r>
        <w:rPr>
          <w:rFonts w:ascii="Palatino Linotype" w:eastAsia="Palatino Linotype" w:hAnsi="Palatino Linotype" w:cs="Palatino Linotype"/>
          <w:i/>
          <w:iCs/>
        </w:rPr>
        <w:t xml:space="preserve">. En el caso de las entidades a ellas mismas; y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c.</w:t>
      </w:r>
      <w:r>
        <w:rPr>
          <w:rFonts w:ascii="Palatino Linotype" w:eastAsia="Palatino Linotype" w:hAnsi="Palatino Linotype" w:cs="Palatino Linotype"/>
          <w:i/>
          <w:iCs/>
        </w:rPr>
        <w:t xml:space="preserve"> En el caso de los ayuntamientos a la Tesorería Municipal.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IX.</w:t>
      </w:r>
      <w:r>
        <w:rPr>
          <w:rFonts w:ascii="Palatino Linotype" w:eastAsia="Palatino Linotype" w:hAnsi="Palatino Linotype" w:cs="Palatino Linotype"/>
          <w:i/>
          <w:iCs/>
        </w:rPr>
        <w:t xml:space="preserve"> Copia del recibo de compra u obtención de las bases.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46</w:t>
      </w:r>
      <w:r>
        <w:rPr>
          <w:rFonts w:ascii="Palatino Linotype" w:eastAsia="Palatino Linotype" w:hAnsi="Palatino Linotype" w:cs="Palatino Linotype"/>
          <w:i/>
          <w:iCs/>
        </w:rPr>
        <w:t xml:space="preserve">.- Atendiendo a las características, complejidad y magnitud de los trabajos, el convocante podrá requerir al licitante que en su propuesta incluya la documentación relacionada con su experiencia profesional: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Manifestación de conocer los proyectos arquitectónicos y de ingeniería; las normas técnicas y de calidad de los materiales; las especificaciones generales y particulares de construcción contenidas en la licitación; y las leyes y reglamentos aplicables;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Descripción de la planeación de los trabajos, especialmente del procedimiento constructivo. El convocante señalará las condicionantes técnicas que procedan conforme a los proyectos;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Relación comprobable de los trabajos realizados por el licitante y su personal, que acrediten la experiencia y la capacidad técnica solicitadas, con el nombre del contratante; la descripción de las obras y su participación en ellas; los importes totales, ejercidos y por ejercer; y las fechas de inicio y terminación previstas;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Currículos de los profesionales al servicio del licitante con experiencia en obras de características técnicas y magnitud similares; identificando a los que se encargarán de la ejecución y administración de la obra;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Así mismo el documento que certifique los conocimientos y habilidades de los profesionales responsables de formular precios unitarios y de la superintendencia de construcción.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VI.</w:t>
      </w:r>
      <w:r>
        <w:rPr>
          <w:rFonts w:ascii="Palatino Linotype" w:eastAsia="Palatino Linotype" w:hAnsi="Palatino Linotype" w:cs="Palatino Linotype"/>
          <w:i/>
          <w:iCs/>
        </w:rPr>
        <w:t xml:space="preserve"> En su caso, escrito en el que señale la parte de los trabajos que subcontratará y la información necesaria que acredite la experiencia y capacidad técnica y económica del o los subcontratistas;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xml:space="preserve"> En su caso, manifestación de conocer y haber considerado en su propuesta los materiales y equipos de instalación permanente que le proporcionará el convocante y el programa de suministro correspondiente;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xml:space="preserve"> Constancia expedida por el convocante de haber visitado el sitio de los trabajos y manifestación escrita de conocer sus condiciones ambientales;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IX</w:t>
      </w:r>
      <w:r>
        <w:rPr>
          <w:rFonts w:ascii="Palatino Linotype" w:eastAsia="Palatino Linotype" w:hAnsi="Palatino Linotype" w:cs="Palatino Linotype"/>
          <w:i/>
          <w:iCs/>
        </w:rPr>
        <w:t xml:space="preserve">. Manifestación de haber considerado las modificaciones que, en su caso, se hayan efectuado a las bases de licitación;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w:t>
      </w:r>
      <w:r>
        <w:rPr>
          <w:rFonts w:ascii="Palatino Linotype" w:eastAsia="Palatino Linotype" w:hAnsi="Palatino Linotype" w:cs="Palatino Linotype"/>
          <w:i/>
          <w:iCs/>
        </w:rPr>
        <w:t xml:space="preserve">. Manifestación de que los precios consignados en su propuesta no se cotizan en condiciones de prácticas desleales de comercio internacional en su modalidad de discriminación de precios o de subsidios, en el caso de que se requiriesen materiales, maquinaria y equipo de instalación permanente de origen extranjero;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w:t>
      </w:r>
      <w:r>
        <w:rPr>
          <w:rFonts w:ascii="Palatino Linotype" w:eastAsia="Palatino Linotype" w:hAnsi="Palatino Linotype" w:cs="Palatino Linotype"/>
          <w:i/>
          <w:iCs/>
        </w:rPr>
        <w:t xml:space="preserve"> Manifestación escrita de que conoce y aplicará, en su caso, las distintas disposiciones en materia de protección ambiental y ecológica;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XII.</w:t>
      </w:r>
      <w:r>
        <w:rPr>
          <w:rFonts w:ascii="Palatino Linotype" w:eastAsia="Palatino Linotype" w:hAnsi="Palatino Linotype" w:cs="Palatino Linotype"/>
          <w:i/>
          <w:iCs/>
        </w:rPr>
        <w:t xml:space="preserve"> Relación de maquinaria y equipo de construcción, indicando si son de su propiedad o en arrendamiento, con o sin opción a compra; modelo y usos actuales; su ubicación física; la fecha en que se dispondrá de ellos en el sitio de la obra. Para la maquinaria o equipo de construcción en arrendamiento, deberá presentar carta compromiso de arrendamiento y disponibilidad en el caso de que resultare ganador;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XIII</w:t>
      </w:r>
      <w:r>
        <w:rPr>
          <w:rFonts w:ascii="Palatino Linotype" w:eastAsia="Palatino Linotype" w:hAnsi="Palatino Linotype" w:cs="Palatino Linotype"/>
          <w:i/>
          <w:iCs/>
        </w:rPr>
        <w:t>. Manifestación de conocer el contenido del modelo del contrato y su conformidad de ajustarse a sus términos.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licitantes son los únicos responsables de que sus propuestas sean entregadas en tiempo y forma en el acto de presentación y apertura de propuestas. Todos los documentos de la propuesta deberán estar foliados y firmados por el licitante o su representante legal, se entregarán en un sobre cerrado que contendrá:</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La documentación legal y administrativa;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La propuesta y económica.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El licitante deberá identificar los sobres con el nombre de la dependencia, entidad o ayuntamiento; número y denominación de la licitación, la fecha, nombre o razón social del licitante y el contenido del sobre.</w:t>
      </w:r>
    </w:p>
    <w:p w:rsidR="00F93EF8" w:rsidRDefault="00F93EF8">
      <w:pPr>
        <w:spacing w:before="120" w:after="120"/>
        <w:ind w:left="1134" w:right="-989"/>
        <w:jc w:val="both"/>
        <w:rPr>
          <w:rFonts w:ascii="Palatino Linotype" w:eastAsia="Palatino Linotype" w:hAnsi="Palatino Linotype" w:cs="Palatino Linotype"/>
          <w:i/>
          <w:iCs/>
        </w:rPr>
      </w:pP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69</w:t>
      </w:r>
      <w:r>
        <w:rPr>
          <w:rFonts w:ascii="Palatino Linotype" w:eastAsia="Palatino Linotype" w:hAnsi="Palatino Linotype" w:cs="Palatino Linotype"/>
          <w:i/>
          <w:iCs/>
        </w:rPr>
        <w:t xml:space="preserve">.- Cuando las dependencias, entidades y ayuntamientos determinen optar por las modalidades de invitación restringida o adjudicación directa, deberán respaldar su determinación en un estudio que fundamente su conveniencia por ofrecer mejores condiciones para el Estado de México, tomando en cuenta los siguientes criterios: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i/>
          <w:iCs/>
        </w:rPr>
        <w:t xml:space="preserve">Economía, que signifique un menor costo de la obra o servicio;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Oportunidad, que permita satisfacer la necesidad que se atiende con la obra pública o servicio en el menor lapso posible;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Eficacia, que la obra o servicio satisfaga la necesidad que la origina;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Eficiencia, que se dé el máximo aprovechamiento de los recursos que la dependencia, entidad o ayuntamiento asigne a la obra o servicio;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Imparcialidad, que la adjudicación de la obra o servicio se realice sin favorecer a ninguno de los interesados;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Honradez, que garantice una justa prestación para las partes involucradas;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Transparencia, que se respeten escrupulosamente en la adjudicación de la obra o servicio los procedimientos establecidos en el Libro y en este Reglamento.</w:t>
      </w:r>
    </w:p>
    <w:p w:rsidR="00F93EF8" w:rsidRDefault="008D66D3">
      <w:pPr>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85</w:t>
      </w:r>
      <w:r>
        <w:rPr>
          <w:rFonts w:ascii="Palatino Linotype" w:eastAsia="Palatino Linotype" w:hAnsi="Palatino Linotype" w:cs="Palatino Linotype"/>
          <w:i/>
          <w:iCs/>
        </w:rPr>
        <w:t xml:space="preserve">.-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La descripción general de la obra o servicio;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El informe del procedimiento de licitación pública que fue declarado desierto;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I. La fecha probable de inicio de los trabajos y el plazo de ejecución de los mismos;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El presupuesto base;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La autorización presupuestal;</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VI</w:t>
      </w:r>
      <w:r>
        <w:rPr>
          <w:rFonts w:ascii="Palatino Linotype" w:eastAsia="Palatino Linotype" w:hAnsi="Palatino Linotype" w:cs="Palatino Linotype"/>
          <w:i/>
          <w:iCs/>
        </w:rPr>
        <w:t xml:space="preserve">. El nombre y firma del titular del área responsable de la ejecución de los trabajos; y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xml:space="preserve">. El formato de caso para el dictamen de procedencia de excepción.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Cuando la dependencia, entidad o ayuntamiento no cuente con Comité Interno de Obra Pública, la unidad ejecutora de obra pública deberá integrar el caso que someterá a la autorización del titular.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ambos procedimientos, el titular de la dependencia, entidad o ayuntamiento emitirá un acuerdo en el que autorice el procedimiento de invitación restringida por excepción a la licitación pública. En este acuerdo, se determinarán los plazos en que se realizarán cada una de las etapas.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86.-</w:t>
      </w:r>
      <w:r>
        <w:rPr>
          <w:rFonts w:ascii="Palatino Linotype" w:eastAsia="Palatino Linotype" w:hAnsi="Palatino Linotype" w:cs="Palatino Linotype"/>
          <w:i/>
          <w:iCs/>
        </w:rPr>
        <w:t xml:space="preserve"> En función de las características de los trabajos a realizar y a sus requerimientos de ejecución, las dependencias, entidades o ayuntamientos determinarán las características de experiencia, capacidad técnica y solvencia que deben reunir las personas que se invitarán al procedimiento de adjudicación.</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Las dependencias, entidades y ayuntamientos seleccionarán del catálogo de contratistas, que opere la Secretaría del Ramo, a cuando menos tres personas que serán invitadas a presentar propuestas; asimismo, formularán los oficios de invitación que contendrán: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El nombre del convocante;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El nombre y la ubicación de la obra o servicio;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El nombre y domicilio del invitado y la referencia a su clave de registro en el catálogo de contratistas;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La invitación expresa y el señalamiento de las fechas previstas para las etapas del procedimiento;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La indicación de que se anexan las bases de la invitación;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Nombre y firma del servidor público responsable del proceso;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xml:space="preserve">. El origen de los recursos para la realización de la obra o servicio; y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xml:space="preserve"> El plazo de ejecución de los trabajos, indicando la fecha estimada de inicio de los mismos.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87.-</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procedimiento de invitación restringida seguirá los mismos pasos que el de licitación pública salvo la publicación de la convocatoria</w:t>
      </w:r>
      <w:r>
        <w:rPr>
          <w:rFonts w:ascii="Palatino Linotype" w:eastAsia="Palatino Linotype" w:hAnsi="Palatino Linotype" w:cs="Palatino Linotype"/>
          <w:i/>
          <w:iCs/>
        </w:rPr>
        <w:t>, misma que se sustituye por la invitación señalada en el artículo anterior.</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88.-</w:t>
      </w:r>
      <w:r>
        <w:rPr>
          <w:rFonts w:ascii="Palatino Linotype" w:eastAsia="Palatino Linotype" w:hAnsi="Palatino Linotype" w:cs="Palatino Linotype"/>
          <w:i/>
          <w:iCs/>
        </w:rPr>
        <w:t xml:space="preserve"> Si la dependencia, entidad o ayuntamiento necesita llevar a cabo un procedimiento de adjudicación directa, salvo que las obras o servicios a contratar no rebasen los montos establecidos por el Presupuesto de Egresos del Gobierno del Estado de México del ejercicio correspondiente y cuenta con Comité Interno de Obra Pública, se solicitará a ese órgano colegiado el dictamen de procedencia del procedimiento de adjudicación directa; para ello, la unidad ejecutora de obra pública o servicio integrará y presentará el caso conforme se señalo en el procedimiento de invitación restringida.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Cuando la dependencia, entidad o ayuntamiento no cuente con Comité Interno de Obra Pública, la unidad ejecutora de obra pública deberá integrar el caso que someterá a la autorización del titular.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89.</w:t>
      </w:r>
      <w:r>
        <w:rPr>
          <w:rFonts w:ascii="Palatino Linotype" w:eastAsia="Palatino Linotype" w:hAnsi="Palatino Linotype" w:cs="Palatino Linotype"/>
          <w:i/>
          <w:iCs/>
        </w:rPr>
        <w:t>- El titular de la dependencia, entidad o ayuntamiento emitirá un acuerdo en el que autorice el procedimiento de adjudicación directa.</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91</w:t>
      </w:r>
      <w:r>
        <w:rPr>
          <w:rFonts w:ascii="Palatino Linotype" w:eastAsia="Palatino Linotype" w:hAnsi="Palatino Linotype" w:cs="Palatino Linotype"/>
          <w:i/>
          <w:iCs/>
        </w:rPr>
        <w:t>.- El convocante recibirá de la persona invitada la documentación de su propuesta para su evaluación la revisará y, en su caso, procederá a formular el contrato correspondiente.”</w:t>
      </w:r>
    </w:p>
    <w:p w:rsidR="00F93EF8" w:rsidRDefault="00F93EF8">
      <w:pPr>
        <w:spacing w:before="120" w:after="120"/>
        <w:ind w:left="113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Relativo al procedimiento de contratación, el artículo 12.38 del Libro Décimo Segundo del Código Administrativo de la entidad, dispone que la adjudicación de la obra o servicios relacionados con la misma obligará a la dependencia, entidad o ayuntamiento y a la persona en que hubiere recaído, a suscribir el contrato respectivo dentro de los diez días hábiles siguientes al de la notificación del fallo, por lo que los contratos de obra pública y servicios relacionados con la misma, deben contener, como mínimo los requisitos que establece el artículo 104 del Reglamento del Libro Décimo Segundo del Código Administrativo, a saber:</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autorización presupuestal</w:t>
      </w:r>
      <w:r>
        <w:rPr>
          <w:rFonts w:ascii="Palatino Linotype" w:eastAsia="Palatino Linotype" w:hAnsi="Palatino Linotype" w:cs="Palatino Linotype"/>
          <w:i/>
          <w:iCs/>
        </w:rPr>
        <w:t xml:space="preserve"> para cubrir el compromiso derivado del contrato y sus anexos;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La indicación del procedimiento conforme al cual se adjudicó el contrato;</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III.</w:t>
      </w:r>
      <w:r>
        <w:rPr>
          <w:rFonts w:ascii="Palatino Linotype" w:eastAsia="Palatino Linotype" w:hAnsi="Palatino Linotype" w:cs="Palatino Linotype"/>
          <w:i/>
          <w:iCs/>
        </w:rPr>
        <w:t xml:space="preserve"> La descripción pormenorizada de los trabajos que se deban ejecutar, debiendo acompañar los proyectos, planos, especificaciones, programas y presupuestos como parte integrante del contrato en el caso de las obras; tratándose de servicios, los términos de referencia;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precio a pagar por los trabajos objeto del contrato</w:t>
      </w:r>
      <w:r>
        <w:rPr>
          <w:rFonts w:ascii="Palatino Linotype" w:eastAsia="Palatino Linotype" w:hAnsi="Palatino Linotype" w:cs="Palatino Linotype"/>
          <w:i/>
          <w:iCs/>
        </w:rPr>
        <w:t xml:space="preserve">. En el caso de contratos mixtos, la parte y el monto que se cubrirá sobre la base de precios unitarios y la correspondiente a precio alzado;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plazo de ejecución de los trabajos</w:t>
      </w:r>
      <w:r>
        <w:rPr>
          <w:rFonts w:ascii="Palatino Linotype" w:eastAsia="Palatino Linotype" w:hAnsi="Palatino Linotype" w:cs="Palatino Linotype"/>
          <w:i/>
          <w:iCs/>
        </w:rPr>
        <w:t xml:space="preserve"> determinado en días naturales, indicando la fecha de inicio y término de los mismos, así como el plazo para la recepción física de los trabajos y la elaboración del finiquito, los cuales deben ser establecidos de acuerdo con las características, complejidad y magnitud de los trabajos;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Porcentajes, número y fechas de las exhibiciones y amortización de los anticipos que se otorguen; </w:t>
      </w:r>
    </w:p>
    <w:p w:rsidR="00F93EF8" w:rsidRDefault="008D66D3">
      <w:pPr>
        <w:spacing w:before="240" w:after="24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VII. Forma y términos de garantizar la correcta inversión de los anticipos y el cumplimiento del contrato;</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xml:space="preserve">. Plazos, forma y lugar de pago de las estimaciones de trabajos ejecutados y, cuando corresponda, de los ajustes de costos;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IX.</w:t>
      </w:r>
      <w:r>
        <w:rPr>
          <w:rFonts w:ascii="Palatino Linotype" w:eastAsia="Palatino Linotype" w:hAnsi="Palatino Linotype" w:cs="Palatino Linotype"/>
          <w:i/>
          <w:iCs/>
        </w:rPr>
        <w:t xml:space="preserve"> Penas convencionales por atraso en la ejecución de los trabajos por causas imputables a los contratistas, determinadas únicamente en función del incumplimiento al programa convenido, las que en ningún caso podrán ser superiores, en su conjunto, </w:t>
      </w:r>
      <w:r>
        <w:rPr>
          <w:rFonts w:ascii="Palatino Linotype" w:eastAsia="Palatino Linotype" w:hAnsi="Palatino Linotype" w:cs="Palatino Linotype"/>
          <w:b/>
          <w:bCs/>
          <w:i/>
          <w:iCs/>
          <w:u w:val="single"/>
        </w:rPr>
        <w:t>al monto de la garantía de cumplimiento</w:t>
      </w:r>
      <w:r>
        <w:rPr>
          <w:rFonts w:ascii="Palatino Linotype" w:eastAsia="Palatino Linotype" w:hAnsi="Palatino Linotype" w:cs="Palatino Linotype"/>
          <w:i/>
          <w:iCs/>
        </w:rPr>
        <w:t xml:space="preserve">. El contratante deberá establecer los términos, forma y porcentajes para aplicar las penas convencionales;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w:t>
      </w:r>
      <w:r>
        <w:rPr>
          <w:rFonts w:ascii="Palatino Linotype" w:eastAsia="Palatino Linotype" w:hAnsi="Palatino Linotype" w:cs="Palatino Linotype"/>
          <w:i/>
          <w:iCs/>
        </w:rPr>
        <w:t xml:space="preserve">. Términos en que el contratista, en su caso, reintegrará las cantidades que hubiere recibido en exceso por la contratación o durante la ejecución de los trabajos, para lo cual se utilizará el procedimiento que se establezca;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w:t>
      </w:r>
      <w:r>
        <w:rPr>
          <w:rFonts w:ascii="Palatino Linotype" w:eastAsia="Palatino Linotype" w:hAnsi="Palatino Linotype" w:cs="Palatino Linotype"/>
          <w:i/>
          <w:iCs/>
        </w:rPr>
        <w:t xml:space="preserve">. Procedimiento de ajuste de costos que deberá ser el determinado desde las bases de la licitación por el convocante, el cual deberá regir durante la vigencia del contrato;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XII</w:t>
      </w:r>
      <w:r>
        <w:rPr>
          <w:rFonts w:ascii="Palatino Linotype" w:eastAsia="Palatino Linotype" w:hAnsi="Palatino Linotype" w:cs="Palatino Linotype"/>
          <w:i/>
          <w:iCs/>
        </w:rPr>
        <w:t xml:space="preserve">. Causales y procedimiento mediante los cuales el contratante podrá dar por rescindido el contrato en los términos de este Reglamento;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XIII. </w:t>
      </w:r>
      <w:r>
        <w:rPr>
          <w:rFonts w:ascii="Palatino Linotype" w:eastAsia="Palatino Linotype" w:hAnsi="Palatino Linotype" w:cs="Palatino Linotype"/>
          <w:i/>
          <w:iCs/>
        </w:rPr>
        <w:t>Los procedimientos mediante los cuales las partes resolverán, entre sí, las discrepancias futuras y previsibles sobre problemas específicos de carácter técnico y administrativo;</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XIV</w:t>
      </w:r>
      <w:r>
        <w:rPr>
          <w:rFonts w:ascii="Palatino Linotype" w:eastAsia="Palatino Linotype" w:hAnsi="Palatino Linotype" w:cs="Palatino Linotype"/>
          <w:i/>
          <w:iCs/>
        </w:rPr>
        <w:t xml:space="preserve">. Señalamiento del domicilio en el Estado para oír y recibir notificaciones; y </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XV. </w:t>
      </w:r>
      <w:r>
        <w:rPr>
          <w:rFonts w:ascii="Palatino Linotype" w:eastAsia="Palatino Linotype" w:hAnsi="Palatino Linotype" w:cs="Palatino Linotype"/>
          <w:i/>
          <w:iCs/>
        </w:rPr>
        <w:t xml:space="preserve">Manifestación de renuncia expresa al fuero que les pudiera corresponder en función de su domicilio presente o futuro en el caso de que no se encuentre en el Estado de México. </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El contrato deberá firmarse dentro de los diez días hábiles siguientes a la notificación del fallo. Se deberá entregar al contratista una copia del contrato firmado; para los efectos del Libro Décimo Segundo y su Reglamento, el contrato, sus anexos y la bitácora son los instrumentos que establecen los derechos y obligaciones de las partes, posteriormente el contratante enviará a la Secretaría del Ramo y a la Contraloría un informe de los contratos formalizados por excepción a la licitación pública durante el mes inmediato anterior, dentro de los cinco primeros días hábiles de cada mes. De la misma manera, lo harán los ayuntamientos que en esas modalidades contraten obra pública o servicios con cargo total o parcial a los recursos estatales.</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Finalmente, por lo que se refiere a la recepción de los trabajos, los artículos 230, 231, 232, 233 y 234 del Reglamento del Libro Décimo Segundo del Código Administrativo disponen lo siguiente:</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230.-</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iniciar el procedimiento de recepción de los trabajos, el contratista deberá notificar al contratante la terminación de los mismos mediante la bitácora y por escrito, anexando los documentos de soporte que incluye una relación de las estimaciones o de gastos aprobados, monto ejercido y créditos a favor o en contra</w:t>
      </w:r>
      <w:r>
        <w:rPr>
          <w:rFonts w:ascii="Palatino Linotype" w:eastAsia="Palatino Linotype" w:hAnsi="Palatino Linotype" w:cs="Palatino Linotype"/>
          <w:i/>
          <w:iCs/>
        </w:rPr>
        <w:t xml:space="preserve">. Artículo 231.- </w:t>
      </w:r>
      <w:r>
        <w:rPr>
          <w:rFonts w:ascii="Palatino Linotype" w:eastAsia="Palatino Linotype" w:hAnsi="Palatino Linotype" w:cs="Palatino Linotype"/>
          <w:b/>
          <w:bCs/>
          <w:i/>
          <w:iCs/>
        </w:rPr>
        <w:t>Si, durante la verificación de los trabajos, el contratante observa deficiencias, deberá solicitar al contratista que realice las correcciones o reparaciones conforme a lo establecido en el contrato</w:t>
      </w:r>
      <w:r>
        <w:rPr>
          <w:rFonts w:ascii="Palatino Linotype" w:eastAsia="Palatino Linotype" w:hAnsi="Palatino Linotype" w:cs="Palatino Linotype"/>
          <w:i/>
          <w:iCs/>
        </w:rPr>
        <w:t xml:space="preserve">. En este caso, el plazo de verificación de los trabajos, pactado en el contrato, se podrá ampliar por el </w:t>
      </w:r>
      <w:r>
        <w:rPr>
          <w:rFonts w:ascii="Palatino Linotype" w:eastAsia="Palatino Linotype" w:hAnsi="Palatino Linotype" w:cs="Palatino Linotype"/>
          <w:i/>
          <w:iCs/>
        </w:rPr>
        <w:lastRenderedPageBreak/>
        <w:t xml:space="preserve">periodo que acuerden las partes para la reparación de las deficiencias. Lo anterior, sin perjuicio de que el contratante opte por la rescisión del contrato.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232</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En la fecha señalada, el contratante recibirá físicamente los trabajos y levantará el acta correspondiente</w:t>
      </w:r>
      <w:r>
        <w:rPr>
          <w:rFonts w:ascii="Palatino Linotype" w:eastAsia="Palatino Linotype" w:hAnsi="Palatino Linotype" w:cs="Palatino Linotype"/>
          <w:i/>
          <w:iCs/>
        </w:rPr>
        <w:t xml:space="preserve">, que contendrá: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Lugar, fecha y hora en que se levante;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Nombre y firma del residente de obra y, en su caso, del supervisor de los trabajos y del superintendente de construcción;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Nombre y firma de los representantes de las Secretarías del Ramo y de Finanzas, de la Contraloría y del área responsable de operar la obra pública que se recibe;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Descripción de los trabajos que se reciben;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Importe contractual, incluyendo el de los convenios modificatorios;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Periodo de ejecución de los trabajos, precisando las fechas de inicio y terminación contractual y el plazo en que realmente se ejecutaron, incluyendo los convenios; </w:t>
      </w:r>
    </w:p>
    <w:p w:rsidR="00F93EF8" w:rsidRDefault="008D66D3">
      <w:pPr>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VII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Relación de las estimaciones pagadas y por pagar;</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Declaración de las partes en que conste la entrega de los planos actualizados de la construcción final, así como los manuales e instructivos de operación y mantenimiento y los c</w:t>
      </w:r>
      <w:r>
        <w:rPr>
          <w:rFonts w:ascii="Palatino Linotype" w:eastAsia="Palatino Linotype" w:hAnsi="Palatino Linotype" w:cs="Palatino Linotype"/>
          <w:b/>
          <w:bCs/>
          <w:i/>
          <w:iCs/>
        </w:rPr>
        <w:t>ertificados de garantía de calidad y de servicio de los bienes instalados</w:t>
      </w:r>
      <w:r>
        <w:rPr>
          <w:rFonts w:ascii="Palatino Linotype" w:eastAsia="Palatino Linotype" w:hAnsi="Palatino Linotype" w:cs="Palatino Linotype"/>
          <w:i/>
          <w:iCs/>
        </w:rPr>
        <w:t xml:space="preserve">; y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IX</w:t>
      </w:r>
      <w:r>
        <w:rPr>
          <w:rFonts w:ascii="Palatino Linotype" w:eastAsia="Palatino Linotype" w:hAnsi="Palatino Linotype" w:cs="Palatino Linotype"/>
          <w:i/>
          <w:iCs/>
        </w:rPr>
        <w:t>. Constancia de que el archivo de documentos derivados de la realización de los trabajos fue entregado a la residencia de obra o a la supervisión por parte del contratista.</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233.-</w:t>
      </w:r>
      <w:r>
        <w:rPr>
          <w:rFonts w:ascii="Palatino Linotype" w:eastAsia="Palatino Linotype" w:hAnsi="Palatino Linotype" w:cs="Palatino Linotype"/>
          <w:i/>
          <w:iCs/>
        </w:rPr>
        <w:t xml:space="preserve">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234.-</w:t>
      </w:r>
      <w:r>
        <w:rPr>
          <w:rFonts w:ascii="Palatino Linotype" w:eastAsia="Palatino Linotype" w:hAnsi="Palatino Linotype" w:cs="Palatino Linotype"/>
          <w:i/>
          <w:iCs/>
        </w:rPr>
        <w:t xml:space="preserve"> Para dar por terminados, parcial o totalmente, los derechos y obligaciones asumidos por las partes en un contrato de obras o servicios, el contratante deberá elaborar el finiquito correspondiente, </w:t>
      </w:r>
      <w:r>
        <w:rPr>
          <w:rFonts w:ascii="Palatino Linotype" w:eastAsia="Palatino Linotype" w:hAnsi="Palatino Linotype" w:cs="Palatino Linotype"/>
          <w:b/>
          <w:bCs/>
          <w:i/>
          <w:iCs/>
        </w:rPr>
        <w:t>anexando el acta de recepción física de los trabajos</w:t>
      </w:r>
      <w:r>
        <w:rPr>
          <w:rFonts w:ascii="Palatino Linotype" w:eastAsia="Palatino Linotype" w:hAnsi="Palatino Linotype" w:cs="Palatino Linotype"/>
          <w:i/>
          <w:iCs/>
        </w:rPr>
        <w:t xml:space="preserv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Elaborado este finiquito, el contratante dará por terminado el contrato, quedando subsistentes las acciones que se deriven del finiquito y la garantía de defectos y vicios ocultos señalada en el libro en el capítulo quinto de la ejecución Después de su formalización, el contratista no podrá presentar reclamación alguna de pago.”</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lastRenderedPageBreak/>
        <w:t>Por otro lado, el artículo 214 del Reglamento del Libro Décimo Segundo, establece que la ejecución de los trabajos deberá realizarse en el orden y tiempo previstos en los programas pactados en el contrato, al respecto, las atribuciones de la Contraloría Municipal, el Libro Décimo Segundo dispone lo siguiente:</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271</w:t>
      </w:r>
      <w:r>
        <w:rPr>
          <w:rFonts w:ascii="Palatino Linotype" w:eastAsia="Palatino Linotype" w:hAnsi="Palatino Linotype" w:cs="Palatino Linotype"/>
          <w:i/>
          <w:iCs/>
        </w:rPr>
        <w:t xml:space="preserve">.- Las dependencias, entidades y ayuntamientos, podrán suspender temporal o definitivamente, en todo o en parte, las obras que realicen por administración directa, por razones de interés general o por cualquier causa justificada, mediante acuerdo del mismo servidor público que autorizó su realización.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Tratándose de suspensión definitiva de la obra, se deberá levantar acta circunstanciada, donde se haga constar el estado en que se encuentran los trabajos y las razones de la suspensión definitiva.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Las suspensiones temporales o definitivas que realicen las dependencias y entidades deberán comunicarse a</w:t>
      </w:r>
      <w:r>
        <w:rPr>
          <w:rFonts w:ascii="Palatino Linotype" w:eastAsia="Palatino Linotype" w:hAnsi="Palatino Linotype" w:cs="Palatino Linotype"/>
          <w:i/>
          <w:iCs/>
        </w:rPr>
        <w:t xml:space="preserve"> la Secretaría del Ramo, </w:t>
      </w:r>
      <w:r>
        <w:rPr>
          <w:rFonts w:ascii="Palatino Linotype" w:eastAsia="Palatino Linotype" w:hAnsi="Palatino Linotype" w:cs="Palatino Linotype"/>
          <w:b/>
          <w:bCs/>
          <w:i/>
          <w:iCs/>
        </w:rPr>
        <w:t>a la Contraloría</w:t>
      </w:r>
      <w:r>
        <w:rPr>
          <w:rFonts w:ascii="Palatino Linotype" w:eastAsia="Palatino Linotype" w:hAnsi="Palatino Linotype" w:cs="Palatino Linotype"/>
          <w:i/>
          <w:iCs/>
        </w:rPr>
        <w:t xml:space="preserve"> y, en el caso de las entidades, a la dependencia coordinadora de sector, dentro de los diez días naturales siguientes a la fecha en que se emita el acuerdo de suspensión.</w:t>
      </w:r>
    </w:p>
    <w:p w:rsidR="00F93EF8" w:rsidRDefault="008D66D3">
      <w:pPr>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272.- La Contraloría, en las dependencias, entidades y ayuntamientos</w:t>
      </w:r>
      <w:r>
        <w:rPr>
          <w:rFonts w:ascii="Palatino Linotype" w:eastAsia="Palatino Linotype" w:hAnsi="Palatino Linotype" w:cs="Palatino Linotype"/>
          <w:i/>
          <w:iCs/>
        </w:rPr>
        <w:t xml:space="preserve">, previo a la ejecución de los trabajos por administración directa, </w:t>
      </w:r>
      <w:r>
        <w:rPr>
          <w:rFonts w:ascii="Palatino Linotype" w:eastAsia="Palatino Linotype" w:hAnsi="Palatino Linotype" w:cs="Palatino Linotype"/>
          <w:b/>
          <w:bCs/>
          <w:i/>
          <w:iCs/>
        </w:rPr>
        <w:t>verificará que se cuente con el presupuesto correspondiente y los programas de ejecución, de utilización de recursos humanos</w:t>
      </w:r>
      <w:r>
        <w:rPr>
          <w:rFonts w:ascii="Palatino Linotype" w:eastAsia="Palatino Linotype" w:hAnsi="Palatino Linotype" w:cs="Palatino Linotype"/>
          <w:i/>
          <w:iCs/>
        </w:rPr>
        <w:t xml:space="preserve"> y, en su caso, de utilización de maquinaria y equipo de construcción. Asimismo, en el ejercicio de sus atribuciones </w:t>
      </w:r>
      <w:r>
        <w:rPr>
          <w:rFonts w:ascii="Palatino Linotype" w:eastAsia="Palatino Linotype" w:hAnsi="Palatino Linotype" w:cs="Palatino Linotype"/>
          <w:b/>
          <w:bCs/>
          <w:i/>
          <w:iCs/>
        </w:rPr>
        <w:t>estará atenta al desarrollo de la obra, a su entrega-recepción y en su caso, suspensión.</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276</w:t>
      </w:r>
      <w:r>
        <w:rPr>
          <w:rFonts w:ascii="Palatino Linotype" w:eastAsia="Palatino Linotype" w:hAnsi="Palatino Linotype" w:cs="Palatino Linotype"/>
          <w:i/>
          <w:iCs/>
        </w:rPr>
        <w:t xml:space="preserve">.- La Contraloría llevará a cabo el seguimiento de la obra pública y servicios que realicen las dependencias, entidades y ayuntamientos en su caso. El seguimiento abarcará: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La Planeación;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La Programación y presupuestación;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licitación pública;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La invitación restringida;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La adjudicación directa;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w:t>
      </w:r>
      <w:r>
        <w:rPr>
          <w:rFonts w:ascii="Palatino Linotype" w:eastAsia="Palatino Linotype" w:hAnsi="Palatino Linotype" w:cs="Palatino Linotype"/>
          <w:i/>
          <w:iCs/>
        </w:rPr>
        <w:t xml:space="preserve">. La contratación;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VII.</w:t>
      </w:r>
      <w:r>
        <w:rPr>
          <w:rFonts w:ascii="Palatino Linotype" w:eastAsia="Palatino Linotype" w:hAnsi="Palatino Linotype" w:cs="Palatino Linotype"/>
          <w:i/>
          <w:iCs/>
        </w:rPr>
        <w:t xml:space="preserve"> La ejecución;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xml:space="preserve"> La recepción y finiquito.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La Contraloría realizará las visitas, inspecciones, auditorias y supervisiones que considere necesarias. Podrá solicitar a los servidores públicos y a los contratistas los datos e informes relacionados con las obras y servicios objeto de dichas visitas, inspecciones, auditorias y supervisiones.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La Contraloría llevará el registro de las personas físicas o jurídicas que se encuentren en cualquiera de los supuestos a que se refieren las fracciones III, IV y VI del artículo 12.48 del Libro y lo dará a conocer a las dependencias, entidades y ayuntamientos por los medios que determine y recibirá de éstas la información correspondiente para la integración y difusión de dicho registro.</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277</w:t>
      </w:r>
      <w:r>
        <w:rPr>
          <w:rFonts w:ascii="Palatino Linotype" w:eastAsia="Palatino Linotype" w:hAnsi="Palatino Linotype" w:cs="Palatino Linotype"/>
          <w:i/>
          <w:iCs/>
        </w:rPr>
        <w:t xml:space="preserve">.- En el ejercicio de sus atribuciones, la Contraloría tiene la facultad de verificar que la realización de las obras públicas y los servicios se efectúen con apego a lo establecido en el Libro, este Reglamento, las disposiciones legales aplicables y conforme a los programas y presupuestos autorizados.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278</w:t>
      </w:r>
      <w:r>
        <w:rPr>
          <w:rFonts w:ascii="Palatino Linotype" w:eastAsia="Palatino Linotype" w:hAnsi="Palatino Linotype" w:cs="Palatino Linotype"/>
          <w:i/>
          <w:iCs/>
        </w:rPr>
        <w:t>.- Cuando la Contraloría tenga conocimiento de que una dependencia, entidad o ayuntamiento no se hubiere apegado a las disposiciones legales aplicables, actuará conforme a los manuales y procedimientos que norman su actuación.”</w:t>
      </w:r>
    </w:p>
    <w:p w:rsidR="00F93EF8" w:rsidRDefault="00F93EF8">
      <w:pPr>
        <w:spacing w:before="120" w:after="120"/>
        <w:ind w:left="113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Así mismo y  de conformidad con el </w:t>
      </w:r>
      <w:r>
        <w:rPr>
          <w:rFonts w:ascii="Palatino Linotype" w:eastAsia="Palatino Linotype" w:hAnsi="Palatino Linotype" w:cs="Palatino Linotype"/>
          <w:i/>
          <w:iCs/>
          <w:color w:val="000000"/>
        </w:rPr>
        <w:t>ACUERDO DEL SECRETARIO DE INFRAESTRUCTURA POR EL QUE SE ESTABLECE EL ÍNDICE DE EXPEDIENTE ÚNICO DE OBRA PÚBLICA E INSTRUCTIVOS DE LLENADO EN LAS MODALIDADES DE ADJUDICACIÓN DIRECTA, INVITACIÓN RESTRINGIDA Y LICITACIÓN PÚBLICA</w:t>
      </w:r>
      <w:r>
        <w:rPr>
          <w:rFonts w:ascii="Palatino Linotype" w:eastAsia="Palatino Linotype" w:hAnsi="Palatino Linotype" w:cs="Palatino Linotype"/>
          <w:color w:val="000000"/>
        </w:rPr>
        <w:t>, mediante el cual se establecen los índices de Expedientes Únicos de Obra e instructivos de llenado, en las modalidades de Adjudicación Directa, Invitación Restringida y Licitación Pública, para la integración del expediente único de obra pública que para tal efecto integran las dependencias, entidades, ayuntamientos y tribunales administrativos que ejecuten obra pública, los expedientes de Adjudicación Directa, Invitación Restringida y Licitación Pública, se integran de la siguiente manera:</w:t>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2671861" cy="3001873"/>
            <wp:effectExtent l="12700" t="12700" r="12700" b="127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b="23111"/>
                    <a:stretch>
                      <a:fillRect/>
                    </a:stretch>
                  </pic:blipFill>
                  <pic:spPr>
                    <a:xfrm>
                      <a:off x="0" y="0"/>
                      <a:ext cx="2671861" cy="3001873"/>
                    </a:xfrm>
                    <a:prstGeom prst="rect">
                      <a:avLst/>
                    </a:prstGeom>
                    <a:ln w="12700">
                      <a:solidFill>
                        <a:srgbClr val="4F81BD"/>
                      </a:solidFill>
                      <a:prstDash val="solid"/>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3646281" cy="1096264"/>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t="76157" b="476"/>
                    <a:stretch>
                      <a:fillRect/>
                    </a:stretch>
                  </pic:blipFill>
                  <pic:spPr>
                    <a:xfrm>
                      <a:off x="0" y="0"/>
                      <a:ext cx="3646281" cy="1096264"/>
                    </a:xfrm>
                    <a:prstGeom prst="rect">
                      <a:avLst/>
                    </a:prstGeom>
                    <a:ln/>
                  </pic:spPr>
                </pic:pic>
              </a:graphicData>
            </a:graphic>
          </wp:inline>
        </w:drawing>
      </w:r>
      <w:r>
        <w:rPr>
          <w:rFonts w:ascii="Palatino Linotype" w:eastAsia="Palatino Linotype" w:hAnsi="Palatino Linotype" w:cs="Palatino Linotype"/>
          <w:noProof/>
          <w:lang w:val="es-MX"/>
        </w:rPr>
        <w:drawing>
          <wp:inline distT="0" distB="0" distL="0" distR="0">
            <wp:extent cx="3610022" cy="1963495"/>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3610022" cy="1963495"/>
                    </a:xfrm>
                    <a:prstGeom prst="rect">
                      <a:avLst/>
                    </a:prstGeom>
                    <a:ln/>
                  </pic:spPr>
                </pic:pic>
              </a:graphicData>
            </a:graphic>
          </wp:inline>
        </w:drawing>
      </w:r>
      <w:r>
        <w:rPr>
          <w:rFonts w:ascii="Palatino Linotype" w:eastAsia="Palatino Linotype" w:hAnsi="Palatino Linotype" w:cs="Palatino Linotype"/>
          <w:noProof/>
          <w:lang w:val="es-MX"/>
        </w:rPr>
        <w:drawing>
          <wp:inline distT="0" distB="0" distL="0" distR="0">
            <wp:extent cx="3619289" cy="1885632"/>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b="58360"/>
                    <a:stretch>
                      <a:fillRect/>
                    </a:stretch>
                  </pic:blipFill>
                  <pic:spPr>
                    <a:xfrm>
                      <a:off x="0" y="0"/>
                      <a:ext cx="3619289" cy="1885632"/>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3542817" cy="2645077"/>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t="41030" b="-702"/>
                    <a:stretch>
                      <a:fillRect/>
                    </a:stretch>
                  </pic:blipFill>
                  <pic:spPr>
                    <a:xfrm>
                      <a:off x="0" y="0"/>
                      <a:ext cx="3542817" cy="2645077"/>
                    </a:xfrm>
                    <a:prstGeom prst="rect">
                      <a:avLst/>
                    </a:prstGeom>
                    <a:ln/>
                  </pic:spPr>
                </pic:pic>
              </a:graphicData>
            </a:graphic>
          </wp:inline>
        </w:drawing>
      </w:r>
      <w:r>
        <w:rPr>
          <w:rFonts w:ascii="Palatino Linotype" w:eastAsia="Palatino Linotype" w:hAnsi="Palatino Linotype" w:cs="Palatino Linotype"/>
          <w:noProof/>
          <w:lang w:val="es-MX"/>
        </w:rPr>
        <w:drawing>
          <wp:inline distT="0" distB="0" distL="0" distR="0">
            <wp:extent cx="3532458" cy="2079939"/>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t="12348"/>
                    <a:stretch>
                      <a:fillRect/>
                    </a:stretch>
                  </pic:blipFill>
                  <pic:spPr>
                    <a:xfrm>
                      <a:off x="0" y="0"/>
                      <a:ext cx="3532458" cy="2079939"/>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3646076" cy="2256211"/>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3646076" cy="2256211"/>
                    </a:xfrm>
                    <a:prstGeom prst="rect">
                      <a:avLst/>
                    </a:prstGeom>
                    <a:ln/>
                  </pic:spPr>
                </pic:pic>
              </a:graphicData>
            </a:graphic>
          </wp:inline>
        </w:drawing>
      </w:r>
      <w:r>
        <w:rPr>
          <w:rFonts w:ascii="Palatino Linotype" w:eastAsia="Palatino Linotype" w:hAnsi="Palatino Linotype" w:cs="Palatino Linotype"/>
          <w:noProof/>
          <w:lang w:val="es-MX"/>
        </w:rPr>
        <w:drawing>
          <wp:inline distT="0" distB="0" distL="0" distR="0">
            <wp:extent cx="3698548" cy="3183281"/>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t="-1" b="34969"/>
                    <a:stretch>
                      <a:fillRect/>
                    </a:stretch>
                  </pic:blipFill>
                  <pic:spPr>
                    <a:xfrm>
                      <a:off x="0" y="0"/>
                      <a:ext cx="3698548" cy="3183281"/>
                    </a:xfrm>
                    <a:prstGeom prst="rect">
                      <a:avLst/>
                    </a:prstGeom>
                    <a:ln/>
                  </pic:spPr>
                </pic:pic>
              </a:graphicData>
            </a:graphic>
          </wp:inline>
        </w:drawing>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3638767" cy="1697543"/>
            <wp:effectExtent l="0" t="0" r="0" b="0"/>
            <wp:docPr id="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t="64121" b="630"/>
                    <a:stretch>
                      <a:fillRect/>
                    </a:stretch>
                  </pic:blipFill>
                  <pic:spPr>
                    <a:xfrm>
                      <a:off x="0" y="0"/>
                      <a:ext cx="3638767" cy="1697543"/>
                    </a:xfrm>
                    <a:prstGeom prst="rect">
                      <a:avLst/>
                    </a:prstGeom>
                    <a:ln/>
                  </pic:spPr>
                </pic:pic>
              </a:graphicData>
            </a:graphic>
          </wp:inline>
        </w:drawing>
      </w:r>
    </w:p>
    <w:p w:rsidR="00F93EF8" w:rsidRDefault="008D66D3">
      <w:pPr>
        <w:spacing w:before="240" w:after="240"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donde se advierte que los expedientes únicos de obra pública, en las modalidades de adjudicación directa, invitación restringida y licitación pública, incluyen diversos documentos, entre los que se encuentra </w:t>
      </w:r>
      <w:r>
        <w:rPr>
          <w:rFonts w:ascii="Palatino Linotype" w:eastAsia="Palatino Linotype" w:hAnsi="Palatino Linotype" w:cs="Palatino Linotype"/>
          <w:i/>
          <w:iCs/>
        </w:rPr>
        <w:t>el oficio de autorización de recursos y dictamen de procedencia; la evaluación de la propuesta; el contrato: las garantías de cumplimiento de contrato; la bitácora de obra o servicios; el acta de recepción de los trabajos y el acta de entrega a la instancia encargada de su operación</w:t>
      </w:r>
      <w:r>
        <w:rPr>
          <w:rFonts w:ascii="Palatino Linotype" w:eastAsia="Palatino Linotype" w:hAnsi="Palatino Linotype" w:cs="Palatino Linotype"/>
          <w:b/>
          <w:bCs/>
        </w:rPr>
        <w:t>.</w:t>
      </w:r>
      <w:r>
        <w:rPr>
          <w:rFonts w:ascii="Palatino Linotype" w:eastAsia="Palatino Linotype" w:hAnsi="Palatino Linotype" w:cs="Palatino Linotype"/>
        </w:rPr>
        <w:t xml:space="preserve"> </w:t>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Asimismo, el Instructivo de llenado de los índices del Expediente Único de Obra en las modalidades de adjudicación referidas, dispone que en el apartado del Proyecto Ejecutivo, se incluirán los estudios preliminares y análisis de factibilidad de acuerdo a los estudios de costo beneficio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para la normatividad federal, como se lee:</w:t>
      </w:r>
    </w:p>
    <w:p w:rsidR="00F93EF8" w:rsidRDefault="008D66D3">
      <w:pPr>
        <w:spacing w:before="240" w:after="240" w:line="360" w:lineRule="auto"/>
        <w:ind w:right="-989"/>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5847995" cy="847851"/>
            <wp:effectExtent l="0" t="0" r="0" b="0"/>
            <wp:docPr id="2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a:stretch>
                      <a:fillRect/>
                    </a:stretch>
                  </pic:blipFill>
                  <pic:spPr>
                    <a:xfrm>
                      <a:off x="0" y="0"/>
                      <a:ext cx="5847995" cy="847851"/>
                    </a:xfrm>
                    <a:prstGeom prst="rect">
                      <a:avLst/>
                    </a:prstGeom>
                    <a:ln/>
                  </pic:spPr>
                </pic:pic>
              </a:graphicData>
            </a:graphic>
          </wp:inline>
        </w:drawing>
      </w: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Además, no debe perderse de vista que el artículo 92, fracción XIX de la Ley de Transparencia y Acceso a la Información Pública del Estado de México y Municipios, , los Sujetos Obligados deben poner a disposición del público de manera constante y actualizada, de forma sencilla, precisa y entendible, en los respectivos medios electrónicos, información relativa a los procesos y resultados sobre procedimientos de adjudicación directa, invitación restringida, y licitación de cualquier naturaleza, incluyendo la versión pública del expediente respectivo y de los contratos celebrados, por tratarse de una obligación de transparencia:</w:t>
      </w:r>
    </w:p>
    <w:p w:rsidR="00F93EF8" w:rsidRDefault="008D66D3">
      <w:pPr>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w:t>
      </w:r>
      <w:r>
        <w:rPr>
          <w:rFonts w:ascii="Palatino Linotype" w:eastAsia="Palatino Linotype" w:hAnsi="Palatino Linotype" w:cs="Palatino Linotype"/>
          <w:i/>
          <w:iCs/>
        </w:rPr>
        <w:lastRenderedPageBreak/>
        <w:t>corresponda, la información, por lo menos, de los temas, documentos y políticas que a continuación se señalan:</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XXIX.</w:t>
      </w:r>
      <w:r>
        <w:rPr>
          <w:rFonts w:ascii="Palatino Linotype" w:eastAsia="Palatino Linotype" w:hAnsi="Palatino Linotype" w:cs="Palatino Linotype"/>
          <w:i/>
          <w:iCs/>
        </w:rPr>
        <w:t xml:space="preserve"> La </w:t>
      </w:r>
      <w:r>
        <w:rPr>
          <w:rFonts w:ascii="Palatino Linotype" w:eastAsia="Palatino Linotype" w:hAnsi="Palatino Linotype" w:cs="Palatino Linotype"/>
          <w:b/>
          <w:bCs/>
          <w:i/>
          <w:iCs/>
        </w:rPr>
        <w:t xml:space="preserve">información sobre los procesos y resultados </w:t>
      </w:r>
      <w:r>
        <w:rPr>
          <w:rFonts w:ascii="Palatino Linotype" w:eastAsia="Palatino Linotype" w:hAnsi="Palatino Linotype" w:cs="Palatino Linotype"/>
          <w:b/>
          <w:bCs/>
          <w:i/>
          <w:iCs/>
          <w:u w:val="single"/>
        </w:rPr>
        <w:t>sobre procedimientos de adjudicación directa, invitación restringida y licitación de cualquier naturaleza</w:t>
      </w:r>
      <w:r>
        <w:rPr>
          <w:rFonts w:ascii="Palatino Linotype" w:eastAsia="Palatino Linotype" w:hAnsi="Palatino Linotype" w:cs="Palatino Linotype"/>
          <w:i/>
          <w:iCs/>
          <w:u w:val="single"/>
        </w:rPr>
        <w:t xml:space="preserve">, </w:t>
      </w:r>
      <w:r>
        <w:rPr>
          <w:rFonts w:ascii="Palatino Linotype" w:eastAsia="Palatino Linotype" w:hAnsi="Palatino Linotype" w:cs="Palatino Linotype"/>
          <w:b/>
          <w:bCs/>
          <w:i/>
          <w:iCs/>
        </w:rPr>
        <w:t>incluyendo la versión pública</w:t>
      </w:r>
      <w:r>
        <w:rPr>
          <w:rFonts w:ascii="Palatino Linotype" w:eastAsia="Palatino Linotype" w:hAnsi="Palatino Linotype" w:cs="Palatino Linotype"/>
          <w:i/>
          <w:iCs/>
        </w:rPr>
        <w:t xml:space="preserve"> del expediente respectivo y </w:t>
      </w:r>
      <w:r>
        <w:rPr>
          <w:rFonts w:ascii="Palatino Linotype" w:eastAsia="Palatino Linotype" w:hAnsi="Palatino Linotype" w:cs="Palatino Linotype"/>
          <w:b/>
          <w:bCs/>
          <w:i/>
          <w:iCs/>
        </w:rPr>
        <w:t>de los contratos celebrados</w:t>
      </w:r>
      <w:r>
        <w:rPr>
          <w:rFonts w:ascii="Palatino Linotype" w:eastAsia="Palatino Linotype" w:hAnsi="Palatino Linotype" w:cs="Palatino Linotype"/>
          <w:i/>
          <w:iCs/>
        </w:rPr>
        <w:t>, que deberán contener, por los menos, lo siguiente:</w:t>
      </w:r>
    </w:p>
    <w:p w:rsidR="00F93EF8" w:rsidRDefault="008D66D3">
      <w:pPr>
        <w:tabs>
          <w:tab w:val="left" w:pos="426"/>
        </w:tabs>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 De licitaciones públicas o procedimientos de invitación restringida:</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1)</w:t>
      </w:r>
      <w:r>
        <w:rPr>
          <w:rFonts w:ascii="Palatino Linotype" w:eastAsia="Palatino Linotype" w:hAnsi="Palatino Linotype" w:cs="Palatino Linotype"/>
          <w:i/>
          <w:iCs/>
        </w:rPr>
        <w:t xml:space="preserve"> La convocatoria o invitación emitida, así como los fundamentos legales aplicados para llevarla a cabo;</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2)</w:t>
      </w:r>
      <w:r>
        <w:rPr>
          <w:rFonts w:ascii="Palatino Linotype" w:eastAsia="Palatino Linotype" w:hAnsi="Palatino Linotype" w:cs="Palatino Linotype"/>
          <w:i/>
          <w:iCs/>
        </w:rPr>
        <w:t xml:space="preserve"> Los nombres de los participantes o invitados;</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3)</w:t>
      </w:r>
      <w:r>
        <w:rPr>
          <w:rFonts w:ascii="Palatino Linotype" w:eastAsia="Palatino Linotype" w:hAnsi="Palatino Linotype" w:cs="Palatino Linotype"/>
          <w:i/>
          <w:iCs/>
        </w:rPr>
        <w:t xml:space="preserve"> El nombre del ganador y las razones que lo justifican;</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4)</w:t>
      </w:r>
      <w:r>
        <w:rPr>
          <w:rFonts w:ascii="Palatino Linotype" w:eastAsia="Palatino Linotype" w:hAnsi="Palatino Linotype" w:cs="Palatino Linotype"/>
          <w:i/>
          <w:iCs/>
        </w:rPr>
        <w:t xml:space="preserve"> El área solicitante y la responsable de su ejecución;</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5)</w:t>
      </w:r>
      <w:r>
        <w:rPr>
          <w:rFonts w:ascii="Palatino Linotype" w:eastAsia="Palatino Linotype" w:hAnsi="Palatino Linotype" w:cs="Palatino Linotype"/>
          <w:i/>
          <w:iCs/>
        </w:rPr>
        <w:t xml:space="preserve"> Las convocatorias e invitaciones emitidas;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6)</w:t>
      </w:r>
      <w:r>
        <w:rPr>
          <w:rFonts w:ascii="Palatino Linotype" w:eastAsia="Palatino Linotype" w:hAnsi="Palatino Linotype" w:cs="Palatino Linotype"/>
          <w:i/>
          <w:iCs/>
        </w:rPr>
        <w:t xml:space="preserve"> Los dictámenes y fallo de adjudicación;</w:t>
      </w:r>
    </w:p>
    <w:p w:rsidR="00F93EF8" w:rsidRDefault="008D66D3">
      <w:pPr>
        <w:tabs>
          <w:tab w:val="left" w:pos="426"/>
        </w:tabs>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7) El contrato y, en su caso, sus anexos;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8)</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mecanismos de vigilancia y supervisión,</w:t>
      </w:r>
      <w:r>
        <w:rPr>
          <w:rFonts w:ascii="Palatino Linotype" w:eastAsia="Palatino Linotype" w:hAnsi="Palatino Linotype" w:cs="Palatino Linotype"/>
          <w:i/>
          <w:iCs/>
        </w:rPr>
        <w:t xml:space="preserve"> incluyendo en su caso, los estudios de impacto urbano y ambiental, según corresponda;</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La partida presupuestal, </w:t>
      </w:r>
      <w:r>
        <w:rPr>
          <w:rFonts w:ascii="Palatino Linotype" w:eastAsia="Palatino Linotype" w:hAnsi="Palatino Linotype" w:cs="Palatino Linotype"/>
          <w:i/>
          <w:iCs/>
        </w:rPr>
        <w:t xml:space="preserve">de conformidad con el clasificador por objeto del gasto, en el caso de ser aplicable;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10)</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Origen de los recursos</w:t>
      </w:r>
      <w:r>
        <w:rPr>
          <w:rFonts w:ascii="Palatino Linotype" w:eastAsia="Palatino Linotype" w:hAnsi="Palatino Linotype" w:cs="Palatino Linotype"/>
          <w:i/>
          <w:iCs/>
        </w:rPr>
        <w:t xml:space="preserve"> especificando si son federales, estatales o municipales, así como el tipo de fondo de participación o aportación respectiva;</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11)</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convenios modificatorio</w:t>
      </w:r>
      <w:r>
        <w:rPr>
          <w:rFonts w:ascii="Palatino Linotype" w:eastAsia="Palatino Linotype" w:hAnsi="Palatino Linotype" w:cs="Palatino Linotype"/>
          <w:i/>
          <w:iCs/>
        </w:rPr>
        <w:t>s que, en su caso, sean firmados, precisando el objeto y la fecha de celebración;</w:t>
      </w:r>
    </w:p>
    <w:p w:rsidR="00F93EF8" w:rsidRDefault="008D66D3">
      <w:pPr>
        <w:tabs>
          <w:tab w:val="left" w:pos="426"/>
        </w:tabs>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12)</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Los informes de avance físico y financiero sobre las obras o servicios contratados;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13)</w:t>
      </w:r>
      <w:r>
        <w:rPr>
          <w:rFonts w:ascii="Palatino Linotype" w:eastAsia="Palatino Linotype" w:hAnsi="Palatino Linotype" w:cs="Palatino Linotype"/>
          <w:i/>
          <w:iCs/>
        </w:rPr>
        <w:t xml:space="preserve"> El convenio de terminación;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14)</w:t>
      </w:r>
      <w:r>
        <w:rPr>
          <w:rFonts w:ascii="Palatino Linotype" w:eastAsia="Palatino Linotype" w:hAnsi="Palatino Linotype" w:cs="Palatino Linotype"/>
          <w:i/>
          <w:iCs/>
        </w:rPr>
        <w:t xml:space="preserve"> El finiquito.</w:t>
      </w:r>
    </w:p>
    <w:p w:rsidR="00F93EF8" w:rsidRDefault="008D66D3">
      <w:pPr>
        <w:tabs>
          <w:tab w:val="left" w:pos="426"/>
        </w:tabs>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b) De las adjudicaciones directas: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1)</w:t>
      </w:r>
      <w:r>
        <w:rPr>
          <w:rFonts w:ascii="Palatino Linotype" w:eastAsia="Palatino Linotype" w:hAnsi="Palatino Linotype" w:cs="Palatino Linotype"/>
          <w:i/>
          <w:iCs/>
        </w:rPr>
        <w:t xml:space="preserve"> La propuesta enviada por el participante;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2)</w:t>
      </w:r>
      <w:r>
        <w:rPr>
          <w:rFonts w:ascii="Palatino Linotype" w:eastAsia="Palatino Linotype" w:hAnsi="Palatino Linotype" w:cs="Palatino Linotype"/>
          <w:i/>
          <w:iCs/>
        </w:rPr>
        <w:t xml:space="preserve"> Los motivos y fundamentos legales aplicados para llevarla a cabo;</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3)</w:t>
      </w:r>
      <w:r>
        <w:rPr>
          <w:rFonts w:ascii="Palatino Linotype" w:eastAsia="Palatino Linotype" w:hAnsi="Palatino Linotype" w:cs="Palatino Linotype"/>
          <w:i/>
          <w:iCs/>
        </w:rPr>
        <w:t xml:space="preserve"> La autorización del ejercicio de la opción; </w:t>
      </w:r>
    </w:p>
    <w:p w:rsidR="00F93EF8" w:rsidRDefault="008D66D3">
      <w:pPr>
        <w:tabs>
          <w:tab w:val="left" w:pos="426"/>
        </w:tabs>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4) </w:t>
      </w:r>
      <w:r>
        <w:rPr>
          <w:rFonts w:ascii="Palatino Linotype" w:eastAsia="Palatino Linotype" w:hAnsi="Palatino Linotype" w:cs="Palatino Linotype"/>
          <w:i/>
          <w:iCs/>
        </w:rPr>
        <w:t>En su caso, las cotizaciones consideradas, especificando los nombres de los proveedores y sus montos;</w:t>
      </w:r>
      <w:r>
        <w:rPr>
          <w:rFonts w:ascii="Palatino Linotype" w:eastAsia="Palatino Linotype" w:hAnsi="Palatino Linotype" w:cs="Palatino Linotype"/>
          <w:b/>
          <w:bCs/>
          <w:i/>
          <w:iCs/>
        </w:rPr>
        <w:t xml:space="preserve">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5)</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nombre de la persona física o jurídica colectiva adjudicada</w:t>
      </w:r>
      <w:r>
        <w:rPr>
          <w:rFonts w:ascii="Palatino Linotype" w:eastAsia="Palatino Linotype" w:hAnsi="Palatino Linotype" w:cs="Palatino Linotype"/>
          <w:i/>
          <w:iCs/>
        </w:rPr>
        <w:t xml:space="preserve">;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6)</w:t>
      </w:r>
      <w:r>
        <w:rPr>
          <w:rFonts w:ascii="Palatino Linotype" w:eastAsia="Palatino Linotype" w:hAnsi="Palatino Linotype" w:cs="Palatino Linotype"/>
          <w:i/>
          <w:iCs/>
        </w:rPr>
        <w:t xml:space="preserve"> La unidad administrativa solicitante y la responsable de su ejecución; </w:t>
      </w:r>
    </w:p>
    <w:p w:rsidR="00F93EF8" w:rsidRDefault="008D66D3">
      <w:pPr>
        <w:tabs>
          <w:tab w:val="left" w:pos="426"/>
        </w:tabs>
        <w:spacing w:before="120" w:after="120"/>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7) El número, fecha, el monto del contrato y el plazo de entrega o de ejecución de los servicios u obra;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8) Los mecanismos de vigilancia y supervisión</w:t>
      </w:r>
      <w:r>
        <w:rPr>
          <w:rFonts w:ascii="Palatino Linotype" w:eastAsia="Palatino Linotype" w:hAnsi="Palatino Linotype" w:cs="Palatino Linotype"/>
          <w:i/>
          <w:iCs/>
        </w:rPr>
        <w:t xml:space="preserve">, incluyendo, en su caso, los estudios de impacto urbano y ambiental, según corresponda;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informes de avance sobre las obras o servicios contratados</w:t>
      </w:r>
      <w:r>
        <w:rPr>
          <w:rFonts w:ascii="Palatino Linotype" w:eastAsia="Palatino Linotype" w:hAnsi="Palatino Linotype" w:cs="Palatino Linotype"/>
          <w:i/>
          <w:iCs/>
        </w:rPr>
        <w:t xml:space="preserve">;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10)</w:t>
      </w:r>
      <w:r>
        <w:rPr>
          <w:rFonts w:ascii="Palatino Linotype" w:eastAsia="Palatino Linotype" w:hAnsi="Palatino Linotype" w:cs="Palatino Linotype"/>
          <w:i/>
          <w:iCs/>
        </w:rPr>
        <w:t xml:space="preserve"> El convenio de terminación; y </w:t>
      </w:r>
    </w:p>
    <w:p w:rsidR="00F93EF8" w:rsidRDefault="008D66D3">
      <w:pPr>
        <w:tabs>
          <w:tab w:val="left" w:pos="426"/>
        </w:tabs>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11)</w:t>
      </w:r>
      <w:r>
        <w:rPr>
          <w:rFonts w:ascii="Palatino Linotype" w:eastAsia="Palatino Linotype" w:hAnsi="Palatino Linotype" w:cs="Palatino Linotype"/>
          <w:i/>
          <w:iCs/>
        </w:rPr>
        <w:t xml:space="preserve"> El finiquito;”</w:t>
      </w:r>
    </w:p>
    <w:p w:rsidR="00F93EF8" w:rsidRDefault="00F93EF8">
      <w:pPr>
        <w:tabs>
          <w:tab w:val="left" w:pos="426"/>
        </w:tabs>
        <w:spacing w:before="120" w:after="120"/>
        <w:ind w:left="113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De lo expuesto, se advierte que, los Sujetos Obligados deberán poner a disposición del público la información relativa a procesos y resultados sobre procedimientos de adjudicación directa, invitación restringida y licitación de cualquier naturaleza, donde se incluya, en versión pública, el expediente respectivo y los contratos celebrados que, para el caso en particular, los expedientes deberán contener:</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Licitación pública: </w:t>
      </w:r>
      <w:r>
        <w:rPr>
          <w:rFonts w:ascii="Palatino Linotype" w:eastAsia="Palatino Linotype" w:hAnsi="Palatino Linotype" w:cs="Palatino Linotype"/>
          <w:i/>
          <w:iCs/>
        </w:rPr>
        <w:t>convocatoria y fundamentos legales aplicables para llevarla a cabo, nombre de los participantes, nombre del ganador y razones, área solicitante y responsable de su ejecución, convocatorias emitidas, dictámenes y fallo de adjudicación, contrato y anexos, mecanismos de vigilancia y supervisión, de ser el caso, con los estudios de impacto urbano y ambiental, partida presupuestal de conformidad con el clasificador por objeto del gasto, origen de los recursos especificando si son federales, estatales o municipales, tipo de fondo de participación o aportación respectiva, convenios modificatorios, informes de avances, convenio de terminación y finiquito.</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        </w:t>
      </w:r>
      <w:r>
        <w:rPr>
          <w:rFonts w:ascii="Palatino Linotype" w:eastAsia="Palatino Linotype" w:hAnsi="Palatino Linotype" w:cs="Palatino Linotype"/>
          <w:b/>
          <w:bCs/>
          <w:i/>
          <w:iCs/>
        </w:rPr>
        <w:t xml:space="preserve">Invitación restringida: </w:t>
      </w:r>
      <w:r>
        <w:rPr>
          <w:rFonts w:ascii="Palatino Linotype" w:eastAsia="Palatino Linotype" w:hAnsi="Palatino Linotype" w:cs="Palatino Linotype"/>
          <w:i/>
          <w:iCs/>
        </w:rPr>
        <w:t>invitación emitida y fundamentos legales aplicables para llevarla a cabo, nombre de los o invitados, nombre del ganador y razones, área solicitante y responsable de su ejecución, invitaciones emitidas, dictámenes y fallo de adjudicación, contrato y anexos, mecanismos de vigilancia y supervisión, de ser el caso, con los estudios de impacto urbano y ambiental, partida presupuestal de conformidad con el clasificador por objeto del gasto, origen de los recursos especificando si son federales, estatales o municipales, tipo de fondo de participación o aportación respectiva, convenios modificatorios, informes de avances, convenio de terminación y finiquito.</w:t>
      </w:r>
    </w:p>
    <w:p w:rsidR="00F93EF8" w:rsidRDefault="008D66D3">
      <w:pPr>
        <w:spacing w:before="240" w:after="24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Adjudicaciones directas: </w:t>
      </w:r>
      <w:r>
        <w:rPr>
          <w:rFonts w:ascii="Palatino Linotype" w:eastAsia="Palatino Linotype" w:hAnsi="Palatino Linotype" w:cs="Palatino Linotype"/>
          <w:i/>
          <w:iCs/>
        </w:rPr>
        <w:t xml:space="preserve">Propuestas enviadas por el participante, motivos y fundamentos legales, autorización del ejercicio de la opción, cotizaciones consideradas, nombre de persona física o jurídica adjudicada, número, fecha, monto del contrato, plazo de entrega o ejecución, mecanismos de vigilancia y supervisión, informes de avance sobre las obras o servicios, convenio de terminación y finiquito. </w:t>
      </w:r>
    </w:p>
    <w:p w:rsidR="00F93EF8" w:rsidRDefault="00F93EF8">
      <w:pPr>
        <w:spacing w:before="240" w:after="240"/>
        <w:ind w:left="1134" w:right="-989"/>
        <w:jc w:val="both"/>
        <w:rPr>
          <w:rFonts w:ascii="Palatino Linotype" w:eastAsia="Palatino Linotype" w:hAnsi="Palatino Linotype" w:cs="Palatino Linotype"/>
          <w:i/>
          <w:iCs/>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Por consiguiente y de acuerdo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para el cumplimiento de la obligación de transparencia señalada en el artículo 70  fracción XXVIII de la Ley General de Transparencia y Acceso a la Información Pública, vigentes a la fecha de la solicitud, los sujetos obligados deben publicar información sobre los actos, </w:t>
      </w:r>
      <w:r>
        <w:rPr>
          <w:rFonts w:ascii="Palatino Linotype" w:eastAsia="Palatino Linotype" w:hAnsi="Palatino Linotype" w:cs="Palatino Linotype"/>
          <w:i/>
          <w:iCs/>
          <w:color w:val="000000"/>
        </w:rPr>
        <w:t xml:space="preserve">contratos y convenios celebrados, misma que debe presentarse en una base de datos en la que cada registro se hará por tipo de procedimiento, ya sea licitación pública, invitación restringida o adjudicación directa, </w:t>
      </w:r>
      <w:r>
        <w:rPr>
          <w:rFonts w:ascii="Palatino Linotype" w:eastAsia="Palatino Linotype" w:hAnsi="Palatino Linotype" w:cs="Palatino Linotype"/>
          <w:color w:val="000000"/>
        </w:rPr>
        <w:t xml:space="preserve">especificando para cada tipo de procedimiento la materia, pudiendo ser obra pública, servicios relacionados con obra pública, arrendamiento, adquisiciones, o servicios, así como el carácter de cada uno, es decir, nacional o internacional, además se debe elaborar versión pública los documentos fuente que deban ser publicados en este apartado, tales como </w:t>
      </w:r>
      <w:r>
        <w:rPr>
          <w:rFonts w:ascii="Palatino Linotype" w:eastAsia="Palatino Linotype" w:hAnsi="Palatino Linotype" w:cs="Palatino Linotype"/>
          <w:color w:val="000000"/>
        </w:rPr>
        <w:lastRenderedPageBreak/>
        <w:t>contratos, convenios, actas, dictámenes, fallos, convenios modificatorios, informes, entre otros, incluyendo sus anexos correspondientes, información que debe ser actualizada de manera trimestral, y conservarse la generada en el ejercicio en curso y la correspondiente a dos ejercicios anteriores.</w:t>
      </w:r>
    </w:p>
    <w:p w:rsidR="00F93EF8" w:rsidRDefault="00F93EF8">
      <w:pPr>
        <w:spacing w:before="240" w:after="240"/>
        <w:ind w:right="-989"/>
        <w:jc w:val="both"/>
        <w:rPr>
          <w:rFonts w:ascii="Palatino Linotype" w:eastAsia="Palatino Linotype" w:hAnsi="Palatino Linotype" w:cs="Palatino Linotype"/>
        </w:rPr>
      </w:pPr>
    </w:p>
    <w:p w:rsidR="00F93EF8" w:rsidRDefault="008D66D3">
      <w:pPr>
        <w:numPr>
          <w:ilvl w:val="0"/>
          <w:numId w:val="9"/>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Es por lo expuesto que éste Órgano Garante considera que ha quedado acreditada la competencia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para conocer la información que es del interés de la persona solicitante.</w:t>
      </w:r>
    </w:p>
    <w:p w:rsidR="00F93EF8" w:rsidRDefault="008D66D3">
      <w:pPr>
        <w:numPr>
          <w:ilvl w:val="0"/>
          <w:numId w:val="9"/>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Ahora bien por cuanto hace al cambio de modalidad referida por el Sujeto Obligado en Informe Justificado, la Ley de Transparencia y Acceso a la Información Pública del Estado de México y Municipios establece en los artículos 155 fracción V, 158 y 164 lo siguiente:</w:t>
      </w: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155</w:t>
      </w:r>
      <w:r>
        <w:rPr>
          <w:rFonts w:ascii="Palatino Linotype" w:eastAsia="Palatino Linotype" w:hAnsi="Palatino Linotype" w:cs="Palatino Linotype"/>
          <w:i/>
          <w:iCs/>
          <w:color w:val="000000"/>
        </w:rPr>
        <w:t>. Para presentar una solicitud por escrito, no se podrán exigir mayores requisitos que los siguientes:</w:t>
      </w: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IV. …</w:t>
      </w: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158.</w:t>
      </w:r>
      <w:r>
        <w:rPr>
          <w:rFonts w:ascii="Palatino Linotype" w:eastAsia="Palatino Linotype" w:hAnsi="Palatino Linotype" w:cs="Palatino Linotype"/>
          <w:i/>
          <w:iCs/>
          <w:color w:val="000000"/>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En todo caso, se facilitará su copia simple o certificada, así como su reproducción por cualquier medio disponible en las instalaciones del sujeto obligado o que, en su caso, aporte el solicitante.</w:t>
      </w:r>
    </w:p>
    <w:p w:rsidR="00F93EF8" w:rsidRDefault="00F93EF8">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tabs>
          <w:tab w:val="left" w:pos="851"/>
        </w:tabs>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164</w:t>
      </w:r>
      <w:r>
        <w:rPr>
          <w:rFonts w:ascii="Palatino Linotype" w:eastAsia="Palatino Linotype" w:hAnsi="Palatino Linotype" w:cs="Palatino Linotype"/>
          <w:i/>
          <w:iCs/>
          <w:color w:val="000000"/>
        </w:rPr>
        <w:t>. El acceso se dará en la modalidad de entrega y, en su caso, de envío elegidos por el solicitante. Cuando la información no pueda entregarse o enviarse en la modalidad solicitada, el sujeto obligado deberá ofrecer otra u otras modalidades de entrega.</w:t>
      </w:r>
    </w:p>
    <w:p w:rsidR="00F93EF8" w:rsidRDefault="00F93EF8">
      <w:pPr>
        <w:pBdr>
          <w:top w:val="nil"/>
          <w:left w:val="nil"/>
          <w:bottom w:val="nil"/>
          <w:right w:val="nil"/>
          <w:between w:val="nil"/>
        </w:pBdr>
        <w:tabs>
          <w:tab w:val="left" w:pos="851"/>
        </w:tabs>
        <w:ind w:left="-566" w:right="-989"/>
        <w:jc w:val="both"/>
        <w:rPr>
          <w:rFonts w:ascii="Palatino Linotype" w:eastAsia="Palatino Linotype" w:hAnsi="Palatino Linotype" w:cs="Palatino Linotype"/>
          <w:i/>
          <w:iCs/>
          <w:color w:val="000000"/>
        </w:rPr>
      </w:pPr>
    </w:p>
    <w:p w:rsidR="00F93EF8" w:rsidRDefault="008D66D3">
      <w:pPr>
        <w:numPr>
          <w:ilvl w:val="0"/>
          <w:numId w:val="9"/>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La normatividad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rsidR="00F93EF8" w:rsidRDefault="00F93EF8">
      <w:pPr>
        <w:pBdr>
          <w:top w:val="nil"/>
          <w:left w:val="nil"/>
          <w:bottom w:val="nil"/>
          <w:right w:val="nil"/>
          <w:between w:val="nil"/>
        </w:pBdr>
        <w:tabs>
          <w:tab w:val="left" w:pos="426"/>
        </w:tabs>
        <w:spacing w:line="360" w:lineRule="auto"/>
        <w:ind w:left="-566" w:right="-989"/>
        <w:jc w:val="both"/>
        <w:rPr>
          <w:rFonts w:ascii="Palatino Linotype" w:eastAsia="Palatino Linotype" w:hAnsi="Palatino Linotype" w:cs="Palatino Linotype"/>
          <w:color w:val="000000"/>
        </w:rPr>
      </w:pPr>
    </w:p>
    <w:p w:rsidR="00F93EF8" w:rsidRDefault="008D66D3">
      <w:pPr>
        <w:numPr>
          <w:ilvl w:val="0"/>
          <w:numId w:val="9"/>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Del artículo 158 ya transcrito, se tiene que, excepcionalmente, en el caso de que la información solicitada implique un análisis, estudio o procesamiento de documentos, cuya entrega o reproducción sobrepase las capacidades técnicas administrativas y humanas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éste podrá poder a disposición los documentos vía </w:t>
      </w:r>
      <w:r>
        <w:rPr>
          <w:rFonts w:ascii="Palatino Linotype" w:eastAsia="Palatino Linotype" w:hAnsi="Palatino Linotype" w:cs="Palatino Linotype"/>
          <w:i/>
          <w:iCs/>
          <w:color w:val="000000"/>
        </w:rPr>
        <w:t>In Situ</w:t>
      </w:r>
      <w:r>
        <w:rPr>
          <w:rFonts w:ascii="Palatino Linotype" w:eastAsia="Palatino Linotype" w:hAnsi="Palatino Linotype" w:cs="Palatino Linotype"/>
          <w:color w:val="000000"/>
        </w:rPr>
        <w:t xml:space="preserve"> o Consulta Directa, </w:t>
      </w:r>
      <w:r>
        <w:rPr>
          <w:rFonts w:ascii="Palatino Linotype" w:eastAsia="Palatino Linotype" w:hAnsi="Palatino Linotype" w:cs="Palatino Linotype"/>
          <w:b/>
          <w:bCs/>
          <w:color w:val="000000"/>
        </w:rPr>
        <w:t>siempre y cuando se funden y motiven las razones que justifiquen la imposibilidad de entregar la información en la modalidad originalmente solicitada</w:t>
      </w:r>
      <w:r>
        <w:rPr>
          <w:rFonts w:ascii="Palatino Linotype" w:eastAsia="Palatino Linotype" w:hAnsi="Palatino Linotype" w:cs="Palatino Linotype"/>
          <w:color w:val="000000"/>
        </w:rPr>
        <w:t xml:space="preserve">. </w:t>
      </w:r>
    </w:p>
    <w:p w:rsidR="00F93EF8" w:rsidRDefault="00F93EF8">
      <w:pPr>
        <w:pBdr>
          <w:top w:val="nil"/>
          <w:left w:val="nil"/>
          <w:bottom w:val="nil"/>
          <w:right w:val="nil"/>
          <w:between w:val="nil"/>
        </w:pBdr>
        <w:tabs>
          <w:tab w:val="left" w:pos="0"/>
        </w:tabs>
        <w:spacing w:line="360" w:lineRule="auto"/>
        <w:ind w:left="-566" w:right="-989"/>
        <w:jc w:val="both"/>
        <w:rPr>
          <w:rFonts w:ascii="Palatino Linotype" w:eastAsia="Palatino Linotype" w:hAnsi="Palatino Linotype" w:cs="Palatino Linotype"/>
          <w:color w:val="000000"/>
          <w:highlight w:val="cyan"/>
        </w:rPr>
      </w:pPr>
    </w:p>
    <w:p w:rsidR="00F93EF8" w:rsidRDefault="008D66D3">
      <w:pPr>
        <w:numPr>
          <w:ilvl w:val="0"/>
          <w:numId w:val="9"/>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Es decir, del artículo anterior, se derivan tres hipótesis que en conjunto, y de manera fundada y motivada, validan el cambio de modalidad de entrega de la información y las cuales son, que las documentales a proporcionar </w:t>
      </w:r>
      <w:r>
        <w:rPr>
          <w:rFonts w:ascii="Palatino Linotype" w:eastAsia="Palatino Linotype" w:hAnsi="Palatino Linotype" w:cs="Palatino Linotype"/>
          <w:b/>
          <w:bCs/>
          <w:color w:val="000000"/>
        </w:rPr>
        <w:t>sobrepasen las capacidades técnicas, administrativas y humanas del SUJETO OBLIGADO</w:t>
      </w:r>
      <w:r>
        <w:rPr>
          <w:rFonts w:ascii="Palatino Linotype" w:eastAsia="Palatino Linotype" w:hAnsi="Palatino Linotype" w:cs="Palatino Linotype"/>
          <w:color w:val="000000"/>
        </w:rPr>
        <w:t xml:space="preserve">. </w:t>
      </w:r>
    </w:p>
    <w:p w:rsidR="00F93EF8" w:rsidRDefault="00F93EF8">
      <w:pPr>
        <w:pBdr>
          <w:top w:val="nil"/>
          <w:left w:val="nil"/>
          <w:bottom w:val="nil"/>
          <w:right w:val="nil"/>
          <w:between w:val="nil"/>
        </w:pBdr>
        <w:spacing w:line="360" w:lineRule="auto"/>
        <w:ind w:right="-989"/>
        <w:jc w:val="both"/>
        <w:rPr>
          <w:color w:val="000000"/>
        </w:rPr>
      </w:pPr>
    </w:p>
    <w:p w:rsidR="00F93EF8" w:rsidRDefault="008D66D3">
      <w:pPr>
        <w:numPr>
          <w:ilvl w:val="0"/>
          <w:numId w:val="9"/>
        </w:numPr>
        <w:pBdr>
          <w:top w:val="nil"/>
          <w:left w:val="nil"/>
          <w:bottom w:val="nil"/>
          <w:right w:val="nil"/>
          <w:between w:val="nil"/>
        </w:pBdr>
        <w:tabs>
          <w:tab w:val="left" w:pos="0"/>
        </w:tabs>
        <w:spacing w:line="360" w:lineRule="auto"/>
        <w:ind w:left="0" w:right="-989" w:firstLine="0"/>
        <w:jc w:val="both"/>
        <w:rPr>
          <w:color w:val="000000"/>
        </w:rPr>
      </w:pPr>
      <w:r>
        <w:rPr>
          <w:rFonts w:ascii="Palatino Linotype" w:eastAsia="Palatino Linotype" w:hAnsi="Palatino Linotype" w:cs="Palatino Linotype"/>
          <w:color w:val="000000"/>
        </w:rPr>
        <w:t xml:space="preserve">Precisado lo anterior, resulta viable establecer que a pesar de que el SUJETO OBLIGADO, cuenta con la información solicitada, este no garantizó el derecho de acceso a la </w:t>
      </w:r>
      <w:r>
        <w:rPr>
          <w:rFonts w:ascii="Palatino Linotype" w:eastAsia="Palatino Linotype" w:hAnsi="Palatino Linotype" w:cs="Palatino Linotype"/>
          <w:color w:val="000000"/>
        </w:rPr>
        <w:lastRenderedPageBreak/>
        <w:t>información del particular, argumentando que el documento solicitado sobrepasa las capacidades técnicas, administrativas y humanas, sin embargo al considerar que solo se requirió la conciliación de nómina correspondiente a la primera y segunda quincena del mes de diciembre de dos mil veinticuatro, es evidente que el documento requerido no rebasa la capacidad de 8,000 hojas permitido por el sistema SAIMEX; esto además, de que no realizó el reporte de incidencias ante la Dirección de Informática, específicamente en el área de soporte técnico de este instituto, tal y como lo señala la ley de la materia, lo cual se comprueba con la siguiente captura de pantalla;</w:t>
      </w:r>
    </w:p>
    <w:p w:rsidR="00F93EF8" w:rsidRDefault="008D66D3">
      <w:pPr>
        <w:pBdr>
          <w:top w:val="nil"/>
          <w:left w:val="nil"/>
          <w:bottom w:val="nil"/>
          <w:right w:val="nil"/>
          <w:between w:val="nil"/>
        </w:pBdr>
        <w:tabs>
          <w:tab w:val="left" w:pos="0"/>
        </w:tabs>
        <w:spacing w:line="360" w:lineRule="auto"/>
        <w:ind w:right="-98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noProof/>
          <w:color w:val="000000"/>
          <w:lang w:val="es-MX"/>
        </w:rPr>
        <w:drawing>
          <wp:inline distT="0" distB="0" distL="0" distR="0">
            <wp:extent cx="5581015" cy="2809332"/>
            <wp:effectExtent l="12700" t="12700" r="12700" b="12700"/>
            <wp:docPr id="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581015" cy="2809332"/>
                    </a:xfrm>
                    <a:prstGeom prst="rect">
                      <a:avLst/>
                    </a:prstGeom>
                    <a:ln w="12700">
                      <a:solidFill>
                        <a:srgbClr val="00B0F0"/>
                      </a:solidFill>
                      <a:prstDash val="solid"/>
                    </a:ln>
                  </pic:spPr>
                </pic:pic>
              </a:graphicData>
            </a:graphic>
          </wp:inline>
        </w:drawing>
      </w:r>
      <w:r>
        <w:rPr>
          <w:rFonts w:ascii="Palatino Linotype" w:eastAsia="Palatino Linotype" w:hAnsi="Palatino Linotype" w:cs="Palatino Linotype"/>
          <w:color w:val="000000"/>
          <w:vertAlign w:val="superscript"/>
        </w:rPr>
        <w:footnoteReference w:id="1"/>
      </w:r>
    </w:p>
    <w:p w:rsidR="00F93EF8" w:rsidRDefault="008D66D3">
      <w:pPr>
        <w:pBdr>
          <w:top w:val="nil"/>
          <w:left w:val="nil"/>
          <w:bottom w:val="nil"/>
          <w:right w:val="nil"/>
          <w:between w:val="nil"/>
        </w:pBdr>
        <w:tabs>
          <w:tab w:val="left" w:pos="0"/>
        </w:tabs>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F93EF8" w:rsidRDefault="008D66D3">
      <w:pPr>
        <w:numPr>
          <w:ilvl w:val="0"/>
          <w:numId w:val="9"/>
        </w:numPr>
        <w:pBdr>
          <w:top w:val="nil"/>
          <w:left w:val="nil"/>
          <w:bottom w:val="nil"/>
          <w:right w:val="nil"/>
          <w:between w:val="nil"/>
        </w:pBdr>
        <w:tabs>
          <w:tab w:val="left" w:pos="0"/>
        </w:tabs>
        <w:spacing w:line="360" w:lineRule="auto"/>
        <w:ind w:left="0" w:right="-989" w:firstLine="0"/>
        <w:jc w:val="both"/>
        <w:rPr>
          <w:color w:val="000000"/>
        </w:rPr>
      </w:pPr>
      <w:r>
        <w:rPr>
          <w:rFonts w:ascii="Palatino Linotype" w:eastAsia="Palatino Linotype" w:hAnsi="Palatino Linotype" w:cs="Palatino Linotype"/>
          <w:color w:val="000000"/>
        </w:rPr>
        <w:t xml:space="preserve"> Es así, que el SUJETO OBLIGADO, hizo de conocimiento que la información que intenta subir rebasa las capacidades técnicas; sin embargo no menciona el peso en MB de las documentales, por tanto no proporciona la certeza jurídica para este Órgano Resolutor pueda confirmar el cambio de modalidad que se pretende hacer valer, ya que si bien es cierto, el </w:t>
      </w:r>
      <w:r>
        <w:rPr>
          <w:rFonts w:ascii="Palatino Linotype" w:eastAsia="Palatino Linotype" w:hAnsi="Palatino Linotype" w:cs="Palatino Linotype"/>
          <w:color w:val="000000"/>
        </w:rPr>
        <w:lastRenderedPageBreak/>
        <w:t>documento solicitado no sobrepasa las capacidades utilizando la resolución sugerida de 150Dpi´s en escala de grises y formato PDF, extraído del escáner, lo que conlleva a poder hacer entrega de la información vía SAIMEX.</w:t>
      </w:r>
    </w:p>
    <w:p w:rsidR="00F93EF8" w:rsidRDefault="008D66D3">
      <w:pPr>
        <w:pBdr>
          <w:top w:val="nil"/>
          <w:left w:val="nil"/>
          <w:bottom w:val="nil"/>
          <w:right w:val="nil"/>
          <w:between w:val="nil"/>
        </w:pBdr>
        <w:tabs>
          <w:tab w:val="left" w:pos="0"/>
        </w:tabs>
        <w:ind w:left="-566"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F93EF8" w:rsidRDefault="008D66D3">
      <w:pPr>
        <w:numPr>
          <w:ilvl w:val="0"/>
          <w:numId w:val="9"/>
        </w:numPr>
        <w:pBdr>
          <w:top w:val="nil"/>
          <w:left w:val="nil"/>
          <w:bottom w:val="nil"/>
          <w:right w:val="nil"/>
          <w:between w:val="nil"/>
        </w:pBdr>
        <w:tabs>
          <w:tab w:val="left" w:pos="0"/>
        </w:tabs>
        <w:spacing w:line="360" w:lineRule="auto"/>
        <w:ind w:left="0" w:right="-989" w:firstLine="0"/>
        <w:jc w:val="both"/>
        <w:rPr>
          <w:color w:val="000000"/>
        </w:rPr>
      </w:pPr>
      <w:r>
        <w:rPr>
          <w:rFonts w:ascii="Palatino Linotype" w:eastAsia="Palatino Linotype" w:hAnsi="Palatino Linotype" w:cs="Palatino Linotype"/>
          <w:color w:val="000000"/>
        </w:rPr>
        <w:t>En atención a lo anterior, resulta necesario precisar que, el peso máximo de archivos que soporta el SAIMEX para adjuntar como respuesta a las solicitudes de información tiene el soporte tecnológico para que se puedan adjuntar archivos con un peso aprox.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F93EF8" w:rsidRDefault="008D66D3">
      <w:pPr>
        <w:pBdr>
          <w:top w:val="nil"/>
          <w:left w:val="nil"/>
          <w:bottom w:val="nil"/>
          <w:right w:val="nil"/>
          <w:between w:val="nil"/>
        </w:pBdr>
        <w:tabs>
          <w:tab w:val="left" w:pos="0"/>
        </w:tabs>
        <w:ind w:left="-566"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F93EF8" w:rsidRDefault="008D66D3">
      <w:pPr>
        <w:numPr>
          <w:ilvl w:val="0"/>
          <w:numId w:val="9"/>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Derivado de todo lo anteriormente señalado, al no fundar y motivar el cambio de entrega de la información resulta dable ordenar la entrega de la información vía SAIMEX, de ser el caso de que la información que se ORDENA entregar contenga datos personales susceptibles de clasificarse como confidenciales, el SUJETO OBLIGADO estará a lo dispuesto en el Considerando que más adelante se enuncia.</w:t>
      </w:r>
    </w:p>
    <w:p w:rsidR="00F93EF8" w:rsidRDefault="00F93EF8">
      <w:pPr>
        <w:pBdr>
          <w:top w:val="nil"/>
          <w:left w:val="nil"/>
          <w:bottom w:val="nil"/>
          <w:right w:val="nil"/>
          <w:between w:val="nil"/>
        </w:pBdr>
        <w:ind w:left="-566" w:right="-989"/>
        <w:rPr>
          <w:rFonts w:ascii="Palatino Linotype" w:eastAsia="Palatino Linotype" w:hAnsi="Palatino Linotype" w:cs="Palatino Linotype"/>
          <w:color w:val="000000"/>
          <w:highlight w:val="cyan"/>
        </w:rPr>
      </w:pPr>
    </w:p>
    <w:p w:rsidR="00F93EF8" w:rsidRDefault="008D66D3">
      <w:pPr>
        <w:numPr>
          <w:ilvl w:val="0"/>
          <w:numId w:val="9"/>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Es de recordar que la esencia de solicitar la entrega de la información vía SAIMEX es que el particular se haga de ésta por </w:t>
      </w:r>
      <w:r>
        <w:rPr>
          <w:rFonts w:ascii="Palatino Linotype" w:eastAsia="Palatino Linotype" w:hAnsi="Palatino Linotype" w:cs="Palatino Linotype"/>
          <w:b/>
          <w:bCs/>
          <w:color w:val="000000"/>
        </w:rPr>
        <w:t>medios electrónicos</w:t>
      </w:r>
      <w:r>
        <w:rPr>
          <w:rFonts w:ascii="Palatino Linotype" w:eastAsia="Palatino Linotype" w:hAnsi="Palatino Linotype" w:cs="Palatino Linotype"/>
          <w:color w:val="000000"/>
        </w:rPr>
        <w:t xml:space="preserve">; esto es, por una vía digital, a distancia, que le permita descargar los documentos desde un ordenador o teléfono móvil. Por ello,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debió ofrecer otras modalidades digitales para entregar la información al particular, tales como, de manera enunciativa </w:t>
      </w:r>
      <w:r>
        <w:rPr>
          <w:rFonts w:ascii="Palatino Linotype" w:eastAsia="Palatino Linotype" w:hAnsi="Palatino Linotype" w:cs="Palatino Linotype"/>
        </w:rPr>
        <w:t>más</w:t>
      </w:r>
      <w:r>
        <w:rPr>
          <w:rFonts w:ascii="Palatino Linotype" w:eastAsia="Palatino Linotype" w:hAnsi="Palatino Linotype" w:cs="Palatino Linotype"/>
          <w:color w:val="000000"/>
        </w:rPr>
        <w:t xml:space="preserve"> no limitativa, </w:t>
      </w:r>
      <w:r>
        <w:rPr>
          <w:rFonts w:ascii="Palatino Linotype" w:eastAsia="Palatino Linotype" w:hAnsi="Palatino Linotype" w:cs="Palatino Linotype"/>
          <w:b/>
          <w:bCs/>
          <w:color w:val="000000"/>
        </w:rPr>
        <w:t xml:space="preserve">habilitar una liga electrónica para que descargue los archivos a través de un servicio de nube; enviar la información a su cuenta de correo electrónico; concederle el acceso en disco compacto, con </w:t>
      </w:r>
      <w:r>
        <w:rPr>
          <w:rFonts w:ascii="Palatino Linotype" w:eastAsia="Palatino Linotype" w:hAnsi="Palatino Linotype" w:cs="Palatino Linotype"/>
          <w:b/>
          <w:bCs/>
          <w:color w:val="000000"/>
        </w:rPr>
        <w:lastRenderedPageBreak/>
        <w:t>la posibilidad de envío mediante correo certificado, previo pago del costo del CD y del envío; o, en su caso, darle la posibilidad de obtenerla de manera gratuita si ella misma aporta el CD o la USB en la que se le proporcionarán los archivos electrónicos</w:t>
      </w:r>
      <w:r>
        <w:rPr>
          <w:rFonts w:ascii="Palatino Linotype" w:eastAsia="Palatino Linotype" w:hAnsi="Palatino Linotype" w:cs="Palatino Linotype"/>
          <w:color w:val="000000"/>
        </w:rPr>
        <w:t xml:space="preserve">. </w:t>
      </w:r>
    </w:p>
    <w:p w:rsidR="00F93EF8" w:rsidRDefault="00F93EF8">
      <w:pPr>
        <w:pBdr>
          <w:top w:val="nil"/>
          <w:left w:val="nil"/>
          <w:bottom w:val="nil"/>
          <w:right w:val="nil"/>
          <w:between w:val="nil"/>
        </w:pBdr>
        <w:tabs>
          <w:tab w:val="left" w:pos="426"/>
        </w:tabs>
        <w:spacing w:line="360" w:lineRule="auto"/>
        <w:ind w:left="-566" w:right="-989"/>
        <w:jc w:val="both"/>
        <w:rPr>
          <w:rFonts w:ascii="Palatino Linotype" w:eastAsia="Palatino Linotype" w:hAnsi="Palatino Linotype" w:cs="Palatino Linotype"/>
          <w:color w:val="000000"/>
        </w:rPr>
      </w:pPr>
    </w:p>
    <w:p w:rsidR="00F93EF8" w:rsidRDefault="008D66D3">
      <w:pPr>
        <w:numPr>
          <w:ilvl w:val="0"/>
          <w:numId w:val="9"/>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Por ello, conviene traer a estudio lo establecido en el Capítulo X de </w:t>
      </w:r>
      <w:r>
        <w:rPr>
          <w:rFonts w:ascii="Palatino Linotype" w:eastAsia="Palatino Linotype" w:hAnsi="Palatino Linotype" w:cs="Palatino Linotype"/>
          <w:i/>
          <w:iCs/>
          <w:color w:val="000000"/>
        </w:rPr>
        <w:t>Lineamientos Generales en Materia de Clasificación y Desclasificación de la Información, así como para la Elaboración de Versiones Públicas</w:t>
      </w:r>
      <w:r>
        <w:rPr>
          <w:rFonts w:ascii="Palatino Linotype" w:eastAsia="Palatino Linotype" w:hAnsi="Palatino Linotype" w:cs="Palatino Linotype"/>
          <w:color w:val="000000"/>
        </w:rPr>
        <w:t>, relativo a la Consulta Directa, mismo que se transcribe a continuación:</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CAPÍTULO X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DE LA CONSULTA DIRECTA </w:t>
      </w:r>
    </w:p>
    <w:p w:rsidR="00F93EF8" w:rsidRDefault="00F93EF8">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Sexagésimo séptimo.</w:t>
      </w:r>
      <w:r>
        <w:rPr>
          <w:rFonts w:ascii="Palatino Linotype" w:eastAsia="Palatino Linotype" w:hAnsi="Palatino Linotype" w:cs="Palatino Linotype"/>
          <w:i/>
          <w:iCs/>
          <w:color w:val="000000"/>
        </w:rPr>
        <w:t xml:space="preserve"> 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 </w:t>
      </w:r>
    </w:p>
    <w:p w:rsidR="00F93EF8" w:rsidRDefault="00F93EF8">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Sexagésimo octavo.</w:t>
      </w:r>
      <w:r>
        <w:rPr>
          <w:rFonts w:ascii="Palatino Linotype" w:eastAsia="Palatino Linotype" w:hAnsi="Palatino Linotype" w:cs="Palatino Linotype"/>
          <w:i/>
          <w:iCs/>
          <w:color w:val="000000"/>
        </w:rPr>
        <w:t xml:space="preserve"> 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 </w:t>
      </w:r>
    </w:p>
    <w:p w:rsidR="00F93EF8" w:rsidRDefault="00F93EF8">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Sexagésimo noveno.</w:t>
      </w:r>
      <w:r>
        <w:rPr>
          <w:rFonts w:ascii="Palatino Linotype" w:eastAsia="Palatino Linotype" w:hAnsi="Palatino Linotype" w:cs="Palatino Linotype"/>
          <w:i/>
          <w:iCs/>
          <w:color w:val="000000"/>
        </w:rPr>
        <w:t xml:space="preserve"> 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Septuagésimo.</w:t>
      </w:r>
      <w:r>
        <w:rPr>
          <w:rFonts w:ascii="Palatino Linotype" w:eastAsia="Palatino Linotype" w:hAnsi="Palatino Linotype" w:cs="Palatino Linotype"/>
          <w:i/>
          <w:iCs/>
          <w:color w:val="000000"/>
        </w:rPr>
        <w:t xml:space="preserve"> Para el desahogo de las actuaciones tendientes a permitir la consulta directa, en los casos en que ésta resulte procedente, los sujetos obligados deberán observar lo siguiente: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w:t>
      </w:r>
      <w:r>
        <w:rPr>
          <w:rFonts w:ascii="Palatino Linotype" w:eastAsia="Palatino Linotype" w:hAnsi="Palatino Linotype" w:cs="Palatino Linotype"/>
          <w:i/>
          <w:iCs/>
          <w:color w:val="000000"/>
        </w:rPr>
        <w:t xml:space="preserve"> En su caso, la procedencia de los ajustes razonables solicitados y/o la procedencia de acceso en la lengua indígena requerida;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III. </w:t>
      </w:r>
      <w:r>
        <w:rPr>
          <w:rFonts w:ascii="Palatino Linotype" w:eastAsia="Palatino Linotype" w:hAnsi="Palatino Linotype" w:cs="Palatino Linotype"/>
          <w:i/>
          <w:iCs/>
          <w:color w:val="000000"/>
        </w:rPr>
        <w:t xml:space="preserve">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IV. </w:t>
      </w:r>
      <w:r>
        <w:rPr>
          <w:rFonts w:ascii="Palatino Linotype" w:eastAsia="Palatino Linotype" w:hAnsi="Palatino Linotype" w:cs="Palatino Linotype"/>
          <w:i/>
          <w:iCs/>
          <w:color w:val="000000"/>
        </w:rPr>
        <w:t>Proporcionar al solicitante las facilidades y asistencia requerida para la consulta de los documentos;</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w:t>
      </w:r>
      <w:r>
        <w:rPr>
          <w:rFonts w:ascii="Palatino Linotype" w:eastAsia="Palatino Linotype" w:hAnsi="Palatino Linotype" w:cs="Palatino Linotype"/>
          <w:i/>
          <w:iCs/>
          <w:color w:val="000000"/>
        </w:rPr>
        <w:t xml:space="preserve"> Abstenerse de requerir al solicitante que acredite interés alguno;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w:t>
      </w:r>
      <w:r>
        <w:rPr>
          <w:rFonts w:ascii="Palatino Linotype" w:eastAsia="Palatino Linotype" w:hAnsi="Palatino Linotype" w:cs="Palatino Linotype"/>
          <w:i/>
          <w:iCs/>
          <w:color w:val="000000"/>
        </w:rPr>
        <w:t xml:space="preserve"> Adoptar las medidas técnicas, físicas, administrativas y demás que resulten necesarias para garantizar la integridad de la información a consultar, de conformidad con las características específicas del documento solicitado, tales como: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w:t>
      </w:r>
      <w:r>
        <w:rPr>
          <w:rFonts w:ascii="Palatino Linotype" w:eastAsia="Palatino Linotype" w:hAnsi="Palatino Linotype" w:cs="Palatino Linotype"/>
          <w:i/>
          <w:iCs/>
          <w:color w:val="000000"/>
        </w:rPr>
        <w:t xml:space="preserve"> Contar con instalaciones y mobiliario adecuado para asegurar tanto la integridad del documento consultado, como para proporcionar al solicitante las mejores condiciones para poder llevar a cabo la consulta directa;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b)</w:t>
      </w:r>
      <w:r>
        <w:rPr>
          <w:rFonts w:ascii="Palatino Linotype" w:eastAsia="Palatino Linotype" w:hAnsi="Palatino Linotype" w:cs="Palatino Linotype"/>
          <w:i/>
          <w:iCs/>
          <w:color w:val="000000"/>
        </w:rPr>
        <w:t xml:space="preserve"> Equipo y personal de vigilancia;</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c)</w:t>
      </w:r>
      <w:r>
        <w:rPr>
          <w:rFonts w:ascii="Palatino Linotype" w:eastAsia="Palatino Linotype" w:hAnsi="Palatino Linotype" w:cs="Palatino Linotype"/>
          <w:i/>
          <w:iCs/>
          <w:color w:val="000000"/>
        </w:rPr>
        <w:t xml:space="preserve"> Plan de acción contra robo o vandalismo;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d)</w:t>
      </w:r>
      <w:r>
        <w:rPr>
          <w:rFonts w:ascii="Palatino Linotype" w:eastAsia="Palatino Linotype" w:hAnsi="Palatino Linotype" w:cs="Palatino Linotype"/>
          <w:i/>
          <w:iCs/>
          <w:color w:val="000000"/>
        </w:rPr>
        <w:t xml:space="preserve"> Extintores de fuego de gas inocuo;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e)</w:t>
      </w:r>
      <w:r>
        <w:rPr>
          <w:rFonts w:ascii="Palatino Linotype" w:eastAsia="Palatino Linotype" w:hAnsi="Palatino Linotype" w:cs="Palatino Linotype"/>
          <w:i/>
          <w:iCs/>
          <w:color w:val="000000"/>
        </w:rPr>
        <w:t xml:space="preserve"> Registro e identificación del personal autorizado para el tratamiento de los documentos o expedientes a revisar;</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w:t>
      </w:r>
      <w:r>
        <w:rPr>
          <w:rFonts w:ascii="Palatino Linotype" w:eastAsia="Palatino Linotype" w:hAnsi="Palatino Linotype" w:cs="Palatino Linotype"/>
          <w:i/>
          <w:iCs/>
          <w:color w:val="000000"/>
        </w:rPr>
        <w:t xml:space="preserve"> Registro e identificación de los particulares autorizados para llevar a cabo la consulta directa, y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g)</w:t>
      </w:r>
      <w:r>
        <w:rPr>
          <w:rFonts w:ascii="Palatino Linotype" w:eastAsia="Palatino Linotype" w:hAnsi="Palatino Linotype" w:cs="Palatino Linotype"/>
          <w:i/>
          <w:iCs/>
          <w:color w:val="000000"/>
        </w:rPr>
        <w:t xml:space="preserve"> Las demás que, a criterio de los sujetos obligados, resulten necesarias.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VII.</w:t>
      </w:r>
      <w:r>
        <w:rPr>
          <w:rFonts w:ascii="Palatino Linotype" w:eastAsia="Palatino Linotype" w:hAnsi="Palatino Linotype" w:cs="Palatino Linotype"/>
          <w:i/>
          <w:iCs/>
          <w:color w:val="000000"/>
        </w:rPr>
        <w:t xml:space="preserve"> Hacer del conocimiento del solicitante, previo al acceso a la información, las reglas a que se sujetará la consulta para garantizar la integridad de los documentos, y</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VIII.</w:t>
      </w:r>
      <w:r>
        <w:rPr>
          <w:rFonts w:ascii="Palatino Linotype" w:eastAsia="Palatino Linotype" w:hAnsi="Palatino Linotype" w:cs="Palatino Linotype"/>
          <w:i/>
          <w:iCs/>
          <w:color w:val="000000"/>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 </w:t>
      </w:r>
    </w:p>
    <w:p w:rsidR="00F93EF8" w:rsidRDefault="00F93EF8">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Septuagésimo primero. </w:t>
      </w:r>
      <w:r>
        <w:rPr>
          <w:rFonts w:ascii="Palatino Linotype" w:eastAsia="Palatino Linotype" w:hAnsi="Palatino Linotype" w:cs="Palatino Linotype"/>
          <w:i/>
          <w:iCs/>
          <w:color w:val="000000"/>
        </w:rPr>
        <w:t xml:space="preserve">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solicitante deberá observar en todo momento las reglas que el sujeto obligado haya hecho de su conocimiento para efectos de la conservación de los documentos. </w:t>
      </w:r>
    </w:p>
    <w:p w:rsidR="00F93EF8" w:rsidRDefault="00F93EF8">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Septuagésimo segundo.</w:t>
      </w:r>
      <w:r>
        <w:rPr>
          <w:rFonts w:ascii="Palatino Linotype" w:eastAsia="Palatino Linotype" w:hAnsi="Palatino Linotype" w:cs="Palatino Linotype"/>
          <w:i/>
          <w:iCs/>
          <w:color w:val="000000"/>
        </w:rPr>
        <w:t xml:space="preserve"> El solicitante deberá realizar la consulta de los documentos requeridos en el lugar, horarios y con la persona destinada para tal efecto.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 </w:t>
      </w:r>
    </w:p>
    <w:p w:rsidR="00F93EF8" w:rsidRDefault="00F93EF8">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Septuagésimo tercero.</w:t>
      </w:r>
      <w:r>
        <w:rPr>
          <w:rFonts w:ascii="Palatino Linotype" w:eastAsia="Palatino Linotype" w:hAnsi="Palatino Linotype" w:cs="Palatino Linotype"/>
          <w:i/>
          <w:iCs/>
          <w:color w:val="000000"/>
        </w:rPr>
        <w:t xml:space="preserve"> 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 </w:t>
      </w:r>
    </w:p>
    <w:p w:rsidR="00F93EF8" w:rsidRDefault="008D66D3">
      <w:pPr>
        <w:pBdr>
          <w:top w:val="nil"/>
          <w:left w:val="nil"/>
          <w:bottom w:val="nil"/>
          <w:right w:val="nil"/>
          <w:between w:val="nil"/>
        </w:pBdr>
        <w:tabs>
          <w:tab w:val="left" w:pos="851"/>
        </w:tabs>
        <w:spacing w:line="276" w:lineRule="auto"/>
        <w:ind w:left="1134" w:right="-98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deberá ser entregada sin costo, cuando implique la entrega de no más de veinte hojas simples.”</w:t>
      </w:r>
    </w:p>
    <w:p w:rsidR="00F93EF8" w:rsidRDefault="00F93EF8">
      <w:pPr>
        <w:pBdr>
          <w:top w:val="nil"/>
          <w:left w:val="nil"/>
          <w:bottom w:val="nil"/>
          <w:right w:val="nil"/>
          <w:between w:val="nil"/>
        </w:pBdr>
        <w:tabs>
          <w:tab w:val="left" w:pos="851"/>
        </w:tabs>
        <w:spacing w:line="276" w:lineRule="auto"/>
        <w:ind w:left="-566" w:right="-989"/>
        <w:jc w:val="both"/>
        <w:rPr>
          <w:rFonts w:ascii="Palatino Linotype" w:eastAsia="Palatino Linotype" w:hAnsi="Palatino Linotype" w:cs="Palatino Linotype"/>
          <w:i/>
          <w:iCs/>
          <w:color w:val="000000"/>
        </w:rPr>
      </w:pPr>
    </w:p>
    <w:p w:rsidR="00F93EF8" w:rsidRDefault="008D66D3">
      <w:pPr>
        <w:numPr>
          <w:ilvl w:val="0"/>
          <w:numId w:val="9"/>
        </w:numPr>
        <w:pBdr>
          <w:top w:val="nil"/>
          <w:left w:val="nil"/>
          <w:bottom w:val="nil"/>
          <w:right w:val="nil"/>
          <w:between w:val="nil"/>
        </w:pBdr>
        <w:spacing w:line="360" w:lineRule="auto"/>
        <w:ind w:left="0" w:right="-989" w:firstLine="0"/>
        <w:jc w:val="both"/>
        <w:rPr>
          <w:i/>
          <w:iCs/>
        </w:rPr>
      </w:pPr>
      <w:r>
        <w:rPr>
          <w:rFonts w:ascii="Palatino Linotype" w:eastAsia="Palatino Linotype" w:hAnsi="Palatino Linotype" w:cs="Palatino Linotype"/>
        </w:rPr>
        <w:lastRenderedPageBreak/>
        <w:t xml:space="preserve">De lo anterior, si bien es cierto, el Sujeto Obligado asumió contar con la información, también lo es que este </w:t>
      </w:r>
      <w:r>
        <w:rPr>
          <w:rFonts w:ascii="Palatino Linotype" w:eastAsia="Palatino Linotype" w:hAnsi="Palatino Linotype" w:cs="Palatino Linotype"/>
          <w:color w:val="000000"/>
        </w:rPr>
        <w:t>Instituto</w:t>
      </w:r>
      <w:r>
        <w:rPr>
          <w:rFonts w:ascii="Palatino Linotype" w:eastAsia="Palatino Linotype" w:hAnsi="Palatino Linotype" w:cs="Palatino Linotype"/>
        </w:rPr>
        <w:t xml:space="preserve"> debe garantizar el derecho de acceso a la información de los particulares, por lo que, tomando en consideración la información que fue solicitada, relativa a  </w:t>
      </w:r>
      <w:r>
        <w:rPr>
          <w:rFonts w:ascii="Palatino Linotype" w:eastAsia="Palatino Linotype" w:hAnsi="Palatino Linotype" w:cs="Palatino Linotype"/>
          <w:i/>
          <w:iCs/>
        </w:rPr>
        <w:t>las bitácoras de obra de las obras públicas ejecutadas en los ejercicios fiscales dos mil veinticuatro y dos mil</w:t>
      </w:r>
      <w:r>
        <w:rPr>
          <w:rFonts w:ascii="Palatino Linotype" w:eastAsia="Palatino Linotype" w:hAnsi="Palatino Linotype" w:cs="Palatino Linotype"/>
        </w:rPr>
        <w:t xml:space="preserve">, en consecuencia </w:t>
      </w:r>
      <w:r>
        <w:rPr>
          <w:rFonts w:ascii="Palatino Linotype" w:eastAsia="Palatino Linotype" w:hAnsi="Palatino Linotype" w:cs="Palatino Linotype"/>
          <w:b/>
          <w:bCs/>
        </w:rPr>
        <w:t>este Organismo considera</w:t>
      </w:r>
      <w:r>
        <w:rPr>
          <w:rFonts w:ascii="Palatino Linotype" w:eastAsia="Palatino Linotype" w:hAnsi="Palatino Linotype" w:cs="Palatino Linotype"/>
        </w:rPr>
        <w:t xml:space="preserve"> </w:t>
      </w:r>
      <w:r>
        <w:rPr>
          <w:rFonts w:ascii="Palatino Linotype" w:eastAsia="Palatino Linotype" w:hAnsi="Palatino Linotype" w:cs="Palatino Linotype"/>
          <w:b/>
          <w:bCs/>
        </w:rPr>
        <w:t>inviable el cambio de modalidad de entrega de información</w:t>
      </w:r>
      <w:r>
        <w:rPr>
          <w:rFonts w:ascii="Palatino Linotype" w:eastAsia="Palatino Linotype" w:hAnsi="Palatino Linotype" w:cs="Palatino Linotype"/>
        </w:rPr>
        <w:t>.</w:t>
      </w:r>
    </w:p>
    <w:p w:rsidR="00F93EF8" w:rsidRDefault="00F93EF8">
      <w:pPr>
        <w:pBdr>
          <w:top w:val="nil"/>
          <w:left w:val="nil"/>
          <w:bottom w:val="nil"/>
          <w:right w:val="nil"/>
          <w:between w:val="nil"/>
        </w:pBdr>
        <w:tabs>
          <w:tab w:val="left" w:pos="0"/>
        </w:tabs>
        <w:spacing w:line="360" w:lineRule="auto"/>
        <w:ind w:right="-989"/>
        <w:jc w:val="both"/>
        <w:rPr>
          <w:b/>
          <w:bCs/>
          <w:color w:val="000000"/>
          <w:highlight w:val="cyan"/>
        </w:rPr>
      </w:pPr>
    </w:p>
    <w:p w:rsidR="00F93EF8" w:rsidRDefault="008D66D3">
      <w:pPr>
        <w:numPr>
          <w:ilvl w:val="0"/>
          <w:numId w:val="9"/>
        </w:numPr>
        <w:pBdr>
          <w:top w:val="nil"/>
          <w:left w:val="nil"/>
          <w:bottom w:val="nil"/>
          <w:right w:val="nil"/>
          <w:between w:val="nil"/>
        </w:pBdr>
        <w:spacing w:line="360" w:lineRule="auto"/>
        <w:ind w:left="0" w:right="-989" w:firstLine="0"/>
        <w:jc w:val="both"/>
        <w:rPr>
          <w:b/>
          <w:bCs/>
          <w:color w:val="000000"/>
        </w:rPr>
      </w:pPr>
      <w:r>
        <w:rPr>
          <w:rFonts w:ascii="Palatino Linotype" w:eastAsia="Palatino Linotype" w:hAnsi="Palatino Linotype" w:cs="Palatino Linotype"/>
          <w:color w:val="000000"/>
        </w:rPr>
        <w:t xml:space="preserve">Por lo </w:t>
      </w:r>
      <w:r>
        <w:rPr>
          <w:rFonts w:ascii="Palatino Linotype" w:eastAsia="Palatino Linotype" w:hAnsi="Palatino Linotype" w:cs="Palatino Linotype"/>
        </w:rPr>
        <w:t>anterior</w:t>
      </w:r>
      <w:r>
        <w:rPr>
          <w:rFonts w:ascii="Palatino Linotype" w:eastAsia="Palatino Linotype" w:hAnsi="Palatino Linotype" w:cs="Palatino Linotype"/>
          <w:color w:val="000000"/>
        </w:rPr>
        <w:t>, se advierte que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xml:space="preserve"> en el recurso de revisión 01998/INFOEM/IP/RR/2026 </w:t>
      </w:r>
      <w:r>
        <w:rPr>
          <w:rFonts w:ascii="Palatino Linotype" w:eastAsia="Palatino Linotype" w:hAnsi="Palatino Linotype" w:cs="Palatino Linotype"/>
          <w:b/>
          <w:bCs/>
          <w:color w:val="000000"/>
        </w:rPr>
        <w:t>no acreditó la imposibilidad</w:t>
      </w:r>
      <w:r>
        <w:rPr>
          <w:rFonts w:ascii="Palatino Linotype" w:eastAsia="Palatino Linotype" w:hAnsi="Palatino Linotype" w:cs="Palatino Linotype"/>
          <w:color w:val="000000"/>
        </w:rPr>
        <w:t xml:space="preserve">, establecida en el artículo 158 de la Ley de Transparencia y Acceso a la Información Pública del Estado de México y Municipios, </w:t>
      </w:r>
      <w:r>
        <w:rPr>
          <w:rFonts w:ascii="Palatino Linotype" w:eastAsia="Palatino Linotype" w:hAnsi="Palatino Linotype" w:cs="Palatino Linotype"/>
          <w:b/>
          <w:bCs/>
          <w:color w:val="000000"/>
        </w:rPr>
        <w:t>para validar el cambio de modalidad a Consulta Directa</w:t>
      </w:r>
      <w:r>
        <w:rPr>
          <w:rFonts w:ascii="Palatino Linotype" w:eastAsia="Palatino Linotype" w:hAnsi="Palatino Linotype" w:cs="Palatino Linotype"/>
          <w:color w:val="000000"/>
        </w:rPr>
        <w:t>.</w:t>
      </w:r>
    </w:p>
    <w:p w:rsidR="00F93EF8" w:rsidRDefault="00F93EF8">
      <w:pPr>
        <w:pBdr>
          <w:top w:val="nil"/>
          <w:left w:val="nil"/>
          <w:bottom w:val="nil"/>
          <w:right w:val="nil"/>
          <w:between w:val="nil"/>
        </w:pBdr>
        <w:spacing w:before="240" w:after="240" w:line="360" w:lineRule="auto"/>
        <w:ind w:right="-989"/>
        <w:jc w:val="both"/>
        <w:rPr>
          <w:rFonts w:ascii="Palatino Linotype" w:eastAsia="Palatino Linotype" w:hAnsi="Palatino Linotype" w:cs="Palatino Linotype"/>
          <w:color w:val="000000"/>
          <w:highlight w:val="green"/>
        </w:rPr>
      </w:pPr>
    </w:p>
    <w:p w:rsidR="00F93EF8" w:rsidRDefault="008D66D3">
      <w:pPr>
        <w:keepNext/>
        <w:keepLines/>
        <w:spacing w:after="160"/>
        <w:ind w:right="-98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F93EF8" w:rsidRDefault="008D66D3">
      <w:pPr>
        <w:keepNext/>
        <w:keepLines/>
        <w:numPr>
          <w:ilvl w:val="0"/>
          <w:numId w:val="12"/>
        </w:numPr>
        <w:tabs>
          <w:tab w:val="left" w:pos="284"/>
        </w:tabs>
        <w:spacing w:after="160"/>
        <w:ind w:left="0" w:right="-989"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F93EF8" w:rsidRDefault="008D66D3">
      <w:pPr>
        <w:numPr>
          <w:ilvl w:val="0"/>
          <w:numId w:val="13"/>
        </w:numPr>
        <w:spacing w:line="360" w:lineRule="auto"/>
        <w:ind w:left="0" w:right="-989" w:firstLine="0"/>
        <w:jc w:val="both"/>
        <w:rPr>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93EF8" w:rsidRDefault="00F93EF8">
      <w:pPr>
        <w:tabs>
          <w:tab w:val="left" w:pos="0"/>
          <w:tab w:val="left" w:pos="284"/>
        </w:tabs>
        <w:spacing w:line="360" w:lineRule="auto"/>
        <w:ind w:right="-989"/>
        <w:jc w:val="both"/>
        <w:rPr>
          <w:rFonts w:ascii="Palatino Linotype" w:eastAsia="Palatino Linotype" w:hAnsi="Palatino Linotype" w:cs="Palatino Linotype"/>
          <w:highlight w:val="yellow"/>
        </w:rPr>
      </w:pPr>
    </w:p>
    <w:p w:rsidR="00F93EF8" w:rsidRDefault="008D66D3">
      <w:pPr>
        <w:numPr>
          <w:ilvl w:val="0"/>
          <w:numId w:val="13"/>
        </w:numPr>
        <w:spacing w:line="360" w:lineRule="auto"/>
        <w:ind w:left="0" w:right="-989" w:firstLine="0"/>
        <w:jc w:val="both"/>
        <w:rPr>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tbl>
      <w:tblPr>
        <w:tblStyle w:val="a0"/>
        <w:tblW w:w="979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80"/>
        <w:gridCol w:w="6615"/>
      </w:tblGrid>
      <w:tr w:rsidR="00F93EF8">
        <w:tc>
          <w:tcPr>
            <w:tcW w:w="3180" w:type="dxa"/>
            <w:vAlign w:val="center"/>
          </w:tcPr>
          <w:p w:rsidR="00F93EF8" w:rsidRDefault="008D66D3">
            <w:pPr>
              <w:tabs>
                <w:tab w:val="left" w:pos="284"/>
              </w:tabs>
              <w:ind w:right="-129"/>
              <w:rPr>
                <w:rFonts w:ascii="Palatino Linotype" w:eastAsia="Palatino Linotype" w:hAnsi="Palatino Linotype" w:cs="Palatino Linotype"/>
                <w:b/>
                <w:bCs/>
              </w:rPr>
            </w:pPr>
            <w:r>
              <w:rPr>
                <w:rFonts w:ascii="Palatino Linotype" w:eastAsia="Palatino Linotype" w:hAnsi="Palatino Linotype" w:cs="Palatino Linotype"/>
                <w:color w:val="000000"/>
              </w:rPr>
              <w:tab/>
            </w:r>
            <w:r>
              <w:rPr>
                <w:rFonts w:ascii="Palatino Linotype" w:eastAsia="Palatino Linotype" w:hAnsi="Palatino Linotype" w:cs="Palatino Linotype"/>
                <w:b/>
                <w:bCs/>
              </w:rPr>
              <w:t>a) Requisitos previos.</w:t>
            </w:r>
          </w:p>
        </w:tc>
        <w:tc>
          <w:tcPr>
            <w:tcW w:w="6615" w:type="dxa"/>
          </w:tcPr>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se debe señalar el procedimiento, de los tres que establecen el artículo 132 de la Ley Estatal.</w:t>
            </w:r>
          </w:p>
          <w:p w:rsidR="00F93EF8" w:rsidRDefault="008D66D3">
            <w:pPr>
              <w:tabs>
                <w:tab w:val="left" w:pos="284"/>
              </w:tabs>
              <w:ind w:right="58"/>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F93EF8">
        <w:tc>
          <w:tcPr>
            <w:tcW w:w="3180" w:type="dxa"/>
            <w:shd w:val="clear" w:color="auto" w:fill="D9D9D9"/>
            <w:vAlign w:val="center"/>
          </w:tcPr>
          <w:p w:rsidR="00F93EF8" w:rsidRDefault="008D66D3">
            <w:pPr>
              <w:tabs>
                <w:tab w:val="left" w:pos="284"/>
              </w:tabs>
              <w:ind w:right="-129"/>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6615" w:type="dxa"/>
            <w:shd w:val="clear" w:color="auto" w:fill="D9D9D9"/>
          </w:tcPr>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93EF8" w:rsidRDefault="008D66D3">
            <w:pPr>
              <w:tabs>
                <w:tab w:val="left" w:pos="284"/>
              </w:tabs>
              <w:ind w:right="58"/>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93EF8">
        <w:tc>
          <w:tcPr>
            <w:tcW w:w="3180" w:type="dxa"/>
            <w:vAlign w:val="center"/>
          </w:tcPr>
          <w:p w:rsidR="00F93EF8" w:rsidRDefault="008D66D3">
            <w:pPr>
              <w:tabs>
                <w:tab w:val="left" w:pos="284"/>
              </w:tabs>
              <w:ind w:right="-129"/>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6615" w:type="dxa"/>
          </w:tcPr>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necesario que </w:t>
            </w:r>
            <w:r>
              <w:rPr>
                <w:rFonts w:ascii="Palatino Linotype" w:eastAsia="Palatino Linotype" w:hAnsi="Palatino Linotype" w:cs="Palatino Linotype"/>
                <w:b/>
                <w:bCs/>
                <w:i/>
                <w:iCs/>
                <w:color w:val="000000"/>
                <w:u w:val="single"/>
              </w:rPr>
              <w:t>el acto reúna con los requisitos elementales</w:t>
            </w:r>
            <w:r>
              <w:rPr>
                <w:rFonts w:ascii="Palatino Linotype" w:eastAsia="Palatino Linotype" w:hAnsi="Palatino Linotype" w:cs="Palatino Linotype"/>
                <w:i/>
                <w:iCs/>
                <w:color w:val="000000"/>
              </w:rPr>
              <w:t>, entre ellos, que la autoridad que va a emitir el acto de autoridad sea la legalmente facultada para ello.</w:t>
            </w:r>
          </w:p>
          <w:p w:rsidR="00F93EF8" w:rsidRDefault="008D66D3">
            <w:pPr>
              <w:tabs>
                <w:tab w:val="left" w:pos="284"/>
              </w:tabs>
              <w:ind w:right="58"/>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i/>
                <w:iCs/>
              </w:rPr>
              <w:t>El área</w:t>
            </w:r>
            <w:r>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93EF8">
        <w:tc>
          <w:tcPr>
            <w:tcW w:w="3180" w:type="dxa"/>
            <w:shd w:val="clear" w:color="auto" w:fill="D9D9D9"/>
            <w:vAlign w:val="center"/>
          </w:tcPr>
          <w:p w:rsidR="00F93EF8" w:rsidRDefault="00F93EF8">
            <w:pPr>
              <w:tabs>
                <w:tab w:val="left" w:pos="284"/>
              </w:tabs>
              <w:ind w:right="-129"/>
              <w:rPr>
                <w:rFonts w:ascii="Palatino Linotype" w:eastAsia="Palatino Linotype" w:hAnsi="Palatino Linotype" w:cs="Palatino Linotype"/>
                <w:b/>
                <w:bCs/>
              </w:rPr>
            </w:pPr>
          </w:p>
          <w:p w:rsidR="00F93EF8" w:rsidRDefault="008D66D3">
            <w:pPr>
              <w:tabs>
                <w:tab w:val="left" w:pos="284"/>
              </w:tabs>
              <w:ind w:right="-129"/>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6615" w:type="dxa"/>
            <w:shd w:val="clear" w:color="auto" w:fill="D9D9D9"/>
          </w:tcPr>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i/>
                <w:iCs/>
                <w:color w:val="000000"/>
              </w:rPr>
              <w:t>Sujetos Obligados</w:t>
            </w:r>
            <w:r>
              <w:rPr>
                <w:rFonts w:ascii="Palatino Linotype" w:eastAsia="Palatino Linotype" w:hAnsi="Palatino Linotype" w:cs="Palatino Linotype"/>
                <w:i/>
                <w:iCs/>
                <w:color w:val="000000"/>
              </w:rPr>
              <w:t xml:space="preserve">, por lo que deberán fundar y motivar debidamente la clasificación. </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 anterior, se desprende que para una correcta </w:t>
            </w:r>
            <w:r>
              <w:rPr>
                <w:rFonts w:ascii="Palatino Linotype" w:eastAsia="Palatino Linotype" w:hAnsi="Palatino Linotype" w:cs="Palatino Linotype"/>
                <w:b/>
                <w:bCs/>
                <w:i/>
                <w:iCs/>
                <w:color w:val="000000"/>
              </w:rPr>
              <w:t>clasificación total o parcial</w:t>
            </w:r>
            <w:r>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En ese mismo sentido, el numeral trigésimo tercero fracción V de los Lineamientos Generales, precisa que para motivar la clasificación se deben acreditar las circunstancias de tiempo, modo y lugar.</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Ahora bien, </w:t>
            </w:r>
            <w:r>
              <w:rPr>
                <w:rFonts w:ascii="Palatino Linotype" w:eastAsia="Palatino Linotype" w:hAnsi="Palatino Linotype" w:cs="Palatino Linotype"/>
                <w:b/>
                <w:bCs/>
                <w:i/>
                <w:iCs/>
                <w:color w:val="000000"/>
                <w:u w:val="single"/>
              </w:rPr>
              <w:t>para cada caso además de fundar y motivar</w:t>
            </w:r>
            <w:r>
              <w:rPr>
                <w:rFonts w:ascii="Palatino Linotype" w:eastAsia="Palatino Linotype" w:hAnsi="Palatino Linotype" w:cs="Palatino Linotype"/>
                <w:i/>
                <w:iCs/>
                <w:color w:val="000000"/>
              </w:rPr>
              <w:t xml:space="preserve">, se debe identificar con claridad </w:t>
            </w:r>
            <w:r>
              <w:rPr>
                <w:rFonts w:ascii="Palatino Linotype" w:eastAsia="Palatino Linotype" w:hAnsi="Palatino Linotype" w:cs="Palatino Linotype"/>
                <w:i/>
                <w:iCs/>
              </w:rPr>
              <w:t>qué</w:t>
            </w:r>
            <w:r>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93EF8">
        <w:tc>
          <w:tcPr>
            <w:tcW w:w="3180" w:type="dxa"/>
            <w:vAlign w:val="center"/>
          </w:tcPr>
          <w:p w:rsidR="00F93EF8" w:rsidRDefault="008D66D3">
            <w:pPr>
              <w:tabs>
                <w:tab w:val="left" w:pos="284"/>
              </w:tabs>
              <w:ind w:right="-129"/>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6615" w:type="dxa"/>
          </w:tcPr>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F93EF8" w:rsidRDefault="008D66D3">
            <w:pPr>
              <w:tabs>
                <w:tab w:val="left" w:pos="284"/>
              </w:tabs>
              <w:ind w:right="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93EF8" w:rsidRDefault="008D66D3">
            <w:pPr>
              <w:tabs>
                <w:tab w:val="left" w:pos="284"/>
              </w:tabs>
              <w:ind w:right="58"/>
              <w:rPr>
                <w:rFonts w:ascii="Palatino Linotype" w:eastAsia="Palatino Linotype" w:hAnsi="Palatino Linotype" w:cs="Palatino Linotype"/>
                <w:i/>
                <w:iCs/>
              </w:rPr>
            </w:pPr>
            <w:r>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93EF8" w:rsidRDefault="00F93EF8">
      <w:pPr>
        <w:tabs>
          <w:tab w:val="left" w:pos="284"/>
        </w:tabs>
        <w:spacing w:line="360" w:lineRule="auto"/>
        <w:ind w:right="-989"/>
        <w:jc w:val="both"/>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rPr>
        <w:t>Cómo</w:t>
      </w:r>
      <w:r>
        <w:rPr>
          <w:rFonts w:ascii="Palatino Linotype" w:eastAsia="Palatino Linotype" w:hAnsi="Palatino Linotype" w:cs="Palatino Linotype"/>
          <w:color w:val="000000"/>
        </w:rPr>
        <w:t xml:space="preserve"> fue debidamente apuntado,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w:t>
      </w:r>
    </w:p>
    <w:p w:rsidR="00F93EF8" w:rsidRDefault="008D66D3">
      <w:pPr>
        <w:numPr>
          <w:ilvl w:val="0"/>
          <w:numId w:val="13"/>
        </w:numPr>
        <w:pBdr>
          <w:top w:val="nil"/>
          <w:left w:val="nil"/>
          <w:bottom w:val="nil"/>
          <w:right w:val="nil"/>
          <w:between w:val="nil"/>
        </w:pBdr>
        <w:spacing w:before="240" w:line="360" w:lineRule="auto"/>
        <w:ind w:left="0" w:right="-989" w:firstLine="0"/>
        <w:jc w:val="both"/>
        <w:rPr>
          <w:color w:val="000000"/>
        </w:rPr>
      </w:pPr>
      <w:r>
        <w:rPr>
          <w:rFonts w:ascii="Palatino Linotype" w:eastAsia="Palatino Linotype" w:hAnsi="Palatino Linotype" w:cs="Palatino Linotype"/>
          <w:color w:val="000000"/>
        </w:rPr>
        <w:lastRenderedPageBreak/>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número de OCR, CURP, el número de cuenta bancaria de particulares, entre otros.</w:t>
      </w:r>
    </w:p>
    <w:p w:rsidR="00F93EF8" w:rsidRDefault="00F93EF8">
      <w:pPr>
        <w:pBdr>
          <w:top w:val="nil"/>
          <w:left w:val="nil"/>
          <w:bottom w:val="nil"/>
          <w:right w:val="nil"/>
          <w:between w:val="nil"/>
        </w:pBdr>
        <w:ind w:left="720"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b/>
          <w:bCs/>
          <w:color w:val="000000"/>
        </w:rPr>
        <w:t>clave de elector</w:t>
      </w:r>
      <w:r>
        <w:rPr>
          <w:rFonts w:ascii="Palatino Linotype" w:eastAsia="Palatino Linotype" w:hAnsi="Palatino Linotype" w:cs="Palatino Linotype"/>
          <w:color w:val="000000"/>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rsidR="00F93EF8" w:rsidRDefault="00F93EF8">
      <w:pPr>
        <w:pBdr>
          <w:top w:val="nil"/>
          <w:left w:val="nil"/>
          <w:bottom w:val="nil"/>
          <w:right w:val="nil"/>
          <w:between w:val="nil"/>
        </w:pBdr>
        <w:ind w:left="720"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after="240" w:line="360" w:lineRule="auto"/>
        <w:ind w:left="0" w:right="-989"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número de OCR,</w:t>
      </w:r>
      <w:r>
        <w:rPr>
          <w:rFonts w:ascii="Palatino Linotype" w:eastAsia="Palatino Linotype" w:hAnsi="Palatino Linotype" w:cs="Palatino Linotype"/>
          <w:color w:val="000000"/>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rsidR="00F93EF8" w:rsidRDefault="008D66D3">
      <w:pPr>
        <w:numPr>
          <w:ilvl w:val="0"/>
          <w:numId w:val="13"/>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b/>
          <w:bCs/>
          <w:color w:val="000000"/>
        </w:rPr>
        <w:t>clave única del registro de población (CURP),</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se integra por datos personales que sólo conciernen al particular titular de la misma, como lo son su nombre, apellidos, fecha de nacimiento, lugar de nacimiento y sexo;  datos  que constituyen información que distingue plenamente a una persona física del resto de los habitantes del país, por lo está considerada como información confidencial.</w:t>
      </w:r>
    </w:p>
    <w:p w:rsidR="00F93EF8" w:rsidRDefault="008D66D3">
      <w:pPr>
        <w:numPr>
          <w:ilvl w:val="0"/>
          <w:numId w:val="13"/>
        </w:numPr>
        <w:pBdr>
          <w:top w:val="nil"/>
          <w:left w:val="nil"/>
          <w:bottom w:val="nil"/>
          <w:right w:val="nil"/>
          <w:between w:val="nil"/>
        </w:pBdr>
        <w:spacing w:before="240" w:line="360" w:lineRule="auto"/>
        <w:ind w:left="0" w:right="-989" w:firstLine="0"/>
        <w:jc w:val="both"/>
        <w:rPr>
          <w:color w:val="000000"/>
        </w:rPr>
      </w:pPr>
      <w:r>
        <w:rPr>
          <w:rFonts w:ascii="Palatino Linotype" w:eastAsia="Palatino Linotype" w:hAnsi="Palatino Linotype" w:cs="Palatino Linotype"/>
          <w:color w:val="000000"/>
        </w:rPr>
        <w:lastRenderedPageBreak/>
        <w:t xml:space="preserve">Igualmente, resulta importante destacar que el </w:t>
      </w:r>
      <w:r>
        <w:rPr>
          <w:rFonts w:ascii="Palatino Linotype" w:eastAsia="Palatino Linotype" w:hAnsi="Palatino Linotype" w:cs="Palatino Linotype"/>
          <w:i/>
          <w:iCs/>
          <w:color w:val="000000"/>
        </w:rPr>
        <w:t>número de cuenta bancaria</w:t>
      </w:r>
      <w:r>
        <w:rPr>
          <w:rFonts w:ascii="Palatino Linotype" w:eastAsia="Palatino Linotype" w:hAnsi="Palatino Linotype" w:cs="Palatino Linotype"/>
          <w:color w:val="000000"/>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w:t>
      </w:r>
      <w:r>
        <w:rPr>
          <w:rFonts w:ascii="Palatino Linotype" w:eastAsia="Palatino Linotype" w:hAnsi="Palatino Linotype" w:cs="Palatino Linotype"/>
        </w:rPr>
        <w:t>facilita</w:t>
      </w:r>
      <w:r>
        <w:rPr>
          <w:rFonts w:ascii="Palatino Linotype" w:eastAsia="Palatino Linotype" w:hAnsi="Palatino Linotype" w:cs="Palatino Linotype"/>
          <w:color w:val="000000"/>
        </w:rPr>
        <w:t xml:space="preserve"> la afectación al patrimonio del titular de la cuenta.</w:t>
      </w:r>
    </w:p>
    <w:p w:rsidR="00F93EF8" w:rsidRDefault="00F93EF8">
      <w:pPr>
        <w:pBdr>
          <w:top w:val="nil"/>
          <w:left w:val="nil"/>
          <w:bottom w:val="nil"/>
          <w:right w:val="nil"/>
          <w:between w:val="nil"/>
        </w:pBdr>
        <w:ind w:left="720"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F93EF8" w:rsidRDefault="00F93EF8">
      <w:pPr>
        <w:pBdr>
          <w:top w:val="nil"/>
          <w:left w:val="nil"/>
          <w:bottom w:val="nil"/>
          <w:right w:val="nil"/>
          <w:between w:val="nil"/>
        </w:pBdr>
        <w:ind w:left="720"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F93EF8" w:rsidRDefault="00F93EF8">
      <w:pPr>
        <w:pBdr>
          <w:top w:val="nil"/>
          <w:left w:val="nil"/>
          <w:bottom w:val="nil"/>
          <w:right w:val="nil"/>
          <w:between w:val="nil"/>
        </w:pBdr>
        <w:ind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En esa virtud, este Pleno determina que dicha información no puede ser del dominio público, toda vez que se podría dar un uso inadecuado a la misma o cometer algún ilícito o fraude como ya ha sido expuesto, razón por la que debe omitirse el o los números de cuentas bancarias de particulares en las versiones públicas que de las facturas se hagan, para ser entregadas.</w:t>
      </w:r>
    </w:p>
    <w:p w:rsidR="00F93EF8" w:rsidRDefault="00F93EF8">
      <w:pPr>
        <w:pBdr>
          <w:top w:val="nil"/>
          <w:left w:val="nil"/>
          <w:bottom w:val="nil"/>
          <w:right w:val="nil"/>
          <w:between w:val="nil"/>
        </w:pBdr>
        <w:ind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lastRenderedPageBreak/>
        <w:t>Lo anterior, no es así tratándose de las cuentas bancarias o claves interbancarias de los Sujetos Obligados ya que su publicidad cede a la rendición de cuentas al transparentar la forma en que son administrados los recursos públicos.</w:t>
      </w:r>
    </w:p>
    <w:p w:rsidR="00F93EF8" w:rsidRDefault="00F93EF8">
      <w:pPr>
        <w:pBdr>
          <w:top w:val="nil"/>
          <w:left w:val="nil"/>
          <w:bottom w:val="nil"/>
          <w:right w:val="nil"/>
          <w:between w:val="nil"/>
        </w:pBdr>
        <w:ind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after="240" w:line="360" w:lineRule="auto"/>
        <w:ind w:left="0" w:right="-989" w:firstLine="0"/>
        <w:jc w:val="both"/>
        <w:rPr>
          <w:color w:val="000000"/>
        </w:rPr>
      </w:pPr>
      <w:r>
        <w:rPr>
          <w:rFonts w:ascii="Palatino Linotype" w:eastAsia="Palatino Linotype" w:hAnsi="Palatino Linotype" w:cs="Palatino Linotype"/>
          <w:color w:val="000000"/>
        </w:rPr>
        <w:t>Lo expuesto halla sustento en los criterios orientadores 10/17 y 11/17 emitidos por el entonces Instituto Nacional de Transparencia, Acceso a la Información y Protección de Datos Personales, INAI, que llevan por rubro y texto los siguientes:</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“Cuentas bancarias y/o CLABE interbancaria de personas físicas y morales privadas.</w:t>
      </w:r>
      <w:r>
        <w:rPr>
          <w:rFonts w:ascii="Palatino Linotype" w:eastAsia="Palatino Linotype" w:hAnsi="Palatino Linotype" w:cs="Palatino Linotype"/>
          <w:i/>
          <w:iCs/>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Cuentas bancarias y/o CLABE interbancaria de sujetos obligados que reciben y/o transfieren recursos públicos, son información pública</w:t>
      </w:r>
      <w:r>
        <w:rPr>
          <w:rFonts w:ascii="Palatino Linotype" w:eastAsia="Palatino Linotype" w:hAnsi="Palatino Linotype" w:cs="Palatino Linotype"/>
          <w:i/>
          <w:iCs/>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F93EF8" w:rsidRDefault="00F93EF8">
      <w:pPr>
        <w:spacing w:before="120" w:after="120"/>
        <w:ind w:left="1134" w:right="-989"/>
        <w:jc w:val="both"/>
        <w:rPr>
          <w:rFonts w:ascii="Palatino Linotype" w:eastAsia="Palatino Linotype" w:hAnsi="Palatino Linotype" w:cs="Palatino Linotype"/>
          <w:i/>
          <w:iCs/>
        </w:rPr>
      </w:pPr>
    </w:p>
    <w:p w:rsidR="00F93EF8" w:rsidRDefault="008D66D3">
      <w:pPr>
        <w:numPr>
          <w:ilvl w:val="0"/>
          <w:numId w:val="13"/>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Por cuanto hace al </w:t>
      </w:r>
      <w:r>
        <w:rPr>
          <w:rFonts w:ascii="Palatino Linotype" w:eastAsia="Palatino Linotype" w:hAnsi="Palatino Linotype" w:cs="Palatino Linotype"/>
          <w:b/>
          <w:bCs/>
          <w:color w:val="000000"/>
        </w:rPr>
        <w:t xml:space="preserve">Registro Federal de Contribuyentes (RFC) </w:t>
      </w:r>
      <w:r>
        <w:rPr>
          <w:rFonts w:ascii="Palatino Linotype" w:eastAsia="Palatino Linotype" w:hAnsi="Palatino Linotype" w:cs="Palatino Linotype"/>
          <w:color w:val="000000"/>
        </w:rPr>
        <w:t>y</w:t>
      </w:r>
      <w:r>
        <w:rPr>
          <w:rFonts w:ascii="Palatino Linotype" w:eastAsia="Palatino Linotype" w:hAnsi="Palatino Linotype" w:cs="Palatino Linotype"/>
          <w:b/>
          <w:bCs/>
          <w:color w:val="000000"/>
        </w:rPr>
        <w:t xml:space="preserve"> el domicilio fiscal </w:t>
      </w:r>
      <w:r>
        <w:rPr>
          <w:rFonts w:ascii="Palatino Linotype" w:eastAsia="Palatino Linotype" w:hAnsi="Palatino Linotype" w:cs="Palatino Linotype"/>
          <w:color w:val="000000"/>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rsidR="00F93EF8" w:rsidRDefault="008D66D3">
      <w:pPr>
        <w:numPr>
          <w:ilvl w:val="0"/>
          <w:numId w:val="13"/>
        </w:numPr>
        <w:pBdr>
          <w:top w:val="nil"/>
          <w:left w:val="nil"/>
          <w:bottom w:val="nil"/>
          <w:right w:val="nil"/>
          <w:between w:val="nil"/>
        </w:pBdr>
        <w:spacing w:before="240" w:line="360" w:lineRule="auto"/>
        <w:ind w:left="0" w:right="-989" w:firstLine="0"/>
        <w:jc w:val="both"/>
        <w:rPr>
          <w:color w:val="000000"/>
        </w:rPr>
      </w:pPr>
      <w:r>
        <w:rPr>
          <w:rFonts w:ascii="Palatino Linotype" w:eastAsia="Palatino Linotype" w:hAnsi="Palatino Linotype" w:cs="Palatino Linotype"/>
          <w:color w:val="000000"/>
        </w:rPr>
        <w:lastRenderedPageBreak/>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rsidR="00F93EF8" w:rsidRDefault="00F93EF8">
      <w:pPr>
        <w:pBdr>
          <w:top w:val="nil"/>
          <w:left w:val="nil"/>
          <w:bottom w:val="nil"/>
          <w:right w:val="nil"/>
          <w:between w:val="nil"/>
        </w:pBdr>
        <w:ind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del debido ejercicio del presupuesto.</w:t>
      </w:r>
    </w:p>
    <w:p w:rsidR="00F93EF8" w:rsidRDefault="00F93EF8">
      <w:pPr>
        <w:pBdr>
          <w:top w:val="nil"/>
          <w:left w:val="nil"/>
          <w:bottom w:val="nil"/>
          <w:right w:val="nil"/>
          <w:between w:val="nil"/>
        </w:pBdr>
        <w:ind w:right="-989"/>
        <w:rPr>
          <w:rFonts w:ascii="Palatino Linotype" w:eastAsia="Palatino Linotype" w:hAnsi="Palatino Linotype" w:cs="Palatino Linotype"/>
          <w:color w:val="000000"/>
        </w:rPr>
      </w:pPr>
    </w:p>
    <w:p w:rsidR="00F93EF8" w:rsidRDefault="008D66D3">
      <w:pPr>
        <w:numPr>
          <w:ilvl w:val="0"/>
          <w:numId w:val="13"/>
        </w:numPr>
        <w:pBdr>
          <w:top w:val="nil"/>
          <w:left w:val="nil"/>
          <w:bottom w:val="nil"/>
          <w:right w:val="nil"/>
          <w:between w:val="nil"/>
        </w:pBdr>
        <w:spacing w:after="240" w:line="360" w:lineRule="auto"/>
        <w:ind w:left="0" w:right="-989" w:firstLine="0"/>
        <w:jc w:val="both"/>
        <w:rPr>
          <w:color w:val="000000"/>
        </w:rPr>
      </w:pPr>
      <w:r>
        <w:rPr>
          <w:rFonts w:ascii="Palatino Linotype" w:eastAsia="Palatino Linotype" w:hAnsi="Palatino Linotype" w:cs="Palatino Linotype"/>
          <w:color w:val="000000"/>
        </w:rPr>
        <w:t>Robustece lo anterior el criterio orientador 04/21 emitido por el entonces Instituto Nacional de Transparencia, Acceso a la Información y Protección de Datos Personales, INAI, el cual refiere:</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“Registro Federal de Contribuyentes (RFC) de personas físicas proveedoras o contratistas. </w:t>
      </w:r>
      <w:r>
        <w:rPr>
          <w:rFonts w:ascii="Palatino Linotype" w:eastAsia="Palatino Linotype" w:hAnsi="Palatino Linotype" w:cs="Palatino Linotype"/>
          <w:i/>
          <w:iCs/>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rsidR="00F93EF8" w:rsidRDefault="008D66D3">
      <w:pPr>
        <w:numPr>
          <w:ilvl w:val="0"/>
          <w:numId w:val="13"/>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 xml:space="preserve">Aunado a lo argumentado, el </w:t>
      </w:r>
      <w:r>
        <w:rPr>
          <w:rFonts w:ascii="Palatino Linotype" w:eastAsia="Palatino Linotype" w:hAnsi="Palatino Linotype" w:cs="Palatino Linotype"/>
          <w:b/>
          <w:bCs/>
          <w:color w:val="000000"/>
        </w:rPr>
        <w:t>nombre de las personas físicas</w:t>
      </w:r>
      <w:r>
        <w:rPr>
          <w:rFonts w:ascii="Palatino Linotype" w:eastAsia="Palatino Linotype" w:hAnsi="Palatino Linotype" w:cs="Palatino Linotype"/>
          <w:color w:val="000000"/>
        </w:rPr>
        <w:t xml:space="preserve"> o los </w:t>
      </w:r>
      <w:r>
        <w:rPr>
          <w:rFonts w:ascii="Palatino Linotype" w:eastAsia="Palatino Linotype" w:hAnsi="Palatino Linotype" w:cs="Palatino Linotype"/>
          <w:b/>
          <w:bCs/>
          <w:color w:val="000000"/>
        </w:rPr>
        <w:t>representantes legales de las personas morales</w:t>
      </w:r>
      <w:r>
        <w:rPr>
          <w:rFonts w:ascii="Palatino Linotype" w:eastAsia="Palatino Linotype" w:hAnsi="Palatino Linotype" w:cs="Palatino Linotype"/>
          <w:color w:val="000000"/>
        </w:rPr>
        <w:t xml:space="preserve">, en su calidad de proveedores, contratistas o prestadores de servicios, y la firma y rúbrica de estos, que participen en algún  proceso de adjudicación en cualquiera de sus modalidades, debe mencionarse que con base en el artículo 23 párrafo </w:t>
      </w:r>
      <w:r>
        <w:rPr>
          <w:rFonts w:ascii="Palatino Linotype" w:eastAsia="Palatino Linotype" w:hAnsi="Palatino Linotype" w:cs="Palatino Linotype"/>
          <w:color w:val="000000"/>
        </w:rPr>
        <w:lastRenderedPageBreak/>
        <w:t>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rsidR="00F93EF8" w:rsidRDefault="008D66D3">
      <w:pPr>
        <w:numPr>
          <w:ilvl w:val="0"/>
          <w:numId w:val="13"/>
        </w:numPr>
        <w:pBdr>
          <w:top w:val="nil"/>
          <w:left w:val="nil"/>
          <w:bottom w:val="nil"/>
          <w:right w:val="nil"/>
          <w:between w:val="nil"/>
        </w:pBdr>
        <w:spacing w:before="240" w:after="240" w:line="360" w:lineRule="auto"/>
        <w:ind w:left="0" w:right="-989" w:firstLine="0"/>
        <w:jc w:val="both"/>
        <w:rPr>
          <w:color w:val="000000"/>
        </w:rPr>
      </w:pPr>
      <w:r>
        <w:rPr>
          <w:rFonts w:ascii="Palatino Linotype" w:eastAsia="Palatino Linotype" w:hAnsi="Palatino Linotype" w:cs="Palatino Linotype"/>
          <w:color w:val="000000"/>
        </w:rPr>
        <w:t>Lo anterior guarda sustento en lo estipulado por el artículo 23 de la Ley de Transparencia y Acceso a la Información Pública del Estado de México y Municipios en su penúltimo párrafo, mismo que es del tenor literal siguiente:</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23.</w:t>
      </w:r>
      <w:r>
        <w:rPr>
          <w:rFonts w:ascii="Palatino Linotype" w:eastAsia="Palatino Linotype" w:hAnsi="Palatino Linotype" w:cs="Palatino Linotype"/>
          <w:i/>
          <w:iCs/>
        </w:rPr>
        <w:t xml:space="preserve"> (…)</w:t>
      </w:r>
    </w:p>
    <w:p w:rsidR="00F93EF8" w:rsidRDefault="008D66D3">
      <w:pPr>
        <w:spacing w:before="120" w:after="120"/>
        <w:ind w:left="1134" w:right="-989"/>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F93EF8" w:rsidRDefault="008D66D3">
      <w:pPr>
        <w:spacing w:before="280" w:after="280"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rPr>
        <w:t>Asimismo, resulta aplicable el contenido del criterio orientador 01/19 emitido por el entonces Instituto Nacional de Transparencia, Acceso a la Información, y Protección de Datos Personales, INAI, que lleva por rubro y texto los siguientes;</w:t>
      </w:r>
    </w:p>
    <w:p w:rsidR="00F93EF8" w:rsidRDefault="008D66D3">
      <w:pPr>
        <w:ind w:left="1134" w:right="-989"/>
        <w:jc w:val="both"/>
        <w:rPr>
          <w:rFonts w:ascii="Palatino Linotype" w:eastAsia="Palatino Linotype" w:hAnsi="Palatino Linotype" w:cs="Palatino Linotype"/>
          <w:i/>
          <w:iCs/>
        </w:rPr>
      </w:pPr>
      <w:r>
        <w:rPr>
          <w:rFonts w:ascii="Palatino Linotype" w:eastAsia="Palatino Linotype" w:hAnsi="Palatino Linotype" w:cs="Palatino Linotype"/>
          <w:b/>
          <w:bCs/>
          <w:i/>
          <w:iCs/>
        </w:rPr>
        <w:t>“Datos de identificación del representante o apoderado legal.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Naturaleza jurídica. </w:t>
      </w:r>
      <w:r>
        <w:rPr>
          <w:rFonts w:ascii="Palatino Linotype" w:eastAsia="Palatino Linotype" w:hAnsi="Palatino Linotype" w:cs="Palatino Linotype"/>
          <w:i/>
          <w:iCs/>
        </w:rPr>
        <w:t xml:space="preserve">El nombre, la firma y la rúbrica de una persona física, que actúe como representante o apoderado legal de un tercero que haya celebrado un acto jurídico, con algún sujeto obligado, </w:t>
      </w:r>
      <w:r>
        <w:rPr>
          <w:rFonts w:ascii="Palatino Linotype" w:eastAsia="Palatino Linotype" w:hAnsi="Palatino Linotype" w:cs="Palatino Linotype"/>
          <w:b/>
          <w:bCs/>
          <w:i/>
          <w:iCs/>
        </w:rPr>
        <w:t>es información pública, en razón de que tales datos fueron proporcionados con el objeto de expresar el consentimiento obligacional del tercero y otorgar validez a dicho instrumento jurídico</w:t>
      </w:r>
      <w:r>
        <w:rPr>
          <w:rFonts w:ascii="Palatino Linotype" w:eastAsia="Palatino Linotype" w:hAnsi="Palatino Linotype" w:cs="Palatino Linotype"/>
          <w:i/>
          <w:iCs/>
        </w:rPr>
        <w:t>.”</w:t>
      </w:r>
    </w:p>
    <w:p w:rsidR="00F93EF8" w:rsidRDefault="00F93EF8">
      <w:pPr>
        <w:ind w:left="1134" w:right="-989"/>
        <w:jc w:val="both"/>
        <w:rPr>
          <w:rFonts w:ascii="Palatino Linotype" w:eastAsia="Palatino Linotype" w:hAnsi="Palatino Linotype" w:cs="Palatino Linotype"/>
          <w:i/>
          <w:iCs/>
        </w:rPr>
      </w:pPr>
    </w:p>
    <w:p w:rsidR="00F93EF8" w:rsidRDefault="008D66D3">
      <w:pPr>
        <w:numPr>
          <w:ilvl w:val="0"/>
          <w:numId w:val="13"/>
        </w:numPr>
        <w:pBdr>
          <w:top w:val="nil"/>
          <w:left w:val="nil"/>
          <w:bottom w:val="nil"/>
          <w:right w:val="nil"/>
          <w:between w:val="nil"/>
        </w:pBdr>
        <w:spacing w:line="360" w:lineRule="auto"/>
        <w:ind w:left="0" w:right="-989" w:firstLine="0"/>
        <w:jc w:val="both"/>
        <w:rPr>
          <w:color w:val="000000"/>
        </w:rPr>
      </w:pPr>
      <w:r>
        <w:rPr>
          <w:rFonts w:ascii="Palatino Linotype" w:eastAsia="Palatino Linotype" w:hAnsi="Palatino Linotype" w:cs="Palatino Linotype"/>
          <w:color w:val="000000"/>
        </w:rPr>
        <w:t xml:space="preserve">Para tal situación, el Sujeto Obligado deberá seguir el procedimiento establecido en el artículo 168 de la Ley de Transparencia y Acceso a la Información Pública del Estado de </w:t>
      </w:r>
      <w:r>
        <w:rPr>
          <w:rFonts w:ascii="Palatino Linotype" w:eastAsia="Palatino Linotype" w:hAnsi="Palatino Linotype" w:cs="Palatino Linotype"/>
          <w:color w:val="000000"/>
        </w:rPr>
        <w:lastRenderedPageBreak/>
        <w:t>México y Municipios; esto es, que el área competente deberá elaborar la versión pública, así como emitir el Acuerdo, por parte del Comité de Transparencia, donde confirme la clasificación de los datos o documentos, fundando y motivando la clasificación.</w:t>
      </w:r>
    </w:p>
    <w:p w:rsidR="00F93EF8" w:rsidRDefault="00F93EF8">
      <w:pPr>
        <w:spacing w:line="360" w:lineRule="auto"/>
        <w:ind w:right="-989"/>
        <w:jc w:val="both"/>
        <w:rPr>
          <w:rFonts w:ascii="Palatino Linotype" w:eastAsia="Palatino Linotype" w:hAnsi="Palatino Linotype" w:cs="Palatino Linotype"/>
        </w:rPr>
      </w:pPr>
    </w:p>
    <w:p w:rsidR="00F93EF8" w:rsidRDefault="008D66D3">
      <w:pPr>
        <w:numPr>
          <w:ilvl w:val="0"/>
          <w:numId w:val="13"/>
        </w:numPr>
        <w:spacing w:line="360" w:lineRule="auto"/>
        <w:ind w:left="0" w:right="-989" w:firstLine="0"/>
        <w:jc w:val="both"/>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F93EF8" w:rsidRDefault="00F93EF8">
      <w:pPr>
        <w:ind w:right="-989"/>
        <w:rPr>
          <w:rFonts w:ascii="Palatino Linotype" w:eastAsia="Palatino Linotype" w:hAnsi="Palatino Linotype" w:cs="Palatino Linotype"/>
        </w:rPr>
      </w:pPr>
    </w:p>
    <w:p w:rsidR="00F93EF8" w:rsidRDefault="008D66D3">
      <w:pPr>
        <w:numPr>
          <w:ilvl w:val="0"/>
          <w:numId w:val="19"/>
        </w:num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Expuesto lo anterior, analizadas las constancias que forman el expediente electrónico, </w:t>
      </w:r>
      <w:r>
        <w:rPr>
          <w:rFonts w:ascii="Palatino Linotype" w:eastAsia="Palatino Linotype" w:hAnsi="Palatino Linotype" w:cs="Palatino Linotype"/>
        </w:rPr>
        <w:t xml:space="preserve">resultan  parcialmente fundadas las razones o motivos de inconformidad hechos valer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dentro de los  recursos de revisión </w:t>
      </w:r>
      <w:r>
        <w:rPr>
          <w:rFonts w:ascii="Palatino Linotype" w:eastAsia="Palatino Linotype" w:hAnsi="Palatino Linotype" w:cs="Palatino Linotype"/>
          <w:b/>
          <w:bCs/>
        </w:rPr>
        <w:t>1998/INFOEM/IP/RR/2026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2008/INFOEM/IP/RR/2026 y 2038/INFOEM/IP/RR/2026 </w:t>
      </w:r>
      <w:r>
        <w:rPr>
          <w:rFonts w:ascii="Palatino Linotype" w:eastAsia="Palatino Linotype" w:hAnsi="Palatino Linotype" w:cs="Palatino Linotype"/>
        </w:rPr>
        <w:t xml:space="preserve">resultando procedente ordenar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la entrega de ser procedente en versión pública de las bitácoras de obra de las obras públicas ejecutadas en los ejercicios fiscales dos mil veinticuatro y dos mil veinticinco, así como los documentos que den cuenta de las obras públicas iniciadas y no concluidas entre el  uno de enero de dos mil veinticinco y hasta el  doce de enero de dos mil veintiséis, donde se informe el monto asignado, monto ejercido, avance físico y financiero, motivo por el que no se haya concluido y estatus del recurso otorgado, así como las acciones correctivas implementadas.  </w:t>
      </w:r>
    </w:p>
    <w:p w:rsidR="00F93EF8" w:rsidRDefault="00F93EF8">
      <w:pPr>
        <w:pBdr>
          <w:top w:val="nil"/>
          <w:left w:val="nil"/>
          <w:bottom w:val="nil"/>
          <w:right w:val="nil"/>
          <w:between w:val="nil"/>
        </w:pBdr>
        <w:spacing w:line="360" w:lineRule="auto"/>
        <w:ind w:right="-989"/>
        <w:jc w:val="both"/>
        <w:rPr>
          <w:rFonts w:ascii="Palatino Linotype" w:eastAsia="Palatino Linotype" w:hAnsi="Palatino Linotype" w:cs="Palatino Linotype"/>
          <w:color w:val="000000"/>
        </w:rPr>
      </w:pPr>
    </w:p>
    <w:p w:rsidR="00F93EF8" w:rsidRDefault="008D66D3">
      <w:pPr>
        <w:numPr>
          <w:ilvl w:val="0"/>
          <w:numId w:val="15"/>
        </w:numPr>
        <w:spacing w:line="360" w:lineRule="auto"/>
        <w:ind w:left="0" w:right="-98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sidR="00BB4A9A">
        <w:rPr>
          <w:rFonts w:ascii="Palatino Linotype" w:eastAsia="Palatino Linotype" w:hAnsi="Palatino Linotype" w:cs="Palatino Linotype"/>
          <w:color w:val="000000"/>
        </w:rPr>
        <w:t xml:space="preserve"> -----------------------------------------------------------------------------------------------------------</w:t>
      </w:r>
    </w:p>
    <w:p w:rsidR="00BB4A9A" w:rsidRDefault="00BB4A9A" w:rsidP="00BB4A9A">
      <w:pPr>
        <w:spacing w:line="360" w:lineRule="auto"/>
        <w:ind w:right="-989"/>
        <w:jc w:val="both"/>
        <w:rPr>
          <w:rFonts w:ascii="Palatino Linotype" w:eastAsia="Palatino Linotype" w:hAnsi="Palatino Linotype" w:cs="Palatino Linotype"/>
          <w:color w:val="000000"/>
        </w:rPr>
      </w:pPr>
    </w:p>
    <w:p w:rsidR="00BB4A9A" w:rsidRDefault="00BB4A9A" w:rsidP="00BB4A9A">
      <w:pPr>
        <w:spacing w:line="360" w:lineRule="auto"/>
        <w:ind w:right="-989"/>
        <w:jc w:val="both"/>
        <w:rPr>
          <w:rFonts w:ascii="Palatino Linotype" w:eastAsia="Palatino Linotype" w:hAnsi="Palatino Linotype" w:cs="Palatino Linotype"/>
          <w:color w:val="000000"/>
        </w:rPr>
      </w:pPr>
    </w:p>
    <w:p w:rsidR="00F93EF8" w:rsidRDefault="008D66D3">
      <w:pPr>
        <w:pStyle w:val="Ttulo1"/>
        <w:spacing w:before="0" w:line="360" w:lineRule="auto"/>
        <w:ind w:right="-989"/>
        <w:jc w:val="center"/>
        <w:rPr>
          <w:b w:val="0"/>
          <w:bCs w:val="0"/>
        </w:rPr>
      </w:pPr>
      <w:r>
        <w:lastRenderedPageBreak/>
        <w:t>R E S O L U T I V O S</w:t>
      </w:r>
    </w:p>
    <w:p w:rsidR="00F93EF8" w:rsidRDefault="00F93EF8">
      <w:pPr>
        <w:spacing w:line="360" w:lineRule="auto"/>
        <w:ind w:right="-989"/>
        <w:rPr>
          <w:rFonts w:ascii="Palatino Linotype" w:eastAsia="Palatino Linotype" w:hAnsi="Palatino Linotype" w:cs="Palatino Linotype"/>
        </w:rPr>
      </w:pPr>
    </w:p>
    <w:p w:rsidR="00F93EF8" w:rsidRDefault="008D66D3">
      <w:pPr>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parcialmente fundadas las razones o motivos de inconformidad hechos valer en el Recursos de Revisión </w:t>
      </w:r>
      <w:r>
        <w:rPr>
          <w:rFonts w:ascii="Palatino Linotype" w:eastAsia="Palatino Linotype" w:hAnsi="Palatino Linotype" w:cs="Palatino Linotype"/>
          <w:b/>
          <w:bCs/>
        </w:rPr>
        <w:t>1998/INFOEM/IP/RR/2026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02008/INFOEM/IP/RR/2026 y 02038/INFOEM/IP/RR/2026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y QUINTO </w:t>
      </w:r>
      <w:r>
        <w:rPr>
          <w:rFonts w:ascii="Palatino Linotype" w:eastAsia="Palatino Linotype" w:hAnsi="Palatino Linotype" w:cs="Palatino Linotype"/>
        </w:rPr>
        <w:t>de la presente resolución.</w:t>
      </w:r>
    </w:p>
    <w:p w:rsidR="00F93EF8" w:rsidRDefault="00F93EF8">
      <w:pPr>
        <w:spacing w:line="360" w:lineRule="auto"/>
        <w:ind w:right="-989"/>
        <w:jc w:val="both"/>
        <w:rPr>
          <w:rFonts w:ascii="Palatino Linotype" w:eastAsia="Palatino Linotype" w:hAnsi="Palatino Linotype" w:cs="Palatino Linotype"/>
        </w:rPr>
      </w:pPr>
    </w:p>
    <w:p w:rsidR="00F93EF8" w:rsidRDefault="008D66D3">
      <w:pPr>
        <w:spacing w:line="360" w:lineRule="auto"/>
        <w:ind w:right="-989"/>
        <w:jc w:val="both"/>
        <w:rPr>
          <w:rFonts w:ascii="Palatino Linotype" w:eastAsia="Palatino Linotype" w:hAnsi="Palatino Linotype" w:cs="Palatino Linotype"/>
          <w:color w:val="000000"/>
        </w:rPr>
      </w:pPr>
      <w:bookmarkStart w:id="9" w:name="_heading=h.26in1rg"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efecto de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después de una búsqueda exhaustiva, la siguiente información de ser procedente en versión pública:</w:t>
      </w:r>
    </w:p>
    <w:p w:rsidR="00F93EF8" w:rsidRDefault="00F93EF8">
      <w:pPr>
        <w:ind w:right="-989"/>
        <w:jc w:val="both"/>
        <w:rPr>
          <w:rFonts w:ascii="Palatino Linotype" w:eastAsia="Palatino Linotype" w:hAnsi="Palatino Linotype" w:cs="Palatino Linotype"/>
          <w:b/>
          <w:bCs/>
          <w:i/>
          <w:iCs/>
        </w:rPr>
      </w:pPr>
    </w:p>
    <w:p w:rsidR="00F93EF8" w:rsidRDefault="008D66D3">
      <w:pPr>
        <w:numPr>
          <w:ilvl w:val="3"/>
          <w:numId w:val="15"/>
        </w:numPr>
        <w:pBdr>
          <w:top w:val="nil"/>
          <w:left w:val="nil"/>
          <w:bottom w:val="nil"/>
          <w:right w:val="nil"/>
          <w:between w:val="nil"/>
        </w:pBdr>
        <w:ind w:left="1134" w:right="-989" w:hanging="567"/>
        <w:jc w:val="both"/>
        <w:rPr>
          <w:rFonts w:ascii="Palatino Linotype" w:eastAsia="Palatino Linotype" w:hAnsi="Palatino Linotype" w:cs="Palatino Linotype"/>
          <w:b/>
          <w:bCs/>
          <w:i/>
          <w:iCs/>
          <w:color w:val="000000"/>
        </w:rPr>
      </w:pPr>
      <w:bookmarkStart w:id="10" w:name="_heading=h.lnxbz9" w:colFirst="0" w:colLast="0"/>
      <w:bookmarkEnd w:id="10"/>
      <w:r>
        <w:rPr>
          <w:rFonts w:ascii="Palatino Linotype" w:eastAsia="Palatino Linotype" w:hAnsi="Palatino Linotype" w:cs="Palatino Linotype"/>
          <w:b/>
          <w:bCs/>
          <w:i/>
          <w:iCs/>
          <w:color w:val="000000"/>
        </w:rPr>
        <w:t>Bitácoras de las Obras Públicas ejecutadas en los ejercicios fiscales dos mil veinticuatro y dos mil veinticinco.</w:t>
      </w:r>
    </w:p>
    <w:p w:rsidR="00F93EF8" w:rsidRDefault="008D66D3">
      <w:pPr>
        <w:numPr>
          <w:ilvl w:val="3"/>
          <w:numId w:val="15"/>
        </w:numPr>
        <w:pBdr>
          <w:top w:val="nil"/>
          <w:left w:val="nil"/>
          <w:bottom w:val="nil"/>
          <w:right w:val="nil"/>
          <w:between w:val="nil"/>
        </w:pBdr>
        <w:ind w:left="1134" w:right="-989" w:hanging="56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Documento o documentos donde obre y consten las obras públicas iniciadas y no concluidas del uno de enero al treinta y uno de diciembre de dos mil veinticinco, indicando presupuesto asignado y ejercido, porcentaje de avance físico y financiero y causas de los retrasos que impidan la entrega de las obras.  </w:t>
      </w:r>
    </w:p>
    <w:p w:rsidR="00F93EF8" w:rsidRDefault="008D66D3">
      <w:pPr>
        <w:numPr>
          <w:ilvl w:val="3"/>
          <w:numId w:val="15"/>
        </w:numPr>
        <w:pBdr>
          <w:top w:val="nil"/>
          <w:left w:val="nil"/>
          <w:bottom w:val="nil"/>
          <w:right w:val="nil"/>
          <w:between w:val="nil"/>
        </w:pBdr>
        <w:ind w:left="1134" w:right="-989" w:hanging="56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Documento o documentos donde obre y consten las obras públicas iniciadas y no concluidas que presenten retrasos, suspensión o abandono,  del doce de enero de dos mil veinticinco al doce de enero de dos mil veintiséis, indicando, causas de los retrasos que impidan la entrega de las obras, responsables de las obras y acciones correctivas implementadas.</w:t>
      </w:r>
    </w:p>
    <w:p w:rsidR="00F93EF8" w:rsidRDefault="00F93EF8">
      <w:pPr>
        <w:ind w:left="1341" w:right="-989"/>
        <w:jc w:val="both"/>
        <w:rPr>
          <w:rFonts w:ascii="Palatino Linotype" w:eastAsia="Palatino Linotype" w:hAnsi="Palatino Linotype" w:cs="Palatino Linotype"/>
          <w:b/>
          <w:bCs/>
          <w:i/>
          <w:iCs/>
        </w:rPr>
      </w:pPr>
    </w:p>
    <w:p w:rsidR="00F93EF8" w:rsidRDefault="008D66D3">
      <w:pPr>
        <w:spacing w:line="276" w:lineRule="auto"/>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rPr>
        <w:t xml:space="preserve"> </w:t>
      </w:r>
      <w:r>
        <w:rPr>
          <w:rFonts w:ascii="Palatino Linotype" w:eastAsia="Palatino Linotype" w:hAnsi="Palatino Linotype" w:cs="Palatino Linotype"/>
          <w:i/>
          <w:iCs/>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i/>
          <w:iCs/>
        </w:rPr>
        <w:t>RECURRENTE.</w:t>
      </w:r>
    </w:p>
    <w:p w:rsidR="00F93EF8" w:rsidRDefault="00F93EF8">
      <w:pPr>
        <w:tabs>
          <w:tab w:val="left" w:pos="8080"/>
        </w:tabs>
        <w:spacing w:line="276" w:lineRule="auto"/>
        <w:ind w:left="1134" w:right="-989"/>
        <w:jc w:val="both"/>
        <w:rPr>
          <w:rFonts w:ascii="Palatino Linotype" w:eastAsia="Palatino Linotype" w:hAnsi="Palatino Linotype" w:cs="Palatino Linotype"/>
          <w:i/>
          <w:iCs/>
        </w:rPr>
      </w:pPr>
    </w:p>
    <w:p w:rsidR="00F93EF8" w:rsidRDefault="008D66D3">
      <w:pPr>
        <w:pBdr>
          <w:top w:val="nil"/>
          <w:left w:val="nil"/>
          <w:bottom w:val="nil"/>
          <w:right w:val="nil"/>
          <w:between w:val="nil"/>
        </w:pBdr>
        <w:spacing w:line="276" w:lineRule="auto"/>
        <w:ind w:left="1134" w:right="-989"/>
        <w:jc w:val="both"/>
        <w:rPr>
          <w:rFonts w:ascii="Palatino Linotype" w:eastAsia="Palatino Linotype" w:hAnsi="Palatino Linotype" w:cs="Palatino Linotype"/>
          <w:b/>
          <w:bCs/>
          <w:i/>
          <w:iCs/>
        </w:rPr>
      </w:pPr>
      <w:r>
        <w:rPr>
          <w:rFonts w:ascii="Palatino Linotype" w:eastAsia="Palatino Linotype" w:hAnsi="Palatino Linotype" w:cs="Palatino Linotype"/>
          <w:i/>
          <w:iCs/>
        </w:rPr>
        <w:lastRenderedPageBreak/>
        <w:t>Sin embargo para los puntos dos y tres, para el caso en que no se cuente con la información por no haber sido generada, bastará con que así se haga del conocimiento a LA PARTE RECURRENTE en términos de lo que establece el artículo 19 segundo párrafo de la Ley de Transparencia Local</w:t>
      </w:r>
    </w:p>
    <w:p w:rsidR="00F93EF8" w:rsidRDefault="00F93EF8">
      <w:pPr>
        <w:spacing w:line="720" w:lineRule="auto"/>
        <w:ind w:left="1341" w:right="-989"/>
        <w:rPr>
          <w:rFonts w:ascii="Palatino Linotype" w:eastAsia="Palatino Linotype" w:hAnsi="Palatino Linotype" w:cs="Palatino Linotype"/>
          <w:b/>
          <w:bCs/>
          <w:i/>
          <w:iCs/>
        </w:rPr>
      </w:pPr>
    </w:p>
    <w:p w:rsidR="00F93EF8" w:rsidRDefault="008D66D3">
      <w:pPr>
        <w:tabs>
          <w:tab w:val="left" w:pos="8080"/>
        </w:tabs>
        <w:spacing w:line="360" w:lineRule="auto"/>
        <w:ind w:right="-98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93EF8" w:rsidRDefault="00F93EF8">
      <w:pPr>
        <w:tabs>
          <w:tab w:val="left" w:pos="8080"/>
        </w:tabs>
        <w:spacing w:line="360" w:lineRule="auto"/>
        <w:ind w:right="-989"/>
        <w:jc w:val="both"/>
        <w:rPr>
          <w:rFonts w:ascii="Palatino Linotype" w:eastAsia="Palatino Linotype" w:hAnsi="Palatino Linotype" w:cs="Palatino Linotype"/>
        </w:rPr>
      </w:pPr>
    </w:p>
    <w:p w:rsidR="00F93EF8" w:rsidRDefault="008D66D3">
      <w:pPr>
        <w:spacing w:line="360" w:lineRule="auto"/>
        <w:ind w:right="-989"/>
        <w:jc w:val="both"/>
        <w:rPr>
          <w:rFonts w:ascii="Palatino Linotype" w:eastAsia="Palatino Linotype" w:hAnsi="Palatino Linotype" w:cs="Palatino Linotype"/>
          <w:color w:val="000000"/>
          <w:shd w:val="clear" w:color="auto" w:fill="FAFAFA"/>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color w:val="000000"/>
          <w:shd w:val="clear" w:color="auto" w:fill="FAFAFA"/>
        </w:rPr>
        <w:t>Hágase del conocimiento del </w:t>
      </w:r>
      <w:r>
        <w:rPr>
          <w:rFonts w:ascii="Palatino Linotype" w:eastAsia="Palatino Linotype" w:hAnsi="Palatino Linotype" w:cs="Palatino Linotype"/>
          <w:b/>
          <w:bCs/>
          <w:color w:val="000000"/>
          <w:shd w:val="clear" w:color="auto" w:fill="FAFAFA"/>
        </w:rPr>
        <w:t>RECURRENTE</w:t>
      </w:r>
      <w:r>
        <w:rPr>
          <w:rFonts w:ascii="Palatino Linotype" w:eastAsia="Palatino Linotype" w:hAnsi="Palatino Linotype" w:cs="Palatino Linotype"/>
          <w:color w:val="000000"/>
          <w:shd w:val="clear" w:color="auto" w:fill="FAFAFA"/>
        </w:rPr>
        <w:t> que la respuesta que dé </w:t>
      </w:r>
      <w:r>
        <w:rPr>
          <w:rFonts w:ascii="Palatino Linotype" w:eastAsia="Palatino Linotype" w:hAnsi="Palatino Linotype" w:cs="Palatino Linotype"/>
          <w:b/>
          <w:bCs/>
          <w:color w:val="000000"/>
          <w:shd w:val="clear" w:color="auto" w:fill="FAFAFA"/>
        </w:rPr>
        <w:t>EL SUJETO OBLIGADO</w:t>
      </w:r>
      <w:r>
        <w:rPr>
          <w:rFonts w:ascii="Palatino Linotype" w:eastAsia="Palatino Linotype" w:hAnsi="Palatino Linotype" w:cs="Palatino Linotype"/>
          <w:color w:val="000000"/>
          <w:shd w:val="clear" w:color="auto" w:fill="FAFAFA"/>
        </w:rPr>
        <w:t>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p>
    <w:p w:rsidR="00F93EF8" w:rsidRDefault="00F93EF8">
      <w:pPr>
        <w:spacing w:line="360" w:lineRule="auto"/>
        <w:ind w:right="-989"/>
        <w:jc w:val="both"/>
        <w:rPr>
          <w:rFonts w:ascii="Palatino Linotype" w:eastAsia="Palatino Linotype" w:hAnsi="Palatino Linotype" w:cs="Palatino Linotype"/>
        </w:rPr>
      </w:pPr>
    </w:p>
    <w:p w:rsidR="00F93EF8" w:rsidRDefault="008D66D3">
      <w:pPr>
        <w:tabs>
          <w:tab w:val="left" w:pos="8080"/>
        </w:tabs>
        <w:spacing w:line="360" w:lineRule="auto"/>
        <w:ind w:right="-989"/>
        <w:jc w:val="both"/>
        <w:rPr>
          <w:rFonts w:ascii="Palatino Linotype" w:eastAsia="Palatino Linotype" w:hAnsi="Palatino Linotype" w:cs="Palatino Linotype"/>
        </w:rPr>
      </w:pPr>
      <w:bookmarkStart w:id="11" w:name="_heading=h.35nkun2" w:colFirst="0" w:colLast="0"/>
      <w:bookmarkEnd w:id="11"/>
      <w:r>
        <w:rPr>
          <w:rFonts w:ascii="Palatino Linotype" w:eastAsia="Palatino Linotype" w:hAnsi="Palatino Linotype" w:cs="Palatino Linotype"/>
          <w:b/>
          <w:bCs/>
        </w:rPr>
        <w:t xml:space="preserve">QUINTO. </w:t>
      </w:r>
      <w:r>
        <w:rPr>
          <w:rFonts w:ascii="Palatino Linotype" w:eastAsia="Palatino Linotype" w:hAnsi="Palatino Linotype" w:cs="Palatino Linotype"/>
        </w:rPr>
        <w:t>Notifíquese a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p>
    <w:p w:rsidR="00F93EF8" w:rsidRDefault="00F93EF8">
      <w:pPr>
        <w:tabs>
          <w:tab w:val="left" w:pos="8080"/>
        </w:tabs>
        <w:spacing w:line="360" w:lineRule="auto"/>
        <w:ind w:right="-989"/>
        <w:jc w:val="both"/>
        <w:rPr>
          <w:rFonts w:ascii="Palatino Linotype" w:eastAsia="Palatino Linotype" w:hAnsi="Palatino Linotype" w:cs="Palatino Linotype"/>
        </w:rPr>
      </w:pPr>
    </w:p>
    <w:p w:rsidR="00F93EF8" w:rsidRDefault="008D66D3">
      <w:pPr>
        <w:shd w:val="clear" w:color="auto" w:fill="FFFFFF"/>
        <w:spacing w:line="360" w:lineRule="auto"/>
        <w:ind w:right="-98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SEXTO.</w:t>
      </w:r>
      <w:r>
        <w:rPr>
          <w:rFonts w:ascii="Palatino Linotype" w:eastAsia="Palatino Linotype" w:hAnsi="Palatino Linotype" w:cs="Palatino Linotype"/>
        </w:rPr>
        <w:t xml:space="preserve"> Se hace del conocimiento de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93EF8" w:rsidRDefault="00F93EF8">
      <w:pPr>
        <w:shd w:val="clear" w:color="auto" w:fill="FFFFFF"/>
        <w:spacing w:line="360" w:lineRule="auto"/>
        <w:ind w:right="-989"/>
        <w:jc w:val="both"/>
        <w:rPr>
          <w:rFonts w:ascii="Palatino Linotype" w:eastAsia="Palatino Linotype" w:hAnsi="Palatino Linotype" w:cs="Palatino Linotype"/>
        </w:rPr>
      </w:pPr>
    </w:p>
    <w:p w:rsidR="00F93EF8" w:rsidRDefault="008D66D3">
      <w:pPr>
        <w:spacing w:line="360" w:lineRule="auto"/>
        <w:ind w:right="-989"/>
        <w:jc w:val="both"/>
        <w:rPr>
          <w:rFonts w:ascii="Palatino Linotype" w:eastAsia="Palatino Linotype" w:hAnsi="Palatino Linotype" w:cs="Palatino Linotype"/>
        </w:rPr>
      </w:pPr>
      <w:bookmarkStart w:id="12" w:name="_heading=h.nogx7l10ntim" w:colFirst="0" w:colLast="0"/>
      <w:bookmarkEnd w:id="12"/>
      <w:r>
        <w:rPr>
          <w:rFonts w:ascii="Palatino Linotype" w:eastAsia="Palatino Linotype" w:hAnsi="Palatino Linotype" w:cs="Palatino Linotype"/>
          <w:b/>
          <w:bCs/>
        </w:rPr>
        <w:t>SÉPTIMO</w:t>
      </w:r>
      <w:r>
        <w:rPr>
          <w:rFonts w:ascii="Palatino Linotype" w:eastAsia="Palatino Linotype" w:hAnsi="Palatino Linotype" w:cs="Palatino Linotype"/>
        </w:rPr>
        <w:t xml:space="preserve">. </w:t>
      </w:r>
      <w:r>
        <w:rPr>
          <w:rFonts w:ascii="Palatino Linotype" w:eastAsia="Palatino Linotype" w:hAnsi="Palatino Linotype" w:cs="Palatino Linotype"/>
          <w:b/>
          <w:bCs/>
        </w:rPr>
        <w:t>Gírese</w:t>
      </w:r>
      <w:r>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Pr>
          <w:rFonts w:ascii="Palatino Linotype" w:eastAsia="Palatino Linotype" w:hAnsi="Palatino Linotype" w:cs="Palatino Linotype"/>
          <w:b/>
          <w:bCs/>
        </w:rPr>
        <w:t>Considerando TERCERO</w:t>
      </w:r>
      <w:r>
        <w:rPr>
          <w:rFonts w:ascii="Palatino Linotype" w:eastAsia="Palatino Linotype" w:hAnsi="Palatino Linotype" w:cs="Palatino Linotype"/>
        </w:rPr>
        <w:t xml:space="preserve"> de la presente resolución.</w:t>
      </w:r>
    </w:p>
    <w:p w:rsidR="00F93EF8" w:rsidRDefault="00F93EF8">
      <w:pPr>
        <w:shd w:val="clear" w:color="auto" w:fill="FFFFFF"/>
        <w:spacing w:line="360" w:lineRule="auto"/>
        <w:ind w:right="-989"/>
        <w:jc w:val="both"/>
        <w:rPr>
          <w:rFonts w:ascii="Palatino Linotype" w:eastAsia="Palatino Linotype" w:hAnsi="Palatino Linotype" w:cs="Palatino Linotype"/>
        </w:rPr>
      </w:pPr>
    </w:p>
    <w:p w:rsidR="000C6989" w:rsidRPr="003E2295" w:rsidRDefault="000C6989" w:rsidP="000C6989">
      <w:pPr>
        <w:spacing w:before="240" w:after="240" w:line="360" w:lineRule="auto"/>
        <w:ind w:right="-992" w:firstLine="1"/>
        <w:jc w:val="both"/>
        <w:rPr>
          <w:rFonts w:ascii="Palatino Linotype" w:hAnsi="Palatino Linotype"/>
        </w:rPr>
      </w:pPr>
      <w:bookmarkStart w:id="13" w:name="_heading=h.dipqbfvvq8qp" w:colFirst="0" w:colLast="0"/>
      <w:bookmarkStart w:id="14" w:name="_Hlk99014733"/>
      <w:bookmarkEnd w:id="1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4"/>
    <w:p w:rsidR="00F93EF8" w:rsidRDefault="00F93EF8" w:rsidP="000C6989">
      <w:pPr>
        <w:spacing w:before="240" w:after="240" w:line="360" w:lineRule="auto"/>
        <w:ind w:right="-992" w:firstLine="1"/>
        <w:jc w:val="both"/>
        <w:rPr>
          <w:rFonts w:ascii="Palatino Linotype" w:eastAsia="Palatino Linotype" w:hAnsi="Palatino Linotype" w:cs="Palatino Linotype"/>
        </w:rPr>
      </w:pPr>
    </w:p>
    <w:p w:rsidR="00F93EF8" w:rsidRDefault="00F93EF8">
      <w:pPr>
        <w:spacing w:before="240" w:after="240" w:line="360" w:lineRule="auto"/>
        <w:ind w:right="-989" w:firstLine="1"/>
        <w:jc w:val="both"/>
        <w:rPr>
          <w:rFonts w:ascii="Palatino Linotype" w:eastAsia="Palatino Linotype" w:hAnsi="Palatino Linotype" w:cs="Palatino Linotype"/>
        </w:rPr>
      </w:pPr>
    </w:p>
    <w:p w:rsidR="00F93EF8" w:rsidRDefault="00F93EF8">
      <w:pPr>
        <w:spacing w:before="240" w:after="240" w:line="360" w:lineRule="auto"/>
        <w:ind w:right="-989" w:firstLine="1"/>
        <w:jc w:val="both"/>
        <w:rPr>
          <w:rFonts w:ascii="Palatino Linotype" w:eastAsia="Palatino Linotype" w:hAnsi="Palatino Linotype" w:cs="Palatino Linotype"/>
        </w:rPr>
      </w:pPr>
    </w:p>
    <w:p w:rsidR="00F93EF8" w:rsidRDefault="00F93EF8">
      <w:pPr>
        <w:spacing w:before="240" w:after="240" w:line="360" w:lineRule="auto"/>
        <w:ind w:right="-989" w:firstLine="1"/>
        <w:jc w:val="both"/>
        <w:rPr>
          <w:rFonts w:ascii="Palatino Linotype" w:eastAsia="Palatino Linotype" w:hAnsi="Palatino Linotype" w:cs="Palatino Linotype"/>
        </w:rPr>
      </w:pPr>
    </w:p>
    <w:p w:rsidR="00F93EF8" w:rsidRDefault="00F93EF8">
      <w:pPr>
        <w:spacing w:line="360" w:lineRule="auto"/>
        <w:ind w:right="-989"/>
        <w:jc w:val="both"/>
        <w:rPr>
          <w:rFonts w:ascii="Palatino Linotype" w:eastAsia="Palatino Linotype" w:hAnsi="Palatino Linotype" w:cs="Palatino Linotype"/>
        </w:rPr>
      </w:pPr>
    </w:p>
    <w:p w:rsidR="00F93EF8" w:rsidRDefault="00F93EF8">
      <w:pPr>
        <w:pStyle w:val="Ttulo2"/>
        <w:spacing w:before="0" w:line="360" w:lineRule="auto"/>
        <w:ind w:right="-989"/>
      </w:pPr>
    </w:p>
    <w:sectPr w:rsidR="00F93EF8">
      <w:headerReference w:type="default" r:id="rId26"/>
      <w:footerReference w:type="default" r:id="rId27"/>
      <w:headerReference w:type="first" r:id="rId28"/>
      <w:footerReference w:type="first" r:id="rId29"/>
      <w:pgSz w:w="12240" w:h="15840"/>
      <w:pgMar w:top="1691" w:right="175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90A" w:rsidRDefault="008D290A">
      <w:r>
        <w:separator/>
      </w:r>
    </w:p>
  </w:endnote>
  <w:endnote w:type="continuationSeparator" w:id="0">
    <w:p w:rsidR="008D290A" w:rsidRDefault="008D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1" w:fontKey="{FEAA0960-F6C3-4E33-B6B8-C35CFD01C45D}"/>
    <w:embedBold r:id="rId2" w:fontKey="{3C9E937B-5321-4A77-8267-E4E3F7D087C3}"/>
    <w:embedItalic r:id="rId3" w:fontKey="{F09559A2-0B45-48FE-B4B1-B2405AEEE788}"/>
    <w:embedBoldItalic r:id="rId4" w:fontKey="{857D1F25-4663-41AD-B616-456E08BB212E}"/>
  </w:font>
  <w:font w:name="Noto Sans Symbols">
    <w:altName w:val="Times New Roman"/>
    <w:charset w:val="00"/>
    <w:family w:val="auto"/>
    <w:pitch w:val="default"/>
    <w:embedRegular r:id="rId5" w:fontKey="{1D369161-9FDE-4BE5-922C-FA4D7771734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F87E41B2-8DA1-42C8-BBFD-B34C7F45469E}"/>
    <w:embedBold r:id="rId7" w:fontKey="{694D964B-1DA7-4AA9-92B2-7CB7ED71F7FC}"/>
    <w:embedItalic r:id="rId8" w:fontKey="{C67B86A2-E06C-4E0B-89C5-08578E8F7C0D}"/>
  </w:font>
  <w:font w:name="Calibri">
    <w:panose1 w:val="020F0502020204030204"/>
    <w:charset w:val="00"/>
    <w:family w:val="swiss"/>
    <w:pitch w:val="variable"/>
    <w:sig w:usb0="E4002EFF" w:usb1="C200247B" w:usb2="00000009" w:usb3="00000000" w:csb0="000001FF" w:csb1="00000000"/>
    <w:embedRegular r:id="rId9" w:fontKey="{224F1C1F-A9DE-45AB-ABA5-3F00D0780996}"/>
    <w:embedItalic r:id="rId10" w:fontKey="{008FFFBB-3BB9-48A8-94D1-E7D7FAD2E367}"/>
  </w:font>
  <w:font w:name="Georgia">
    <w:panose1 w:val="02040502050405020303"/>
    <w:charset w:val="00"/>
    <w:family w:val="roman"/>
    <w:pitch w:val="variable"/>
    <w:sig w:usb0="00000287" w:usb1="00000000" w:usb2="00000000" w:usb3="00000000" w:csb0="0000009F" w:csb1="00000000"/>
    <w:embedItalic r:id="rId11" w:fontKey="{44A34F98-19A2-4FDB-BD87-938045D9BA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EF8" w:rsidRDefault="008D66D3">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5B1493">
      <w:rPr>
        <w:rFonts w:ascii="Palatino Linotype" w:eastAsia="Palatino Linotype" w:hAnsi="Palatino Linotype" w:cs="Palatino Linotype"/>
        <w:b/>
        <w:bCs/>
        <w:noProof/>
        <w:color w:val="000000"/>
        <w:sz w:val="22"/>
        <w:szCs w:val="22"/>
      </w:rPr>
      <w:t>8</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B1493">
      <w:rPr>
        <w:rFonts w:ascii="Palatino Linotype" w:eastAsia="Palatino Linotype" w:hAnsi="Palatino Linotype" w:cs="Palatino Linotype"/>
        <w:b/>
        <w:bCs/>
        <w:noProof/>
        <w:color w:val="000000"/>
        <w:sz w:val="22"/>
        <w:szCs w:val="22"/>
      </w:rPr>
      <w:t>72</w:t>
    </w:r>
    <w:r>
      <w:rPr>
        <w:rFonts w:ascii="Palatino Linotype" w:eastAsia="Palatino Linotype" w:hAnsi="Palatino Linotype" w:cs="Palatino Linotype"/>
        <w:b/>
        <w:bCs/>
        <w:color w:val="000000"/>
        <w:sz w:val="22"/>
        <w:szCs w:val="22"/>
      </w:rPr>
      <w:fldChar w:fldCharType="end"/>
    </w:r>
  </w:p>
  <w:p w:rsidR="00F93EF8" w:rsidRDefault="00F93EF8">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F93EF8" w:rsidRDefault="00F93E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EF8" w:rsidRDefault="008D66D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5B1493">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5B1493">
      <w:rPr>
        <w:rFonts w:ascii="Palatino Linotype" w:eastAsia="Palatino Linotype" w:hAnsi="Palatino Linotype" w:cs="Palatino Linotype"/>
        <w:noProof/>
        <w:color w:val="000000"/>
        <w:sz w:val="22"/>
        <w:szCs w:val="22"/>
      </w:rPr>
      <w:t>72</w:t>
    </w:r>
    <w:r>
      <w:rPr>
        <w:rFonts w:ascii="Palatino Linotype" w:eastAsia="Palatino Linotype" w:hAnsi="Palatino Linotype" w:cs="Palatino Linotype"/>
        <w:color w:val="000000"/>
        <w:sz w:val="22"/>
        <w:szCs w:val="22"/>
      </w:rPr>
      <w:fldChar w:fldCharType="end"/>
    </w:r>
  </w:p>
  <w:p w:rsidR="00F93EF8" w:rsidRDefault="00F93EF8">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F93EF8" w:rsidRDefault="00F93E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90A" w:rsidRDefault="008D290A">
      <w:r>
        <w:separator/>
      </w:r>
    </w:p>
  </w:footnote>
  <w:footnote w:type="continuationSeparator" w:id="0">
    <w:p w:rsidR="008D290A" w:rsidRDefault="008D290A">
      <w:r>
        <w:continuationSeparator/>
      </w:r>
    </w:p>
  </w:footnote>
  <w:footnote w:id="1">
    <w:p w:rsidR="00F93EF8" w:rsidRDefault="008D66D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8"/>
          <w:szCs w:val="18"/>
        </w:rPr>
        <w:t>Respuesta del 11/05/2026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950" w:type="dxa"/>
      <w:tblInd w:w="2403" w:type="dxa"/>
      <w:tblBorders>
        <w:top w:val="nil"/>
        <w:left w:val="nil"/>
        <w:bottom w:val="nil"/>
        <w:right w:val="nil"/>
        <w:insideH w:val="nil"/>
        <w:insideV w:val="nil"/>
      </w:tblBorders>
      <w:tblLayout w:type="fixed"/>
      <w:tblLook w:val="0400" w:firstRow="0" w:lastRow="0" w:firstColumn="0" w:lastColumn="0" w:noHBand="0" w:noVBand="1"/>
    </w:tblPr>
    <w:tblGrid>
      <w:gridCol w:w="2760"/>
      <w:gridCol w:w="5190"/>
    </w:tblGrid>
    <w:tr w:rsidR="00F93EF8">
      <w:trPr>
        <w:trHeight w:val="138"/>
      </w:trPr>
      <w:tc>
        <w:tcPr>
          <w:tcW w:w="2760" w:type="dxa"/>
          <w:vAlign w:val="center"/>
        </w:tcPr>
        <w:p w:rsidR="00F93EF8" w:rsidRDefault="008D66D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5190" w:type="dxa"/>
          <w:vAlign w:val="center"/>
        </w:tcPr>
        <w:p w:rsidR="00F93EF8" w:rsidRDefault="000C6989">
          <w:pPr>
            <w:pBdr>
              <w:top w:val="nil"/>
              <w:left w:val="nil"/>
              <w:bottom w:val="nil"/>
              <w:right w:val="nil"/>
              <w:between w:val="nil"/>
            </w:pBdr>
            <w:tabs>
              <w:tab w:val="center" w:pos="4252"/>
              <w:tab w:val="right" w:pos="8504"/>
            </w:tabs>
            <w:ind w:left="141" w:right="-300"/>
            <w:rPr>
              <w:rFonts w:ascii="Palatino Linotype" w:eastAsia="Palatino Linotype" w:hAnsi="Palatino Linotype" w:cs="Palatino Linotype"/>
              <w:color w:val="000000"/>
              <w:sz w:val="24"/>
              <w:szCs w:val="24"/>
              <w:highlight w:val="yellow"/>
            </w:rPr>
          </w:pPr>
          <w:r>
            <w:rPr>
              <w:rFonts w:ascii="Palatino Linotype" w:eastAsia="Palatino Linotype" w:hAnsi="Palatino Linotype" w:cs="Palatino Linotype"/>
              <w:color w:val="000000"/>
              <w:sz w:val="24"/>
              <w:szCs w:val="24"/>
            </w:rPr>
            <w:t xml:space="preserve">01998/INFOEM/IP/RR/2026 y </w:t>
          </w:r>
          <w:r w:rsidR="008D66D3">
            <w:rPr>
              <w:rFonts w:ascii="Palatino Linotype" w:eastAsia="Palatino Linotype" w:hAnsi="Palatino Linotype" w:cs="Palatino Linotype"/>
              <w:color w:val="000000"/>
              <w:sz w:val="24"/>
              <w:szCs w:val="24"/>
            </w:rPr>
            <w:t>acum</w:t>
          </w:r>
          <w:r w:rsidR="008D66D3">
            <w:rPr>
              <w:rFonts w:ascii="Palatino Linotype" w:eastAsia="Palatino Linotype" w:hAnsi="Palatino Linotype" w:cs="Palatino Linotype"/>
              <w:sz w:val="24"/>
              <w:szCs w:val="24"/>
            </w:rPr>
            <w:t>ulados</w:t>
          </w:r>
        </w:p>
      </w:tc>
    </w:tr>
    <w:tr w:rsidR="00F93EF8">
      <w:trPr>
        <w:trHeight w:val="321"/>
      </w:trPr>
      <w:tc>
        <w:tcPr>
          <w:tcW w:w="2760" w:type="dxa"/>
          <w:vAlign w:val="center"/>
        </w:tcPr>
        <w:p w:rsidR="00F93EF8" w:rsidRDefault="008D66D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5190" w:type="dxa"/>
          <w:vAlign w:val="center"/>
        </w:tcPr>
        <w:p w:rsidR="00F93EF8" w:rsidRDefault="008D66D3">
          <w:pPr>
            <w:ind w:left="141"/>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Ayuntamiento de Tepotzotlán</w:t>
          </w:r>
        </w:p>
      </w:tc>
    </w:tr>
    <w:tr w:rsidR="00F93EF8">
      <w:trPr>
        <w:trHeight w:val="321"/>
      </w:trPr>
      <w:tc>
        <w:tcPr>
          <w:tcW w:w="2760" w:type="dxa"/>
          <w:vAlign w:val="center"/>
        </w:tcPr>
        <w:p w:rsidR="00F93EF8" w:rsidRDefault="008D66D3">
          <w:pP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5190" w:type="dxa"/>
          <w:vAlign w:val="center"/>
        </w:tcPr>
        <w:p w:rsidR="00F93EF8" w:rsidRDefault="008D66D3">
          <w:pPr>
            <w:pBdr>
              <w:top w:val="nil"/>
              <w:left w:val="nil"/>
              <w:bottom w:val="nil"/>
              <w:right w:val="nil"/>
              <w:between w:val="nil"/>
            </w:pBdr>
            <w:tabs>
              <w:tab w:val="center" w:pos="4252"/>
              <w:tab w:val="right" w:pos="8504"/>
            </w:tabs>
            <w:ind w:left="141"/>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F93EF8" w:rsidRDefault="00BB4A9A">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page">
            <wp:align>left</wp:align>
          </wp:positionH>
          <wp:positionV relativeFrom="paragraph">
            <wp:posOffset>-1192231</wp:posOffset>
          </wp:positionV>
          <wp:extent cx="7809876" cy="10165823"/>
          <wp:effectExtent l="0" t="0" r="635" b="6985"/>
          <wp:wrapNone/>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F93EF8" w:rsidRDefault="00F93E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8403" w:type="dxa"/>
      <w:tblInd w:w="22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66"/>
      <w:gridCol w:w="236"/>
      <w:gridCol w:w="5301"/>
    </w:tblGrid>
    <w:tr w:rsidR="00F93EF8" w:rsidTr="00BB4A9A">
      <w:trPr>
        <w:trHeight w:val="138"/>
      </w:trPr>
      <w:tc>
        <w:tcPr>
          <w:tcW w:w="2866" w:type="dxa"/>
          <w:vAlign w:val="center"/>
        </w:tcPr>
        <w:p w:rsidR="00F93EF8" w:rsidRDefault="008D66D3" w:rsidP="00BB4A9A">
          <w:pPr>
            <w:ind w:left="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236" w:type="dxa"/>
          <w:vAlign w:val="center"/>
        </w:tcPr>
        <w:p w:rsidR="00F93EF8" w:rsidRDefault="00F93EF8">
          <w:pPr>
            <w:pBdr>
              <w:top w:val="nil"/>
              <w:left w:val="nil"/>
              <w:bottom w:val="nil"/>
              <w:right w:val="nil"/>
              <w:between w:val="nil"/>
            </w:pBdr>
            <w:tabs>
              <w:tab w:val="center" w:pos="4252"/>
              <w:tab w:val="right" w:pos="8504"/>
            </w:tabs>
            <w:ind w:left="-425"/>
            <w:jc w:val="center"/>
            <w:rPr>
              <w:rFonts w:ascii="Palatino Linotype" w:eastAsia="Palatino Linotype" w:hAnsi="Palatino Linotype" w:cs="Palatino Linotype"/>
              <w:b/>
              <w:bCs/>
              <w:color w:val="000000"/>
              <w:sz w:val="24"/>
              <w:szCs w:val="24"/>
            </w:rPr>
          </w:pPr>
        </w:p>
      </w:tc>
      <w:tc>
        <w:tcPr>
          <w:tcW w:w="5301" w:type="dxa"/>
          <w:vAlign w:val="center"/>
        </w:tcPr>
        <w:p w:rsidR="00F93EF8" w:rsidRDefault="000C6989">
          <w:pPr>
            <w:pBdr>
              <w:top w:val="nil"/>
              <w:left w:val="nil"/>
              <w:bottom w:val="nil"/>
              <w:right w:val="nil"/>
              <w:between w:val="nil"/>
            </w:pBdr>
            <w:tabs>
              <w:tab w:val="center" w:pos="4252"/>
              <w:tab w:val="right" w:pos="8504"/>
            </w:tabs>
            <w:ind w:right="-85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01998/INFOEM/IP/RR/2026 y</w:t>
          </w:r>
          <w:r w:rsidR="008D66D3">
            <w:rPr>
              <w:rFonts w:ascii="Palatino Linotype" w:eastAsia="Palatino Linotype" w:hAnsi="Palatino Linotype" w:cs="Palatino Linotype"/>
              <w:color w:val="000000"/>
              <w:sz w:val="24"/>
              <w:szCs w:val="24"/>
            </w:rPr>
            <w:t xml:space="preserve"> acumulados</w:t>
          </w:r>
        </w:p>
      </w:tc>
    </w:tr>
    <w:tr w:rsidR="00F93EF8" w:rsidTr="00BB4A9A">
      <w:trPr>
        <w:trHeight w:val="227"/>
      </w:trPr>
      <w:tc>
        <w:tcPr>
          <w:tcW w:w="2866" w:type="dxa"/>
          <w:vAlign w:val="center"/>
        </w:tcPr>
        <w:p w:rsidR="00F93EF8" w:rsidRDefault="008D66D3" w:rsidP="00BB4A9A">
          <w:pPr>
            <w:ind w:left="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236" w:type="dxa"/>
          <w:vAlign w:val="center"/>
        </w:tcPr>
        <w:p w:rsidR="00F93EF8" w:rsidRDefault="00F93EF8">
          <w:pPr>
            <w:pBdr>
              <w:top w:val="nil"/>
              <w:left w:val="nil"/>
              <w:bottom w:val="nil"/>
              <w:right w:val="nil"/>
              <w:between w:val="nil"/>
            </w:pBdr>
            <w:tabs>
              <w:tab w:val="center" w:pos="4252"/>
              <w:tab w:val="right" w:pos="8504"/>
            </w:tabs>
            <w:ind w:left="-425"/>
            <w:jc w:val="center"/>
            <w:rPr>
              <w:rFonts w:ascii="Palatino Linotype" w:eastAsia="Palatino Linotype" w:hAnsi="Palatino Linotype" w:cs="Palatino Linotype"/>
              <w:b/>
              <w:bCs/>
              <w:color w:val="000000"/>
              <w:sz w:val="24"/>
              <w:szCs w:val="24"/>
            </w:rPr>
          </w:pPr>
        </w:p>
      </w:tc>
      <w:tc>
        <w:tcPr>
          <w:tcW w:w="5301" w:type="dxa"/>
          <w:vAlign w:val="center"/>
        </w:tcPr>
        <w:p w:rsidR="00F93EF8" w:rsidRDefault="005B1493">
          <w:pPr>
            <w:pBdr>
              <w:top w:val="nil"/>
              <w:left w:val="nil"/>
              <w:bottom w:val="nil"/>
              <w:right w:val="nil"/>
              <w:between w:val="nil"/>
            </w:pBdr>
            <w:tabs>
              <w:tab w:val="center" w:pos="4252"/>
              <w:tab w:val="right" w:pos="8504"/>
            </w:tabs>
            <w:ind w:right="-85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XXXX</w:t>
          </w:r>
        </w:p>
      </w:tc>
    </w:tr>
    <w:tr w:rsidR="00F93EF8" w:rsidTr="00BB4A9A">
      <w:trPr>
        <w:trHeight w:val="232"/>
      </w:trPr>
      <w:tc>
        <w:tcPr>
          <w:tcW w:w="2866" w:type="dxa"/>
          <w:vAlign w:val="center"/>
        </w:tcPr>
        <w:p w:rsidR="00F93EF8" w:rsidRDefault="008D66D3" w:rsidP="00BB4A9A">
          <w:pPr>
            <w:ind w:left="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236" w:type="dxa"/>
          <w:vAlign w:val="center"/>
        </w:tcPr>
        <w:p w:rsidR="00F93EF8" w:rsidRDefault="00F93EF8">
          <w:pPr>
            <w:pBdr>
              <w:top w:val="nil"/>
              <w:left w:val="nil"/>
              <w:bottom w:val="nil"/>
              <w:right w:val="nil"/>
              <w:between w:val="nil"/>
            </w:pBdr>
            <w:tabs>
              <w:tab w:val="center" w:pos="4252"/>
              <w:tab w:val="right" w:pos="8504"/>
            </w:tabs>
            <w:ind w:left="-425"/>
            <w:jc w:val="center"/>
            <w:rPr>
              <w:rFonts w:ascii="Palatino Linotype" w:eastAsia="Palatino Linotype" w:hAnsi="Palatino Linotype" w:cs="Palatino Linotype"/>
              <w:b/>
              <w:bCs/>
              <w:color w:val="000000"/>
              <w:sz w:val="24"/>
              <w:szCs w:val="24"/>
            </w:rPr>
          </w:pPr>
        </w:p>
      </w:tc>
      <w:tc>
        <w:tcPr>
          <w:tcW w:w="5301" w:type="dxa"/>
          <w:vAlign w:val="center"/>
        </w:tcPr>
        <w:p w:rsidR="00F93EF8" w:rsidRDefault="008D66D3">
          <w:pPr>
            <w:ind w:right="-855"/>
            <w:rPr>
              <w:sz w:val="24"/>
              <w:szCs w:val="24"/>
            </w:rPr>
          </w:pPr>
          <w:r>
            <w:rPr>
              <w:rFonts w:ascii="Palatino Linotype" w:eastAsia="Palatino Linotype" w:hAnsi="Palatino Linotype" w:cs="Palatino Linotype"/>
              <w:sz w:val="24"/>
              <w:szCs w:val="24"/>
            </w:rPr>
            <w:t>Ayuntamiento de Tepotzotlán</w:t>
          </w:r>
        </w:p>
      </w:tc>
    </w:tr>
    <w:tr w:rsidR="00F93EF8" w:rsidTr="00BB4A9A">
      <w:trPr>
        <w:trHeight w:val="320"/>
      </w:trPr>
      <w:tc>
        <w:tcPr>
          <w:tcW w:w="2866" w:type="dxa"/>
          <w:vAlign w:val="center"/>
        </w:tcPr>
        <w:p w:rsidR="00F93EF8" w:rsidRDefault="008D66D3" w:rsidP="00BB4A9A">
          <w:pPr>
            <w:ind w:left="6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236" w:type="dxa"/>
          <w:vAlign w:val="center"/>
        </w:tcPr>
        <w:p w:rsidR="00F93EF8" w:rsidRDefault="00F93EF8">
          <w:pPr>
            <w:pBdr>
              <w:top w:val="nil"/>
              <w:left w:val="nil"/>
              <w:bottom w:val="nil"/>
              <w:right w:val="nil"/>
              <w:between w:val="nil"/>
            </w:pBdr>
            <w:tabs>
              <w:tab w:val="center" w:pos="4252"/>
              <w:tab w:val="right" w:pos="8504"/>
            </w:tabs>
            <w:ind w:left="-425"/>
            <w:jc w:val="center"/>
            <w:rPr>
              <w:rFonts w:ascii="Palatino Linotype" w:eastAsia="Palatino Linotype" w:hAnsi="Palatino Linotype" w:cs="Palatino Linotype"/>
              <w:b/>
              <w:bCs/>
              <w:color w:val="000000"/>
              <w:sz w:val="24"/>
              <w:szCs w:val="24"/>
            </w:rPr>
          </w:pPr>
        </w:p>
      </w:tc>
      <w:tc>
        <w:tcPr>
          <w:tcW w:w="5301" w:type="dxa"/>
          <w:vAlign w:val="center"/>
        </w:tcPr>
        <w:p w:rsidR="00F93EF8" w:rsidRDefault="008D66D3">
          <w:pPr>
            <w:pBdr>
              <w:top w:val="nil"/>
              <w:left w:val="nil"/>
              <w:bottom w:val="nil"/>
              <w:right w:val="nil"/>
              <w:between w:val="nil"/>
            </w:pBdr>
            <w:tabs>
              <w:tab w:val="center" w:pos="4252"/>
              <w:tab w:val="right" w:pos="8504"/>
            </w:tabs>
            <w:ind w:right="-85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F93EF8" w:rsidRDefault="00BB4A9A">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page">
            <wp:align>left</wp:align>
          </wp:positionH>
          <wp:positionV relativeFrom="paragraph">
            <wp:posOffset>-1292021</wp:posOffset>
          </wp:positionV>
          <wp:extent cx="7809876" cy="10165823"/>
          <wp:effectExtent l="0" t="0" r="635" b="6985"/>
          <wp:wrapNone/>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F93EF8" w:rsidRDefault="00F93E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B7"/>
    <w:multiLevelType w:val="multilevel"/>
    <w:tmpl w:val="CF4A0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D47CCA"/>
    <w:multiLevelType w:val="multilevel"/>
    <w:tmpl w:val="2C2601E8"/>
    <w:lvl w:ilvl="0">
      <w:start w:val="68"/>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F7A66BC"/>
    <w:multiLevelType w:val="multilevel"/>
    <w:tmpl w:val="00E6DC02"/>
    <w:lvl w:ilvl="0">
      <w:start w:val="90"/>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C27959"/>
    <w:multiLevelType w:val="multilevel"/>
    <w:tmpl w:val="609CC122"/>
    <w:lvl w:ilvl="0">
      <w:start w:val="2"/>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1B0EC8"/>
    <w:multiLevelType w:val="multilevel"/>
    <w:tmpl w:val="8AC8829A"/>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5" w15:restartNumberingAfterBreak="0">
    <w:nsid w:val="19FC1653"/>
    <w:multiLevelType w:val="multilevel"/>
    <w:tmpl w:val="3ED6E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6644EA"/>
    <w:multiLevelType w:val="multilevel"/>
    <w:tmpl w:val="142C4380"/>
    <w:lvl w:ilvl="0">
      <w:start w:val="15"/>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E419C8"/>
    <w:multiLevelType w:val="multilevel"/>
    <w:tmpl w:val="84D42432"/>
    <w:lvl w:ilvl="0">
      <w:start w:val="1"/>
      <w:numFmt w:val="lowerLetter"/>
      <w:lvlText w:val="%1)"/>
      <w:lvlJc w:val="left"/>
      <w:pPr>
        <w:ind w:left="1353" w:hanging="359"/>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F12360"/>
    <w:multiLevelType w:val="multilevel"/>
    <w:tmpl w:val="8C1C8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796817"/>
    <w:multiLevelType w:val="multilevel"/>
    <w:tmpl w:val="F24A9942"/>
    <w:lvl w:ilvl="0">
      <w:start w:val="4"/>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BF6AFE"/>
    <w:multiLevelType w:val="multilevel"/>
    <w:tmpl w:val="B50E6B8C"/>
    <w:lvl w:ilvl="0">
      <w:start w:val="14"/>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79067C"/>
    <w:multiLevelType w:val="multilevel"/>
    <w:tmpl w:val="EC8C6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B378E4"/>
    <w:multiLevelType w:val="multilevel"/>
    <w:tmpl w:val="05387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880F79"/>
    <w:multiLevelType w:val="multilevel"/>
    <w:tmpl w:val="6B90C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4359AB"/>
    <w:multiLevelType w:val="multilevel"/>
    <w:tmpl w:val="7B5007C8"/>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70D5E0E"/>
    <w:multiLevelType w:val="multilevel"/>
    <w:tmpl w:val="28082EF8"/>
    <w:lvl w:ilvl="0">
      <w:start w:val="16"/>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4F96A00"/>
    <w:multiLevelType w:val="multilevel"/>
    <w:tmpl w:val="AA562512"/>
    <w:lvl w:ilvl="0">
      <w:start w:val="13"/>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143E20"/>
    <w:multiLevelType w:val="multilevel"/>
    <w:tmpl w:val="27C87200"/>
    <w:lvl w:ilvl="0">
      <w:start w:val="26"/>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4D1A9E"/>
    <w:multiLevelType w:val="multilevel"/>
    <w:tmpl w:val="A8125B0C"/>
    <w:lvl w:ilvl="0">
      <w:start w:val="1"/>
      <w:numFmt w:val="bullet"/>
      <w:lvlText w:val="●"/>
      <w:lvlJc w:val="left"/>
      <w:pPr>
        <w:ind w:left="1713" w:hanging="360"/>
      </w:pPr>
      <w:rPr>
        <w:rFonts w:ascii="Noto Sans Symbols" w:eastAsia="Noto Sans Symbols" w:hAnsi="Noto Sans Symbols" w:cs="Noto Sans Symbols"/>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9" w15:restartNumberingAfterBreak="0">
    <w:nsid w:val="6CDC75E6"/>
    <w:multiLevelType w:val="multilevel"/>
    <w:tmpl w:val="AF58332C"/>
    <w:lvl w:ilvl="0">
      <w:start w:val="89"/>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D885B99"/>
    <w:multiLevelType w:val="multilevel"/>
    <w:tmpl w:val="9028CE66"/>
    <w:lvl w:ilvl="0">
      <w:start w:val="12"/>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C12716"/>
    <w:multiLevelType w:val="multilevel"/>
    <w:tmpl w:val="7C949F1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64B5E09"/>
    <w:multiLevelType w:val="multilevel"/>
    <w:tmpl w:val="83C8F82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CD13AC3"/>
    <w:multiLevelType w:val="multilevel"/>
    <w:tmpl w:val="0C2061D0"/>
    <w:lvl w:ilvl="0">
      <w:start w:val="17"/>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1"/>
  </w:num>
  <w:num w:numId="3">
    <w:abstractNumId w:val="8"/>
  </w:num>
  <w:num w:numId="4">
    <w:abstractNumId w:val="3"/>
  </w:num>
  <w:num w:numId="5">
    <w:abstractNumId w:val="20"/>
  </w:num>
  <w:num w:numId="6">
    <w:abstractNumId w:val="15"/>
  </w:num>
  <w:num w:numId="7">
    <w:abstractNumId w:val="7"/>
  </w:num>
  <w:num w:numId="8">
    <w:abstractNumId w:val="23"/>
  </w:num>
  <w:num w:numId="9">
    <w:abstractNumId w:val="17"/>
  </w:num>
  <w:num w:numId="10">
    <w:abstractNumId w:val="21"/>
  </w:num>
  <w:num w:numId="11">
    <w:abstractNumId w:val="4"/>
  </w:num>
  <w:num w:numId="12">
    <w:abstractNumId w:val="22"/>
  </w:num>
  <w:num w:numId="13">
    <w:abstractNumId w:val="1"/>
  </w:num>
  <w:num w:numId="14">
    <w:abstractNumId w:val="9"/>
  </w:num>
  <w:num w:numId="15">
    <w:abstractNumId w:val="2"/>
  </w:num>
  <w:num w:numId="16">
    <w:abstractNumId w:val="16"/>
  </w:num>
  <w:num w:numId="17">
    <w:abstractNumId w:val="10"/>
  </w:num>
  <w:num w:numId="18">
    <w:abstractNumId w:val="6"/>
  </w:num>
  <w:num w:numId="19">
    <w:abstractNumId w:val="19"/>
  </w:num>
  <w:num w:numId="20">
    <w:abstractNumId w:val="14"/>
  </w:num>
  <w:num w:numId="21">
    <w:abstractNumId w:val="18"/>
  </w:num>
  <w:num w:numId="22">
    <w:abstractNumId w:val="5"/>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EF8"/>
    <w:rsid w:val="000A1558"/>
    <w:rsid w:val="000C6989"/>
    <w:rsid w:val="001165E2"/>
    <w:rsid w:val="005B1493"/>
    <w:rsid w:val="00635EC1"/>
    <w:rsid w:val="008D290A"/>
    <w:rsid w:val="008D66D3"/>
    <w:rsid w:val="00BB4A9A"/>
    <w:rsid w:val="00F93E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E8232B-4A81-4A1E-A1E4-3F1D5DFB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iCs/>
      <w:color w:val="366091"/>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0C6989"/>
    <w:pPr>
      <w:tabs>
        <w:tab w:val="center" w:pos="4419"/>
        <w:tab w:val="right" w:pos="8838"/>
      </w:tabs>
    </w:pPr>
  </w:style>
  <w:style w:type="character" w:customStyle="1" w:styleId="EncabezadoCar">
    <w:name w:val="Encabezado Car"/>
    <w:basedOn w:val="Fuentedeprrafopredeter"/>
    <w:link w:val="Encabezado"/>
    <w:uiPriority w:val="99"/>
    <w:rsid w:val="000C6989"/>
  </w:style>
  <w:style w:type="paragraph" w:styleId="Piedepgina">
    <w:name w:val="footer"/>
    <w:basedOn w:val="Normal"/>
    <w:link w:val="PiedepginaCar"/>
    <w:uiPriority w:val="99"/>
    <w:unhideWhenUsed/>
    <w:rsid w:val="000C6989"/>
    <w:pPr>
      <w:tabs>
        <w:tab w:val="center" w:pos="4419"/>
        <w:tab w:val="right" w:pos="8838"/>
      </w:tabs>
    </w:pPr>
  </w:style>
  <w:style w:type="character" w:customStyle="1" w:styleId="PiedepginaCar">
    <w:name w:val="Pie de página Car"/>
    <w:basedOn w:val="Fuentedeprrafopredeter"/>
    <w:link w:val="Piedepgina"/>
    <w:uiPriority w:val="99"/>
    <w:rsid w:val="000C6989"/>
  </w:style>
  <w:style w:type="paragraph" w:styleId="Prrafodelista">
    <w:name w:val="List Paragraph"/>
    <w:basedOn w:val="Normal"/>
    <w:uiPriority w:val="34"/>
    <w:qFormat/>
    <w:rsid w:val="00BB4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9.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1BDIgaSbplPal61OA+XAci2ZPw==">CgMxLjAyDmguc3JlOWgwNXE0djBiMghoLmdqZGd4czIJaC4zMGowemxsMg5oLjljenRqbWpnNDdxZjIIaC50eWpjd3QyCWguM2R5NnZrbTIOaC45OTVyZ2g0bWZraTYyCWguMXQzaDVzZjIJaC4yNmluMXJnMghoLmxueGJ6OTIJaC4zNW5rdW4yMg5oLm5vZ3g3bDEwbnRpbTIOaC5kaXBxYmZ2dnE4cXA4AHIhMWlCNm81aER0d3lHT1AzY1RqU0xTTXk4NVFVRGFHNkJN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72</Pages>
  <Words>18172</Words>
  <Characters>99948</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2026-05-21T23:14:00Z</cp:lastPrinted>
  <dcterms:created xsi:type="dcterms:W3CDTF">2026-05-20T20:45:00Z</dcterms:created>
  <dcterms:modified xsi:type="dcterms:W3CDTF">2026-05-28T23:26:00Z</dcterms:modified>
</cp:coreProperties>
</file>