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FCB87" w14:textId="0A7087BA" w:rsidR="00E625A8" w:rsidRPr="004549D6" w:rsidRDefault="001F6039">
      <w:pPr>
        <w:shd w:val="clear" w:color="auto" w:fill="FFFFFF"/>
        <w:spacing w:after="0" w:line="360" w:lineRule="auto"/>
        <w:jc w:val="both"/>
        <w:rPr>
          <w:rFonts w:ascii="Palatino Linotype" w:eastAsia="Palatino Linotype" w:hAnsi="Palatino Linotype" w:cs="Palatino Linotype"/>
          <w:b/>
          <w:color w:val="000000"/>
          <w:sz w:val="24"/>
          <w:szCs w:val="24"/>
        </w:rPr>
      </w:pPr>
      <w:r w:rsidRPr="004549D6">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w:t>
      </w:r>
      <w:r w:rsidR="002C7A53" w:rsidRPr="004549D6">
        <w:rPr>
          <w:rFonts w:ascii="Palatino Linotype" w:eastAsia="Palatino Linotype" w:hAnsi="Palatino Linotype" w:cs="Palatino Linotype"/>
          <w:color w:val="000000"/>
          <w:sz w:val="24"/>
          <w:szCs w:val="24"/>
        </w:rPr>
        <w:t xml:space="preserve">etepec, Estado de México, </w:t>
      </w:r>
      <w:r w:rsidR="004549D6" w:rsidRPr="004549D6">
        <w:rPr>
          <w:rFonts w:ascii="Palatino Linotype" w:eastAsia="Palatino Linotype" w:hAnsi="Palatino Linotype" w:cs="Palatino Linotype"/>
          <w:b/>
          <w:color w:val="000000"/>
          <w:sz w:val="24"/>
          <w:szCs w:val="24"/>
        </w:rPr>
        <w:t>de fecha</w:t>
      </w:r>
      <w:r w:rsidR="002C7A53" w:rsidRPr="004549D6">
        <w:rPr>
          <w:rFonts w:ascii="Palatino Linotype" w:eastAsia="Palatino Linotype" w:hAnsi="Palatino Linotype" w:cs="Palatino Linotype"/>
          <w:b/>
          <w:color w:val="000000"/>
          <w:sz w:val="24"/>
          <w:szCs w:val="24"/>
        </w:rPr>
        <w:t xml:space="preserve"> cinco </w:t>
      </w:r>
      <w:r w:rsidR="004549D6" w:rsidRPr="004549D6">
        <w:rPr>
          <w:rFonts w:ascii="Palatino Linotype" w:eastAsia="Palatino Linotype" w:hAnsi="Palatino Linotype" w:cs="Palatino Linotype"/>
          <w:b/>
          <w:color w:val="000000"/>
          <w:sz w:val="24"/>
          <w:szCs w:val="24"/>
        </w:rPr>
        <w:t xml:space="preserve">(05) </w:t>
      </w:r>
      <w:r w:rsidR="002C7A53" w:rsidRPr="004549D6">
        <w:rPr>
          <w:rFonts w:ascii="Palatino Linotype" w:eastAsia="Palatino Linotype" w:hAnsi="Palatino Linotype" w:cs="Palatino Linotype"/>
          <w:b/>
          <w:color w:val="000000"/>
          <w:sz w:val="24"/>
          <w:szCs w:val="24"/>
        </w:rPr>
        <w:t>de marzo de dos mil veintiséis</w:t>
      </w:r>
      <w:r w:rsidRPr="004549D6">
        <w:rPr>
          <w:rFonts w:ascii="Palatino Linotype" w:eastAsia="Palatino Linotype" w:hAnsi="Palatino Linotype" w:cs="Palatino Linotype"/>
          <w:b/>
          <w:color w:val="000000"/>
          <w:sz w:val="24"/>
          <w:szCs w:val="24"/>
        </w:rPr>
        <w:t>.</w:t>
      </w:r>
    </w:p>
    <w:p w14:paraId="514FA8B9" w14:textId="77777777" w:rsidR="00E625A8" w:rsidRPr="004549D6" w:rsidRDefault="00E625A8">
      <w:pPr>
        <w:shd w:val="clear" w:color="auto" w:fill="FFFFFF"/>
        <w:spacing w:after="0" w:line="360" w:lineRule="auto"/>
        <w:jc w:val="both"/>
        <w:rPr>
          <w:rFonts w:ascii="Palatino Linotype" w:eastAsia="Palatino Linotype" w:hAnsi="Palatino Linotype" w:cs="Palatino Linotype"/>
          <w:color w:val="000000"/>
          <w:sz w:val="24"/>
          <w:szCs w:val="24"/>
        </w:rPr>
      </w:pPr>
    </w:p>
    <w:p w14:paraId="7808A143" w14:textId="6ECEE8FC" w:rsidR="00E625A8" w:rsidRPr="004549D6" w:rsidRDefault="001F6039">
      <w:pPr>
        <w:tabs>
          <w:tab w:val="left" w:pos="1701"/>
        </w:tabs>
        <w:spacing w:after="0" w:line="360" w:lineRule="auto"/>
        <w:jc w:val="both"/>
        <w:rPr>
          <w:rFonts w:ascii="Palatino Linotype" w:eastAsia="Palatino Linotype" w:hAnsi="Palatino Linotype" w:cs="Palatino Linotype"/>
          <w:sz w:val="24"/>
          <w:szCs w:val="24"/>
        </w:rPr>
      </w:pPr>
      <w:bookmarkStart w:id="0" w:name="_heading=h.xihbe3l7vkb7" w:colFirst="0" w:colLast="0"/>
      <w:bookmarkEnd w:id="0"/>
      <w:r w:rsidRPr="004549D6">
        <w:rPr>
          <w:rFonts w:ascii="Palatino Linotype" w:eastAsia="Palatino Linotype" w:hAnsi="Palatino Linotype" w:cs="Palatino Linotype"/>
          <w:b/>
          <w:bCs/>
          <w:sz w:val="24"/>
          <w:szCs w:val="24"/>
        </w:rPr>
        <w:t>VISTOS</w:t>
      </w:r>
      <w:r w:rsidRPr="004549D6">
        <w:rPr>
          <w:rFonts w:ascii="Palatino Linotype" w:eastAsia="Palatino Linotype" w:hAnsi="Palatino Linotype" w:cs="Palatino Linotype"/>
          <w:sz w:val="24"/>
          <w:szCs w:val="24"/>
        </w:rPr>
        <w:t xml:space="preserve"> los expedientes electrónicos formados con motivo de los recursos de revisión números </w:t>
      </w:r>
      <w:r w:rsidRPr="004549D6">
        <w:rPr>
          <w:rFonts w:ascii="Palatino Linotype" w:eastAsia="Palatino Linotype" w:hAnsi="Palatino Linotype" w:cs="Palatino Linotype"/>
          <w:b/>
          <w:bCs/>
          <w:sz w:val="24"/>
          <w:szCs w:val="24"/>
        </w:rPr>
        <w:t>11223/INFOEM/IP/RR/2025</w:t>
      </w:r>
      <w:r w:rsidRPr="004549D6">
        <w:rPr>
          <w:rFonts w:ascii="Palatino Linotype" w:eastAsia="Palatino Linotype" w:hAnsi="Palatino Linotype" w:cs="Palatino Linotype"/>
          <w:sz w:val="24"/>
          <w:szCs w:val="24"/>
        </w:rPr>
        <w:t xml:space="preserve"> y </w:t>
      </w:r>
      <w:r w:rsidRPr="004549D6">
        <w:rPr>
          <w:rFonts w:ascii="Palatino Linotype" w:eastAsia="Palatino Linotype" w:hAnsi="Palatino Linotype" w:cs="Palatino Linotype"/>
          <w:b/>
          <w:bCs/>
          <w:sz w:val="24"/>
          <w:szCs w:val="24"/>
        </w:rPr>
        <w:t>12158/INFOEM/IP/RR/2025</w:t>
      </w:r>
      <w:r w:rsidRPr="004549D6">
        <w:rPr>
          <w:rFonts w:ascii="Palatino Linotype" w:eastAsia="Palatino Linotype" w:hAnsi="Palatino Linotype" w:cs="Palatino Linotype"/>
          <w:sz w:val="24"/>
          <w:szCs w:val="24"/>
        </w:rPr>
        <w:t xml:space="preserve">,  interpuestos por </w:t>
      </w:r>
      <w:r w:rsidRPr="004549D6">
        <w:rPr>
          <w:rFonts w:ascii="Palatino Linotype" w:eastAsia="Palatino Linotype" w:hAnsi="Palatino Linotype" w:cs="Palatino Linotype"/>
          <w:b/>
          <w:bCs/>
          <w:sz w:val="24"/>
          <w:szCs w:val="24"/>
        </w:rPr>
        <w:t>una persona que no proporcionó datos de identificación</w:t>
      </w:r>
      <w:r w:rsidRPr="004549D6">
        <w:rPr>
          <w:rFonts w:ascii="Palatino Linotype" w:eastAsia="Palatino Linotype" w:hAnsi="Palatino Linotype" w:cs="Palatino Linotype"/>
          <w:sz w:val="24"/>
          <w:szCs w:val="24"/>
        </w:rPr>
        <w:t>, en lo sucesivo la parte</w:t>
      </w:r>
      <w:r w:rsidRPr="004549D6">
        <w:rPr>
          <w:rFonts w:ascii="Palatino Linotype" w:eastAsia="Palatino Linotype" w:hAnsi="Palatino Linotype" w:cs="Palatino Linotype"/>
          <w:b/>
          <w:bCs/>
          <w:sz w:val="24"/>
          <w:szCs w:val="24"/>
        </w:rPr>
        <w:t xml:space="preserve"> </w:t>
      </w:r>
      <w:r w:rsidR="004549D6" w:rsidRPr="004549D6">
        <w:rPr>
          <w:rFonts w:ascii="Palatino Linotype" w:eastAsia="Palatino Linotype" w:hAnsi="Palatino Linotype" w:cs="Palatino Linotype"/>
          <w:b/>
          <w:bCs/>
          <w:sz w:val="24"/>
          <w:szCs w:val="24"/>
        </w:rPr>
        <w:t>RECURRENTE</w:t>
      </w:r>
      <w:r w:rsidRPr="004549D6">
        <w:rPr>
          <w:rFonts w:ascii="Palatino Linotype" w:eastAsia="Palatino Linotype" w:hAnsi="Palatino Linotype" w:cs="Palatino Linotype"/>
          <w:sz w:val="24"/>
          <w:szCs w:val="24"/>
        </w:rPr>
        <w:t xml:space="preserve">, en contra de las respuestas del </w:t>
      </w:r>
      <w:r w:rsidRPr="004549D6">
        <w:rPr>
          <w:rFonts w:ascii="Palatino Linotype" w:eastAsia="Palatino Linotype" w:hAnsi="Palatino Linotype" w:cs="Palatino Linotype"/>
          <w:b/>
          <w:bCs/>
          <w:sz w:val="24"/>
          <w:szCs w:val="24"/>
        </w:rPr>
        <w:t>Sistema Municipal Para el Desarrollo Integral de la Familia de Huehuetoca</w:t>
      </w:r>
      <w:r w:rsidRPr="004549D6">
        <w:rPr>
          <w:rFonts w:ascii="Palatino Linotype" w:eastAsia="Palatino Linotype" w:hAnsi="Palatino Linotype" w:cs="Palatino Linotype"/>
          <w:sz w:val="24"/>
          <w:szCs w:val="24"/>
        </w:rPr>
        <w:t>, en lo subsecuente</w:t>
      </w:r>
      <w:r w:rsidRPr="004549D6">
        <w:rPr>
          <w:rFonts w:ascii="Palatino Linotype" w:eastAsia="Palatino Linotype" w:hAnsi="Palatino Linotype" w:cs="Palatino Linotype"/>
          <w:b/>
          <w:bCs/>
          <w:sz w:val="24"/>
          <w:szCs w:val="24"/>
        </w:rPr>
        <w:t xml:space="preserve"> </w:t>
      </w:r>
      <w:r w:rsidRPr="004549D6">
        <w:rPr>
          <w:rFonts w:ascii="Palatino Linotype" w:eastAsia="Palatino Linotype" w:hAnsi="Palatino Linotype" w:cs="Palatino Linotype"/>
          <w:sz w:val="24"/>
          <w:szCs w:val="24"/>
        </w:rPr>
        <w:t>el</w:t>
      </w:r>
      <w:r w:rsidRPr="004549D6">
        <w:rPr>
          <w:rFonts w:ascii="Palatino Linotype" w:eastAsia="Palatino Linotype" w:hAnsi="Palatino Linotype" w:cs="Palatino Linotype"/>
          <w:b/>
          <w:bCs/>
          <w:sz w:val="24"/>
          <w:szCs w:val="24"/>
        </w:rPr>
        <w:t xml:space="preserve"> </w:t>
      </w:r>
      <w:r w:rsidR="004549D6" w:rsidRPr="004549D6">
        <w:rPr>
          <w:rFonts w:ascii="Palatino Linotype" w:eastAsia="Palatino Linotype" w:hAnsi="Palatino Linotype" w:cs="Palatino Linotype"/>
          <w:b/>
          <w:bCs/>
          <w:sz w:val="24"/>
          <w:szCs w:val="24"/>
        </w:rPr>
        <w:t>SUJETO OBLIGADO</w:t>
      </w:r>
      <w:r w:rsidRPr="004549D6">
        <w:rPr>
          <w:rFonts w:ascii="Palatino Linotype" w:eastAsia="Palatino Linotype" w:hAnsi="Palatino Linotype" w:cs="Palatino Linotype"/>
          <w:sz w:val="24"/>
          <w:szCs w:val="24"/>
        </w:rPr>
        <w:t>,</w:t>
      </w:r>
      <w:r w:rsidRPr="004549D6">
        <w:rPr>
          <w:rFonts w:ascii="Palatino Linotype" w:eastAsia="Palatino Linotype" w:hAnsi="Palatino Linotype" w:cs="Palatino Linotype"/>
          <w:b/>
          <w:bCs/>
          <w:sz w:val="24"/>
          <w:szCs w:val="24"/>
        </w:rPr>
        <w:t xml:space="preserve"> </w:t>
      </w:r>
      <w:r w:rsidRPr="004549D6">
        <w:rPr>
          <w:rFonts w:ascii="Palatino Linotype" w:eastAsia="Palatino Linotype" w:hAnsi="Palatino Linotype" w:cs="Palatino Linotype"/>
          <w:sz w:val="24"/>
          <w:szCs w:val="24"/>
        </w:rPr>
        <w:t>se procede a dictar la presente resolución con base en los siguientes:</w:t>
      </w:r>
    </w:p>
    <w:p w14:paraId="7E1F824B" w14:textId="77777777" w:rsidR="00E625A8" w:rsidRPr="004549D6" w:rsidRDefault="00E625A8">
      <w:pPr>
        <w:tabs>
          <w:tab w:val="left" w:pos="1701"/>
        </w:tabs>
        <w:spacing w:after="0" w:line="360" w:lineRule="auto"/>
        <w:jc w:val="both"/>
        <w:rPr>
          <w:rFonts w:ascii="Palatino Linotype" w:eastAsia="Palatino Linotype" w:hAnsi="Palatino Linotype" w:cs="Palatino Linotype"/>
          <w:sz w:val="24"/>
          <w:szCs w:val="24"/>
        </w:rPr>
      </w:pPr>
    </w:p>
    <w:p w14:paraId="19D67A4C" w14:textId="77777777" w:rsidR="00E625A8" w:rsidRPr="004549D6" w:rsidRDefault="001F6039">
      <w:pPr>
        <w:spacing w:after="0" w:line="360" w:lineRule="auto"/>
        <w:jc w:val="center"/>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t xml:space="preserve">A N T E C E D E N T E S   </w:t>
      </w:r>
    </w:p>
    <w:p w14:paraId="541E839C" w14:textId="77777777" w:rsidR="00E625A8" w:rsidRPr="004549D6" w:rsidRDefault="00E625A8">
      <w:pPr>
        <w:spacing w:after="0" w:line="360" w:lineRule="auto"/>
        <w:jc w:val="center"/>
        <w:rPr>
          <w:rFonts w:ascii="Palatino Linotype" w:eastAsia="Palatino Linotype" w:hAnsi="Palatino Linotype" w:cs="Palatino Linotype"/>
          <w:b/>
          <w:bCs/>
          <w:sz w:val="24"/>
          <w:szCs w:val="24"/>
        </w:rPr>
      </w:pPr>
    </w:p>
    <w:p w14:paraId="31ABD4E2" w14:textId="19769310" w:rsidR="00E625A8" w:rsidRPr="004549D6" w:rsidRDefault="001F6039">
      <w:pPr>
        <w:numPr>
          <w:ilvl w:val="0"/>
          <w:numId w:val="22"/>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bookmarkStart w:id="1" w:name="_heading=h.m3858xbdn9bw" w:colFirst="0" w:colLast="0"/>
      <w:bookmarkEnd w:id="1"/>
      <w:r w:rsidRPr="004549D6">
        <w:rPr>
          <w:rFonts w:ascii="Palatino Linotype" w:eastAsia="Palatino Linotype" w:hAnsi="Palatino Linotype" w:cs="Palatino Linotype"/>
          <w:color w:val="000000"/>
          <w:sz w:val="24"/>
          <w:szCs w:val="24"/>
        </w:rPr>
        <w:t xml:space="preserve">Con fecha nueve de septiembre y uno de octubre de dos mil veinticinco, la parte </w:t>
      </w:r>
      <w:r w:rsidRPr="004549D6">
        <w:rPr>
          <w:rFonts w:ascii="Palatino Linotype" w:eastAsia="Palatino Linotype" w:hAnsi="Palatino Linotype" w:cs="Palatino Linotype"/>
          <w:b/>
          <w:bCs/>
          <w:color w:val="000000"/>
          <w:sz w:val="24"/>
          <w:szCs w:val="24"/>
        </w:rPr>
        <w:t>Recurrente</w:t>
      </w:r>
      <w:r w:rsidRPr="004549D6">
        <w:rPr>
          <w:rFonts w:ascii="Palatino Linotype" w:eastAsia="Palatino Linotype" w:hAnsi="Palatino Linotype" w:cs="Palatino Linotype"/>
          <w:color w:val="000000"/>
          <w:sz w:val="24"/>
          <w:szCs w:val="24"/>
        </w:rPr>
        <w:t xml:space="preserve">, presentó a través del Sistema de Acceso a la Información Mexiquense </w:t>
      </w:r>
      <w:r w:rsidRPr="004549D6">
        <w:rPr>
          <w:rFonts w:ascii="Palatino Linotype" w:eastAsia="Palatino Linotype" w:hAnsi="Palatino Linotype" w:cs="Palatino Linotype"/>
          <w:b/>
          <w:bCs/>
          <w:color w:val="000000"/>
          <w:sz w:val="24"/>
          <w:szCs w:val="24"/>
        </w:rPr>
        <w:t>(SAIMEX)</w:t>
      </w:r>
      <w:r w:rsidRPr="004549D6">
        <w:rPr>
          <w:rFonts w:ascii="Palatino Linotype" w:eastAsia="Palatino Linotype" w:hAnsi="Palatino Linotype" w:cs="Palatino Linotype"/>
          <w:color w:val="000000"/>
          <w:sz w:val="24"/>
          <w:szCs w:val="24"/>
        </w:rPr>
        <w:t xml:space="preserve"> ante el </w:t>
      </w:r>
      <w:r w:rsidRPr="004549D6">
        <w:rPr>
          <w:rFonts w:ascii="Palatino Linotype" w:eastAsia="Palatino Linotype" w:hAnsi="Palatino Linotype" w:cs="Palatino Linotype"/>
          <w:b/>
          <w:bCs/>
          <w:color w:val="000000"/>
          <w:sz w:val="24"/>
          <w:szCs w:val="24"/>
        </w:rPr>
        <w:t>Sujeto Obligado</w:t>
      </w:r>
      <w:r w:rsidRPr="004549D6">
        <w:rPr>
          <w:rFonts w:ascii="Palatino Linotype" w:eastAsia="Palatino Linotype" w:hAnsi="Palatino Linotype" w:cs="Palatino Linotype"/>
          <w:color w:val="000000"/>
          <w:sz w:val="24"/>
          <w:szCs w:val="24"/>
        </w:rPr>
        <w:t>, las solicitudes de acceso a la información pública, registradas al siguiente día hábil, es decir al veinticuatro de marzo de dos mil veinticinco,</w:t>
      </w:r>
      <w:r w:rsidRPr="004549D6">
        <w:rPr>
          <w:rFonts w:ascii="Palatino Linotype" w:eastAsia="Palatino Linotype" w:hAnsi="Palatino Linotype" w:cs="Palatino Linotype"/>
          <w:b/>
          <w:bCs/>
          <w:color w:val="000000"/>
          <w:sz w:val="24"/>
          <w:szCs w:val="24"/>
        </w:rPr>
        <w:t xml:space="preserve"> </w:t>
      </w:r>
      <w:r w:rsidRPr="004549D6">
        <w:rPr>
          <w:rFonts w:ascii="Palatino Linotype" w:eastAsia="Palatino Linotype" w:hAnsi="Palatino Linotype" w:cs="Palatino Linotype"/>
          <w:color w:val="000000"/>
          <w:sz w:val="24"/>
          <w:szCs w:val="24"/>
        </w:rPr>
        <w:t>bajo los números de expediente</w:t>
      </w:r>
      <w:r w:rsidRPr="004549D6">
        <w:rPr>
          <w:rFonts w:ascii="Palatino Linotype" w:eastAsia="Palatino Linotype" w:hAnsi="Palatino Linotype" w:cs="Palatino Linotype"/>
          <w:b/>
          <w:bCs/>
          <w:color w:val="000000"/>
          <w:sz w:val="24"/>
          <w:szCs w:val="24"/>
        </w:rPr>
        <w:t xml:space="preserve"> 00210/DIFHUEHUET/IP/2025</w:t>
      </w:r>
      <w:r w:rsidRPr="004549D6">
        <w:rPr>
          <w:rFonts w:ascii="Palatino Linotype" w:eastAsia="Palatino Linotype" w:hAnsi="Palatino Linotype" w:cs="Palatino Linotype"/>
          <w:color w:val="000000"/>
          <w:sz w:val="24"/>
          <w:szCs w:val="24"/>
        </w:rPr>
        <w:t xml:space="preserve"> y </w:t>
      </w:r>
      <w:r w:rsidRPr="004549D6">
        <w:rPr>
          <w:rFonts w:ascii="Palatino Linotype" w:eastAsia="Palatino Linotype" w:hAnsi="Palatino Linotype" w:cs="Palatino Linotype"/>
          <w:b/>
          <w:bCs/>
          <w:color w:val="000000"/>
          <w:sz w:val="24"/>
          <w:szCs w:val="24"/>
        </w:rPr>
        <w:t xml:space="preserve"> 00234/DIFHUEHUET/IP/2025,  </w:t>
      </w:r>
      <w:r w:rsidR="004549D6">
        <w:rPr>
          <w:rFonts w:ascii="Palatino Linotype" w:eastAsia="Palatino Linotype" w:hAnsi="Palatino Linotype" w:cs="Palatino Linotype"/>
          <w:color w:val="000000"/>
          <w:sz w:val="24"/>
          <w:szCs w:val="24"/>
        </w:rPr>
        <w:t xml:space="preserve">en las que se </w:t>
      </w:r>
      <w:r w:rsidRPr="004549D6">
        <w:rPr>
          <w:rFonts w:ascii="Palatino Linotype" w:eastAsia="Palatino Linotype" w:hAnsi="Palatino Linotype" w:cs="Palatino Linotype"/>
          <w:color w:val="000000"/>
          <w:sz w:val="24"/>
          <w:szCs w:val="24"/>
        </w:rPr>
        <w:t>solicitó la siguiente información:</w:t>
      </w:r>
    </w:p>
    <w:p w14:paraId="2812BA72" w14:textId="77777777" w:rsidR="00E625A8" w:rsidRDefault="00E625A8">
      <w:pPr>
        <w:spacing w:after="0" w:line="360" w:lineRule="auto"/>
        <w:jc w:val="both"/>
        <w:rPr>
          <w:rFonts w:ascii="Palatino Linotype" w:eastAsia="Palatino Linotype" w:hAnsi="Palatino Linotype" w:cs="Palatino Linotype"/>
          <w:sz w:val="24"/>
          <w:szCs w:val="24"/>
        </w:rPr>
      </w:pPr>
    </w:p>
    <w:p w14:paraId="67091F76" w14:textId="77777777" w:rsidR="004549D6" w:rsidRPr="004549D6" w:rsidRDefault="004549D6">
      <w:pPr>
        <w:spacing w:after="0" w:line="360" w:lineRule="auto"/>
        <w:jc w:val="both"/>
        <w:rPr>
          <w:rFonts w:ascii="Palatino Linotype" w:eastAsia="Palatino Linotype" w:hAnsi="Palatino Linotype" w:cs="Palatino Linotype"/>
          <w:sz w:val="24"/>
          <w:szCs w:val="24"/>
        </w:rPr>
      </w:pPr>
    </w:p>
    <w:p w14:paraId="718760CE" w14:textId="77777777" w:rsidR="00E625A8" w:rsidRPr="004549D6" w:rsidRDefault="00E625A8" w:rsidP="004549D6">
      <w:pPr>
        <w:pBdr>
          <w:top w:val="nil"/>
          <w:left w:val="nil"/>
          <w:bottom w:val="nil"/>
          <w:right w:val="nil"/>
          <w:between w:val="nil"/>
        </w:pBdr>
        <w:spacing w:after="0" w:line="240" w:lineRule="auto"/>
        <w:rPr>
          <w:rFonts w:ascii="Palatino Linotype" w:eastAsia="Palatino Linotype" w:hAnsi="Palatino Linotype" w:cs="Palatino Linotype"/>
          <w:color w:val="000000"/>
          <w:sz w:val="24"/>
          <w:szCs w:val="24"/>
        </w:rPr>
      </w:pPr>
    </w:p>
    <w:tbl>
      <w:tblPr>
        <w:tblStyle w:val="a"/>
        <w:tblW w:w="10188"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3813"/>
        <w:gridCol w:w="6375"/>
      </w:tblGrid>
      <w:tr w:rsidR="00E625A8" w:rsidRPr="004549D6" w14:paraId="6B4FC204" w14:textId="77777777" w:rsidTr="004549D6">
        <w:trPr>
          <w:trHeight w:val="696"/>
          <w:tblHeader/>
        </w:trPr>
        <w:tc>
          <w:tcPr>
            <w:tcW w:w="3813" w:type="dxa"/>
            <w:shd w:val="clear" w:color="auto" w:fill="D9D9D9"/>
            <w:vAlign w:val="center"/>
          </w:tcPr>
          <w:p w14:paraId="7199C448"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lastRenderedPageBreak/>
              <w:t xml:space="preserve"> FOLIO DE LA SOLICITUD</w:t>
            </w:r>
          </w:p>
        </w:tc>
        <w:tc>
          <w:tcPr>
            <w:tcW w:w="6375" w:type="dxa"/>
            <w:shd w:val="clear" w:color="auto" w:fill="D9D9D9"/>
            <w:vAlign w:val="center"/>
          </w:tcPr>
          <w:p w14:paraId="330BEB54"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INFORMACIÓN SOLICITADA</w:t>
            </w:r>
          </w:p>
        </w:tc>
      </w:tr>
      <w:tr w:rsidR="00E625A8" w:rsidRPr="004549D6" w14:paraId="29AC9C5D" w14:textId="77777777" w:rsidTr="004549D6">
        <w:trPr>
          <w:trHeight w:val="460"/>
        </w:trPr>
        <w:tc>
          <w:tcPr>
            <w:tcW w:w="3813" w:type="dxa"/>
            <w:vAlign w:val="center"/>
          </w:tcPr>
          <w:p w14:paraId="6DD2FEBF" w14:textId="77777777" w:rsidR="00E625A8" w:rsidRPr="004549D6" w:rsidRDefault="001F6039">
            <w:pPr>
              <w:jc w:val="center"/>
              <w:rPr>
                <w:rFonts w:ascii="Palatino Linotype" w:eastAsia="Palatino Linotype" w:hAnsi="Palatino Linotype" w:cs="Palatino Linotype"/>
                <w:b/>
                <w:bCs/>
              </w:rPr>
            </w:pPr>
            <w:bookmarkStart w:id="2" w:name="_heading=h.5r6tsffw6s65" w:colFirst="0" w:colLast="0"/>
            <w:bookmarkEnd w:id="2"/>
            <w:r w:rsidRPr="004549D6">
              <w:rPr>
                <w:rFonts w:ascii="Palatino Linotype" w:eastAsia="Palatino Linotype" w:hAnsi="Palatino Linotype" w:cs="Palatino Linotype"/>
                <w:b/>
                <w:bCs/>
                <w:sz w:val="24"/>
                <w:szCs w:val="24"/>
              </w:rPr>
              <w:t>00210/DIFHUEHUET/IP/2025</w:t>
            </w:r>
          </w:p>
        </w:tc>
        <w:tc>
          <w:tcPr>
            <w:tcW w:w="6375" w:type="dxa"/>
            <w:vAlign w:val="center"/>
          </w:tcPr>
          <w:p w14:paraId="5283E9C9"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b/>
                <w:bCs/>
                <w:i/>
                <w:iCs/>
                <w:sz w:val="24"/>
                <w:szCs w:val="24"/>
              </w:rPr>
              <w:t>“</w:t>
            </w:r>
            <w:r w:rsidRPr="004549D6">
              <w:rPr>
                <w:rFonts w:ascii="Palatino Linotype" w:eastAsia="Palatino Linotype" w:hAnsi="Palatino Linotype" w:cs="Palatino Linotype"/>
                <w:i/>
                <w:iCs/>
                <w:color w:val="000000"/>
                <w:sz w:val="24"/>
                <w:szCs w:val="24"/>
              </w:rPr>
              <w:t>“DEL DIF DE HUEHUETOCA, REQUIERO SABER CUANTAS PERSONAS SE ENCUENTRAN ADSCRITAS AL AREA DE ESTANCIAS INFANTILES, SERVICIO QUE PRESTAN, QUIERO QUE ME ENVIEN LOS EXPEDIENTES LABORALES DE TODAS Y CADA UNA DE ESTAS PERSONAS, ASI COMO SUS RECIBOS DE NOMINA DE LA PRIMERA Y SEGUNDA QUINCENA DE AGOSTO DEL 2025.</w:t>
            </w:r>
            <w:r w:rsidRPr="004549D6">
              <w:rPr>
                <w:rFonts w:ascii="Palatino Linotype" w:eastAsia="Palatino Linotype" w:hAnsi="Palatino Linotype" w:cs="Palatino Linotype"/>
                <w:b/>
                <w:bCs/>
                <w:i/>
                <w:iCs/>
                <w:sz w:val="24"/>
                <w:szCs w:val="24"/>
              </w:rPr>
              <w:t xml:space="preserve">” </w:t>
            </w:r>
            <w:r w:rsidRPr="004549D6">
              <w:rPr>
                <w:rFonts w:ascii="Palatino Linotype" w:eastAsia="Palatino Linotype" w:hAnsi="Palatino Linotype" w:cs="Palatino Linotype"/>
                <w:i/>
                <w:iCs/>
                <w:sz w:val="24"/>
                <w:szCs w:val="24"/>
              </w:rPr>
              <w:t xml:space="preserve">(Sic). </w:t>
            </w:r>
          </w:p>
        </w:tc>
      </w:tr>
      <w:tr w:rsidR="00E625A8" w:rsidRPr="004549D6" w14:paraId="2C3DECD8" w14:textId="77777777" w:rsidTr="004549D6">
        <w:trPr>
          <w:trHeight w:val="410"/>
        </w:trPr>
        <w:tc>
          <w:tcPr>
            <w:tcW w:w="3813" w:type="dxa"/>
            <w:vAlign w:val="center"/>
          </w:tcPr>
          <w:p w14:paraId="5DF7552E"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00234/DIFHUEHUET/IP/2025</w:t>
            </w:r>
          </w:p>
        </w:tc>
        <w:tc>
          <w:tcPr>
            <w:tcW w:w="6375" w:type="dxa"/>
          </w:tcPr>
          <w:p w14:paraId="748BA4CB"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i/>
                <w:iCs/>
                <w:color w:val="000000"/>
                <w:sz w:val="24"/>
                <w:szCs w:val="24"/>
              </w:rPr>
              <w:t>Solicito en su correcta versión publica, los expedientes laborales, así como los recibos de nómina correspondiente a la primera y segunda quincena de los meses de julio, agosto y septiembre del presente año, de todo el personal que labora en el área de Tesorerías, así como la respectiva acta del comité del transparencia en la cual se aprueba la versión publica y la clasificación de la información, se solicita en la modalidad de de entrega vía Sistema de Acceso a la Información Mexiquense.</w:t>
            </w:r>
            <w:r w:rsidRPr="004549D6">
              <w:rPr>
                <w:rFonts w:ascii="Palatino Linotype" w:eastAsia="Palatino Linotype" w:hAnsi="Palatino Linotype" w:cs="Palatino Linotype"/>
                <w:i/>
                <w:iCs/>
                <w:sz w:val="24"/>
                <w:szCs w:val="24"/>
              </w:rPr>
              <w:t>” (Sic).</w:t>
            </w:r>
          </w:p>
        </w:tc>
      </w:tr>
    </w:tbl>
    <w:p w14:paraId="46E998D7" w14:textId="77777777" w:rsidR="004549D6" w:rsidRPr="004549D6" w:rsidRDefault="004549D6" w:rsidP="004549D6">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14:paraId="0A995C61" w14:textId="77777777" w:rsidR="004549D6" w:rsidRPr="004549D6" w:rsidRDefault="004549D6" w:rsidP="004549D6">
      <w:pPr>
        <w:pBdr>
          <w:top w:val="nil"/>
          <w:left w:val="nil"/>
          <w:bottom w:val="nil"/>
          <w:right w:val="nil"/>
          <w:between w:val="nil"/>
        </w:pBdr>
        <w:spacing w:after="0" w:line="240" w:lineRule="auto"/>
        <w:ind w:left="720"/>
        <w:rPr>
          <w:rFonts w:ascii="Palatino Linotype" w:eastAsia="Palatino Linotype" w:hAnsi="Palatino Linotype" w:cs="Palatino Linotype"/>
          <w:color w:val="000000"/>
          <w:sz w:val="24"/>
          <w:szCs w:val="24"/>
        </w:rPr>
      </w:pPr>
    </w:p>
    <w:p w14:paraId="5EB3DFED" w14:textId="77777777" w:rsidR="00E625A8" w:rsidRPr="004549D6" w:rsidRDefault="001F6039" w:rsidP="004549D6">
      <w:pPr>
        <w:numPr>
          <w:ilvl w:val="0"/>
          <w:numId w:val="1"/>
        </w:numPr>
        <w:pBdr>
          <w:top w:val="nil"/>
          <w:left w:val="nil"/>
          <w:bottom w:val="nil"/>
          <w:right w:val="nil"/>
          <w:between w:val="nil"/>
        </w:pBdr>
        <w:spacing w:after="0" w:line="240" w:lineRule="auto"/>
        <w:ind w:left="426"/>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b/>
          <w:bCs/>
          <w:color w:val="000000"/>
          <w:sz w:val="24"/>
          <w:szCs w:val="24"/>
        </w:rPr>
        <w:t>MODALIDAD DE ENTREGA:</w:t>
      </w:r>
      <w:r w:rsidRPr="004549D6">
        <w:rPr>
          <w:rFonts w:ascii="Palatino Linotype" w:eastAsia="Palatino Linotype" w:hAnsi="Palatino Linotype" w:cs="Palatino Linotype"/>
          <w:color w:val="000000"/>
          <w:sz w:val="24"/>
          <w:szCs w:val="24"/>
        </w:rPr>
        <w:t xml:space="preserve"> A través del </w:t>
      </w:r>
      <w:r w:rsidRPr="004549D6">
        <w:rPr>
          <w:rFonts w:ascii="Palatino Linotype" w:eastAsia="Palatino Linotype" w:hAnsi="Palatino Linotype" w:cs="Palatino Linotype"/>
          <w:b/>
          <w:bCs/>
          <w:color w:val="000000"/>
          <w:sz w:val="24"/>
          <w:szCs w:val="24"/>
        </w:rPr>
        <w:t>SAIMEX</w:t>
      </w:r>
      <w:r w:rsidRPr="004549D6">
        <w:rPr>
          <w:rFonts w:ascii="Palatino Linotype" w:eastAsia="Palatino Linotype" w:hAnsi="Palatino Linotype" w:cs="Palatino Linotype"/>
          <w:color w:val="000000"/>
          <w:sz w:val="24"/>
          <w:szCs w:val="24"/>
        </w:rPr>
        <w:t>, en ambos casos.</w:t>
      </w:r>
    </w:p>
    <w:p w14:paraId="35A26F8C" w14:textId="77777777" w:rsidR="00E625A8" w:rsidRDefault="00E625A8">
      <w:pPr>
        <w:spacing w:after="0" w:line="360" w:lineRule="auto"/>
        <w:jc w:val="both"/>
        <w:rPr>
          <w:rFonts w:ascii="Palatino Linotype" w:eastAsia="Palatino Linotype" w:hAnsi="Palatino Linotype" w:cs="Palatino Linotype"/>
          <w:b/>
          <w:bCs/>
          <w:sz w:val="24"/>
          <w:szCs w:val="24"/>
        </w:rPr>
      </w:pPr>
    </w:p>
    <w:p w14:paraId="7D9A54A5" w14:textId="77777777" w:rsidR="004549D6" w:rsidRPr="004549D6" w:rsidRDefault="004549D6">
      <w:pPr>
        <w:spacing w:after="0" w:line="360" w:lineRule="auto"/>
        <w:jc w:val="both"/>
        <w:rPr>
          <w:rFonts w:ascii="Palatino Linotype" w:eastAsia="Palatino Linotype" w:hAnsi="Palatino Linotype" w:cs="Palatino Linotype"/>
          <w:b/>
          <w:bCs/>
          <w:sz w:val="24"/>
          <w:szCs w:val="24"/>
        </w:rPr>
      </w:pPr>
    </w:p>
    <w:p w14:paraId="339E2FA4" w14:textId="77777777" w:rsidR="00E625A8" w:rsidRDefault="001F6039">
      <w:pPr>
        <w:numPr>
          <w:ilvl w:val="0"/>
          <w:numId w:val="22"/>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color w:val="000000"/>
          <w:sz w:val="24"/>
          <w:szCs w:val="24"/>
        </w:rPr>
        <w:t xml:space="preserve">De lo anterior en </w:t>
      </w:r>
      <w:r w:rsidRPr="004549D6">
        <w:rPr>
          <w:rFonts w:ascii="Palatino Linotype" w:eastAsia="Palatino Linotype" w:hAnsi="Palatino Linotype" w:cs="Palatino Linotype"/>
          <w:b/>
          <w:bCs/>
          <w:color w:val="000000"/>
          <w:sz w:val="24"/>
          <w:szCs w:val="24"/>
        </w:rPr>
        <w:t>fechas uno y veintidós de octubre de dos mil veinticinco</w:t>
      </w:r>
      <w:r w:rsidRPr="004549D6">
        <w:rPr>
          <w:rFonts w:ascii="Palatino Linotype" w:eastAsia="Palatino Linotype" w:hAnsi="Palatino Linotype" w:cs="Palatino Linotype"/>
          <w:color w:val="000000"/>
          <w:sz w:val="24"/>
          <w:szCs w:val="24"/>
        </w:rPr>
        <w:t xml:space="preserve">, el SUJETO OBLIGADO dio respuesta a las solicitudes de información con los siguientes documentos, cuyo contenido  </w:t>
      </w:r>
      <w:r w:rsidRPr="004549D6">
        <w:rPr>
          <w:rFonts w:ascii="Palatino Linotype" w:eastAsia="Palatino Linotype" w:hAnsi="Palatino Linotype" w:cs="Palatino Linotype"/>
          <w:i/>
          <w:iCs/>
          <w:color w:val="000000"/>
          <w:sz w:val="24"/>
          <w:szCs w:val="24"/>
        </w:rPr>
        <w:t>latu sensu</w:t>
      </w:r>
      <w:r w:rsidRPr="004549D6">
        <w:rPr>
          <w:rFonts w:ascii="Palatino Linotype" w:eastAsia="Palatino Linotype" w:hAnsi="Palatino Linotype" w:cs="Palatino Linotype"/>
          <w:color w:val="000000"/>
          <w:sz w:val="24"/>
          <w:szCs w:val="24"/>
        </w:rPr>
        <w:t xml:space="preserve"> es el siguiente:</w:t>
      </w:r>
      <w:r w:rsidRPr="004549D6">
        <w:rPr>
          <w:rFonts w:ascii="Palatino Linotype" w:eastAsia="Palatino Linotype" w:hAnsi="Palatino Linotype" w:cs="Palatino Linotype"/>
          <w:b/>
          <w:bCs/>
          <w:color w:val="000000"/>
          <w:sz w:val="24"/>
          <w:szCs w:val="24"/>
        </w:rPr>
        <w:t xml:space="preserve"> </w:t>
      </w:r>
    </w:p>
    <w:p w14:paraId="24AE263E" w14:textId="77777777" w:rsidR="004549D6" w:rsidRDefault="004549D6" w:rsidP="004549D6">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14:paraId="6DCF463A" w14:textId="77777777" w:rsidR="00BE10D6" w:rsidRPr="004549D6" w:rsidRDefault="00BE10D6" w:rsidP="004549D6">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14:paraId="569681FD" w14:textId="77777777" w:rsidR="00E625A8" w:rsidRPr="004549D6" w:rsidRDefault="001F6039">
      <w:pPr>
        <w:spacing w:line="360" w:lineRule="auto"/>
        <w:ind w:left="360"/>
        <w:jc w:val="both"/>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lastRenderedPageBreak/>
        <w:t>SOLICITUD 00210/DIFHUEHUET/IP/2025:</w:t>
      </w:r>
    </w:p>
    <w:p w14:paraId="6705B7D3" w14:textId="77777777" w:rsidR="00E625A8" w:rsidRPr="004549D6" w:rsidRDefault="001F6039">
      <w:pPr>
        <w:pBdr>
          <w:top w:val="nil"/>
          <w:left w:val="nil"/>
          <w:bottom w:val="nil"/>
          <w:right w:val="nil"/>
          <w:between w:val="nil"/>
        </w:pBdr>
        <w:spacing w:after="0" w:line="276" w:lineRule="auto"/>
        <w:ind w:left="1134"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color w:val="000000"/>
          <w:sz w:val="24"/>
          <w:szCs w:val="24"/>
        </w:rPr>
        <w:t xml:space="preserve">CamScanner 01-10-2025 11.24_1.pdf: </w:t>
      </w:r>
      <w:r w:rsidRPr="004549D6">
        <w:rPr>
          <w:rFonts w:ascii="Palatino Linotype" w:eastAsia="Palatino Linotype" w:hAnsi="Palatino Linotype" w:cs="Palatino Linotype"/>
          <w:i/>
          <w:iCs/>
          <w:color w:val="000000"/>
          <w:sz w:val="24"/>
          <w:szCs w:val="24"/>
        </w:rPr>
        <w:t>Donde encargado de despacho de la Tesorería refiere el cambio de modalidad a consulta directa en las oficinas centrales del DIF Municipal uva vez cubierto su costo.</w:t>
      </w:r>
    </w:p>
    <w:p w14:paraId="616A0F96" w14:textId="77777777" w:rsidR="00E625A8" w:rsidRPr="004549D6" w:rsidRDefault="001F6039">
      <w:pPr>
        <w:pBdr>
          <w:top w:val="nil"/>
          <w:left w:val="nil"/>
          <w:bottom w:val="nil"/>
          <w:right w:val="nil"/>
          <w:between w:val="nil"/>
        </w:pBdr>
        <w:spacing w:after="0" w:line="240" w:lineRule="auto"/>
        <w:ind w:left="1134"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w:t>
      </w:r>
    </w:p>
    <w:p w14:paraId="3CE4E9F3" w14:textId="77777777" w:rsidR="00E625A8" w:rsidRPr="004549D6" w:rsidRDefault="001F6039">
      <w:pPr>
        <w:pBdr>
          <w:top w:val="nil"/>
          <w:left w:val="nil"/>
          <w:bottom w:val="nil"/>
          <w:right w:val="nil"/>
          <w:between w:val="nil"/>
        </w:pBdr>
        <w:spacing w:after="0" w:line="276" w:lineRule="auto"/>
        <w:ind w:left="1134"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color w:val="000000"/>
          <w:sz w:val="24"/>
          <w:szCs w:val="24"/>
        </w:rPr>
        <w:t xml:space="preserve">CamScanner 01-10-2025 11.24_2.pdf: </w:t>
      </w:r>
      <w:r w:rsidRPr="004549D6">
        <w:rPr>
          <w:rFonts w:ascii="Palatino Linotype" w:eastAsia="Palatino Linotype" w:hAnsi="Palatino Linotype" w:cs="Palatino Linotype"/>
          <w:i/>
          <w:iCs/>
          <w:color w:val="000000"/>
          <w:sz w:val="24"/>
          <w:szCs w:val="24"/>
        </w:rPr>
        <w:t>Donde Jefatura de Recursos Humanos señala que en las Estancias Infantiles se encuentran 16 servidores públicos adscritos ( una coordinadora, tres directoras, ocho maestras y cuatro cocineras), así mismo señala que adjunta documentales solicitadas.</w:t>
      </w:r>
    </w:p>
    <w:p w14:paraId="34EFDDCE" w14:textId="77777777" w:rsidR="00E625A8" w:rsidRPr="004549D6" w:rsidRDefault="00E625A8">
      <w:pPr>
        <w:pBdr>
          <w:top w:val="nil"/>
          <w:left w:val="nil"/>
          <w:bottom w:val="nil"/>
          <w:right w:val="nil"/>
          <w:between w:val="nil"/>
        </w:pBdr>
        <w:spacing w:after="0" w:line="360" w:lineRule="auto"/>
        <w:ind w:left="1134" w:right="1134"/>
        <w:jc w:val="center"/>
        <w:rPr>
          <w:rFonts w:ascii="Palatino Linotype" w:eastAsia="Palatino Linotype" w:hAnsi="Palatino Linotype" w:cs="Palatino Linotype"/>
          <w:i/>
          <w:iCs/>
          <w:color w:val="000000"/>
          <w:sz w:val="24"/>
          <w:szCs w:val="24"/>
        </w:rPr>
      </w:pPr>
    </w:p>
    <w:p w14:paraId="711CE919" w14:textId="77777777" w:rsidR="00E625A8" w:rsidRPr="004549D6" w:rsidRDefault="001F6039">
      <w:pPr>
        <w:pBdr>
          <w:top w:val="nil"/>
          <w:left w:val="nil"/>
          <w:bottom w:val="nil"/>
          <w:right w:val="nil"/>
          <w:between w:val="nil"/>
        </w:pBdr>
        <w:spacing w:after="0" w:line="276" w:lineRule="auto"/>
        <w:ind w:left="1134" w:right="1134"/>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 xml:space="preserve">SOLICITUD 00234/DIFHUEHUET/IP/2025: </w:t>
      </w:r>
    </w:p>
    <w:p w14:paraId="7D2745EF" w14:textId="77777777" w:rsidR="00E625A8" w:rsidRPr="004549D6" w:rsidRDefault="001F6039">
      <w:pPr>
        <w:pBdr>
          <w:top w:val="nil"/>
          <w:left w:val="nil"/>
          <w:bottom w:val="nil"/>
          <w:right w:val="nil"/>
          <w:between w:val="nil"/>
        </w:pBdr>
        <w:spacing w:after="0" w:line="276" w:lineRule="auto"/>
        <w:ind w:left="1134"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 xml:space="preserve">Mediante archivo de nombre </w:t>
      </w:r>
      <w:r w:rsidRPr="004549D6">
        <w:rPr>
          <w:rFonts w:ascii="Palatino Linotype" w:eastAsia="Palatino Linotype" w:hAnsi="Palatino Linotype" w:cs="Palatino Linotype"/>
          <w:b/>
          <w:bCs/>
          <w:i/>
          <w:iCs/>
          <w:color w:val="000000"/>
          <w:sz w:val="24"/>
          <w:szCs w:val="24"/>
        </w:rPr>
        <w:t xml:space="preserve">ilovepdf_merged (10).pdf, </w:t>
      </w:r>
      <w:r w:rsidRPr="004549D6">
        <w:rPr>
          <w:rFonts w:ascii="Palatino Linotype" w:eastAsia="Palatino Linotype" w:hAnsi="Palatino Linotype" w:cs="Palatino Linotype"/>
          <w:i/>
          <w:iCs/>
          <w:color w:val="000000"/>
          <w:sz w:val="24"/>
          <w:szCs w:val="24"/>
        </w:rPr>
        <w:t>jefatura de Recursos Humanos entrega mediante oficio diversas documentales de tres servidores públicos en una deficiente versión pública (deja a la vista datos personales de servidores públicos), presenta así mismo acta de la Cuadragésima Novena sesión extraordinaria del Comité de Transparencia donde aprueba la clasificación como confidencial de RFC, CURP, Numero de ISSEMYM, IMSS, Institución Bancaria e Cuenta Bancaria, finalmente el encargado de Despacho de la Tesorería informa el cambio de modalidad a consulta directa en las oficinas centrales del DIF uva vez cubierto su costo.</w:t>
      </w:r>
    </w:p>
    <w:p w14:paraId="66B2EAB7" w14:textId="77777777" w:rsidR="00E625A8" w:rsidRDefault="00E625A8">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14:paraId="43C60041" w14:textId="77777777" w:rsidR="00BE10D6" w:rsidRPr="004549D6" w:rsidRDefault="00BE10D6">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rPr>
      </w:pPr>
    </w:p>
    <w:p w14:paraId="78E36949" w14:textId="77777777" w:rsidR="00E625A8" w:rsidRPr="004549D6" w:rsidRDefault="001F6039">
      <w:pPr>
        <w:numPr>
          <w:ilvl w:val="0"/>
          <w:numId w:val="22"/>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En fechas uno y veintitrés de octubre de dos mil veinticinco, inconforme con las respuestas notificadas por el </w:t>
      </w:r>
      <w:r w:rsidRPr="004549D6">
        <w:rPr>
          <w:rFonts w:ascii="Palatino Linotype" w:eastAsia="Palatino Linotype" w:hAnsi="Palatino Linotype" w:cs="Palatino Linotype"/>
          <w:b/>
          <w:bCs/>
          <w:color w:val="000000"/>
          <w:sz w:val="24"/>
          <w:szCs w:val="24"/>
        </w:rPr>
        <w:t>Sujeto Obligado</w:t>
      </w:r>
      <w:r w:rsidRPr="004549D6">
        <w:rPr>
          <w:rFonts w:ascii="Palatino Linotype" w:eastAsia="Palatino Linotype" w:hAnsi="Palatino Linotype" w:cs="Palatino Linotype"/>
          <w:color w:val="000000"/>
          <w:sz w:val="24"/>
          <w:szCs w:val="24"/>
        </w:rPr>
        <w:t xml:space="preserve">, el solicitante </w:t>
      </w:r>
      <w:r w:rsidRPr="004549D6">
        <w:rPr>
          <w:rFonts w:ascii="Palatino Linotype" w:eastAsia="Palatino Linotype" w:hAnsi="Palatino Linotype" w:cs="Palatino Linotype"/>
          <w:b/>
          <w:bCs/>
          <w:color w:val="000000"/>
          <w:sz w:val="24"/>
          <w:szCs w:val="24"/>
        </w:rPr>
        <w:t xml:space="preserve"> </w:t>
      </w:r>
      <w:r w:rsidRPr="004549D6">
        <w:rPr>
          <w:rFonts w:ascii="Palatino Linotype" w:eastAsia="Palatino Linotype" w:hAnsi="Palatino Linotype" w:cs="Palatino Linotype"/>
          <w:color w:val="000000"/>
          <w:sz w:val="24"/>
          <w:szCs w:val="24"/>
        </w:rPr>
        <w:t xml:space="preserve">interpuso los recursos de revisión, en las solicitudes de información </w:t>
      </w:r>
      <w:r w:rsidRPr="004549D6">
        <w:rPr>
          <w:rFonts w:ascii="Palatino Linotype" w:eastAsia="Palatino Linotype" w:hAnsi="Palatino Linotype" w:cs="Palatino Linotype"/>
          <w:b/>
          <w:bCs/>
          <w:color w:val="000000"/>
          <w:sz w:val="24"/>
          <w:szCs w:val="24"/>
        </w:rPr>
        <w:t>00210/DIFHUEHUET/IP/2025</w:t>
      </w:r>
      <w:r w:rsidRPr="004549D6">
        <w:rPr>
          <w:rFonts w:ascii="Palatino Linotype" w:eastAsia="Palatino Linotype" w:hAnsi="Palatino Linotype" w:cs="Palatino Linotype"/>
          <w:color w:val="000000"/>
          <w:sz w:val="24"/>
          <w:szCs w:val="24"/>
        </w:rPr>
        <w:t xml:space="preserve"> y </w:t>
      </w:r>
      <w:r w:rsidRPr="004549D6">
        <w:rPr>
          <w:rFonts w:ascii="Palatino Linotype" w:eastAsia="Palatino Linotype" w:hAnsi="Palatino Linotype" w:cs="Palatino Linotype"/>
          <w:b/>
          <w:bCs/>
          <w:color w:val="000000"/>
          <w:sz w:val="24"/>
          <w:szCs w:val="24"/>
        </w:rPr>
        <w:t xml:space="preserve">00234/DIFHUEHUET/IP/2025, </w:t>
      </w:r>
      <w:r w:rsidRPr="004549D6">
        <w:rPr>
          <w:rFonts w:ascii="Palatino Linotype" w:eastAsia="Palatino Linotype" w:hAnsi="Palatino Linotype" w:cs="Palatino Linotype"/>
          <w:color w:val="000000"/>
          <w:sz w:val="24"/>
          <w:szCs w:val="24"/>
        </w:rPr>
        <w:t>señalando las siguientes razones o motivos de inconformidad en ambos recursos de revisión:</w:t>
      </w:r>
    </w:p>
    <w:p w14:paraId="474B0A8F"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24E0DF4D" w14:textId="77777777" w:rsidR="00E625A8" w:rsidRPr="004549D6" w:rsidRDefault="001F6039">
      <w:pPr>
        <w:spacing w:line="360" w:lineRule="auto"/>
        <w:jc w:val="both"/>
        <w:rPr>
          <w:rFonts w:ascii="Palatino Linotype" w:eastAsia="Palatino Linotype" w:hAnsi="Palatino Linotype" w:cs="Palatino Linotype"/>
          <w:i/>
          <w:iCs/>
          <w:sz w:val="24"/>
          <w:szCs w:val="24"/>
          <w:lang w:val="en-US"/>
        </w:rPr>
      </w:pPr>
      <w:r w:rsidRPr="004549D6">
        <w:rPr>
          <w:rFonts w:ascii="Palatino Linotype" w:eastAsia="Palatino Linotype" w:hAnsi="Palatino Linotype" w:cs="Palatino Linotype"/>
          <w:b/>
          <w:bCs/>
          <w:sz w:val="24"/>
          <w:szCs w:val="24"/>
          <w:lang w:val="en-US"/>
        </w:rPr>
        <w:lastRenderedPageBreak/>
        <w:t xml:space="preserve">11223/INFOEM/IP/RR/2025 </w:t>
      </w:r>
      <w:r w:rsidRPr="004549D6">
        <w:rPr>
          <w:rFonts w:ascii="Palatino Linotype" w:eastAsia="Palatino Linotype" w:hAnsi="Palatino Linotype" w:cs="Palatino Linotype"/>
          <w:i/>
          <w:iCs/>
          <w:sz w:val="24"/>
          <w:szCs w:val="24"/>
          <w:lang w:val="en-US"/>
        </w:rPr>
        <w:t>(00210/DIFHUEHUET/IP/2025):</w:t>
      </w:r>
    </w:p>
    <w:p w14:paraId="61E34E29" w14:textId="77777777" w:rsidR="00E625A8" w:rsidRPr="004549D6" w:rsidRDefault="001F6039">
      <w:pPr>
        <w:numPr>
          <w:ilvl w:val="0"/>
          <w:numId w:val="7"/>
        </w:numPr>
        <w:pBdr>
          <w:top w:val="nil"/>
          <w:left w:val="nil"/>
          <w:bottom w:val="nil"/>
          <w:right w:val="nil"/>
          <w:between w:val="nil"/>
        </w:pBdr>
        <w:spacing w:after="0" w:line="240" w:lineRule="auto"/>
        <w:ind w:left="709"/>
        <w:jc w:val="both"/>
        <w:rPr>
          <w:rFonts w:ascii="Palatino Linotype" w:eastAsia="Palatino Linotype" w:hAnsi="Palatino Linotype" w:cs="Palatino Linotype"/>
          <w:i/>
          <w:iCs/>
          <w:color w:val="000000"/>
          <w:sz w:val="24"/>
          <w:szCs w:val="24"/>
        </w:rPr>
      </w:pPr>
      <w:bookmarkStart w:id="3" w:name="_heading=h.9r4myjpajmqm" w:colFirst="0" w:colLast="0"/>
      <w:bookmarkEnd w:id="3"/>
      <w:r w:rsidRPr="004549D6">
        <w:rPr>
          <w:rFonts w:ascii="Palatino Linotype" w:eastAsia="Palatino Linotype" w:hAnsi="Palatino Linotype" w:cs="Palatino Linotype"/>
          <w:b/>
          <w:bCs/>
          <w:color w:val="000000"/>
          <w:sz w:val="24"/>
          <w:szCs w:val="24"/>
        </w:rPr>
        <w:t xml:space="preserve">ACTO IMPUGNADO: </w:t>
      </w:r>
    </w:p>
    <w:p w14:paraId="683A55C8" w14:textId="77777777" w:rsidR="00E625A8" w:rsidRPr="004549D6" w:rsidRDefault="001F6039">
      <w:pPr>
        <w:ind w:left="709"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w:t>
      </w:r>
      <w:r w:rsidRPr="004549D6">
        <w:rPr>
          <w:rFonts w:ascii="Palatino Linotype" w:eastAsia="Palatino Linotype" w:hAnsi="Palatino Linotype" w:cs="Palatino Linotype"/>
          <w:i/>
          <w:iCs/>
          <w:sz w:val="24"/>
          <w:szCs w:val="24"/>
        </w:rPr>
        <w:t>No dieron contestación a la petición en la solicitud de información.</w:t>
      </w:r>
      <w:r w:rsidRPr="004549D6">
        <w:rPr>
          <w:rFonts w:ascii="Palatino Linotype" w:eastAsia="Palatino Linotype" w:hAnsi="Palatino Linotype" w:cs="Palatino Linotype"/>
          <w:i/>
          <w:iCs/>
          <w:color w:val="000000"/>
          <w:sz w:val="24"/>
          <w:szCs w:val="24"/>
        </w:rPr>
        <w:t>”(Sic).</w:t>
      </w:r>
    </w:p>
    <w:p w14:paraId="20F9C029" w14:textId="77777777" w:rsidR="00E625A8" w:rsidRPr="004549D6" w:rsidRDefault="001F6039">
      <w:pPr>
        <w:numPr>
          <w:ilvl w:val="0"/>
          <w:numId w:val="23"/>
        </w:numPr>
        <w:pBdr>
          <w:top w:val="nil"/>
          <w:left w:val="nil"/>
          <w:bottom w:val="nil"/>
          <w:right w:val="nil"/>
          <w:between w:val="nil"/>
        </w:pBdr>
        <w:spacing w:after="0" w:line="240" w:lineRule="auto"/>
        <w:ind w:left="709" w:hanging="28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color w:val="000000"/>
          <w:sz w:val="24"/>
          <w:szCs w:val="24"/>
        </w:rPr>
        <w:t xml:space="preserve">RAZONES O MOTIVOS DE INCONFORMIDAD: </w:t>
      </w:r>
    </w:p>
    <w:p w14:paraId="284DAAF4" w14:textId="77777777" w:rsidR="00E625A8" w:rsidRPr="004549D6" w:rsidRDefault="001F6039">
      <w:pPr>
        <w:spacing w:after="0" w:line="276" w:lineRule="auto"/>
        <w:ind w:left="709"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“No dieron contestación a la petición en la solicitud de información, ya que la respuesta que emiten es que adjuntan lo solicitado, pero no adjuntaron nada, ademas quieren cambiar el modo de entrega de la informacion, y yo la pedi via saimex y por esa via me deben de contestar. POR LO TANTO SOLICITO TODO LO PETICIONADO EN LA SOLICITUD DE INFORMACION Y POR LA VIA SOLICITADA.”(Sic).</w:t>
      </w:r>
    </w:p>
    <w:p w14:paraId="46A4261C" w14:textId="77777777" w:rsidR="00E625A8" w:rsidRPr="004549D6" w:rsidRDefault="00E625A8">
      <w:pPr>
        <w:spacing w:after="0" w:line="480" w:lineRule="auto"/>
        <w:ind w:left="425"/>
        <w:jc w:val="both"/>
        <w:rPr>
          <w:rFonts w:ascii="Palatino Linotype" w:eastAsia="Palatino Linotype" w:hAnsi="Palatino Linotype" w:cs="Palatino Linotype"/>
          <w:i/>
          <w:iCs/>
          <w:color w:val="000000"/>
          <w:sz w:val="24"/>
          <w:szCs w:val="24"/>
        </w:rPr>
      </w:pPr>
    </w:p>
    <w:p w14:paraId="2256E75A" w14:textId="77777777" w:rsidR="00E625A8" w:rsidRPr="004549D6" w:rsidRDefault="001F6039">
      <w:pPr>
        <w:spacing w:line="360" w:lineRule="auto"/>
        <w:jc w:val="both"/>
        <w:rPr>
          <w:rFonts w:ascii="Palatino Linotype" w:eastAsia="Palatino Linotype" w:hAnsi="Palatino Linotype" w:cs="Palatino Linotype"/>
          <w:b/>
          <w:bCs/>
          <w:sz w:val="24"/>
          <w:szCs w:val="24"/>
          <w:lang w:val="en-US"/>
        </w:rPr>
      </w:pPr>
      <w:r w:rsidRPr="004549D6">
        <w:rPr>
          <w:rFonts w:ascii="Palatino Linotype" w:eastAsia="Palatino Linotype" w:hAnsi="Palatino Linotype" w:cs="Palatino Linotype"/>
          <w:b/>
          <w:bCs/>
          <w:sz w:val="24"/>
          <w:szCs w:val="24"/>
        </w:rPr>
        <w:t xml:space="preserve"> </w:t>
      </w:r>
      <w:r w:rsidRPr="004549D6">
        <w:rPr>
          <w:rFonts w:ascii="Palatino Linotype" w:eastAsia="Palatino Linotype" w:hAnsi="Palatino Linotype" w:cs="Palatino Linotype"/>
          <w:b/>
          <w:bCs/>
          <w:sz w:val="24"/>
          <w:szCs w:val="24"/>
          <w:lang w:val="en-US"/>
        </w:rPr>
        <w:t xml:space="preserve">12158/INFOEM/IP/RR/2025 </w:t>
      </w:r>
      <w:r w:rsidRPr="004549D6">
        <w:rPr>
          <w:rFonts w:ascii="Palatino Linotype" w:eastAsia="Palatino Linotype" w:hAnsi="Palatino Linotype" w:cs="Palatino Linotype"/>
          <w:i/>
          <w:iCs/>
          <w:sz w:val="24"/>
          <w:szCs w:val="24"/>
          <w:lang w:val="en-US"/>
        </w:rPr>
        <w:t>(00234/DIFHUEHUET/IP/2025):</w:t>
      </w:r>
      <w:r w:rsidRPr="004549D6">
        <w:rPr>
          <w:rFonts w:ascii="Palatino Linotype" w:eastAsia="Palatino Linotype" w:hAnsi="Palatino Linotype" w:cs="Palatino Linotype"/>
          <w:b/>
          <w:bCs/>
          <w:sz w:val="24"/>
          <w:szCs w:val="24"/>
          <w:lang w:val="en-US"/>
        </w:rPr>
        <w:t xml:space="preserve"> </w:t>
      </w:r>
    </w:p>
    <w:p w14:paraId="7AF61FBD" w14:textId="77777777" w:rsidR="00E625A8" w:rsidRPr="004549D6" w:rsidRDefault="001F6039">
      <w:pPr>
        <w:numPr>
          <w:ilvl w:val="0"/>
          <w:numId w:val="23"/>
        </w:numPr>
        <w:pBdr>
          <w:top w:val="nil"/>
          <w:left w:val="nil"/>
          <w:bottom w:val="nil"/>
          <w:right w:val="nil"/>
          <w:between w:val="nil"/>
        </w:pBdr>
        <w:spacing w:after="0" w:line="360" w:lineRule="auto"/>
        <w:ind w:left="709" w:hanging="567"/>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color w:val="000000"/>
          <w:sz w:val="24"/>
          <w:szCs w:val="24"/>
        </w:rPr>
        <w:t xml:space="preserve">ACTO IMPUGNADO: </w:t>
      </w:r>
    </w:p>
    <w:p w14:paraId="4F2C90C4" w14:textId="77777777" w:rsidR="00E625A8" w:rsidRPr="004549D6" w:rsidRDefault="001F6039">
      <w:pPr>
        <w:spacing w:line="360" w:lineRule="auto"/>
        <w:ind w:left="709"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“En la documentacion que emiten se observa el INCORRECTO testado, asi como la falta de documentacion que se solicito.”(Sic).</w:t>
      </w:r>
    </w:p>
    <w:p w14:paraId="7BBA99D3" w14:textId="77777777" w:rsidR="00E625A8" w:rsidRPr="004549D6" w:rsidRDefault="001F6039">
      <w:pPr>
        <w:numPr>
          <w:ilvl w:val="0"/>
          <w:numId w:val="23"/>
        </w:numPr>
        <w:pBdr>
          <w:top w:val="nil"/>
          <w:left w:val="nil"/>
          <w:bottom w:val="nil"/>
          <w:right w:val="nil"/>
          <w:between w:val="nil"/>
        </w:pBdr>
        <w:spacing w:after="0" w:line="360" w:lineRule="auto"/>
        <w:ind w:left="709" w:hanging="567"/>
        <w:jc w:val="both"/>
        <w:rPr>
          <w:rFonts w:ascii="Palatino Linotype" w:eastAsia="Palatino Linotype" w:hAnsi="Palatino Linotype" w:cs="Palatino Linotype"/>
          <w:i/>
          <w:iCs/>
          <w:color w:val="000000"/>
          <w:sz w:val="24"/>
          <w:szCs w:val="24"/>
        </w:rPr>
      </w:pPr>
      <w:bookmarkStart w:id="4" w:name="_heading=h.6p37at591q32" w:colFirst="0" w:colLast="0"/>
      <w:bookmarkEnd w:id="4"/>
      <w:r w:rsidRPr="004549D6">
        <w:rPr>
          <w:rFonts w:ascii="Palatino Linotype" w:eastAsia="Palatino Linotype" w:hAnsi="Palatino Linotype" w:cs="Palatino Linotype"/>
          <w:b/>
          <w:bCs/>
          <w:color w:val="000000"/>
          <w:sz w:val="24"/>
          <w:szCs w:val="24"/>
        </w:rPr>
        <w:t xml:space="preserve">RAZONES O MOTIVOS DE INCONFORMIDAD:  </w:t>
      </w:r>
    </w:p>
    <w:p w14:paraId="40AC1FB3" w14:textId="77777777" w:rsidR="00E625A8" w:rsidRPr="004549D6" w:rsidRDefault="001F6039">
      <w:pPr>
        <w:spacing w:after="0" w:line="276" w:lineRule="auto"/>
        <w:ind w:left="709"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“En la documentacion que emiten se observa el INCORRECTO testado, asi como la falta de documentacion que se solicito. Se requirio informacion en su correcta version publica, lo cual NO cumplieron ya que testaron datos que NO debieron de haberse testado, y hay datos que SI debieron de Haberse testado pero que dejaron a la vista. Ademas se solicitaron los respectivos recibos de nomina, los cuales no entregaron. POR LO TANTO SE REQUIERE TODO LO PEDIDO EN LA SOLICITUD DE INFORMACION.”(Sic).</w:t>
      </w:r>
    </w:p>
    <w:p w14:paraId="2648ED2C" w14:textId="77777777" w:rsidR="00E625A8" w:rsidRPr="004549D6" w:rsidRDefault="00E625A8">
      <w:pPr>
        <w:spacing w:after="0" w:line="360" w:lineRule="auto"/>
        <w:jc w:val="both"/>
        <w:rPr>
          <w:rFonts w:ascii="Palatino Linotype" w:eastAsia="Palatino Linotype" w:hAnsi="Palatino Linotype" w:cs="Palatino Linotype"/>
          <w:b/>
          <w:bCs/>
          <w:sz w:val="24"/>
          <w:szCs w:val="24"/>
        </w:rPr>
      </w:pPr>
    </w:p>
    <w:p w14:paraId="56BF6DFA" w14:textId="77777777" w:rsidR="00E625A8" w:rsidRPr="004549D6" w:rsidRDefault="001F6039">
      <w:pPr>
        <w:numPr>
          <w:ilvl w:val="0"/>
          <w:numId w:val="22"/>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Consecutivamente</w:t>
      </w:r>
      <w:r w:rsidRPr="004549D6">
        <w:rPr>
          <w:rFonts w:ascii="Palatino Linotype" w:eastAsia="Palatino Linotype" w:hAnsi="Palatino Linotype" w:cs="Palatino Linotype"/>
          <w:i/>
          <w:iCs/>
          <w:color w:val="000000"/>
          <w:sz w:val="24"/>
          <w:szCs w:val="24"/>
        </w:rPr>
        <w:t xml:space="preserve">, </w:t>
      </w:r>
      <w:r w:rsidRPr="004549D6">
        <w:rPr>
          <w:rFonts w:ascii="Palatino Linotype" w:eastAsia="Palatino Linotype" w:hAnsi="Palatino Linotype" w:cs="Palatino Linotype"/>
          <w:color w:val="000000"/>
          <w:sz w:val="24"/>
          <w:szCs w:val="24"/>
        </w:rPr>
        <w:t>con fundamento en lo dispuesto por el artículo 185 fracción I de la Ley de Transparencia y Acceso a la Información Pública del Estado de México y Municipios, los recursos de referencia, fueron turnados</w:t>
      </w:r>
      <w:r w:rsidRPr="004549D6">
        <w:rPr>
          <w:rFonts w:ascii="Palatino Linotype" w:eastAsia="Palatino Linotype" w:hAnsi="Palatino Linotype" w:cs="Palatino Linotype"/>
          <w:b/>
          <w:bCs/>
          <w:color w:val="000000"/>
          <w:sz w:val="24"/>
          <w:szCs w:val="24"/>
        </w:rPr>
        <w:t xml:space="preserve"> </w:t>
      </w:r>
      <w:r w:rsidRPr="004549D6">
        <w:rPr>
          <w:rFonts w:ascii="Palatino Linotype" w:eastAsia="Palatino Linotype" w:hAnsi="Palatino Linotype" w:cs="Palatino Linotype"/>
          <w:color w:val="000000"/>
          <w:sz w:val="24"/>
          <w:szCs w:val="24"/>
        </w:rPr>
        <w:t xml:space="preserve">a la Comisionada </w:t>
      </w:r>
      <w:r w:rsidRPr="004549D6">
        <w:rPr>
          <w:rFonts w:ascii="Palatino Linotype" w:eastAsia="Palatino Linotype" w:hAnsi="Palatino Linotype" w:cs="Palatino Linotype"/>
          <w:b/>
          <w:bCs/>
          <w:color w:val="000000"/>
          <w:sz w:val="24"/>
          <w:szCs w:val="24"/>
        </w:rPr>
        <w:t xml:space="preserve">María del Rosario Mejía Ayala </w:t>
      </w:r>
      <w:r w:rsidRPr="004549D6">
        <w:rPr>
          <w:rFonts w:ascii="Palatino Linotype" w:eastAsia="Palatino Linotype" w:hAnsi="Palatino Linotype" w:cs="Palatino Linotype"/>
          <w:color w:val="000000"/>
          <w:sz w:val="24"/>
          <w:szCs w:val="24"/>
        </w:rPr>
        <w:t>con el objeto de su análisis.</w:t>
      </w:r>
    </w:p>
    <w:p w14:paraId="08EAE41E"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363E13A3" w14:textId="068869A5" w:rsidR="00E625A8" w:rsidRPr="004549D6" w:rsidRDefault="004549D6">
      <w:pPr>
        <w:numPr>
          <w:ilvl w:val="0"/>
          <w:numId w:val="22"/>
        </w:numPr>
        <w:spacing w:after="0"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La Comisionada p</w:t>
      </w:r>
      <w:r w:rsidR="001F6039" w:rsidRPr="004549D6">
        <w:rPr>
          <w:rFonts w:ascii="Palatino Linotype" w:eastAsia="Palatino Linotype" w:hAnsi="Palatino Linotype" w:cs="Palatino Linotype"/>
          <w:sz w:val="24"/>
          <w:szCs w:val="24"/>
        </w:rPr>
        <w:t xml:space="preserve">onente, con fundamento en lo dispuesto por el artículo 185 fracción II de la ley de la materia, a través de los acuerdos de admisión notificados en fechas </w:t>
      </w:r>
      <w:r w:rsidR="001F6039" w:rsidRPr="004549D6">
        <w:rPr>
          <w:rFonts w:ascii="Palatino Linotype" w:eastAsia="Palatino Linotype" w:hAnsi="Palatino Linotype" w:cs="Palatino Linotype"/>
          <w:b/>
          <w:bCs/>
          <w:sz w:val="24"/>
          <w:szCs w:val="24"/>
        </w:rPr>
        <w:t>tres y veintisiete de octubre de dos mil veinticinco,</w:t>
      </w:r>
      <w:r w:rsidR="001F6039" w:rsidRPr="004549D6">
        <w:rPr>
          <w:rFonts w:ascii="Palatino Linotype" w:eastAsia="Palatino Linotype" w:hAnsi="Palatino Linotype" w:cs="Palatino Linotype"/>
          <w:sz w:val="24"/>
          <w:szCs w:val="24"/>
        </w:rPr>
        <w:t xml:space="preserve"> puso a disposición de las partes el expediente electrónico vía Sistema de Acceso a la Información Mexiquense SAIMEX a efecto de que en un plazo máximo de siete días manifestara lo que a su derecho conviniera, ofreciera pruebas y alegatos según correspondiera a los casos concretos, de esta forma para que el </w:t>
      </w:r>
      <w:r w:rsidR="001F6039" w:rsidRPr="004549D6">
        <w:rPr>
          <w:rFonts w:ascii="Palatino Linotype" w:eastAsia="Palatino Linotype" w:hAnsi="Palatino Linotype" w:cs="Palatino Linotype"/>
          <w:b/>
          <w:bCs/>
          <w:sz w:val="24"/>
          <w:szCs w:val="24"/>
        </w:rPr>
        <w:t>SUJETO OBLIGADO</w:t>
      </w:r>
      <w:r w:rsidR="001F6039" w:rsidRPr="004549D6">
        <w:rPr>
          <w:rFonts w:ascii="Palatino Linotype" w:eastAsia="Palatino Linotype" w:hAnsi="Palatino Linotype" w:cs="Palatino Linotype"/>
          <w:sz w:val="24"/>
          <w:szCs w:val="24"/>
        </w:rPr>
        <w:t xml:space="preserve"> presentara el Informe Justificado procedente.</w:t>
      </w:r>
    </w:p>
    <w:p w14:paraId="06842BA9"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78BA4E6" w14:textId="77777777" w:rsidR="00E625A8" w:rsidRPr="004549D6" w:rsidRDefault="001F6039">
      <w:pPr>
        <w:numPr>
          <w:ilvl w:val="0"/>
          <w:numId w:val="22"/>
        </w:numPr>
        <w:tabs>
          <w:tab w:val="left" w:pos="426"/>
        </w:tabs>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  De las constancias que obran en el expediente digital del recurso de revisión que hoy se resuelve, se aprecia que el </w:t>
      </w:r>
      <w:r w:rsidRPr="004549D6">
        <w:rPr>
          <w:rFonts w:ascii="Palatino Linotype" w:eastAsia="Palatino Linotype" w:hAnsi="Palatino Linotype" w:cs="Palatino Linotype"/>
          <w:b/>
          <w:bCs/>
          <w:color w:val="000000"/>
          <w:sz w:val="24"/>
          <w:szCs w:val="24"/>
        </w:rPr>
        <w:t>SUJETO OBLIGADO</w:t>
      </w:r>
      <w:r w:rsidRPr="004549D6">
        <w:rPr>
          <w:rFonts w:ascii="Palatino Linotype" w:eastAsia="Palatino Linotype" w:hAnsi="Palatino Linotype" w:cs="Palatino Linotype"/>
          <w:color w:val="000000"/>
          <w:sz w:val="24"/>
          <w:szCs w:val="24"/>
        </w:rPr>
        <w:t xml:space="preserve">  fue omiso en presentar el informe justificado respectivo; así mismo </w:t>
      </w:r>
      <w:r w:rsidRPr="004549D6">
        <w:rPr>
          <w:rFonts w:ascii="Palatino Linotype" w:eastAsia="Palatino Linotype" w:hAnsi="Palatino Linotype" w:cs="Palatino Linotype"/>
          <w:b/>
          <w:bCs/>
          <w:color w:val="000000"/>
          <w:sz w:val="24"/>
          <w:szCs w:val="24"/>
        </w:rPr>
        <w:t xml:space="preserve">EL RECURRENTE </w:t>
      </w:r>
      <w:r w:rsidRPr="004549D6">
        <w:rPr>
          <w:rFonts w:ascii="Palatino Linotype" w:eastAsia="Palatino Linotype" w:hAnsi="Palatino Linotype" w:cs="Palatino Linotype"/>
          <w:color w:val="000000"/>
          <w:sz w:val="24"/>
          <w:szCs w:val="24"/>
        </w:rPr>
        <w:t>no realizo manifestaciones que a su derecho correspondieran y asistieran.</w:t>
      </w:r>
    </w:p>
    <w:p w14:paraId="6341CF5D"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EBD0B62" w14:textId="77777777" w:rsidR="00E625A8" w:rsidRPr="004549D6" w:rsidRDefault="001F6039">
      <w:pPr>
        <w:numPr>
          <w:ilvl w:val="0"/>
          <w:numId w:val="22"/>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Posteriormente, la Comisionada Ponente a través de acuerdo de fecha veinticuatro de febrero de dos mil veinticinco,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Pr="004549D6">
        <w:rPr>
          <w:rFonts w:ascii="Palatino Linotype" w:eastAsia="Palatino Linotype" w:hAnsi="Palatino Linotype" w:cs="Palatino Linotype"/>
          <w:b/>
          <w:bCs/>
          <w:color w:val="000000"/>
          <w:sz w:val="24"/>
          <w:szCs w:val="24"/>
        </w:rPr>
        <w:t>11223/INFOEM/IP/RR/2025</w:t>
      </w:r>
      <w:r w:rsidRPr="004549D6">
        <w:rPr>
          <w:rFonts w:ascii="Palatino Linotype" w:eastAsia="Palatino Linotype" w:hAnsi="Palatino Linotype" w:cs="Palatino Linotype"/>
          <w:color w:val="000000"/>
          <w:sz w:val="24"/>
          <w:szCs w:val="24"/>
        </w:rPr>
        <w:t xml:space="preserve"> y </w:t>
      </w:r>
      <w:r w:rsidRPr="004549D6">
        <w:rPr>
          <w:rFonts w:ascii="Palatino Linotype" w:eastAsia="Palatino Linotype" w:hAnsi="Palatino Linotype" w:cs="Palatino Linotype"/>
          <w:b/>
          <w:bCs/>
          <w:color w:val="000000"/>
          <w:sz w:val="24"/>
          <w:szCs w:val="24"/>
        </w:rPr>
        <w:t>12158/INFOEM/IP/RR/2025</w:t>
      </w:r>
      <w:r w:rsidRPr="004549D6">
        <w:rPr>
          <w:rFonts w:ascii="Palatino Linotype" w:eastAsia="Palatino Linotype" w:hAnsi="Palatino Linotype" w:cs="Palatino Linotype"/>
          <w:color w:val="000000"/>
          <w:sz w:val="24"/>
          <w:szCs w:val="24"/>
        </w:rPr>
        <w:t xml:space="preserve">, y toda vez que se advirtió </w:t>
      </w:r>
      <w:r w:rsidRPr="004549D6">
        <w:rPr>
          <w:rFonts w:ascii="Palatino Linotype" w:eastAsia="Palatino Linotype" w:hAnsi="Palatino Linotype" w:cs="Palatino Linotype"/>
          <w:color w:val="000000"/>
          <w:sz w:val="24"/>
          <w:szCs w:val="24"/>
        </w:rPr>
        <w:lastRenderedPageBreak/>
        <w:t xml:space="preserve">conexidad entre estos, al haber sido promovidos por la misma persona, en los que se señaló como dependencia o entidad recurrida al Ayuntamiento de Toluca;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decreta la acumulación del Recurso de Revisión </w:t>
      </w:r>
      <w:r w:rsidRPr="004549D6">
        <w:rPr>
          <w:rFonts w:ascii="Palatino Linotype" w:eastAsia="Palatino Linotype" w:hAnsi="Palatino Linotype" w:cs="Palatino Linotype"/>
          <w:b/>
          <w:bCs/>
          <w:color w:val="000000"/>
          <w:sz w:val="24"/>
          <w:szCs w:val="24"/>
        </w:rPr>
        <w:t>12158/INFOEM/IP/RR/2025</w:t>
      </w:r>
      <w:r w:rsidRPr="004549D6">
        <w:rPr>
          <w:rFonts w:ascii="Palatino Linotype" w:eastAsia="Palatino Linotype" w:hAnsi="Palatino Linotype" w:cs="Palatino Linotype"/>
          <w:color w:val="000000"/>
          <w:sz w:val="24"/>
          <w:szCs w:val="24"/>
        </w:rPr>
        <w:t xml:space="preserve"> al diverso </w:t>
      </w:r>
      <w:r w:rsidRPr="004549D6">
        <w:rPr>
          <w:rFonts w:ascii="Palatino Linotype" w:eastAsia="Palatino Linotype" w:hAnsi="Palatino Linotype" w:cs="Palatino Linotype"/>
          <w:b/>
          <w:bCs/>
          <w:color w:val="000000"/>
          <w:sz w:val="24"/>
          <w:szCs w:val="24"/>
        </w:rPr>
        <w:t>11223/INFOEM/IP/RR/2025</w:t>
      </w:r>
      <w:r w:rsidRPr="004549D6">
        <w:rPr>
          <w:rFonts w:ascii="Palatino Linotype" w:eastAsia="Palatino Linotype" w:hAnsi="Palatino Linotype" w:cs="Palatino Linotype"/>
          <w:color w:val="000000"/>
          <w:sz w:val="24"/>
          <w:szCs w:val="24"/>
        </w:rPr>
        <w:t>, por ser este último el más antiguo, sustanciado bajo el índice de esta Ponencia.</w:t>
      </w:r>
    </w:p>
    <w:p w14:paraId="656A9E51" w14:textId="77777777" w:rsidR="00E625A8" w:rsidRPr="004549D6" w:rsidRDefault="00E625A8">
      <w:pPr>
        <w:spacing w:after="0" w:line="360" w:lineRule="auto"/>
        <w:ind w:right="49"/>
        <w:jc w:val="both"/>
        <w:rPr>
          <w:rFonts w:ascii="Palatino Linotype" w:eastAsia="Palatino Linotype" w:hAnsi="Palatino Linotype" w:cs="Palatino Linotype"/>
          <w:sz w:val="24"/>
          <w:szCs w:val="24"/>
        </w:rPr>
      </w:pPr>
    </w:p>
    <w:p w14:paraId="46488309" w14:textId="27F9227B" w:rsidR="00E625A8" w:rsidRPr="004549D6" w:rsidRDefault="004549D6">
      <w:pPr>
        <w:numPr>
          <w:ilvl w:val="0"/>
          <w:numId w:val="8"/>
        </w:numPr>
        <w:spacing w:after="0" w:line="360" w:lineRule="auto"/>
        <w:ind w:left="0" w:right="-2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La Comisionada p</w:t>
      </w:r>
      <w:r w:rsidR="001F6039" w:rsidRPr="004549D6">
        <w:rPr>
          <w:rFonts w:ascii="Palatino Linotype" w:eastAsia="Palatino Linotype" w:hAnsi="Palatino Linotype" w:cs="Palatino Linotype"/>
          <w:sz w:val="24"/>
          <w:szCs w:val="24"/>
        </w:rPr>
        <w:t xml:space="preserve">onente decretó el cierre de instrucción mediante acuerdos de fechas </w:t>
      </w:r>
      <w:r w:rsidR="001F6039" w:rsidRPr="004549D6">
        <w:rPr>
          <w:rFonts w:ascii="Palatino Linotype" w:eastAsia="Palatino Linotype" w:hAnsi="Palatino Linotype" w:cs="Palatino Linotype"/>
          <w:b/>
          <w:bCs/>
          <w:sz w:val="24"/>
          <w:szCs w:val="24"/>
        </w:rPr>
        <w:t xml:space="preserve">dieciocho y veinticuatro de febrero de dos mil veintiséis; </w:t>
      </w:r>
      <w:r w:rsidR="001F6039" w:rsidRPr="004549D6">
        <w:rPr>
          <w:rFonts w:ascii="Palatino Linotype" w:eastAsia="Palatino Linotype" w:hAnsi="Palatino Linotype" w:cs="Palatino Linotype"/>
          <w:sz w:val="24"/>
          <w:szCs w:val="24"/>
        </w:rPr>
        <w:t>por lo que en virtud de que el expediente electrónico ha sido debidamente substanciado y no existe diligencia pendiente de desahogo, se procede a emitir la presente resolución que conforme a Derecho corresponda y;</w:t>
      </w:r>
    </w:p>
    <w:p w14:paraId="66D7C28A" w14:textId="77777777" w:rsidR="00E625A8" w:rsidRPr="004549D6" w:rsidRDefault="00E625A8">
      <w:pPr>
        <w:spacing w:after="0" w:line="720" w:lineRule="auto"/>
        <w:jc w:val="both"/>
        <w:rPr>
          <w:rFonts w:ascii="Palatino Linotype" w:eastAsia="Palatino Linotype" w:hAnsi="Palatino Linotype" w:cs="Palatino Linotype"/>
          <w:sz w:val="24"/>
          <w:szCs w:val="24"/>
        </w:rPr>
      </w:pPr>
    </w:p>
    <w:p w14:paraId="7E4F12E7" w14:textId="77777777" w:rsidR="00E625A8" w:rsidRPr="004549D6" w:rsidRDefault="001F6039">
      <w:pPr>
        <w:pBdr>
          <w:top w:val="nil"/>
          <w:left w:val="nil"/>
          <w:bottom w:val="nil"/>
          <w:right w:val="nil"/>
          <w:between w:val="nil"/>
        </w:pBdr>
        <w:spacing w:line="360" w:lineRule="auto"/>
        <w:ind w:left="568" w:right="-787"/>
        <w:jc w:val="center"/>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C O N S I D E R A N D O</w:t>
      </w:r>
    </w:p>
    <w:p w14:paraId="3A9521E7" w14:textId="77777777" w:rsidR="00E625A8" w:rsidRPr="004549D6" w:rsidRDefault="00E625A8">
      <w:pPr>
        <w:spacing w:after="0" w:line="240" w:lineRule="auto"/>
        <w:rPr>
          <w:rFonts w:ascii="Palatino Linotype" w:eastAsia="Palatino Linotype" w:hAnsi="Palatino Linotype" w:cs="Palatino Linotype"/>
          <w:sz w:val="24"/>
          <w:szCs w:val="24"/>
        </w:rPr>
      </w:pPr>
    </w:p>
    <w:p w14:paraId="064269AC" w14:textId="77777777" w:rsidR="00E625A8" w:rsidRPr="004549D6" w:rsidRDefault="001F6039">
      <w:pPr>
        <w:spacing w:after="0" w:line="360" w:lineRule="auto"/>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b/>
          <w:bCs/>
          <w:sz w:val="24"/>
          <w:szCs w:val="24"/>
        </w:rPr>
        <w:t>PRIMERO. De la competencia</w:t>
      </w:r>
      <w:r w:rsidRPr="004549D6">
        <w:rPr>
          <w:rFonts w:ascii="Palatino Linotype" w:eastAsia="Palatino Linotype" w:hAnsi="Palatino Linotype" w:cs="Palatino Linotype"/>
          <w:sz w:val="24"/>
          <w:szCs w:val="24"/>
        </w:rPr>
        <w:t>.</w:t>
      </w:r>
    </w:p>
    <w:p w14:paraId="3CDC9B4A" w14:textId="77777777" w:rsidR="00E625A8" w:rsidRPr="004549D6" w:rsidRDefault="001F6039">
      <w:pPr>
        <w:numPr>
          <w:ilvl w:val="0"/>
          <w:numId w:val="2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séptimo, trigésimo octavo y trigésimo noveno, fracciones IV y V, de la </w:t>
      </w:r>
      <w:r w:rsidRPr="004549D6">
        <w:rPr>
          <w:rFonts w:ascii="Palatino Linotype" w:eastAsia="Palatino Linotype" w:hAnsi="Palatino Linotype" w:cs="Palatino Linotype"/>
          <w:color w:val="000000"/>
          <w:sz w:val="24"/>
          <w:szCs w:val="24"/>
        </w:rPr>
        <w:lastRenderedPageBreak/>
        <w:t>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763E3B5F" w14:textId="77777777" w:rsidR="00E625A8" w:rsidRPr="004549D6" w:rsidRDefault="00E625A8">
      <w:pPr>
        <w:spacing w:after="0" w:line="720" w:lineRule="auto"/>
        <w:jc w:val="both"/>
        <w:rPr>
          <w:rFonts w:ascii="Palatino Linotype" w:eastAsia="Palatino Linotype" w:hAnsi="Palatino Linotype" w:cs="Palatino Linotype"/>
          <w:color w:val="222222"/>
          <w:sz w:val="24"/>
          <w:szCs w:val="24"/>
          <w:highlight w:val="white"/>
        </w:rPr>
      </w:pPr>
    </w:p>
    <w:p w14:paraId="4C78B561" w14:textId="77777777" w:rsidR="00E625A8" w:rsidRPr="004549D6" w:rsidRDefault="001F6039">
      <w:pPr>
        <w:spacing w:after="0" w:line="360" w:lineRule="auto"/>
        <w:jc w:val="both"/>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t>SEGUNDO. De la oportunidad y procedencia.</w:t>
      </w:r>
    </w:p>
    <w:p w14:paraId="4DD32C78" w14:textId="77777777" w:rsidR="00E625A8" w:rsidRPr="004549D6" w:rsidRDefault="001F6039">
      <w:pPr>
        <w:numPr>
          <w:ilvl w:val="0"/>
          <w:numId w:val="25"/>
        </w:numPr>
        <w:spacing w:after="0" w:line="360" w:lineRule="auto"/>
        <w:ind w:left="0" w:right="49"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Este Órgano Garante considera que el medio de impugnación reúne los requisitos de procedencia </w:t>
      </w:r>
      <w:r w:rsidRPr="004549D6">
        <w:rPr>
          <w:rFonts w:ascii="Palatino Linotype" w:eastAsia="Palatino Linotype" w:hAnsi="Palatino Linotype" w:cs="Palatino Linotype"/>
          <w:color w:val="000000"/>
          <w:sz w:val="24"/>
          <w:szCs w:val="24"/>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395DD674" w14:textId="77777777" w:rsidR="00E625A8" w:rsidRPr="004549D6" w:rsidRDefault="00E625A8">
      <w:pPr>
        <w:spacing w:after="0" w:line="360" w:lineRule="auto"/>
        <w:ind w:right="49"/>
        <w:jc w:val="both"/>
        <w:rPr>
          <w:rFonts w:ascii="Palatino Linotype" w:eastAsia="Palatino Linotype" w:hAnsi="Palatino Linotype" w:cs="Palatino Linotype"/>
          <w:sz w:val="24"/>
          <w:szCs w:val="24"/>
        </w:rPr>
      </w:pPr>
    </w:p>
    <w:p w14:paraId="5FF8F854" w14:textId="77777777" w:rsidR="00E625A8" w:rsidRPr="004549D6" w:rsidRDefault="001F6039">
      <w:pPr>
        <w:numPr>
          <w:ilvl w:val="0"/>
          <w:numId w:val="25"/>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Al respecto del Recurso de Revisión </w:t>
      </w:r>
      <w:r w:rsidRPr="004549D6">
        <w:rPr>
          <w:rFonts w:ascii="Palatino Linotype" w:eastAsia="Palatino Linotype" w:hAnsi="Palatino Linotype" w:cs="Palatino Linotype"/>
          <w:b/>
          <w:bCs/>
          <w:color w:val="000000"/>
          <w:sz w:val="24"/>
          <w:szCs w:val="24"/>
        </w:rPr>
        <w:t>11223/INFOEM/IP/RR/2025</w:t>
      </w:r>
      <w:r w:rsidRPr="004549D6">
        <w:rPr>
          <w:rFonts w:ascii="Palatino Linotype" w:eastAsia="Palatino Linotype" w:hAnsi="Palatino Linotype" w:cs="Palatino Linotype"/>
          <w:color w:val="000000"/>
          <w:sz w:val="24"/>
          <w:szCs w:val="24"/>
        </w:rPr>
        <w:t xml:space="preserve">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w:t>
      </w:r>
      <w:r w:rsidRPr="004549D6">
        <w:rPr>
          <w:rFonts w:ascii="Palatino Linotype" w:eastAsia="Palatino Linotype" w:hAnsi="Palatino Linotype" w:cs="Palatino Linotype"/>
          <w:color w:val="000000"/>
          <w:sz w:val="24"/>
          <w:szCs w:val="24"/>
        </w:rPr>
        <w:lastRenderedPageBreak/>
        <w:t>derecho de acceso a la información se entra al estudio del presente recurso de revisión sin que la fecha en que se presentó afecte la resolución.</w:t>
      </w:r>
    </w:p>
    <w:p w14:paraId="6D5BA6B3"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7017085A"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14:paraId="5A3CBF71" w14:textId="77777777" w:rsidR="00E625A8" w:rsidRPr="004549D6" w:rsidRDefault="001F6039">
      <w:pPr>
        <w:spacing w:after="0"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“RECURSO DE RECLAMACIÓN. SU INTERPOSICIÓN NO ES EXTEMPORÁNEA SI SE REALIZA ANTES DE QUE INICIE EL PLAZO PARA HACERLO</w:t>
      </w:r>
      <w:r w:rsidRPr="004549D6">
        <w:rPr>
          <w:rFonts w:ascii="Palatino Linotype" w:eastAsia="Palatino Linotype" w:hAnsi="Palatino Linotype" w:cs="Palatino Linotype"/>
          <w:i/>
          <w:iCs/>
          <w:sz w:val="24"/>
          <w:szCs w:val="24"/>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r w:rsidRPr="004549D6">
        <w:rPr>
          <w:rFonts w:ascii="Palatino Linotype" w:eastAsia="Palatino Linotype" w:hAnsi="Palatino Linotype" w:cs="Palatino Linotype"/>
          <w:sz w:val="24"/>
          <w:szCs w:val="24"/>
        </w:rPr>
        <w:t xml:space="preserve"> (Sic)</w:t>
      </w:r>
    </w:p>
    <w:p w14:paraId="67894031" w14:textId="77777777" w:rsidR="00E625A8" w:rsidRPr="004549D6" w:rsidRDefault="00E625A8">
      <w:pPr>
        <w:spacing w:line="360" w:lineRule="auto"/>
        <w:ind w:right="900"/>
        <w:jc w:val="both"/>
        <w:rPr>
          <w:rFonts w:ascii="Palatino Linotype" w:eastAsia="Palatino Linotype" w:hAnsi="Palatino Linotype" w:cs="Palatino Linotype"/>
          <w:i/>
          <w:iCs/>
          <w:sz w:val="24"/>
          <w:szCs w:val="24"/>
        </w:rPr>
      </w:pPr>
    </w:p>
    <w:p w14:paraId="17709875" w14:textId="77777777" w:rsidR="00E625A8"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Esto es así porque en primer lugar es necesario que </w:t>
      </w:r>
      <w:r w:rsidRPr="004549D6">
        <w:rPr>
          <w:rFonts w:ascii="Palatino Linotype" w:eastAsia="Palatino Linotype" w:hAnsi="Palatino Linotype" w:cs="Palatino Linotype"/>
          <w:b/>
          <w:bCs/>
          <w:color w:val="000000"/>
          <w:sz w:val="24"/>
          <w:szCs w:val="24"/>
        </w:rPr>
        <w:t>EL RECURRENTE</w:t>
      </w:r>
      <w:r w:rsidRPr="004549D6">
        <w:rPr>
          <w:rFonts w:ascii="Palatino Linotype" w:eastAsia="Palatino Linotype" w:hAnsi="Palatino Linotype" w:cs="Palatino Linotype"/>
          <w:color w:val="000000"/>
          <w:sz w:val="24"/>
          <w:szCs w:val="24"/>
        </w:rPr>
        <w:t xml:space="preserv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14:paraId="1E0487B8" w14:textId="77777777" w:rsidR="00BE10D6" w:rsidRPr="004549D6" w:rsidRDefault="00BE10D6" w:rsidP="00BE10D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0DA1E00"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14:paraId="2ABDDCD7"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50CDDABA"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14:paraId="044CFB5F" w14:textId="77777777" w:rsidR="00E625A8" w:rsidRPr="004549D6" w:rsidRDefault="00E625A8">
      <w:pPr>
        <w:pBdr>
          <w:top w:val="nil"/>
          <w:left w:val="nil"/>
          <w:bottom w:val="nil"/>
          <w:right w:val="nil"/>
          <w:between w:val="nil"/>
        </w:pBdr>
        <w:spacing w:after="0" w:line="240" w:lineRule="auto"/>
        <w:ind w:left="360" w:hanging="76"/>
        <w:jc w:val="both"/>
        <w:rPr>
          <w:rFonts w:ascii="Palatino Linotype" w:eastAsia="Palatino Linotype" w:hAnsi="Palatino Linotype" w:cs="Palatino Linotype"/>
          <w:i/>
          <w:iCs/>
          <w:color w:val="000000"/>
          <w:sz w:val="24"/>
          <w:szCs w:val="24"/>
        </w:rPr>
      </w:pPr>
    </w:p>
    <w:p w14:paraId="18543146" w14:textId="77777777" w:rsidR="00E625A8" w:rsidRPr="004549D6" w:rsidRDefault="001F6039">
      <w:pPr>
        <w:numPr>
          <w:ilvl w:val="0"/>
          <w:numId w:val="25"/>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5A197D7"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b/>
          <w:bCs/>
          <w:i/>
          <w:iCs/>
          <w:sz w:val="24"/>
          <w:szCs w:val="24"/>
        </w:rPr>
        <w:t>Las solicitudes anónimas</w:t>
      </w:r>
      <w:r w:rsidRPr="004549D6">
        <w:rPr>
          <w:rFonts w:ascii="Palatino Linotype" w:eastAsia="Palatino Linotype" w:hAnsi="Palatino Linotype" w:cs="Palatino Linotype"/>
          <w:i/>
          <w:iCs/>
          <w:sz w:val="24"/>
          <w:szCs w:val="24"/>
        </w:rPr>
        <w:t xml:space="preserve">, con nombre incompleto o seudónimo </w:t>
      </w:r>
      <w:r w:rsidRPr="004549D6">
        <w:rPr>
          <w:rFonts w:ascii="Palatino Linotype" w:eastAsia="Palatino Linotype" w:hAnsi="Palatino Linotype" w:cs="Palatino Linotype"/>
          <w:b/>
          <w:bCs/>
          <w:i/>
          <w:iCs/>
          <w:sz w:val="24"/>
          <w:szCs w:val="24"/>
        </w:rPr>
        <w:t>serán procedentes para su trámite por parte del sujeto obligado ante quien se presente</w:t>
      </w:r>
      <w:r w:rsidRPr="004549D6">
        <w:rPr>
          <w:rFonts w:ascii="Palatino Linotype" w:eastAsia="Palatino Linotype" w:hAnsi="Palatino Linotype" w:cs="Palatino Linotype"/>
          <w:i/>
          <w:iCs/>
          <w:sz w:val="24"/>
          <w:szCs w:val="24"/>
        </w:rPr>
        <w:t>. No podrá requerirse información adicional con motivo del nombre proporcionado por el solicitante."</w:t>
      </w:r>
    </w:p>
    <w:p w14:paraId="134AF018" w14:textId="77777777" w:rsidR="00E625A8" w:rsidRPr="004549D6" w:rsidRDefault="00E625A8">
      <w:pPr>
        <w:spacing w:line="360" w:lineRule="auto"/>
        <w:ind w:right="1134"/>
        <w:jc w:val="both"/>
        <w:rPr>
          <w:rFonts w:ascii="Palatino Linotype" w:eastAsia="Palatino Linotype" w:hAnsi="Palatino Linotype" w:cs="Palatino Linotype"/>
          <w:sz w:val="24"/>
          <w:szCs w:val="24"/>
        </w:rPr>
      </w:pPr>
    </w:p>
    <w:p w14:paraId="3CE98C28" w14:textId="77777777" w:rsidR="00E625A8" w:rsidRPr="004549D6" w:rsidRDefault="001F6039">
      <w:pPr>
        <w:numPr>
          <w:ilvl w:val="0"/>
          <w:numId w:val="25"/>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Robusteciendo lo anterior se encuentra lo dispuesto en el artículo 6, Apartado A, fracciones III de la Constitución Política de los Estados Unidos Mexicanos que establece:</w:t>
      </w:r>
    </w:p>
    <w:p w14:paraId="66B2A04A" w14:textId="77777777" w:rsidR="00E625A8" w:rsidRPr="004549D6" w:rsidRDefault="00E625A8">
      <w:pPr>
        <w:spacing w:line="360" w:lineRule="auto"/>
        <w:ind w:right="27"/>
        <w:jc w:val="both"/>
        <w:rPr>
          <w:rFonts w:ascii="Palatino Linotype" w:eastAsia="Palatino Linotype" w:hAnsi="Palatino Linotype" w:cs="Palatino Linotype"/>
          <w:i/>
          <w:iCs/>
          <w:sz w:val="24"/>
          <w:szCs w:val="24"/>
        </w:rPr>
      </w:pPr>
    </w:p>
    <w:p w14:paraId="6DBC14D7"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lastRenderedPageBreak/>
        <w:t>"</w:t>
      </w:r>
      <w:r w:rsidRPr="004549D6">
        <w:rPr>
          <w:rFonts w:ascii="Palatino Linotype" w:eastAsia="Palatino Linotype" w:hAnsi="Palatino Linotype" w:cs="Palatino Linotype"/>
          <w:b/>
          <w:bCs/>
          <w:i/>
          <w:iCs/>
          <w:sz w:val="24"/>
          <w:szCs w:val="24"/>
        </w:rPr>
        <w:t>Artículo 6.-</w:t>
      </w:r>
      <w:r w:rsidRPr="004549D6">
        <w:rPr>
          <w:rFonts w:ascii="Palatino Linotype" w:eastAsia="Palatino Linotype" w:hAnsi="Palatino Linotype" w:cs="Palatino Linotype"/>
          <w:i/>
          <w:iCs/>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37873C4"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Para efectos de lo dispuesto en el presente artículo se observará lo siguiente:</w:t>
      </w:r>
    </w:p>
    <w:p w14:paraId="1EFE0331"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A. Para el ejercicio del derecho de acceso a la información, la Federación, los Estados y el Distrito Federal, en el ámbito de sus respectivas competencias, se regirán por los siguientes principios y bases:</w:t>
      </w:r>
    </w:p>
    <w:p w14:paraId="11CD323D"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 xml:space="preserve">III. Toda persona, sin necesidad de acreditar interés alguno o justificar su utilización, tendrá acceso gratuito a la información pública, a sus datos personales o a la rectificación de éstos.” </w:t>
      </w:r>
      <w:r w:rsidRPr="004549D6">
        <w:rPr>
          <w:rFonts w:ascii="Palatino Linotype" w:eastAsia="Palatino Linotype" w:hAnsi="Palatino Linotype" w:cs="Palatino Linotype"/>
          <w:sz w:val="24"/>
          <w:szCs w:val="24"/>
        </w:rPr>
        <w:t>(Sic)</w:t>
      </w:r>
    </w:p>
    <w:p w14:paraId="080D13EC" w14:textId="77777777" w:rsidR="00E625A8" w:rsidRPr="004549D6" w:rsidRDefault="00E625A8">
      <w:pPr>
        <w:spacing w:line="360" w:lineRule="auto"/>
        <w:ind w:left="567" w:right="27"/>
        <w:jc w:val="both"/>
        <w:rPr>
          <w:rFonts w:ascii="Palatino Linotype" w:eastAsia="Palatino Linotype" w:hAnsi="Palatino Linotype" w:cs="Palatino Linotype"/>
          <w:i/>
          <w:iCs/>
          <w:sz w:val="24"/>
          <w:szCs w:val="24"/>
        </w:rPr>
      </w:pPr>
    </w:p>
    <w:p w14:paraId="78C1FC54" w14:textId="77777777" w:rsidR="00E625A8" w:rsidRPr="004549D6" w:rsidRDefault="001F6039">
      <w:pPr>
        <w:numPr>
          <w:ilvl w:val="0"/>
          <w:numId w:val="25"/>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Así como el artículo 5 fracción III, párrafo vigésimo noveno, trigésimo y trigésimo primero, de la Constitución Política del Estado Libre y Soberano de México, que determina lo siguiente:</w:t>
      </w:r>
    </w:p>
    <w:p w14:paraId="44FA1A2D"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b/>
          <w:bCs/>
          <w:i/>
          <w:iCs/>
          <w:sz w:val="24"/>
          <w:szCs w:val="24"/>
        </w:rPr>
        <w:t>Artículo 5.-</w:t>
      </w:r>
      <w:r w:rsidRPr="004549D6">
        <w:rPr>
          <w:rFonts w:ascii="Palatino Linotype" w:eastAsia="Palatino Linotype" w:hAnsi="Palatino Linotype" w:cs="Palatino Linotype"/>
          <w:i/>
          <w:iCs/>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49CB0D55"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p>
    <w:p w14:paraId="0DCB5FAE"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Toda persona en el Estado de México, tiene derecho al libre acceso a la información plural y oportuna, así como a buscar recibir y difundir información e ideas de toda índole por cualquier medio de expresión.</w:t>
      </w:r>
    </w:p>
    <w:p w14:paraId="4E225BF8"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lastRenderedPageBreak/>
        <w:t>...</w:t>
      </w:r>
    </w:p>
    <w:p w14:paraId="172F170F"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El derecho a la información será garantizado por el Estado. La ley establecerá las previsiones que permitan asegurar la protección, el respeto y la difusión de este derecho.</w:t>
      </w:r>
    </w:p>
    <w:p w14:paraId="04944563"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7369D83"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III. Toda persona, sin necesidad de acreditar interés alguno o justificar su utilización, tendrá acceso gratuito a la información pública, a sus datos personales o a la rectificación de éstos;</w:t>
      </w:r>
    </w:p>
    <w:p w14:paraId="15458D6C"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p>
    <w:p w14:paraId="284F321E" w14:textId="77777777" w:rsidR="00E625A8" w:rsidRPr="004549D6" w:rsidRDefault="001F6039">
      <w:pPr>
        <w:spacing w:line="276" w:lineRule="auto"/>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4549D6">
        <w:rPr>
          <w:rFonts w:ascii="Palatino Linotype" w:eastAsia="Palatino Linotype" w:hAnsi="Palatino Linotype" w:cs="Palatino Linotype"/>
          <w:sz w:val="24"/>
          <w:szCs w:val="24"/>
        </w:rPr>
        <w:t>(Sic)</w:t>
      </w:r>
    </w:p>
    <w:p w14:paraId="01426020" w14:textId="77777777" w:rsidR="00E625A8" w:rsidRPr="004549D6" w:rsidRDefault="00E625A8">
      <w:pPr>
        <w:ind w:left="426" w:right="27"/>
        <w:jc w:val="both"/>
        <w:rPr>
          <w:rFonts w:ascii="Palatino Linotype" w:eastAsia="Palatino Linotype" w:hAnsi="Palatino Linotype" w:cs="Palatino Linotype"/>
          <w:i/>
          <w:iCs/>
          <w:sz w:val="24"/>
          <w:szCs w:val="24"/>
        </w:rPr>
      </w:pPr>
    </w:p>
    <w:p w14:paraId="6A6E5A14" w14:textId="77777777" w:rsidR="00E625A8" w:rsidRPr="004549D6" w:rsidRDefault="001F6039">
      <w:pPr>
        <w:numPr>
          <w:ilvl w:val="0"/>
          <w:numId w:val="25"/>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Por otra parte, del contenido del artículo 1 de la Constitución Política de los Estados Unidos mexicanos, se destaca lo siguiente:</w:t>
      </w:r>
    </w:p>
    <w:p w14:paraId="7CABBF13"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b/>
          <w:bCs/>
          <w:i/>
          <w:iCs/>
          <w:sz w:val="24"/>
          <w:szCs w:val="24"/>
        </w:rPr>
        <w:t>Artículo 1</w:t>
      </w:r>
      <w:r w:rsidRPr="004549D6">
        <w:rPr>
          <w:rFonts w:ascii="Palatino Linotype" w:eastAsia="Palatino Linotype" w:hAnsi="Palatino Linotype" w:cs="Palatino Linotype"/>
          <w:i/>
          <w:iCs/>
          <w:sz w:val="24"/>
          <w:szCs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3CE35BC"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lastRenderedPageBreak/>
        <w:t>Las normas relativas a los derechos humanos se interpretarán de conformidad con esta Constitución y con los tratados internacionales de la materia favoreciendo en todo tiempo a las personas la protección más amplia.</w:t>
      </w:r>
    </w:p>
    <w:p w14:paraId="78F0549F"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36EB441C" w14:textId="77777777" w:rsidR="00E625A8" w:rsidRPr="004549D6" w:rsidRDefault="00E625A8">
      <w:pPr>
        <w:spacing w:line="360" w:lineRule="auto"/>
        <w:ind w:left="426" w:right="27"/>
        <w:jc w:val="both"/>
        <w:rPr>
          <w:rFonts w:ascii="Palatino Linotype" w:eastAsia="Palatino Linotype" w:hAnsi="Palatino Linotype" w:cs="Palatino Linotype"/>
          <w:i/>
          <w:iCs/>
          <w:sz w:val="24"/>
          <w:szCs w:val="24"/>
        </w:rPr>
      </w:pPr>
    </w:p>
    <w:p w14:paraId="7AA0B2D2" w14:textId="77777777" w:rsidR="00E625A8" w:rsidRPr="004549D6" w:rsidRDefault="001F6039">
      <w:pPr>
        <w:numPr>
          <w:ilvl w:val="0"/>
          <w:numId w:val="25"/>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Esto es, que el derecho humano de acceso a la información pública, se aprecia que toda persona, sin necesidad de acreditar interés alguno o justificar su interposición, deberá tener acceso a la información pública, es decir, dicho </w:t>
      </w:r>
      <w:r w:rsidRPr="004549D6">
        <w:rPr>
          <w:rFonts w:ascii="Palatino Linotype" w:eastAsia="Palatino Linotype" w:hAnsi="Palatino Linotype" w:cs="Palatino Linotype"/>
          <w:i/>
          <w:iCs/>
          <w:sz w:val="24"/>
          <w:szCs w:val="24"/>
        </w:rPr>
        <w:t>derecho fundamental exime a quien lo ejerce</w:t>
      </w:r>
      <w:r w:rsidRPr="004549D6">
        <w:rPr>
          <w:rFonts w:ascii="Palatino Linotype" w:eastAsia="Palatino Linotype" w:hAnsi="Palatino Linotype" w:cs="Palatino Linotype"/>
          <w:sz w:val="24"/>
          <w:szCs w:val="24"/>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01F91B87"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4CA1B99F" w14:textId="77777777" w:rsidR="00E625A8" w:rsidRPr="004549D6" w:rsidRDefault="001F6039">
      <w:pPr>
        <w:numPr>
          <w:ilvl w:val="0"/>
          <w:numId w:val="25"/>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En consecuencia, dado lo expuesto y fundado con anterioridad, se estima que el requisito relativo al nombre del </w:t>
      </w:r>
      <w:r w:rsidRPr="004549D6">
        <w:rPr>
          <w:rFonts w:ascii="Palatino Linotype" w:eastAsia="Palatino Linotype" w:hAnsi="Palatino Linotype" w:cs="Palatino Linotype"/>
          <w:b/>
          <w:bCs/>
          <w:sz w:val="24"/>
          <w:szCs w:val="24"/>
        </w:rPr>
        <w:t>RECURRENTE</w:t>
      </w:r>
      <w:r w:rsidRPr="004549D6">
        <w:rPr>
          <w:rFonts w:ascii="Palatino Linotype" w:eastAsia="Palatino Linotype" w:hAnsi="Palatino Linotype" w:cs="Palatino Linotype"/>
          <w:sz w:val="24"/>
          <w:szCs w:val="24"/>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w:t>
      </w:r>
      <w:r w:rsidRPr="004549D6">
        <w:rPr>
          <w:rFonts w:ascii="Palatino Linotype" w:eastAsia="Palatino Linotype" w:hAnsi="Palatino Linotype" w:cs="Palatino Linotype"/>
          <w:sz w:val="24"/>
          <w:szCs w:val="24"/>
        </w:rPr>
        <w:lastRenderedPageBreak/>
        <w:t>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735AEFB6"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02AB1FFE"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9F704F3" w14:textId="77777777" w:rsidR="00E625A8" w:rsidRPr="004549D6" w:rsidRDefault="00E625A8">
      <w:pPr>
        <w:spacing w:line="360" w:lineRule="auto"/>
        <w:rPr>
          <w:rFonts w:ascii="Palatino Linotype" w:eastAsia="Palatino Linotype" w:hAnsi="Palatino Linotype" w:cs="Palatino Linotype"/>
          <w:sz w:val="24"/>
          <w:szCs w:val="24"/>
        </w:rPr>
      </w:pPr>
    </w:p>
    <w:p w14:paraId="1485C888" w14:textId="77777777" w:rsidR="00E625A8" w:rsidRPr="004549D6" w:rsidRDefault="001F6039">
      <w:pPr>
        <w:pStyle w:val="Ttulo1"/>
        <w:spacing w:before="0" w:line="360" w:lineRule="auto"/>
        <w:rPr>
          <w:rFonts w:ascii="Palatino Linotype" w:eastAsia="Palatino Linotype" w:hAnsi="Palatino Linotype" w:cs="Palatino Linotype"/>
          <w:b/>
          <w:bCs/>
          <w:color w:val="000000"/>
          <w:sz w:val="24"/>
          <w:szCs w:val="24"/>
        </w:rPr>
      </w:pPr>
      <w:bookmarkStart w:id="5" w:name="_heading=h.cje0gi5caa95" w:colFirst="0" w:colLast="0"/>
      <w:bookmarkEnd w:id="5"/>
      <w:r w:rsidRPr="004549D6">
        <w:rPr>
          <w:rFonts w:ascii="Palatino Linotype" w:eastAsia="Palatino Linotype" w:hAnsi="Palatino Linotype" w:cs="Palatino Linotype"/>
          <w:b/>
          <w:bCs/>
          <w:color w:val="000000"/>
          <w:sz w:val="24"/>
          <w:szCs w:val="24"/>
        </w:rPr>
        <w:t xml:space="preserve">TERCERO. Del planteamiento de la </w:t>
      </w:r>
      <w:r w:rsidRPr="004549D6">
        <w:rPr>
          <w:rFonts w:ascii="Palatino Linotype" w:eastAsia="Palatino Linotype" w:hAnsi="Palatino Linotype" w:cs="Palatino Linotype"/>
          <w:b/>
          <w:bCs/>
          <w:i/>
          <w:iCs/>
          <w:color w:val="000000"/>
          <w:sz w:val="24"/>
          <w:szCs w:val="24"/>
        </w:rPr>
        <w:t>Litis</w:t>
      </w:r>
      <w:r w:rsidRPr="004549D6">
        <w:rPr>
          <w:rFonts w:ascii="Palatino Linotype" w:eastAsia="Palatino Linotype" w:hAnsi="Palatino Linotype" w:cs="Palatino Linotype"/>
          <w:b/>
          <w:bCs/>
          <w:color w:val="000000"/>
          <w:sz w:val="24"/>
          <w:szCs w:val="24"/>
        </w:rPr>
        <w:t>.</w:t>
      </w:r>
    </w:p>
    <w:p w14:paraId="6B6AC353"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color w:val="000000"/>
          <w:sz w:val="24"/>
          <w:szCs w:val="24"/>
        </w:rPr>
        <w:t>De las constancias en el expediente al rubro indicado, se desprende que el particular solicitó la información que a continuación se desagrega:</w:t>
      </w:r>
    </w:p>
    <w:p w14:paraId="5C5B46EA" w14:textId="77777777" w:rsidR="00E625A8" w:rsidRPr="004549D6" w:rsidRDefault="001F6039">
      <w:pPr>
        <w:pBdr>
          <w:top w:val="nil"/>
          <w:left w:val="nil"/>
          <w:bottom w:val="nil"/>
          <w:right w:val="nil"/>
          <w:between w:val="nil"/>
        </w:pBdr>
        <w:spacing w:after="0" w:line="360" w:lineRule="auto"/>
        <w:ind w:left="1134" w:right="900"/>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 xml:space="preserve">00210/DIFHUEHUET/IP/2025: </w:t>
      </w:r>
    </w:p>
    <w:p w14:paraId="34BC6D87" w14:textId="77777777" w:rsidR="00E625A8" w:rsidRPr="004549D6" w:rsidRDefault="001F6039">
      <w:pPr>
        <w:pBdr>
          <w:top w:val="nil"/>
          <w:left w:val="nil"/>
          <w:bottom w:val="nil"/>
          <w:right w:val="nil"/>
          <w:between w:val="nil"/>
        </w:pBdr>
        <w:spacing w:after="0" w:line="240" w:lineRule="auto"/>
        <w:ind w:left="1134"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Del personal adscrito a Estancias Infantiles:</w:t>
      </w:r>
    </w:p>
    <w:p w14:paraId="3BC2AACF" w14:textId="77777777" w:rsidR="00E625A8" w:rsidRPr="004549D6" w:rsidRDefault="001F6039">
      <w:pPr>
        <w:numPr>
          <w:ilvl w:val="0"/>
          <w:numId w:val="6"/>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Cuantas personas se encuentran adscritas al área</w:t>
      </w:r>
    </w:p>
    <w:p w14:paraId="361FAE14" w14:textId="77777777" w:rsidR="00E625A8" w:rsidRPr="004549D6" w:rsidRDefault="001F6039">
      <w:pPr>
        <w:numPr>
          <w:ilvl w:val="0"/>
          <w:numId w:val="6"/>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Cargo del personal adscrito al área</w:t>
      </w:r>
    </w:p>
    <w:p w14:paraId="7865F7CD" w14:textId="77777777" w:rsidR="00E625A8" w:rsidRPr="004549D6" w:rsidRDefault="001F6039">
      <w:pPr>
        <w:numPr>
          <w:ilvl w:val="0"/>
          <w:numId w:val="6"/>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Expedientes laborales del personal adscrito al área</w:t>
      </w:r>
    </w:p>
    <w:p w14:paraId="7AE058B3" w14:textId="77777777" w:rsidR="00E625A8" w:rsidRPr="004549D6" w:rsidRDefault="001F6039">
      <w:pPr>
        <w:numPr>
          <w:ilvl w:val="0"/>
          <w:numId w:val="6"/>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Recibos de Nómina correspondientes a  la primera y segunda quincena de agosto de 2025 del personal adscrito al área</w:t>
      </w:r>
    </w:p>
    <w:p w14:paraId="0BB7B428" w14:textId="77777777" w:rsidR="00E625A8" w:rsidRPr="004549D6" w:rsidRDefault="00E625A8">
      <w:pPr>
        <w:spacing w:line="360" w:lineRule="auto"/>
        <w:ind w:left="1134" w:right="900"/>
        <w:jc w:val="both"/>
        <w:rPr>
          <w:rFonts w:ascii="Palatino Linotype" w:eastAsia="Palatino Linotype" w:hAnsi="Palatino Linotype" w:cs="Palatino Linotype"/>
          <w:i/>
          <w:iCs/>
          <w:sz w:val="24"/>
          <w:szCs w:val="24"/>
        </w:rPr>
      </w:pPr>
    </w:p>
    <w:p w14:paraId="21871004" w14:textId="77777777" w:rsidR="00E625A8" w:rsidRPr="004549D6" w:rsidRDefault="001F6039">
      <w:pPr>
        <w:spacing w:line="360" w:lineRule="auto"/>
        <w:ind w:left="1134" w:right="900"/>
        <w:jc w:val="both"/>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t xml:space="preserve">00234/DIFHUEHUET/IP/2025: </w:t>
      </w:r>
    </w:p>
    <w:p w14:paraId="557E26BE" w14:textId="77777777" w:rsidR="00E625A8" w:rsidRPr="004549D6" w:rsidRDefault="001F6039">
      <w:pPr>
        <w:spacing w:line="240" w:lineRule="auto"/>
        <w:ind w:left="1134" w:right="900"/>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Del personal adscrito a Tesorería</w:t>
      </w:r>
    </w:p>
    <w:p w14:paraId="63A13730" w14:textId="77777777" w:rsidR="00E625A8" w:rsidRPr="004549D6" w:rsidRDefault="001F6039">
      <w:pPr>
        <w:numPr>
          <w:ilvl w:val="0"/>
          <w:numId w:val="9"/>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Expedientes laborales</w:t>
      </w:r>
    </w:p>
    <w:p w14:paraId="3ACF296B" w14:textId="77777777" w:rsidR="00E625A8" w:rsidRPr="004549D6" w:rsidRDefault="001F6039">
      <w:pPr>
        <w:numPr>
          <w:ilvl w:val="0"/>
          <w:numId w:val="9"/>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Recibos de Nómina del personal adscrito al área de la primera quincena de julio a la segunda quincena de septiembre de dos mil veinticinco del personal adscrito al área</w:t>
      </w:r>
    </w:p>
    <w:p w14:paraId="3874C6D0" w14:textId="77777777" w:rsidR="00E625A8" w:rsidRPr="004549D6" w:rsidRDefault="001F6039">
      <w:pPr>
        <w:numPr>
          <w:ilvl w:val="0"/>
          <w:numId w:val="9"/>
        </w:numPr>
        <w:pBdr>
          <w:top w:val="nil"/>
          <w:left w:val="nil"/>
          <w:bottom w:val="nil"/>
          <w:right w:val="nil"/>
          <w:between w:val="nil"/>
        </w:pBdr>
        <w:spacing w:after="0" w:line="240" w:lineRule="auto"/>
        <w:ind w:right="900"/>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lastRenderedPageBreak/>
        <w:t>Acta donde se apruebe la clasificación de la información solicitada por el Comité de Transparencia</w:t>
      </w:r>
    </w:p>
    <w:p w14:paraId="72FBE457" w14:textId="77777777" w:rsidR="00E625A8" w:rsidRPr="004549D6" w:rsidRDefault="00E625A8">
      <w:pPr>
        <w:spacing w:line="360" w:lineRule="auto"/>
        <w:ind w:left="1134" w:right="900"/>
        <w:jc w:val="both"/>
        <w:rPr>
          <w:rFonts w:ascii="Palatino Linotype" w:eastAsia="Palatino Linotype" w:hAnsi="Palatino Linotype" w:cs="Palatino Linotype"/>
          <w:sz w:val="24"/>
          <w:szCs w:val="24"/>
        </w:rPr>
      </w:pPr>
    </w:p>
    <w:p w14:paraId="4473C216"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Como se ha constatado en los antecedentes, el Sujeto Obligado proporcionó respuesta documental a fin de dar atención a las solicitudes de información requeridas, sin embargo </w:t>
      </w:r>
      <w:r w:rsidRPr="004549D6">
        <w:rPr>
          <w:rFonts w:ascii="Palatino Linotype" w:eastAsia="Palatino Linotype" w:hAnsi="Palatino Linotype" w:cs="Palatino Linotype"/>
          <w:b/>
          <w:bCs/>
          <w:color w:val="000000"/>
          <w:sz w:val="24"/>
          <w:szCs w:val="24"/>
        </w:rPr>
        <w:t>EL RECURRENTE</w:t>
      </w:r>
      <w:r w:rsidRPr="004549D6">
        <w:rPr>
          <w:rFonts w:ascii="Palatino Linotype" w:eastAsia="Palatino Linotype" w:hAnsi="Palatino Linotype" w:cs="Palatino Linotype"/>
          <w:color w:val="000000"/>
          <w:sz w:val="24"/>
          <w:szCs w:val="24"/>
        </w:rPr>
        <w:t xml:space="preserve"> se inconformó  en términos generales debido a la entrega incompleta de la información y a la clasificación de ésta, así como la entrega o puesta a disposición de información en una modalidad o formato distinto al solicitado.</w:t>
      </w:r>
    </w:p>
    <w:p w14:paraId="27E98FCC" w14:textId="77777777" w:rsidR="00E625A8" w:rsidRPr="004549D6" w:rsidRDefault="00E625A8">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14:paraId="463E5BBA" w14:textId="77777777" w:rsidR="00E625A8" w:rsidRPr="004549D6" w:rsidRDefault="001F6039">
      <w:pPr>
        <w:numPr>
          <w:ilvl w:val="0"/>
          <w:numId w:val="25"/>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En dichas condiciones, la </w:t>
      </w:r>
      <w:r w:rsidRPr="004549D6">
        <w:rPr>
          <w:rFonts w:ascii="Palatino Linotype" w:eastAsia="Palatino Linotype" w:hAnsi="Palatino Linotype" w:cs="Palatino Linotype"/>
          <w:i/>
          <w:iCs/>
          <w:color w:val="000000"/>
          <w:sz w:val="24"/>
          <w:szCs w:val="24"/>
        </w:rPr>
        <w:t>Litis</w:t>
      </w:r>
      <w:r w:rsidRPr="004549D6">
        <w:rPr>
          <w:rFonts w:ascii="Palatino Linotype" w:eastAsia="Palatino Linotype" w:hAnsi="Palatino Linotype" w:cs="Palatino Linotype"/>
          <w:color w:val="000000"/>
          <w:sz w:val="24"/>
          <w:szCs w:val="24"/>
        </w:rPr>
        <w:t xml:space="preserve"> a resolver en este recurso se circunscribe a determinar si se actualizan las causales de procedencia previstas en el artículo 179, </w:t>
      </w:r>
      <w:r w:rsidRPr="004549D6">
        <w:rPr>
          <w:rFonts w:ascii="Palatino Linotype" w:eastAsia="Palatino Linotype" w:hAnsi="Palatino Linotype" w:cs="Palatino Linotype"/>
          <w:b/>
          <w:bCs/>
          <w:color w:val="000000"/>
          <w:sz w:val="24"/>
          <w:szCs w:val="24"/>
        </w:rPr>
        <w:t xml:space="preserve">fracciones II, V y VIII </w:t>
      </w:r>
      <w:r w:rsidRPr="004549D6">
        <w:rPr>
          <w:rFonts w:ascii="Palatino Linotype" w:eastAsia="Palatino Linotype" w:hAnsi="Palatino Linotype" w:cs="Palatino Linotype"/>
          <w:color w:val="000000"/>
          <w:sz w:val="24"/>
          <w:szCs w:val="24"/>
        </w:rPr>
        <w:t>de la Ley</w:t>
      </w:r>
      <w:r w:rsidRPr="004549D6">
        <w:rPr>
          <w:rFonts w:ascii="Palatino Linotype" w:eastAsia="Palatino Linotype" w:hAnsi="Palatino Linotype" w:cs="Palatino Linotype"/>
          <w:b/>
          <w:bCs/>
          <w:color w:val="000000"/>
          <w:sz w:val="24"/>
          <w:szCs w:val="24"/>
        </w:rPr>
        <w:t xml:space="preserve"> de Transparencia y Acceso a la Información Pública del Estado de </w:t>
      </w:r>
      <w:r w:rsidRPr="004549D6">
        <w:rPr>
          <w:rFonts w:ascii="Palatino Linotype" w:eastAsia="Palatino Linotype" w:hAnsi="Palatino Linotype" w:cs="Palatino Linotype"/>
          <w:color w:val="000000"/>
          <w:sz w:val="24"/>
          <w:szCs w:val="24"/>
        </w:rPr>
        <w:t>México</w:t>
      </w:r>
      <w:r w:rsidRPr="004549D6">
        <w:rPr>
          <w:rFonts w:ascii="Palatino Linotype" w:eastAsia="Palatino Linotype" w:hAnsi="Palatino Linotype" w:cs="Palatino Linotype"/>
          <w:b/>
          <w:bCs/>
          <w:color w:val="000000"/>
          <w:sz w:val="24"/>
          <w:szCs w:val="24"/>
        </w:rPr>
        <w:t xml:space="preserve"> y Municipios</w:t>
      </w:r>
      <w:r w:rsidRPr="004549D6">
        <w:rPr>
          <w:rFonts w:ascii="Palatino Linotype" w:eastAsia="Palatino Linotype" w:hAnsi="Palatino Linotype" w:cs="Palatino Linotype"/>
          <w:color w:val="000000"/>
          <w:sz w:val="24"/>
          <w:szCs w:val="24"/>
        </w:rPr>
        <w:t>; fracciones  que determinan las hipótesis jurídicas relativas a la  clasificación de la información, la entrega incompleta de la información y  a la notificación, entrega o puesta a disposición de información en una modalidad o formato distinto al solicitado.</w:t>
      </w:r>
    </w:p>
    <w:p w14:paraId="6151C782"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95FB75F" w14:textId="77777777" w:rsidR="00E625A8" w:rsidRPr="004549D6" w:rsidRDefault="001F6039">
      <w:pPr>
        <w:numPr>
          <w:ilvl w:val="0"/>
          <w:numId w:val="26"/>
        </w:numPr>
        <w:spacing w:after="0" w:line="360" w:lineRule="auto"/>
        <w:ind w:left="0" w:right="49"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color w:val="000000"/>
          <w:sz w:val="24"/>
          <w:szCs w:val="24"/>
        </w:rPr>
        <w:t>C</w:t>
      </w:r>
      <w:r w:rsidRPr="004549D6">
        <w:rPr>
          <w:rFonts w:ascii="Palatino Linotype" w:eastAsia="Palatino Linotype" w:hAnsi="Palatino Linotype" w:cs="Palatino Linotype"/>
          <w:sz w:val="24"/>
          <w:szCs w:val="24"/>
        </w:rPr>
        <w:t xml:space="preserve">ontexto del cual se dolió </w:t>
      </w:r>
      <w:r w:rsidRPr="004549D6">
        <w:rPr>
          <w:rFonts w:ascii="Palatino Linotype" w:eastAsia="Palatino Linotype" w:hAnsi="Palatino Linotype" w:cs="Palatino Linotype"/>
          <w:b/>
          <w:bCs/>
          <w:sz w:val="24"/>
          <w:szCs w:val="24"/>
        </w:rPr>
        <w:t xml:space="preserve">EL RECURRENTE </w:t>
      </w:r>
      <w:r w:rsidRPr="004549D6">
        <w:rPr>
          <w:rFonts w:ascii="Palatino Linotype" w:eastAsia="Palatino Linotype" w:hAnsi="Palatino Linotype" w:cs="Palatino Linotype"/>
          <w:sz w:val="24"/>
          <w:szCs w:val="24"/>
        </w:rPr>
        <w:t xml:space="preserve">al momento de interponer su inconformidad. </w:t>
      </w:r>
      <w:r w:rsidRPr="004549D6">
        <w:rPr>
          <w:rFonts w:ascii="Palatino Linotype" w:eastAsia="Palatino Linotype" w:hAnsi="Palatino Linotype" w:cs="Palatino Linotype"/>
          <w:color w:val="000000"/>
          <w:sz w:val="24"/>
          <w:szCs w:val="24"/>
        </w:rPr>
        <w:t xml:space="preserve">De modo tal que el presente recurso de revisión se </w:t>
      </w:r>
      <w:r w:rsidRPr="004549D6">
        <w:rPr>
          <w:rFonts w:ascii="Palatino Linotype" w:eastAsia="Palatino Linotype" w:hAnsi="Palatino Linotype" w:cs="Palatino Linotype"/>
          <w:sz w:val="24"/>
          <w:szCs w:val="24"/>
        </w:rPr>
        <w:t>abocará</w:t>
      </w:r>
      <w:r w:rsidRPr="004549D6">
        <w:rPr>
          <w:rFonts w:ascii="Palatino Linotype" w:eastAsia="Palatino Linotype" w:hAnsi="Palatino Linotype" w:cs="Palatino Linotype"/>
          <w:color w:val="000000"/>
          <w:sz w:val="24"/>
          <w:szCs w:val="24"/>
        </w:rPr>
        <w:t xml:space="preserve"> en determinar si el Sujeto Obligado con su respuesta ciertamente actualiza la causal de procedencia</w:t>
      </w:r>
      <w:r w:rsidRPr="004549D6">
        <w:rPr>
          <w:rFonts w:ascii="Palatino Linotype" w:eastAsia="Palatino Linotype" w:hAnsi="Palatino Linotype" w:cs="Palatino Linotype"/>
          <w:b/>
          <w:bCs/>
          <w:color w:val="000000"/>
          <w:sz w:val="24"/>
          <w:szCs w:val="24"/>
        </w:rPr>
        <w:t xml:space="preserve"> </w:t>
      </w:r>
      <w:r w:rsidRPr="004549D6">
        <w:rPr>
          <w:rFonts w:ascii="Palatino Linotype" w:eastAsia="Palatino Linotype" w:hAnsi="Palatino Linotype" w:cs="Palatino Linotype"/>
          <w:color w:val="000000"/>
          <w:sz w:val="24"/>
          <w:szCs w:val="24"/>
        </w:rPr>
        <w:t xml:space="preserve">señalada. </w:t>
      </w:r>
    </w:p>
    <w:p w14:paraId="080A75A2" w14:textId="77777777" w:rsidR="00E625A8" w:rsidRPr="004549D6" w:rsidRDefault="00E625A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44F6B39" w14:textId="77777777" w:rsidR="00E625A8" w:rsidRPr="004549D6" w:rsidRDefault="001F603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b/>
          <w:bCs/>
          <w:color w:val="000000"/>
          <w:sz w:val="24"/>
          <w:szCs w:val="24"/>
        </w:rPr>
        <w:t>CUARTO.</w:t>
      </w:r>
      <w:r w:rsidRPr="004549D6">
        <w:rPr>
          <w:rFonts w:ascii="Palatino Linotype" w:eastAsia="Palatino Linotype" w:hAnsi="Palatino Linotype" w:cs="Palatino Linotype"/>
          <w:color w:val="000000"/>
          <w:sz w:val="24"/>
          <w:szCs w:val="24"/>
        </w:rPr>
        <w:t xml:space="preserve"> </w:t>
      </w:r>
      <w:r w:rsidRPr="004549D6">
        <w:rPr>
          <w:rFonts w:ascii="Palatino Linotype" w:eastAsia="Palatino Linotype" w:hAnsi="Palatino Linotype" w:cs="Palatino Linotype"/>
          <w:b/>
          <w:bCs/>
          <w:color w:val="000000"/>
          <w:sz w:val="24"/>
          <w:szCs w:val="24"/>
        </w:rPr>
        <w:t>Estudio  de la controversia.</w:t>
      </w:r>
    </w:p>
    <w:p w14:paraId="45D112FE" w14:textId="77777777" w:rsidR="00E625A8" w:rsidRPr="004549D6" w:rsidRDefault="001F6039">
      <w:pPr>
        <w:widowControl w:val="0"/>
        <w:numPr>
          <w:ilvl w:val="0"/>
          <w:numId w:val="26"/>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 De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w:t>
      </w:r>
      <w:r w:rsidRPr="004549D6">
        <w:rPr>
          <w:rFonts w:ascii="Palatino Linotype" w:eastAsia="Palatino Linotype" w:hAnsi="Palatino Linotype" w:cs="Palatino Linotype"/>
          <w:color w:val="000000"/>
          <w:sz w:val="24"/>
          <w:szCs w:val="24"/>
        </w:rPr>
        <w:lastRenderedPageBreak/>
        <w:t>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00D27757" w14:textId="77777777" w:rsidR="00E625A8" w:rsidRPr="004549D6" w:rsidRDefault="00E625A8">
      <w:pPr>
        <w:spacing w:line="240" w:lineRule="auto"/>
        <w:ind w:right="48"/>
        <w:jc w:val="both"/>
        <w:rPr>
          <w:rFonts w:ascii="Palatino Linotype" w:eastAsia="Palatino Linotype" w:hAnsi="Palatino Linotype" w:cs="Palatino Linotype"/>
          <w:sz w:val="24"/>
          <w:szCs w:val="24"/>
        </w:rPr>
      </w:pPr>
    </w:p>
    <w:p w14:paraId="2538E8A6" w14:textId="77777777" w:rsidR="00E625A8" w:rsidRPr="004549D6" w:rsidRDefault="001F6039">
      <w:pPr>
        <w:numPr>
          <w:ilvl w:val="0"/>
          <w:numId w:val="2"/>
        </w:numPr>
        <w:spacing w:after="0" w:line="360" w:lineRule="auto"/>
        <w:ind w:left="0" w:right="49"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41E9F2" w14:textId="77777777" w:rsidR="00E625A8" w:rsidRPr="004549D6" w:rsidRDefault="00E625A8">
      <w:pPr>
        <w:spacing w:line="240" w:lineRule="auto"/>
        <w:ind w:right="-787"/>
        <w:jc w:val="both"/>
        <w:rPr>
          <w:rFonts w:ascii="Palatino Linotype" w:eastAsia="Palatino Linotype" w:hAnsi="Palatino Linotype" w:cs="Palatino Linotype"/>
          <w:sz w:val="24"/>
          <w:szCs w:val="24"/>
        </w:rPr>
      </w:pPr>
    </w:p>
    <w:p w14:paraId="62B8AC63" w14:textId="77777777" w:rsidR="00E625A8" w:rsidRDefault="001F6039">
      <w:pPr>
        <w:numPr>
          <w:ilvl w:val="0"/>
          <w:numId w:val="2"/>
        </w:numPr>
        <w:spacing w:after="0" w:line="360" w:lineRule="auto"/>
        <w:ind w:left="0" w:right="49"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4828BE35" w14:textId="77777777" w:rsidR="004549D6" w:rsidRPr="004549D6" w:rsidRDefault="004549D6" w:rsidP="004549D6">
      <w:pPr>
        <w:spacing w:after="0" w:line="360" w:lineRule="auto"/>
        <w:ind w:right="49"/>
        <w:jc w:val="both"/>
        <w:rPr>
          <w:rFonts w:ascii="Palatino Linotype" w:eastAsia="Palatino Linotype" w:hAnsi="Palatino Linotype" w:cs="Palatino Linotype"/>
          <w:sz w:val="24"/>
          <w:szCs w:val="24"/>
        </w:rPr>
      </w:pPr>
    </w:p>
    <w:p w14:paraId="61BA2E63" w14:textId="77777777" w:rsidR="00E625A8" w:rsidRPr="004549D6" w:rsidRDefault="001F6039">
      <w:pPr>
        <w:numPr>
          <w:ilvl w:val="0"/>
          <w:numId w:val="2"/>
        </w:numPr>
        <w:spacing w:after="0" w:line="360" w:lineRule="auto"/>
        <w:ind w:left="0" w:right="49" w:firstLine="0"/>
        <w:jc w:val="both"/>
        <w:rPr>
          <w:rFonts w:ascii="Palatino Linotype" w:eastAsia="Palatino Linotype" w:hAnsi="Palatino Linotype" w:cs="Palatino Linotype"/>
          <w:sz w:val="24"/>
          <w:szCs w:val="24"/>
        </w:rPr>
      </w:pPr>
      <w:bookmarkStart w:id="6" w:name="_heading=h.4d34og8" w:colFirst="0" w:colLast="0"/>
      <w:bookmarkEnd w:id="6"/>
      <w:r w:rsidRPr="004549D6">
        <w:rPr>
          <w:rFonts w:ascii="Palatino Linotype" w:eastAsia="Palatino Linotype" w:hAnsi="Palatino Linotype" w:cs="Palatino Linotype"/>
          <w:sz w:val="24"/>
          <w:szCs w:val="24"/>
        </w:rPr>
        <w:t xml:space="preserve">Así entonces, se procede analizar, en primer lugar, si el </w:t>
      </w:r>
      <w:r w:rsidRPr="004549D6">
        <w:rPr>
          <w:rFonts w:ascii="Palatino Linotype" w:eastAsia="Palatino Linotype" w:hAnsi="Palatino Linotype" w:cs="Palatino Linotype"/>
          <w:b/>
          <w:bCs/>
          <w:sz w:val="24"/>
          <w:szCs w:val="24"/>
        </w:rPr>
        <w:t>SUJETO OBLIGADO</w:t>
      </w:r>
      <w:r w:rsidRPr="004549D6">
        <w:rPr>
          <w:rFonts w:ascii="Palatino Linotype" w:eastAsia="Palatino Linotype" w:hAnsi="Palatino Linotype" w:cs="Palatino Linotype"/>
          <w:sz w:val="24"/>
          <w:szCs w:val="24"/>
        </w:rPr>
        <w:t xml:space="preserve"> al atender la solicitud de acceso a la información, satisfizo la garantía primaria del derecho según </w:t>
      </w:r>
      <w:r w:rsidRPr="004549D6">
        <w:rPr>
          <w:rFonts w:ascii="Palatino Linotype" w:eastAsia="Palatino Linotype" w:hAnsi="Palatino Linotype" w:cs="Palatino Linotype"/>
          <w:sz w:val="24"/>
          <w:szCs w:val="24"/>
        </w:rPr>
        <w:lastRenderedPageBreak/>
        <w:t>lo dispuesto por el artículo 150 de la Ley de Transparencia y Acceso a la Información Pública del Estado de México y Municipios y en segundo término si cumplió con su deber de respetar y garantizar el derecho, entregando la información solicitada.</w:t>
      </w:r>
    </w:p>
    <w:p w14:paraId="3E927B02"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485DCE9" w14:textId="77777777" w:rsidR="00E625A8" w:rsidRPr="004549D6" w:rsidRDefault="001F6039">
      <w:pPr>
        <w:keepNext/>
        <w:keepLines/>
        <w:ind w:left="1135" w:hanging="1135"/>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t>De la información solicitada y la respuesta del SUJETO OBLIGADO</w:t>
      </w:r>
    </w:p>
    <w:p w14:paraId="6E78A0AC" w14:textId="77777777" w:rsidR="00E625A8" w:rsidRPr="004549D6" w:rsidRDefault="001F6039">
      <w:pPr>
        <w:numPr>
          <w:ilvl w:val="0"/>
          <w:numId w:val="2"/>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En ese sentido es importante recordar la información que fue solicitada por el RECURRENTE por lo que se desglosa en el siguiente cuadro la información solicitada por el Recurrente, la respuesta otorgada por el Sujeto Obligado y su cumplimiento.</w:t>
      </w:r>
    </w:p>
    <w:tbl>
      <w:tblPr>
        <w:tblStyle w:val="a0"/>
        <w:tblW w:w="9781"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64"/>
        <w:gridCol w:w="2141"/>
        <w:gridCol w:w="2693"/>
        <w:gridCol w:w="2283"/>
      </w:tblGrid>
      <w:tr w:rsidR="00E625A8" w:rsidRPr="004549D6" w14:paraId="0BFD92C0" w14:textId="77777777" w:rsidTr="004549D6">
        <w:trPr>
          <w:trHeight w:val="696"/>
          <w:tblHeader/>
        </w:trPr>
        <w:tc>
          <w:tcPr>
            <w:tcW w:w="2664" w:type="dxa"/>
            <w:shd w:val="clear" w:color="auto" w:fill="D9D9D9"/>
            <w:vAlign w:val="center"/>
          </w:tcPr>
          <w:p w14:paraId="24B8D202" w14:textId="77777777" w:rsidR="00E625A8" w:rsidRPr="004549D6" w:rsidRDefault="001F6039">
            <w:pPr>
              <w:ind w:right="194"/>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FOLIO DE LA SOLICITUD/ RECURSO</w:t>
            </w:r>
          </w:p>
        </w:tc>
        <w:tc>
          <w:tcPr>
            <w:tcW w:w="2141" w:type="dxa"/>
            <w:shd w:val="clear" w:color="auto" w:fill="D9D9D9"/>
            <w:vAlign w:val="center"/>
          </w:tcPr>
          <w:p w14:paraId="615D6360"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DESCRIPCIÓN DE LA INFORMACIÓN SOLICITADA</w:t>
            </w:r>
          </w:p>
        </w:tc>
        <w:tc>
          <w:tcPr>
            <w:tcW w:w="2693" w:type="dxa"/>
            <w:shd w:val="clear" w:color="auto" w:fill="D9D9D9"/>
            <w:vAlign w:val="center"/>
          </w:tcPr>
          <w:p w14:paraId="56BA531C"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 xml:space="preserve">RESPUESTA </w:t>
            </w:r>
          </w:p>
        </w:tc>
        <w:tc>
          <w:tcPr>
            <w:tcW w:w="2283" w:type="dxa"/>
            <w:shd w:val="clear" w:color="auto" w:fill="D9D9D9"/>
            <w:vAlign w:val="center"/>
          </w:tcPr>
          <w:p w14:paraId="45132EF7"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CUMPLIMIENTO</w:t>
            </w:r>
          </w:p>
        </w:tc>
      </w:tr>
      <w:tr w:rsidR="00E625A8" w:rsidRPr="004549D6" w14:paraId="1B3FBFC6" w14:textId="77777777" w:rsidTr="004549D6">
        <w:trPr>
          <w:trHeight w:val="460"/>
        </w:trPr>
        <w:tc>
          <w:tcPr>
            <w:tcW w:w="2664" w:type="dxa"/>
            <w:vMerge w:val="restart"/>
            <w:vAlign w:val="center"/>
          </w:tcPr>
          <w:p w14:paraId="19F37B23" w14:textId="77777777" w:rsidR="00E625A8" w:rsidRPr="004549D6" w:rsidRDefault="001F6039">
            <w:pPr>
              <w:jc w:val="center"/>
              <w:rPr>
                <w:rFonts w:ascii="Palatino Linotype" w:eastAsia="Palatino Linotype" w:hAnsi="Palatino Linotype" w:cs="Palatino Linotype"/>
                <w:b/>
                <w:bCs/>
                <w:lang w:val="en-US"/>
              </w:rPr>
            </w:pPr>
            <w:r w:rsidRPr="004549D6">
              <w:rPr>
                <w:rFonts w:ascii="Palatino Linotype" w:eastAsia="Palatino Linotype" w:hAnsi="Palatino Linotype" w:cs="Palatino Linotype"/>
                <w:b/>
                <w:bCs/>
                <w:sz w:val="24"/>
                <w:szCs w:val="24"/>
                <w:lang w:val="en-US"/>
              </w:rPr>
              <w:t>00210/DIFHUEHUET/IP/202511223/INFOEM/IP/RR/2025</w:t>
            </w:r>
          </w:p>
          <w:p w14:paraId="2CC7A7B6" w14:textId="77777777" w:rsidR="00E625A8" w:rsidRPr="004549D6" w:rsidRDefault="00E625A8">
            <w:pPr>
              <w:jc w:val="center"/>
              <w:rPr>
                <w:rFonts w:ascii="Palatino Linotype" w:eastAsia="Palatino Linotype" w:hAnsi="Palatino Linotype" w:cs="Palatino Linotype"/>
                <w:b/>
                <w:bCs/>
                <w:lang w:val="en-US"/>
              </w:rPr>
            </w:pPr>
          </w:p>
          <w:p w14:paraId="0279BB3A" w14:textId="77777777" w:rsidR="00E625A8" w:rsidRPr="004549D6" w:rsidRDefault="00E625A8">
            <w:pPr>
              <w:jc w:val="center"/>
              <w:rPr>
                <w:rFonts w:ascii="Palatino Linotype" w:eastAsia="Palatino Linotype" w:hAnsi="Palatino Linotype" w:cs="Palatino Linotype"/>
                <w:b/>
                <w:bCs/>
                <w:lang w:val="en-US"/>
              </w:rPr>
            </w:pPr>
          </w:p>
          <w:p w14:paraId="131045D6" w14:textId="77777777" w:rsidR="00E625A8" w:rsidRPr="004549D6" w:rsidRDefault="001F6039">
            <w:pPr>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(Del personal adscrito a Estancias Infantiles)</w:t>
            </w:r>
          </w:p>
        </w:tc>
        <w:tc>
          <w:tcPr>
            <w:tcW w:w="2141" w:type="dxa"/>
          </w:tcPr>
          <w:p w14:paraId="7253EB33"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Cuantas personas se encuentran adscritas al área</w:t>
            </w:r>
          </w:p>
        </w:tc>
        <w:tc>
          <w:tcPr>
            <w:tcW w:w="2693" w:type="dxa"/>
          </w:tcPr>
          <w:p w14:paraId="1872E6CF"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 xml:space="preserve">Señala mediante escrito ad hoc que actualmente laboran 16 servidores públicos </w:t>
            </w:r>
          </w:p>
        </w:tc>
        <w:tc>
          <w:tcPr>
            <w:tcW w:w="2283" w:type="dxa"/>
            <w:vAlign w:val="center"/>
          </w:tcPr>
          <w:p w14:paraId="0B0D609B"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t>SI</w:t>
            </w:r>
          </w:p>
        </w:tc>
      </w:tr>
      <w:tr w:rsidR="00E625A8" w:rsidRPr="004549D6" w14:paraId="5405085D" w14:textId="77777777" w:rsidTr="004549D6">
        <w:trPr>
          <w:trHeight w:val="460"/>
        </w:trPr>
        <w:tc>
          <w:tcPr>
            <w:tcW w:w="2664" w:type="dxa"/>
            <w:vMerge/>
            <w:vAlign w:val="center"/>
          </w:tcPr>
          <w:p w14:paraId="77ACE1DF" w14:textId="77777777" w:rsidR="00E625A8" w:rsidRPr="004549D6" w:rsidRDefault="00E625A8">
            <w:pPr>
              <w:widowControl w:val="0"/>
              <w:pBdr>
                <w:top w:val="nil"/>
                <w:left w:val="nil"/>
                <w:bottom w:val="nil"/>
                <w:right w:val="nil"/>
                <w:between w:val="nil"/>
              </w:pBdr>
              <w:spacing w:line="276" w:lineRule="auto"/>
              <w:rPr>
                <w:rFonts w:ascii="Palatino Linotype" w:eastAsia="Palatino Linotype" w:hAnsi="Palatino Linotype" w:cs="Palatino Linotype"/>
                <w:b/>
                <w:bCs/>
                <w:i/>
                <w:iCs/>
              </w:rPr>
            </w:pPr>
          </w:p>
        </w:tc>
        <w:tc>
          <w:tcPr>
            <w:tcW w:w="2141" w:type="dxa"/>
            <w:shd w:val="clear" w:color="auto" w:fill="auto"/>
            <w:vAlign w:val="center"/>
          </w:tcPr>
          <w:p w14:paraId="3E622B23"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Cargo del personal adscrito al área</w:t>
            </w:r>
          </w:p>
        </w:tc>
        <w:tc>
          <w:tcPr>
            <w:tcW w:w="2693" w:type="dxa"/>
            <w:shd w:val="clear" w:color="auto" w:fill="auto"/>
            <w:vAlign w:val="center"/>
          </w:tcPr>
          <w:p w14:paraId="571DB2C2"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Señala mediante escrito ad hoc que actualmente laboran 16 servidores públicos (una coordinadora, tres directoras, ocho maestras y cuatro cocineras)</w:t>
            </w:r>
          </w:p>
        </w:tc>
        <w:tc>
          <w:tcPr>
            <w:tcW w:w="2283" w:type="dxa"/>
            <w:shd w:val="clear" w:color="auto" w:fill="auto"/>
            <w:vAlign w:val="center"/>
          </w:tcPr>
          <w:p w14:paraId="295F9C89"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t>SI</w:t>
            </w:r>
          </w:p>
        </w:tc>
      </w:tr>
      <w:tr w:rsidR="00E625A8" w:rsidRPr="004549D6" w14:paraId="6C19D2F9" w14:textId="77777777" w:rsidTr="004549D6">
        <w:trPr>
          <w:trHeight w:val="460"/>
        </w:trPr>
        <w:tc>
          <w:tcPr>
            <w:tcW w:w="2664" w:type="dxa"/>
            <w:vMerge/>
            <w:vAlign w:val="center"/>
          </w:tcPr>
          <w:p w14:paraId="601EB465" w14:textId="77777777" w:rsidR="00E625A8" w:rsidRPr="004549D6" w:rsidRDefault="00E625A8">
            <w:pPr>
              <w:widowControl w:val="0"/>
              <w:pBdr>
                <w:top w:val="nil"/>
                <w:left w:val="nil"/>
                <w:bottom w:val="nil"/>
                <w:right w:val="nil"/>
                <w:between w:val="nil"/>
              </w:pBdr>
              <w:spacing w:line="276" w:lineRule="auto"/>
              <w:rPr>
                <w:rFonts w:ascii="Palatino Linotype" w:eastAsia="Palatino Linotype" w:hAnsi="Palatino Linotype" w:cs="Palatino Linotype"/>
                <w:b/>
                <w:bCs/>
                <w:i/>
                <w:iCs/>
              </w:rPr>
            </w:pPr>
          </w:p>
        </w:tc>
        <w:tc>
          <w:tcPr>
            <w:tcW w:w="2141" w:type="dxa"/>
          </w:tcPr>
          <w:p w14:paraId="14FB7404"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Expedientes laborales del personal adscrito al área</w:t>
            </w:r>
          </w:p>
        </w:tc>
        <w:tc>
          <w:tcPr>
            <w:tcW w:w="2693" w:type="dxa"/>
          </w:tcPr>
          <w:p w14:paraId="0D9E7175"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Mediante oficio refiere adjuntar la información sin embargo se advierte que la misma no fue remitida.</w:t>
            </w:r>
          </w:p>
        </w:tc>
        <w:tc>
          <w:tcPr>
            <w:tcW w:w="2283" w:type="dxa"/>
            <w:vAlign w:val="center"/>
          </w:tcPr>
          <w:p w14:paraId="12734B3B"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t>NO</w:t>
            </w:r>
          </w:p>
        </w:tc>
      </w:tr>
      <w:tr w:rsidR="00E625A8" w:rsidRPr="004549D6" w14:paraId="0282EDAC" w14:textId="77777777" w:rsidTr="004549D6">
        <w:trPr>
          <w:trHeight w:val="410"/>
        </w:trPr>
        <w:tc>
          <w:tcPr>
            <w:tcW w:w="2664" w:type="dxa"/>
            <w:vMerge/>
            <w:vAlign w:val="center"/>
          </w:tcPr>
          <w:p w14:paraId="35BF91AB" w14:textId="77777777" w:rsidR="00E625A8" w:rsidRPr="004549D6" w:rsidRDefault="00E625A8">
            <w:pPr>
              <w:widowControl w:val="0"/>
              <w:pBdr>
                <w:top w:val="nil"/>
                <w:left w:val="nil"/>
                <w:bottom w:val="nil"/>
                <w:right w:val="nil"/>
                <w:between w:val="nil"/>
              </w:pBdr>
              <w:spacing w:line="276" w:lineRule="auto"/>
              <w:rPr>
                <w:rFonts w:ascii="Palatino Linotype" w:eastAsia="Palatino Linotype" w:hAnsi="Palatino Linotype" w:cs="Palatino Linotype"/>
                <w:b/>
                <w:bCs/>
                <w:i/>
                <w:iCs/>
              </w:rPr>
            </w:pPr>
          </w:p>
        </w:tc>
        <w:tc>
          <w:tcPr>
            <w:tcW w:w="2141" w:type="dxa"/>
            <w:shd w:val="clear" w:color="auto" w:fill="auto"/>
          </w:tcPr>
          <w:p w14:paraId="114426AA"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Recibos de Nómina correspondientes a  la primera y segunda quincena de agosto de 2025 del personal adscrito al área</w:t>
            </w:r>
          </w:p>
        </w:tc>
        <w:tc>
          <w:tcPr>
            <w:tcW w:w="2693" w:type="dxa"/>
            <w:shd w:val="clear" w:color="auto" w:fill="auto"/>
          </w:tcPr>
          <w:p w14:paraId="7E8BFD8E"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Tesorería refiere el cambio de modalidad a consulta directa en las oficinas centrales del DIF Municipal.</w:t>
            </w:r>
          </w:p>
        </w:tc>
        <w:tc>
          <w:tcPr>
            <w:tcW w:w="2283" w:type="dxa"/>
            <w:shd w:val="clear" w:color="auto" w:fill="auto"/>
            <w:vAlign w:val="center"/>
          </w:tcPr>
          <w:p w14:paraId="5B8B1A75" w14:textId="77777777" w:rsidR="00E625A8" w:rsidRPr="004549D6" w:rsidRDefault="001F6039">
            <w:pPr>
              <w:jc w:val="center"/>
              <w:rPr>
                <w:rFonts w:ascii="Palatino Linotype" w:eastAsia="Palatino Linotype" w:hAnsi="Palatino Linotype" w:cs="Palatino Linotype"/>
                <w:i/>
                <w:iCs/>
              </w:rPr>
            </w:pPr>
            <w:r w:rsidRPr="004549D6">
              <w:rPr>
                <w:rFonts w:ascii="Palatino Linotype" w:eastAsia="Palatino Linotype" w:hAnsi="Palatino Linotype" w:cs="Palatino Linotype"/>
                <w:b/>
                <w:bCs/>
                <w:i/>
                <w:iCs/>
                <w:sz w:val="24"/>
                <w:szCs w:val="24"/>
              </w:rPr>
              <w:t>NO</w:t>
            </w:r>
          </w:p>
        </w:tc>
      </w:tr>
      <w:tr w:rsidR="00E625A8" w:rsidRPr="004549D6" w14:paraId="5D5E33B6" w14:textId="77777777" w:rsidTr="004549D6">
        <w:trPr>
          <w:trHeight w:val="410"/>
        </w:trPr>
        <w:tc>
          <w:tcPr>
            <w:tcW w:w="2664" w:type="dxa"/>
            <w:vMerge w:val="restart"/>
            <w:shd w:val="clear" w:color="auto" w:fill="F2F2F2"/>
            <w:vAlign w:val="center"/>
          </w:tcPr>
          <w:p w14:paraId="73E499ED" w14:textId="77777777" w:rsidR="00E625A8" w:rsidRPr="004549D6" w:rsidRDefault="001F6039">
            <w:pPr>
              <w:jc w:val="center"/>
              <w:rPr>
                <w:rFonts w:ascii="Palatino Linotype" w:eastAsia="Palatino Linotype" w:hAnsi="Palatino Linotype" w:cs="Palatino Linotype"/>
                <w:b/>
                <w:bCs/>
                <w:i/>
                <w:iCs/>
                <w:lang w:val="en-US"/>
              </w:rPr>
            </w:pPr>
            <w:r w:rsidRPr="004549D6">
              <w:rPr>
                <w:rFonts w:ascii="Palatino Linotype" w:eastAsia="Palatino Linotype" w:hAnsi="Palatino Linotype" w:cs="Palatino Linotype"/>
                <w:b/>
                <w:bCs/>
                <w:i/>
                <w:iCs/>
                <w:sz w:val="24"/>
                <w:szCs w:val="24"/>
                <w:lang w:val="en-US"/>
              </w:rPr>
              <w:t>00234/DIFHUEHUET/IP/2025</w:t>
            </w:r>
          </w:p>
          <w:p w14:paraId="23F20D04" w14:textId="77777777" w:rsidR="00E625A8" w:rsidRPr="004549D6" w:rsidRDefault="001F6039">
            <w:pPr>
              <w:jc w:val="center"/>
              <w:rPr>
                <w:rFonts w:ascii="Palatino Linotype" w:eastAsia="Palatino Linotype" w:hAnsi="Palatino Linotype" w:cs="Palatino Linotype"/>
                <w:b/>
                <w:bCs/>
                <w:i/>
                <w:iCs/>
                <w:lang w:val="en-US"/>
              </w:rPr>
            </w:pPr>
            <w:r w:rsidRPr="004549D6">
              <w:rPr>
                <w:rFonts w:ascii="Palatino Linotype" w:eastAsia="Palatino Linotype" w:hAnsi="Palatino Linotype" w:cs="Palatino Linotype"/>
                <w:b/>
                <w:bCs/>
                <w:i/>
                <w:iCs/>
                <w:sz w:val="24"/>
                <w:szCs w:val="24"/>
                <w:lang w:val="en-US"/>
              </w:rPr>
              <w:t>12158/INFOEM/IP/RR/2025</w:t>
            </w:r>
          </w:p>
          <w:p w14:paraId="17EA1CDC" w14:textId="77777777" w:rsidR="00E625A8" w:rsidRPr="004549D6" w:rsidRDefault="00E625A8">
            <w:pPr>
              <w:jc w:val="center"/>
              <w:rPr>
                <w:rFonts w:ascii="Palatino Linotype" w:eastAsia="Palatino Linotype" w:hAnsi="Palatino Linotype" w:cs="Palatino Linotype"/>
                <w:b/>
                <w:bCs/>
                <w:i/>
                <w:iCs/>
                <w:lang w:val="en-US"/>
              </w:rPr>
            </w:pPr>
          </w:p>
          <w:p w14:paraId="0B61E590"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t>(Del personal adscrito a Tesorería)</w:t>
            </w:r>
          </w:p>
        </w:tc>
        <w:tc>
          <w:tcPr>
            <w:tcW w:w="2141" w:type="dxa"/>
            <w:shd w:val="clear" w:color="auto" w:fill="F2F2F2"/>
            <w:vAlign w:val="center"/>
          </w:tcPr>
          <w:p w14:paraId="45B07D49"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Expedientes laborales</w:t>
            </w:r>
          </w:p>
        </w:tc>
        <w:tc>
          <w:tcPr>
            <w:tcW w:w="2693" w:type="dxa"/>
            <w:shd w:val="clear" w:color="auto" w:fill="F2F2F2"/>
          </w:tcPr>
          <w:p w14:paraId="1EC3274C"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Recursos Humanos entrega diversa documental que acredita escolaridad, identidad y certificaciones de tres servidores públicos donde enunciativamente deja a la vista CURP, datos clínicos,   firma del servidor público en documentos escolares, acta de nacimiento.  Faltan documentos que integren el expediente, enunciativamente constancia de no inhabilitación, nombramientos.</w:t>
            </w:r>
          </w:p>
        </w:tc>
        <w:tc>
          <w:tcPr>
            <w:tcW w:w="2283" w:type="dxa"/>
            <w:shd w:val="clear" w:color="auto" w:fill="F2F2F2"/>
            <w:vAlign w:val="center"/>
          </w:tcPr>
          <w:p w14:paraId="3FC756EA"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t>NO</w:t>
            </w:r>
          </w:p>
        </w:tc>
      </w:tr>
      <w:tr w:rsidR="00E625A8" w:rsidRPr="004549D6" w14:paraId="55637FB4" w14:textId="77777777" w:rsidTr="004549D6">
        <w:trPr>
          <w:trHeight w:val="410"/>
        </w:trPr>
        <w:tc>
          <w:tcPr>
            <w:tcW w:w="2664" w:type="dxa"/>
            <w:vMerge/>
            <w:shd w:val="clear" w:color="auto" w:fill="F2F2F2"/>
            <w:vAlign w:val="center"/>
          </w:tcPr>
          <w:p w14:paraId="01F2ABC1" w14:textId="77777777" w:rsidR="00E625A8" w:rsidRPr="004549D6" w:rsidRDefault="00E625A8">
            <w:pPr>
              <w:widowControl w:val="0"/>
              <w:pBdr>
                <w:top w:val="nil"/>
                <w:left w:val="nil"/>
                <w:bottom w:val="nil"/>
                <w:right w:val="nil"/>
                <w:between w:val="nil"/>
              </w:pBdr>
              <w:spacing w:line="276" w:lineRule="auto"/>
              <w:rPr>
                <w:rFonts w:ascii="Palatino Linotype" w:eastAsia="Palatino Linotype" w:hAnsi="Palatino Linotype" w:cs="Palatino Linotype"/>
                <w:b/>
                <w:bCs/>
                <w:i/>
                <w:iCs/>
              </w:rPr>
            </w:pPr>
          </w:p>
        </w:tc>
        <w:tc>
          <w:tcPr>
            <w:tcW w:w="2141" w:type="dxa"/>
            <w:shd w:val="clear" w:color="auto" w:fill="F2F2F2"/>
          </w:tcPr>
          <w:p w14:paraId="55B3CE66"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 xml:space="preserve">Recibos de Nómina del personal </w:t>
            </w:r>
            <w:r w:rsidRPr="004549D6">
              <w:rPr>
                <w:rFonts w:ascii="Palatino Linotype" w:eastAsia="Palatino Linotype" w:hAnsi="Palatino Linotype" w:cs="Palatino Linotype"/>
                <w:i/>
                <w:iCs/>
                <w:sz w:val="24"/>
                <w:szCs w:val="24"/>
              </w:rPr>
              <w:lastRenderedPageBreak/>
              <w:t>adscrito al área de la primera quincena de julio a la segunda quincena de septiembre de dos mil veinticinco del personal adscrito al área</w:t>
            </w:r>
          </w:p>
        </w:tc>
        <w:tc>
          <w:tcPr>
            <w:tcW w:w="2693" w:type="dxa"/>
            <w:shd w:val="clear" w:color="auto" w:fill="F2F2F2"/>
          </w:tcPr>
          <w:p w14:paraId="6E01FD3D"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lastRenderedPageBreak/>
              <w:t xml:space="preserve">Tesorería refiere el cambio de modalidad a consulta </w:t>
            </w:r>
            <w:r w:rsidRPr="004549D6">
              <w:rPr>
                <w:rFonts w:ascii="Palatino Linotype" w:eastAsia="Palatino Linotype" w:hAnsi="Palatino Linotype" w:cs="Palatino Linotype"/>
                <w:i/>
                <w:iCs/>
                <w:sz w:val="24"/>
                <w:szCs w:val="24"/>
              </w:rPr>
              <w:lastRenderedPageBreak/>
              <w:t>directa en las oficinas centrales del DIF Municipal.</w:t>
            </w:r>
          </w:p>
        </w:tc>
        <w:tc>
          <w:tcPr>
            <w:tcW w:w="2283" w:type="dxa"/>
            <w:shd w:val="clear" w:color="auto" w:fill="F2F2F2"/>
            <w:vAlign w:val="center"/>
          </w:tcPr>
          <w:p w14:paraId="5D5D0A5D"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lastRenderedPageBreak/>
              <w:t>NO</w:t>
            </w:r>
          </w:p>
        </w:tc>
      </w:tr>
      <w:tr w:rsidR="00E625A8" w:rsidRPr="004549D6" w14:paraId="5043E5BD" w14:textId="77777777" w:rsidTr="004549D6">
        <w:trPr>
          <w:trHeight w:val="410"/>
        </w:trPr>
        <w:tc>
          <w:tcPr>
            <w:tcW w:w="2664" w:type="dxa"/>
            <w:vMerge/>
            <w:shd w:val="clear" w:color="auto" w:fill="F2F2F2"/>
            <w:vAlign w:val="center"/>
          </w:tcPr>
          <w:p w14:paraId="65270823" w14:textId="77777777" w:rsidR="00E625A8" w:rsidRPr="004549D6" w:rsidRDefault="00E625A8">
            <w:pPr>
              <w:widowControl w:val="0"/>
              <w:pBdr>
                <w:top w:val="nil"/>
                <w:left w:val="nil"/>
                <w:bottom w:val="nil"/>
                <w:right w:val="nil"/>
                <w:between w:val="nil"/>
              </w:pBdr>
              <w:spacing w:line="276" w:lineRule="auto"/>
              <w:rPr>
                <w:rFonts w:ascii="Palatino Linotype" w:eastAsia="Palatino Linotype" w:hAnsi="Palatino Linotype" w:cs="Palatino Linotype"/>
                <w:b/>
                <w:bCs/>
                <w:i/>
                <w:iCs/>
              </w:rPr>
            </w:pPr>
          </w:p>
        </w:tc>
        <w:tc>
          <w:tcPr>
            <w:tcW w:w="2141" w:type="dxa"/>
            <w:shd w:val="clear" w:color="auto" w:fill="F2F2F2"/>
          </w:tcPr>
          <w:p w14:paraId="25700833"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Acta del Comité de Transparencia donde se apruebe la clasificación de la información solicitada.</w:t>
            </w:r>
          </w:p>
        </w:tc>
        <w:tc>
          <w:tcPr>
            <w:tcW w:w="2693" w:type="dxa"/>
            <w:shd w:val="clear" w:color="auto" w:fill="F2F2F2"/>
          </w:tcPr>
          <w:p w14:paraId="55F74C11"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Refiere Acta de la Cuadragésima Novena sesión extraordinaria del Comité de Transparencia donde aprueba la clasificación como confidencial de RFC, CURP, Numero de ISSEMYM, IMSS, Institución Bancaria e Cuenta Bancaria</w:t>
            </w:r>
          </w:p>
        </w:tc>
        <w:tc>
          <w:tcPr>
            <w:tcW w:w="2283" w:type="dxa"/>
            <w:shd w:val="clear" w:color="auto" w:fill="F2F2F2"/>
            <w:vAlign w:val="center"/>
          </w:tcPr>
          <w:p w14:paraId="0B2E0338" w14:textId="77777777" w:rsidR="00E625A8" w:rsidRPr="004549D6" w:rsidRDefault="001F6039">
            <w:pPr>
              <w:jc w:val="center"/>
              <w:rPr>
                <w:rFonts w:ascii="Palatino Linotype" w:eastAsia="Palatino Linotype" w:hAnsi="Palatino Linotype" w:cs="Palatino Linotype"/>
                <w:b/>
                <w:bCs/>
                <w:i/>
                <w:iCs/>
              </w:rPr>
            </w:pPr>
            <w:r w:rsidRPr="004549D6">
              <w:rPr>
                <w:rFonts w:ascii="Palatino Linotype" w:eastAsia="Palatino Linotype" w:hAnsi="Palatino Linotype" w:cs="Palatino Linotype"/>
                <w:b/>
                <w:bCs/>
                <w:i/>
                <w:iCs/>
                <w:sz w:val="24"/>
                <w:szCs w:val="24"/>
              </w:rPr>
              <w:t xml:space="preserve">NO </w:t>
            </w:r>
          </w:p>
          <w:p w14:paraId="7F3E230D"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 xml:space="preserve">Solo se consideró en el acuerdo lo relativo a los recibos de nómina, faltó considerar los expedientes laborales. </w:t>
            </w:r>
          </w:p>
          <w:p w14:paraId="0DD3B445" w14:textId="77777777" w:rsidR="00E625A8" w:rsidRPr="004549D6" w:rsidRDefault="001F6039">
            <w:pPr>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Se advierte información que fue testada y no fue considerada en el acuerdo de clasificación (idcif, cadenas y sellos digitales, QR, calificaciones, acta de nacimiento)</w:t>
            </w:r>
          </w:p>
          <w:p w14:paraId="0DB76900" w14:textId="77777777" w:rsidR="00E625A8" w:rsidRPr="004549D6" w:rsidRDefault="00E625A8">
            <w:pPr>
              <w:jc w:val="both"/>
              <w:rPr>
                <w:rFonts w:ascii="Palatino Linotype" w:eastAsia="Palatino Linotype" w:hAnsi="Palatino Linotype" w:cs="Palatino Linotype"/>
                <w:b/>
                <w:bCs/>
                <w:i/>
                <w:iCs/>
              </w:rPr>
            </w:pPr>
          </w:p>
        </w:tc>
      </w:tr>
    </w:tbl>
    <w:p w14:paraId="15A0CD50" w14:textId="77777777" w:rsidR="00E625A8" w:rsidRPr="004549D6" w:rsidRDefault="001F6039">
      <w:pPr>
        <w:numPr>
          <w:ilvl w:val="0"/>
          <w:numId w:val="2"/>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color w:val="000000"/>
          <w:sz w:val="24"/>
          <w:szCs w:val="24"/>
        </w:rPr>
        <w:lastRenderedPageBreak/>
        <w:t xml:space="preserve">A más de lo anterior, es de explorado derecho que este Instituto no se encuentra facultado para dudar de la veracidad de la </w:t>
      </w:r>
      <w:r w:rsidRPr="004549D6">
        <w:rPr>
          <w:rFonts w:ascii="Palatino Linotype" w:eastAsia="Palatino Linotype" w:hAnsi="Palatino Linotype" w:cs="Palatino Linotype"/>
          <w:sz w:val="24"/>
          <w:szCs w:val="24"/>
        </w:rPr>
        <w:t>información</w:t>
      </w:r>
      <w:r w:rsidRPr="004549D6">
        <w:rPr>
          <w:rFonts w:ascii="Palatino Linotype" w:eastAsia="Palatino Linotype" w:hAnsi="Palatino Linotype" w:cs="Palatino Linotype"/>
          <w:color w:val="000000"/>
          <w:sz w:val="24"/>
          <w:szCs w:val="24"/>
        </w:rPr>
        <w:t xml:space="preserve"> que le fue entregada al hoy </w:t>
      </w:r>
      <w:r w:rsidRPr="004549D6">
        <w:rPr>
          <w:rFonts w:ascii="Palatino Linotype" w:eastAsia="Palatino Linotype" w:hAnsi="Palatino Linotype" w:cs="Palatino Linotype"/>
          <w:b/>
          <w:bCs/>
          <w:color w:val="000000"/>
          <w:sz w:val="24"/>
          <w:szCs w:val="24"/>
        </w:rPr>
        <w:t>RECURRENTE</w:t>
      </w:r>
      <w:r w:rsidRPr="004549D6">
        <w:rPr>
          <w:rFonts w:ascii="Palatino Linotype" w:eastAsia="Palatino Linotype" w:hAnsi="Palatino Linotype" w:cs="Palatino Linotype"/>
          <w:color w:val="000000"/>
          <w:sz w:val="24"/>
          <w:szCs w:val="24"/>
        </w:rPr>
        <w:t xml:space="preserve"> en el presente asunto, ni de las respuestas, ni de las documentales que ponen a disposición de los solicitantes los sujetos obligados, </w:t>
      </w:r>
      <w:r w:rsidRPr="004549D6">
        <w:rPr>
          <w:rFonts w:ascii="Palatino Linotype" w:eastAsia="Palatino Linotype" w:hAnsi="Palatino Linotype" w:cs="Palatino Linotype"/>
          <w:sz w:val="24"/>
          <w:szCs w:val="24"/>
        </w:rPr>
        <w:t xml:space="preserve">situación que se aleja de las atribuciones de este Instituto </w:t>
      </w:r>
      <w:r w:rsidRPr="004549D6">
        <w:rPr>
          <w:rFonts w:ascii="Palatino Linotype" w:eastAsia="Palatino Linotype" w:hAnsi="Palatino Linotype" w:cs="Palatino Linotype"/>
          <w:i/>
          <w:iCs/>
          <w:color w:val="000000"/>
          <w:sz w:val="24"/>
          <w:szCs w:val="24"/>
        </w:rPr>
        <w:t>máxime</w:t>
      </w:r>
      <w:r w:rsidRPr="004549D6">
        <w:rPr>
          <w:rFonts w:ascii="Palatino Linotype" w:eastAsia="Palatino Linotype" w:hAnsi="Palatino Linotype" w:cs="Palatino Linotype"/>
          <w:color w:val="000000"/>
          <w:sz w:val="24"/>
          <w:szCs w:val="24"/>
        </w:rPr>
        <w:t xml:space="preserve"> que al momento que ponen a disposición ésta, la misma tiene el carácter oficial y se presume veraz, tan es así que la misma queda registrada en el Sistema de Acceso a la Información Mexiquense (SAIMEX).</w:t>
      </w:r>
    </w:p>
    <w:p w14:paraId="54F139DF" w14:textId="77777777" w:rsidR="00E625A8" w:rsidRPr="004549D6" w:rsidRDefault="00E625A8">
      <w:pPr>
        <w:pBdr>
          <w:top w:val="nil"/>
          <w:left w:val="nil"/>
          <w:bottom w:val="nil"/>
          <w:right w:val="nil"/>
          <w:between w:val="nil"/>
        </w:pBdr>
        <w:spacing w:after="0" w:line="360" w:lineRule="auto"/>
        <w:ind w:left="708" w:right="27"/>
        <w:rPr>
          <w:rFonts w:ascii="Palatino Linotype" w:eastAsia="Palatino Linotype" w:hAnsi="Palatino Linotype" w:cs="Palatino Linotype"/>
          <w:color w:val="000000"/>
          <w:sz w:val="24"/>
          <w:szCs w:val="24"/>
        </w:rPr>
      </w:pPr>
    </w:p>
    <w:p w14:paraId="4546089D" w14:textId="77777777" w:rsidR="00E625A8" w:rsidRPr="004549D6" w:rsidRDefault="001F6039">
      <w:pPr>
        <w:numPr>
          <w:ilvl w:val="0"/>
          <w:numId w:val="2"/>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Sirviendo de apoyo a lo anterior por analogía, el criterio 31-10 emitido por el entonces Instituto </w:t>
      </w:r>
      <w:r w:rsidRPr="004549D6">
        <w:rPr>
          <w:rFonts w:ascii="Palatino Linotype" w:eastAsia="Palatino Linotype" w:hAnsi="Palatino Linotype" w:cs="Palatino Linotype"/>
          <w:color w:val="000000"/>
          <w:sz w:val="24"/>
          <w:szCs w:val="24"/>
        </w:rPr>
        <w:t>Nacional</w:t>
      </w:r>
      <w:r w:rsidRPr="004549D6">
        <w:rPr>
          <w:rFonts w:ascii="Palatino Linotype" w:eastAsia="Palatino Linotype" w:hAnsi="Palatino Linotype" w:cs="Palatino Linotype"/>
          <w:sz w:val="24"/>
          <w:szCs w:val="24"/>
        </w:rPr>
        <w:t xml:space="preserve"> de Transparencia, Acceso a la Información y Protección de Datos Personales, que a la letra dice:</w:t>
      </w:r>
    </w:p>
    <w:p w14:paraId="6B11277F" w14:textId="77777777" w:rsidR="00E625A8" w:rsidRPr="004549D6" w:rsidRDefault="001F6039">
      <w:pPr>
        <w:pBdr>
          <w:top w:val="nil"/>
          <w:left w:val="nil"/>
          <w:bottom w:val="nil"/>
          <w:right w:val="nil"/>
          <w:between w:val="nil"/>
        </w:pBdr>
        <w:spacing w:after="0" w:line="240" w:lineRule="auto"/>
        <w:ind w:left="1134" w:right="1134"/>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 xml:space="preserve">“El Instituto Federal de Acceso a la Información y Protección de Datos </w:t>
      </w:r>
      <w:r w:rsidRPr="004549D6">
        <w:rPr>
          <w:rFonts w:ascii="Palatino Linotype" w:eastAsia="Palatino Linotype" w:hAnsi="Palatino Linotype" w:cs="Palatino Linotype"/>
          <w:b/>
          <w:bCs/>
          <w:i/>
          <w:iCs/>
          <w:color w:val="000000"/>
          <w:sz w:val="24"/>
          <w:szCs w:val="24"/>
        </w:rPr>
        <w:t>no cuenta con facultades para pronunciarse respecto de la veracidad de los documentos proporcionados por los sujetos obligados.</w:t>
      </w:r>
      <w:r w:rsidRPr="004549D6">
        <w:rPr>
          <w:rFonts w:ascii="Palatino Linotype" w:eastAsia="Palatino Linotype" w:hAnsi="Palatino Linotype" w:cs="Palatino Linotype"/>
          <w:i/>
          <w:iCs/>
          <w:color w:val="000000"/>
          <w:sz w:val="24"/>
          <w:szCs w:val="24"/>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0C2524CE" w14:textId="77777777" w:rsidR="00E625A8" w:rsidRPr="004549D6" w:rsidRDefault="00E625A8">
      <w:pPr>
        <w:pBdr>
          <w:top w:val="nil"/>
          <w:left w:val="nil"/>
          <w:bottom w:val="nil"/>
          <w:right w:val="nil"/>
          <w:between w:val="nil"/>
        </w:pBdr>
        <w:spacing w:after="0" w:line="360" w:lineRule="auto"/>
        <w:ind w:left="851" w:right="27"/>
        <w:jc w:val="both"/>
        <w:rPr>
          <w:rFonts w:ascii="Palatino Linotype" w:eastAsia="Palatino Linotype" w:hAnsi="Palatino Linotype" w:cs="Palatino Linotype"/>
          <w:i/>
          <w:iCs/>
          <w:color w:val="000000"/>
          <w:sz w:val="24"/>
          <w:szCs w:val="24"/>
        </w:rPr>
      </w:pPr>
    </w:p>
    <w:p w14:paraId="0801BB72" w14:textId="77777777" w:rsidR="00E625A8" w:rsidRPr="004549D6" w:rsidRDefault="001F6039">
      <w:pPr>
        <w:numPr>
          <w:ilvl w:val="0"/>
          <w:numId w:val="2"/>
        </w:numPr>
        <w:spacing w:after="0" w:line="360" w:lineRule="auto"/>
        <w:ind w:left="0" w:right="27" w:firstLine="0"/>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sz w:val="24"/>
          <w:szCs w:val="24"/>
        </w:rPr>
        <w:t xml:space="preserve">Así como lo dispuesto por la </w:t>
      </w:r>
      <w:r w:rsidRPr="004549D6">
        <w:rPr>
          <w:rFonts w:ascii="Palatino Linotype" w:eastAsia="Palatino Linotype" w:hAnsi="Palatino Linotype" w:cs="Palatino Linotype"/>
          <w:b/>
          <w:bCs/>
          <w:sz w:val="24"/>
          <w:szCs w:val="24"/>
        </w:rPr>
        <w:t xml:space="preserve">Ley de Transparencia y Acceso a la Información Pública del </w:t>
      </w:r>
      <w:r w:rsidRPr="004549D6">
        <w:rPr>
          <w:rFonts w:ascii="Palatino Linotype" w:eastAsia="Palatino Linotype" w:hAnsi="Palatino Linotype" w:cs="Palatino Linotype"/>
          <w:color w:val="000000"/>
          <w:sz w:val="24"/>
          <w:szCs w:val="24"/>
        </w:rPr>
        <w:t>Estado</w:t>
      </w:r>
      <w:r w:rsidRPr="004549D6">
        <w:rPr>
          <w:rFonts w:ascii="Palatino Linotype" w:eastAsia="Palatino Linotype" w:hAnsi="Palatino Linotype" w:cs="Palatino Linotype"/>
          <w:b/>
          <w:bCs/>
          <w:sz w:val="24"/>
          <w:szCs w:val="24"/>
        </w:rPr>
        <w:t xml:space="preserve"> de México y Municipios</w:t>
      </w:r>
      <w:r w:rsidRPr="004549D6">
        <w:rPr>
          <w:rFonts w:ascii="Palatino Linotype" w:eastAsia="Palatino Linotype" w:hAnsi="Palatino Linotype" w:cs="Palatino Linotype"/>
          <w:sz w:val="24"/>
          <w:szCs w:val="24"/>
        </w:rPr>
        <w:t xml:space="preserve"> en su artículo 3, el cual establece que la información </w:t>
      </w:r>
      <w:r w:rsidRPr="004549D6">
        <w:rPr>
          <w:rFonts w:ascii="Palatino Linotype" w:eastAsia="Palatino Linotype" w:hAnsi="Palatino Linotype" w:cs="Palatino Linotype"/>
          <w:sz w:val="24"/>
          <w:szCs w:val="24"/>
        </w:rPr>
        <w:lastRenderedPageBreak/>
        <w:t>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7629D6DA" w14:textId="77777777" w:rsidR="00E625A8" w:rsidRPr="004549D6" w:rsidRDefault="001F6039">
      <w:pPr>
        <w:pBdr>
          <w:top w:val="nil"/>
          <w:left w:val="nil"/>
          <w:bottom w:val="nil"/>
          <w:right w:val="nil"/>
          <w:between w:val="nil"/>
        </w:pBdr>
        <w:tabs>
          <w:tab w:val="left" w:pos="7938"/>
        </w:tabs>
        <w:spacing w:after="0" w:line="240" w:lineRule="auto"/>
        <w:ind w:left="1134" w:right="1134"/>
        <w:jc w:val="both"/>
        <w:rPr>
          <w:rFonts w:ascii="Palatino Linotype" w:eastAsia="Palatino Linotype" w:hAnsi="Palatino Linotype" w:cs="Palatino Linotype"/>
          <w:b/>
          <w:bCs/>
          <w:i/>
          <w:iCs/>
          <w:color w:val="000000"/>
          <w:sz w:val="24"/>
          <w:szCs w:val="24"/>
        </w:rPr>
      </w:pPr>
      <w:r w:rsidRPr="004549D6">
        <w:rPr>
          <w:rFonts w:ascii="Palatino Linotype" w:eastAsia="Palatino Linotype" w:hAnsi="Palatino Linotype" w:cs="Palatino Linotype"/>
          <w:i/>
          <w:iCs/>
          <w:color w:val="000000"/>
          <w:sz w:val="24"/>
          <w:szCs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4549D6">
        <w:rPr>
          <w:rFonts w:ascii="Palatino Linotype" w:eastAsia="Palatino Linotype" w:hAnsi="Palatino Linotype" w:cs="Palatino Linotype"/>
          <w:b/>
          <w:bCs/>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14:paraId="3E245458" w14:textId="77777777" w:rsidR="00E625A8" w:rsidRPr="004549D6" w:rsidRDefault="00E625A8">
      <w:pPr>
        <w:pBdr>
          <w:top w:val="nil"/>
          <w:left w:val="nil"/>
          <w:bottom w:val="nil"/>
          <w:right w:val="nil"/>
          <w:between w:val="nil"/>
        </w:pBdr>
        <w:spacing w:after="0" w:line="360" w:lineRule="auto"/>
        <w:ind w:left="567" w:right="27"/>
        <w:jc w:val="both"/>
        <w:rPr>
          <w:rFonts w:ascii="Palatino Linotype" w:eastAsia="Palatino Linotype" w:hAnsi="Palatino Linotype" w:cs="Palatino Linotype"/>
          <w:b/>
          <w:bCs/>
          <w:i/>
          <w:iCs/>
          <w:color w:val="000000"/>
          <w:sz w:val="24"/>
          <w:szCs w:val="24"/>
        </w:rPr>
      </w:pPr>
    </w:p>
    <w:p w14:paraId="12C48438" w14:textId="77777777" w:rsidR="00E625A8" w:rsidRPr="004549D6" w:rsidRDefault="001F6039">
      <w:pPr>
        <w:numPr>
          <w:ilvl w:val="0"/>
          <w:numId w:val="2"/>
        </w:numP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 xml:space="preserve">Numerales que compelen al </w:t>
      </w:r>
      <w:r w:rsidRPr="004549D6">
        <w:rPr>
          <w:rFonts w:ascii="Palatino Linotype" w:eastAsia="Palatino Linotype" w:hAnsi="Palatino Linotype" w:cs="Palatino Linotype"/>
          <w:b/>
          <w:bCs/>
          <w:sz w:val="24"/>
          <w:szCs w:val="24"/>
        </w:rPr>
        <w:t>SUJETO OBLIGADO</w:t>
      </w:r>
      <w:r w:rsidRPr="004549D6">
        <w:rPr>
          <w:rFonts w:ascii="Palatino Linotype" w:eastAsia="Palatino Linotype" w:hAnsi="Palatino Linotype" w:cs="Palatino Linotype"/>
          <w:sz w:val="24"/>
          <w:szCs w:val="24"/>
        </w:rPr>
        <w:t xml:space="preserve"> apegarse en todo momento a los criterios ya expuestos, impidiendo a este Órgano Colegiado cuestionar la veracidad de la información.</w:t>
      </w:r>
    </w:p>
    <w:p w14:paraId="1811206D"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415C565" w14:textId="77777777" w:rsidR="00E625A8" w:rsidRPr="004549D6" w:rsidRDefault="001F6039">
      <w:pPr>
        <w:numPr>
          <w:ilvl w:val="0"/>
          <w:numId w:val="2"/>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En atención a lo expuesto, es necesario señalar que </w:t>
      </w:r>
      <w:r w:rsidRPr="004549D6">
        <w:rPr>
          <w:rFonts w:ascii="Palatino Linotype" w:eastAsia="Palatino Linotype" w:hAnsi="Palatino Linotype" w:cs="Palatino Linotype"/>
          <w:color w:val="222222"/>
          <w:sz w:val="24"/>
          <w:szCs w:val="24"/>
        </w:rPr>
        <w:t xml:space="preserve">se obvia el análisis de la competencia por parte del </w:t>
      </w:r>
      <w:r w:rsidRPr="004549D6">
        <w:rPr>
          <w:rFonts w:ascii="Palatino Linotype" w:eastAsia="Palatino Linotype" w:hAnsi="Palatino Linotype" w:cs="Palatino Linotype"/>
          <w:b/>
          <w:bCs/>
          <w:color w:val="222222"/>
          <w:sz w:val="24"/>
          <w:szCs w:val="24"/>
        </w:rPr>
        <w:t>SUJETO OBLIGADO</w:t>
      </w:r>
      <w:r w:rsidRPr="004549D6">
        <w:rPr>
          <w:rFonts w:ascii="Palatino Linotype" w:eastAsia="Palatino Linotype" w:hAnsi="Palatino Linotype" w:cs="Palatino Linotype"/>
          <w:color w:val="222222"/>
          <w:sz w:val="24"/>
          <w:szCs w:val="24"/>
        </w:rPr>
        <w:t>, para generar, administrar o poseer la información solicitada, tan es así que proporcionó las documentales que obran en sus archivos y señaló el cambio de modalidad de entrega de la información para el caso de Tesorería.</w:t>
      </w:r>
    </w:p>
    <w:p w14:paraId="32429EB1" w14:textId="77777777" w:rsidR="00E625A8" w:rsidRPr="004549D6" w:rsidRDefault="00E625A8">
      <w:pPr>
        <w:pBdr>
          <w:top w:val="nil"/>
          <w:left w:val="nil"/>
          <w:bottom w:val="nil"/>
          <w:right w:val="nil"/>
          <w:between w:val="nil"/>
        </w:pBdr>
        <w:ind w:right="27"/>
        <w:jc w:val="both"/>
        <w:rPr>
          <w:rFonts w:ascii="Palatino Linotype" w:eastAsia="Palatino Linotype" w:hAnsi="Palatino Linotype" w:cs="Palatino Linotype"/>
          <w:color w:val="000000"/>
          <w:sz w:val="24"/>
          <w:szCs w:val="24"/>
        </w:rPr>
      </w:pPr>
    </w:p>
    <w:p w14:paraId="40CEAE76" w14:textId="77777777" w:rsidR="00E625A8" w:rsidRPr="004549D6" w:rsidRDefault="001F6039">
      <w:pPr>
        <w:numPr>
          <w:ilvl w:val="0"/>
          <w:numId w:val="2"/>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En </w:t>
      </w:r>
      <w:r w:rsidRPr="004549D6">
        <w:rPr>
          <w:rFonts w:ascii="Palatino Linotype" w:eastAsia="Palatino Linotype" w:hAnsi="Palatino Linotype" w:cs="Palatino Linotype"/>
          <w:sz w:val="24"/>
          <w:szCs w:val="24"/>
        </w:rPr>
        <w:t xml:space="preserve">este sentido, </w:t>
      </w:r>
      <w:r w:rsidRPr="004549D6">
        <w:rPr>
          <w:rFonts w:ascii="Palatino Linotype" w:eastAsia="Palatino Linotype" w:hAnsi="Palatino Linotype" w:cs="Palatino Linotype"/>
          <w:color w:val="222222"/>
          <w:sz w:val="24"/>
          <w:szCs w:val="24"/>
        </w:rPr>
        <w:t>el hecho de que el</w:t>
      </w:r>
      <w:r w:rsidRPr="004549D6">
        <w:rPr>
          <w:rFonts w:ascii="Palatino Linotype" w:eastAsia="Palatino Linotype" w:hAnsi="Palatino Linotype" w:cs="Palatino Linotype"/>
          <w:b/>
          <w:bCs/>
          <w:color w:val="222222"/>
          <w:sz w:val="24"/>
          <w:szCs w:val="24"/>
        </w:rPr>
        <w:t xml:space="preserve"> SUJETO OBLIGADO</w:t>
      </w:r>
      <w:r w:rsidRPr="004549D6">
        <w:rPr>
          <w:rFonts w:ascii="Palatino Linotype" w:eastAsia="Palatino Linotype" w:hAnsi="Palatino Linotype" w:cs="Palatino Linotype"/>
          <w:color w:val="222222"/>
          <w:sz w:val="24"/>
          <w:szCs w:val="24"/>
        </w:rPr>
        <w:t xml:space="preserve"> haya asumido contar con la información pública solicitada, acepta que la genera, posee y administra, en ejercicio de sus funciones de derecho público, motivo por el cual se actualiza el supuesto jurídico, previsto en </w:t>
      </w:r>
      <w:r w:rsidRPr="004549D6">
        <w:rPr>
          <w:rFonts w:ascii="Palatino Linotype" w:eastAsia="Palatino Linotype" w:hAnsi="Palatino Linotype" w:cs="Palatino Linotype"/>
          <w:color w:val="222222"/>
          <w:sz w:val="24"/>
          <w:szCs w:val="24"/>
        </w:rPr>
        <w:lastRenderedPageBreak/>
        <w:t>el artículo 12 de la Ley de Transparencia y Acceso a la Información Pública del Estado de México y Municipios.</w:t>
      </w:r>
    </w:p>
    <w:p w14:paraId="4A67FDB1" w14:textId="77777777" w:rsidR="00E625A8" w:rsidRPr="004549D6" w:rsidRDefault="001F6039">
      <w:pPr>
        <w:shd w:val="clear" w:color="auto" w:fill="FFFFFF"/>
        <w:ind w:left="1134" w:right="1134"/>
        <w:jc w:val="both"/>
        <w:rPr>
          <w:rFonts w:ascii="Palatino Linotype" w:eastAsia="Palatino Linotype" w:hAnsi="Palatino Linotype" w:cs="Palatino Linotype"/>
          <w:i/>
          <w:iCs/>
          <w:color w:val="222222"/>
          <w:sz w:val="24"/>
          <w:szCs w:val="24"/>
        </w:rPr>
      </w:pPr>
      <w:r w:rsidRPr="004549D6">
        <w:rPr>
          <w:rFonts w:ascii="Palatino Linotype" w:eastAsia="Palatino Linotype" w:hAnsi="Palatino Linotype" w:cs="Palatino Linotype"/>
          <w:i/>
          <w:iCs/>
          <w:color w:val="222222"/>
          <w:sz w:val="24"/>
          <w:szCs w:val="24"/>
        </w:rPr>
        <w:t>“</w:t>
      </w:r>
      <w:r w:rsidRPr="004549D6">
        <w:rPr>
          <w:rFonts w:ascii="Palatino Linotype" w:eastAsia="Palatino Linotype" w:hAnsi="Palatino Linotype" w:cs="Palatino Linotype"/>
          <w:b/>
          <w:bCs/>
          <w:i/>
          <w:iCs/>
          <w:color w:val="222222"/>
          <w:sz w:val="24"/>
          <w:szCs w:val="24"/>
        </w:rPr>
        <w:t>Artículo 12.</w:t>
      </w:r>
      <w:r w:rsidRPr="004549D6">
        <w:rPr>
          <w:rFonts w:ascii="Palatino Linotype" w:eastAsia="Palatino Linotype" w:hAnsi="Palatino Linotype" w:cs="Palatino Linotype"/>
          <w:i/>
          <w:iCs/>
          <w:color w:val="222222"/>
          <w:sz w:val="24"/>
          <w:szCs w:val="24"/>
        </w:rPr>
        <w:t> Quienes generen, recopilen, administren, manejen, procesen, archiven o conserven información pública serán responsables de la misma en los términos de las disposiciones jurídicas aplicables.</w:t>
      </w:r>
    </w:p>
    <w:p w14:paraId="127C3A3B" w14:textId="77777777" w:rsidR="00E625A8" w:rsidRPr="004549D6" w:rsidRDefault="001F6039">
      <w:pPr>
        <w:shd w:val="clear" w:color="auto" w:fill="FFFFFF"/>
        <w:ind w:left="1134" w:right="1134"/>
        <w:jc w:val="both"/>
        <w:rPr>
          <w:rFonts w:ascii="Palatino Linotype" w:eastAsia="Palatino Linotype" w:hAnsi="Palatino Linotype" w:cs="Palatino Linotype"/>
          <w:i/>
          <w:iCs/>
          <w:color w:val="222222"/>
          <w:sz w:val="24"/>
          <w:szCs w:val="24"/>
        </w:rPr>
      </w:pPr>
      <w:r w:rsidRPr="004549D6">
        <w:rPr>
          <w:rFonts w:ascii="Palatino Linotype" w:eastAsia="Palatino Linotype" w:hAnsi="Palatino Linotype" w:cs="Palatino Linotype"/>
          <w:i/>
          <w:iCs/>
          <w:color w:val="222222"/>
          <w:sz w:val="24"/>
          <w:szCs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2D2B57C" w14:textId="77777777" w:rsidR="00E625A8" w:rsidRPr="004549D6" w:rsidRDefault="00E625A8">
      <w:pPr>
        <w:spacing w:line="360" w:lineRule="auto"/>
        <w:ind w:left="1134" w:right="27"/>
        <w:rPr>
          <w:rFonts w:ascii="Palatino Linotype" w:eastAsia="Palatino Linotype" w:hAnsi="Palatino Linotype" w:cs="Palatino Linotype"/>
          <w:color w:val="000000"/>
          <w:sz w:val="24"/>
          <w:szCs w:val="24"/>
        </w:rPr>
      </w:pPr>
    </w:p>
    <w:p w14:paraId="28893DE6" w14:textId="77777777" w:rsidR="00E625A8" w:rsidRPr="004549D6" w:rsidRDefault="001F6039">
      <w:pPr>
        <w:numPr>
          <w:ilvl w:val="0"/>
          <w:numId w:val="2"/>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Así se logra vislumbrar que, el </w:t>
      </w:r>
      <w:r w:rsidRPr="004549D6">
        <w:rPr>
          <w:rFonts w:ascii="Palatino Linotype" w:eastAsia="Palatino Linotype" w:hAnsi="Palatino Linotype" w:cs="Palatino Linotype"/>
          <w:b/>
          <w:bCs/>
          <w:color w:val="000000"/>
          <w:sz w:val="24"/>
          <w:szCs w:val="24"/>
        </w:rPr>
        <w:t>Sujeto Obligado</w:t>
      </w:r>
      <w:r w:rsidRPr="004549D6">
        <w:rPr>
          <w:rFonts w:ascii="Palatino Linotype" w:eastAsia="Palatino Linotype" w:hAnsi="Palatino Linotype" w:cs="Palatino Linotype"/>
          <w:color w:val="000000"/>
          <w:sz w:val="24"/>
          <w:szCs w:val="24"/>
        </w:rPr>
        <w:t xml:space="preserve"> cumplió con el procedimiento de búsqueda establecido en el artículo 162 de la Ley de Transparencia y Acceso a la Información Pública del Estado de México y Municipios, ya que turnó la solicitud de información al área competente; por lo que, de conformidad con el contenido de los documentos descritos previamente, podemos concluir que, </w:t>
      </w:r>
      <w:r w:rsidRPr="004549D6">
        <w:rPr>
          <w:rFonts w:ascii="Palatino Linotype" w:eastAsia="Palatino Linotype" w:hAnsi="Palatino Linotype" w:cs="Palatino Linotype"/>
          <w:b/>
          <w:bCs/>
          <w:color w:val="000000"/>
          <w:sz w:val="24"/>
          <w:szCs w:val="24"/>
        </w:rPr>
        <w:t>se obvia el estudio del marco normativo</w:t>
      </w:r>
      <w:r w:rsidRPr="004549D6">
        <w:rPr>
          <w:rFonts w:ascii="Palatino Linotype" w:eastAsia="Palatino Linotype" w:hAnsi="Palatino Linotype" w:cs="Palatino Linotype"/>
          <w:color w:val="000000"/>
          <w:sz w:val="24"/>
          <w:szCs w:val="24"/>
        </w:rPr>
        <w:t xml:space="preserve"> que rige el actual del </w:t>
      </w:r>
      <w:r w:rsidRPr="004549D6">
        <w:rPr>
          <w:rFonts w:ascii="Palatino Linotype" w:eastAsia="Palatino Linotype" w:hAnsi="Palatino Linotype" w:cs="Palatino Linotype"/>
          <w:b/>
          <w:bCs/>
          <w:color w:val="000000"/>
          <w:sz w:val="24"/>
          <w:szCs w:val="24"/>
        </w:rPr>
        <w:t>Sujeto Obligado</w:t>
      </w:r>
      <w:r w:rsidRPr="004549D6">
        <w:rPr>
          <w:rFonts w:ascii="Palatino Linotype" w:eastAsia="Palatino Linotype" w:hAnsi="Palatino Linotype" w:cs="Palatino Linotype"/>
          <w:color w:val="000000"/>
          <w:sz w:val="24"/>
          <w:szCs w:val="24"/>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341870F4" w14:textId="77777777" w:rsidR="00E625A8" w:rsidRPr="004549D6" w:rsidRDefault="00E625A8">
      <w:pPr>
        <w:spacing w:line="360" w:lineRule="auto"/>
        <w:ind w:right="49"/>
        <w:jc w:val="both"/>
        <w:rPr>
          <w:rFonts w:ascii="Palatino Linotype" w:eastAsia="Palatino Linotype" w:hAnsi="Palatino Linotype" w:cs="Palatino Linotype"/>
          <w:sz w:val="24"/>
          <w:szCs w:val="24"/>
        </w:rPr>
      </w:pPr>
    </w:p>
    <w:p w14:paraId="28B216A9" w14:textId="77777777" w:rsidR="00E625A8" w:rsidRPr="004549D6" w:rsidRDefault="001F6039">
      <w:pPr>
        <w:numPr>
          <w:ilvl w:val="0"/>
          <w:numId w:val="2"/>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Dicho esto, relativo al punto primero y segundo de la solicitud </w:t>
      </w:r>
      <w:r w:rsidRPr="004549D6">
        <w:rPr>
          <w:rFonts w:ascii="Palatino Linotype" w:eastAsia="Palatino Linotype" w:hAnsi="Palatino Linotype" w:cs="Palatino Linotype"/>
          <w:b/>
          <w:bCs/>
          <w:color w:val="000000"/>
          <w:sz w:val="24"/>
          <w:szCs w:val="24"/>
        </w:rPr>
        <w:t xml:space="preserve">00210/DIFHUEHUET/IP/2025 </w:t>
      </w:r>
      <w:r w:rsidRPr="004549D6">
        <w:rPr>
          <w:rFonts w:ascii="Palatino Linotype" w:eastAsia="Palatino Linotype" w:hAnsi="Palatino Linotype" w:cs="Palatino Linotype"/>
          <w:color w:val="000000"/>
          <w:sz w:val="24"/>
          <w:szCs w:val="24"/>
        </w:rPr>
        <w:t xml:space="preserve">se tiene por colmado mediante la respuesta emitida en documento </w:t>
      </w:r>
      <w:r w:rsidRPr="004549D6">
        <w:rPr>
          <w:rFonts w:ascii="Palatino Linotype" w:eastAsia="Palatino Linotype" w:hAnsi="Palatino Linotype" w:cs="Palatino Linotype"/>
          <w:i/>
          <w:iCs/>
          <w:color w:val="000000"/>
          <w:sz w:val="24"/>
          <w:szCs w:val="24"/>
        </w:rPr>
        <w:t>ad hoc</w:t>
      </w:r>
      <w:r w:rsidRPr="004549D6">
        <w:rPr>
          <w:rFonts w:ascii="Palatino Linotype" w:eastAsia="Palatino Linotype" w:hAnsi="Palatino Linotype" w:cs="Palatino Linotype"/>
          <w:color w:val="000000"/>
          <w:sz w:val="24"/>
          <w:szCs w:val="24"/>
        </w:rPr>
        <w:t xml:space="preserve"> donde puntualmente se advierte la cantidad de personal adscrito a las </w:t>
      </w:r>
      <w:r w:rsidRPr="004549D6">
        <w:rPr>
          <w:rFonts w:ascii="Palatino Linotype" w:eastAsia="Palatino Linotype" w:hAnsi="Palatino Linotype" w:cs="Palatino Linotype"/>
          <w:color w:val="000000"/>
          <w:sz w:val="24"/>
          <w:szCs w:val="24"/>
        </w:rPr>
        <w:lastRenderedPageBreak/>
        <w:t xml:space="preserve">Estancias como su cargo dentro de éstas; aunque no existe obligación de atender las solicitudes de información con este tipo de documentos. </w:t>
      </w:r>
    </w:p>
    <w:p w14:paraId="531C18F3"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77F60E05" w14:textId="77777777" w:rsidR="00E625A8" w:rsidRPr="004549D6" w:rsidRDefault="001F6039">
      <w:pPr>
        <w:widowControl w:val="0"/>
        <w:numPr>
          <w:ilvl w:val="0"/>
          <w:numId w:val="2"/>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Por cuanto hace a los expedientes laborales del personal adscrito a las Estancias Infantiles al haber señalado adjuntarlos y que por cualquier razón no hayan sido entregados al particular; sobre el tema, el artículo 1.8, fracción XIII, del Código Administrativo del Estado de México, establece que para que tenga validez, todo acto administrativo deberá resolver todos los puntos propuestos por los interesados; situación que se robustece, con el Criterio de Interpretación, con clave de control SO/002/2017, del entonces Instituto Nacional de Transparencia, Acceso a la Información y Protección de Datos Personales, el cual establece que todo acto administrativo debe apegarse al </w:t>
      </w:r>
      <w:r w:rsidRPr="004549D6">
        <w:rPr>
          <w:rFonts w:ascii="Palatino Linotype" w:eastAsia="Palatino Linotype" w:hAnsi="Palatino Linotype" w:cs="Palatino Linotype"/>
          <w:b/>
          <w:bCs/>
          <w:color w:val="000000"/>
          <w:sz w:val="24"/>
          <w:szCs w:val="24"/>
        </w:rPr>
        <w:t>principio de exhaustividad</w:t>
      </w:r>
      <w:r w:rsidRPr="004549D6">
        <w:rPr>
          <w:rFonts w:ascii="Palatino Linotype" w:eastAsia="Palatino Linotype" w:hAnsi="Palatino Linotype" w:cs="Palatino Linotype"/>
          <w:color w:val="000000"/>
          <w:sz w:val="24"/>
          <w:szCs w:val="24"/>
        </w:rPr>
        <w:t>,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3584DDAA" w14:textId="77777777" w:rsidR="00E625A8" w:rsidRPr="004549D6" w:rsidRDefault="00E625A8">
      <w:pPr>
        <w:spacing w:after="0" w:line="360" w:lineRule="auto"/>
        <w:ind w:right="27"/>
        <w:jc w:val="both"/>
        <w:rPr>
          <w:rFonts w:ascii="Palatino Linotype" w:eastAsia="Palatino Linotype" w:hAnsi="Palatino Linotype" w:cs="Palatino Linotype"/>
          <w:color w:val="000000"/>
          <w:sz w:val="24"/>
          <w:szCs w:val="24"/>
        </w:rPr>
      </w:pPr>
    </w:p>
    <w:p w14:paraId="4538825F" w14:textId="77777777" w:rsidR="00E625A8" w:rsidRPr="004549D6" w:rsidRDefault="001F6039">
      <w:pPr>
        <w:numPr>
          <w:ilvl w:val="0"/>
          <w:numId w:val="2"/>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En esa tesitura, se concluye que el Sujeto Obligado no satisfizo el derecho de acceso a la información del Solicitante, pues omitió pronunciarse sobre la información solicitada, por lo que, para atender el requerimiento de información, el Sujeto Obligado deberá realizar una búsqueda exhaustiva y razonable en sus archivos, a efecto de proporcionar los expedientes laborales del personal señalado en respuesta, con el fin de dar cumplimiento a los artículos 12, 160 y 162 de la Ley de Transparencia y Acceso a la Información Pública del Estado de México y Municipios.</w:t>
      </w:r>
    </w:p>
    <w:p w14:paraId="09C6B046" w14:textId="77777777" w:rsidR="00E625A8" w:rsidRPr="004549D6" w:rsidRDefault="001F6039">
      <w:pPr>
        <w:numPr>
          <w:ilvl w:val="0"/>
          <w:numId w:val="10"/>
        </w:numPr>
        <w:pBdr>
          <w:top w:val="nil"/>
          <w:left w:val="nil"/>
          <w:bottom w:val="nil"/>
          <w:right w:val="nil"/>
          <w:between w:val="nil"/>
        </w:pBdr>
        <w:tabs>
          <w:tab w:val="left" w:pos="709"/>
        </w:tabs>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En cuanto a la materia de los documentos que integran los expedientes laborales de servidores públicos, se procede a señalar los requisitos generales contenidos en los articulados 47, 48 y 49, de la Ley del Trabado de los Servidores Públicos del Estado de México y Municipios, así como el documento idóneo con el que se pudiera acreditar, son los siguientes:</w:t>
      </w:r>
    </w:p>
    <w:p w14:paraId="26652B9F" w14:textId="77777777" w:rsidR="00E625A8" w:rsidRPr="004549D6" w:rsidRDefault="00E625A8">
      <w:pPr>
        <w:rPr>
          <w:sz w:val="24"/>
          <w:szCs w:val="24"/>
        </w:rPr>
      </w:pPr>
    </w:p>
    <w:tbl>
      <w:tblPr>
        <w:tblStyle w:val="a1"/>
        <w:tblW w:w="1006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3119"/>
        <w:gridCol w:w="2835"/>
      </w:tblGrid>
      <w:tr w:rsidR="00E625A8" w:rsidRPr="004549D6" w14:paraId="2DF9D1DF" w14:textId="77777777" w:rsidTr="006A3E86">
        <w:trPr>
          <w:tblHeader/>
        </w:trPr>
        <w:tc>
          <w:tcPr>
            <w:tcW w:w="4106" w:type="dxa"/>
            <w:shd w:val="clear" w:color="auto" w:fill="E7E6E6"/>
            <w:vAlign w:val="center"/>
          </w:tcPr>
          <w:p w14:paraId="12474376" w14:textId="77777777" w:rsidR="00E625A8" w:rsidRPr="004549D6" w:rsidRDefault="001F6039">
            <w:pPr>
              <w:tabs>
                <w:tab w:val="left" w:pos="284"/>
                <w:tab w:val="left" w:pos="426"/>
              </w:tabs>
              <w:ind w:right="49"/>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Requisito establecido en la Ley del Trabajo de los Servidores Públicos del Estado y Municipios</w:t>
            </w:r>
          </w:p>
        </w:tc>
        <w:tc>
          <w:tcPr>
            <w:tcW w:w="3119" w:type="dxa"/>
            <w:shd w:val="clear" w:color="auto" w:fill="E7E6E6"/>
            <w:vAlign w:val="center"/>
          </w:tcPr>
          <w:p w14:paraId="52F3D165" w14:textId="77777777" w:rsidR="00E625A8" w:rsidRPr="004549D6" w:rsidRDefault="001F6039">
            <w:pPr>
              <w:tabs>
                <w:tab w:val="left" w:pos="284"/>
                <w:tab w:val="left" w:pos="426"/>
              </w:tabs>
              <w:ind w:right="49"/>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Documento que lo acredita</w:t>
            </w:r>
          </w:p>
        </w:tc>
        <w:tc>
          <w:tcPr>
            <w:tcW w:w="2835" w:type="dxa"/>
            <w:shd w:val="clear" w:color="auto" w:fill="E7E6E6"/>
            <w:vAlign w:val="center"/>
          </w:tcPr>
          <w:p w14:paraId="6EB4ED20" w14:textId="77777777" w:rsidR="00E625A8" w:rsidRPr="004549D6" w:rsidRDefault="001F6039">
            <w:pPr>
              <w:tabs>
                <w:tab w:val="left" w:pos="284"/>
                <w:tab w:val="left" w:pos="426"/>
              </w:tabs>
              <w:ind w:right="49"/>
              <w:jc w:val="center"/>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Clasificación de la Información</w:t>
            </w:r>
          </w:p>
        </w:tc>
      </w:tr>
      <w:tr w:rsidR="00E625A8" w:rsidRPr="004549D6" w14:paraId="128D33D4" w14:textId="77777777" w:rsidTr="006A3E86">
        <w:tc>
          <w:tcPr>
            <w:tcW w:w="4106" w:type="dxa"/>
            <w:vAlign w:val="center"/>
          </w:tcPr>
          <w:p w14:paraId="63F52B8E"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Presentar una solicitud utilizando la forma oficial que se autorice por la institución pública o dependencia correspondiente.</w:t>
            </w:r>
          </w:p>
        </w:tc>
        <w:tc>
          <w:tcPr>
            <w:tcW w:w="3119" w:type="dxa"/>
            <w:vAlign w:val="center"/>
          </w:tcPr>
          <w:p w14:paraId="4F94D4BB"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Solicitud de empleo, ficha curricular, curriculum vitae o documento análogo</w:t>
            </w:r>
          </w:p>
        </w:tc>
        <w:tc>
          <w:tcPr>
            <w:tcW w:w="2835" w:type="dxa"/>
            <w:vAlign w:val="center"/>
          </w:tcPr>
          <w:p w14:paraId="1BB1E43A"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w:t>
            </w:r>
          </w:p>
        </w:tc>
      </w:tr>
      <w:tr w:rsidR="00E625A8" w:rsidRPr="004549D6" w14:paraId="6D4ACCD2" w14:textId="77777777" w:rsidTr="006A3E86">
        <w:trPr>
          <w:trHeight w:val="517"/>
        </w:trPr>
        <w:tc>
          <w:tcPr>
            <w:tcW w:w="4106" w:type="dxa"/>
            <w:vAlign w:val="center"/>
          </w:tcPr>
          <w:p w14:paraId="4E0A0CAE"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Ser de nacionalidad mexicana.</w:t>
            </w:r>
          </w:p>
        </w:tc>
        <w:tc>
          <w:tcPr>
            <w:tcW w:w="3119" w:type="dxa"/>
            <w:vAlign w:val="center"/>
          </w:tcPr>
          <w:p w14:paraId="72953FAE"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Acta de nacimiento</w:t>
            </w:r>
          </w:p>
        </w:tc>
        <w:tc>
          <w:tcPr>
            <w:tcW w:w="2835" w:type="dxa"/>
            <w:vAlign w:val="center"/>
          </w:tcPr>
          <w:p w14:paraId="62B8F98F"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Confidencial</w:t>
            </w:r>
          </w:p>
        </w:tc>
      </w:tr>
      <w:tr w:rsidR="00E625A8" w:rsidRPr="004549D6" w14:paraId="6501BE93" w14:textId="77777777" w:rsidTr="006A3E86">
        <w:tc>
          <w:tcPr>
            <w:tcW w:w="4106" w:type="dxa"/>
            <w:vAlign w:val="center"/>
          </w:tcPr>
          <w:p w14:paraId="69A08760"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Estar en pleno ejercicio de sus derechos civiles y políticos.</w:t>
            </w:r>
          </w:p>
        </w:tc>
        <w:tc>
          <w:tcPr>
            <w:tcW w:w="3119" w:type="dxa"/>
            <w:vAlign w:val="center"/>
          </w:tcPr>
          <w:p w14:paraId="4E766E14"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Credencial de elector e Informe o certificado de no antecedentes penales.</w:t>
            </w:r>
          </w:p>
        </w:tc>
        <w:tc>
          <w:tcPr>
            <w:tcW w:w="2835" w:type="dxa"/>
            <w:vAlign w:val="center"/>
          </w:tcPr>
          <w:p w14:paraId="3069C6F0"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w:t>
            </w:r>
          </w:p>
        </w:tc>
      </w:tr>
      <w:tr w:rsidR="00E625A8" w:rsidRPr="004549D6" w14:paraId="2F380834" w14:textId="77777777" w:rsidTr="006A3E86">
        <w:tc>
          <w:tcPr>
            <w:tcW w:w="4106" w:type="dxa"/>
            <w:vAlign w:val="center"/>
          </w:tcPr>
          <w:p w14:paraId="0EF901FE"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Acreditar, cuando proceda, el cumplimiento de la Ley del Servicio Militar Nacional.</w:t>
            </w:r>
          </w:p>
        </w:tc>
        <w:tc>
          <w:tcPr>
            <w:tcW w:w="3119" w:type="dxa"/>
            <w:vAlign w:val="center"/>
          </w:tcPr>
          <w:p w14:paraId="01CE3908"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Cartilla del Servicio Militar</w:t>
            </w:r>
          </w:p>
        </w:tc>
        <w:tc>
          <w:tcPr>
            <w:tcW w:w="2835" w:type="dxa"/>
            <w:vAlign w:val="center"/>
          </w:tcPr>
          <w:p w14:paraId="5F6E8D85"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N/A</w:t>
            </w:r>
          </w:p>
        </w:tc>
      </w:tr>
      <w:tr w:rsidR="00E625A8" w:rsidRPr="004549D6" w14:paraId="12179B4B" w14:textId="77777777" w:rsidTr="006A3E86">
        <w:tc>
          <w:tcPr>
            <w:tcW w:w="4106" w:type="dxa"/>
            <w:vAlign w:val="center"/>
          </w:tcPr>
          <w:p w14:paraId="139F780D"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No haber sido separado anteriormente del servicio por las causas previstas en el artículo 93 de la presente ley.</w:t>
            </w:r>
          </w:p>
        </w:tc>
        <w:tc>
          <w:tcPr>
            <w:tcW w:w="3119" w:type="dxa"/>
            <w:vAlign w:val="center"/>
          </w:tcPr>
          <w:p w14:paraId="67CD574C"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Constancia de no inhabilitación.</w:t>
            </w:r>
          </w:p>
        </w:tc>
        <w:tc>
          <w:tcPr>
            <w:tcW w:w="2835" w:type="dxa"/>
            <w:vAlign w:val="center"/>
          </w:tcPr>
          <w:p w14:paraId="4B9AF0E0"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w:t>
            </w:r>
          </w:p>
        </w:tc>
      </w:tr>
      <w:tr w:rsidR="00E625A8" w:rsidRPr="004549D6" w14:paraId="160DFEF9" w14:textId="77777777" w:rsidTr="006A3E86">
        <w:tc>
          <w:tcPr>
            <w:tcW w:w="4106" w:type="dxa"/>
            <w:vAlign w:val="center"/>
          </w:tcPr>
          <w:p w14:paraId="2EAD3E86"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Tener buena salud, lo que se comprobará con los certificados médicos.</w:t>
            </w:r>
          </w:p>
        </w:tc>
        <w:tc>
          <w:tcPr>
            <w:tcW w:w="3119" w:type="dxa"/>
            <w:vAlign w:val="center"/>
          </w:tcPr>
          <w:p w14:paraId="47446FF3"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Certificado Médico</w:t>
            </w:r>
          </w:p>
        </w:tc>
        <w:tc>
          <w:tcPr>
            <w:tcW w:w="2835" w:type="dxa"/>
            <w:vAlign w:val="center"/>
          </w:tcPr>
          <w:p w14:paraId="27878BE1"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Confidencial</w:t>
            </w:r>
          </w:p>
        </w:tc>
      </w:tr>
      <w:tr w:rsidR="00E625A8" w:rsidRPr="004549D6" w14:paraId="7F469301" w14:textId="77777777" w:rsidTr="006A3E86">
        <w:tc>
          <w:tcPr>
            <w:tcW w:w="4106" w:type="dxa"/>
            <w:vAlign w:val="center"/>
          </w:tcPr>
          <w:p w14:paraId="31FB4DD5"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Cumplir con los requisitos que se establezcan para los diferentes puestos.</w:t>
            </w:r>
          </w:p>
        </w:tc>
        <w:tc>
          <w:tcPr>
            <w:tcW w:w="3119" w:type="dxa"/>
            <w:vAlign w:val="center"/>
          </w:tcPr>
          <w:p w14:paraId="10E5A0C6"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 xml:space="preserve">De la consulta al Ipomex del Sujeto Obligado no se advierte que este tenga publicado un perfil de puestos </w:t>
            </w:r>
            <w:r w:rsidRPr="004549D6">
              <w:rPr>
                <w:rFonts w:ascii="Palatino Linotype" w:eastAsia="Palatino Linotype" w:hAnsi="Palatino Linotype" w:cs="Palatino Linotype"/>
                <w:i/>
                <w:iCs/>
                <w:sz w:val="24"/>
                <w:szCs w:val="24"/>
              </w:rPr>
              <w:lastRenderedPageBreak/>
              <w:t>de los servidores públicos; no obstante, no se descarta que cuente con uno.</w:t>
            </w:r>
          </w:p>
        </w:tc>
        <w:tc>
          <w:tcPr>
            <w:tcW w:w="2835" w:type="dxa"/>
            <w:vAlign w:val="center"/>
          </w:tcPr>
          <w:p w14:paraId="54558ED7"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lastRenderedPageBreak/>
              <w:t>En versión pública</w:t>
            </w:r>
          </w:p>
          <w:p w14:paraId="7155AFCF" w14:textId="77777777" w:rsidR="00E625A8" w:rsidRPr="004549D6" w:rsidRDefault="00E625A8">
            <w:pPr>
              <w:tabs>
                <w:tab w:val="left" w:pos="284"/>
                <w:tab w:val="left" w:pos="426"/>
              </w:tabs>
              <w:ind w:right="49"/>
              <w:jc w:val="center"/>
              <w:rPr>
                <w:rFonts w:ascii="Palatino Linotype" w:eastAsia="Palatino Linotype" w:hAnsi="Palatino Linotype" w:cs="Palatino Linotype"/>
                <w:i/>
                <w:iCs/>
              </w:rPr>
            </w:pPr>
          </w:p>
        </w:tc>
      </w:tr>
      <w:tr w:rsidR="00E625A8" w:rsidRPr="004549D6" w14:paraId="6CFE5350" w14:textId="77777777" w:rsidTr="006A3E86">
        <w:tc>
          <w:tcPr>
            <w:tcW w:w="4106" w:type="dxa"/>
            <w:vAlign w:val="center"/>
          </w:tcPr>
          <w:p w14:paraId="5182827A"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Acreditar por medio de los exámenes correspondientes los conocimientos y aptitudes necesarios para el desempeño del puesto.</w:t>
            </w:r>
          </w:p>
        </w:tc>
        <w:tc>
          <w:tcPr>
            <w:tcW w:w="3119" w:type="dxa"/>
            <w:vAlign w:val="center"/>
          </w:tcPr>
          <w:p w14:paraId="16D45891"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No se localizó que los servidores públicos adscritos al Sujeto Obligado se encuentren constreñidos a presentar examen de conocimientos y aptitudes para ostentar algún cargo; no obstante, no se descarta la posibilidad de que si cuente con ellos, por lo que, de ser así se deberá entregar el documento que demuestre el resultado global, como aprobado/no aprobado.</w:t>
            </w:r>
          </w:p>
        </w:tc>
        <w:tc>
          <w:tcPr>
            <w:tcW w:w="2835" w:type="dxa"/>
            <w:vAlign w:val="center"/>
          </w:tcPr>
          <w:p w14:paraId="6B5668C6"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 el resultado global.</w:t>
            </w:r>
          </w:p>
        </w:tc>
      </w:tr>
      <w:tr w:rsidR="00E625A8" w:rsidRPr="004549D6" w14:paraId="5C6FEACC" w14:textId="77777777" w:rsidTr="006A3E86">
        <w:tc>
          <w:tcPr>
            <w:tcW w:w="4106" w:type="dxa"/>
            <w:vAlign w:val="center"/>
          </w:tcPr>
          <w:p w14:paraId="73CF06BD"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No estar inhabilitado para el ejercicio del servicio público.</w:t>
            </w:r>
          </w:p>
        </w:tc>
        <w:tc>
          <w:tcPr>
            <w:tcW w:w="3119" w:type="dxa"/>
            <w:vAlign w:val="center"/>
          </w:tcPr>
          <w:p w14:paraId="68428967"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Constancia de no inhabilitación.</w:t>
            </w:r>
          </w:p>
        </w:tc>
        <w:tc>
          <w:tcPr>
            <w:tcW w:w="2835" w:type="dxa"/>
            <w:vAlign w:val="center"/>
          </w:tcPr>
          <w:p w14:paraId="5B9E214A"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w:t>
            </w:r>
          </w:p>
        </w:tc>
      </w:tr>
      <w:tr w:rsidR="00E625A8" w:rsidRPr="004549D6" w14:paraId="097A0259" w14:textId="77777777" w:rsidTr="006A3E86">
        <w:tc>
          <w:tcPr>
            <w:tcW w:w="4106" w:type="dxa"/>
            <w:vAlign w:val="center"/>
          </w:tcPr>
          <w:p w14:paraId="4C8F88EC"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Presentar certificado expedido por la Unidad del Registro de Deudores Alimentarios Morosos en el que conste, si se encuentra inscrito o no en el mismo.</w:t>
            </w:r>
          </w:p>
        </w:tc>
        <w:tc>
          <w:tcPr>
            <w:tcW w:w="3119" w:type="dxa"/>
            <w:vAlign w:val="center"/>
          </w:tcPr>
          <w:p w14:paraId="3984A665"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Certificado de No Deudor Alimentario Moroso.</w:t>
            </w:r>
          </w:p>
        </w:tc>
        <w:tc>
          <w:tcPr>
            <w:tcW w:w="2835" w:type="dxa"/>
            <w:vAlign w:val="center"/>
          </w:tcPr>
          <w:p w14:paraId="30F0304F"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w:t>
            </w:r>
          </w:p>
        </w:tc>
      </w:tr>
      <w:tr w:rsidR="00E625A8" w:rsidRPr="004549D6" w14:paraId="572D5BA8" w14:textId="77777777" w:rsidTr="006A3E86">
        <w:tc>
          <w:tcPr>
            <w:tcW w:w="4106" w:type="dxa"/>
            <w:shd w:val="clear" w:color="auto" w:fill="auto"/>
            <w:vAlign w:val="center"/>
          </w:tcPr>
          <w:p w14:paraId="28B8B3ED"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Para iniciar la prestación de los servicios</w:t>
            </w:r>
          </w:p>
        </w:tc>
        <w:tc>
          <w:tcPr>
            <w:tcW w:w="3119" w:type="dxa"/>
            <w:shd w:val="clear" w:color="auto" w:fill="auto"/>
            <w:vAlign w:val="center"/>
          </w:tcPr>
          <w:p w14:paraId="50DB494A" w14:textId="77777777" w:rsidR="00E625A8" w:rsidRPr="004549D6" w:rsidRDefault="001F6039">
            <w:pPr>
              <w:tabs>
                <w:tab w:val="left" w:pos="284"/>
                <w:tab w:val="left" w:pos="426"/>
              </w:tabs>
              <w:ind w:right="49"/>
              <w:jc w:val="both"/>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Nombramiento, contrato o formato único de Movimientos de Personal.</w:t>
            </w:r>
          </w:p>
        </w:tc>
        <w:tc>
          <w:tcPr>
            <w:tcW w:w="2835" w:type="dxa"/>
            <w:vAlign w:val="center"/>
          </w:tcPr>
          <w:p w14:paraId="07976C96" w14:textId="77777777" w:rsidR="00E625A8" w:rsidRPr="004549D6" w:rsidRDefault="001F6039">
            <w:pPr>
              <w:tabs>
                <w:tab w:val="left" w:pos="284"/>
                <w:tab w:val="left" w:pos="426"/>
              </w:tabs>
              <w:ind w:right="49"/>
              <w:jc w:val="center"/>
              <w:rPr>
                <w:rFonts w:ascii="Palatino Linotype" w:eastAsia="Palatino Linotype" w:hAnsi="Palatino Linotype" w:cs="Palatino Linotype"/>
                <w:i/>
                <w:iCs/>
              </w:rPr>
            </w:pPr>
            <w:r w:rsidRPr="004549D6">
              <w:rPr>
                <w:rFonts w:ascii="Palatino Linotype" w:eastAsia="Palatino Linotype" w:hAnsi="Palatino Linotype" w:cs="Palatino Linotype"/>
                <w:i/>
                <w:iCs/>
                <w:sz w:val="24"/>
                <w:szCs w:val="24"/>
              </w:rPr>
              <w:t>En versión Pública.</w:t>
            </w:r>
          </w:p>
        </w:tc>
      </w:tr>
    </w:tbl>
    <w:p w14:paraId="7137D779" w14:textId="77777777" w:rsidR="00E625A8" w:rsidRPr="004549D6" w:rsidRDefault="001F6039">
      <w:pPr>
        <w:numPr>
          <w:ilvl w:val="0"/>
          <w:numId w:val="10"/>
        </w:numPr>
        <w:pBdr>
          <w:top w:val="nil"/>
          <w:left w:val="nil"/>
          <w:bottom w:val="nil"/>
          <w:right w:val="nil"/>
          <w:between w:val="nil"/>
        </w:pBdr>
        <w:tabs>
          <w:tab w:val="left" w:pos="142"/>
        </w:tabs>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De este modo, es de referir que es de interés público de la ciudadanía, conocer que los trabajadores gubernamentales cumplen con todos los requisitos establecidos en la  normatividad respectiva, pues solo así, se puede saber, si los empleados, son aptos para ocupar determinados puestos; por otra parte, la publicidad de la información ayuda a rendir cuentas a la población, respecto a que las dependencias gubernamentales cumplen con lo establecido en los ordenamientos jurídicos, ya que permite a las personas verificar que una Dependencia, contrata a servidores públicos capaces e idóneos para cumplir con sus funciones y cumplen con los requisitos respectivos.</w:t>
      </w:r>
    </w:p>
    <w:p w14:paraId="065236B9"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1B0A01B2" w14:textId="77777777" w:rsidR="00E625A8" w:rsidRPr="004549D6" w:rsidRDefault="001F6039">
      <w:pPr>
        <w:numPr>
          <w:ilvl w:val="0"/>
          <w:numId w:val="10"/>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Sin embargo en relación a los expedientes laborales del personal adscrito a la Tesorería se advierte que al pretender colmar la solicitud de información se le entregó una deficiente versión pública, por lo que analizaremos los datos y documentos que debieron ser clasificados o testados como confidenciales y no lo fueron, así mismo se observa la omisión de entrega de documentos que integren el expediente, enunciativamente, constancia de no inhabilitación y nombramiento.</w:t>
      </w:r>
    </w:p>
    <w:p w14:paraId="69EFBCC3"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2D298066" w14:textId="77777777" w:rsidR="00E625A8" w:rsidRPr="004549D6" w:rsidRDefault="001F6039">
      <w:pPr>
        <w:numPr>
          <w:ilvl w:val="0"/>
          <w:numId w:val="20"/>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Por cuanto hace a la </w:t>
      </w:r>
      <w:r w:rsidRPr="004549D6">
        <w:rPr>
          <w:rFonts w:ascii="Palatino Linotype" w:eastAsia="Palatino Linotype" w:hAnsi="Palatino Linotype" w:cs="Palatino Linotype"/>
          <w:b/>
          <w:bCs/>
          <w:color w:val="000000"/>
          <w:sz w:val="24"/>
          <w:szCs w:val="24"/>
        </w:rPr>
        <w:t xml:space="preserve">Clave Única de Registro de Población, </w:t>
      </w:r>
      <w:r w:rsidRPr="004549D6">
        <w:rPr>
          <w:rFonts w:ascii="Palatino Linotype" w:eastAsia="Palatino Linotype" w:hAnsi="Palatino Linotype" w:cs="Palatino Linotype"/>
          <w:color w:val="000000"/>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2C2F90B0"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37CE7C4A" w14:textId="77777777" w:rsidR="00E625A8" w:rsidRPr="004549D6" w:rsidRDefault="001F6039">
      <w:pPr>
        <w:numPr>
          <w:ilvl w:val="0"/>
          <w:numId w:val="20"/>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Lo anterior, tiene sustento en los artículos 86 y 91, de la Ley General de Población, la cual señala lo siguiente:</w:t>
      </w:r>
    </w:p>
    <w:p w14:paraId="47AD30CD" w14:textId="77777777" w:rsidR="00E625A8" w:rsidRPr="004549D6" w:rsidRDefault="001F6039">
      <w:pPr>
        <w:tabs>
          <w:tab w:val="left" w:pos="7938"/>
        </w:tabs>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lastRenderedPageBreak/>
        <w:t xml:space="preserve">“Artículo 86. </w:t>
      </w:r>
      <w:r w:rsidRPr="004549D6">
        <w:rPr>
          <w:rFonts w:ascii="Palatino Linotype" w:eastAsia="Palatino Linotype" w:hAnsi="Palatino Linotype" w:cs="Palatino Linotype"/>
          <w:i/>
          <w:iCs/>
          <w:sz w:val="24"/>
          <w:szCs w:val="24"/>
        </w:rPr>
        <w:t>El Registro Nacional de Población tiene como finalidad registrar a cada una de las personas que integran la población del país, con los datos que permitan certificar y acreditar fehacientemente su identidad.</w:t>
      </w:r>
    </w:p>
    <w:p w14:paraId="5A35FFFD" w14:textId="77777777" w:rsidR="00E625A8" w:rsidRPr="004549D6" w:rsidRDefault="00E625A8">
      <w:pPr>
        <w:tabs>
          <w:tab w:val="left" w:pos="7938"/>
        </w:tabs>
        <w:ind w:left="1134" w:right="1134"/>
        <w:jc w:val="both"/>
        <w:rPr>
          <w:rFonts w:ascii="Palatino Linotype" w:eastAsia="Palatino Linotype" w:hAnsi="Palatino Linotype" w:cs="Palatino Linotype"/>
          <w:i/>
          <w:iCs/>
          <w:sz w:val="24"/>
          <w:szCs w:val="24"/>
        </w:rPr>
      </w:pPr>
    </w:p>
    <w:p w14:paraId="64AA6CBE" w14:textId="77777777" w:rsidR="00E625A8" w:rsidRPr="004549D6" w:rsidRDefault="001F6039">
      <w:pPr>
        <w:tabs>
          <w:tab w:val="left" w:pos="7938"/>
        </w:tabs>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 xml:space="preserve">Artículo 91. </w:t>
      </w:r>
      <w:r w:rsidRPr="004549D6">
        <w:rPr>
          <w:rFonts w:ascii="Palatino Linotype" w:eastAsia="Palatino Linotype" w:hAnsi="Palatino Linotype" w:cs="Palatino Linotype"/>
          <w:i/>
          <w:iCs/>
          <w:sz w:val="24"/>
          <w:szCs w:val="24"/>
        </w:rPr>
        <w:t>Al incorporar a una persona en el Registro Nacional de Población, se le asignará una clave que se denominará Clave Única de Registro de Población. Esta servirá para registrarla e identificarla en forma individual.”</w:t>
      </w:r>
    </w:p>
    <w:p w14:paraId="791A9B13" w14:textId="77777777" w:rsidR="00E625A8" w:rsidRPr="004549D6" w:rsidRDefault="00E625A8">
      <w:pPr>
        <w:tabs>
          <w:tab w:val="left" w:pos="7938"/>
        </w:tabs>
        <w:ind w:left="709" w:right="27"/>
        <w:jc w:val="both"/>
        <w:rPr>
          <w:rFonts w:ascii="Palatino Linotype" w:eastAsia="Palatino Linotype" w:hAnsi="Palatino Linotype" w:cs="Palatino Linotype"/>
          <w:i/>
          <w:iCs/>
          <w:sz w:val="24"/>
          <w:szCs w:val="24"/>
        </w:rPr>
      </w:pPr>
    </w:p>
    <w:p w14:paraId="0CBC10E1" w14:textId="77777777" w:rsidR="00E625A8" w:rsidRPr="004549D6" w:rsidRDefault="001F6039">
      <w:pPr>
        <w:numPr>
          <w:ilvl w:val="0"/>
          <w:numId w:val="20"/>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5E04DA6"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290F9ED7" w14:textId="77777777" w:rsidR="00E625A8" w:rsidRPr="004549D6" w:rsidRDefault="001F6039">
      <w:pPr>
        <w:numPr>
          <w:ilvl w:val="0"/>
          <w:numId w:val="20"/>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Al respecto, el entonces Instituto Nacional de Transparencia, Acceso a la Información y Protección de Datos Personales (INAI) a través del Criterio 18/17, señala literalmente lo siguiente:</w:t>
      </w:r>
    </w:p>
    <w:p w14:paraId="4F7B6D8E" w14:textId="77777777" w:rsidR="00E625A8"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Clave Única de Registro de Población (CURP)</w:t>
      </w:r>
      <w:r w:rsidRPr="004549D6">
        <w:rPr>
          <w:rFonts w:ascii="Palatino Linotype" w:eastAsia="Palatino Linotype" w:hAnsi="Palatino Linotype" w:cs="Palatino Linotype"/>
          <w:i/>
          <w:iCs/>
          <w:sz w:val="24"/>
          <w:szCs w:val="24"/>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w:t>
      </w:r>
      <w:r w:rsidRPr="004549D6">
        <w:rPr>
          <w:rFonts w:ascii="Palatino Linotype" w:eastAsia="Palatino Linotype" w:hAnsi="Palatino Linotype" w:cs="Palatino Linotype"/>
          <w:i/>
          <w:iCs/>
          <w:sz w:val="24"/>
          <w:szCs w:val="24"/>
        </w:rPr>
        <w:lastRenderedPageBreak/>
        <w:t>plenamente a una persona física del resto de los habitantes del país, por lo que la CURP está considerada como información confidencial.</w:t>
      </w:r>
    </w:p>
    <w:p w14:paraId="057A752D" w14:textId="77777777" w:rsidR="006A3E86" w:rsidRPr="004549D6" w:rsidRDefault="006A3E86">
      <w:pPr>
        <w:ind w:left="1134" w:right="1134"/>
        <w:jc w:val="both"/>
        <w:rPr>
          <w:rFonts w:ascii="Palatino Linotype" w:eastAsia="Palatino Linotype" w:hAnsi="Palatino Linotype" w:cs="Palatino Linotype"/>
          <w:i/>
          <w:iCs/>
          <w:sz w:val="24"/>
          <w:szCs w:val="24"/>
        </w:rPr>
      </w:pPr>
    </w:p>
    <w:p w14:paraId="4D26BC5F" w14:textId="77777777" w:rsidR="00E625A8" w:rsidRPr="004549D6" w:rsidRDefault="001F6039">
      <w:pPr>
        <w:numPr>
          <w:ilvl w:val="0"/>
          <w:numId w:val="20"/>
        </w:numPr>
        <w:pBdr>
          <w:top w:val="nil"/>
          <w:left w:val="nil"/>
          <w:bottom w:val="nil"/>
          <w:right w:val="nil"/>
          <w:between w:val="nil"/>
        </w:pBd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21575E8" w14:textId="77777777" w:rsidR="00E625A8" w:rsidRPr="004549D6" w:rsidRDefault="001F6039">
      <w:pPr>
        <w:spacing w:line="360" w:lineRule="auto"/>
        <w:ind w:right="49"/>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  </w:t>
      </w:r>
    </w:p>
    <w:p w14:paraId="6C59269C" w14:textId="77777777" w:rsidR="00E625A8" w:rsidRPr="004549D6" w:rsidRDefault="001F6039">
      <w:pPr>
        <w:numPr>
          <w:ilvl w:val="0"/>
          <w:numId w:val="20"/>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Los datos personales refieren aquella información relativa al individuo, es información que lo identifica, le da identidad y lo describe, pero además precisan su origen, edad, lugar de residencia, trayectoria académica, laboral o profesional. También describen aspectos más sensibles o delicados de la persona, como su forma de pensar, estado de salud, sus características físicas, opiniones políticas, creencias o convicciones religiosas, entre otros.</w:t>
      </w:r>
    </w:p>
    <w:p w14:paraId="332B2D01"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A6A3C6F" w14:textId="77777777" w:rsidR="00E625A8" w:rsidRPr="004549D6" w:rsidRDefault="001F6039">
      <w:pPr>
        <w:numPr>
          <w:ilvl w:val="0"/>
          <w:numId w:val="20"/>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Por lo que Estado de Salud y datos clínicos relativos son considerados como datos sensibles</w:t>
      </w:r>
      <w:r w:rsidRPr="004549D6">
        <w:rPr>
          <w:rFonts w:ascii="Palatino Linotype" w:eastAsia="Palatino Linotype" w:hAnsi="Palatino Linotype" w:cs="Palatino Linotype"/>
          <w:color w:val="000000"/>
          <w:sz w:val="24"/>
          <w:szCs w:val="24"/>
          <w:vertAlign w:val="superscript"/>
        </w:rPr>
        <w:footnoteReference w:id="1"/>
      </w:r>
      <w:r w:rsidRPr="004549D6">
        <w:rPr>
          <w:rFonts w:ascii="Palatino Linotype" w:eastAsia="Palatino Linotype" w:hAnsi="Palatino Linotype" w:cs="Palatino Linotype"/>
          <w:color w:val="000000"/>
          <w:sz w:val="24"/>
          <w:szCs w:val="24"/>
        </w:rPr>
        <w:t xml:space="preserve"> referentes a la esfera de su titular, cuya utilización indebida puede dar origen a discriminación o conllevar un riesgo grave para éste, requiriendo máxima protección por parte del Sujeto Obligado.</w:t>
      </w:r>
    </w:p>
    <w:p w14:paraId="3F5D24B0"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Por cuanto hace a la fecha de nacimiento, se refiere al día, mes y año en el que nació una persona, los mismos consisten en información concerniente a una persona física identificada o identificable,  siendo pues un dato susceptible de clasificación como confidencial</w:t>
      </w:r>
      <w:r w:rsidRPr="004549D6">
        <w:rPr>
          <w:rFonts w:ascii="Palatino Linotype" w:eastAsia="Palatino Linotype" w:hAnsi="Palatino Linotype" w:cs="Palatino Linotype"/>
          <w:color w:val="000000"/>
          <w:sz w:val="24"/>
          <w:szCs w:val="24"/>
          <w:vertAlign w:val="superscript"/>
        </w:rPr>
        <w:footnoteReference w:id="2"/>
      </w:r>
      <w:r w:rsidRPr="004549D6">
        <w:rPr>
          <w:rFonts w:ascii="Palatino Linotype" w:eastAsia="Palatino Linotype" w:hAnsi="Palatino Linotype" w:cs="Palatino Linotype"/>
          <w:color w:val="000000"/>
          <w:sz w:val="24"/>
          <w:szCs w:val="24"/>
        </w:rPr>
        <w:t>.</w:t>
      </w:r>
    </w:p>
    <w:p w14:paraId="73554BD3" w14:textId="77777777" w:rsidR="00E625A8" w:rsidRPr="004549D6" w:rsidRDefault="00E625A8">
      <w:pPr>
        <w:spacing w:line="276" w:lineRule="auto"/>
        <w:jc w:val="both"/>
        <w:rPr>
          <w:rFonts w:ascii="Palatino Linotype" w:eastAsia="Palatino Linotype" w:hAnsi="Palatino Linotype" w:cs="Palatino Linotype"/>
          <w:sz w:val="24"/>
          <w:szCs w:val="24"/>
          <w:u w:val="single"/>
        </w:rPr>
      </w:pPr>
    </w:p>
    <w:p w14:paraId="2A4AE054" w14:textId="77777777" w:rsidR="00E625A8" w:rsidRPr="004549D6" w:rsidRDefault="001F6039">
      <w:pPr>
        <w:numPr>
          <w:ilvl w:val="0"/>
          <w:numId w:val="20"/>
        </w:numPr>
        <w:pBdr>
          <w:top w:val="nil"/>
          <w:left w:val="nil"/>
          <w:bottom w:val="nil"/>
          <w:right w:val="nil"/>
          <w:between w:val="nil"/>
        </w:pBdr>
        <w:spacing w:before="80"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Con respecto a la firma de los servidores públicos, por regla general cuando éstos emiten un acto de autoridad, en ejercicio de las funciones que tienen conferidas, la firma o rúbrica mediante la cual se valida dicho acto es pública; sin embargo, al caso del presente estudio, al asentar su firma en los documentos probatorios de su escolaridad, el servidor público no se encontraba ejerciendo actos de autoridad, sino asentando su conformidad e interés expresos como alumno para recibir el documento en cita en su carácter de particular, por lo que es un dato que debe ser considerado como personal y confidencial.</w:t>
      </w:r>
    </w:p>
    <w:p w14:paraId="158CC7F7"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54E01337" w14:textId="77777777" w:rsidR="00E625A8" w:rsidRPr="004549D6" w:rsidRDefault="001F6039">
      <w:pPr>
        <w:widowControl w:val="0"/>
        <w:numPr>
          <w:ilvl w:val="0"/>
          <w:numId w:val="17"/>
        </w:numPr>
        <w:spacing w:after="0" w:line="360" w:lineRule="auto"/>
        <w:ind w:left="0" w:firstLine="0"/>
        <w:jc w:val="both"/>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t>Acta de nacimiento</w:t>
      </w:r>
    </w:p>
    <w:p w14:paraId="334DFF92"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Las actas emitidas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52524EAB"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3AA0CCAA"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Ahora bien, de acuerdo con el Formato Único del Acta de Nacimiento publicado por la Secretaría de Gobernación en el enlace </w:t>
      </w:r>
      <w:hyperlink r:id="rId9">
        <w:r w:rsidRPr="004549D6">
          <w:rPr>
            <w:rFonts w:ascii="Palatino Linotype" w:eastAsia="Palatino Linotype" w:hAnsi="Palatino Linotype" w:cs="Palatino Linotype"/>
            <w:color w:val="0563C1"/>
            <w:sz w:val="24"/>
            <w:szCs w:val="24"/>
            <w:u w:val="single"/>
          </w:rPr>
          <w:t>http://www.diputados.gob.mx/documentos/N_Acta_Nacimiento.pdf</w:t>
        </w:r>
      </w:hyperlink>
      <w:r w:rsidRPr="004549D6">
        <w:rPr>
          <w:rFonts w:ascii="Palatino Linotype" w:eastAsia="Palatino Linotype" w:hAnsi="Palatino Linotype" w:cs="Palatino Linotype"/>
          <w:color w:val="000000"/>
          <w:sz w:val="24"/>
          <w:szCs w:val="24"/>
        </w:rPr>
        <w:t xml:space="preserve"> , se advierte que el Acta de Nacimiento se componte de quince elementos siendo los siguientes: </w:t>
      </w:r>
    </w:p>
    <w:p w14:paraId="1A103FD6"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sz w:val="24"/>
          <w:szCs w:val="24"/>
        </w:rPr>
        <w:t>a)</w:t>
      </w:r>
      <w:r w:rsidRPr="004549D6">
        <w:rPr>
          <w:rFonts w:ascii="Palatino Linotype" w:eastAsia="Palatino Linotype" w:hAnsi="Palatino Linotype" w:cs="Palatino Linotype"/>
          <w:sz w:val="24"/>
          <w:szCs w:val="24"/>
        </w:rPr>
        <w:tab/>
      </w:r>
      <w:r w:rsidRPr="004549D6">
        <w:rPr>
          <w:rFonts w:ascii="Palatino Linotype" w:eastAsia="Palatino Linotype" w:hAnsi="Palatino Linotype" w:cs="Palatino Linotype"/>
          <w:i/>
          <w:iCs/>
          <w:sz w:val="24"/>
          <w:szCs w:val="24"/>
        </w:rPr>
        <w:t>Folio de Impresión.</w:t>
      </w:r>
    </w:p>
    <w:p w14:paraId="7C6DB27B"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b)</w:t>
      </w:r>
      <w:r w:rsidRPr="004549D6">
        <w:rPr>
          <w:rFonts w:ascii="Palatino Linotype" w:eastAsia="Palatino Linotype" w:hAnsi="Palatino Linotype" w:cs="Palatino Linotype"/>
          <w:i/>
          <w:iCs/>
          <w:sz w:val="24"/>
          <w:szCs w:val="24"/>
        </w:rPr>
        <w:tab/>
        <w:t>Denominación del Documento.</w:t>
      </w:r>
    </w:p>
    <w:p w14:paraId="17650C4D"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c)</w:t>
      </w:r>
      <w:r w:rsidRPr="004549D6">
        <w:rPr>
          <w:rFonts w:ascii="Palatino Linotype" w:eastAsia="Palatino Linotype" w:hAnsi="Palatino Linotype" w:cs="Palatino Linotype"/>
          <w:i/>
          <w:iCs/>
          <w:sz w:val="24"/>
          <w:szCs w:val="24"/>
        </w:rPr>
        <w:tab/>
        <w:t xml:space="preserve">Identificador Electrónico. </w:t>
      </w:r>
    </w:p>
    <w:p w14:paraId="1A95A3F1"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d)</w:t>
      </w:r>
      <w:r w:rsidRPr="004549D6">
        <w:rPr>
          <w:rFonts w:ascii="Palatino Linotype" w:eastAsia="Palatino Linotype" w:hAnsi="Palatino Linotype" w:cs="Palatino Linotype"/>
          <w:i/>
          <w:iCs/>
          <w:sz w:val="24"/>
          <w:szCs w:val="24"/>
        </w:rPr>
        <w:tab/>
        <w:t xml:space="preserve">Elementos del Registro. </w:t>
      </w:r>
    </w:p>
    <w:p w14:paraId="79BF1057"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e)</w:t>
      </w:r>
      <w:r w:rsidRPr="004549D6">
        <w:rPr>
          <w:rFonts w:ascii="Palatino Linotype" w:eastAsia="Palatino Linotype" w:hAnsi="Palatino Linotype" w:cs="Palatino Linotype"/>
          <w:i/>
          <w:iCs/>
          <w:sz w:val="24"/>
          <w:szCs w:val="24"/>
        </w:rPr>
        <w:tab/>
        <w:t xml:space="preserve">Datos de la Persona Registrada. </w:t>
      </w:r>
    </w:p>
    <w:p w14:paraId="31E2D7DC"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f)</w:t>
      </w:r>
      <w:r w:rsidRPr="004549D6">
        <w:rPr>
          <w:rFonts w:ascii="Palatino Linotype" w:eastAsia="Palatino Linotype" w:hAnsi="Palatino Linotype" w:cs="Palatino Linotype"/>
          <w:i/>
          <w:iCs/>
          <w:sz w:val="24"/>
          <w:szCs w:val="24"/>
        </w:rPr>
        <w:tab/>
        <w:t xml:space="preserve">Datos de Filiación de la Persona Registrada. </w:t>
      </w:r>
    </w:p>
    <w:p w14:paraId="667FEF4E"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g)</w:t>
      </w:r>
      <w:r w:rsidRPr="004549D6">
        <w:rPr>
          <w:rFonts w:ascii="Palatino Linotype" w:eastAsia="Palatino Linotype" w:hAnsi="Palatino Linotype" w:cs="Palatino Linotype"/>
          <w:i/>
          <w:iCs/>
          <w:sz w:val="24"/>
          <w:szCs w:val="24"/>
        </w:rPr>
        <w:tab/>
        <w:t xml:space="preserve">Anotaciones Marginales. </w:t>
      </w:r>
    </w:p>
    <w:p w14:paraId="550C821D"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h)</w:t>
      </w:r>
      <w:r w:rsidRPr="004549D6">
        <w:rPr>
          <w:rFonts w:ascii="Palatino Linotype" w:eastAsia="Palatino Linotype" w:hAnsi="Palatino Linotype" w:cs="Palatino Linotype"/>
          <w:i/>
          <w:iCs/>
          <w:sz w:val="24"/>
          <w:szCs w:val="24"/>
        </w:rPr>
        <w:tab/>
        <w:t xml:space="preserve">Certificación. </w:t>
      </w:r>
    </w:p>
    <w:p w14:paraId="5BE87943"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i)</w:t>
      </w:r>
      <w:r w:rsidRPr="004549D6">
        <w:rPr>
          <w:rFonts w:ascii="Palatino Linotype" w:eastAsia="Palatino Linotype" w:hAnsi="Palatino Linotype" w:cs="Palatino Linotype"/>
          <w:i/>
          <w:iCs/>
          <w:sz w:val="24"/>
          <w:szCs w:val="24"/>
        </w:rPr>
        <w:tab/>
        <w:t xml:space="preserve">Código Bidimensional QR que contiene información encriptada del acta. </w:t>
      </w:r>
    </w:p>
    <w:p w14:paraId="0080DA4F"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j)</w:t>
      </w:r>
      <w:r w:rsidRPr="004549D6">
        <w:rPr>
          <w:rFonts w:ascii="Palatino Linotype" w:eastAsia="Palatino Linotype" w:hAnsi="Palatino Linotype" w:cs="Palatino Linotype"/>
          <w:i/>
          <w:iCs/>
          <w:sz w:val="24"/>
          <w:szCs w:val="24"/>
        </w:rPr>
        <w:tab/>
        <w:t xml:space="preserve">Leyenda “Soy México” </w:t>
      </w:r>
    </w:p>
    <w:p w14:paraId="6A43A971"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k)</w:t>
      </w:r>
      <w:r w:rsidRPr="004549D6">
        <w:rPr>
          <w:rFonts w:ascii="Palatino Linotype" w:eastAsia="Palatino Linotype" w:hAnsi="Palatino Linotype" w:cs="Palatino Linotype"/>
          <w:i/>
          <w:iCs/>
          <w:sz w:val="24"/>
          <w:szCs w:val="24"/>
        </w:rPr>
        <w:tab/>
        <w:t xml:space="preserve">Firma Electrónica Avanzada. </w:t>
      </w:r>
    </w:p>
    <w:p w14:paraId="40C83C5A"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l)</w:t>
      </w:r>
      <w:r w:rsidRPr="004549D6">
        <w:rPr>
          <w:rFonts w:ascii="Palatino Linotype" w:eastAsia="Palatino Linotype" w:hAnsi="Palatino Linotype" w:cs="Palatino Linotype"/>
          <w:i/>
          <w:iCs/>
          <w:sz w:val="24"/>
          <w:szCs w:val="24"/>
        </w:rPr>
        <w:tab/>
        <w:t xml:space="preserve">Firma y datos de la autoridad emisora. </w:t>
      </w:r>
    </w:p>
    <w:p w14:paraId="5CC02801"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m)</w:t>
      </w:r>
      <w:r w:rsidRPr="004549D6">
        <w:rPr>
          <w:rFonts w:ascii="Palatino Linotype" w:eastAsia="Palatino Linotype" w:hAnsi="Palatino Linotype" w:cs="Palatino Linotype"/>
          <w:i/>
          <w:iCs/>
          <w:sz w:val="24"/>
          <w:szCs w:val="24"/>
        </w:rPr>
        <w:tab/>
        <w:t xml:space="preserve">Código QR. </w:t>
      </w:r>
    </w:p>
    <w:p w14:paraId="52CB8A00"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n)</w:t>
      </w:r>
      <w:r w:rsidRPr="004549D6">
        <w:rPr>
          <w:rFonts w:ascii="Palatino Linotype" w:eastAsia="Palatino Linotype" w:hAnsi="Palatino Linotype" w:cs="Palatino Linotype"/>
          <w:i/>
          <w:iCs/>
          <w:sz w:val="24"/>
          <w:szCs w:val="24"/>
        </w:rPr>
        <w:tab/>
        <w:t>Código de Verificación.</w:t>
      </w:r>
    </w:p>
    <w:p w14:paraId="657A0175" w14:textId="77777777" w:rsidR="00E625A8" w:rsidRPr="004549D6" w:rsidRDefault="001F6039">
      <w:pPr>
        <w:spacing w:after="0" w:line="360" w:lineRule="auto"/>
        <w:ind w:left="1134"/>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o)</w:t>
      </w:r>
      <w:r w:rsidRPr="004549D6">
        <w:rPr>
          <w:rFonts w:ascii="Palatino Linotype" w:eastAsia="Palatino Linotype" w:hAnsi="Palatino Linotype" w:cs="Palatino Linotype"/>
          <w:i/>
          <w:iCs/>
          <w:sz w:val="24"/>
          <w:szCs w:val="24"/>
        </w:rPr>
        <w:tab/>
        <w:t xml:space="preserve">Leyenda de instrucciones para la verificación del documento. </w:t>
      </w:r>
    </w:p>
    <w:p w14:paraId="1496CF15" w14:textId="77777777" w:rsidR="00E625A8" w:rsidRPr="004549D6" w:rsidRDefault="00E625A8">
      <w:pPr>
        <w:spacing w:after="0" w:line="360" w:lineRule="auto"/>
        <w:rPr>
          <w:rFonts w:ascii="Palatino Linotype" w:eastAsia="Palatino Linotype" w:hAnsi="Palatino Linotype" w:cs="Palatino Linotype"/>
          <w:sz w:val="24"/>
          <w:szCs w:val="24"/>
        </w:rPr>
      </w:pPr>
    </w:p>
    <w:p w14:paraId="7893097B"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Como se advierte del análisis de los apartados d) elementos de registro, e) datos de la persona registrada y f) datos de filiación de la persona registrada, el Acta de Nacimiento, contiene la Clave Única de Registro de Población (CURP) de la persona registrada y de las personas que detenten la filiación, número de certificado que expide la Secretaría de Salud para acreditar el nacimiento de una persona, sexo, fecha de nacimiento, lugar de nacimiento, entre otros. </w:t>
      </w:r>
    </w:p>
    <w:p w14:paraId="0CBD82FA"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Dada esta relevancia y que no guarda relación directa con el ejercicio de atribuciones de servidores públicos es que su contenido del Acta de Nacimiento debe ser analizado en su totalidad, además que parte los datos que integran hacen identificable a la persona sin tener que ver con el ejercicio de un cargo público. Pues como se señalado, el Acta de Nacimiento comprueba el estado civil de una persona por lo que es un tema que tiene que ver con la vida privada, ya que, para acceder a un cargo público, el estado civil de las personas es irrelevante, ya que tener uno u otro no influye en el mejor o menor desempeño de un cargo público.</w:t>
      </w:r>
    </w:p>
    <w:p w14:paraId="5D5678E6"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596905B7"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De esta manera, se trata de un documento de naturaleza confidencial que tiene que ver únicamente con la vida privada de las personas, motivo por el cual se considera que actualiza la causal de </w:t>
      </w:r>
      <w:r w:rsidRPr="006A3E86">
        <w:rPr>
          <w:rFonts w:ascii="Palatino Linotype" w:eastAsia="Palatino Linotype" w:hAnsi="Palatino Linotype" w:cs="Palatino Linotype"/>
          <w:color w:val="000000"/>
          <w:sz w:val="24"/>
          <w:szCs w:val="24"/>
        </w:rPr>
        <w:t>clasificación en su totalidad establecid</w:t>
      </w:r>
      <w:r w:rsidRPr="004549D6">
        <w:rPr>
          <w:rFonts w:ascii="Palatino Linotype" w:eastAsia="Palatino Linotype" w:hAnsi="Palatino Linotype" w:cs="Palatino Linotype"/>
          <w:color w:val="000000"/>
          <w:sz w:val="24"/>
          <w:szCs w:val="24"/>
        </w:rPr>
        <w:t>a en el artículo 143, fracción I, de la Ley de Transparencia y Acceso a la Información Pública del Estado de México y Municipios.</w:t>
      </w:r>
    </w:p>
    <w:p w14:paraId="2D0D287B" w14:textId="77777777" w:rsidR="00E625A8" w:rsidRPr="004549D6" w:rsidRDefault="00E625A8">
      <w:pPr>
        <w:widowControl w:val="0"/>
        <w:spacing w:after="0" w:line="360" w:lineRule="auto"/>
        <w:jc w:val="both"/>
        <w:rPr>
          <w:rFonts w:ascii="Palatino Linotype" w:eastAsia="Palatino Linotype" w:hAnsi="Palatino Linotype" w:cs="Palatino Linotype"/>
          <w:b/>
          <w:bCs/>
          <w:sz w:val="24"/>
          <w:szCs w:val="24"/>
        </w:rPr>
      </w:pPr>
    </w:p>
    <w:p w14:paraId="6CD6B8D8" w14:textId="77777777" w:rsidR="00E625A8" w:rsidRPr="004549D6" w:rsidRDefault="001F6039">
      <w:pPr>
        <w:widowControl w:val="0"/>
        <w:numPr>
          <w:ilvl w:val="0"/>
          <w:numId w:val="17"/>
        </w:numPr>
        <w:spacing w:after="0" w:line="360" w:lineRule="auto"/>
        <w:ind w:left="0" w:firstLine="0"/>
        <w:jc w:val="both"/>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b/>
          <w:bCs/>
          <w:sz w:val="24"/>
          <w:szCs w:val="24"/>
        </w:rPr>
        <w:t>Credencial para votar</w:t>
      </w:r>
    </w:p>
    <w:p w14:paraId="047E1F39" w14:textId="77777777" w:rsidR="00E625A8"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2ED769F9" w14:textId="77777777" w:rsidR="00BE10D6" w:rsidRPr="004549D6" w:rsidRDefault="00BE10D6" w:rsidP="00BE10D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D8CBDE2"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color w:val="000000"/>
          <w:sz w:val="24"/>
          <w:szCs w:val="24"/>
        </w:rPr>
        <w:t>De manera particular el artículo 156, de la Ley General de Instituciones y Procedimientos Electorales dispone que la credencial para votar deberá contener, cuando menos, los siguientes datos:</w:t>
      </w:r>
    </w:p>
    <w:p w14:paraId="4AD532C5"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lastRenderedPageBreak/>
        <w:t xml:space="preserve">a) </w:t>
      </w:r>
      <w:r w:rsidRPr="004549D6">
        <w:rPr>
          <w:rFonts w:ascii="Palatino Linotype" w:eastAsia="Palatino Linotype" w:hAnsi="Palatino Linotype" w:cs="Palatino Linotype"/>
          <w:i/>
          <w:iCs/>
          <w:color w:val="000000"/>
          <w:sz w:val="24"/>
          <w:szCs w:val="24"/>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70099731"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b) </w:t>
      </w:r>
      <w:r w:rsidRPr="004549D6">
        <w:rPr>
          <w:rFonts w:ascii="Palatino Linotype" w:eastAsia="Palatino Linotype" w:hAnsi="Palatino Linotype" w:cs="Palatino Linotype"/>
          <w:i/>
          <w:iCs/>
          <w:color w:val="000000"/>
          <w:sz w:val="24"/>
          <w:szCs w:val="24"/>
        </w:rPr>
        <w:t xml:space="preserve">Sección electoral en donde deberá votar el ciudadano. En el caso de los ciudadanos residentes en el extranjero no será necesario incluir este requisito; </w:t>
      </w:r>
    </w:p>
    <w:p w14:paraId="3AFA14A8"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c) </w:t>
      </w:r>
      <w:r w:rsidRPr="004549D6">
        <w:rPr>
          <w:rFonts w:ascii="Palatino Linotype" w:eastAsia="Palatino Linotype" w:hAnsi="Palatino Linotype" w:cs="Palatino Linotype"/>
          <w:i/>
          <w:iCs/>
          <w:color w:val="000000"/>
          <w:sz w:val="24"/>
          <w:szCs w:val="24"/>
        </w:rPr>
        <w:t xml:space="preserve">Apellido paterno, apellido materno y nombre completo; </w:t>
      </w:r>
    </w:p>
    <w:p w14:paraId="26F75390"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d) </w:t>
      </w:r>
      <w:r w:rsidRPr="004549D6">
        <w:rPr>
          <w:rFonts w:ascii="Palatino Linotype" w:eastAsia="Palatino Linotype" w:hAnsi="Palatino Linotype" w:cs="Palatino Linotype"/>
          <w:i/>
          <w:iCs/>
          <w:color w:val="000000"/>
          <w:sz w:val="24"/>
          <w:szCs w:val="24"/>
        </w:rPr>
        <w:t xml:space="preserve">Domicilio; </w:t>
      </w:r>
    </w:p>
    <w:p w14:paraId="794D8FAE"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e) </w:t>
      </w:r>
      <w:r w:rsidRPr="004549D6">
        <w:rPr>
          <w:rFonts w:ascii="Palatino Linotype" w:eastAsia="Palatino Linotype" w:hAnsi="Palatino Linotype" w:cs="Palatino Linotype"/>
          <w:i/>
          <w:iCs/>
          <w:color w:val="000000"/>
          <w:sz w:val="24"/>
          <w:szCs w:val="24"/>
        </w:rPr>
        <w:t xml:space="preserve">Sexo; </w:t>
      </w:r>
    </w:p>
    <w:p w14:paraId="2F8DF448" w14:textId="77777777" w:rsidR="00E625A8" w:rsidRPr="004549D6" w:rsidRDefault="001F6039">
      <w:pPr>
        <w:spacing w:after="0" w:line="240" w:lineRule="auto"/>
        <w:ind w:left="1134" w:right="567"/>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color w:val="000000"/>
          <w:sz w:val="24"/>
          <w:szCs w:val="24"/>
        </w:rPr>
        <w:t xml:space="preserve">f) </w:t>
      </w:r>
      <w:r w:rsidRPr="004549D6">
        <w:rPr>
          <w:rFonts w:ascii="Palatino Linotype" w:eastAsia="Palatino Linotype" w:hAnsi="Palatino Linotype" w:cs="Palatino Linotype"/>
          <w:i/>
          <w:iCs/>
          <w:color w:val="000000"/>
          <w:sz w:val="24"/>
          <w:szCs w:val="24"/>
        </w:rPr>
        <w:t>Edad y año de registro;</w:t>
      </w:r>
    </w:p>
    <w:p w14:paraId="73E1418C"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g) </w:t>
      </w:r>
      <w:r w:rsidRPr="004549D6">
        <w:rPr>
          <w:rFonts w:ascii="Palatino Linotype" w:eastAsia="Palatino Linotype" w:hAnsi="Palatino Linotype" w:cs="Palatino Linotype"/>
          <w:i/>
          <w:iCs/>
          <w:color w:val="000000"/>
          <w:sz w:val="24"/>
          <w:szCs w:val="24"/>
        </w:rPr>
        <w:t xml:space="preserve">Firma, huella digital y fotografía del elector; </w:t>
      </w:r>
    </w:p>
    <w:p w14:paraId="239C9E6F"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h) </w:t>
      </w:r>
      <w:r w:rsidRPr="004549D6">
        <w:rPr>
          <w:rFonts w:ascii="Palatino Linotype" w:eastAsia="Palatino Linotype" w:hAnsi="Palatino Linotype" w:cs="Palatino Linotype"/>
          <w:i/>
          <w:iCs/>
          <w:color w:val="000000"/>
          <w:sz w:val="24"/>
          <w:szCs w:val="24"/>
        </w:rPr>
        <w:t xml:space="preserve">Clave de registro, y </w:t>
      </w:r>
    </w:p>
    <w:p w14:paraId="4A76C47E"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i) </w:t>
      </w:r>
      <w:r w:rsidRPr="004549D6">
        <w:rPr>
          <w:rFonts w:ascii="Palatino Linotype" w:eastAsia="Palatino Linotype" w:hAnsi="Palatino Linotype" w:cs="Palatino Linotype"/>
          <w:i/>
          <w:iCs/>
          <w:color w:val="000000"/>
          <w:sz w:val="24"/>
          <w:szCs w:val="24"/>
        </w:rPr>
        <w:t xml:space="preserve">Clave Única del Registro de Población. </w:t>
      </w:r>
    </w:p>
    <w:p w14:paraId="495CEA24" w14:textId="77777777" w:rsidR="00E625A8" w:rsidRPr="004549D6" w:rsidRDefault="00E625A8">
      <w:pPr>
        <w:spacing w:after="0" w:line="240" w:lineRule="auto"/>
        <w:ind w:left="1134" w:right="567"/>
        <w:rPr>
          <w:rFonts w:ascii="Palatino Linotype" w:eastAsia="Palatino Linotype" w:hAnsi="Palatino Linotype" w:cs="Palatino Linotype"/>
          <w:b/>
          <w:bCs/>
          <w:i/>
          <w:iCs/>
          <w:color w:val="000000"/>
          <w:sz w:val="24"/>
          <w:szCs w:val="24"/>
        </w:rPr>
      </w:pPr>
    </w:p>
    <w:p w14:paraId="0C8F5527"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2. </w:t>
      </w:r>
      <w:r w:rsidRPr="004549D6">
        <w:rPr>
          <w:rFonts w:ascii="Palatino Linotype" w:eastAsia="Palatino Linotype" w:hAnsi="Palatino Linotype" w:cs="Palatino Linotype"/>
          <w:i/>
          <w:iCs/>
          <w:color w:val="000000"/>
          <w:sz w:val="24"/>
          <w:szCs w:val="24"/>
        </w:rPr>
        <w:t xml:space="preserve">Además tendrá: </w:t>
      </w:r>
    </w:p>
    <w:p w14:paraId="71C2661F"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a) </w:t>
      </w:r>
      <w:r w:rsidRPr="004549D6">
        <w:rPr>
          <w:rFonts w:ascii="Palatino Linotype" w:eastAsia="Palatino Linotype" w:hAnsi="Palatino Linotype" w:cs="Palatino Linotype"/>
          <w:i/>
          <w:iCs/>
          <w:color w:val="000000"/>
          <w:sz w:val="24"/>
          <w:szCs w:val="24"/>
        </w:rPr>
        <w:t xml:space="preserve">Espacios necesarios para marcar año y elección de que se trate; </w:t>
      </w:r>
    </w:p>
    <w:p w14:paraId="49D4B2DD"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b) </w:t>
      </w:r>
      <w:r w:rsidRPr="004549D6">
        <w:rPr>
          <w:rFonts w:ascii="Palatino Linotype" w:eastAsia="Palatino Linotype" w:hAnsi="Palatino Linotype" w:cs="Palatino Linotype"/>
          <w:i/>
          <w:iCs/>
          <w:color w:val="000000"/>
          <w:sz w:val="24"/>
          <w:szCs w:val="24"/>
        </w:rPr>
        <w:t xml:space="preserve">Firma impresa del Secretario Ejecutivo del Instituto; </w:t>
      </w:r>
    </w:p>
    <w:p w14:paraId="7FDEAF02"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c) </w:t>
      </w:r>
      <w:r w:rsidRPr="004549D6">
        <w:rPr>
          <w:rFonts w:ascii="Palatino Linotype" w:eastAsia="Palatino Linotype" w:hAnsi="Palatino Linotype" w:cs="Palatino Linotype"/>
          <w:i/>
          <w:iCs/>
          <w:color w:val="000000"/>
          <w:sz w:val="24"/>
          <w:szCs w:val="24"/>
        </w:rPr>
        <w:t xml:space="preserve">Año de emisión; </w:t>
      </w:r>
    </w:p>
    <w:p w14:paraId="1CECE10E"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d) </w:t>
      </w:r>
      <w:r w:rsidRPr="004549D6">
        <w:rPr>
          <w:rFonts w:ascii="Palatino Linotype" w:eastAsia="Palatino Linotype" w:hAnsi="Palatino Linotype" w:cs="Palatino Linotype"/>
          <w:i/>
          <w:iCs/>
          <w:color w:val="000000"/>
          <w:sz w:val="24"/>
          <w:szCs w:val="24"/>
        </w:rPr>
        <w:t xml:space="preserve">Año en el que expira su vigencia, y </w:t>
      </w:r>
    </w:p>
    <w:p w14:paraId="46829D58" w14:textId="77777777" w:rsidR="00E625A8" w:rsidRPr="004549D6" w:rsidRDefault="001F6039">
      <w:pPr>
        <w:spacing w:after="0" w:line="240" w:lineRule="auto"/>
        <w:ind w:left="1134" w:right="567"/>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 xml:space="preserve">e) </w:t>
      </w:r>
      <w:r w:rsidRPr="004549D6">
        <w:rPr>
          <w:rFonts w:ascii="Palatino Linotype" w:eastAsia="Palatino Linotype" w:hAnsi="Palatino Linotype" w:cs="Palatino Linotype"/>
          <w:i/>
          <w:iCs/>
          <w:color w:val="000000"/>
          <w:sz w:val="24"/>
          <w:szCs w:val="24"/>
        </w:rPr>
        <w:t>En el caso de la que se expida al ciudadano residente en el extranjero, la leyenda “Para Votar desde el Extranjero”.</w:t>
      </w:r>
    </w:p>
    <w:p w14:paraId="1BDB08D8" w14:textId="77777777" w:rsidR="00E625A8" w:rsidRPr="004549D6" w:rsidRDefault="00E625A8">
      <w:pPr>
        <w:spacing w:after="0" w:line="360" w:lineRule="auto"/>
        <w:rPr>
          <w:rFonts w:ascii="Palatino Linotype" w:eastAsia="Palatino Linotype" w:hAnsi="Palatino Linotype" w:cs="Palatino Linotype"/>
          <w:sz w:val="24"/>
          <w:szCs w:val="24"/>
        </w:rPr>
      </w:pPr>
    </w:p>
    <w:p w14:paraId="3CEF1212"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3A9520F2"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061DA6AE"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3A900E9E"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438DA016" w14:textId="77777777" w:rsidR="00E625A8" w:rsidRPr="004549D6" w:rsidRDefault="001F6039">
      <w:pPr>
        <w:numPr>
          <w:ilvl w:val="0"/>
          <w:numId w:val="20"/>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con excepción del nombre; por lo que, en el presente caso, se considera que la credencial de elector, es confidencial y actualiza la causal de clasificación en su totalidad, establecida en el artículo 143, fracción I, de la Ley de Transparencia y Acceso a la Información Pública del Estado de México y Municipios.</w:t>
      </w:r>
    </w:p>
    <w:p w14:paraId="2B4339EB"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4D11C29D" w14:textId="77777777" w:rsidR="00AE7F28" w:rsidRPr="004549D6" w:rsidRDefault="00AE7F28" w:rsidP="00AE7F28">
      <w:pPr>
        <w:pBdr>
          <w:top w:val="nil"/>
          <w:left w:val="nil"/>
          <w:bottom w:val="nil"/>
          <w:right w:val="nil"/>
          <w:between w:val="nil"/>
        </w:pBdr>
        <w:spacing w:after="0" w:line="240" w:lineRule="auto"/>
        <w:ind w:right="-283"/>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b/>
          <w:color w:val="000000"/>
          <w:sz w:val="24"/>
          <w:szCs w:val="24"/>
        </w:rPr>
        <w:t>Constancia de no Inhabilitación para desempeñar el cargo, empleo o comisión pública</w:t>
      </w:r>
    </w:p>
    <w:p w14:paraId="3D63DD7F" w14:textId="77777777" w:rsidR="00AE7F28" w:rsidRPr="004549D6" w:rsidRDefault="00AE7F28" w:rsidP="00AE7F28">
      <w:pPr>
        <w:numPr>
          <w:ilvl w:val="0"/>
          <w:numId w:val="27"/>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Al respecto dicho documento se encuentra regulado en el artículo 27 y 28 de la Ley General de Responsabilidades Administrativas, 28 de la Ley de Responsabilidades Administrativas, 28 quinto párrafo de la Ley de Responsabilidades Administrativas del Estado de México, con relación al 47, fracción X de la Ley del Trabajo de los Servidores públicos del Estado de México y Municipios.</w:t>
      </w:r>
    </w:p>
    <w:p w14:paraId="3B353085" w14:textId="77777777" w:rsidR="00AE7F28" w:rsidRPr="004549D6" w:rsidRDefault="00AE7F28" w:rsidP="00AE7F28">
      <w:pPr>
        <w:numPr>
          <w:ilvl w:val="0"/>
          <w:numId w:val="27"/>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Es el documento en el cual se informa si las personas físicas cuentan con alguna sanción o inhabilitación para ocupar un empleo, cargo o comisión de carácter público. </w:t>
      </w:r>
    </w:p>
    <w:p w14:paraId="47BD3B80" w14:textId="59CD9FD7" w:rsidR="006A3E86" w:rsidRPr="006A3E86" w:rsidRDefault="00AE7F28" w:rsidP="006A3E86">
      <w:pPr>
        <w:numPr>
          <w:ilvl w:val="0"/>
          <w:numId w:val="27"/>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 xml:space="preserve">Por lo anterior, toda vez que este documento es generado en ejercicio de funciones del Sujeto Obligado, es de naturaleza pública, sin embargo, no pasa desapercibido mencionar que puede contener datos que actualizan la causal prevista en la fracción I del artículo 143 de la Ley de Transparencia del Estado de México y Municipios, por lo tanto, </w:t>
      </w:r>
      <w:r w:rsidRPr="004549D6">
        <w:rPr>
          <w:rFonts w:ascii="Palatino Linotype" w:eastAsia="Palatino Linotype" w:hAnsi="Palatino Linotype" w:cs="Palatino Linotype"/>
          <w:b/>
          <w:color w:val="000000"/>
          <w:sz w:val="24"/>
          <w:szCs w:val="24"/>
        </w:rPr>
        <w:t>deberá ser proporcionado en versión pública</w:t>
      </w:r>
      <w:r w:rsidRPr="004549D6">
        <w:rPr>
          <w:rFonts w:ascii="Palatino Linotype" w:eastAsia="Palatino Linotype" w:hAnsi="Palatino Linotype" w:cs="Palatino Linotype"/>
          <w:color w:val="000000"/>
          <w:sz w:val="24"/>
          <w:szCs w:val="24"/>
        </w:rPr>
        <w:t>.</w:t>
      </w:r>
    </w:p>
    <w:p w14:paraId="662E7912" w14:textId="77777777" w:rsidR="00AE7F28" w:rsidRPr="004549D6" w:rsidRDefault="00AE7F28" w:rsidP="00AE7F28">
      <w:pPr>
        <w:ind w:left="360"/>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b/>
          <w:color w:val="000000"/>
          <w:sz w:val="24"/>
          <w:szCs w:val="24"/>
        </w:rPr>
        <w:t xml:space="preserve">Certificado de no deudor Alimentario </w:t>
      </w:r>
    </w:p>
    <w:p w14:paraId="1FE7917E"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Mediante el Decreto número 325 publicado en el Periódico Oficial “Gaceta del Gobierno” el catorce de noviembre de dos mil catorce, en la exposición de motivos de ese decreto se observa que, como una medida para garantizar el interés superior de los menores, se creó el Registro de Deudores Alimentarios del Estado de México, con la finalidad de asegurar el cumplimiento de las obligaciones alimentarias de los padres para con sus hijos.</w:t>
      </w:r>
    </w:p>
    <w:p w14:paraId="11C5531C" w14:textId="77777777" w:rsidR="00AE7F28" w:rsidRPr="004549D6" w:rsidRDefault="00AE7F28" w:rsidP="00AE7F2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A1225D2"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Por lo que, resulta importante hacer del conocimiento del SUJETO OBLIGADO que deberá entregarse dicho documento, toda vez que la Ley General de los Derechos de las Niñas, Niños y Adolescentes https://www.diputados.gob.mx/LeyesBiblio/pdf/LGDNNA.pdf, en sus artículos 1, 13, 18 y 46, 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0541E287" w14:textId="77777777" w:rsidR="00AE7F28" w:rsidRPr="004549D6" w:rsidRDefault="00AE7F28" w:rsidP="00AE7F2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B9C0479"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De ahí que, se crea el Registro Nacional de Obligaciones Alimentarias cuyo objeto es concentrar la información de deudores y acreedores de obligaciones alimentarias, a fin de 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3B646EF9" w14:textId="77777777" w:rsidR="00AE7F28" w:rsidRPr="004549D6" w:rsidRDefault="00AE7F28" w:rsidP="00AE7F28">
      <w:pPr>
        <w:pBdr>
          <w:top w:val="nil"/>
          <w:left w:val="nil"/>
          <w:bottom w:val="nil"/>
          <w:right w:val="nil"/>
          <w:between w:val="nil"/>
        </w:pBdr>
        <w:ind w:left="708"/>
        <w:rPr>
          <w:rFonts w:ascii="Palatino Linotype" w:eastAsia="Palatino Linotype" w:hAnsi="Palatino Linotype" w:cs="Palatino Linotype"/>
          <w:color w:val="000000"/>
          <w:sz w:val="24"/>
          <w:szCs w:val="24"/>
        </w:rPr>
      </w:pPr>
    </w:p>
    <w:p w14:paraId="17021835" w14:textId="77777777" w:rsidR="00AE7F28"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La calidad de deudor moroso se difundirá en el Registro Nacional de Obligaciones Alimentarias, el cual, será público con base en lo dispuesto en la Ley General de Protección de Datos Personales en Posesión de Sujetos Obligados.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19093DEA" w14:textId="77777777" w:rsidR="00BE10D6" w:rsidRPr="004549D6" w:rsidRDefault="00BE10D6" w:rsidP="00BE10D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0757585C"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Al respecto, los artículos 4.146 Bis, 4.146 Ter, 4.146 Quáter y 4.146 Quinquies del Código Civil del Estado de México, del Registro de Deudores Alimentarios del Estado de México , establece lo siguiente: </w:t>
      </w:r>
    </w:p>
    <w:p w14:paraId="47B464E5"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lastRenderedPageBreak/>
        <w:t>“CAPÍTULO IV DEL REGISTRO DE DEUDORES ALIMENTARIOS MOROSOS</w:t>
      </w:r>
    </w:p>
    <w:p w14:paraId="6E8F7177"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De la naturaleza del Registro de Deudores Alimentarios Morosos</w:t>
      </w:r>
    </w:p>
    <w:p w14:paraId="1000DEFD"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p>
    <w:p w14:paraId="0C775406"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4.146 Bis.- El área del Registro de Deudores Alimentarios Morosos, es una unidad administrativa del Registro Civil.</w:t>
      </w:r>
    </w:p>
    <w:p w14:paraId="58DF21ED"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p>
    <w:p w14:paraId="03256056"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Actos inscribibles en el Registro de Deudores Alimentarios Morosos </w:t>
      </w:r>
    </w:p>
    <w:p w14:paraId="4BED718C"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4.146 Ter.- En el Registro de Deudores Alimentarios Morosos se inscriben a las personas que el Juez de lo Familiar determina en términos del artículo 4.136 del presente Código. </w:t>
      </w:r>
    </w:p>
    <w:p w14:paraId="6F29EB70"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Serán objeto de registro los empleadores que incumplan una orden de descuento para alimentos ordenada por el órgano jurisdiccional. </w:t>
      </w:r>
    </w:p>
    <w:p w14:paraId="363A27E4"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p>
    <w:p w14:paraId="70192793"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De los datos que contendrá el Registro de Deudores Alimentarios Morosos </w:t>
      </w:r>
    </w:p>
    <w:p w14:paraId="101012C3"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p>
    <w:p w14:paraId="53AC8D18"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Artículo 4.146 Quáter.- El Registro de Deudores Alimentarios Morosos contendrá: </w:t>
      </w:r>
    </w:p>
    <w:p w14:paraId="1DADABC9"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 Nombre y Clave Única del Registro de Población del deudor alimentario; </w:t>
      </w:r>
    </w:p>
    <w:p w14:paraId="2AA3FE3C"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II. Nombre del acreedor o acreedores alimentarios; </w:t>
      </w:r>
    </w:p>
    <w:p w14:paraId="705D10D2"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III. Datos del acta que acredite el vínculo entre deudor y acreedor alimentario, en su caso; </w:t>
      </w:r>
    </w:p>
    <w:p w14:paraId="3D5B3E00"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IV. Monto de la pensión decretada o convenida, en su caso, número de pagos incumplidos y monto del adeudo alimentario; </w:t>
      </w:r>
    </w:p>
    <w:p w14:paraId="70666DA0"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V. Órgano jurisdiccional que ordenó el registro; </w:t>
      </w:r>
    </w:p>
    <w:p w14:paraId="248874FC" w14:textId="77777777" w:rsidR="00AE7F28"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VI. Datos del expediente jurisdiccional de la que deriva su inscripción. </w:t>
      </w:r>
    </w:p>
    <w:p w14:paraId="4079D804" w14:textId="77777777" w:rsidR="006A3E86" w:rsidRPr="004549D6" w:rsidRDefault="006A3E86"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p>
    <w:p w14:paraId="21FCA3B7"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 xml:space="preserve">Una vez hecha la inscripción a que se refiere el párrafo anterior se girará oficio al Instituto de la Función Registral del Estado de México, a efecto de que se anote el certificado de deudor alimentario en los folios reales de que sea propietario el deudor alimentario. El Instituto de la Función Registral informará al Registro Civil si fue procedente la anotación, en cuyo caso dará aviso al Juez del conocimiento para que el acreedor alimentario haga cobrable las cantidades adeudadas en la vía judicial respectiva. </w:t>
      </w:r>
    </w:p>
    <w:p w14:paraId="42FFADE7"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Datos del Certificado expedido por la Unidad del Registro de Deudores Alimentarios Morosos </w:t>
      </w:r>
    </w:p>
    <w:p w14:paraId="65BF4A50"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Artículo 4.146 Quinquies.- El Certificado expedido por la Unidad del Registro de Deudores Alimentarios Morosos contendrá lo siguiente: </w:t>
      </w:r>
    </w:p>
    <w:p w14:paraId="7692BF44"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 Nombre y Clave Única de Registro de Población del solicitante; </w:t>
      </w:r>
    </w:p>
    <w:p w14:paraId="76C09C98"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II. La información sobre su inscripción o no en el registro de deudores alimentarios morosos. </w:t>
      </w:r>
    </w:p>
    <w:p w14:paraId="56446E06"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De ser el caso que el solicitante se encuentre inscrito en el registro, la constancia incluirá además lo siguiente: </w:t>
      </w:r>
    </w:p>
    <w:p w14:paraId="1A3DD14C"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 Número de acreedores alimentarios; </w:t>
      </w:r>
    </w:p>
    <w:p w14:paraId="5093006A"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II. Monto de la pensión alimenticia decretada o convenida; </w:t>
      </w:r>
    </w:p>
    <w:p w14:paraId="3283B801"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III. Órgano jurisdiccional que ordenó el registro; </w:t>
      </w:r>
    </w:p>
    <w:p w14:paraId="0236BB82"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IV. Datos del expediente jurisdiccional de la que deriva su inscripción. </w:t>
      </w:r>
    </w:p>
    <w:p w14:paraId="08C42619"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El Certificado a que se refiere el presente artículo será expedido el mismo día hábil de su solicitud. </w:t>
      </w:r>
    </w:p>
    <w:p w14:paraId="67F64594"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Cancelación del Registro de Deudor Alimentario Moroso </w:t>
      </w:r>
    </w:p>
    <w:p w14:paraId="6DD82DF3" w14:textId="77777777" w:rsidR="00AE7F28" w:rsidRPr="004549D6" w:rsidRDefault="00AE7F28" w:rsidP="00AE7F28">
      <w:pPr>
        <w:pBdr>
          <w:top w:val="nil"/>
          <w:left w:val="nil"/>
          <w:bottom w:val="nil"/>
          <w:right w:val="nil"/>
          <w:between w:val="nil"/>
        </w:pBdr>
        <w:spacing w:line="240" w:lineRule="auto"/>
        <w:ind w:left="1276"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Artículo 4.146 Sexies.- Una vez que hayan sido liquidadas las pensiones adeudadas, el Juez de conocimiento podrá ordenar a petición de parte interesada, la cancelación del registro como deudor alimentario moroso, la cual se tramitará de manera incidental. La del registro de deudor alimentario procederá cuando haya cesado la obligación alimentaria. …” </w:t>
      </w:r>
    </w:p>
    <w:p w14:paraId="37E94F4D"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Ahora bien, respecto a aquellos servidores públicos que se encuentren o no inscritos en dicho registro, procedería su entrega en versión pública, ya que al ser un requisito sine qua non para ingresar al servicio público, se convierte en información que da certeza a la ciudadanía de que el Servidor Público cumplió con los requisitos señalados.</w:t>
      </w:r>
    </w:p>
    <w:p w14:paraId="0C94068E" w14:textId="77777777" w:rsidR="00AE7F28" w:rsidRPr="004549D6" w:rsidRDefault="00AE7F28" w:rsidP="00AE7F2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5CC374D"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Derivado de lo anterior, cualquier ciudadano que desee obtener dicha información, podrá ingresar a la Ventanilla Electrónica Única, en la que accederá con su CUTS y contraseña, capturando los datos como son CURP, nombre, primer y segundo apellido, y se comenzará la búsqueda de lo solicitado, en el que arrojará si se encuentra en calidad de deudor o no. </w:t>
      </w:r>
    </w:p>
    <w:p w14:paraId="267243EA" w14:textId="77777777" w:rsidR="00AE7F28" w:rsidRPr="004549D6" w:rsidRDefault="00AE7F28" w:rsidP="00AE7F28">
      <w:pPr>
        <w:pBdr>
          <w:top w:val="nil"/>
          <w:left w:val="nil"/>
          <w:bottom w:val="nil"/>
          <w:right w:val="nil"/>
          <w:between w:val="nil"/>
        </w:pBdr>
        <w:ind w:left="708"/>
        <w:rPr>
          <w:rFonts w:ascii="Palatino Linotype" w:eastAsia="Palatino Linotype" w:hAnsi="Palatino Linotype" w:cs="Palatino Linotype"/>
          <w:color w:val="000000"/>
          <w:sz w:val="24"/>
          <w:szCs w:val="24"/>
        </w:rPr>
      </w:pPr>
    </w:p>
    <w:p w14:paraId="08A431AB"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En este sentido, se advierte que al ser un requisito indispensable y preponderante, EL SUJETO OBLIGADO deberá hacer entrega de dicho documento que dé cuenta de que no es una persona que ha incumplido con las obligaciones alimentarias, 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registro, no pasa desapercibido, que el Certificado de No Deudor Alimentario, pudiere contener información confidencial, como lo es el CURP y R.F.C.</w:t>
      </w:r>
    </w:p>
    <w:p w14:paraId="1E120F71" w14:textId="77777777" w:rsidR="00AE7F28" w:rsidRPr="004549D6" w:rsidRDefault="00AE7F28" w:rsidP="00AE7F28">
      <w:pPr>
        <w:pBdr>
          <w:top w:val="nil"/>
          <w:left w:val="nil"/>
          <w:bottom w:val="nil"/>
          <w:right w:val="nil"/>
          <w:between w:val="nil"/>
        </w:pBdr>
        <w:ind w:left="708"/>
        <w:rPr>
          <w:rFonts w:ascii="Palatino Linotype" w:eastAsia="Palatino Linotype" w:hAnsi="Palatino Linotype" w:cs="Palatino Linotype"/>
          <w:color w:val="000000"/>
          <w:sz w:val="24"/>
          <w:szCs w:val="24"/>
        </w:rPr>
      </w:pPr>
    </w:p>
    <w:p w14:paraId="35E71CDF"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Al respecto, resulta aplicable el criterio reiterado 07/24, que es del tenor literal siguiente:</w:t>
      </w:r>
    </w:p>
    <w:p w14:paraId="2CD6A828" w14:textId="77777777" w:rsidR="00AE7F28" w:rsidRPr="004549D6" w:rsidRDefault="00AE7F28" w:rsidP="00AE7F28">
      <w:pPr>
        <w:pBdr>
          <w:top w:val="nil"/>
          <w:left w:val="nil"/>
          <w:bottom w:val="nil"/>
          <w:right w:val="nil"/>
          <w:between w:val="nil"/>
        </w:pBdr>
        <w:spacing w:line="240"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CERTIFICADO DE NO DEUDOR ALIMENTARIO MOROSO, PROCEDE SU ENTREGA EN VERSIÓN PÚBLICA. El certificado de no deudor alimentario moroso es información de carácter público ya que es requisito </w:t>
      </w:r>
      <w:r w:rsidRPr="004549D6">
        <w:rPr>
          <w:rFonts w:ascii="Palatino Linotype" w:eastAsia="Palatino Linotype" w:hAnsi="Palatino Linotype" w:cs="Palatino Linotype"/>
          <w:i/>
          <w:color w:val="000000"/>
          <w:sz w:val="24"/>
          <w:szCs w:val="24"/>
        </w:rPr>
        <w:lastRenderedPageBreak/>
        <w:t>indispensable para ingresar al servicio público, lo cual genera certeza a la ciudadanía de que el Servidor Público cumplió con los requisitos señalados por el artículo 47, fracción XI de la Ley del Trabajo de los Servidores Públicos del Estado y Municipios.</w:t>
      </w:r>
    </w:p>
    <w:p w14:paraId="41FDD32F" w14:textId="77777777" w:rsidR="00AE7F28" w:rsidRPr="004549D6" w:rsidRDefault="00AE7F28" w:rsidP="00AE7F2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19B84F2" w14:textId="77777777" w:rsidR="00AE7F28"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Por lo tanto, es procedente la entrega del Certificado en cuestión, por considerarse de carácter público, en versión pública.</w:t>
      </w:r>
    </w:p>
    <w:p w14:paraId="76318C11" w14:textId="77777777" w:rsidR="00BE10D6" w:rsidRPr="004549D6" w:rsidRDefault="00BE10D6" w:rsidP="00BE10D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542B1C6" w14:textId="77777777" w:rsidR="00AE7F28" w:rsidRPr="004549D6" w:rsidRDefault="00AE7F28" w:rsidP="00AE7F28">
      <w:pPr>
        <w:numPr>
          <w:ilvl w:val="0"/>
          <w:numId w:val="29"/>
        </w:num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4549D6">
        <w:rPr>
          <w:rFonts w:ascii="Palatino Linotype" w:eastAsia="Palatino Linotype" w:hAnsi="Palatino Linotype" w:cs="Palatino Linotype"/>
          <w:b/>
          <w:color w:val="000000"/>
          <w:sz w:val="24"/>
          <w:szCs w:val="24"/>
        </w:rPr>
        <w:t>Ficha curricular o curriculum vitae.</w:t>
      </w:r>
    </w:p>
    <w:p w14:paraId="3AAAA450"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Precisado lo anterior, y en atención a los requerimientos planteados por el particular, por lo que corresponde a la ficha curricular o curriculum vitae contienen entre otra información, </w:t>
      </w:r>
      <w:r w:rsidRPr="004549D6">
        <w:rPr>
          <w:rFonts w:ascii="Palatino Linotype" w:eastAsia="Palatino Linotype" w:hAnsi="Palatino Linotype" w:cs="Palatino Linotype"/>
          <w:b/>
          <w:color w:val="000000"/>
          <w:sz w:val="24"/>
          <w:szCs w:val="24"/>
        </w:rPr>
        <w:t>la preparación académica, laboral y méritos con los que cuentan los servidores públicos</w:t>
      </w:r>
      <w:r w:rsidRPr="004549D6">
        <w:rPr>
          <w:rFonts w:ascii="Palatino Linotype" w:eastAsia="Palatino Linotype" w:hAnsi="Palatino Linotype" w:cs="Palatino Linotype"/>
          <w:color w:val="000000"/>
          <w:sz w:val="24"/>
          <w:szCs w:val="24"/>
        </w:rPr>
        <w:t xml:space="preserve"> para ocupar un cargo público. Se cita lo que dispone la Real Academia de la Lengua Española define como currículum vitae: </w:t>
      </w:r>
    </w:p>
    <w:p w14:paraId="0B020658" w14:textId="77777777" w:rsidR="00AE7F28" w:rsidRPr="004549D6" w:rsidRDefault="00AE7F28" w:rsidP="00AE7F28">
      <w:pPr>
        <w:tabs>
          <w:tab w:val="left" w:pos="1134"/>
        </w:tabs>
        <w:spacing w:line="276" w:lineRule="auto"/>
        <w:ind w:left="1134" w:right="1134"/>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b/>
          <w:sz w:val="24"/>
          <w:szCs w:val="24"/>
        </w:rPr>
        <w:t>“</w:t>
      </w:r>
      <w:r w:rsidRPr="004549D6">
        <w:rPr>
          <w:rFonts w:ascii="Palatino Linotype" w:eastAsia="Palatino Linotype" w:hAnsi="Palatino Linotype" w:cs="Palatino Linotype"/>
          <w:b/>
          <w:i/>
          <w:sz w:val="24"/>
          <w:szCs w:val="24"/>
        </w:rPr>
        <w:t>currículum vítae</w:t>
      </w:r>
      <w:r w:rsidRPr="004549D6">
        <w:rPr>
          <w:rFonts w:ascii="Palatino Linotype" w:eastAsia="Palatino Linotype" w:hAnsi="Palatino Linotype" w:cs="Palatino Linotype"/>
          <w:i/>
          <w:sz w:val="24"/>
          <w:szCs w:val="24"/>
        </w:rPr>
        <w:t>. </w:t>
      </w:r>
      <w:r w:rsidRPr="004549D6">
        <w:rPr>
          <w:rFonts w:ascii="Palatino Linotype" w:eastAsia="Palatino Linotype" w:hAnsi="Palatino Linotype" w:cs="Palatino Linotype"/>
          <w:b/>
          <w:i/>
          <w:sz w:val="24"/>
          <w:szCs w:val="24"/>
        </w:rPr>
        <w:t>1.</w:t>
      </w:r>
      <w:r w:rsidRPr="004549D6">
        <w:rPr>
          <w:rFonts w:ascii="Palatino Linotype" w:eastAsia="Palatino Linotype" w:hAnsi="Palatino Linotype" w:cs="Palatino Linotype"/>
          <w:i/>
          <w:sz w:val="24"/>
          <w:szCs w:val="24"/>
        </w:rPr>
        <w:t xml:space="preserve"> Loc. lat. que significa literalmente ‘carrera de la vida’. Se usa como locución nominal masculina para designar la relación de los datos personales, </w:t>
      </w:r>
      <w:r w:rsidRPr="004549D6">
        <w:rPr>
          <w:rFonts w:ascii="Palatino Linotype" w:eastAsia="Palatino Linotype" w:hAnsi="Palatino Linotype" w:cs="Palatino Linotype"/>
          <w:b/>
          <w:i/>
          <w:sz w:val="24"/>
          <w:szCs w:val="24"/>
        </w:rPr>
        <w:t>formación académica</w:t>
      </w:r>
      <w:r w:rsidRPr="004549D6">
        <w:rPr>
          <w:rFonts w:ascii="Palatino Linotype" w:eastAsia="Palatino Linotype" w:hAnsi="Palatino Linotype" w:cs="Palatino Linotype"/>
          <w:i/>
          <w:sz w:val="24"/>
          <w:szCs w:val="24"/>
        </w:rPr>
        <w:t>, actividad laboral y méritos de una persona.</w:t>
      </w:r>
      <w:r w:rsidRPr="004549D6">
        <w:rPr>
          <w:rFonts w:ascii="Palatino Linotype" w:eastAsia="Palatino Linotype" w:hAnsi="Palatino Linotype" w:cs="Palatino Linotype"/>
          <w:sz w:val="24"/>
          <w:szCs w:val="24"/>
        </w:rPr>
        <w:t>”</w:t>
      </w:r>
    </w:p>
    <w:p w14:paraId="67BA03BB" w14:textId="77777777" w:rsidR="00AE7F28" w:rsidRPr="004549D6" w:rsidRDefault="00AE7F28" w:rsidP="00AE7F28">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sz w:val="24"/>
          <w:szCs w:val="24"/>
        </w:rPr>
      </w:pPr>
    </w:p>
    <w:p w14:paraId="662E0BC0" w14:textId="77777777" w:rsidR="00AE7F28" w:rsidRPr="004549D6" w:rsidRDefault="00AE7F28" w:rsidP="00AE7F28">
      <w:pPr>
        <w:numPr>
          <w:ilvl w:val="0"/>
          <w:numId w:val="27"/>
        </w:numPr>
        <w:pBdr>
          <w:top w:val="nil"/>
          <w:left w:val="nil"/>
          <w:bottom w:val="nil"/>
          <w:right w:val="nil"/>
          <w:between w:val="nil"/>
        </w:pBdr>
        <w:tabs>
          <w:tab w:val="left" w:pos="567"/>
        </w:tabs>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De la interpretación a esta definición se desprende que tanto la ficha curricular como el currículum vitae están relacionados con la hoja de vida, carrera de vida o currícula de una persona, donde se podría apreciar la preparación académica y laboral que tiene, además de los méritos como bien lo podrían ser cursos o certificaciones.</w:t>
      </w:r>
    </w:p>
    <w:p w14:paraId="0F85B765" w14:textId="77777777" w:rsidR="00AE7F28" w:rsidRPr="004549D6" w:rsidRDefault="00AE7F28" w:rsidP="00AE7F28">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sz w:val="24"/>
          <w:szCs w:val="24"/>
        </w:rPr>
      </w:pPr>
    </w:p>
    <w:p w14:paraId="17D94DB9" w14:textId="77777777" w:rsidR="00AE7F28" w:rsidRPr="004549D6" w:rsidRDefault="00AE7F28" w:rsidP="00AE7F28">
      <w:pPr>
        <w:numPr>
          <w:ilvl w:val="0"/>
          <w:numId w:val="27"/>
        </w:numPr>
        <w:pBdr>
          <w:top w:val="nil"/>
          <w:left w:val="nil"/>
          <w:bottom w:val="nil"/>
          <w:right w:val="nil"/>
          <w:between w:val="nil"/>
        </w:pBdr>
        <w:tabs>
          <w:tab w:val="left" w:pos="567"/>
        </w:tabs>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 xml:space="preserve">Por ende, la ficha curricular o currículum vítae puede existir información más detallada y relacionada con la </w:t>
      </w:r>
      <w:r w:rsidRPr="004549D6">
        <w:rPr>
          <w:rFonts w:ascii="Palatino Linotype" w:eastAsia="Palatino Linotype" w:hAnsi="Palatino Linotype" w:cs="Palatino Linotype"/>
          <w:b/>
          <w:color w:val="000000"/>
          <w:sz w:val="24"/>
          <w:szCs w:val="24"/>
        </w:rPr>
        <w:t xml:space="preserve">trayectoria académica o profesional, </w:t>
      </w:r>
      <w:r w:rsidRPr="004549D6">
        <w:rPr>
          <w:rFonts w:ascii="Palatino Linotype" w:eastAsia="Palatino Linotype" w:hAnsi="Palatino Linotype" w:cs="Palatino Linotype"/>
          <w:color w:val="000000"/>
          <w:sz w:val="24"/>
          <w:szCs w:val="24"/>
        </w:rPr>
        <w:t xml:space="preserve">debiendo conservar los documentos soporte como puede ser </w:t>
      </w:r>
      <w:r w:rsidRPr="004549D6">
        <w:rPr>
          <w:rFonts w:ascii="Palatino Linotype" w:eastAsia="Palatino Linotype" w:hAnsi="Palatino Linotype" w:cs="Palatino Linotype"/>
          <w:b/>
          <w:color w:val="000000"/>
          <w:sz w:val="24"/>
          <w:szCs w:val="24"/>
        </w:rPr>
        <w:t>el título profesional o cédula profesional</w:t>
      </w:r>
      <w:r w:rsidRPr="004549D6">
        <w:rPr>
          <w:rFonts w:ascii="Palatino Linotype" w:eastAsia="Palatino Linotype" w:hAnsi="Palatino Linotype" w:cs="Palatino Linotype"/>
          <w:color w:val="000000"/>
          <w:sz w:val="24"/>
          <w:szCs w:val="24"/>
        </w:rPr>
        <w:t xml:space="preserve"> o el documento que avale el grado académico de los servidores públicos, los cuales son susceptibles de proporcionarse en versión pública.</w:t>
      </w:r>
    </w:p>
    <w:p w14:paraId="0687763F" w14:textId="77777777" w:rsidR="00AE7F28" w:rsidRPr="004549D6" w:rsidRDefault="00AE7F28" w:rsidP="00AE7F28">
      <w:pPr>
        <w:pBdr>
          <w:top w:val="nil"/>
          <w:left w:val="nil"/>
          <w:bottom w:val="nil"/>
          <w:right w:val="nil"/>
          <w:between w:val="nil"/>
        </w:pBdr>
        <w:rPr>
          <w:rFonts w:ascii="Palatino Linotype" w:eastAsia="Palatino Linotype" w:hAnsi="Palatino Linotype" w:cs="Palatino Linotype"/>
          <w:color w:val="000000"/>
          <w:sz w:val="24"/>
          <w:szCs w:val="24"/>
        </w:rPr>
      </w:pPr>
    </w:p>
    <w:p w14:paraId="15CFFFAB" w14:textId="77777777" w:rsidR="00AE7F28" w:rsidRPr="004549D6" w:rsidRDefault="00AE7F28" w:rsidP="00AE7F28">
      <w:pPr>
        <w:numPr>
          <w:ilvl w:val="0"/>
          <w:numId w:val="27"/>
        </w:numPr>
        <w:pBdr>
          <w:top w:val="nil"/>
          <w:left w:val="nil"/>
          <w:bottom w:val="nil"/>
          <w:right w:val="nil"/>
          <w:between w:val="nil"/>
        </w:pBdr>
        <w:tabs>
          <w:tab w:val="left" w:pos="567"/>
        </w:tabs>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Es así que, la información contenida en el currículum vitae permite conocer el perfil profesional del servidor público. Además, el currículum vitae o ficha curricular forman parte de las obligaciones d</w:t>
      </w:r>
      <w:r w:rsidR="00FE28BE" w:rsidRPr="004549D6">
        <w:rPr>
          <w:rFonts w:ascii="Palatino Linotype" w:eastAsia="Palatino Linotype" w:hAnsi="Palatino Linotype" w:cs="Palatino Linotype"/>
          <w:color w:val="000000"/>
          <w:sz w:val="24"/>
          <w:szCs w:val="24"/>
        </w:rPr>
        <w:t>e</w:t>
      </w:r>
      <w:r w:rsidRPr="004549D6">
        <w:rPr>
          <w:rFonts w:ascii="Palatino Linotype" w:eastAsia="Palatino Linotype" w:hAnsi="Palatino Linotype" w:cs="Palatino Linotype"/>
          <w:color w:val="000000"/>
          <w:sz w:val="24"/>
          <w:szCs w:val="24"/>
        </w:rPr>
        <w:t xml:space="preserve">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14:paraId="1A612CD5" w14:textId="77777777" w:rsidR="00AE7F28" w:rsidRPr="004549D6" w:rsidRDefault="00AE7F28" w:rsidP="001A2498">
      <w:pPr>
        <w:ind w:left="1134" w:right="1134"/>
        <w:jc w:val="center"/>
        <w:rPr>
          <w:rFonts w:ascii="Palatino Linotype" w:eastAsia="Palatino Linotype" w:hAnsi="Palatino Linotype" w:cs="Palatino Linotype"/>
          <w:b/>
          <w:i/>
          <w:sz w:val="24"/>
          <w:szCs w:val="24"/>
        </w:rPr>
      </w:pPr>
      <w:r w:rsidRPr="004549D6">
        <w:rPr>
          <w:rFonts w:ascii="Palatino Linotype" w:eastAsia="Palatino Linotype" w:hAnsi="Palatino Linotype" w:cs="Palatino Linotype"/>
          <w:b/>
          <w:i/>
          <w:sz w:val="24"/>
          <w:szCs w:val="24"/>
        </w:rPr>
        <w:t>Ley de Transparencia y Acceso a la Información Pública del Estado de México y Municipios</w:t>
      </w:r>
    </w:p>
    <w:p w14:paraId="1D01A81F" w14:textId="77777777" w:rsidR="00AE7F28" w:rsidRPr="004549D6" w:rsidRDefault="00AE7F28" w:rsidP="001A2498">
      <w:pPr>
        <w:ind w:left="1134" w:right="1134"/>
        <w:jc w:val="both"/>
        <w:rPr>
          <w:rFonts w:ascii="Palatino Linotype" w:eastAsia="Palatino Linotype" w:hAnsi="Palatino Linotype" w:cs="Palatino Linotype"/>
          <w:i/>
          <w:sz w:val="24"/>
          <w:szCs w:val="24"/>
        </w:rPr>
      </w:pPr>
      <w:r w:rsidRPr="004549D6">
        <w:rPr>
          <w:rFonts w:ascii="Palatino Linotype" w:eastAsia="Palatino Linotype" w:hAnsi="Palatino Linotype" w:cs="Palatino Linotype"/>
          <w:i/>
          <w:sz w:val="24"/>
          <w:szCs w:val="24"/>
        </w:rPr>
        <w:t>“</w:t>
      </w:r>
      <w:r w:rsidRPr="004549D6">
        <w:rPr>
          <w:rFonts w:ascii="Palatino Linotype" w:eastAsia="Palatino Linotype" w:hAnsi="Palatino Linotype" w:cs="Palatino Linotype"/>
          <w:b/>
          <w:i/>
          <w:sz w:val="24"/>
          <w:szCs w:val="24"/>
        </w:rPr>
        <w:t>Artículo 92</w:t>
      </w:r>
      <w:r w:rsidRPr="004549D6">
        <w:rPr>
          <w:rFonts w:ascii="Palatino Linotype" w:eastAsia="Palatino Linotype" w:hAnsi="Palatino Linotype" w:cs="Palatino Linotype"/>
          <w:i/>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39B5E57" w14:textId="77777777" w:rsidR="00AE7F28" w:rsidRPr="004549D6" w:rsidRDefault="00AE7F28" w:rsidP="001A2498">
      <w:pPr>
        <w:ind w:left="1134" w:right="1134"/>
        <w:jc w:val="both"/>
        <w:rPr>
          <w:rFonts w:ascii="Palatino Linotype" w:eastAsia="Palatino Linotype" w:hAnsi="Palatino Linotype" w:cs="Palatino Linotype"/>
          <w:i/>
          <w:sz w:val="24"/>
          <w:szCs w:val="24"/>
        </w:rPr>
      </w:pPr>
      <w:r w:rsidRPr="004549D6">
        <w:rPr>
          <w:rFonts w:ascii="Palatino Linotype" w:eastAsia="Palatino Linotype" w:hAnsi="Palatino Linotype" w:cs="Palatino Linotype"/>
          <w:i/>
          <w:sz w:val="24"/>
          <w:szCs w:val="24"/>
        </w:rPr>
        <w:t>(…)</w:t>
      </w:r>
    </w:p>
    <w:p w14:paraId="5A7F0878" w14:textId="77777777" w:rsidR="00AE7F28" w:rsidRPr="004549D6" w:rsidRDefault="00AE7F28" w:rsidP="001A2498">
      <w:pPr>
        <w:ind w:left="1134" w:right="1134"/>
        <w:jc w:val="both"/>
        <w:rPr>
          <w:rFonts w:ascii="Palatino Linotype" w:eastAsia="Palatino Linotype" w:hAnsi="Palatino Linotype" w:cs="Palatino Linotype"/>
          <w:i/>
          <w:sz w:val="24"/>
          <w:szCs w:val="24"/>
        </w:rPr>
      </w:pPr>
      <w:r w:rsidRPr="004549D6">
        <w:rPr>
          <w:rFonts w:ascii="Palatino Linotype" w:eastAsia="Palatino Linotype" w:hAnsi="Palatino Linotype" w:cs="Palatino Linotype"/>
          <w:b/>
          <w:i/>
          <w:sz w:val="24"/>
          <w:szCs w:val="24"/>
        </w:rPr>
        <w:t>XXI.</w:t>
      </w:r>
      <w:r w:rsidRPr="004549D6">
        <w:rPr>
          <w:rFonts w:ascii="Palatino Linotype" w:eastAsia="Palatino Linotype" w:hAnsi="Palatino Linotype" w:cs="Palatino Linotype"/>
          <w:i/>
          <w:sz w:val="24"/>
          <w:szCs w:val="24"/>
        </w:rPr>
        <w:t xml:space="preserve"> </w:t>
      </w:r>
      <w:r w:rsidRPr="004549D6">
        <w:rPr>
          <w:rFonts w:ascii="Palatino Linotype" w:eastAsia="Palatino Linotype" w:hAnsi="Palatino Linotype" w:cs="Palatino Linotype"/>
          <w:b/>
          <w:i/>
          <w:sz w:val="24"/>
          <w:szCs w:val="24"/>
          <w:u w:val="single"/>
        </w:rPr>
        <w:t>La información curricular</w:t>
      </w:r>
      <w:r w:rsidRPr="004549D6">
        <w:rPr>
          <w:rFonts w:ascii="Palatino Linotype" w:eastAsia="Palatino Linotype" w:hAnsi="Palatino Linotype" w:cs="Palatino Linotype"/>
          <w:i/>
          <w:sz w:val="24"/>
          <w:szCs w:val="24"/>
        </w:rPr>
        <w:t>, desde el nivel de jefe de departamento o equivalente, hasta el titular del sujeto obligado, así como, en su caso, las sanciones administrativas de que haya sido objeto;</w:t>
      </w:r>
    </w:p>
    <w:p w14:paraId="5674CDC4" w14:textId="77777777" w:rsidR="00AE7F28" w:rsidRPr="004549D6" w:rsidRDefault="00AE7F28" w:rsidP="001A2498">
      <w:pPr>
        <w:spacing w:line="360" w:lineRule="auto"/>
        <w:ind w:left="1134" w:right="1134"/>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(Énfasis añadido)”</w:t>
      </w:r>
    </w:p>
    <w:p w14:paraId="5A06C0CD" w14:textId="77777777" w:rsidR="00AE7F28" w:rsidRPr="004549D6" w:rsidRDefault="00AE7F28" w:rsidP="001A2498">
      <w:pPr>
        <w:tabs>
          <w:tab w:val="left" w:pos="426"/>
        </w:tabs>
        <w:spacing w:line="360" w:lineRule="auto"/>
        <w:ind w:left="1134" w:right="1134"/>
        <w:jc w:val="both"/>
        <w:rPr>
          <w:rFonts w:ascii="Palatino Linotype" w:eastAsia="Palatino Linotype" w:hAnsi="Palatino Linotype" w:cs="Palatino Linotype"/>
          <w:sz w:val="24"/>
          <w:szCs w:val="24"/>
        </w:rPr>
      </w:pPr>
    </w:p>
    <w:p w14:paraId="501F6831" w14:textId="77777777" w:rsidR="00AE7F28" w:rsidRPr="004549D6" w:rsidRDefault="00AE7F28" w:rsidP="00AE7F28">
      <w:pPr>
        <w:numPr>
          <w:ilvl w:val="0"/>
          <w:numId w:val="27"/>
        </w:numPr>
        <w:tabs>
          <w:tab w:val="left" w:pos="426"/>
        </w:tabs>
        <w:spacing w:after="240" w:line="360" w:lineRule="auto"/>
        <w:ind w:left="0"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lastRenderedPageBreak/>
        <w:t xml:space="preserve">De lo anterior se coligue que, el Sujeto Obligado cuenta con fuente obligacional para generar, administrar y poseer la información requerida por el Particular, además, los </w:t>
      </w:r>
      <w:r w:rsidRPr="004549D6">
        <w:rPr>
          <w:rFonts w:ascii="Palatino Linotype" w:eastAsia="Palatino Linotype" w:hAnsi="Palatino Linotype" w:cs="Palatino Linotype"/>
          <w:i/>
          <w:sz w:val="24"/>
          <w:szCs w:val="24"/>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14:paraId="5FECF2F8"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XVII. La información curricular desde el nivel de jefe de departamento o equivalente    hasta el titular del sujeto obligado, así como, en su caso, las sanciones administrativas de que haya sido objeto  </w:t>
      </w:r>
    </w:p>
    <w:p w14:paraId="203205C3"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p>
    <w:p w14:paraId="3A13D25F"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La información que los sujetos obligados deberán publicar en cumplimiento a la presente fracción es la curricular no confidencial relacionada con todos los(as) servidores(as) públicos(as) y/o personas que desempeñen actualmente un empleo, cargo o comisión y/o ejerzan actos de autoridad en el sujeto obligado –desde nivel de jefe de departamento o equivalente y hasta el titular del sujeto obligado–, que permita conocer su trayectoria en el ámbito laboral y escolar. Por cada servidor(a) público(a) se deberá especificar si ha sido acreedor a sanciones administrativas definitivas y que hayan sido aplicadas por autoridad u organismo competente.</w:t>
      </w:r>
    </w:p>
    <w:p w14:paraId="257A59C2"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Criterios sustantivos de contenido </w:t>
      </w:r>
    </w:p>
    <w:p w14:paraId="61D239BF"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Criterio 1 Ejercicio </w:t>
      </w:r>
    </w:p>
    <w:p w14:paraId="58FE3F29"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Criterio 2 Periodo que se informa (fecha de inicio y fecha de término con el formato día/mes/año) </w:t>
      </w:r>
    </w:p>
    <w:p w14:paraId="2CC9DB84"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Criterio 3 Denominación del puesto (de acuerdo con el catálogo que en su caso regule la actividad del sujeto obligado) </w:t>
      </w:r>
    </w:p>
    <w:p w14:paraId="56F725B4"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lastRenderedPageBreak/>
        <w:t xml:space="preserve">Criterio 4 Denominación del cargo (de conformidad con nombramiento otorgado) </w:t>
      </w:r>
    </w:p>
    <w:p w14:paraId="626E408E"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b/>
          <w:i/>
          <w:color w:val="000000"/>
          <w:sz w:val="24"/>
          <w:szCs w:val="24"/>
        </w:rPr>
      </w:pPr>
      <w:r w:rsidRPr="004549D6">
        <w:rPr>
          <w:rFonts w:ascii="Palatino Linotype" w:eastAsia="Palatino Linotype" w:hAnsi="Palatino Linotype" w:cs="Palatino Linotype"/>
          <w:b/>
          <w:i/>
          <w:color w:val="000000"/>
          <w:sz w:val="24"/>
          <w:szCs w:val="24"/>
        </w:rPr>
        <w:t xml:space="preserve">Criterio 5 Nombre del servidor(a) público(a), integrante y/o, miembro del sujeto obligado, y/o persona que desempeñe un empleo, cargo o comisión y/o ejerza actos de autoridad (nombre[s], primer apellido, segundo apellido) </w:t>
      </w:r>
    </w:p>
    <w:p w14:paraId="3AAF8371"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Criterio 6 Área de adscripción (de acuerdo con el catálogo que en su caso regule la actividad del sujeto obligado) Respecto a la información curricular del (la) servidor(a) público(a) y/o persona que desempeñe un empleo, cargo o comisión en el sujeto obligado se deberá publicar: </w:t>
      </w:r>
    </w:p>
    <w:p w14:paraId="7A52698D"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 xml:space="preserve">Criterio 7 Escolaridad, nivel máximo de estudios concluido y comprobable (catálogo): Ninguno/Primaria/Secundaria/Bachillerato/Carrera técnica/Licenciatura/Maestría/Doctorado/Posdoctorado/Especialización </w:t>
      </w:r>
    </w:p>
    <w:p w14:paraId="46A84ED1"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Criterio 8 Carrera genérica, en su caso</w:t>
      </w:r>
    </w:p>
    <w:p w14:paraId="41E486DC" w14:textId="77777777" w:rsidR="00AE7F28" w:rsidRPr="004549D6" w:rsidRDefault="00AE7F28" w:rsidP="001A2498">
      <w:pPr>
        <w:pBdr>
          <w:top w:val="nil"/>
          <w:left w:val="nil"/>
          <w:bottom w:val="nil"/>
          <w:right w:val="nil"/>
          <w:between w:val="nil"/>
        </w:pBdr>
        <w:spacing w:before="240" w:after="240" w:line="276" w:lineRule="auto"/>
        <w:ind w:left="1134" w:right="1134"/>
        <w:jc w:val="both"/>
        <w:rPr>
          <w:rFonts w:ascii="Palatino Linotype" w:eastAsia="Palatino Linotype" w:hAnsi="Palatino Linotype" w:cs="Palatino Linotype"/>
          <w:i/>
          <w:color w:val="000000"/>
          <w:sz w:val="24"/>
          <w:szCs w:val="24"/>
        </w:rPr>
      </w:pPr>
      <w:r w:rsidRPr="004549D6">
        <w:rPr>
          <w:rFonts w:ascii="Palatino Linotype" w:eastAsia="Palatino Linotype" w:hAnsi="Palatino Linotype" w:cs="Palatino Linotype"/>
          <w:i/>
          <w:color w:val="000000"/>
          <w:sz w:val="24"/>
          <w:szCs w:val="24"/>
        </w:rPr>
        <w:t>(…)</w:t>
      </w:r>
    </w:p>
    <w:p w14:paraId="77168514" w14:textId="77777777" w:rsidR="00AE7F28" w:rsidRPr="004549D6" w:rsidRDefault="00AE7F28" w:rsidP="00AE7F28">
      <w:pPr>
        <w:numPr>
          <w:ilvl w:val="0"/>
          <w:numId w:val="27"/>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De los preceptos en cita, se advierte que para acreditar los requerimientos de ingreso al servicio público y las obligaciones de transparencia común, </w:t>
      </w:r>
      <w:r w:rsidRPr="004549D6">
        <w:rPr>
          <w:rFonts w:ascii="Palatino Linotype" w:eastAsia="Palatino Linotype" w:hAnsi="Palatino Linotype" w:cs="Palatino Linotype"/>
          <w:b/>
          <w:color w:val="000000"/>
          <w:sz w:val="24"/>
          <w:szCs w:val="24"/>
        </w:rPr>
        <w:t>EL SUJETO OBLIGADO</w:t>
      </w:r>
      <w:r w:rsidRPr="004549D6">
        <w:rPr>
          <w:rFonts w:ascii="Palatino Linotype" w:eastAsia="Palatino Linotype" w:hAnsi="Palatino Linotype" w:cs="Palatino Linotype"/>
          <w:color w:val="000000"/>
          <w:sz w:val="24"/>
          <w:szCs w:val="24"/>
        </w:rPr>
        <w:t>, debe contar en sus archivos con una serie de documentos, tales como la ficha curricular, el currículum vitae, y la solicitud de empleo.</w:t>
      </w:r>
    </w:p>
    <w:p w14:paraId="35FC4455" w14:textId="77777777" w:rsidR="00AE7F28" w:rsidRPr="004549D6" w:rsidRDefault="00AE7F28" w:rsidP="00AE7F2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9D6324B" w14:textId="77777777" w:rsidR="00AE7F28" w:rsidRPr="004549D6" w:rsidRDefault="00AE7F28" w:rsidP="001A2498">
      <w:pPr>
        <w:pBdr>
          <w:top w:val="nil"/>
          <w:left w:val="nil"/>
          <w:bottom w:val="nil"/>
          <w:right w:val="nil"/>
          <w:between w:val="nil"/>
        </w:pBdr>
        <w:spacing w:after="0" w:line="240" w:lineRule="auto"/>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b/>
          <w:color w:val="000000"/>
          <w:sz w:val="24"/>
          <w:szCs w:val="24"/>
        </w:rPr>
        <w:t>Certificado de No Antecedentes Penales</w:t>
      </w:r>
    </w:p>
    <w:p w14:paraId="195430AE" w14:textId="77777777" w:rsidR="00AE7F28" w:rsidRPr="004549D6" w:rsidRDefault="00AE7F28" w:rsidP="00AE7F28">
      <w:pPr>
        <w:numPr>
          <w:ilvl w:val="0"/>
          <w:numId w:val="27"/>
        </w:numPr>
        <w:spacing w:after="0" w:line="360" w:lineRule="auto"/>
        <w:ind w:left="0"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color w:val="000000"/>
          <w:sz w:val="24"/>
          <w:szCs w:val="24"/>
        </w:rPr>
        <w:t xml:space="preserve">Respecto del </w:t>
      </w:r>
      <w:r w:rsidRPr="004549D6">
        <w:rPr>
          <w:rFonts w:ascii="Palatino Linotype" w:eastAsia="Palatino Linotype" w:hAnsi="Palatino Linotype" w:cs="Palatino Linotype"/>
          <w:sz w:val="24"/>
          <w:szCs w:val="24"/>
        </w:rPr>
        <w:t>Certificados</w:t>
      </w:r>
      <w:r w:rsidRPr="004549D6">
        <w:rPr>
          <w:rFonts w:ascii="Palatino Linotype" w:eastAsia="Palatino Linotype" w:hAnsi="Palatino Linotype" w:cs="Palatino Linotype"/>
          <w:color w:val="000000"/>
          <w:sz w:val="24"/>
          <w:szCs w:val="24"/>
        </w:rPr>
        <w:t xml:space="preserve"> de no antecedentes penales, es información que se estima procedente su entrega en </w:t>
      </w:r>
      <w:r w:rsidRPr="004549D6">
        <w:rPr>
          <w:rFonts w:ascii="Palatino Linotype" w:eastAsia="Palatino Linotype" w:hAnsi="Palatino Linotype" w:cs="Palatino Linotype"/>
          <w:b/>
          <w:color w:val="000000"/>
          <w:sz w:val="24"/>
          <w:szCs w:val="24"/>
        </w:rPr>
        <w:t>versión pública</w:t>
      </w:r>
      <w:r w:rsidRPr="004549D6">
        <w:rPr>
          <w:rFonts w:ascii="Palatino Linotype" w:eastAsia="Palatino Linotype" w:hAnsi="Palatino Linotype" w:cs="Palatino Linotype"/>
          <w:color w:val="000000"/>
          <w:sz w:val="24"/>
          <w:szCs w:val="24"/>
        </w:rPr>
        <w:t xml:space="preserve">, ya que si bien este documento es en considerado violatorios de derechos humanos, en el caso concreto se trata de un documento </w:t>
      </w:r>
      <w:r w:rsidRPr="004549D6">
        <w:rPr>
          <w:rFonts w:ascii="Palatino Linotype" w:eastAsia="Palatino Linotype" w:hAnsi="Palatino Linotype" w:cs="Palatino Linotype"/>
          <w:sz w:val="24"/>
          <w:szCs w:val="24"/>
        </w:rPr>
        <w:t xml:space="preserve">en el cual se </w:t>
      </w:r>
      <w:r w:rsidRPr="004549D6">
        <w:rPr>
          <w:rFonts w:ascii="Palatino Linotype" w:eastAsia="Palatino Linotype" w:hAnsi="Palatino Linotype" w:cs="Palatino Linotype"/>
          <w:sz w:val="24"/>
          <w:szCs w:val="24"/>
        </w:rPr>
        <w:lastRenderedPageBreak/>
        <w:t>puede apreciar si una persona ha sido condenada o no por sentencia firme dictada por los órganos jurisdiccionales competentes, la cual se expide, cuando se requiera para trámites de carácter personal cuando:</w:t>
      </w:r>
    </w:p>
    <w:p w14:paraId="14364F18" w14:textId="77777777" w:rsidR="00AE7F28" w:rsidRPr="004549D6" w:rsidRDefault="00AE7F28" w:rsidP="001A2498">
      <w:pPr>
        <w:spacing w:line="276" w:lineRule="auto"/>
        <w:ind w:left="1134" w:right="1134"/>
        <w:jc w:val="both"/>
        <w:rPr>
          <w:rFonts w:ascii="Palatino Linotype" w:eastAsia="Palatino Linotype" w:hAnsi="Palatino Linotype" w:cs="Palatino Linotype"/>
          <w:i/>
          <w:sz w:val="24"/>
          <w:szCs w:val="24"/>
        </w:rPr>
      </w:pPr>
      <w:r w:rsidRPr="004549D6">
        <w:rPr>
          <w:rFonts w:ascii="Palatino Linotype" w:eastAsia="Palatino Linotype" w:hAnsi="Palatino Linotype" w:cs="Palatino Linotype"/>
          <w:i/>
          <w:sz w:val="24"/>
          <w:szCs w:val="24"/>
        </w:rPr>
        <w:t>I. Las disposiciones legales establezcan como requisito para desempeñar un empleo, cargo o comisión en el servicio público, la acreditación por parte del interesado de no haber cometido delito alguno o que no tiene antecedentes penales.</w:t>
      </w:r>
    </w:p>
    <w:p w14:paraId="028514A1" w14:textId="77777777" w:rsidR="00AE7F28" w:rsidRPr="004549D6" w:rsidRDefault="00AE7F28" w:rsidP="00AE7F28">
      <w:pPr>
        <w:spacing w:line="360" w:lineRule="auto"/>
        <w:jc w:val="both"/>
        <w:rPr>
          <w:rFonts w:ascii="Palatino Linotype" w:eastAsia="Palatino Linotype" w:hAnsi="Palatino Linotype" w:cs="Palatino Linotype"/>
          <w:sz w:val="24"/>
          <w:szCs w:val="24"/>
        </w:rPr>
      </w:pPr>
    </w:p>
    <w:p w14:paraId="46750DD9" w14:textId="77777777" w:rsidR="00AE7F28" w:rsidRPr="004549D6" w:rsidRDefault="00AE7F28" w:rsidP="00AE7F28">
      <w:pPr>
        <w:numPr>
          <w:ilvl w:val="0"/>
          <w:numId w:val="27"/>
        </w:numPr>
        <w:spacing w:after="0" w:line="360" w:lineRule="auto"/>
        <w:ind w:left="0"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En concordancia con lo anterior, cabe decir que en términos del numeral NOVENO de los “</w:t>
      </w:r>
      <w:r w:rsidRPr="004549D6">
        <w:rPr>
          <w:rFonts w:ascii="Palatino Linotype" w:eastAsia="Palatino Linotype" w:hAnsi="Palatino Linotype" w:cs="Palatino Linotype"/>
          <w:i/>
          <w:sz w:val="24"/>
          <w:szCs w:val="24"/>
        </w:rPr>
        <w:t>LINEAMIENTOS PARA LA EXPEDICIÓN DE INFORMES Y CERTIFICADOS DE NO ANTECEDENTES PENALES</w:t>
      </w:r>
      <w:r w:rsidRPr="004549D6">
        <w:rPr>
          <w:rFonts w:ascii="Palatino Linotype" w:eastAsia="Palatino Linotype" w:hAnsi="Palatino Linotype" w:cs="Palatino Linotype"/>
          <w:sz w:val="24"/>
          <w:szCs w:val="24"/>
        </w:rPr>
        <w:t>”, el informe de antecedentes no penales se limitará a señalar que, conforme a los datos proporcionados, la persona de que se trate, no cuenta con antecedentes penales, sin hacer mayor precisión sobre los expedientes o registros correspondientes, o bien, que podrá presentarse en las oficinas del Instituto de Servicios Periciales para realizar las aclaraciones respectivas y en su caso, solicitar las rectificaciones y cancelaciones a que haya lugar, en términos de las disposiciones legales aplicables, sirve de apoyo a lo anterior la Tesis XXXX.3º.3P(10ª.), de los Tribunales Colegiados de circuito de la Suprema Corte de Justicia de la Nación, que es del rubro y texto siguiente:</w:t>
      </w:r>
    </w:p>
    <w:p w14:paraId="279CF893" w14:textId="77777777" w:rsidR="00AE7F28" w:rsidRPr="004549D6" w:rsidRDefault="00AE7F28" w:rsidP="001A2498">
      <w:pPr>
        <w:tabs>
          <w:tab w:val="left" w:pos="1134"/>
        </w:tabs>
        <w:ind w:left="1134" w:right="1134"/>
        <w:jc w:val="both"/>
        <w:rPr>
          <w:rFonts w:ascii="Palatino Linotype" w:eastAsia="Palatino Linotype" w:hAnsi="Palatino Linotype" w:cs="Palatino Linotype"/>
          <w:i/>
          <w:sz w:val="24"/>
          <w:szCs w:val="24"/>
        </w:rPr>
      </w:pPr>
      <w:r w:rsidRPr="004549D6">
        <w:rPr>
          <w:rFonts w:ascii="Palatino Linotype" w:eastAsia="Palatino Linotype" w:hAnsi="Palatino Linotype" w:cs="Palatino Linotype"/>
          <w:b/>
          <w:i/>
          <w:sz w:val="24"/>
          <w:szCs w:val="24"/>
        </w:rPr>
        <w:t>“CONSTANCIA DE ANTECEDENTES PENALES. LINEAMIENTOS QUE LA AUTORIDAD PENITENCIARIA DEBE OBSERVAR OFICIOSAMENTE PARA SU EXPEDICIÓN, A FIN DE QUE SU ACTUAR NO RESULTE DISCRIMINATORIO.</w:t>
      </w:r>
      <w:r w:rsidRPr="004549D6">
        <w:rPr>
          <w:rFonts w:ascii="Palatino Linotype" w:eastAsia="Palatino Linotype" w:hAnsi="Palatino Linotype" w:cs="Palatino Linotype"/>
          <w:i/>
          <w:sz w:val="24"/>
          <w:szCs w:val="24"/>
        </w:rPr>
        <w:t xml:space="preserve"> De la interpretación conforme del artículo 27, fracción V, inciso g), de la Ley Nacional de Ejecución Penal, deriva el deber de la autoridad penitenciaria, ante una solicitud de la constancia referida, de realizar un ejercicio oficioso en relación con el soporte informativo contenido en la base de datos que subyace a la emisión de la </w:t>
      </w:r>
      <w:r w:rsidRPr="004549D6">
        <w:rPr>
          <w:rFonts w:ascii="Palatino Linotype" w:eastAsia="Palatino Linotype" w:hAnsi="Palatino Linotype" w:cs="Palatino Linotype"/>
          <w:i/>
          <w:sz w:val="24"/>
          <w:szCs w:val="24"/>
        </w:rPr>
        <w:lastRenderedPageBreak/>
        <w:t xml:space="preserve">constancia de antecedentes penales. Esto es, existe el deber del Juez de Ejecución de expresar en un proceso intelectivo, que se allegó de otros elementos con los que llegó a la plena convicción de que es jurídicamente válido el registro que contienen las bases de datos relativas. Para tal efecto, la autoridad correspondiente, a fin de reconocer el pleno ejercicio de los derechos humanos, conforme al nuevo modelo penitenciario de reinserción social, deberá actuar oficiosamente acorde con los escenarios siguientes: 1. Si la persona no cuenta con algún antecedente penal, emitir una carta de no antecedentes penales; y, 2. </w:t>
      </w:r>
      <w:r w:rsidRPr="004549D6">
        <w:rPr>
          <w:rFonts w:ascii="Palatino Linotype" w:eastAsia="Palatino Linotype" w:hAnsi="Palatino Linotype" w:cs="Palatino Linotype"/>
          <w:b/>
          <w:i/>
          <w:sz w:val="24"/>
          <w:szCs w:val="24"/>
        </w:rPr>
        <w:t>En caso de que sí cuente con algún antecedente penal, deberá realizar oficiosamente lo siguiente: a) recabar las constancias correspondientes, a fin de verificar si el solicitante cumplió la pena impuesta en sentencia ejecutoriada y constate que no se trata de un delito grave; b) en caso de que haya cumplido la pena impuesta en sentencia ejecutoriada y no se trate de un delito grave, emitirá una carta de no antecedentes penales; c) en el supuesto de que no haya cumplido la pena impuesta y no se trate de un delito grave, emitirá una carta de antecedentes penales, en la que especificará tal situación; y, d) en la hipótesis de que se trate de delito grave, emitirá una carta de antecedentes penales, en la que destacará esa circunstancia.</w:t>
      </w:r>
      <w:r w:rsidRPr="004549D6">
        <w:rPr>
          <w:rFonts w:ascii="Palatino Linotype" w:eastAsia="Palatino Linotype" w:hAnsi="Palatino Linotype" w:cs="Palatino Linotype"/>
          <w:i/>
          <w:sz w:val="24"/>
          <w:szCs w:val="24"/>
        </w:rPr>
        <w:t xml:space="preserve"> Consecuentemente, el Juez debe llevar a cabo las acciones señaladas para constatar la situación que guarda el quejoso ante el antecedente penal que se le impuso en el proceso y poder decidir con mayor información al respecto, es decir, si lo procedente es eliminar o no dicho registro, con base en el artículo citado y con ello evitar la discriminación estructural del quejoso. “</w:t>
      </w:r>
    </w:p>
    <w:p w14:paraId="2490A9F9" w14:textId="77777777" w:rsidR="00AE7F28" w:rsidRPr="004549D6" w:rsidRDefault="00AE7F28" w:rsidP="00AE7F2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CD56E8D" w14:textId="77777777" w:rsidR="00FE28BE" w:rsidRPr="004549D6" w:rsidRDefault="00FE28BE" w:rsidP="00FE28BE">
      <w:pPr>
        <w:tabs>
          <w:tab w:val="left" w:pos="4320"/>
        </w:tabs>
        <w:spacing w:line="360" w:lineRule="auto"/>
        <w:ind w:right="27"/>
        <w:jc w:val="both"/>
        <w:rPr>
          <w:rFonts w:ascii="Palatino Linotype" w:eastAsia="Palatino Linotype" w:hAnsi="Palatino Linotype" w:cs="Palatino Linotype"/>
          <w:b/>
          <w:color w:val="000000"/>
          <w:sz w:val="24"/>
          <w:szCs w:val="24"/>
        </w:rPr>
      </w:pPr>
      <w:r w:rsidRPr="004549D6">
        <w:rPr>
          <w:rFonts w:ascii="Palatino Linotype" w:eastAsia="Palatino Linotype" w:hAnsi="Palatino Linotype" w:cs="Palatino Linotype"/>
          <w:b/>
          <w:color w:val="000000"/>
          <w:sz w:val="24"/>
          <w:szCs w:val="24"/>
        </w:rPr>
        <w:t xml:space="preserve">Fotografías de los servidores públicos. </w:t>
      </w:r>
      <w:r w:rsidRPr="004549D6">
        <w:rPr>
          <w:rFonts w:ascii="Palatino Linotype" w:eastAsia="Palatino Linotype" w:hAnsi="Palatino Linotype" w:cs="Palatino Linotype"/>
          <w:b/>
          <w:color w:val="000000"/>
          <w:sz w:val="24"/>
          <w:szCs w:val="24"/>
        </w:rPr>
        <w:tab/>
      </w:r>
    </w:p>
    <w:p w14:paraId="02FF00CD"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w:t>
      </w:r>
      <w:r w:rsidRPr="004549D6">
        <w:rPr>
          <w:rFonts w:ascii="Palatino Linotype" w:eastAsia="Palatino Linotype" w:hAnsi="Palatino Linotype" w:cs="Palatino Linotype"/>
          <w:sz w:val="24"/>
          <w:szCs w:val="24"/>
        </w:rPr>
        <w:lastRenderedPageBreak/>
        <w:t>diversos medios, desde volantes impresos de la forma más rudimentaria, hasta filmaciones y fotografías transmitidas por televisión cine, video, correo electrónico o Internet.</w:t>
      </w:r>
    </w:p>
    <w:p w14:paraId="0BCE6954" w14:textId="77777777" w:rsidR="00FE28BE" w:rsidRPr="004549D6" w:rsidRDefault="00FE28BE" w:rsidP="00FE28BE">
      <w:pPr>
        <w:tabs>
          <w:tab w:val="left" w:pos="4962"/>
        </w:tabs>
        <w:spacing w:line="360" w:lineRule="auto"/>
        <w:ind w:right="27"/>
        <w:jc w:val="both"/>
        <w:rPr>
          <w:rFonts w:ascii="Palatino Linotype" w:eastAsia="Palatino Linotype" w:hAnsi="Palatino Linotype" w:cs="Palatino Linotype"/>
          <w:sz w:val="24"/>
          <w:szCs w:val="24"/>
        </w:rPr>
      </w:pPr>
    </w:p>
    <w:p w14:paraId="08AB7F7B"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646527D" w14:textId="77777777" w:rsidR="00FE28BE" w:rsidRPr="004549D6" w:rsidRDefault="00FE28BE" w:rsidP="00FE28BE">
      <w:pPr>
        <w:tabs>
          <w:tab w:val="left" w:pos="4962"/>
        </w:tabs>
        <w:spacing w:line="360" w:lineRule="auto"/>
        <w:ind w:right="27"/>
        <w:jc w:val="both"/>
        <w:rPr>
          <w:rFonts w:ascii="Palatino Linotype" w:eastAsia="Palatino Linotype" w:hAnsi="Palatino Linotype" w:cs="Palatino Linotype"/>
          <w:sz w:val="24"/>
          <w:szCs w:val="24"/>
        </w:rPr>
      </w:pPr>
    </w:p>
    <w:p w14:paraId="42D75490"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4549D6">
        <w:rPr>
          <w:rFonts w:ascii="Palatino Linotype" w:eastAsia="Palatino Linotype" w:hAnsi="Palatino Linotype" w:cs="Palatino Linotype"/>
          <w:i/>
          <w:sz w:val="24"/>
          <w:szCs w:val="24"/>
        </w:rPr>
        <w:t>con excepción del personal operativo en materia de seguridad, respecto del cual el Pleno de este Instituto ya se ha pronunciado en el sentido de que la información que los haga identificados o identificables debe clasificarse como reservada).</w:t>
      </w:r>
    </w:p>
    <w:p w14:paraId="59D3F260" w14:textId="77777777" w:rsidR="00FE28BE" w:rsidRPr="004549D6" w:rsidRDefault="00FE28BE" w:rsidP="00FE28BE">
      <w:pPr>
        <w:tabs>
          <w:tab w:val="left" w:pos="4962"/>
        </w:tabs>
        <w:spacing w:line="360" w:lineRule="auto"/>
        <w:ind w:right="27"/>
        <w:jc w:val="both"/>
        <w:rPr>
          <w:rFonts w:ascii="Palatino Linotype" w:eastAsia="Palatino Linotype" w:hAnsi="Palatino Linotype" w:cs="Palatino Linotype"/>
          <w:sz w:val="24"/>
          <w:szCs w:val="24"/>
        </w:rPr>
      </w:pPr>
    </w:p>
    <w:p w14:paraId="33063374"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w:t>
      </w:r>
      <w:r w:rsidRPr="004549D6">
        <w:rPr>
          <w:rFonts w:ascii="Palatino Linotype" w:eastAsia="Palatino Linotype" w:hAnsi="Palatino Linotype" w:cs="Palatino Linotype"/>
          <w:sz w:val="24"/>
          <w:szCs w:val="24"/>
        </w:rPr>
        <w:lastRenderedPageBreak/>
        <w:t xml:space="preserve">a fotografías de servidores públicos, sí establecen un criterio para que este dato personal pueda ser considerado como público, cuando se pretende acreditar que una persona es servidor público, </w:t>
      </w:r>
      <w:r w:rsidRPr="004549D6">
        <w:rPr>
          <w:rFonts w:ascii="Palatino Linotype" w:eastAsia="Palatino Linotype" w:hAnsi="Palatino Linotype" w:cs="Palatino Linotype"/>
          <w:b/>
          <w:sz w:val="24"/>
          <w:szCs w:val="24"/>
        </w:rPr>
        <w:t>criterios que se refieren de manera orientadora ya que la a fecha de la solicitud se encontraban vigentes</w:t>
      </w:r>
    </w:p>
    <w:p w14:paraId="0FF0B62C" w14:textId="77777777" w:rsidR="00FE28BE" w:rsidRPr="004549D6" w:rsidRDefault="00FE28BE" w:rsidP="00FE28BE">
      <w:pPr>
        <w:tabs>
          <w:tab w:val="left" w:pos="4962"/>
        </w:tabs>
        <w:spacing w:line="360" w:lineRule="auto"/>
        <w:ind w:right="27"/>
        <w:jc w:val="both"/>
        <w:rPr>
          <w:rFonts w:ascii="Palatino Linotype" w:eastAsia="Palatino Linotype" w:hAnsi="Palatino Linotype" w:cs="Palatino Linotype"/>
          <w:sz w:val="24"/>
          <w:szCs w:val="24"/>
        </w:rPr>
      </w:pPr>
    </w:p>
    <w:p w14:paraId="20895EF9"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510D37A5" w14:textId="77777777" w:rsidR="00FE28BE" w:rsidRPr="004549D6" w:rsidRDefault="00FE28BE" w:rsidP="00FE28BE">
      <w:pPr>
        <w:tabs>
          <w:tab w:val="left" w:pos="4962"/>
        </w:tabs>
        <w:spacing w:line="360" w:lineRule="auto"/>
        <w:ind w:right="27"/>
        <w:jc w:val="both"/>
        <w:rPr>
          <w:rFonts w:ascii="Palatino Linotype" w:eastAsia="Palatino Linotype" w:hAnsi="Palatino Linotype" w:cs="Palatino Linotype"/>
          <w:sz w:val="24"/>
          <w:szCs w:val="24"/>
        </w:rPr>
      </w:pPr>
    </w:p>
    <w:p w14:paraId="031C8FD5"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79C69E84" w14:textId="77777777" w:rsidR="00FE28BE" w:rsidRPr="004549D6" w:rsidRDefault="00FE28BE" w:rsidP="00FE28BE">
      <w:pPr>
        <w:tabs>
          <w:tab w:val="left" w:pos="4962"/>
        </w:tabs>
        <w:spacing w:line="360" w:lineRule="auto"/>
        <w:ind w:right="27"/>
        <w:jc w:val="both"/>
        <w:rPr>
          <w:rFonts w:ascii="Palatino Linotype" w:eastAsia="Palatino Linotype" w:hAnsi="Palatino Linotype" w:cs="Palatino Linotype"/>
          <w:sz w:val="24"/>
          <w:szCs w:val="24"/>
        </w:rPr>
      </w:pPr>
    </w:p>
    <w:p w14:paraId="53BC1A60"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724CBF58" w14:textId="77777777" w:rsidR="00FE28BE" w:rsidRPr="004549D6" w:rsidRDefault="00FE28BE" w:rsidP="00FE28BE">
      <w:pPr>
        <w:spacing w:line="360" w:lineRule="auto"/>
        <w:ind w:right="27"/>
        <w:jc w:val="both"/>
        <w:rPr>
          <w:rFonts w:ascii="Palatino Linotype" w:eastAsia="Palatino Linotype" w:hAnsi="Palatino Linotype" w:cs="Palatino Linotype"/>
          <w:sz w:val="24"/>
          <w:szCs w:val="24"/>
        </w:rPr>
      </w:pPr>
    </w:p>
    <w:p w14:paraId="05559772" w14:textId="77777777" w:rsidR="00FE28BE" w:rsidRPr="004549D6" w:rsidRDefault="00FE28BE" w:rsidP="00FE28BE">
      <w:pPr>
        <w:numPr>
          <w:ilvl w:val="0"/>
          <w:numId w:val="15"/>
        </w:numPr>
        <w:spacing w:after="0" w:line="360" w:lineRule="auto"/>
        <w:ind w:right="27"/>
        <w:jc w:val="both"/>
        <w:rPr>
          <w:rFonts w:ascii="Palatino Linotype" w:eastAsia="Palatino Linotype" w:hAnsi="Palatino Linotype" w:cs="Palatino Linotype"/>
          <w:b/>
          <w:sz w:val="24"/>
          <w:szCs w:val="24"/>
        </w:rPr>
      </w:pPr>
      <w:r w:rsidRPr="004549D6">
        <w:rPr>
          <w:rFonts w:ascii="Palatino Linotype" w:eastAsia="Palatino Linotype" w:hAnsi="Palatino Linotype" w:cs="Palatino Linotype"/>
          <w:sz w:val="24"/>
          <w:szCs w:val="24"/>
        </w:rPr>
        <w:t xml:space="preserve">Conforme a lo anterior, </w:t>
      </w:r>
      <w:r w:rsidRPr="004549D6">
        <w:rPr>
          <w:rFonts w:ascii="Palatino Linotype" w:eastAsia="Palatino Linotype" w:hAnsi="Palatino Linotype" w:cs="Palatino Linotype"/>
          <w:b/>
          <w:sz w:val="24"/>
          <w:szCs w:val="24"/>
        </w:rPr>
        <w:t>las fotografías de servidores públicos sin importar el nivel o rango guardan la naturaleza de públicas y no procede su clasificación</w:t>
      </w:r>
      <w:r w:rsidRPr="004549D6">
        <w:rPr>
          <w:rFonts w:ascii="Palatino Linotype" w:eastAsia="Palatino Linotype" w:hAnsi="Palatino Linotype" w:cs="Palatino Linotype"/>
          <w:sz w:val="24"/>
          <w:szCs w:val="24"/>
        </w:rPr>
        <w:t xml:space="preserve">, en términos del artículo 143, fracción I, de la Ley de Transparencia y Acceso a la Información Pública del Estado de México y Municipios, por lo que en las versiones públicas que se ordenen, no podrá clasificarse esa información. </w:t>
      </w:r>
    </w:p>
    <w:p w14:paraId="3F9FA949" w14:textId="77777777" w:rsidR="00FE28BE" w:rsidRPr="004549D6" w:rsidRDefault="00FE28BE" w:rsidP="00FE28BE">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B2E2A30"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Por lo que respecta a los recibos de nómina para ambas solicitudes se observa de las respuestas emitidas que el encargado de la Tesorería señaló un cambio en la modalidad de la entrega de la información para allegarla al particular mediante consulta directa en las oficinas centrales del Sujeto Obligado, cabe recordar que se requirió la información, a través del Sistema de Acceso a Información Mexiquense (SAIMEX). </w:t>
      </w:r>
    </w:p>
    <w:p w14:paraId="65155704"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7EB81DB9"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D0D0D"/>
          <w:sz w:val="24"/>
          <w:szCs w:val="24"/>
        </w:rPr>
        <w:t>En ese sentido,</w:t>
      </w:r>
      <w:r w:rsidRPr="004549D6">
        <w:rPr>
          <w:rFonts w:ascii="Palatino Linotype" w:eastAsia="Palatino Linotype" w:hAnsi="Palatino Linotype" w:cs="Palatino Linotype"/>
          <w:color w:val="000000"/>
          <w:sz w:val="24"/>
          <w:szCs w:val="24"/>
        </w:rPr>
        <w:t xml:space="preserve"> el artículo 155, fracción V, de la Ley de Transparencia y Acceso a la Información Pública del Estado de México y Municipios, precisa que para presentar una solicitud, la particular podrá señalar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78594A46"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14835A3D"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El artículo 158, dispone que, de manera excepcional, cuando de manera fundada y motivada lo determine el Sujeto Obligado,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0E29A4EA"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6EA854CF"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En ese orden de ideas, el artículo 164 de dicho ordenamiento jurídico, prevé que el acceso se dará en la modalidad de entrega y, en su caso, de envío elegidos por al solicitante; cuando la información no pueda entregarse o enviarse en la modalidad elegida, el sujeto obligado deberá ofrecer otra u otras modalidades de entrega. En cualquier caso, se deberá fundar y motivar la necesidad de ofrecer otras modalidades.</w:t>
      </w:r>
    </w:p>
    <w:p w14:paraId="4ACA850E"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565F4DAA"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en la medida de lo posible, en la forma solicitada por el interesado, salvo que exista un impedimento justificado para atenderla, en cuyo caso, deberán exponerse las razones por las cuales no es posible utilizar el medio de reproducción solicitado; en este sentido, la entrega de la información en una modalidad distinta a la elegida por la particular sólo procede, en caso de que se acredite la imposibilidad de atenderla. </w:t>
      </w:r>
    </w:p>
    <w:p w14:paraId="21335BF6"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4A5BA0BE"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Así, cuando se justifique el impedimento, los Sujetos Obligados deberán ofrecer al particular otras modalidades de entrega que permita la información, como consulta directa en las oficinas de la Unidad de Transparencia; lo anterior, es robustecido con el Criterio  </w:t>
      </w:r>
      <w:r w:rsidRPr="004549D6">
        <w:rPr>
          <w:rFonts w:ascii="Palatino Linotype" w:eastAsia="Palatino Linotype" w:hAnsi="Palatino Linotype" w:cs="Palatino Linotype"/>
          <w:color w:val="000000"/>
          <w:sz w:val="24"/>
          <w:szCs w:val="24"/>
        </w:rPr>
        <w:lastRenderedPageBreak/>
        <w:t>orientador SO/008/2017, emitido por el Pleno del entonces Instituto Nacional de Transparencia, Acceso a la Información y Protección de Datos Personales, se desprende que cuando no sea posible atener la modalidad elegida por los solicitantes, la obligación de acceso a la información se tendrá por cumplida cuando el Sujeto Obligado justifique el impedimento para atender la misma y se notifique al particular la puesta a disposición de la información en todas las modalidades que lo permitan, procurando reducir los costos de entrega.</w:t>
      </w:r>
    </w:p>
    <w:p w14:paraId="38327197"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023C7C29" w14:textId="77777777" w:rsidR="00E625A8" w:rsidRPr="004549D6" w:rsidRDefault="001F6039">
      <w:pPr>
        <w:widowControl w:val="0"/>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28FBCE79" w14:textId="77777777" w:rsidR="00E625A8" w:rsidRPr="004549D6" w:rsidRDefault="001F6039">
      <w:pPr>
        <w:numPr>
          <w:ilvl w:val="0"/>
          <w:numId w:val="13"/>
        </w:numPr>
        <w:spacing w:after="0" w:line="360" w:lineRule="auto"/>
        <w:ind w:left="1276" w:right="900"/>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Las razones por las cuales la información implicaba un análisis, estudio o procesamiento de datos;</w:t>
      </w:r>
    </w:p>
    <w:p w14:paraId="5F2CC9DA" w14:textId="77777777" w:rsidR="00E625A8" w:rsidRPr="004549D6" w:rsidRDefault="001F6039">
      <w:pPr>
        <w:numPr>
          <w:ilvl w:val="0"/>
          <w:numId w:val="13"/>
        </w:numPr>
        <w:spacing w:after="0" w:line="360" w:lineRule="auto"/>
        <w:ind w:left="1276" w:right="900"/>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Por qué motivo el tiempo, que se le otorga al Sujeto Obligado para dar respuesta, en la modalidad elegida a la solicitud de información, no le es suficiente, y</w:t>
      </w:r>
    </w:p>
    <w:p w14:paraId="54489E7D" w14:textId="77777777" w:rsidR="00E625A8" w:rsidRPr="004549D6" w:rsidRDefault="001F6039">
      <w:pPr>
        <w:numPr>
          <w:ilvl w:val="0"/>
          <w:numId w:val="13"/>
        </w:numPr>
        <w:spacing w:after="0" w:line="360" w:lineRule="auto"/>
        <w:ind w:left="1276" w:right="900"/>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La cantidad de recursos humanos y materiales con los que cuenta el Sujeto Obligado son insuficientes.</w:t>
      </w:r>
    </w:p>
    <w:p w14:paraId="00F509A4" w14:textId="77777777" w:rsidR="00E625A8" w:rsidRPr="004549D6" w:rsidRDefault="00E625A8">
      <w:pPr>
        <w:spacing w:after="0" w:line="360" w:lineRule="auto"/>
        <w:ind w:right="-801"/>
        <w:jc w:val="both"/>
        <w:rPr>
          <w:rFonts w:ascii="Palatino Linotype" w:eastAsia="Palatino Linotype" w:hAnsi="Palatino Linotype" w:cs="Palatino Linotype"/>
          <w:color w:val="000000"/>
          <w:sz w:val="24"/>
          <w:szCs w:val="24"/>
        </w:rPr>
      </w:pPr>
    </w:p>
    <w:p w14:paraId="537F7F17"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Ahora bien, el Ente Recurrido precisó en respuesta que ponía a disposición del ahora Recurrente la documentación peticionada en consulta directa; sin embargo, este Instituto considera que omitió fundar y motivar el cambio de modalidad, pues no precisó las siguientes circunstancias: </w:t>
      </w:r>
    </w:p>
    <w:p w14:paraId="4E3C563F" w14:textId="77777777" w:rsidR="00E625A8" w:rsidRPr="004549D6" w:rsidRDefault="001F6039">
      <w:pPr>
        <w:numPr>
          <w:ilvl w:val="0"/>
          <w:numId w:val="14"/>
        </w:numPr>
        <w:spacing w:after="0" w:line="360" w:lineRule="auto"/>
        <w:ind w:left="1276" w:right="-801"/>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lastRenderedPageBreak/>
        <w:t>El número de hojas o peso aproximado de la información;</w:t>
      </w:r>
    </w:p>
    <w:p w14:paraId="7BC58101" w14:textId="77777777" w:rsidR="00E625A8" w:rsidRPr="004549D6" w:rsidRDefault="001F6039">
      <w:pPr>
        <w:numPr>
          <w:ilvl w:val="0"/>
          <w:numId w:val="14"/>
        </w:numPr>
        <w:spacing w:after="0" w:line="360" w:lineRule="auto"/>
        <w:ind w:left="1276" w:right="-801"/>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La ubicación de los documentos que daban cuenta de la información solicitada;</w:t>
      </w:r>
    </w:p>
    <w:p w14:paraId="62F30690" w14:textId="77777777" w:rsidR="00E625A8" w:rsidRPr="004549D6" w:rsidRDefault="001F6039">
      <w:pPr>
        <w:numPr>
          <w:ilvl w:val="0"/>
          <w:numId w:val="14"/>
        </w:numPr>
        <w:spacing w:after="0" w:line="360" w:lineRule="auto"/>
        <w:ind w:left="1276" w:right="-801"/>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La forma en que se encontraba la información (físico o digital), y</w:t>
      </w:r>
    </w:p>
    <w:p w14:paraId="204F9E40" w14:textId="77777777" w:rsidR="00E625A8" w:rsidRPr="004549D6" w:rsidRDefault="001F6039">
      <w:pPr>
        <w:numPr>
          <w:ilvl w:val="0"/>
          <w:numId w:val="14"/>
        </w:numPr>
        <w:spacing w:after="0" w:line="360" w:lineRule="auto"/>
        <w:ind w:left="1276" w:right="-801"/>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Las capacidades técnicas y humanas con las que contaba el Sujeto Obligado.</w:t>
      </w:r>
    </w:p>
    <w:p w14:paraId="2976D238" w14:textId="77777777" w:rsidR="00E625A8" w:rsidRPr="004549D6" w:rsidRDefault="00E625A8">
      <w:pPr>
        <w:spacing w:after="0" w:line="360" w:lineRule="auto"/>
        <w:ind w:right="-801"/>
        <w:jc w:val="both"/>
        <w:rPr>
          <w:rFonts w:ascii="Palatino Linotype" w:eastAsia="Palatino Linotype" w:hAnsi="Palatino Linotype" w:cs="Palatino Linotype"/>
          <w:sz w:val="24"/>
          <w:szCs w:val="24"/>
        </w:rPr>
      </w:pPr>
    </w:p>
    <w:p w14:paraId="4E6B876F"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Además, tampoco acreditó que lo peticionado implicaba un análisis, procesamiento o estudio de documentos cuya reproducción sobrepasará las capacidades técnicas, administrativas y humanas del Sujeto Obligado, pues como se refirió no señaló ninguna de las circunstancias previamente referidas; lo cual toma relevancia, pues este Instituto realizó una búsqueda en el Portal de Información Pública de Oficio Mexiquense y localizó que al tercer trimestre de dos mil veinticinco contaba con un total de ochenta plazas, por lo que, la información que da cuenta de lo peticionado no sobrepasa las setecientas fojas.</w:t>
      </w:r>
    </w:p>
    <w:p w14:paraId="0E37860B"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031E09E0"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Al respecto, el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quinientos megabytes o su equivalente a ocho mil fojas.</w:t>
      </w:r>
    </w:p>
    <w:p w14:paraId="326D7A7E"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2D00FC62" w14:textId="77777777" w:rsidR="00E625A8" w:rsidRPr="004549D6" w:rsidRDefault="001F6039">
      <w:pPr>
        <w:numPr>
          <w:ilvl w:val="0"/>
          <w:numId w:val="15"/>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Conforme a lo anterior, es claro que la información que da cuenta de lo solicitado no sobrepasa las capacidades técnicas del Sistema de Acceso a la Información Mexiquense, aunado a que no señaló ningún impedimento para cambiar la modalidad de información, es decir, no fundamentó y motivó el cambio de modalidad.</w:t>
      </w:r>
    </w:p>
    <w:p w14:paraId="1C077B97" w14:textId="77777777" w:rsidR="00E625A8" w:rsidRPr="004549D6" w:rsidRDefault="001F6039" w:rsidP="006061F6">
      <w:pPr>
        <w:numPr>
          <w:ilvl w:val="0"/>
          <w:numId w:val="16"/>
        </w:numPr>
        <w:pBdr>
          <w:top w:val="nil"/>
          <w:left w:val="nil"/>
          <w:bottom w:val="nil"/>
          <w:right w:val="nil"/>
          <w:between w:val="nil"/>
        </w:pBdr>
        <w:spacing w:after="0" w:line="360" w:lineRule="auto"/>
        <w:ind w:left="0" w:firstLine="0"/>
        <w:jc w:val="both"/>
        <w:rPr>
          <w:b/>
          <w:bCs/>
          <w:color w:val="000000"/>
          <w:sz w:val="24"/>
          <w:szCs w:val="24"/>
        </w:rPr>
      </w:pPr>
      <w:r w:rsidRPr="004549D6">
        <w:rPr>
          <w:rFonts w:ascii="Palatino Linotype" w:eastAsia="Palatino Linotype" w:hAnsi="Palatino Linotype" w:cs="Palatino Linotype"/>
          <w:color w:val="000000"/>
          <w:sz w:val="24"/>
          <w:szCs w:val="24"/>
        </w:rPr>
        <w:lastRenderedPageBreak/>
        <w:t xml:space="preserve">Por lo </w:t>
      </w:r>
      <w:r w:rsidRPr="004549D6">
        <w:rPr>
          <w:rFonts w:ascii="Palatino Linotype" w:eastAsia="Palatino Linotype" w:hAnsi="Palatino Linotype" w:cs="Palatino Linotype"/>
          <w:sz w:val="24"/>
          <w:szCs w:val="24"/>
        </w:rPr>
        <w:t>anterior</w:t>
      </w:r>
      <w:r w:rsidRPr="004549D6">
        <w:rPr>
          <w:rFonts w:ascii="Palatino Linotype" w:eastAsia="Palatino Linotype" w:hAnsi="Palatino Linotype" w:cs="Palatino Linotype"/>
          <w:color w:val="000000"/>
          <w:sz w:val="24"/>
          <w:szCs w:val="24"/>
        </w:rPr>
        <w:t>, se advierte que el</w:t>
      </w:r>
      <w:r w:rsidRPr="004549D6">
        <w:rPr>
          <w:rFonts w:ascii="Palatino Linotype" w:eastAsia="Palatino Linotype" w:hAnsi="Palatino Linotype" w:cs="Palatino Linotype"/>
          <w:b/>
          <w:bCs/>
          <w:color w:val="000000"/>
          <w:sz w:val="24"/>
          <w:szCs w:val="24"/>
        </w:rPr>
        <w:t xml:space="preserve"> SUJETO OBLIGADO</w:t>
      </w:r>
      <w:r w:rsidRPr="004549D6">
        <w:rPr>
          <w:rFonts w:ascii="Palatino Linotype" w:eastAsia="Palatino Linotype" w:hAnsi="Palatino Linotype" w:cs="Palatino Linotype"/>
          <w:color w:val="000000"/>
          <w:sz w:val="24"/>
          <w:szCs w:val="24"/>
        </w:rPr>
        <w:t xml:space="preserve"> </w:t>
      </w:r>
      <w:r w:rsidRPr="004549D6">
        <w:rPr>
          <w:rFonts w:ascii="Palatino Linotype" w:eastAsia="Palatino Linotype" w:hAnsi="Palatino Linotype" w:cs="Palatino Linotype"/>
          <w:b/>
          <w:bCs/>
          <w:color w:val="000000"/>
          <w:sz w:val="24"/>
          <w:szCs w:val="24"/>
        </w:rPr>
        <w:t>no acreditó la imposibilidad</w:t>
      </w:r>
      <w:r w:rsidRPr="004549D6">
        <w:rPr>
          <w:rFonts w:ascii="Palatino Linotype" w:eastAsia="Palatino Linotype" w:hAnsi="Palatino Linotype" w:cs="Palatino Linotype"/>
          <w:color w:val="000000"/>
          <w:sz w:val="24"/>
          <w:szCs w:val="24"/>
        </w:rPr>
        <w:t xml:space="preserve">, establecida en el artículo 158 de la Ley de Transparencia y Acceso a la Información Pública del Estado de México y Municipios, </w:t>
      </w:r>
      <w:r w:rsidRPr="004549D6">
        <w:rPr>
          <w:rFonts w:ascii="Palatino Linotype" w:eastAsia="Palatino Linotype" w:hAnsi="Palatino Linotype" w:cs="Palatino Linotype"/>
          <w:b/>
          <w:bCs/>
          <w:color w:val="000000"/>
          <w:sz w:val="24"/>
          <w:szCs w:val="24"/>
        </w:rPr>
        <w:t>para validar el cambio de modalidad a Consulta Directa</w:t>
      </w:r>
      <w:r w:rsidRPr="004549D6">
        <w:rPr>
          <w:rFonts w:ascii="Palatino Linotype" w:eastAsia="Palatino Linotype" w:hAnsi="Palatino Linotype" w:cs="Palatino Linotype"/>
          <w:color w:val="000000"/>
          <w:sz w:val="24"/>
          <w:szCs w:val="24"/>
        </w:rPr>
        <w:t>.</w:t>
      </w:r>
    </w:p>
    <w:p w14:paraId="661D1576" w14:textId="77777777" w:rsidR="00E625A8" w:rsidRPr="004549D6" w:rsidRDefault="00E625A8">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sz w:val="24"/>
          <w:szCs w:val="24"/>
        </w:rPr>
      </w:pPr>
    </w:p>
    <w:p w14:paraId="04CD4642" w14:textId="77777777" w:rsidR="00E625A8" w:rsidRPr="004549D6" w:rsidRDefault="001F6039">
      <w:pPr>
        <w:numPr>
          <w:ilvl w:val="0"/>
          <w:numId w:val="16"/>
        </w:numPr>
        <w:pBdr>
          <w:top w:val="nil"/>
          <w:left w:val="nil"/>
          <w:bottom w:val="nil"/>
          <w:right w:val="nil"/>
          <w:between w:val="nil"/>
        </w:pBdr>
        <w:spacing w:after="0" w:line="360" w:lineRule="auto"/>
        <w:ind w:left="0" w:firstLine="0"/>
        <w:jc w:val="both"/>
        <w:rPr>
          <w:color w:val="000000"/>
          <w:sz w:val="24"/>
          <w:szCs w:val="24"/>
        </w:rPr>
      </w:pPr>
      <w:r w:rsidRPr="004549D6">
        <w:rPr>
          <w:rFonts w:ascii="Palatino Linotype" w:eastAsia="Palatino Linotype" w:hAnsi="Palatino Linotype" w:cs="Palatino Linotype"/>
          <w:color w:val="000000"/>
          <w:sz w:val="24"/>
          <w:szCs w:val="24"/>
        </w:rPr>
        <w:t xml:space="preserve">Derivado de todo lo anteriormente señalado, este Organismo Garante encuentra conforme a derecho </w:t>
      </w:r>
      <w:r w:rsidRPr="004549D6">
        <w:rPr>
          <w:rFonts w:ascii="Palatino Linotype" w:eastAsia="Palatino Linotype" w:hAnsi="Palatino Linotype" w:cs="Palatino Linotype"/>
          <w:b/>
          <w:bCs/>
          <w:color w:val="000000"/>
          <w:sz w:val="24"/>
          <w:szCs w:val="24"/>
        </w:rPr>
        <w:t xml:space="preserve">ORDENAR </w:t>
      </w:r>
      <w:r w:rsidRPr="004549D6">
        <w:rPr>
          <w:rFonts w:ascii="Palatino Linotype" w:eastAsia="Palatino Linotype" w:hAnsi="Palatino Linotype" w:cs="Palatino Linotype"/>
          <w:color w:val="000000"/>
          <w:sz w:val="24"/>
          <w:szCs w:val="24"/>
        </w:rPr>
        <w:t xml:space="preserve">al </w:t>
      </w:r>
      <w:r w:rsidRPr="004549D6">
        <w:rPr>
          <w:rFonts w:ascii="Palatino Linotype" w:eastAsia="Palatino Linotype" w:hAnsi="Palatino Linotype" w:cs="Palatino Linotype"/>
          <w:b/>
          <w:bCs/>
          <w:color w:val="000000"/>
          <w:sz w:val="24"/>
          <w:szCs w:val="24"/>
        </w:rPr>
        <w:t>SUJETO OBLIGADO</w:t>
      </w:r>
      <w:r w:rsidRPr="004549D6">
        <w:rPr>
          <w:rFonts w:ascii="Palatino Linotype" w:eastAsia="Palatino Linotype" w:hAnsi="Palatino Linotype" w:cs="Palatino Linotype"/>
          <w:color w:val="000000"/>
          <w:sz w:val="24"/>
          <w:szCs w:val="24"/>
        </w:rPr>
        <w:t xml:space="preserve"> entregar en versión pública los recibos de nómina del personal adscrito a las Estancias Infantiles de la primera y segunda quincena de agosto de dos mil veinticinco y del personal de Tesorería de la primera quincena de julio a la segunda quincena de septiembre de dos mil veinticinco en versión pública,   través del </w:t>
      </w:r>
      <w:r w:rsidRPr="004549D6">
        <w:rPr>
          <w:rFonts w:ascii="Palatino Linotype" w:eastAsia="Palatino Linotype" w:hAnsi="Palatino Linotype" w:cs="Palatino Linotype"/>
          <w:sz w:val="24"/>
          <w:szCs w:val="24"/>
        </w:rPr>
        <w:t>Sistema de Acceso a la Información Mexiquense</w:t>
      </w:r>
      <w:r w:rsidRPr="004549D6">
        <w:rPr>
          <w:rFonts w:ascii="Palatino Linotype" w:eastAsia="Palatino Linotype" w:hAnsi="Palatino Linotype" w:cs="Palatino Linotype"/>
          <w:color w:val="000000"/>
          <w:sz w:val="24"/>
          <w:szCs w:val="24"/>
        </w:rPr>
        <w:t xml:space="preserve"> SAIMEX.</w:t>
      </w:r>
    </w:p>
    <w:p w14:paraId="520D0527" w14:textId="77777777" w:rsidR="00E625A8" w:rsidRPr="004549D6" w:rsidRDefault="00E625A8">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588B8554" w14:textId="77777777" w:rsidR="00E625A8" w:rsidRPr="004549D6" w:rsidRDefault="001F6039" w:rsidP="006061F6">
      <w:pPr>
        <w:numPr>
          <w:ilvl w:val="0"/>
          <w:numId w:val="2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Ahora bien, por cuanto hace a las actas del Comité de Transparencia donde se apruebe la clasificación de la información solicitada, se advierte del análisis de los documentos remitidos en respuesta para la solicitud de información </w:t>
      </w:r>
      <w:r w:rsidRPr="004549D6">
        <w:rPr>
          <w:rFonts w:ascii="Palatino Linotype" w:eastAsia="Palatino Linotype" w:hAnsi="Palatino Linotype" w:cs="Palatino Linotype"/>
          <w:i/>
          <w:iCs/>
          <w:color w:val="000000"/>
          <w:sz w:val="24"/>
          <w:szCs w:val="24"/>
        </w:rPr>
        <w:t>00210/DIFHUEHUET/IP/2025</w:t>
      </w:r>
      <w:r w:rsidRPr="004549D6">
        <w:rPr>
          <w:rFonts w:ascii="Palatino Linotype" w:eastAsia="Palatino Linotype" w:hAnsi="Palatino Linotype" w:cs="Palatino Linotype"/>
          <w:color w:val="000000"/>
          <w:sz w:val="24"/>
          <w:szCs w:val="24"/>
        </w:rPr>
        <w:t xml:space="preserve"> que tal acta no fue remitida y que para la solicitud </w:t>
      </w:r>
      <w:r w:rsidRPr="004549D6">
        <w:rPr>
          <w:rFonts w:ascii="Palatino Linotype" w:eastAsia="Palatino Linotype" w:hAnsi="Palatino Linotype" w:cs="Palatino Linotype"/>
          <w:i/>
          <w:iCs/>
          <w:color w:val="000000"/>
          <w:sz w:val="24"/>
          <w:szCs w:val="24"/>
        </w:rPr>
        <w:t>00234/DIFHUEHUET/IP/2025</w:t>
      </w:r>
      <w:r w:rsidRPr="004549D6">
        <w:rPr>
          <w:rFonts w:ascii="Palatino Linotype" w:eastAsia="Palatino Linotype" w:hAnsi="Palatino Linotype" w:cs="Palatino Linotype"/>
          <w:color w:val="000000"/>
          <w:sz w:val="24"/>
          <w:szCs w:val="24"/>
        </w:rPr>
        <w:t xml:space="preserve"> solo se consideró en el acuerdo lo relativo a los recibos de nómina sin considerar los expedientes laborales, así mismo se advierte información que fue testada y no fue considerada en el acuerdo de clasificación; enunciativamente  </w:t>
      </w:r>
      <w:r w:rsidRPr="004549D6">
        <w:rPr>
          <w:rFonts w:ascii="Palatino Linotype" w:eastAsia="Palatino Linotype" w:hAnsi="Palatino Linotype" w:cs="Palatino Linotype"/>
          <w:i/>
          <w:iCs/>
          <w:color w:val="000000"/>
          <w:sz w:val="24"/>
          <w:szCs w:val="24"/>
        </w:rPr>
        <w:t>idCIF, cadenas y sellos digitales, QR, calificaciones, promedio, matrícula.</w:t>
      </w:r>
    </w:p>
    <w:p w14:paraId="7B86D163"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7E1BB60D" w14:textId="77777777" w:rsidR="00E625A8" w:rsidRPr="004549D6" w:rsidRDefault="001F6039">
      <w:pPr>
        <w:numPr>
          <w:ilvl w:val="0"/>
          <w:numId w:val="21"/>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El </w:t>
      </w:r>
      <w:r w:rsidRPr="004549D6">
        <w:rPr>
          <w:rFonts w:ascii="Palatino Linotype" w:eastAsia="Palatino Linotype" w:hAnsi="Palatino Linotype" w:cs="Palatino Linotype"/>
          <w:i/>
          <w:iCs/>
          <w:color w:val="000000"/>
          <w:sz w:val="24"/>
          <w:szCs w:val="24"/>
        </w:rPr>
        <w:t>idCIF</w:t>
      </w:r>
      <w:r w:rsidRPr="004549D6">
        <w:rPr>
          <w:rFonts w:ascii="Palatino Linotype" w:eastAsia="Palatino Linotype" w:hAnsi="Palatino Linotype" w:cs="Palatino Linotype"/>
          <w:color w:val="000000"/>
          <w:sz w:val="24"/>
          <w:szCs w:val="24"/>
        </w:rPr>
        <w:t xml:space="preserve"> es una clave numérica generada por el Sistema de Administración Tributaria relacionada con el Registro Federal de Contribuyentes de la Cédula de Identificación Fiscal, que sirve para dar certeza de que los datos emitidos en tal documento sean los correspondientes a su titular, constituyendo un medio de seguridad adicional a los ya </w:t>
      </w:r>
      <w:r w:rsidRPr="004549D6">
        <w:rPr>
          <w:rFonts w:ascii="Palatino Linotype" w:eastAsia="Palatino Linotype" w:hAnsi="Palatino Linotype" w:cs="Palatino Linotype"/>
          <w:color w:val="000000"/>
          <w:sz w:val="24"/>
          <w:szCs w:val="24"/>
        </w:rPr>
        <w:lastRenderedPageBreak/>
        <w:t xml:space="preserve">incluidos en el mismo, por lo que al estar íntimamente relacionado al RFC que es la clave de carácter fiscal, única e irrepetible, que permite identificar al titular, su edad y fecha de nacimiento, por lo que es un dato personal de carácter confidencial. </w:t>
      </w:r>
    </w:p>
    <w:p w14:paraId="082410EE" w14:textId="77777777" w:rsidR="00E625A8" w:rsidRPr="004549D6" w:rsidRDefault="00E625A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AAA25D8" w14:textId="77777777" w:rsidR="00E625A8" w:rsidRPr="004549D6" w:rsidRDefault="001F6039" w:rsidP="006061F6">
      <w:pPr>
        <w:numPr>
          <w:ilvl w:val="0"/>
          <w:numId w:val="12"/>
        </w:numPr>
        <w:pBdr>
          <w:top w:val="nil"/>
          <w:left w:val="nil"/>
          <w:bottom w:val="nil"/>
          <w:right w:val="nil"/>
          <w:between w:val="nil"/>
        </w:pBd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En esa línea de estudio,</w:t>
      </w:r>
      <w:r w:rsidRPr="004549D6">
        <w:rPr>
          <w:rFonts w:ascii="Palatino Linotype" w:eastAsia="Palatino Linotype" w:hAnsi="Palatino Linotype" w:cs="Palatino Linotype"/>
          <w:b/>
          <w:bCs/>
          <w:sz w:val="24"/>
          <w:szCs w:val="24"/>
        </w:rPr>
        <w:t xml:space="preserve"> las cadenas originales y sellos digitales</w:t>
      </w:r>
      <w:r w:rsidRPr="004549D6">
        <w:rPr>
          <w:rFonts w:ascii="Palatino Linotype" w:eastAsia="Palatino Linotype" w:hAnsi="Palatino Linotype" w:cs="Palatino Linotype"/>
          <w:sz w:val="24"/>
          <w:szCs w:val="24"/>
        </w:rPr>
        <w:t>, tienen una secuencia de generación, determinados con base en el Anexo 20 de la Resolución Miscelánea Fiscal para 2022, que precisa los datos de los que se componen los elementos de seguridad y se puntualiza que dicha información está encriptada.</w:t>
      </w:r>
    </w:p>
    <w:p w14:paraId="1C7AAFD4"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“Elementos utilizados en la generación de Sellos Digitales:</w:t>
      </w:r>
    </w:p>
    <w:p w14:paraId="29B8221F"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i/>
          <w:iCs/>
          <w:sz w:val="24"/>
          <w:szCs w:val="24"/>
        </w:rPr>
        <w:tab/>
        <w:t>Cadena Original, el elemento a sellar.</w:t>
      </w:r>
    </w:p>
    <w:p w14:paraId="1801CB64"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 xml:space="preserve"> •</w:t>
      </w:r>
      <w:r w:rsidRPr="004549D6">
        <w:rPr>
          <w:rFonts w:ascii="Palatino Linotype" w:eastAsia="Palatino Linotype" w:hAnsi="Palatino Linotype" w:cs="Palatino Linotype"/>
          <w:i/>
          <w:iCs/>
          <w:sz w:val="24"/>
          <w:szCs w:val="24"/>
        </w:rPr>
        <w:tab/>
        <w:t>Certificado de Sello Digital y su correspondiente clave privada.</w:t>
      </w:r>
    </w:p>
    <w:p w14:paraId="17E483C9"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i/>
          <w:iCs/>
          <w:sz w:val="24"/>
          <w:szCs w:val="24"/>
        </w:rPr>
        <w:tab/>
        <w:t>Algoritmos de criptografía de clave pública para firma electrónica avanzada.</w:t>
      </w:r>
    </w:p>
    <w:p w14:paraId="34A0824C"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r w:rsidRPr="004549D6">
        <w:rPr>
          <w:rFonts w:ascii="Palatino Linotype" w:eastAsia="Palatino Linotype" w:hAnsi="Palatino Linotype" w:cs="Palatino Linotype"/>
          <w:i/>
          <w:iCs/>
          <w:sz w:val="24"/>
          <w:szCs w:val="24"/>
        </w:rPr>
        <w:tab/>
        <w:t>Especificaciones de conversión de la firma electrónica avanzada a Base 64.</w:t>
      </w:r>
    </w:p>
    <w:p w14:paraId="0CB37401"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Para la generación de sellos digitales se utiliza criptografía de clave pública aplicada a una cadena original.</w:t>
      </w:r>
    </w:p>
    <w:p w14:paraId="5B760E66"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Criptografía de la Clave Pública</w:t>
      </w:r>
    </w:p>
    <w:p w14:paraId="5B133632" w14:textId="77777777" w:rsidR="00E625A8" w:rsidRPr="004549D6" w:rsidRDefault="001F6039">
      <w:pPr>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0B12FF86" w14:textId="77777777" w:rsidR="00E625A8" w:rsidRPr="004549D6" w:rsidRDefault="00E625A8">
      <w:pPr>
        <w:ind w:right="27"/>
        <w:jc w:val="both"/>
        <w:rPr>
          <w:rFonts w:ascii="Palatino Linotype" w:eastAsia="Palatino Linotype" w:hAnsi="Palatino Linotype" w:cs="Palatino Linotype"/>
          <w:i/>
          <w:iCs/>
          <w:sz w:val="24"/>
          <w:szCs w:val="24"/>
        </w:rPr>
      </w:pPr>
    </w:p>
    <w:p w14:paraId="72E1659C" w14:textId="77777777" w:rsidR="00E625A8" w:rsidRPr="004549D6" w:rsidRDefault="001F6039">
      <w:pPr>
        <w:numPr>
          <w:ilvl w:val="0"/>
          <w:numId w:val="12"/>
        </w:numPr>
        <w:pBdr>
          <w:top w:val="nil"/>
          <w:left w:val="nil"/>
          <w:bottom w:val="nil"/>
          <w:right w:val="nil"/>
          <w:between w:val="nil"/>
        </w:pBd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Es decir, por sí solos las cadenas originales y los sellos originales no contienen datos personales confidenciales, por lo que se considera que </w:t>
      </w:r>
      <w:r w:rsidRPr="004549D6">
        <w:rPr>
          <w:rFonts w:ascii="Palatino Linotype" w:eastAsia="Palatino Linotype" w:hAnsi="Palatino Linotype" w:cs="Palatino Linotype"/>
          <w:b/>
          <w:bCs/>
          <w:sz w:val="24"/>
          <w:szCs w:val="24"/>
        </w:rPr>
        <w:t xml:space="preserve">no actualizan el supuesto de </w:t>
      </w:r>
      <w:r w:rsidRPr="004549D6">
        <w:rPr>
          <w:rFonts w:ascii="Palatino Linotype" w:eastAsia="Palatino Linotype" w:hAnsi="Palatino Linotype" w:cs="Palatino Linotype"/>
          <w:b/>
          <w:bCs/>
          <w:sz w:val="24"/>
          <w:szCs w:val="24"/>
        </w:rPr>
        <w:lastRenderedPageBreak/>
        <w:t>confidencialidad</w:t>
      </w:r>
      <w:r w:rsidRPr="004549D6">
        <w:rPr>
          <w:rFonts w:ascii="Palatino Linotype" w:eastAsia="Palatino Linotype" w:hAnsi="Palatino Linotype" w:cs="Palatino Linotype"/>
          <w:sz w:val="24"/>
          <w:szCs w:val="24"/>
        </w:rPr>
        <w:t xml:space="preserve"> previsto en el artículo 143, fracción I, de la Ley de Transparencia y Acceso a la Información Pública del Estado de México y Municipios y, por el contrario, son información que permite corroborar la legitimidad del CIF, de ser el caso, por lo que guardan el carácter de público.</w:t>
      </w:r>
    </w:p>
    <w:p w14:paraId="4C03F8C6" w14:textId="77777777" w:rsidR="00E625A8" w:rsidRPr="004549D6" w:rsidRDefault="00E625A8">
      <w:pPr>
        <w:pBdr>
          <w:top w:val="nil"/>
          <w:left w:val="nil"/>
          <w:bottom w:val="nil"/>
          <w:right w:val="nil"/>
          <w:between w:val="nil"/>
        </w:pBdr>
        <w:spacing w:line="360" w:lineRule="auto"/>
        <w:ind w:right="27"/>
        <w:jc w:val="both"/>
        <w:rPr>
          <w:rFonts w:ascii="Palatino Linotype" w:eastAsia="Palatino Linotype" w:hAnsi="Palatino Linotype" w:cs="Palatino Linotype"/>
          <w:sz w:val="24"/>
          <w:szCs w:val="24"/>
        </w:rPr>
      </w:pPr>
    </w:p>
    <w:p w14:paraId="4F6B9B5F" w14:textId="77777777" w:rsidR="00E625A8" w:rsidRPr="004549D6" w:rsidRDefault="001F6039">
      <w:pPr>
        <w:numPr>
          <w:ilvl w:val="0"/>
          <w:numId w:val="12"/>
        </w:numP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14:paraId="6E346460" w14:textId="77777777" w:rsidR="00E625A8" w:rsidRPr="004549D6" w:rsidRDefault="00E625A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AFBA10C" w14:textId="77777777" w:rsidR="00E625A8" w:rsidRPr="004549D6" w:rsidRDefault="001F6039">
      <w:pPr>
        <w:numPr>
          <w:ilvl w:val="0"/>
          <w:numId w:val="12"/>
        </w:numPr>
        <w:pBdr>
          <w:top w:val="nil"/>
          <w:left w:val="nil"/>
          <w:bottom w:val="nil"/>
          <w:right w:val="nil"/>
          <w:between w:val="nil"/>
        </w:pBdr>
        <w:spacing w:after="0" w:line="360" w:lineRule="auto"/>
        <w:ind w:right="27"/>
        <w:jc w:val="both"/>
        <w:rPr>
          <w:rFonts w:ascii="Palatino Linotype" w:eastAsia="Palatino Linotype" w:hAnsi="Palatino Linotype" w:cs="Palatino Linotype"/>
          <w:b/>
          <w:bCs/>
          <w:sz w:val="24"/>
          <w:szCs w:val="24"/>
        </w:rPr>
      </w:pPr>
      <w:r w:rsidRPr="004549D6">
        <w:rPr>
          <w:rFonts w:ascii="Palatino Linotype" w:eastAsia="Palatino Linotype" w:hAnsi="Palatino Linotype" w:cs="Palatino Linotype"/>
          <w:sz w:val="24"/>
          <w:szCs w:val="24"/>
        </w:rPr>
        <w:t xml:space="preserve">Respecto al  </w:t>
      </w:r>
      <w:r w:rsidRPr="004549D6">
        <w:rPr>
          <w:rFonts w:ascii="Palatino Linotype" w:eastAsia="Palatino Linotype" w:hAnsi="Palatino Linotype" w:cs="Palatino Linotype"/>
          <w:b/>
          <w:bCs/>
          <w:sz w:val="24"/>
          <w:szCs w:val="24"/>
        </w:rPr>
        <w:t>Código de barras bidimensional (QR)</w:t>
      </w:r>
      <w:r w:rsidRPr="004549D6">
        <w:rPr>
          <w:rFonts w:ascii="Palatino Linotype" w:eastAsia="Palatino Linotype" w:hAnsi="Palatino Linotype" w:cs="Palatino Linotype"/>
          <w:sz w:val="24"/>
          <w:szCs w:val="24"/>
        </w:rPr>
        <w:t xml:space="preserve">, resulta necesario señalar que los comprobantes fiscales digitales por Internet, deben de incluir un código bidimensional conforme al formato </w:t>
      </w:r>
      <w:r w:rsidRPr="004549D6">
        <w:rPr>
          <w:rFonts w:ascii="Palatino Linotype" w:eastAsia="Palatino Linotype" w:hAnsi="Palatino Linotype" w:cs="Palatino Linotype"/>
          <w:i/>
          <w:iCs/>
          <w:sz w:val="24"/>
          <w:szCs w:val="24"/>
        </w:rPr>
        <w:t>QR Code (Quick Response Code)</w:t>
      </w:r>
      <w:r w:rsidRPr="004549D6">
        <w:rPr>
          <w:rFonts w:ascii="Palatino Linotype" w:eastAsia="Palatino Linotype" w:hAnsi="Palatino Linotype" w:cs="Palatino Linotype"/>
          <w:sz w:val="24"/>
          <w:szCs w:val="24"/>
        </w:rPr>
        <w:t xml:space="preserve">, el cual contiene el Registro Federal de Contribuyentes del receptor, del emisor, o de ambos; lo anterior, conforme al Anexo 20 de la Segunda Resolución de modificación a la Resolución Miscelánea Fiscal para el 2022, localizada en la página electrónica  </w:t>
      </w:r>
      <w:hyperlink r:id="rId10">
        <w:r w:rsidRPr="004549D6">
          <w:rPr>
            <w:rFonts w:ascii="Palatino Linotype" w:eastAsia="Palatino Linotype" w:hAnsi="Palatino Linotype" w:cs="Palatino Linotype"/>
            <w:color w:val="0563C1"/>
            <w:sz w:val="24"/>
            <w:szCs w:val="24"/>
            <w:u w:val="single"/>
          </w:rPr>
          <w:t>http://omawww.sat.gob.mx/tramitesyservicios/paginas/documentos/anexo20_2022.pdf</w:t>
        </w:r>
      </w:hyperlink>
      <w:r w:rsidRPr="004549D6">
        <w:rPr>
          <w:rFonts w:ascii="Palatino Linotype" w:eastAsia="Palatino Linotype" w:hAnsi="Palatino Linotype" w:cs="Palatino Linotype"/>
          <w:color w:val="0563C1"/>
          <w:sz w:val="24"/>
          <w:szCs w:val="24"/>
          <w:u w:val="single"/>
        </w:rPr>
        <w:t xml:space="preserve"> </w:t>
      </w:r>
      <w:r w:rsidRPr="004549D6">
        <w:rPr>
          <w:rFonts w:ascii="Palatino Linotype" w:eastAsia="Palatino Linotype" w:hAnsi="Palatino Linotype" w:cs="Palatino Linotype"/>
          <w:sz w:val="24"/>
          <w:szCs w:val="24"/>
        </w:rPr>
        <w:t xml:space="preserve"> Incluso con la captura de dicho código, a través de la aplicación móvil del Servicio de Administración Tributaria, permite el acceso al Registro Federal de Contribuyentes, como del </w:t>
      </w:r>
      <w:r w:rsidRPr="004549D6">
        <w:rPr>
          <w:rFonts w:ascii="Palatino Linotype" w:eastAsia="Palatino Linotype" w:hAnsi="Palatino Linotype" w:cs="Palatino Linotype"/>
          <w:b/>
          <w:bCs/>
          <w:sz w:val="24"/>
          <w:szCs w:val="24"/>
        </w:rPr>
        <w:t>Sujeto Obligado</w:t>
      </w:r>
      <w:r w:rsidRPr="004549D6">
        <w:rPr>
          <w:rFonts w:ascii="Palatino Linotype" w:eastAsia="Palatino Linotype" w:hAnsi="Palatino Linotype" w:cs="Palatino Linotype"/>
          <w:sz w:val="24"/>
          <w:szCs w:val="24"/>
        </w:rPr>
        <w:t>, como de la persona física o moral correspondiente.</w:t>
      </w:r>
    </w:p>
    <w:p w14:paraId="525E3209"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02B253AC" w14:textId="77777777" w:rsidR="00E625A8" w:rsidRPr="004549D6" w:rsidRDefault="001F6039">
      <w:pPr>
        <w:numPr>
          <w:ilvl w:val="0"/>
          <w:numId w:val="12"/>
        </w:numPr>
        <w:pBdr>
          <w:top w:val="nil"/>
          <w:left w:val="nil"/>
          <w:bottom w:val="nil"/>
          <w:right w:val="nil"/>
          <w:between w:val="nil"/>
        </w:pBdr>
        <w:spacing w:after="0" w:line="360" w:lineRule="auto"/>
        <w:ind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De tales circunstancias, se considera que se actualiza la causal de clasificación prevista en el artículo 143, fracción I de la Ley de la materia, toda vez que el Registro Federal de </w:t>
      </w:r>
      <w:r w:rsidRPr="004549D6">
        <w:rPr>
          <w:rFonts w:ascii="Palatino Linotype" w:eastAsia="Palatino Linotype" w:hAnsi="Palatino Linotype" w:cs="Palatino Linotype"/>
          <w:sz w:val="24"/>
          <w:szCs w:val="24"/>
        </w:rPr>
        <w:lastRenderedPageBreak/>
        <w:t>Contribuyentes corresponde a los servidores públicos, pues como se señaló en párrafos anteriores el mismo hace identificable o identificada al mismo.</w:t>
      </w:r>
    </w:p>
    <w:p w14:paraId="0E409D24" w14:textId="77777777" w:rsidR="00E625A8" w:rsidRPr="004549D6" w:rsidRDefault="00E625A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FD935A3" w14:textId="77777777" w:rsidR="00E625A8" w:rsidRPr="004549D6" w:rsidRDefault="001F6039">
      <w:pPr>
        <w:numPr>
          <w:ilvl w:val="0"/>
          <w:numId w:val="12"/>
        </w:numPr>
        <w:pBdr>
          <w:top w:val="nil"/>
          <w:left w:val="nil"/>
          <w:bottom w:val="nil"/>
          <w:right w:val="nil"/>
          <w:between w:val="nil"/>
        </w:pBdr>
        <w:tabs>
          <w:tab w:val="left" w:pos="567"/>
        </w:tabs>
        <w:spacing w:after="0" w:line="360" w:lineRule="auto"/>
        <w:ind w:right="-28"/>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Por cuanto hace a las calificaciones cabe precisar que dicho dato da cuenta del grado de conocimientos adquiridos, en una materia o durante el desarrollo escolar, los cuales únicamente corresponden únicamente a cuestiones relacionadas con el ámbito privado de las personas, al dar cuenta del desempeño de los alumnos durante el curso de las diversas carreras con las que cuenta el Sujeto Obligado. En ese contexto, se trae a colación la tesis aislada número 2a. LXIII/2008, emitida por la Segunda Sala de la Suprema Corte de Justicia de la Nación, publicada en la Gaceta del Semanario Judicial de la Federación, Tomo XXVII, de mayo de 2008, página 229, de la Novena Época, materia constitucional, que prevé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w:t>
      </w:r>
    </w:p>
    <w:p w14:paraId="2AEB8A9A" w14:textId="77777777" w:rsidR="00E625A8" w:rsidRPr="004549D6" w:rsidRDefault="00E625A8">
      <w:pPr>
        <w:tabs>
          <w:tab w:val="left" w:pos="4962"/>
        </w:tabs>
        <w:spacing w:line="360" w:lineRule="auto"/>
        <w:ind w:right="-28"/>
        <w:jc w:val="both"/>
        <w:rPr>
          <w:rFonts w:ascii="Palatino Linotype" w:eastAsia="Palatino Linotype" w:hAnsi="Palatino Linotype" w:cs="Palatino Linotype"/>
          <w:sz w:val="24"/>
          <w:szCs w:val="24"/>
        </w:rPr>
      </w:pPr>
    </w:p>
    <w:p w14:paraId="29310E5D" w14:textId="77777777" w:rsidR="00E625A8" w:rsidRPr="004549D6" w:rsidRDefault="001F6039">
      <w:pPr>
        <w:numPr>
          <w:ilvl w:val="0"/>
          <w:numId w:val="12"/>
        </w:numPr>
        <w:pBdr>
          <w:top w:val="nil"/>
          <w:left w:val="nil"/>
          <w:bottom w:val="nil"/>
          <w:right w:val="nil"/>
          <w:between w:val="nil"/>
        </w:pBdr>
        <w:tabs>
          <w:tab w:val="left" w:pos="567"/>
          <w:tab w:val="left" w:pos="4962"/>
        </w:tabs>
        <w:spacing w:after="0" w:line="360" w:lineRule="auto"/>
        <w:ind w:right="-28"/>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En atención con lo anterior, se considera que las calificaciones obtenidas por un servidor público, es información íntima de los alumnos, pues corresponde a su desempeño escolar, lo cual únicamente atañe a estos, por lo que se considera que es un dato confidencial. De tales circunstancias, se considera que el dato en comento es información confidencial lo cual atañe únicamente a los alumnos y a la institución educativa, por lo que, es clasificado en términos del artículo 143, fracción I de la Ley de la materia.</w:t>
      </w:r>
    </w:p>
    <w:p w14:paraId="6ABE7AC4" w14:textId="77777777" w:rsidR="00E625A8" w:rsidRPr="004549D6" w:rsidRDefault="001F6039">
      <w:pPr>
        <w:numPr>
          <w:ilvl w:val="0"/>
          <w:numId w:val="12"/>
        </w:numPr>
        <w:pBdr>
          <w:top w:val="nil"/>
          <w:left w:val="nil"/>
          <w:bottom w:val="nil"/>
          <w:right w:val="nil"/>
          <w:between w:val="nil"/>
        </w:pBdr>
        <w:tabs>
          <w:tab w:val="left" w:pos="0"/>
        </w:tabs>
        <w:spacing w:after="0" w:line="360" w:lineRule="auto"/>
        <w:ind w:right="-28"/>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lastRenderedPageBreak/>
        <w:t>Respecto, al promedio, es la suma de las calificaciones que obtuvo una persona, durante un determinado curso, carrera, entre otros, por lo que, refleja el grado de conocimientos adquiridos durante el desarrollo escolar, lo cual, corresponde a una cuestión privada del servidor público.</w:t>
      </w:r>
    </w:p>
    <w:p w14:paraId="28789EAD" w14:textId="77777777" w:rsidR="00E625A8" w:rsidRPr="004549D6" w:rsidRDefault="00E625A8">
      <w:pPr>
        <w:pBdr>
          <w:top w:val="nil"/>
          <w:left w:val="nil"/>
          <w:bottom w:val="nil"/>
          <w:right w:val="nil"/>
          <w:between w:val="nil"/>
        </w:pBdr>
        <w:spacing w:after="0" w:line="360" w:lineRule="auto"/>
        <w:rPr>
          <w:rFonts w:ascii="Palatino Linotype" w:eastAsia="Palatino Linotype" w:hAnsi="Palatino Linotype" w:cs="Palatino Linotype"/>
          <w:color w:val="000000"/>
          <w:sz w:val="24"/>
          <w:szCs w:val="24"/>
        </w:rPr>
      </w:pPr>
    </w:p>
    <w:p w14:paraId="366C14C9"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Conforme a lo anterior y lo expuesto, se advierte que el desempeño escolar de una persona es información íntima de este, lo cual concierne también a su vida privada; por lo cual, se considera que las calificaciones, créditos y promedio, son confidenciales, en términos del artículo 143, fracción I, de la Ley de Transparencia y Acceso a la Información Pública del Estado de México y Municipios.</w:t>
      </w:r>
    </w:p>
    <w:p w14:paraId="6B6636DD" w14:textId="77777777" w:rsidR="00E625A8" w:rsidRPr="004549D6" w:rsidRDefault="00E625A8">
      <w:pPr>
        <w:tabs>
          <w:tab w:val="left" w:pos="4962"/>
        </w:tabs>
        <w:spacing w:line="360" w:lineRule="auto"/>
        <w:ind w:right="-28"/>
        <w:jc w:val="both"/>
        <w:rPr>
          <w:rFonts w:ascii="Palatino Linotype" w:eastAsia="Palatino Linotype" w:hAnsi="Palatino Linotype" w:cs="Palatino Linotype"/>
          <w:sz w:val="24"/>
          <w:szCs w:val="24"/>
        </w:rPr>
      </w:pPr>
    </w:p>
    <w:p w14:paraId="4B539FF0" w14:textId="77777777" w:rsidR="00E625A8" w:rsidRDefault="001F6039">
      <w:pPr>
        <w:numPr>
          <w:ilvl w:val="0"/>
          <w:numId w:val="12"/>
        </w:numPr>
        <w:pBdr>
          <w:top w:val="nil"/>
          <w:left w:val="nil"/>
          <w:bottom w:val="nil"/>
          <w:right w:val="nil"/>
          <w:between w:val="nil"/>
        </w:pBdr>
        <w:tabs>
          <w:tab w:val="left" w:pos="567"/>
        </w:tabs>
        <w:spacing w:after="0" w:line="360" w:lineRule="auto"/>
        <w:ind w:right="-28"/>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Ahora bien, por lo que hace a la matrícula, corresponde a un medio de identificación dentro de una institución educativa o bien, en una materia o asignatura en específico, por lo que, solo le atañe a la Institución Escolar y alumno dicha información, al ser datos meramente administrativos y académicos; además, que pudieran hacer identificables a los estudiantes, con la vinculación de otros datos.</w:t>
      </w:r>
    </w:p>
    <w:p w14:paraId="65D762FB" w14:textId="77777777" w:rsidR="00BE10D6" w:rsidRPr="004549D6" w:rsidRDefault="00BE10D6" w:rsidP="00BE10D6">
      <w:pPr>
        <w:pBdr>
          <w:top w:val="nil"/>
          <w:left w:val="nil"/>
          <w:bottom w:val="nil"/>
          <w:right w:val="nil"/>
          <w:between w:val="nil"/>
        </w:pBdr>
        <w:tabs>
          <w:tab w:val="left" w:pos="567"/>
        </w:tabs>
        <w:spacing w:after="0" w:line="360" w:lineRule="auto"/>
        <w:ind w:right="-28"/>
        <w:jc w:val="both"/>
        <w:rPr>
          <w:rFonts w:ascii="Palatino Linotype" w:eastAsia="Palatino Linotype" w:hAnsi="Palatino Linotype" w:cs="Palatino Linotype"/>
          <w:color w:val="000000"/>
          <w:sz w:val="24"/>
          <w:szCs w:val="24"/>
        </w:rPr>
      </w:pPr>
    </w:p>
    <w:p w14:paraId="4038FB6B"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En este sentido, </w:t>
      </w:r>
      <w:r w:rsidRPr="004549D6">
        <w:rPr>
          <w:rFonts w:ascii="Palatino Linotype" w:eastAsia="Palatino Linotype" w:hAnsi="Palatino Linotype" w:cs="Palatino Linotype"/>
          <w:sz w:val="24"/>
          <w:szCs w:val="24"/>
        </w:rPr>
        <w:t>es importante señalar que la clasificación total o parcial de la información requerida mediante solicitud de acceso a la información pública, constituye una restricción al derecho humano de acceso a la información.</w:t>
      </w:r>
    </w:p>
    <w:p w14:paraId="65120891" w14:textId="77777777" w:rsidR="00E625A8" w:rsidRPr="004549D6" w:rsidRDefault="00E625A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FDF9490"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lastRenderedPageBreak/>
        <w:t>En este caso, es un supuesto que la Ley de Transparencia y Acceso a la Información Pública del Estado de México y Municipios, establece el procedimiento legalmente establecido, para ello.</w:t>
      </w:r>
    </w:p>
    <w:p w14:paraId="3F535C1D" w14:textId="77777777" w:rsidR="00E625A8" w:rsidRPr="004549D6" w:rsidRDefault="00E625A8">
      <w:pPr>
        <w:rPr>
          <w:rFonts w:ascii="Palatino Linotype" w:eastAsia="Palatino Linotype" w:hAnsi="Palatino Linotype" w:cs="Palatino Linotype"/>
          <w:sz w:val="24"/>
          <w:szCs w:val="24"/>
        </w:rPr>
      </w:pPr>
    </w:p>
    <w:p w14:paraId="7C018B7D"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Al respecto, los Lineamientos Generales en Materia de Clasificación y Desclasificación de la Información, así Como para la Elaboración de Versiones Públicas, por cuanto hace a la clasificación de la información, señalan lo siguiente:</w:t>
      </w:r>
    </w:p>
    <w:p w14:paraId="615689F3"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w:t>
      </w:r>
      <w:r w:rsidRPr="004549D6">
        <w:rPr>
          <w:rFonts w:ascii="Palatino Linotype" w:eastAsia="Palatino Linotype" w:hAnsi="Palatino Linotype" w:cs="Palatino Linotype"/>
          <w:b/>
          <w:bCs/>
          <w:i/>
          <w:iCs/>
          <w:color w:val="000000"/>
          <w:sz w:val="24"/>
          <w:szCs w:val="24"/>
        </w:rPr>
        <w:t>Quincuagésimo.</w:t>
      </w:r>
      <w:r w:rsidRPr="004549D6">
        <w:rPr>
          <w:rFonts w:ascii="Palatino Linotype" w:eastAsia="Palatino Linotype" w:hAnsi="Palatino Linotype" w:cs="Palatino Linotype"/>
          <w:i/>
          <w:iCs/>
          <w:color w:val="000000"/>
          <w:sz w:val="24"/>
          <w:szCs w:val="24"/>
        </w:rPr>
        <w:t xml:space="preserve"> Los titulares de las áreas de los sujetos obligados podrán utilizar los formatos contenidos en el presente Capítulo como modelo para señalar la clasificación de documentos o expedientes, sin perjuicio de que establezcan los propios.</w:t>
      </w:r>
    </w:p>
    <w:p w14:paraId="4FF7201E" w14:textId="77777777" w:rsidR="00E625A8" w:rsidRPr="004549D6" w:rsidRDefault="00E625A8">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p>
    <w:p w14:paraId="56980DDE"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b/>
          <w:bCs/>
          <w:i/>
          <w:iCs/>
          <w:color w:val="000000"/>
          <w:sz w:val="24"/>
          <w:szCs w:val="24"/>
        </w:rPr>
        <w:t>Quincuagésimo primero.</w:t>
      </w:r>
      <w:r w:rsidRPr="004549D6">
        <w:rPr>
          <w:rFonts w:ascii="Palatino Linotype" w:eastAsia="Palatino Linotype" w:hAnsi="Palatino Linotype" w:cs="Palatino Linotype"/>
          <w:i/>
          <w:iCs/>
          <w:color w:val="000000"/>
          <w:sz w:val="24"/>
          <w:szCs w:val="24"/>
        </w:rPr>
        <w:t xml:space="preserve"> La leyenda en los documentos clasificados indicará:</w:t>
      </w:r>
    </w:p>
    <w:p w14:paraId="2258D7DD"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I. La fecha de sesión del Comité de Transparencia en donde se confirmó la clasificación, en su caso;</w:t>
      </w:r>
    </w:p>
    <w:p w14:paraId="455E076F"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II. El nombre del área;</w:t>
      </w:r>
    </w:p>
    <w:p w14:paraId="43501879"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III. La palabra reservado o confidencial;</w:t>
      </w:r>
    </w:p>
    <w:p w14:paraId="72C7AA0D"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IV. Las partes o secciones reservadas o confidenciales, en su caso;</w:t>
      </w:r>
    </w:p>
    <w:p w14:paraId="70D3BB97"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V. El fundamento legal;</w:t>
      </w:r>
    </w:p>
    <w:p w14:paraId="05D08E43"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VI. El periodo de reserva, y</w:t>
      </w:r>
    </w:p>
    <w:p w14:paraId="2CEE644D" w14:textId="77777777" w:rsidR="00E625A8" w:rsidRPr="004549D6" w:rsidRDefault="001F6039">
      <w:pPr>
        <w:pBdr>
          <w:top w:val="nil"/>
          <w:left w:val="nil"/>
          <w:bottom w:val="nil"/>
          <w:right w:val="nil"/>
          <w:between w:val="nil"/>
        </w:pBdr>
        <w:tabs>
          <w:tab w:val="left" w:pos="142"/>
          <w:tab w:val="left" w:pos="284"/>
          <w:tab w:val="left" w:pos="7371"/>
          <w:tab w:val="left" w:pos="7797"/>
        </w:tabs>
        <w:spacing w:after="0" w:line="240" w:lineRule="auto"/>
        <w:ind w:left="1134" w:right="1276"/>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VII. La rúbrica del titular del área.”</w:t>
      </w:r>
    </w:p>
    <w:p w14:paraId="508AAE25" w14:textId="77777777" w:rsidR="00E625A8" w:rsidRPr="004549D6" w:rsidRDefault="00E625A8">
      <w:pPr>
        <w:pBdr>
          <w:top w:val="nil"/>
          <w:left w:val="nil"/>
          <w:bottom w:val="nil"/>
          <w:right w:val="nil"/>
          <w:between w:val="nil"/>
        </w:pBdr>
        <w:tabs>
          <w:tab w:val="left" w:pos="7797"/>
        </w:tabs>
        <w:spacing w:line="360" w:lineRule="auto"/>
        <w:ind w:left="1134"/>
        <w:jc w:val="both"/>
        <w:rPr>
          <w:rFonts w:ascii="Palatino Linotype" w:eastAsia="Palatino Linotype" w:hAnsi="Palatino Linotype" w:cs="Palatino Linotype"/>
          <w:color w:val="000000"/>
          <w:sz w:val="24"/>
          <w:szCs w:val="24"/>
        </w:rPr>
      </w:pPr>
    </w:p>
    <w:p w14:paraId="7347A8EA"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 xml:space="preserve">Así, una vez hecho lo anterior, </w:t>
      </w:r>
      <w:r w:rsidRPr="004549D6">
        <w:rPr>
          <w:rFonts w:ascii="Palatino Linotype" w:eastAsia="Palatino Linotype" w:hAnsi="Palatino Linotype" w:cs="Palatino Linotype"/>
          <w:b/>
          <w:bCs/>
          <w:sz w:val="24"/>
          <w:szCs w:val="24"/>
        </w:rPr>
        <w:t>se remite la información al Titular de la Unidad de Transparencia, con el acuerdo de clasificación correspondiente, para que sea sometido al conocimiento del Comité de Transparencia.</w:t>
      </w:r>
    </w:p>
    <w:p w14:paraId="1F28134B" w14:textId="77777777" w:rsidR="00E625A8" w:rsidRPr="004549D6" w:rsidRDefault="001F6039">
      <w:pPr>
        <w:pBdr>
          <w:top w:val="nil"/>
          <w:left w:val="nil"/>
          <w:bottom w:val="nil"/>
          <w:right w:val="nil"/>
          <w:between w:val="nil"/>
        </w:pBdr>
        <w:tabs>
          <w:tab w:val="left" w:pos="142"/>
          <w:tab w:val="left" w:pos="284"/>
          <w:tab w:val="left" w:pos="426"/>
        </w:tabs>
        <w:spacing w:after="0" w:line="360" w:lineRule="auto"/>
        <w:ind w:left="567"/>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La intervención del Comité de Transparencia.</w:t>
      </w:r>
    </w:p>
    <w:p w14:paraId="5F78E881" w14:textId="77777777" w:rsidR="00E625A8" w:rsidRPr="004549D6" w:rsidRDefault="001F6039">
      <w:pPr>
        <w:numPr>
          <w:ilvl w:val="0"/>
          <w:numId w:val="11"/>
        </w:numPr>
        <w:pBdr>
          <w:top w:val="nil"/>
          <w:left w:val="nil"/>
          <w:bottom w:val="nil"/>
          <w:right w:val="nil"/>
          <w:between w:val="nil"/>
        </w:pBdr>
        <w:tabs>
          <w:tab w:val="left" w:pos="142"/>
          <w:tab w:val="left" w:pos="284"/>
          <w:tab w:val="left" w:pos="426"/>
        </w:tabs>
        <w:spacing w:after="0" w:line="360" w:lineRule="auto"/>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Formalidades para emitir el Acuerdo de Clasificación.</w:t>
      </w:r>
    </w:p>
    <w:p w14:paraId="3C7C88E9" w14:textId="77777777" w:rsidR="006061F6" w:rsidRPr="004549D6" w:rsidRDefault="006061F6" w:rsidP="006061F6">
      <w:pPr>
        <w:pBdr>
          <w:top w:val="nil"/>
          <w:left w:val="nil"/>
          <w:bottom w:val="nil"/>
          <w:right w:val="nil"/>
          <w:between w:val="nil"/>
        </w:pBdr>
        <w:tabs>
          <w:tab w:val="left" w:pos="142"/>
          <w:tab w:val="left" w:pos="284"/>
          <w:tab w:val="left" w:pos="426"/>
        </w:tabs>
        <w:spacing w:after="0" w:line="360" w:lineRule="auto"/>
        <w:ind w:left="710"/>
        <w:jc w:val="both"/>
        <w:rPr>
          <w:rFonts w:ascii="Palatino Linotype" w:eastAsia="Palatino Linotype" w:hAnsi="Palatino Linotype" w:cs="Palatino Linotype"/>
          <w:b/>
          <w:bCs/>
          <w:color w:val="000000"/>
          <w:sz w:val="24"/>
          <w:szCs w:val="24"/>
        </w:rPr>
      </w:pPr>
    </w:p>
    <w:p w14:paraId="109D29A4"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lastRenderedPageBreak/>
        <w:t xml:space="preserve">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4549D6">
        <w:rPr>
          <w:rFonts w:ascii="Palatino Linotype" w:eastAsia="Palatino Linotype" w:hAnsi="Palatino Linotype" w:cs="Palatino Linotype"/>
          <w:b/>
          <w:bCs/>
          <w:sz w:val="24"/>
          <w:szCs w:val="24"/>
          <w:u w:val="single"/>
        </w:rPr>
        <w:t>confirmar, modificar o revocar</w:t>
      </w:r>
      <w:r w:rsidRPr="004549D6">
        <w:rPr>
          <w:rFonts w:ascii="Palatino Linotype" w:eastAsia="Palatino Linotype" w:hAnsi="Palatino Linotype" w:cs="Palatino Linotype"/>
          <w:sz w:val="24"/>
          <w:szCs w:val="24"/>
        </w:rPr>
        <w:t xml:space="preserve"> la clasificación de la información que ha hecho el titular del área que administra la información. Por lo tanto, el Comité </w:t>
      </w:r>
      <w:r w:rsidRPr="004549D6">
        <w:rPr>
          <w:rFonts w:ascii="Palatino Linotype" w:eastAsia="Palatino Linotype" w:hAnsi="Palatino Linotype" w:cs="Palatino Linotype"/>
          <w:b/>
          <w:bCs/>
          <w:sz w:val="24"/>
          <w:szCs w:val="24"/>
        </w:rPr>
        <w:t>no aprueba</w:t>
      </w:r>
      <w:r w:rsidRPr="004549D6">
        <w:rPr>
          <w:rFonts w:ascii="Palatino Linotype" w:eastAsia="Palatino Linotype" w:hAnsi="Palatino Linotype" w:cs="Palatino Linotype"/>
          <w:sz w:val="24"/>
          <w:szCs w:val="24"/>
        </w:rPr>
        <w:t xml:space="preserve"> la clasificación, sino que revisa lo que ha hecho el titular del área y confirma, modifica o revoca la decisión a través de un acuerdo.</w:t>
      </w:r>
    </w:p>
    <w:p w14:paraId="785327A1" w14:textId="77777777" w:rsidR="00E625A8" w:rsidRPr="004549D6" w:rsidRDefault="00E625A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9244E64"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Evidentemente, esta decisión implica una restricción a un derecho humano, por lo tanto, puede generar un agravio al Particular y, en consecuencia, es necesario que el acto reúna con los requisitos elementales, entre ellos, que la autoridad que va a emitir el acto de autoridad sea la legalmente facultada para ello, es decir, que cumpla con el principio de reserva de ley,  por lo que no está demás señalar que el artículo 45 de la Ley Estatal, claramente 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Cualquier otra composición del Comité puede generar vicios de legalidad de origen en el acto que restringe un derecho humano.</w:t>
      </w:r>
    </w:p>
    <w:p w14:paraId="70E01264" w14:textId="77777777" w:rsidR="00E625A8" w:rsidRPr="004549D6" w:rsidRDefault="00E625A8">
      <w:pPr>
        <w:rPr>
          <w:rFonts w:ascii="Palatino Linotype" w:eastAsia="Palatino Linotype" w:hAnsi="Palatino Linotype" w:cs="Palatino Linotype"/>
          <w:sz w:val="24"/>
          <w:szCs w:val="24"/>
        </w:rPr>
      </w:pPr>
    </w:p>
    <w:p w14:paraId="5F2E6BC8"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 xml:space="preserve">La decisión de confirmar, modificar o revocar la clasificación deberá de asentarse en un documento que registre la determinación a la que se llegue después de un análisis minucioso </w:t>
      </w:r>
      <w:r w:rsidRPr="004549D6">
        <w:rPr>
          <w:rFonts w:ascii="Palatino Linotype" w:eastAsia="Palatino Linotype" w:hAnsi="Palatino Linotype" w:cs="Palatino Linotype"/>
          <w:sz w:val="24"/>
          <w:szCs w:val="24"/>
        </w:rPr>
        <w:lastRenderedPageBreak/>
        <w:t>a 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159935C8" w14:textId="77777777" w:rsidR="00BE10D6" w:rsidRDefault="00BE10D6">
      <w:pPr>
        <w:pBdr>
          <w:top w:val="nil"/>
          <w:left w:val="nil"/>
          <w:bottom w:val="nil"/>
          <w:right w:val="nil"/>
          <w:between w:val="nil"/>
        </w:pBdr>
        <w:tabs>
          <w:tab w:val="left" w:pos="142"/>
          <w:tab w:val="left" w:pos="284"/>
          <w:tab w:val="left" w:pos="567"/>
        </w:tabs>
        <w:spacing w:after="0" w:line="360" w:lineRule="auto"/>
        <w:ind w:left="567"/>
        <w:jc w:val="both"/>
        <w:rPr>
          <w:rFonts w:ascii="Palatino Linotype" w:eastAsia="Palatino Linotype" w:hAnsi="Palatino Linotype" w:cs="Palatino Linotype"/>
          <w:b/>
          <w:bCs/>
          <w:color w:val="000000"/>
          <w:sz w:val="24"/>
          <w:szCs w:val="24"/>
        </w:rPr>
      </w:pPr>
    </w:p>
    <w:p w14:paraId="29FAAA6E" w14:textId="77777777" w:rsidR="00E625A8" w:rsidRPr="004549D6" w:rsidRDefault="001F6039">
      <w:pPr>
        <w:pBdr>
          <w:top w:val="nil"/>
          <w:left w:val="nil"/>
          <w:bottom w:val="nil"/>
          <w:right w:val="nil"/>
          <w:between w:val="nil"/>
        </w:pBdr>
        <w:tabs>
          <w:tab w:val="left" w:pos="142"/>
          <w:tab w:val="left" w:pos="284"/>
          <w:tab w:val="left" w:pos="567"/>
        </w:tabs>
        <w:spacing w:after="0" w:line="360" w:lineRule="auto"/>
        <w:ind w:left="567"/>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b) Requisitos de fondo del Acuerdo de Clasificación.</w:t>
      </w:r>
    </w:p>
    <w:p w14:paraId="106917A7"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 xml:space="preserve">Como se ha señalado antes, al hacer el juicio de subsunción o encaje entre el supuesto de hecho y la hipótesis jurídica, se debe acreditar la estricta correspondencia entre un elemento y otro. </w:t>
      </w:r>
    </w:p>
    <w:p w14:paraId="2ABD2568" w14:textId="77777777" w:rsidR="00E625A8" w:rsidRPr="004549D6" w:rsidRDefault="00E625A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550C20D" w14:textId="77777777" w:rsidR="00E625A8" w:rsidRPr="00BE10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Ahora, en esta parte del procedimiento, que se desahoga en sede del Comité de Transparencia, la ley nos aporta mayores luces para cumplir con dicha acreditación. En los artículos 131 y 105 segundo párrafo de la Ley Estatal y de la Ley General respectivamente, y el lineamiento sexagésimo segundo de los Lineamientos Generales, al señalar que la carga de la prueba, para justificar las restricciones, corresponde a los sujetos obligados, por lo que deberán fundar y motivar debidamente la clasificación.</w:t>
      </w:r>
    </w:p>
    <w:p w14:paraId="31B0E8CA" w14:textId="77777777" w:rsidR="00BE10D6" w:rsidRPr="004549D6" w:rsidRDefault="00BE10D6" w:rsidP="00BE10D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9928952"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w:t>
      </w:r>
      <w:r w:rsidRPr="004549D6">
        <w:rPr>
          <w:rFonts w:ascii="Palatino Linotype" w:eastAsia="Palatino Linotype" w:hAnsi="Palatino Linotype" w:cs="Palatino Linotype"/>
          <w:b/>
          <w:bCs/>
          <w:sz w:val="24"/>
          <w:szCs w:val="24"/>
        </w:rPr>
        <w:t xml:space="preserve"> </w:t>
      </w:r>
      <w:r w:rsidRPr="004549D6">
        <w:rPr>
          <w:rFonts w:ascii="Palatino Linotype" w:eastAsia="Palatino Linotype" w:hAnsi="Palatino Linotype" w:cs="Palatino Linotype"/>
          <w:sz w:val="24"/>
          <w:szCs w:val="24"/>
        </w:rPr>
        <w:t>origen y las razones por las que se deben aplicar al caso concreto.</w:t>
      </w:r>
    </w:p>
    <w:p w14:paraId="65AB040D" w14:textId="77777777" w:rsidR="00E625A8" w:rsidRPr="004549D6" w:rsidRDefault="00E625A8">
      <w:pPr>
        <w:rPr>
          <w:rFonts w:ascii="Palatino Linotype" w:eastAsia="Palatino Linotype" w:hAnsi="Palatino Linotype" w:cs="Palatino Linotype"/>
          <w:sz w:val="24"/>
          <w:szCs w:val="24"/>
        </w:rPr>
      </w:pPr>
    </w:p>
    <w:p w14:paraId="6CC74AD3" w14:textId="77777777" w:rsidR="00E625A8" w:rsidRPr="004549D6" w:rsidRDefault="001F6039" w:rsidP="00BE10D6">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lastRenderedPageBreak/>
        <w:t>Por su parte, el intérprete judicial del país ha establecido una jurisprudencia respecto a qué debe entenderse por fundamentación y motivación, en los siguientes términos:</w:t>
      </w:r>
    </w:p>
    <w:p w14:paraId="580F3908" w14:textId="77777777" w:rsidR="00E625A8" w:rsidRPr="004549D6" w:rsidRDefault="001F6039">
      <w:pPr>
        <w:pBdr>
          <w:top w:val="nil"/>
          <w:left w:val="nil"/>
          <w:bottom w:val="nil"/>
          <w:right w:val="nil"/>
          <w:between w:val="nil"/>
        </w:pBdr>
        <w:spacing w:before="240" w:after="240" w:line="240" w:lineRule="auto"/>
        <w:ind w:left="1134" w:right="1418"/>
        <w:jc w:val="both"/>
        <w:rPr>
          <w:rFonts w:ascii="Palatino Linotype" w:eastAsia="Palatino Linotype" w:hAnsi="Palatino Linotype" w:cs="Palatino Linotype"/>
          <w:b/>
          <w:bCs/>
          <w:color w:val="000000"/>
          <w:sz w:val="24"/>
          <w:szCs w:val="24"/>
          <w:u w:val="single"/>
        </w:rPr>
      </w:pPr>
      <w:r w:rsidRPr="004549D6">
        <w:rPr>
          <w:rFonts w:ascii="Palatino Linotype" w:eastAsia="Palatino Linotype" w:hAnsi="Palatino Linotype" w:cs="Palatino Linotype"/>
          <w:b/>
          <w:bCs/>
          <w:i/>
          <w:iCs/>
          <w:color w:val="000000"/>
          <w:sz w:val="24"/>
          <w:szCs w:val="24"/>
        </w:rPr>
        <w:t>FUNDAMENTACIÓN Y MOTIVACIÓN.</w:t>
      </w:r>
      <w:r w:rsidRPr="004549D6">
        <w:rPr>
          <w:rFonts w:ascii="Palatino Linotype" w:eastAsia="Palatino Linotype" w:hAnsi="Palatino Linotype" w:cs="Palatino Linotype"/>
          <w:i/>
          <w:iCs/>
          <w:color w:val="000000"/>
          <w:sz w:val="24"/>
          <w:szCs w:val="24"/>
        </w:rPr>
        <w:t xml:space="preserve"> “La </w:t>
      </w:r>
      <w:r w:rsidRPr="004549D6">
        <w:rPr>
          <w:rFonts w:ascii="Palatino Linotype" w:eastAsia="Palatino Linotype" w:hAnsi="Palatino Linotype" w:cs="Palatino Linotype"/>
          <w:i/>
          <w:iCs/>
          <w:color w:val="000000"/>
          <w:sz w:val="24"/>
          <w:szCs w:val="24"/>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4549D6">
        <w:rPr>
          <w:rFonts w:ascii="Palatino Linotype" w:eastAsia="Palatino Linotype" w:hAnsi="Palatino Linotype" w:cs="Palatino Linotype"/>
          <w:i/>
          <w:iCs/>
          <w:color w:val="000000"/>
          <w:sz w:val="24"/>
          <w:szCs w:val="24"/>
        </w:rPr>
        <w:t>.”</w:t>
      </w:r>
    </w:p>
    <w:p w14:paraId="5B0BCA10" w14:textId="77777777" w:rsidR="00E625A8" w:rsidRPr="004549D6" w:rsidRDefault="00E625A8">
      <w:pPr>
        <w:spacing w:after="0"/>
        <w:ind w:left="1134" w:right="1418"/>
        <w:jc w:val="both"/>
        <w:rPr>
          <w:rFonts w:ascii="Palatino Linotype" w:eastAsia="Palatino Linotype" w:hAnsi="Palatino Linotype" w:cs="Palatino Linotype"/>
          <w:i/>
          <w:iCs/>
          <w:color w:val="000000"/>
          <w:sz w:val="24"/>
          <w:szCs w:val="24"/>
        </w:rPr>
      </w:pPr>
    </w:p>
    <w:p w14:paraId="6E539FB3" w14:textId="77777777" w:rsidR="00E625A8" w:rsidRPr="004549D6" w:rsidRDefault="001F6039">
      <w:pPr>
        <w:spacing w:after="0"/>
        <w:ind w:left="1134" w:right="1418"/>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SEGUNDO TRIBUNAL COLEGIADO DEL SEXTO CIRCUITO.</w:t>
      </w:r>
    </w:p>
    <w:p w14:paraId="192298B4" w14:textId="77777777" w:rsidR="00E625A8" w:rsidRPr="004549D6" w:rsidRDefault="001F6039">
      <w:pPr>
        <w:spacing w:after="0"/>
        <w:ind w:left="1134" w:right="1418"/>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Amparo directo 194/88. Bufete Industrial Construcciones, S.A. de C.V. 28 de junio de 1988. Unanimidad de votos. Ponente: Gustavo Calvillo Rangel. Secretario: Jorge Alberto González Álvarez.</w:t>
      </w:r>
    </w:p>
    <w:p w14:paraId="5F4902D6" w14:textId="77777777" w:rsidR="00E625A8" w:rsidRPr="004549D6" w:rsidRDefault="001F6039">
      <w:pPr>
        <w:spacing w:after="0"/>
        <w:ind w:left="1134" w:right="1418"/>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Revisión fiscal 103/88. Instituto Mexicano del Seguro Social. 18 de octubre de 1988. Unanimidad de votos. Ponente: Arnoldo Nájera Virgen. Secretario: Alejandro Esponda Rincón.</w:t>
      </w:r>
    </w:p>
    <w:p w14:paraId="0EFEB698" w14:textId="77777777" w:rsidR="00E625A8" w:rsidRPr="004549D6" w:rsidRDefault="001F6039">
      <w:pPr>
        <w:spacing w:after="0"/>
        <w:ind w:left="1134" w:right="1418"/>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Amparo en revisión 333/88. Adilia Romero. 26 de octubre de 1988. Unanimidad de votos. Ponente: Arnoldo Nájera Virgen. Secretario: Enrique Crispín Campos Ramírez.</w:t>
      </w:r>
    </w:p>
    <w:p w14:paraId="5CAF9971" w14:textId="77777777" w:rsidR="00E625A8" w:rsidRPr="004549D6" w:rsidRDefault="001F6039">
      <w:pPr>
        <w:spacing w:after="0"/>
        <w:ind w:left="1134" w:right="1418"/>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Amparo en revisión 597/95. Emilio Maurer Bretón. 15 de noviembre de 1995. Unanimidad de votos. Ponente: Clementina Ramírez Moguel Goyzueta. Secretario: Gonzalo Carrera Molina.</w:t>
      </w:r>
    </w:p>
    <w:p w14:paraId="579E750B" w14:textId="77777777" w:rsidR="00E625A8" w:rsidRPr="004549D6" w:rsidRDefault="001F6039">
      <w:pPr>
        <w:spacing w:after="0"/>
        <w:ind w:left="1134" w:right="1418"/>
        <w:jc w:val="both"/>
        <w:rPr>
          <w:rFonts w:ascii="Palatino Linotype" w:eastAsia="Palatino Linotype" w:hAnsi="Palatino Linotype" w:cs="Palatino Linotype"/>
          <w:i/>
          <w:iCs/>
          <w:color w:val="000000"/>
          <w:sz w:val="24"/>
          <w:szCs w:val="24"/>
        </w:rPr>
      </w:pPr>
      <w:r w:rsidRPr="004549D6">
        <w:rPr>
          <w:rFonts w:ascii="Palatino Linotype" w:eastAsia="Palatino Linotype" w:hAnsi="Palatino Linotype" w:cs="Palatino Linotype"/>
          <w:i/>
          <w:iCs/>
          <w:color w:val="000000"/>
          <w:sz w:val="24"/>
          <w:szCs w:val="24"/>
        </w:rPr>
        <w:t>Amparo directo 7/96. Pedro Vicente López Miro. 21 de febrero de 1996. Unanimidad de votos. Ponente: María Eugenia Estela Martínez Cardiel. Secretario: Enrique Baigts Muñoz.</w:t>
      </w:r>
    </w:p>
    <w:p w14:paraId="74FCFD89" w14:textId="77777777" w:rsidR="00E625A8" w:rsidRPr="004549D6" w:rsidRDefault="00E625A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897691B"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 xml:space="preserve">Así, en un acto de autoridad se cumple con la debida fundamentación cuando se cita el precepto legal aplicable al caso concreto y la debida motivación cuando se expresan las </w:t>
      </w:r>
      <w:r w:rsidRPr="004549D6">
        <w:rPr>
          <w:rFonts w:ascii="Palatino Linotype" w:eastAsia="Palatino Linotype" w:hAnsi="Palatino Linotype" w:cs="Palatino Linotype"/>
          <w:sz w:val="24"/>
          <w:szCs w:val="24"/>
        </w:rPr>
        <w:lastRenderedPageBreak/>
        <w:t>razones, motivos o circunstancias que tomó en cuenta la autoridad para adecuar el hecho a los fundamentos de derecho.</w:t>
      </w:r>
    </w:p>
    <w:p w14:paraId="53A7FFDB" w14:textId="77777777" w:rsidR="00E625A8" w:rsidRPr="004549D6" w:rsidRDefault="00E625A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F0F6699"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w:t>
      </w:r>
    </w:p>
    <w:p w14:paraId="3CDFE6F4" w14:textId="77777777" w:rsidR="00E625A8" w:rsidRPr="004549D6" w:rsidRDefault="00E625A8">
      <w:pPr>
        <w:rPr>
          <w:rFonts w:ascii="Palatino Linotype" w:eastAsia="Palatino Linotype" w:hAnsi="Palatino Linotype" w:cs="Palatino Linotype"/>
          <w:sz w:val="24"/>
          <w:szCs w:val="24"/>
        </w:rPr>
      </w:pPr>
    </w:p>
    <w:p w14:paraId="74AC03B7" w14:textId="77777777" w:rsidR="00E625A8" w:rsidRPr="004549D6" w:rsidRDefault="001F6039">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De este modo, la persona que se sienta afectada pueda impugnar la decisión, permitiéndole una real y auténtica defensa.</w:t>
      </w:r>
      <w:r w:rsidRPr="004549D6">
        <w:rPr>
          <w:rFonts w:ascii="Palatino Linotype" w:eastAsia="Palatino Linotype" w:hAnsi="Palatino Linotype" w:cs="Palatino Linotype"/>
          <w:color w:val="000000"/>
          <w:sz w:val="24"/>
          <w:szCs w:val="24"/>
        </w:rPr>
        <w:t xml:space="preserve"> </w:t>
      </w:r>
      <w:r w:rsidRPr="004549D6">
        <w:rPr>
          <w:rFonts w:ascii="Palatino Linotype" w:eastAsia="Palatino Linotype" w:hAnsi="Palatino Linotype" w:cs="Palatino Linotype"/>
          <w:sz w:val="24"/>
          <w:szCs w:val="24"/>
        </w:rPr>
        <w:t>En ese mismo sentido, el numeral trigésimo tercero fracción V de los Lineamientos Generales, precisa que para motivar la clasificación se deben acreditar las circunstancias de tiempo, modo y lugar.</w:t>
      </w:r>
    </w:p>
    <w:p w14:paraId="061784F6" w14:textId="77777777" w:rsidR="00E625A8" w:rsidRPr="004549D6" w:rsidRDefault="00E625A8">
      <w:pPr>
        <w:rPr>
          <w:rFonts w:ascii="Palatino Linotype" w:eastAsia="Palatino Linotype" w:hAnsi="Palatino Linotype" w:cs="Palatino Linotype"/>
          <w:sz w:val="24"/>
          <w:szCs w:val="24"/>
        </w:rPr>
      </w:pPr>
    </w:p>
    <w:p w14:paraId="4F54800C" w14:textId="77777777" w:rsidR="00E625A8" w:rsidRPr="004549D6" w:rsidRDefault="001F6039">
      <w:pPr>
        <w:numPr>
          <w:ilvl w:val="0"/>
          <w:numId w:val="12"/>
        </w:num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Por lo que si bien es cierto, en el ejercicio del derecho de acceso a la información, como todos los demás derechos, no es absoluto, encuentra su límite o restricción en la clasificación de la información, pero también lo es que, para toda restricción es necesario contar con la debida fundamentación y motivación, toda vez que, de lo contrario, entregar un documento en versión pública sin su debido acuerdo del comité de transparencia es una restricción ilegitima y se traduce en la entrega de un documento </w:t>
      </w:r>
      <w:r w:rsidRPr="004549D6">
        <w:rPr>
          <w:rFonts w:ascii="Palatino Linotype" w:eastAsia="Palatino Linotype" w:hAnsi="Palatino Linotype" w:cs="Palatino Linotype"/>
          <w:b/>
          <w:bCs/>
          <w:sz w:val="24"/>
          <w:szCs w:val="24"/>
        </w:rPr>
        <w:t>tachoneado, rayoneado e ilegible</w:t>
      </w:r>
      <w:r w:rsidRPr="004549D6">
        <w:rPr>
          <w:rFonts w:ascii="Palatino Linotype" w:eastAsia="Palatino Linotype" w:hAnsi="Palatino Linotype" w:cs="Palatino Linotype"/>
          <w:sz w:val="24"/>
          <w:szCs w:val="24"/>
        </w:rPr>
        <w:t xml:space="preserve"> causando un agravio directo al derecho del particular.</w:t>
      </w:r>
    </w:p>
    <w:p w14:paraId="77C12C6A" w14:textId="77777777" w:rsidR="00E625A8" w:rsidRPr="004549D6" w:rsidRDefault="00E625A8">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000000"/>
          <w:sz w:val="24"/>
          <w:szCs w:val="24"/>
        </w:rPr>
      </w:pPr>
    </w:p>
    <w:p w14:paraId="48D1D977" w14:textId="77777777" w:rsidR="00E625A8" w:rsidRPr="004549D6" w:rsidRDefault="001F6039">
      <w:pPr>
        <w:numPr>
          <w:ilvl w:val="0"/>
          <w:numId w:val="12"/>
        </w:num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 Tal y como ocurrió en el presente asunto en particular, toda vez que en respuesta se proporcionaron documentos con los que se pretende colmar el derecho del particular; sin embargo, no fueron acompañados por el acuerdo del Comité de Transparencia que sustente </w:t>
      </w:r>
      <w:r w:rsidRPr="004549D6">
        <w:rPr>
          <w:rFonts w:ascii="Palatino Linotype" w:eastAsia="Palatino Linotype" w:hAnsi="Palatino Linotype" w:cs="Palatino Linotype"/>
          <w:color w:val="000000"/>
          <w:sz w:val="24"/>
          <w:szCs w:val="24"/>
        </w:rPr>
        <w:lastRenderedPageBreak/>
        <w:t>las versiones públicas y que, en consecuencia, no se colmó en totalidad el derecho del particular y lo idóneo es ORDENAR al Sujeto Obligado entregue los acuerdos correspondientes.</w:t>
      </w:r>
    </w:p>
    <w:p w14:paraId="0494B34D" w14:textId="77777777" w:rsidR="00E625A8" w:rsidRPr="004549D6" w:rsidRDefault="001F6039">
      <w:pPr>
        <w:tabs>
          <w:tab w:val="left" w:pos="426"/>
        </w:tabs>
        <w:spacing w:before="240" w:line="360" w:lineRule="auto"/>
        <w:ind w:right="27"/>
        <w:jc w:val="both"/>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QUINTO. Vista a la Dirección General de Protección de Datos Personales.</w:t>
      </w:r>
    </w:p>
    <w:p w14:paraId="57AF40DA" w14:textId="77777777" w:rsidR="00E625A8" w:rsidRPr="004549D6" w:rsidRDefault="001F6039" w:rsidP="006061F6">
      <w:pPr>
        <w:numPr>
          <w:ilvl w:val="0"/>
          <w:numId w:val="19"/>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color w:val="000000"/>
          <w:sz w:val="24"/>
          <w:szCs w:val="24"/>
        </w:rPr>
        <w:t>Es</w:t>
      </w:r>
      <w:r w:rsidRPr="004549D6">
        <w:rPr>
          <w:rFonts w:ascii="Palatino Linotype" w:eastAsia="Palatino Linotype" w:hAnsi="Palatino Linotype" w:cs="Palatino Linotype"/>
          <w:sz w:val="24"/>
          <w:szCs w:val="24"/>
        </w:rPr>
        <w:t xml:space="preserve"> necesario resaltar que los  recursos de revisión previstos en la Ley de la materia no son el medio para investigar y, en su caso, sancionar a servidores públicos por la falta de cuidado de la protección de datos personales; es así que, de la información remitida en respuesta a la solicitud, se aprecia que se dejaron a la vista datos personales susceptibles de ser clasificados como confidenciales, mismos que de manera enunciativa más no limitativa son la </w:t>
      </w:r>
      <w:r w:rsidRPr="004549D6">
        <w:rPr>
          <w:rFonts w:ascii="Palatino Linotype" w:eastAsia="Palatino Linotype" w:hAnsi="Palatino Linotype" w:cs="Palatino Linotype"/>
          <w:sz w:val="24"/>
          <w:szCs w:val="24"/>
        </w:rPr>
        <w:tab/>
        <w:t>CURP, fecha de nacimiento, datos clínicos, firma en documentos que acreditan escolaridad del servidor público.</w:t>
      </w:r>
    </w:p>
    <w:p w14:paraId="7957C7A7" w14:textId="77777777" w:rsidR="00E625A8" w:rsidRPr="004549D6" w:rsidRDefault="00E625A8">
      <w:pPr>
        <w:tabs>
          <w:tab w:val="left" w:pos="709"/>
        </w:tabs>
        <w:spacing w:line="360" w:lineRule="auto"/>
        <w:ind w:right="27"/>
        <w:jc w:val="both"/>
        <w:rPr>
          <w:rFonts w:ascii="Palatino Linotype" w:eastAsia="Palatino Linotype" w:hAnsi="Palatino Linotype" w:cs="Palatino Linotype"/>
          <w:sz w:val="24"/>
          <w:szCs w:val="24"/>
        </w:rPr>
      </w:pPr>
    </w:p>
    <w:p w14:paraId="3793576A" w14:textId="77777777" w:rsidR="00E625A8" w:rsidRPr="004549D6" w:rsidRDefault="001F6039">
      <w:pPr>
        <w:numPr>
          <w:ilvl w:val="0"/>
          <w:numId w:val="19"/>
        </w:numPr>
        <w:spacing w:after="0" w:line="360" w:lineRule="auto"/>
        <w:ind w:left="0" w:right="27"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sz w:val="24"/>
          <w:szCs w:val="24"/>
        </w:rPr>
        <w:t>Por ello, es conveniente señalar las fracciones XIV, XXII, XXIII y XXV, del artículo 82, de la Ley de Protección de Datos Personales en Posesión de Sujetos Obligados del Estado de México y Municipios, que establece:</w:t>
      </w:r>
    </w:p>
    <w:p w14:paraId="0CAFF3BF"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b/>
          <w:bCs/>
          <w:i/>
          <w:iCs/>
          <w:sz w:val="24"/>
          <w:szCs w:val="24"/>
        </w:rPr>
      </w:pPr>
      <w:r w:rsidRPr="004549D6">
        <w:rPr>
          <w:rFonts w:ascii="Palatino Linotype" w:eastAsia="Palatino Linotype" w:hAnsi="Palatino Linotype" w:cs="Palatino Linotype"/>
          <w:b/>
          <w:bCs/>
          <w:i/>
          <w:iCs/>
          <w:sz w:val="24"/>
          <w:szCs w:val="24"/>
        </w:rPr>
        <w:t xml:space="preserve">Atribuciones del Instituto </w:t>
      </w:r>
    </w:p>
    <w:p w14:paraId="5526A5DA"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Artículo 82.</w:t>
      </w:r>
      <w:r w:rsidRPr="004549D6">
        <w:rPr>
          <w:rFonts w:ascii="Palatino Linotype" w:eastAsia="Palatino Linotype" w:hAnsi="Palatino Linotype" w:cs="Palatino Linotype"/>
          <w:i/>
          <w:iCs/>
          <w:sz w:val="24"/>
          <w:szCs w:val="24"/>
        </w:rPr>
        <w:t xml:space="preserve"> El Instituto, además de las atribuciones encomendadas por la Ley de Transparencia y normatividad aplicable, tendrá las atribuciones siguientes:</w:t>
      </w:r>
    </w:p>
    <w:p w14:paraId="46B57044"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p>
    <w:p w14:paraId="39A0B2E6"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XIV.</w:t>
      </w:r>
      <w:r w:rsidRPr="004549D6">
        <w:rPr>
          <w:rFonts w:ascii="Palatino Linotype" w:eastAsia="Palatino Linotype" w:hAnsi="Palatino Linotype" w:cs="Palatino Linotype"/>
          <w:i/>
          <w:iCs/>
          <w:sz w:val="24"/>
          <w:szCs w:val="24"/>
        </w:rPr>
        <w:t xml:space="preserve"> </w:t>
      </w:r>
      <w:r w:rsidRPr="004549D6">
        <w:rPr>
          <w:rFonts w:ascii="Palatino Linotype" w:eastAsia="Palatino Linotype" w:hAnsi="Palatino Linotype" w:cs="Palatino Linotype"/>
          <w:b/>
          <w:bCs/>
          <w:i/>
          <w:iCs/>
          <w:sz w:val="24"/>
          <w:szCs w:val="24"/>
        </w:rPr>
        <w:t>Formular observaciones y recomendaciones</w:t>
      </w:r>
      <w:r w:rsidRPr="004549D6">
        <w:rPr>
          <w:rFonts w:ascii="Palatino Linotype" w:eastAsia="Palatino Linotype" w:hAnsi="Palatino Linotype" w:cs="Palatino Linotype"/>
          <w:i/>
          <w:iCs/>
          <w:sz w:val="24"/>
          <w:szCs w:val="24"/>
        </w:rPr>
        <w:t xml:space="preserve"> a los sujetos obligados que incumplan esta Ley.</w:t>
      </w:r>
    </w:p>
    <w:p w14:paraId="64FC055B"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p>
    <w:p w14:paraId="3366722A"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XXII.</w:t>
      </w:r>
      <w:r w:rsidRPr="004549D6">
        <w:rPr>
          <w:rFonts w:ascii="Palatino Linotype" w:eastAsia="Palatino Linotype" w:hAnsi="Palatino Linotype" w:cs="Palatino Linotype"/>
          <w:i/>
          <w:iCs/>
          <w:sz w:val="24"/>
          <w:szCs w:val="24"/>
        </w:rPr>
        <w:t xml:space="preserve"> </w:t>
      </w:r>
      <w:r w:rsidRPr="004549D6">
        <w:rPr>
          <w:rFonts w:ascii="Palatino Linotype" w:eastAsia="Palatino Linotype" w:hAnsi="Palatino Linotype" w:cs="Palatino Linotype"/>
          <w:b/>
          <w:bCs/>
          <w:i/>
          <w:iCs/>
          <w:sz w:val="24"/>
          <w:szCs w:val="24"/>
        </w:rPr>
        <w:t>Verificar el cumplimiento</w:t>
      </w:r>
      <w:r w:rsidRPr="004549D6">
        <w:rPr>
          <w:rFonts w:ascii="Palatino Linotype" w:eastAsia="Palatino Linotype" w:hAnsi="Palatino Linotype" w:cs="Palatino Linotype"/>
          <w:i/>
          <w:iCs/>
          <w:sz w:val="24"/>
          <w:szCs w:val="24"/>
        </w:rPr>
        <w:t xml:space="preserve"> de las disposiciones previstas en esta Ley a través de los procedimientos de revisión que resulten compatibles con las disposiciones de esta Ley.</w:t>
      </w:r>
    </w:p>
    <w:p w14:paraId="7C3683A1"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lastRenderedPageBreak/>
        <w:t>XXIII.</w:t>
      </w:r>
      <w:r w:rsidRPr="004549D6">
        <w:rPr>
          <w:rFonts w:ascii="Palatino Linotype" w:eastAsia="Palatino Linotype" w:hAnsi="Palatino Linotype" w:cs="Palatino Linotype"/>
          <w:i/>
          <w:iCs/>
          <w:sz w:val="24"/>
          <w:szCs w:val="24"/>
        </w:rPr>
        <w:t xml:space="preserve"> </w:t>
      </w:r>
      <w:r w:rsidRPr="004549D6">
        <w:rPr>
          <w:rFonts w:ascii="Palatino Linotype" w:eastAsia="Palatino Linotype" w:hAnsi="Palatino Linotype" w:cs="Palatino Linotype"/>
          <w:b/>
          <w:bCs/>
          <w:i/>
          <w:iCs/>
          <w:sz w:val="24"/>
          <w:szCs w:val="24"/>
        </w:rPr>
        <w:t>Implementar</w:t>
      </w:r>
      <w:r w:rsidRPr="004549D6">
        <w:rPr>
          <w:rFonts w:ascii="Palatino Linotype" w:eastAsia="Palatino Linotype" w:hAnsi="Palatino Linotype" w:cs="Palatino Linotype"/>
          <w:i/>
          <w:iCs/>
          <w:sz w:val="24"/>
          <w:szCs w:val="24"/>
        </w:rPr>
        <w:t xml:space="preserve"> los </w:t>
      </w:r>
      <w:r w:rsidRPr="004549D6">
        <w:rPr>
          <w:rFonts w:ascii="Palatino Linotype" w:eastAsia="Palatino Linotype" w:hAnsi="Palatino Linotype" w:cs="Palatino Linotype"/>
          <w:b/>
          <w:bCs/>
          <w:i/>
          <w:iCs/>
          <w:sz w:val="24"/>
          <w:szCs w:val="24"/>
        </w:rPr>
        <w:t>procedimientos</w:t>
      </w:r>
      <w:r w:rsidRPr="004549D6">
        <w:rPr>
          <w:rFonts w:ascii="Palatino Linotype" w:eastAsia="Palatino Linotype" w:hAnsi="Palatino Linotype" w:cs="Palatino Linotype"/>
          <w:i/>
          <w:iCs/>
          <w:sz w:val="24"/>
          <w:szCs w:val="24"/>
        </w:rPr>
        <w:t xml:space="preserve"> que resulten necesarios </w:t>
      </w:r>
      <w:r w:rsidRPr="004549D6">
        <w:rPr>
          <w:rFonts w:ascii="Palatino Linotype" w:eastAsia="Palatino Linotype" w:hAnsi="Palatino Linotype" w:cs="Palatino Linotype"/>
          <w:b/>
          <w:bCs/>
          <w:i/>
          <w:iCs/>
          <w:sz w:val="24"/>
          <w:szCs w:val="24"/>
        </w:rPr>
        <w:t xml:space="preserve">para el cumplimiento </w:t>
      </w:r>
      <w:r w:rsidRPr="004549D6">
        <w:rPr>
          <w:rFonts w:ascii="Palatino Linotype" w:eastAsia="Palatino Linotype" w:hAnsi="Palatino Linotype" w:cs="Palatino Linotype"/>
          <w:i/>
          <w:iCs/>
          <w:sz w:val="24"/>
          <w:szCs w:val="24"/>
        </w:rPr>
        <w:t>de las disposiciones de esta Ley y para asegurar la protección de datos personales de los titulares. (…)</w:t>
      </w:r>
    </w:p>
    <w:p w14:paraId="5264B78A"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b/>
          <w:bCs/>
          <w:i/>
          <w:iCs/>
          <w:sz w:val="24"/>
          <w:szCs w:val="24"/>
        </w:rPr>
        <w:t>XXV.</w:t>
      </w:r>
      <w:r w:rsidRPr="004549D6">
        <w:rPr>
          <w:rFonts w:ascii="Palatino Linotype" w:eastAsia="Palatino Linotype" w:hAnsi="Palatino Linotype" w:cs="Palatino Linotype"/>
          <w:i/>
          <w:iCs/>
          <w:sz w:val="24"/>
          <w:szCs w:val="24"/>
        </w:rPr>
        <w:t xml:space="preserve"> </w:t>
      </w:r>
      <w:r w:rsidRPr="004549D6">
        <w:rPr>
          <w:rFonts w:ascii="Palatino Linotype" w:eastAsia="Palatino Linotype" w:hAnsi="Palatino Linotype" w:cs="Palatino Linotype"/>
          <w:b/>
          <w:bCs/>
          <w:i/>
          <w:iCs/>
          <w:sz w:val="24"/>
          <w:szCs w:val="24"/>
        </w:rPr>
        <w:t>Investigar</w:t>
      </w:r>
      <w:r w:rsidRPr="004549D6">
        <w:rPr>
          <w:rFonts w:ascii="Palatino Linotype" w:eastAsia="Palatino Linotype" w:hAnsi="Palatino Linotype" w:cs="Palatino Linotype"/>
          <w:i/>
          <w:iCs/>
          <w:sz w:val="24"/>
          <w:szCs w:val="24"/>
        </w:rPr>
        <w:t xml:space="preserve"> las </w:t>
      </w:r>
      <w:r w:rsidRPr="004549D6">
        <w:rPr>
          <w:rFonts w:ascii="Palatino Linotype" w:eastAsia="Palatino Linotype" w:hAnsi="Palatino Linotype" w:cs="Palatino Linotype"/>
          <w:b/>
          <w:bCs/>
          <w:i/>
          <w:iCs/>
          <w:sz w:val="24"/>
          <w:szCs w:val="24"/>
        </w:rPr>
        <w:t>posibles violaciones</w:t>
      </w:r>
      <w:r w:rsidRPr="004549D6">
        <w:rPr>
          <w:rFonts w:ascii="Palatino Linotype" w:eastAsia="Palatino Linotype" w:hAnsi="Palatino Linotype" w:cs="Palatino Linotype"/>
          <w:i/>
          <w:iCs/>
          <w:sz w:val="24"/>
          <w:szCs w:val="24"/>
        </w:rPr>
        <w:t xml:space="preserve"> a la seguridad de los datos personales a fin de determinar la práctica de verificaciones.</w:t>
      </w:r>
    </w:p>
    <w:p w14:paraId="7CE2134E"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t>(…)”</w:t>
      </w:r>
    </w:p>
    <w:p w14:paraId="080B7FF1" w14:textId="77777777" w:rsidR="00E625A8" w:rsidRPr="004549D6" w:rsidRDefault="001F6039">
      <w:pPr>
        <w:tabs>
          <w:tab w:val="left" w:pos="142"/>
          <w:tab w:val="left" w:pos="284"/>
          <w:tab w:val="left" w:pos="993"/>
        </w:tabs>
        <w:ind w:left="1134" w:right="27"/>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(Énfasis añadido)</w:t>
      </w:r>
    </w:p>
    <w:p w14:paraId="3C37E38B" w14:textId="77777777" w:rsidR="00E625A8" w:rsidRPr="004549D6" w:rsidRDefault="00E625A8">
      <w:pPr>
        <w:ind w:left="1134" w:right="27"/>
        <w:jc w:val="both"/>
        <w:rPr>
          <w:rFonts w:ascii="Palatino Linotype" w:eastAsia="Palatino Linotype" w:hAnsi="Palatino Linotype" w:cs="Palatino Linotype"/>
          <w:color w:val="000000"/>
          <w:sz w:val="24"/>
          <w:szCs w:val="24"/>
        </w:rPr>
      </w:pPr>
    </w:p>
    <w:p w14:paraId="47211EAB" w14:textId="77777777" w:rsidR="00E625A8" w:rsidRPr="004549D6" w:rsidRDefault="001F6039">
      <w:pPr>
        <w:numPr>
          <w:ilvl w:val="0"/>
          <w:numId w:val="19"/>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Por </w:t>
      </w:r>
      <w:r w:rsidRPr="004549D6">
        <w:rPr>
          <w:rFonts w:ascii="Palatino Linotype" w:eastAsia="Palatino Linotype" w:hAnsi="Palatino Linotype" w:cs="Palatino Linotype"/>
          <w:color w:val="000000"/>
          <w:sz w:val="24"/>
          <w:szCs w:val="24"/>
        </w:rPr>
        <w:t xml:space="preserve">lo tanto, es menester dar vista a la Dirección General de Protección de Datos Personales de este Instituto para que en ejercicio de sus atribuciones atienda las directivas marcadas en la propia Ley de la materia, con fundamento en el artículo 82 de la Ley de la materia, el cual señala la atribución de este Órgano Garante para </w:t>
      </w:r>
      <w:r w:rsidRPr="004549D6">
        <w:rPr>
          <w:rFonts w:ascii="Palatino Linotype" w:eastAsia="Palatino Linotype" w:hAnsi="Palatino Linotype" w:cs="Palatino Linotype"/>
          <w:sz w:val="24"/>
          <w:szCs w:val="24"/>
        </w:rPr>
        <w:t>Investigar las posibles violaciones a la seguridad de los datos personales a fin de determinar la práctica de verificaciones.</w:t>
      </w:r>
    </w:p>
    <w:p w14:paraId="5CA2516C" w14:textId="77777777" w:rsidR="00E625A8" w:rsidRPr="004549D6" w:rsidRDefault="00E625A8">
      <w:pPr>
        <w:spacing w:line="360" w:lineRule="auto"/>
        <w:ind w:right="27"/>
        <w:jc w:val="both"/>
        <w:rPr>
          <w:rFonts w:ascii="Palatino Linotype" w:eastAsia="Palatino Linotype" w:hAnsi="Palatino Linotype" w:cs="Palatino Linotype"/>
          <w:sz w:val="24"/>
          <w:szCs w:val="24"/>
        </w:rPr>
      </w:pPr>
    </w:p>
    <w:p w14:paraId="5A1A8B21" w14:textId="77777777" w:rsidR="00E625A8" w:rsidRPr="004549D6" w:rsidRDefault="001F6039">
      <w:pPr>
        <w:numPr>
          <w:ilvl w:val="0"/>
          <w:numId w:val="19"/>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Por último y no menos importante, se debe enfatizar que tal y como se mencionó en este considerando, el Sujeto Obligado proporcionó información que debió ser clasificada como confidencial, es decir, dejó a la vista datos personales concernientes a la vida privada de los servidores públicos. Por dicha información es menester hacer del conocimiento de la persona que solicitó la información, que ahora se encuentra sujeto a la </w:t>
      </w:r>
      <w:r w:rsidRPr="004549D6">
        <w:rPr>
          <w:rFonts w:ascii="Palatino Linotype" w:eastAsia="Palatino Linotype" w:hAnsi="Palatino Linotype" w:cs="Palatino Linotype"/>
          <w:b/>
          <w:bCs/>
          <w:sz w:val="24"/>
          <w:szCs w:val="24"/>
        </w:rPr>
        <w:t xml:space="preserve">LEY FEDERAL DE PROTECCIÓN DE DATOS PERSONALES EN POSESIÓN DE LOS PARTICULARES, misma que  a la fecha de la solicitud de información se encontraba vigente y que en </w:t>
      </w:r>
      <w:r w:rsidRPr="004549D6">
        <w:rPr>
          <w:rFonts w:ascii="Palatino Linotype" w:eastAsia="Palatino Linotype" w:hAnsi="Palatino Linotype" w:cs="Palatino Linotype"/>
          <w:sz w:val="24"/>
          <w:szCs w:val="24"/>
        </w:rPr>
        <w:t>su artículo 1 lo siguiente señala lo siguiente:</w:t>
      </w:r>
    </w:p>
    <w:p w14:paraId="203E8412" w14:textId="77777777" w:rsidR="00E625A8" w:rsidRPr="004549D6" w:rsidRDefault="001F6039">
      <w:pPr>
        <w:ind w:left="1134" w:right="1134"/>
        <w:jc w:val="both"/>
        <w:rPr>
          <w:rFonts w:ascii="Palatino Linotype" w:eastAsia="Palatino Linotype" w:hAnsi="Palatino Linotype" w:cs="Palatino Linotype"/>
          <w:i/>
          <w:iCs/>
          <w:sz w:val="24"/>
          <w:szCs w:val="24"/>
        </w:rPr>
      </w:pPr>
      <w:r w:rsidRPr="004549D6">
        <w:rPr>
          <w:rFonts w:ascii="Palatino Linotype" w:eastAsia="Palatino Linotype" w:hAnsi="Palatino Linotype" w:cs="Palatino Linotype"/>
          <w:i/>
          <w:iCs/>
          <w:sz w:val="24"/>
          <w:szCs w:val="24"/>
        </w:rPr>
        <w:lastRenderedPageBreak/>
        <w:t xml:space="preserve">Artículo 1.- La presente Ley es de orden público y de observancia general en toda la República y </w:t>
      </w:r>
      <w:r w:rsidRPr="004549D6">
        <w:rPr>
          <w:rFonts w:ascii="Palatino Linotype" w:eastAsia="Palatino Linotype" w:hAnsi="Palatino Linotype" w:cs="Palatino Linotype"/>
          <w:b/>
          <w:bCs/>
          <w:i/>
          <w:iCs/>
          <w:sz w:val="24"/>
          <w:szCs w:val="24"/>
        </w:rPr>
        <w:t>tiene por objeto la protección de los datos personales en posesión de los particulares</w:t>
      </w:r>
      <w:r w:rsidRPr="004549D6">
        <w:rPr>
          <w:rFonts w:ascii="Palatino Linotype" w:eastAsia="Palatino Linotype" w:hAnsi="Palatino Linotype" w:cs="Palatino Linotype"/>
          <w:i/>
          <w:iCs/>
          <w:sz w:val="24"/>
          <w:szCs w:val="24"/>
        </w:rPr>
        <w:t>, con la finalidad de regular su tratamiento legítimo, controlado e informado, a efecto de garantizar la privacidad y el derecho a la autodeterminación informativa de las personas.</w:t>
      </w:r>
    </w:p>
    <w:p w14:paraId="195D6AF4" w14:textId="77777777" w:rsidR="00E625A8" w:rsidRPr="004549D6" w:rsidRDefault="00E625A8">
      <w:pPr>
        <w:ind w:left="1134" w:right="27" w:hanging="708"/>
        <w:jc w:val="both"/>
        <w:rPr>
          <w:rFonts w:ascii="Palatino Linotype" w:eastAsia="Palatino Linotype" w:hAnsi="Palatino Linotype" w:cs="Palatino Linotype"/>
          <w:sz w:val="24"/>
          <w:szCs w:val="24"/>
        </w:rPr>
      </w:pPr>
    </w:p>
    <w:p w14:paraId="2FDCBFE6" w14:textId="77777777" w:rsidR="00E625A8" w:rsidRPr="004549D6" w:rsidRDefault="001F6039">
      <w:pPr>
        <w:numPr>
          <w:ilvl w:val="0"/>
          <w:numId w:val="19"/>
        </w:numPr>
        <w:spacing w:after="0" w:line="360" w:lineRule="auto"/>
        <w:ind w:left="0" w:right="27" w:firstLine="0"/>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En ese escenario, el particular deberá de ser responsable en el buen uso de la información proporcionada, pues se trata de datos personales que le fueron proporcionados por haber incurrido en una probable violación a la privacidad de las personas.</w:t>
      </w:r>
    </w:p>
    <w:p w14:paraId="299A4CA4" w14:textId="77777777" w:rsidR="006A3E86" w:rsidRDefault="006A3E86">
      <w:pPr>
        <w:keepNext/>
        <w:keepLines/>
        <w:spacing w:line="360" w:lineRule="auto"/>
        <w:rPr>
          <w:rFonts w:ascii="Palatino Linotype" w:eastAsia="Palatino Linotype" w:hAnsi="Palatino Linotype" w:cs="Palatino Linotype"/>
          <w:b/>
          <w:bCs/>
          <w:color w:val="000000"/>
          <w:sz w:val="24"/>
          <w:szCs w:val="24"/>
        </w:rPr>
      </w:pPr>
    </w:p>
    <w:p w14:paraId="0DFDEB82" w14:textId="77777777" w:rsidR="00E625A8" w:rsidRPr="004549D6" w:rsidRDefault="001F6039">
      <w:pPr>
        <w:keepNext/>
        <w:keepLines/>
        <w:spacing w:line="360" w:lineRule="auto"/>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SEXTO. De la versión pública.</w:t>
      </w:r>
    </w:p>
    <w:p w14:paraId="6140895B" w14:textId="77777777" w:rsidR="00E625A8" w:rsidRDefault="001F6039" w:rsidP="006061F6">
      <w:pPr>
        <w:numPr>
          <w:ilvl w:val="0"/>
          <w:numId w:val="4"/>
        </w:numPr>
        <w:tabs>
          <w:tab w:val="left" w:pos="284"/>
        </w:tabs>
        <w:spacing w:after="0" w:line="360" w:lineRule="auto"/>
        <w:ind w:left="0" w:right="49" w:firstLine="0"/>
        <w:jc w:val="both"/>
        <w:rPr>
          <w:rFonts w:ascii="Palatino Linotype" w:eastAsia="Palatino Linotype" w:hAnsi="Palatino Linotype" w:cs="Palatino Linotype"/>
          <w:color w:val="000000"/>
          <w:sz w:val="24"/>
          <w:szCs w:val="24"/>
        </w:rPr>
      </w:pPr>
      <w:bookmarkStart w:id="7" w:name="_heading=h.8porszv8ww1h" w:colFirst="0" w:colLast="0"/>
      <w:bookmarkEnd w:id="7"/>
      <w:r w:rsidRPr="004549D6">
        <w:rPr>
          <w:rFonts w:ascii="Palatino Linotype" w:eastAsia="Palatino Linotype" w:hAnsi="Palatino Linotype" w:cs="Palatino Linotype"/>
          <w:color w:val="000000"/>
          <w:sz w:val="24"/>
          <w:szCs w:val="24"/>
        </w:rPr>
        <w:t xml:space="preserve">Debe destacarse, que debido a la información solicitada por el </w:t>
      </w:r>
      <w:r w:rsidRPr="004549D6">
        <w:rPr>
          <w:rFonts w:ascii="Palatino Linotype" w:eastAsia="Palatino Linotype" w:hAnsi="Palatino Linotype" w:cs="Palatino Linotype"/>
          <w:b/>
          <w:bCs/>
          <w:color w:val="000000"/>
          <w:sz w:val="24"/>
          <w:szCs w:val="24"/>
        </w:rPr>
        <w:t xml:space="preserve">RECURRENTE, </w:t>
      </w:r>
      <w:r w:rsidRPr="004549D6">
        <w:rPr>
          <w:rFonts w:ascii="Palatino Linotype" w:eastAsia="Palatino Linotype" w:hAnsi="Palatino Linotype" w:cs="Palatino Linotype"/>
          <w:color w:val="000000"/>
          <w:sz w:val="24"/>
          <w:szCs w:val="24"/>
        </w:rPr>
        <w:t xml:space="preserve">pueden obrar datos personales susceptibles de protegerse, así como información susceptible de clasificarse como confidencial,  por lo que, el </w:t>
      </w:r>
      <w:r w:rsidRPr="004549D6">
        <w:rPr>
          <w:rFonts w:ascii="Palatino Linotype" w:eastAsia="Palatino Linotype" w:hAnsi="Palatino Linotype" w:cs="Palatino Linotype"/>
          <w:b/>
          <w:bCs/>
          <w:color w:val="000000"/>
          <w:sz w:val="24"/>
          <w:szCs w:val="24"/>
        </w:rPr>
        <w:t xml:space="preserve">SUJETO OBLIGADO </w:t>
      </w:r>
      <w:r w:rsidRPr="004549D6">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14:paraId="1392F4EA" w14:textId="77777777" w:rsidR="00BE10D6" w:rsidRPr="004549D6" w:rsidRDefault="00BE10D6" w:rsidP="00BE10D6">
      <w:pPr>
        <w:tabs>
          <w:tab w:val="left" w:pos="284"/>
        </w:tabs>
        <w:spacing w:after="0" w:line="360" w:lineRule="auto"/>
        <w:ind w:right="49"/>
        <w:jc w:val="both"/>
        <w:rPr>
          <w:rFonts w:ascii="Palatino Linotype" w:eastAsia="Palatino Linotype" w:hAnsi="Palatino Linotype" w:cs="Palatino Linotype"/>
          <w:color w:val="000000"/>
          <w:sz w:val="24"/>
          <w:szCs w:val="24"/>
        </w:rPr>
      </w:pPr>
    </w:p>
    <w:p w14:paraId="1B79B58C" w14:textId="77777777" w:rsidR="00E625A8" w:rsidRDefault="001F6039">
      <w:pPr>
        <w:numPr>
          <w:ilvl w:val="0"/>
          <w:numId w:val="4"/>
        </w:numPr>
        <w:tabs>
          <w:tab w:val="left" w:pos="284"/>
        </w:tabs>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No pasa desapercibido para este Órgano Garante que los sujetos obligados</w:t>
      </w:r>
      <w:r w:rsidRPr="004549D6">
        <w:rPr>
          <w:rFonts w:ascii="Palatino Linotype" w:eastAsia="Palatino Linotype" w:hAnsi="Palatino Linotype" w:cs="Palatino Linotype"/>
          <w:b/>
          <w:bCs/>
          <w:color w:val="000000"/>
          <w:sz w:val="24"/>
          <w:szCs w:val="24"/>
        </w:rPr>
        <w:t xml:space="preserve"> </w:t>
      </w:r>
      <w:r w:rsidRPr="004549D6">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53A04194" w14:textId="77777777" w:rsidR="00BE10D6" w:rsidRDefault="00BE10D6" w:rsidP="00BE10D6">
      <w:pPr>
        <w:pStyle w:val="Prrafodelista"/>
        <w:rPr>
          <w:rFonts w:ascii="Palatino Linotype" w:eastAsia="Palatino Linotype" w:hAnsi="Palatino Linotype" w:cs="Palatino Linotype"/>
          <w:color w:val="000000"/>
        </w:rPr>
      </w:pPr>
    </w:p>
    <w:p w14:paraId="133AD8EA" w14:textId="77777777" w:rsidR="00BE10D6" w:rsidRPr="004549D6" w:rsidRDefault="00BE10D6" w:rsidP="00BE10D6">
      <w:pPr>
        <w:tabs>
          <w:tab w:val="left" w:pos="284"/>
        </w:tabs>
        <w:spacing w:after="0" w:line="360" w:lineRule="auto"/>
        <w:ind w:right="49"/>
        <w:jc w:val="both"/>
        <w:rPr>
          <w:rFonts w:ascii="Palatino Linotype" w:eastAsia="Palatino Linotype" w:hAnsi="Palatino Linotype" w:cs="Palatino Linotype"/>
          <w:color w:val="000000"/>
          <w:sz w:val="24"/>
          <w:szCs w:val="24"/>
        </w:rPr>
      </w:pPr>
    </w:p>
    <w:tbl>
      <w:tblPr>
        <w:tblStyle w:val="a2"/>
        <w:tblW w:w="978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2"/>
        <w:gridCol w:w="6810"/>
      </w:tblGrid>
      <w:tr w:rsidR="00E625A8" w:rsidRPr="004549D6" w14:paraId="19BE923A" w14:textId="77777777" w:rsidTr="006A3E86">
        <w:tc>
          <w:tcPr>
            <w:tcW w:w="2972" w:type="dxa"/>
            <w:vAlign w:val="center"/>
          </w:tcPr>
          <w:p w14:paraId="2736745B" w14:textId="68BB0DB7" w:rsidR="00E625A8" w:rsidRPr="004549D6" w:rsidRDefault="001F6039" w:rsidP="006A3E86">
            <w:pPr>
              <w:spacing w:line="360" w:lineRule="auto"/>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lastRenderedPageBreak/>
              <w:t>a) Requisitos previos.</w:t>
            </w:r>
          </w:p>
        </w:tc>
        <w:tc>
          <w:tcPr>
            <w:tcW w:w="6810" w:type="dxa"/>
          </w:tcPr>
          <w:p w14:paraId="6F1A9F3F"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6B5C2C12"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Al hacerlo tienen que precisar de qué información se trata, señalando el supuesto de clasificación (confidencialidad o reserva).</w:t>
            </w:r>
          </w:p>
          <w:p w14:paraId="4A1395DD"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Además, se debe señalar el procedimiento, de los tres que establecen el artículo 132 de la Ley Estatal.</w:t>
            </w:r>
          </w:p>
          <w:p w14:paraId="6C692BB4" w14:textId="77777777" w:rsidR="00E625A8" w:rsidRPr="004549D6" w:rsidRDefault="001F6039">
            <w:pPr>
              <w:tabs>
                <w:tab w:val="left" w:pos="284"/>
              </w:tabs>
              <w:spacing w:line="276" w:lineRule="auto"/>
              <w:jc w:val="both"/>
              <w:rPr>
                <w:rFonts w:ascii="Palatino Linotype" w:eastAsia="Palatino Linotype" w:hAnsi="Palatino Linotype" w:cs="Palatino Linotype"/>
                <w:i/>
                <w:iCs/>
              </w:rPr>
            </w:pPr>
            <w:r w:rsidRPr="004549D6">
              <w:rPr>
                <w:rFonts w:ascii="Palatino Linotype" w:eastAsia="Palatino Linotype" w:hAnsi="Palatino Linotype" w:cs="Palatino Linotype"/>
                <w:i/>
                <w:iCs/>
                <w:color w:val="000000"/>
                <w:sz w:val="24"/>
                <w:szCs w:val="24"/>
              </w:rPr>
              <w:t xml:space="preserve">El último de estos requisitos previos consiste en que no se pueden emitir acuerdos de carácter general ni particular, esto es, </w:t>
            </w:r>
            <w:r w:rsidRPr="004549D6">
              <w:rPr>
                <w:rFonts w:ascii="Palatino Linotype" w:eastAsia="Palatino Linotype" w:hAnsi="Palatino Linotype" w:cs="Palatino Linotype"/>
                <w:i/>
                <w:iCs/>
                <w:color w:val="000000"/>
                <w:sz w:val="24"/>
                <w:szCs w:val="24"/>
                <w:u w:val="single"/>
              </w:rPr>
              <w:t>no se puede hacer un acuerdo para clasificar de manera general todos los documentos de un expediente o área, sin</w:t>
            </w:r>
            <w:r w:rsidRPr="004549D6">
              <w:rPr>
                <w:rFonts w:ascii="Palatino Linotype" w:eastAsia="Palatino Linotype" w:hAnsi="Palatino Linotype" w:cs="Palatino Linotype"/>
                <w:i/>
                <w:iCs/>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E625A8" w:rsidRPr="004549D6" w14:paraId="7D7F3148" w14:textId="77777777" w:rsidTr="006A3E86">
        <w:tc>
          <w:tcPr>
            <w:tcW w:w="2972" w:type="dxa"/>
            <w:shd w:val="clear" w:color="auto" w:fill="D9D9D9"/>
            <w:vAlign w:val="center"/>
          </w:tcPr>
          <w:p w14:paraId="3EFC7C09" w14:textId="77777777" w:rsidR="00E625A8" w:rsidRPr="004549D6" w:rsidRDefault="001F6039">
            <w:pPr>
              <w:tabs>
                <w:tab w:val="left" w:pos="284"/>
              </w:tabs>
              <w:spacing w:line="360" w:lineRule="auto"/>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b) Supuestos de clasificación.</w:t>
            </w:r>
          </w:p>
        </w:tc>
        <w:tc>
          <w:tcPr>
            <w:tcW w:w="6810" w:type="dxa"/>
            <w:shd w:val="clear" w:color="auto" w:fill="D9D9D9"/>
          </w:tcPr>
          <w:p w14:paraId="772F2B40"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Las disposiciones constitucionales y legales en la materia establecen los dos supuestos generales para clasificar la información: por reserva y por confidencialidad.</w:t>
            </w:r>
          </w:p>
          <w:p w14:paraId="679B291D"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468528E8" w14:textId="77777777" w:rsidR="00E625A8" w:rsidRPr="004549D6" w:rsidRDefault="001F6039">
            <w:pPr>
              <w:tabs>
                <w:tab w:val="left" w:pos="284"/>
              </w:tabs>
              <w:spacing w:line="276" w:lineRule="auto"/>
              <w:jc w:val="both"/>
              <w:rPr>
                <w:rFonts w:ascii="Palatino Linotype" w:eastAsia="Palatino Linotype" w:hAnsi="Palatino Linotype" w:cs="Palatino Linotype"/>
                <w:i/>
                <w:iCs/>
              </w:rPr>
            </w:pPr>
            <w:r w:rsidRPr="004549D6">
              <w:rPr>
                <w:rFonts w:ascii="Palatino Linotype" w:eastAsia="Palatino Linotype" w:hAnsi="Palatino Linotype" w:cs="Palatino Linotype"/>
                <w:i/>
                <w:iCs/>
                <w:color w:val="000000"/>
                <w:sz w:val="24"/>
                <w:szCs w:val="24"/>
              </w:rPr>
              <w:t xml:space="preserve">El </w:t>
            </w:r>
            <w:r w:rsidRPr="004549D6">
              <w:rPr>
                <w:rFonts w:ascii="Palatino Linotype" w:eastAsia="Palatino Linotype" w:hAnsi="Palatino Linotype" w:cs="Palatino Linotype"/>
                <w:b/>
                <w:bCs/>
                <w:i/>
                <w:iCs/>
                <w:color w:val="000000"/>
                <w:sz w:val="24"/>
                <w:szCs w:val="24"/>
              </w:rPr>
              <w:t>Sujeto Obligado</w:t>
            </w:r>
            <w:r w:rsidRPr="004549D6">
              <w:rPr>
                <w:rFonts w:ascii="Palatino Linotype" w:eastAsia="Palatino Linotype" w:hAnsi="Palatino Linotype" w:cs="Palatino Linotype"/>
                <w:i/>
                <w:iCs/>
                <w:color w:val="000000"/>
                <w:sz w:val="24"/>
                <w:szCs w:val="24"/>
              </w:rPr>
              <w:t xml:space="preserve"> debe identificar claramente el tipo de información y hacer un juicio de subsunción o encaje para acreditar que el supuesto de hecho corresponde estrictamente con la hipótesis </w:t>
            </w:r>
            <w:r w:rsidRPr="004549D6">
              <w:rPr>
                <w:rFonts w:ascii="Palatino Linotype" w:eastAsia="Palatino Linotype" w:hAnsi="Palatino Linotype" w:cs="Palatino Linotype"/>
                <w:i/>
                <w:iCs/>
                <w:color w:val="000000"/>
                <w:sz w:val="24"/>
                <w:szCs w:val="24"/>
              </w:rPr>
              <w:lastRenderedPageBreak/>
              <w:t>jurídica. Esto también lo debe de realizar el servidor público habilitado y el titular del área que administra la información.</w:t>
            </w:r>
          </w:p>
        </w:tc>
      </w:tr>
      <w:tr w:rsidR="00E625A8" w:rsidRPr="004549D6" w14:paraId="5AFA04B5" w14:textId="77777777" w:rsidTr="006A3E86">
        <w:tc>
          <w:tcPr>
            <w:tcW w:w="2972" w:type="dxa"/>
            <w:vAlign w:val="center"/>
          </w:tcPr>
          <w:p w14:paraId="139291AB" w14:textId="77777777" w:rsidR="00E625A8" w:rsidRPr="004549D6" w:rsidRDefault="001F6039">
            <w:pPr>
              <w:tabs>
                <w:tab w:val="left" w:pos="284"/>
              </w:tabs>
              <w:spacing w:line="360" w:lineRule="auto"/>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lastRenderedPageBreak/>
              <w:t>c) Formalidades para emitir el acuerdo de clasificación.</w:t>
            </w:r>
          </w:p>
        </w:tc>
        <w:tc>
          <w:tcPr>
            <w:tcW w:w="6810" w:type="dxa"/>
          </w:tcPr>
          <w:p w14:paraId="78EAFFFF"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El Comité de Transparencia, según lo dispuesto en los artículos cuenta con las facultades para aprobar, modificar o revocar la clasificación de la información que haya propuesto. </w:t>
            </w:r>
          </w:p>
          <w:p w14:paraId="6A6BC049"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Es necesario que </w:t>
            </w:r>
            <w:r w:rsidRPr="004549D6">
              <w:rPr>
                <w:rFonts w:ascii="Palatino Linotype" w:eastAsia="Palatino Linotype" w:hAnsi="Palatino Linotype" w:cs="Palatino Linotype"/>
                <w:b/>
                <w:bCs/>
                <w:i/>
                <w:iCs/>
                <w:color w:val="000000"/>
                <w:sz w:val="24"/>
                <w:szCs w:val="24"/>
                <w:u w:val="single"/>
              </w:rPr>
              <w:t>el acto reúna con los requisitos elementales</w:t>
            </w:r>
            <w:r w:rsidRPr="004549D6">
              <w:rPr>
                <w:rFonts w:ascii="Palatino Linotype" w:eastAsia="Palatino Linotype" w:hAnsi="Palatino Linotype" w:cs="Palatino Linotype"/>
                <w:i/>
                <w:iCs/>
                <w:color w:val="000000"/>
                <w:sz w:val="24"/>
                <w:szCs w:val="24"/>
              </w:rPr>
              <w:t>, entre ellos, que la autoridad que va a emitir el acto de autoridad sea la legalmente facultada para ello.</w:t>
            </w:r>
          </w:p>
          <w:p w14:paraId="42BCAB07" w14:textId="77777777" w:rsidR="00E625A8" w:rsidRPr="004549D6" w:rsidRDefault="001F6039">
            <w:pPr>
              <w:tabs>
                <w:tab w:val="left" w:pos="284"/>
              </w:tabs>
              <w:spacing w:line="276" w:lineRule="auto"/>
              <w:jc w:val="both"/>
              <w:rPr>
                <w:rFonts w:ascii="Palatino Linotype" w:eastAsia="Palatino Linotype" w:hAnsi="Palatino Linotype" w:cs="Palatino Linotype"/>
                <w:i/>
                <w:iCs/>
              </w:rPr>
            </w:pPr>
            <w:r w:rsidRPr="004549D6">
              <w:rPr>
                <w:rFonts w:ascii="Palatino Linotype" w:eastAsia="Palatino Linotype" w:hAnsi="Palatino Linotype" w:cs="Palatino Linotype"/>
                <w:i/>
                <w:iCs/>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sidRPr="004549D6">
              <w:rPr>
                <w:rFonts w:ascii="Palatino Linotype" w:eastAsia="Palatino Linotype" w:hAnsi="Palatino Linotype" w:cs="Palatino Linotype"/>
                <w:i/>
                <w:iCs/>
                <w:sz w:val="24"/>
                <w:szCs w:val="24"/>
              </w:rPr>
              <w:t>El área</w:t>
            </w:r>
            <w:r w:rsidRPr="004549D6">
              <w:rPr>
                <w:rFonts w:ascii="Palatino Linotype" w:eastAsia="Palatino Linotype" w:hAnsi="Palatino Linotype" w:cs="Palatino Linotype"/>
                <w:i/>
                <w:iCs/>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625A8" w:rsidRPr="004549D6" w14:paraId="7BA0C2E0" w14:textId="77777777" w:rsidTr="006A3E86">
        <w:tc>
          <w:tcPr>
            <w:tcW w:w="2972" w:type="dxa"/>
            <w:shd w:val="clear" w:color="auto" w:fill="D9D9D9"/>
            <w:vAlign w:val="center"/>
          </w:tcPr>
          <w:p w14:paraId="44937370" w14:textId="77777777" w:rsidR="00E625A8" w:rsidRPr="004549D6" w:rsidRDefault="00E625A8">
            <w:pPr>
              <w:tabs>
                <w:tab w:val="left" w:pos="284"/>
              </w:tabs>
              <w:spacing w:line="360" w:lineRule="auto"/>
              <w:rPr>
                <w:rFonts w:ascii="Palatino Linotype" w:eastAsia="Palatino Linotype" w:hAnsi="Palatino Linotype" w:cs="Palatino Linotype"/>
                <w:b/>
                <w:bCs/>
              </w:rPr>
            </w:pPr>
          </w:p>
          <w:p w14:paraId="67C067CD" w14:textId="77777777" w:rsidR="00E625A8" w:rsidRPr="004549D6" w:rsidRDefault="001F6039">
            <w:pPr>
              <w:tabs>
                <w:tab w:val="left" w:pos="284"/>
              </w:tabs>
              <w:spacing w:line="360" w:lineRule="auto"/>
              <w:jc w:val="both"/>
              <w:rPr>
                <w:rFonts w:ascii="Palatino Linotype" w:eastAsia="Palatino Linotype" w:hAnsi="Palatino Linotype" w:cs="Palatino Linotype"/>
                <w:b/>
                <w:bCs/>
              </w:rPr>
            </w:pPr>
            <w:r w:rsidRPr="004549D6">
              <w:rPr>
                <w:rFonts w:ascii="Palatino Linotype" w:eastAsia="Palatino Linotype" w:hAnsi="Palatino Linotype" w:cs="Palatino Linotype"/>
                <w:b/>
                <w:bCs/>
                <w:color w:val="000000"/>
                <w:sz w:val="24"/>
                <w:szCs w:val="24"/>
              </w:rPr>
              <w:t xml:space="preserve">d) Requisitos de fondo del acuerdo de clasificación. </w:t>
            </w:r>
          </w:p>
        </w:tc>
        <w:tc>
          <w:tcPr>
            <w:tcW w:w="6810" w:type="dxa"/>
            <w:shd w:val="clear" w:color="auto" w:fill="D9D9D9"/>
          </w:tcPr>
          <w:p w14:paraId="5B5B14B0"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4549D6">
              <w:rPr>
                <w:rFonts w:ascii="Palatino Linotype" w:eastAsia="Palatino Linotype" w:hAnsi="Palatino Linotype" w:cs="Palatino Linotype"/>
                <w:b/>
                <w:bCs/>
                <w:i/>
                <w:iCs/>
                <w:color w:val="000000"/>
                <w:sz w:val="24"/>
                <w:szCs w:val="24"/>
              </w:rPr>
              <w:t>Sujetos Obligados</w:t>
            </w:r>
            <w:r w:rsidRPr="004549D6">
              <w:rPr>
                <w:rFonts w:ascii="Palatino Linotype" w:eastAsia="Palatino Linotype" w:hAnsi="Palatino Linotype" w:cs="Palatino Linotype"/>
                <w:i/>
                <w:iCs/>
                <w:color w:val="000000"/>
                <w:sz w:val="24"/>
                <w:szCs w:val="24"/>
              </w:rPr>
              <w:t xml:space="preserve">, por lo que deberán fundar y motivar debidamente la clasificación. </w:t>
            </w:r>
          </w:p>
          <w:p w14:paraId="50358F62"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De lo anterior, se desprende que para una correcta </w:t>
            </w:r>
            <w:r w:rsidRPr="004549D6">
              <w:rPr>
                <w:rFonts w:ascii="Palatino Linotype" w:eastAsia="Palatino Linotype" w:hAnsi="Palatino Linotype" w:cs="Palatino Linotype"/>
                <w:b/>
                <w:bCs/>
                <w:i/>
                <w:iCs/>
                <w:color w:val="000000"/>
                <w:sz w:val="24"/>
                <w:szCs w:val="24"/>
              </w:rPr>
              <w:t>clasificación total o parcial</w:t>
            </w:r>
            <w:r w:rsidRPr="004549D6">
              <w:rPr>
                <w:rFonts w:ascii="Palatino Linotype" w:eastAsia="Palatino Linotype" w:hAnsi="Palatino Linotype" w:cs="Palatino Linotype"/>
                <w:i/>
                <w:iCs/>
                <w:color w:val="000000"/>
                <w:sz w:val="24"/>
                <w:szCs w:val="24"/>
              </w:rPr>
              <w:t xml:space="preserve">, esto es determinar los datos que se suprimen en las versiones públicas, es necesario fundar y motivar, de manera correcta, la clasificación; considerando que todo acto que la autoridad pronuncie en el ejercicio de sus atribuciones, debe expresar los </w:t>
            </w:r>
            <w:r w:rsidRPr="004549D6">
              <w:rPr>
                <w:rFonts w:ascii="Palatino Linotype" w:eastAsia="Palatino Linotype" w:hAnsi="Palatino Linotype" w:cs="Palatino Linotype"/>
                <w:i/>
                <w:iCs/>
                <w:color w:val="000000"/>
                <w:sz w:val="24"/>
                <w:szCs w:val="24"/>
              </w:rPr>
              <w:lastRenderedPageBreak/>
              <w:t>fundamentos legales que le dieron origen y las razones por las que se deben aplicar al caso concreto.</w:t>
            </w:r>
          </w:p>
          <w:p w14:paraId="31CA8E93"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42CC6D6D"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En ese mismo sentido, el numeral trigésimo tercero fracción V de los Lineamientos Generales, precisa que para motivar la clasificación se deben acreditar las circunstancias de tiempo, modo y lugar.</w:t>
            </w:r>
          </w:p>
          <w:p w14:paraId="378EC823"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Ahora bien, </w:t>
            </w:r>
            <w:r w:rsidRPr="004549D6">
              <w:rPr>
                <w:rFonts w:ascii="Palatino Linotype" w:eastAsia="Palatino Linotype" w:hAnsi="Palatino Linotype" w:cs="Palatino Linotype"/>
                <w:b/>
                <w:bCs/>
                <w:i/>
                <w:iCs/>
                <w:color w:val="000000"/>
                <w:sz w:val="24"/>
                <w:szCs w:val="24"/>
                <w:u w:val="single"/>
              </w:rPr>
              <w:t>para cada caso además de fundar y motivar</w:t>
            </w:r>
            <w:r w:rsidRPr="004549D6">
              <w:rPr>
                <w:rFonts w:ascii="Palatino Linotype" w:eastAsia="Palatino Linotype" w:hAnsi="Palatino Linotype" w:cs="Palatino Linotype"/>
                <w:i/>
                <w:iCs/>
                <w:color w:val="000000"/>
                <w:sz w:val="24"/>
                <w:szCs w:val="24"/>
              </w:rPr>
              <w:t xml:space="preserve">, se debe identificar con claridad </w:t>
            </w:r>
            <w:r w:rsidRPr="004549D6">
              <w:rPr>
                <w:rFonts w:ascii="Palatino Linotype" w:eastAsia="Palatino Linotype" w:hAnsi="Palatino Linotype" w:cs="Palatino Linotype"/>
                <w:i/>
                <w:iCs/>
                <w:sz w:val="24"/>
                <w:szCs w:val="24"/>
              </w:rPr>
              <w:t>qué</w:t>
            </w:r>
            <w:r w:rsidRPr="004549D6">
              <w:rPr>
                <w:rFonts w:ascii="Palatino Linotype" w:eastAsia="Palatino Linotype" w:hAnsi="Palatino Linotype" w:cs="Palatino Linotype"/>
                <w:i/>
                <w:iCs/>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625A8" w:rsidRPr="004549D6" w14:paraId="14C8EAC5" w14:textId="77777777" w:rsidTr="006A3E86">
        <w:tc>
          <w:tcPr>
            <w:tcW w:w="2972" w:type="dxa"/>
            <w:vAlign w:val="center"/>
          </w:tcPr>
          <w:p w14:paraId="6160F53F" w14:textId="77777777" w:rsidR="00E625A8" w:rsidRPr="004549D6" w:rsidRDefault="001F6039">
            <w:pPr>
              <w:tabs>
                <w:tab w:val="left" w:pos="284"/>
              </w:tabs>
              <w:spacing w:line="360" w:lineRule="auto"/>
              <w:jc w:val="both"/>
              <w:rPr>
                <w:rFonts w:ascii="Palatino Linotype" w:eastAsia="Palatino Linotype" w:hAnsi="Palatino Linotype" w:cs="Palatino Linotype"/>
                <w:b/>
                <w:bCs/>
              </w:rPr>
            </w:pPr>
            <w:r w:rsidRPr="004549D6">
              <w:rPr>
                <w:rFonts w:ascii="Palatino Linotype" w:eastAsia="Palatino Linotype" w:hAnsi="Palatino Linotype" w:cs="Palatino Linotype"/>
                <w:b/>
                <w:bCs/>
                <w:sz w:val="24"/>
                <w:szCs w:val="24"/>
              </w:rPr>
              <w:t xml:space="preserve">e) Condiciones especiales de la clasificación de la información como confidencial. </w:t>
            </w:r>
          </w:p>
        </w:tc>
        <w:tc>
          <w:tcPr>
            <w:tcW w:w="6810" w:type="dxa"/>
          </w:tcPr>
          <w:p w14:paraId="5FAD650D"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Los artículos 148 de la Ley Estatal establece que aun tratándose de datos personales, se podrán proporcionar, incluso sin solicitar el consentimiento de su titular. </w:t>
            </w:r>
          </w:p>
          <w:p w14:paraId="1A0A8488" w14:textId="77777777" w:rsidR="00E625A8" w:rsidRPr="004549D6" w:rsidRDefault="001F6039">
            <w:pPr>
              <w:tabs>
                <w:tab w:val="left" w:pos="284"/>
              </w:tabs>
              <w:spacing w:line="276" w:lineRule="auto"/>
              <w:jc w:val="both"/>
              <w:rPr>
                <w:rFonts w:ascii="Palatino Linotype" w:eastAsia="Palatino Linotype" w:hAnsi="Palatino Linotype" w:cs="Palatino Linotype"/>
                <w:i/>
                <w:iCs/>
                <w:color w:val="000000"/>
              </w:rPr>
            </w:pPr>
            <w:r w:rsidRPr="004549D6">
              <w:rPr>
                <w:rFonts w:ascii="Palatino Linotype" w:eastAsia="Palatino Linotype" w:hAnsi="Palatino Linotype" w:cs="Palatino Linotype"/>
                <w:i/>
                <w:iCs/>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08B22F6" w14:textId="77777777" w:rsidR="00E625A8" w:rsidRPr="004549D6" w:rsidRDefault="001F6039">
            <w:pPr>
              <w:tabs>
                <w:tab w:val="left" w:pos="284"/>
              </w:tabs>
              <w:spacing w:line="276" w:lineRule="auto"/>
              <w:rPr>
                <w:rFonts w:ascii="Palatino Linotype" w:eastAsia="Palatino Linotype" w:hAnsi="Palatino Linotype" w:cs="Palatino Linotype"/>
                <w:i/>
                <w:iCs/>
              </w:rPr>
            </w:pPr>
            <w:r w:rsidRPr="004549D6">
              <w:rPr>
                <w:rFonts w:ascii="Palatino Linotype" w:eastAsia="Palatino Linotype" w:hAnsi="Palatino Linotype" w:cs="Palatino Linotype"/>
                <w:i/>
                <w:iCs/>
                <w:color w:val="000000"/>
                <w:sz w:val="24"/>
                <w:szCs w:val="24"/>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AE35244" w14:textId="77777777" w:rsidR="00E625A8" w:rsidRPr="004549D6" w:rsidRDefault="00E625A8">
      <w:pPr>
        <w:tabs>
          <w:tab w:val="left" w:pos="284"/>
        </w:tabs>
        <w:spacing w:line="360" w:lineRule="auto"/>
        <w:rPr>
          <w:rFonts w:ascii="Palatino Linotype" w:eastAsia="Palatino Linotype" w:hAnsi="Palatino Linotype" w:cs="Palatino Linotype"/>
          <w:color w:val="000000"/>
          <w:sz w:val="24"/>
          <w:szCs w:val="24"/>
        </w:rPr>
      </w:pPr>
    </w:p>
    <w:p w14:paraId="7DD7FE93" w14:textId="77777777" w:rsidR="00E625A8" w:rsidRPr="004549D6" w:rsidRDefault="001F603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14:paraId="624E419D" w14:textId="77777777" w:rsidR="00E625A8" w:rsidRPr="004549D6" w:rsidRDefault="00E625A8">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6F3819BF" w14:textId="77777777" w:rsidR="00E625A8" w:rsidRPr="004549D6" w:rsidRDefault="001F6039">
      <w:pPr>
        <w:numPr>
          <w:ilvl w:val="0"/>
          <w:numId w:val="4"/>
        </w:numPr>
        <w:tabs>
          <w:tab w:val="left" w:pos="284"/>
        </w:tabs>
        <w:spacing w:after="0" w:line="360" w:lineRule="auto"/>
        <w:ind w:left="0"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 </w:t>
      </w:r>
      <w:r w:rsidRPr="004549D6">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 resulta  lo mismo que si entrega un documento testado sin el debido acuerdo de clasificación.</w:t>
      </w:r>
    </w:p>
    <w:p w14:paraId="56409BF0"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07AB213B" w14:textId="77777777" w:rsidR="00E625A8" w:rsidRPr="004549D6" w:rsidRDefault="001F6039" w:rsidP="006061F6">
      <w:pPr>
        <w:numPr>
          <w:ilvl w:val="0"/>
          <w:numId w:val="5"/>
        </w:numPr>
        <w:spacing w:after="0" w:line="360" w:lineRule="auto"/>
        <w:ind w:left="0" w:right="49" w:firstLine="0"/>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color w:val="000000"/>
          <w:sz w:val="24"/>
          <w:szCs w:val="24"/>
        </w:rPr>
        <w:t xml:space="preserve">Por lo anteriormente expuesto y fundado, este </w:t>
      </w:r>
      <w:r w:rsidRPr="004549D6">
        <w:rPr>
          <w:rFonts w:ascii="Palatino Linotype" w:eastAsia="Palatino Linotype" w:hAnsi="Palatino Linotype" w:cs="Palatino Linotype"/>
          <w:b/>
          <w:bCs/>
          <w:color w:val="000000"/>
          <w:sz w:val="24"/>
          <w:szCs w:val="24"/>
        </w:rPr>
        <w:t>ÓRGANO GARANTE</w:t>
      </w:r>
      <w:r w:rsidRPr="004549D6">
        <w:rPr>
          <w:rFonts w:ascii="Palatino Linotype" w:eastAsia="Palatino Linotype" w:hAnsi="Palatino Linotype" w:cs="Palatino Linotype"/>
          <w:color w:val="000000"/>
          <w:sz w:val="24"/>
          <w:szCs w:val="24"/>
        </w:rPr>
        <w:t xml:space="preserve"> emite los siguientes:</w:t>
      </w:r>
    </w:p>
    <w:p w14:paraId="0E165DBA" w14:textId="77777777" w:rsidR="006A3E86" w:rsidRDefault="006A3E86">
      <w:pPr>
        <w:pStyle w:val="Ttulo1"/>
        <w:spacing w:before="0" w:line="360" w:lineRule="auto"/>
        <w:jc w:val="center"/>
        <w:rPr>
          <w:rFonts w:ascii="Palatino Linotype" w:eastAsia="Palatino Linotype" w:hAnsi="Palatino Linotype" w:cs="Palatino Linotype"/>
          <w:b/>
          <w:bCs/>
          <w:color w:val="000000"/>
          <w:sz w:val="24"/>
          <w:szCs w:val="24"/>
        </w:rPr>
      </w:pPr>
    </w:p>
    <w:p w14:paraId="1E757B9F" w14:textId="77777777" w:rsidR="00E625A8" w:rsidRPr="004549D6" w:rsidRDefault="001F6039">
      <w:pPr>
        <w:pStyle w:val="Ttulo1"/>
        <w:spacing w:before="0" w:line="360" w:lineRule="auto"/>
        <w:jc w:val="center"/>
        <w:rPr>
          <w:rFonts w:ascii="Palatino Linotype" w:eastAsia="Palatino Linotype" w:hAnsi="Palatino Linotype" w:cs="Palatino Linotype"/>
          <w:b/>
          <w:bCs/>
          <w:color w:val="000000"/>
          <w:sz w:val="24"/>
          <w:szCs w:val="24"/>
        </w:rPr>
      </w:pPr>
      <w:r w:rsidRPr="004549D6">
        <w:rPr>
          <w:rFonts w:ascii="Palatino Linotype" w:eastAsia="Palatino Linotype" w:hAnsi="Palatino Linotype" w:cs="Palatino Linotype"/>
          <w:b/>
          <w:bCs/>
          <w:color w:val="000000"/>
          <w:sz w:val="24"/>
          <w:szCs w:val="24"/>
        </w:rPr>
        <w:t>R E S O L U T I V O S</w:t>
      </w:r>
    </w:p>
    <w:p w14:paraId="1C1456FC" w14:textId="77777777" w:rsidR="00E625A8" w:rsidRPr="004549D6" w:rsidRDefault="00E625A8">
      <w:pPr>
        <w:spacing w:line="360" w:lineRule="auto"/>
        <w:rPr>
          <w:rFonts w:ascii="Palatino Linotype" w:eastAsia="Palatino Linotype" w:hAnsi="Palatino Linotype" w:cs="Palatino Linotype"/>
          <w:sz w:val="24"/>
          <w:szCs w:val="24"/>
        </w:rPr>
      </w:pPr>
    </w:p>
    <w:p w14:paraId="5359BB51" w14:textId="77777777" w:rsidR="00E625A8" w:rsidRPr="004549D6" w:rsidRDefault="001F6039">
      <w:pPr>
        <w:spacing w:line="360" w:lineRule="auto"/>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b/>
          <w:bCs/>
          <w:sz w:val="24"/>
          <w:szCs w:val="24"/>
        </w:rPr>
        <w:t>PRIMERO</w:t>
      </w:r>
      <w:r w:rsidRPr="004549D6">
        <w:rPr>
          <w:rFonts w:ascii="Palatino Linotype" w:eastAsia="Palatino Linotype" w:hAnsi="Palatino Linotype" w:cs="Palatino Linotype"/>
          <w:sz w:val="24"/>
          <w:szCs w:val="24"/>
        </w:rPr>
        <w:t>. Resultan fundadas las</w:t>
      </w:r>
      <w:r w:rsidRPr="004549D6">
        <w:rPr>
          <w:rFonts w:ascii="Palatino Linotype" w:eastAsia="Palatino Linotype" w:hAnsi="Palatino Linotype" w:cs="Palatino Linotype"/>
          <w:b/>
          <w:bCs/>
          <w:sz w:val="24"/>
          <w:szCs w:val="24"/>
        </w:rPr>
        <w:t xml:space="preserve"> </w:t>
      </w:r>
      <w:r w:rsidRPr="004549D6">
        <w:rPr>
          <w:rFonts w:ascii="Palatino Linotype" w:eastAsia="Palatino Linotype" w:hAnsi="Palatino Linotype" w:cs="Palatino Linotype"/>
          <w:sz w:val="24"/>
          <w:szCs w:val="24"/>
        </w:rPr>
        <w:t xml:space="preserve">razones o motivos de inconformidad hechos valer en el Recurso de Revisión </w:t>
      </w:r>
      <w:r w:rsidRPr="004549D6">
        <w:rPr>
          <w:rFonts w:ascii="Palatino Linotype" w:eastAsia="Palatino Linotype" w:hAnsi="Palatino Linotype" w:cs="Palatino Linotype"/>
          <w:b/>
          <w:bCs/>
          <w:sz w:val="24"/>
          <w:szCs w:val="24"/>
        </w:rPr>
        <w:t xml:space="preserve">11223/INFOEM/IP/RR/2025 y 12158/INFOEM/IP/RR/2025, </w:t>
      </w:r>
      <w:r w:rsidRPr="004549D6">
        <w:rPr>
          <w:rFonts w:ascii="Palatino Linotype" w:eastAsia="Palatino Linotype" w:hAnsi="Palatino Linotype" w:cs="Palatino Linotype"/>
          <w:sz w:val="24"/>
          <w:szCs w:val="24"/>
        </w:rPr>
        <w:t xml:space="preserve">por lo que se </w:t>
      </w:r>
      <w:r w:rsidRPr="004549D6">
        <w:rPr>
          <w:rFonts w:ascii="Palatino Linotype" w:eastAsia="Palatino Linotype" w:hAnsi="Palatino Linotype" w:cs="Palatino Linotype"/>
          <w:b/>
          <w:bCs/>
          <w:sz w:val="24"/>
          <w:szCs w:val="24"/>
        </w:rPr>
        <w:lastRenderedPageBreak/>
        <w:t xml:space="preserve">MODIFICA </w:t>
      </w:r>
      <w:r w:rsidRPr="004549D6">
        <w:rPr>
          <w:rFonts w:ascii="Palatino Linotype" w:eastAsia="Palatino Linotype" w:hAnsi="Palatino Linotype" w:cs="Palatino Linotype"/>
          <w:sz w:val="24"/>
          <w:szCs w:val="24"/>
        </w:rPr>
        <w:t xml:space="preserve">la respuesta del </w:t>
      </w:r>
      <w:r w:rsidRPr="004549D6">
        <w:rPr>
          <w:rFonts w:ascii="Palatino Linotype" w:eastAsia="Palatino Linotype" w:hAnsi="Palatino Linotype" w:cs="Palatino Linotype"/>
          <w:b/>
          <w:bCs/>
          <w:sz w:val="24"/>
          <w:szCs w:val="24"/>
        </w:rPr>
        <w:t xml:space="preserve">SUJETO OBLIGADO </w:t>
      </w:r>
      <w:r w:rsidRPr="004549D6">
        <w:rPr>
          <w:rFonts w:ascii="Palatino Linotype" w:eastAsia="Palatino Linotype" w:hAnsi="Palatino Linotype" w:cs="Palatino Linotype"/>
          <w:sz w:val="24"/>
          <w:szCs w:val="24"/>
        </w:rPr>
        <w:t xml:space="preserve">en las solicitudes de información </w:t>
      </w:r>
      <w:r w:rsidRPr="004549D6">
        <w:rPr>
          <w:rFonts w:ascii="Palatino Linotype" w:eastAsia="Palatino Linotype" w:hAnsi="Palatino Linotype" w:cs="Palatino Linotype"/>
          <w:b/>
          <w:bCs/>
          <w:sz w:val="24"/>
          <w:szCs w:val="24"/>
        </w:rPr>
        <w:t>00210/DIFHUEHUET/IP/2025</w:t>
      </w:r>
      <w:r w:rsidRPr="004549D6">
        <w:rPr>
          <w:rFonts w:ascii="Palatino Linotype" w:eastAsia="Palatino Linotype" w:hAnsi="Palatino Linotype" w:cs="Palatino Linotype"/>
          <w:sz w:val="24"/>
          <w:szCs w:val="24"/>
        </w:rPr>
        <w:t xml:space="preserve"> y </w:t>
      </w:r>
      <w:r w:rsidRPr="004549D6">
        <w:rPr>
          <w:rFonts w:ascii="Palatino Linotype" w:eastAsia="Palatino Linotype" w:hAnsi="Palatino Linotype" w:cs="Palatino Linotype"/>
          <w:b/>
          <w:bCs/>
          <w:sz w:val="24"/>
          <w:szCs w:val="24"/>
        </w:rPr>
        <w:t xml:space="preserve"> 00234/DIFHUEHUET/IP/2025  </w:t>
      </w:r>
      <w:r w:rsidRPr="004549D6">
        <w:rPr>
          <w:rFonts w:ascii="Palatino Linotype" w:eastAsia="Palatino Linotype" w:hAnsi="Palatino Linotype" w:cs="Palatino Linotype"/>
          <w:sz w:val="24"/>
          <w:szCs w:val="24"/>
        </w:rPr>
        <w:t xml:space="preserve">en términos de los </w:t>
      </w:r>
      <w:r w:rsidRPr="004549D6">
        <w:rPr>
          <w:rFonts w:ascii="Palatino Linotype" w:eastAsia="Palatino Linotype" w:hAnsi="Palatino Linotype" w:cs="Palatino Linotype"/>
          <w:b/>
          <w:bCs/>
          <w:sz w:val="24"/>
          <w:szCs w:val="24"/>
        </w:rPr>
        <w:t xml:space="preserve">Considerandos Cuarto y Quinto </w:t>
      </w:r>
      <w:r w:rsidRPr="004549D6">
        <w:rPr>
          <w:rFonts w:ascii="Palatino Linotype" w:eastAsia="Palatino Linotype" w:hAnsi="Palatino Linotype" w:cs="Palatino Linotype"/>
          <w:sz w:val="24"/>
          <w:szCs w:val="24"/>
        </w:rPr>
        <w:t>de la presente resolución.</w:t>
      </w:r>
    </w:p>
    <w:p w14:paraId="07A96984" w14:textId="77777777" w:rsidR="002C7A53" w:rsidRPr="004549D6" w:rsidRDefault="002C7A53">
      <w:pPr>
        <w:spacing w:line="360" w:lineRule="auto"/>
        <w:jc w:val="both"/>
        <w:rPr>
          <w:rFonts w:ascii="Palatino Linotype" w:eastAsia="Palatino Linotype" w:hAnsi="Palatino Linotype" w:cs="Palatino Linotype"/>
          <w:sz w:val="24"/>
          <w:szCs w:val="24"/>
        </w:rPr>
      </w:pPr>
    </w:p>
    <w:p w14:paraId="74FA5D0A" w14:textId="77777777" w:rsidR="008A3349" w:rsidRPr="004549D6" w:rsidRDefault="001F6039" w:rsidP="008A3349">
      <w:pPr>
        <w:spacing w:line="360" w:lineRule="auto"/>
        <w:jc w:val="both"/>
        <w:rPr>
          <w:rFonts w:ascii="Palatino Linotype" w:eastAsia="Palatino Linotype" w:hAnsi="Palatino Linotype" w:cs="Palatino Linotype"/>
          <w:color w:val="000000"/>
          <w:sz w:val="24"/>
          <w:szCs w:val="24"/>
        </w:rPr>
      </w:pPr>
      <w:r w:rsidRPr="004549D6">
        <w:rPr>
          <w:rFonts w:ascii="Palatino Linotype" w:eastAsia="Palatino Linotype" w:hAnsi="Palatino Linotype" w:cs="Palatino Linotype"/>
          <w:b/>
          <w:bCs/>
          <w:sz w:val="24"/>
          <w:szCs w:val="24"/>
        </w:rPr>
        <w:t>SEGUNDO.</w:t>
      </w:r>
      <w:r w:rsidRPr="004549D6">
        <w:rPr>
          <w:rFonts w:ascii="Palatino Linotype" w:eastAsia="Palatino Linotype" w:hAnsi="Palatino Linotype" w:cs="Palatino Linotype"/>
          <w:color w:val="2E75B5"/>
          <w:sz w:val="24"/>
          <w:szCs w:val="24"/>
        </w:rPr>
        <w:t xml:space="preserve"> </w:t>
      </w:r>
      <w:r w:rsidRPr="004549D6">
        <w:rPr>
          <w:rFonts w:ascii="Palatino Linotype" w:eastAsia="Palatino Linotype" w:hAnsi="Palatino Linotype" w:cs="Palatino Linotype"/>
          <w:color w:val="000000"/>
          <w:sz w:val="24"/>
          <w:szCs w:val="24"/>
        </w:rPr>
        <w:t xml:space="preserve">Se </w:t>
      </w:r>
      <w:r w:rsidRPr="004549D6">
        <w:rPr>
          <w:rFonts w:ascii="Palatino Linotype" w:eastAsia="Palatino Linotype" w:hAnsi="Palatino Linotype" w:cs="Palatino Linotype"/>
          <w:b/>
          <w:bCs/>
          <w:color w:val="000000"/>
          <w:sz w:val="24"/>
          <w:szCs w:val="24"/>
        </w:rPr>
        <w:t xml:space="preserve">ORDENA </w:t>
      </w:r>
      <w:r w:rsidRPr="004549D6">
        <w:rPr>
          <w:rFonts w:ascii="Palatino Linotype" w:eastAsia="Palatino Linotype" w:hAnsi="Palatino Linotype" w:cs="Palatino Linotype"/>
          <w:color w:val="000000"/>
          <w:sz w:val="24"/>
          <w:szCs w:val="24"/>
        </w:rPr>
        <w:t xml:space="preserve">al </w:t>
      </w:r>
      <w:r w:rsidRPr="004549D6">
        <w:rPr>
          <w:rFonts w:ascii="Palatino Linotype" w:eastAsia="Palatino Linotype" w:hAnsi="Palatino Linotype" w:cs="Palatino Linotype"/>
          <w:b/>
          <w:bCs/>
          <w:color w:val="000000"/>
          <w:sz w:val="24"/>
          <w:szCs w:val="24"/>
        </w:rPr>
        <w:t xml:space="preserve">SUJETO OBLIGADO, </w:t>
      </w:r>
      <w:r w:rsidRPr="004549D6">
        <w:rPr>
          <w:rFonts w:ascii="Palatino Linotype" w:eastAsia="Palatino Linotype" w:hAnsi="Palatino Linotype" w:cs="Palatino Linotype"/>
          <w:color w:val="000000"/>
          <w:sz w:val="24"/>
          <w:szCs w:val="24"/>
        </w:rPr>
        <w:t xml:space="preserve">a efecto de entregar vía Sistema de Acceso a la Información Mexiquense </w:t>
      </w:r>
      <w:r w:rsidRPr="004549D6">
        <w:rPr>
          <w:rFonts w:ascii="Palatino Linotype" w:eastAsia="Palatino Linotype" w:hAnsi="Palatino Linotype" w:cs="Palatino Linotype"/>
          <w:b/>
          <w:bCs/>
          <w:color w:val="000000"/>
          <w:sz w:val="24"/>
          <w:szCs w:val="24"/>
        </w:rPr>
        <w:t>(SAIMEX)</w:t>
      </w:r>
      <w:r w:rsidRPr="004549D6">
        <w:rPr>
          <w:rFonts w:ascii="Palatino Linotype" w:eastAsia="Palatino Linotype" w:hAnsi="Palatino Linotype" w:cs="Palatino Linotype"/>
          <w:color w:val="000000"/>
          <w:sz w:val="24"/>
          <w:szCs w:val="24"/>
        </w:rPr>
        <w:t>, la siguiente información de ser procedente en versión pública:</w:t>
      </w:r>
    </w:p>
    <w:p w14:paraId="1D56C5C1" w14:textId="77777777" w:rsidR="00E625A8" w:rsidRPr="004549D6" w:rsidRDefault="001F6039">
      <w:pPr>
        <w:spacing w:line="360" w:lineRule="auto"/>
        <w:ind w:left="1418" w:right="1134"/>
        <w:rPr>
          <w:rFonts w:ascii="Palatino Linotype" w:eastAsia="Palatino Linotype" w:hAnsi="Palatino Linotype" w:cs="Palatino Linotype"/>
          <w:b/>
          <w:bCs/>
          <w:i/>
          <w:iCs/>
          <w:color w:val="000000"/>
          <w:sz w:val="24"/>
          <w:szCs w:val="24"/>
        </w:rPr>
      </w:pPr>
      <w:r w:rsidRPr="004549D6">
        <w:rPr>
          <w:rFonts w:ascii="Palatino Linotype" w:eastAsia="Palatino Linotype" w:hAnsi="Palatino Linotype" w:cs="Palatino Linotype"/>
          <w:b/>
          <w:bCs/>
          <w:i/>
          <w:iCs/>
          <w:color w:val="000000"/>
          <w:sz w:val="24"/>
          <w:szCs w:val="24"/>
        </w:rPr>
        <w:t>Del personal adscrito a las Estancias Infantiles remitido en respuesta:</w:t>
      </w:r>
    </w:p>
    <w:p w14:paraId="24ED2D98" w14:textId="77777777" w:rsidR="00E625A8" w:rsidRPr="004549D6" w:rsidRDefault="001F6039">
      <w:pPr>
        <w:numPr>
          <w:ilvl w:val="0"/>
          <w:numId w:val="3"/>
        </w:numPr>
        <w:pBdr>
          <w:top w:val="nil"/>
          <w:left w:val="nil"/>
          <w:bottom w:val="nil"/>
          <w:right w:val="nil"/>
          <w:between w:val="nil"/>
        </w:pBdr>
        <w:spacing w:after="0" w:line="276" w:lineRule="auto"/>
        <w:ind w:left="1418" w:right="1134" w:firstLine="0"/>
        <w:rPr>
          <w:rFonts w:ascii="Palatino Linotype" w:eastAsia="Palatino Linotype" w:hAnsi="Palatino Linotype" w:cs="Palatino Linotype"/>
          <w:b/>
          <w:bCs/>
          <w:i/>
          <w:iCs/>
          <w:color w:val="000000"/>
          <w:sz w:val="24"/>
          <w:szCs w:val="24"/>
        </w:rPr>
      </w:pPr>
      <w:r w:rsidRPr="004549D6">
        <w:rPr>
          <w:rFonts w:ascii="Palatino Linotype" w:eastAsia="Palatino Linotype" w:hAnsi="Palatino Linotype" w:cs="Palatino Linotype"/>
          <w:b/>
          <w:bCs/>
          <w:i/>
          <w:iCs/>
          <w:color w:val="000000"/>
          <w:sz w:val="24"/>
          <w:szCs w:val="24"/>
        </w:rPr>
        <w:t>Expedientes laborales;</w:t>
      </w:r>
    </w:p>
    <w:p w14:paraId="39FAE7B3" w14:textId="77777777" w:rsidR="00E625A8" w:rsidRPr="004549D6" w:rsidRDefault="001F6039">
      <w:pPr>
        <w:numPr>
          <w:ilvl w:val="0"/>
          <w:numId w:val="3"/>
        </w:numPr>
        <w:pBdr>
          <w:top w:val="nil"/>
          <w:left w:val="nil"/>
          <w:bottom w:val="nil"/>
          <w:right w:val="nil"/>
          <w:between w:val="nil"/>
        </w:pBdr>
        <w:spacing w:after="0" w:line="276" w:lineRule="auto"/>
        <w:ind w:left="2127" w:right="1134" w:hanging="709"/>
        <w:rPr>
          <w:rFonts w:ascii="Palatino Linotype" w:eastAsia="Palatino Linotype" w:hAnsi="Palatino Linotype" w:cs="Palatino Linotype"/>
          <w:b/>
          <w:bCs/>
          <w:i/>
          <w:iCs/>
          <w:color w:val="000000"/>
          <w:sz w:val="24"/>
          <w:szCs w:val="24"/>
        </w:rPr>
      </w:pPr>
      <w:r w:rsidRPr="004549D6">
        <w:rPr>
          <w:rFonts w:ascii="Palatino Linotype" w:eastAsia="Palatino Linotype" w:hAnsi="Palatino Linotype" w:cs="Palatino Linotype"/>
          <w:b/>
          <w:bCs/>
          <w:i/>
          <w:iCs/>
          <w:color w:val="000000"/>
          <w:sz w:val="24"/>
          <w:szCs w:val="24"/>
        </w:rPr>
        <w:t>Recibos de Nómina correspondientes a  la primera y segunda quincena de agosto de 2025.</w:t>
      </w:r>
    </w:p>
    <w:p w14:paraId="6997A2CE" w14:textId="77777777" w:rsidR="00E625A8" w:rsidRPr="004549D6" w:rsidRDefault="00E625A8">
      <w:pPr>
        <w:spacing w:line="360" w:lineRule="auto"/>
        <w:ind w:right="1134"/>
        <w:rPr>
          <w:rFonts w:ascii="Palatino Linotype" w:eastAsia="Palatino Linotype" w:hAnsi="Palatino Linotype" w:cs="Palatino Linotype"/>
          <w:b/>
          <w:bCs/>
          <w:i/>
          <w:iCs/>
          <w:sz w:val="24"/>
          <w:szCs w:val="24"/>
        </w:rPr>
      </w:pPr>
    </w:p>
    <w:p w14:paraId="794D9E6F" w14:textId="77777777" w:rsidR="00E625A8" w:rsidRPr="004549D6" w:rsidRDefault="001F6039">
      <w:pPr>
        <w:spacing w:line="240" w:lineRule="auto"/>
        <w:ind w:left="1134" w:right="900"/>
        <w:jc w:val="both"/>
        <w:rPr>
          <w:rFonts w:ascii="Palatino Linotype" w:eastAsia="Palatino Linotype" w:hAnsi="Palatino Linotype" w:cs="Palatino Linotype"/>
          <w:b/>
          <w:bCs/>
          <w:i/>
          <w:iCs/>
          <w:sz w:val="24"/>
          <w:szCs w:val="24"/>
        </w:rPr>
      </w:pPr>
      <w:r w:rsidRPr="004549D6">
        <w:rPr>
          <w:rFonts w:ascii="Palatino Linotype" w:eastAsia="Palatino Linotype" w:hAnsi="Palatino Linotype" w:cs="Palatino Linotype"/>
          <w:b/>
          <w:bCs/>
          <w:i/>
          <w:iCs/>
          <w:sz w:val="24"/>
          <w:szCs w:val="24"/>
        </w:rPr>
        <w:t>Del personal adscrito a Tesorería al primero de octubre de dos mil veinticinco</w:t>
      </w:r>
    </w:p>
    <w:p w14:paraId="31C41437" w14:textId="77777777" w:rsidR="00E625A8" w:rsidRPr="004549D6" w:rsidRDefault="001F6039">
      <w:pPr>
        <w:numPr>
          <w:ilvl w:val="0"/>
          <w:numId w:val="18"/>
        </w:numPr>
        <w:pBdr>
          <w:top w:val="nil"/>
          <w:left w:val="nil"/>
          <w:bottom w:val="nil"/>
          <w:right w:val="nil"/>
          <w:between w:val="nil"/>
        </w:pBdr>
        <w:spacing w:after="0" w:line="276" w:lineRule="auto"/>
        <w:ind w:right="900" w:hanging="75"/>
        <w:jc w:val="both"/>
        <w:rPr>
          <w:rFonts w:ascii="Palatino Linotype" w:eastAsia="Palatino Linotype" w:hAnsi="Palatino Linotype" w:cs="Palatino Linotype"/>
          <w:b/>
          <w:bCs/>
          <w:i/>
          <w:iCs/>
          <w:color w:val="000000"/>
          <w:sz w:val="24"/>
          <w:szCs w:val="24"/>
        </w:rPr>
      </w:pPr>
      <w:r w:rsidRPr="004549D6">
        <w:rPr>
          <w:rFonts w:ascii="Palatino Linotype" w:eastAsia="Palatino Linotype" w:hAnsi="Palatino Linotype" w:cs="Palatino Linotype"/>
          <w:b/>
          <w:bCs/>
          <w:i/>
          <w:iCs/>
          <w:color w:val="000000"/>
          <w:sz w:val="24"/>
          <w:szCs w:val="24"/>
        </w:rPr>
        <w:t>Documentos faltantes que integran el expediente laboral;</w:t>
      </w:r>
    </w:p>
    <w:p w14:paraId="4A48609D" w14:textId="77777777" w:rsidR="00E625A8" w:rsidRPr="004549D6" w:rsidRDefault="001F6039">
      <w:pPr>
        <w:numPr>
          <w:ilvl w:val="0"/>
          <w:numId w:val="18"/>
        </w:numPr>
        <w:pBdr>
          <w:top w:val="nil"/>
          <w:left w:val="nil"/>
          <w:bottom w:val="nil"/>
          <w:right w:val="nil"/>
          <w:between w:val="nil"/>
        </w:pBdr>
        <w:spacing w:after="0" w:line="276" w:lineRule="auto"/>
        <w:ind w:left="2127" w:right="900" w:hanging="709"/>
        <w:jc w:val="both"/>
        <w:rPr>
          <w:rFonts w:ascii="Palatino Linotype" w:eastAsia="Palatino Linotype" w:hAnsi="Palatino Linotype" w:cs="Palatino Linotype"/>
          <w:b/>
          <w:bCs/>
          <w:i/>
          <w:iCs/>
          <w:color w:val="000000"/>
          <w:sz w:val="24"/>
          <w:szCs w:val="24"/>
        </w:rPr>
      </w:pPr>
      <w:r w:rsidRPr="004549D6">
        <w:rPr>
          <w:rFonts w:ascii="Palatino Linotype" w:eastAsia="Palatino Linotype" w:hAnsi="Palatino Linotype" w:cs="Palatino Linotype"/>
          <w:b/>
          <w:bCs/>
          <w:i/>
          <w:iCs/>
          <w:color w:val="000000"/>
          <w:sz w:val="24"/>
          <w:szCs w:val="24"/>
        </w:rPr>
        <w:t>Recibos de Nómina del personal adscrito al área de la primera quincena de julio a la segunda quincena de septiembre de dos mil veinticinco;</w:t>
      </w:r>
    </w:p>
    <w:p w14:paraId="5C2CD650" w14:textId="77777777" w:rsidR="008A3349" w:rsidRPr="004549D6" w:rsidRDefault="008A3349">
      <w:pPr>
        <w:spacing w:line="240" w:lineRule="auto"/>
        <w:ind w:left="1134" w:right="992"/>
        <w:jc w:val="both"/>
        <w:rPr>
          <w:rFonts w:ascii="Palatino Linotype" w:eastAsia="Palatino Linotype" w:hAnsi="Palatino Linotype" w:cs="Palatino Linotype"/>
          <w:b/>
          <w:bCs/>
          <w:i/>
          <w:iCs/>
          <w:sz w:val="24"/>
          <w:szCs w:val="24"/>
        </w:rPr>
      </w:pPr>
    </w:p>
    <w:p w14:paraId="269B8188" w14:textId="77777777" w:rsidR="008A3349" w:rsidRPr="004549D6" w:rsidRDefault="008A3349" w:rsidP="008A3349">
      <w:pPr>
        <w:spacing w:line="360" w:lineRule="auto"/>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y documentos susceptibles de clasificarse en su totalidad que se </w:t>
      </w:r>
      <w:r w:rsidRPr="004549D6">
        <w:rPr>
          <w:rFonts w:ascii="Palatino Linotype" w:eastAsia="Palatino Linotype" w:hAnsi="Palatino Linotype" w:cs="Palatino Linotype"/>
          <w:sz w:val="24"/>
          <w:szCs w:val="24"/>
        </w:rPr>
        <w:lastRenderedPageBreak/>
        <w:t>supriman o eliminen dentro del soporte documental respectivo objeto de las versiones públicas que se formulen y se ponga a disposición de la parte recurrente.</w:t>
      </w:r>
    </w:p>
    <w:p w14:paraId="09419139" w14:textId="77777777" w:rsidR="002C7A53" w:rsidRPr="004549D6" w:rsidRDefault="002C7A53" w:rsidP="008A3349">
      <w:pPr>
        <w:spacing w:line="360" w:lineRule="auto"/>
        <w:jc w:val="both"/>
        <w:rPr>
          <w:rFonts w:ascii="Palatino Linotype" w:eastAsia="Palatino Linotype" w:hAnsi="Palatino Linotype" w:cs="Palatino Linotype"/>
          <w:color w:val="000000"/>
          <w:sz w:val="24"/>
          <w:szCs w:val="24"/>
        </w:rPr>
      </w:pPr>
    </w:p>
    <w:p w14:paraId="2A7D23AE" w14:textId="77777777" w:rsidR="00E625A8" w:rsidRPr="004549D6" w:rsidRDefault="001F6039">
      <w:pPr>
        <w:tabs>
          <w:tab w:val="left" w:pos="8080"/>
        </w:tabs>
        <w:spacing w:line="360" w:lineRule="auto"/>
        <w:jc w:val="both"/>
        <w:rPr>
          <w:rFonts w:ascii="Palatino Linotype" w:eastAsia="Palatino Linotype" w:hAnsi="Palatino Linotype" w:cs="Palatino Linotype"/>
          <w:color w:val="222222"/>
          <w:sz w:val="24"/>
          <w:szCs w:val="24"/>
        </w:rPr>
      </w:pPr>
      <w:r w:rsidRPr="004549D6">
        <w:rPr>
          <w:rFonts w:ascii="Palatino Linotype" w:eastAsia="Palatino Linotype" w:hAnsi="Palatino Linotype" w:cs="Palatino Linotype"/>
          <w:b/>
          <w:bCs/>
          <w:sz w:val="24"/>
          <w:szCs w:val="24"/>
        </w:rPr>
        <w:t xml:space="preserve">TERCERO. </w:t>
      </w:r>
      <w:r w:rsidRPr="004549D6">
        <w:rPr>
          <w:rFonts w:ascii="Palatino Linotype" w:eastAsia="Palatino Linotype" w:hAnsi="Palatino Linotype" w:cs="Palatino Linotype"/>
          <w:color w:val="222222"/>
          <w:sz w:val="24"/>
          <w:szCs w:val="24"/>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4549D6">
        <w:rPr>
          <w:rFonts w:ascii="Palatino Linotype" w:eastAsia="Palatino Linotype" w:hAnsi="Palatino Linotype" w:cs="Palatino Linotype"/>
          <w:b/>
          <w:bCs/>
          <w:color w:val="222222"/>
          <w:sz w:val="24"/>
          <w:szCs w:val="24"/>
        </w:rPr>
        <w:t xml:space="preserve">dé cumplimiento a lo ordenado dentro del plazo de diez días hábiles, </w:t>
      </w:r>
      <w:r w:rsidRPr="004549D6">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1DCE9AC3"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1A13E86F" w14:textId="77777777" w:rsidR="00E625A8" w:rsidRPr="004549D6" w:rsidRDefault="001F6039">
      <w:pPr>
        <w:spacing w:line="360" w:lineRule="auto"/>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b/>
          <w:bCs/>
          <w:sz w:val="24"/>
          <w:szCs w:val="24"/>
        </w:rPr>
        <w:t xml:space="preserve">CUARTO. </w:t>
      </w:r>
      <w:r w:rsidRPr="004549D6">
        <w:rPr>
          <w:rFonts w:ascii="Palatino Linotype" w:eastAsia="Palatino Linotype" w:hAnsi="Palatino Linotype" w:cs="Palatino Linotype"/>
          <w:sz w:val="24"/>
          <w:szCs w:val="24"/>
        </w:rPr>
        <w:t>De conform</w:t>
      </w:r>
      <w:bookmarkStart w:id="8" w:name="_GoBack"/>
      <w:bookmarkEnd w:id="8"/>
      <w:r w:rsidRPr="004549D6">
        <w:rPr>
          <w:rFonts w:ascii="Palatino Linotype" w:eastAsia="Palatino Linotype" w:hAnsi="Palatino Linotype" w:cs="Palatino Linotype"/>
          <w:sz w:val="24"/>
          <w:szCs w:val="24"/>
        </w:rPr>
        <w:t>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8C8A9A4" w14:textId="77777777" w:rsidR="00E625A8" w:rsidRPr="004549D6" w:rsidRDefault="00E625A8">
      <w:pPr>
        <w:spacing w:line="360" w:lineRule="auto"/>
        <w:jc w:val="both"/>
        <w:rPr>
          <w:rFonts w:ascii="Palatino Linotype" w:eastAsia="Palatino Linotype" w:hAnsi="Palatino Linotype" w:cs="Palatino Linotype"/>
          <w:sz w:val="24"/>
          <w:szCs w:val="24"/>
        </w:rPr>
      </w:pPr>
    </w:p>
    <w:p w14:paraId="1520BEB7" w14:textId="6CE21803" w:rsidR="00E625A8" w:rsidRPr="004549D6" w:rsidRDefault="001F6039">
      <w:pPr>
        <w:spacing w:line="360" w:lineRule="auto"/>
        <w:ind w:right="49"/>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b/>
          <w:bCs/>
          <w:sz w:val="24"/>
          <w:szCs w:val="24"/>
        </w:rPr>
        <w:t xml:space="preserve">QUINTO. </w:t>
      </w:r>
      <w:r w:rsidRPr="004549D6">
        <w:rPr>
          <w:rFonts w:ascii="Palatino Linotype" w:eastAsia="Palatino Linotype" w:hAnsi="Palatino Linotype" w:cs="Palatino Linotype"/>
          <w:b/>
          <w:bCs/>
          <w:color w:val="222222"/>
          <w:sz w:val="24"/>
          <w:szCs w:val="24"/>
        </w:rPr>
        <w:t xml:space="preserve">Notifíquese </w:t>
      </w:r>
      <w:r w:rsidR="002C7A53" w:rsidRPr="004549D6">
        <w:rPr>
          <w:rFonts w:ascii="Palatino Linotype" w:eastAsia="Palatino Linotype" w:hAnsi="Palatino Linotype" w:cs="Palatino Linotype"/>
          <w:color w:val="222222"/>
          <w:sz w:val="24"/>
          <w:szCs w:val="24"/>
        </w:rPr>
        <w:t>AL</w:t>
      </w:r>
      <w:r w:rsidRPr="004549D6">
        <w:rPr>
          <w:rFonts w:ascii="Palatino Linotype" w:eastAsia="Palatino Linotype" w:hAnsi="Palatino Linotype" w:cs="Palatino Linotype"/>
          <w:b/>
          <w:bCs/>
          <w:sz w:val="24"/>
          <w:szCs w:val="24"/>
        </w:rPr>
        <w:t xml:space="preserve"> RECURRENTE</w:t>
      </w:r>
      <w:r w:rsidRPr="004549D6">
        <w:rPr>
          <w:rFonts w:ascii="Palatino Linotype" w:eastAsia="Palatino Linotype" w:hAnsi="Palatino Linotype" w:cs="Palatino Linotype"/>
          <w:sz w:val="24"/>
          <w:szCs w:val="24"/>
        </w:rPr>
        <w:t xml:space="preserve"> la presente resolución, vía SAIMEX.</w:t>
      </w:r>
    </w:p>
    <w:p w14:paraId="2441268F" w14:textId="77777777" w:rsidR="00E625A8" w:rsidRPr="004549D6" w:rsidRDefault="00E625A8">
      <w:pPr>
        <w:spacing w:line="360" w:lineRule="auto"/>
        <w:ind w:right="49"/>
        <w:jc w:val="both"/>
        <w:rPr>
          <w:rFonts w:ascii="Palatino Linotype" w:eastAsia="Palatino Linotype" w:hAnsi="Palatino Linotype" w:cs="Palatino Linotype"/>
          <w:sz w:val="24"/>
          <w:szCs w:val="24"/>
        </w:rPr>
      </w:pPr>
    </w:p>
    <w:p w14:paraId="7270F8A3" w14:textId="0B72E76D" w:rsidR="00E625A8" w:rsidRPr="004549D6" w:rsidRDefault="001F6039">
      <w:pPr>
        <w:spacing w:line="360" w:lineRule="auto"/>
        <w:ind w:right="49"/>
        <w:jc w:val="both"/>
        <w:rPr>
          <w:rFonts w:ascii="Palatino Linotype" w:eastAsia="Palatino Linotype" w:hAnsi="Palatino Linotype" w:cs="Palatino Linotype"/>
          <w:sz w:val="24"/>
          <w:szCs w:val="24"/>
        </w:rPr>
      </w:pPr>
      <w:r w:rsidRPr="004549D6">
        <w:rPr>
          <w:rFonts w:ascii="Palatino Linotype" w:eastAsia="Palatino Linotype" w:hAnsi="Palatino Linotype" w:cs="Palatino Linotype"/>
          <w:b/>
          <w:bCs/>
          <w:sz w:val="24"/>
          <w:szCs w:val="24"/>
        </w:rPr>
        <w:lastRenderedPageBreak/>
        <w:t>SEXTO.</w:t>
      </w:r>
      <w:r w:rsidR="002C7A53" w:rsidRPr="004549D6">
        <w:rPr>
          <w:rFonts w:ascii="Palatino Linotype" w:eastAsia="Palatino Linotype" w:hAnsi="Palatino Linotype" w:cs="Palatino Linotype"/>
          <w:sz w:val="24"/>
          <w:szCs w:val="24"/>
        </w:rPr>
        <w:t xml:space="preserve"> Se hace del conocimiento del</w:t>
      </w:r>
      <w:r w:rsidRPr="004549D6">
        <w:rPr>
          <w:rFonts w:ascii="Palatino Linotype" w:eastAsia="Palatino Linotype" w:hAnsi="Palatino Linotype" w:cs="Palatino Linotype"/>
          <w:b/>
          <w:bCs/>
          <w:sz w:val="24"/>
          <w:szCs w:val="24"/>
        </w:rPr>
        <w:t xml:space="preserve"> RECURRENTE</w:t>
      </w:r>
      <w:r w:rsidRPr="004549D6">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5224F86B" w14:textId="77777777" w:rsidR="002C7A53" w:rsidRPr="004549D6" w:rsidRDefault="002C7A53">
      <w:pPr>
        <w:spacing w:line="360" w:lineRule="auto"/>
        <w:ind w:right="49"/>
        <w:jc w:val="both"/>
        <w:rPr>
          <w:rFonts w:ascii="Palatino Linotype" w:eastAsia="Palatino Linotype" w:hAnsi="Palatino Linotype" w:cs="Palatino Linotype"/>
          <w:sz w:val="24"/>
          <w:szCs w:val="24"/>
        </w:rPr>
      </w:pPr>
    </w:p>
    <w:p w14:paraId="72FF8A5C" w14:textId="77777777" w:rsidR="00E625A8" w:rsidRPr="004549D6" w:rsidRDefault="001F6039">
      <w:pPr>
        <w:spacing w:line="360" w:lineRule="auto"/>
        <w:ind w:right="49"/>
        <w:jc w:val="both"/>
        <w:rPr>
          <w:rFonts w:ascii="Palatino Linotype" w:eastAsia="Palatino Linotype" w:hAnsi="Palatino Linotype" w:cs="Palatino Linotype"/>
          <w:color w:val="000000"/>
          <w:sz w:val="24"/>
          <w:szCs w:val="24"/>
          <w:shd w:val="clear" w:color="auto" w:fill="FAFAFA"/>
        </w:rPr>
      </w:pPr>
      <w:r w:rsidRPr="004549D6">
        <w:rPr>
          <w:rFonts w:ascii="Palatino Linotype" w:eastAsia="Palatino Linotype" w:hAnsi="Palatino Linotype" w:cs="Palatino Linotype"/>
          <w:b/>
          <w:bCs/>
          <w:color w:val="000000"/>
          <w:sz w:val="24"/>
          <w:szCs w:val="24"/>
          <w:shd w:val="clear" w:color="auto" w:fill="FAFAFA"/>
        </w:rPr>
        <w:t>SÉPTIMO. Gírese</w:t>
      </w:r>
      <w:r w:rsidRPr="004549D6">
        <w:rPr>
          <w:rFonts w:ascii="Palatino Linotype" w:eastAsia="Palatino Linotype" w:hAnsi="Palatino Linotype" w:cs="Palatino Linotype"/>
          <w:color w:val="000000"/>
          <w:sz w:val="24"/>
          <w:szCs w:val="24"/>
          <w:shd w:val="clear" w:color="auto" w:fill="FAFAFA"/>
        </w:rPr>
        <w:t> oficio al Titular de la Dirección General de Protección de Datos Personales, en atención al artículo 82, fracción XXVII de la Ley de Protección de Datos Personales del Estado de México y Municipios en términos de lo señalado en el </w:t>
      </w:r>
      <w:r w:rsidRPr="004549D6">
        <w:rPr>
          <w:rFonts w:ascii="Palatino Linotype" w:eastAsia="Palatino Linotype" w:hAnsi="Palatino Linotype" w:cs="Palatino Linotype"/>
          <w:b/>
          <w:bCs/>
          <w:color w:val="000000"/>
          <w:sz w:val="24"/>
          <w:szCs w:val="24"/>
          <w:shd w:val="clear" w:color="auto" w:fill="FAFAFA"/>
        </w:rPr>
        <w:t>Considerando QUINTO</w:t>
      </w:r>
      <w:r w:rsidRPr="004549D6">
        <w:rPr>
          <w:rFonts w:ascii="Palatino Linotype" w:eastAsia="Palatino Linotype" w:hAnsi="Palatino Linotype" w:cs="Palatino Linotype"/>
          <w:color w:val="000000"/>
          <w:sz w:val="24"/>
          <w:szCs w:val="24"/>
          <w:shd w:val="clear" w:color="auto" w:fill="FAFAFA"/>
        </w:rPr>
        <w:t> de la presente resolución.</w:t>
      </w:r>
    </w:p>
    <w:p w14:paraId="506BE315" w14:textId="77777777" w:rsidR="00E625A8" w:rsidRPr="004549D6" w:rsidRDefault="00E625A8">
      <w:pPr>
        <w:spacing w:line="360" w:lineRule="auto"/>
        <w:ind w:right="49"/>
        <w:jc w:val="both"/>
        <w:rPr>
          <w:rFonts w:ascii="Palatino Linotype" w:eastAsia="Palatino Linotype" w:hAnsi="Palatino Linotype" w:cs="Palatino Linotype"/>
          <w:sz w:val="24"/>
          <w:szCs w:val="24"/>
        </w:rPr>
      </w:pPr>
      <w:bookmarkStart w:id="9" w:name="_heading=h.aup7whgvfowp" w:colFirst="0" w:colLast="0"/>
      <w:bookmarkEnd w:id="9"/>
    </w:p>
    <w:p w14:paraId="1AF814E0" w14:textId="4085E0B2" w:rsidR="002C7A53" w:rsidRPr="004549D6" w:rsidRDefault="002C7A53" w:rsidP="002C7A53">
      <w:pPr>
        <w:spacing w:before="240" w:after="240" w:line="360" w:lineRule="auto"/>
        <w:ind w:firstLine="1"/>
        <w:jc w:val="both"/>
        <w:rPr>
          <w:rFonts w:ascii="Palatino Linotype" w:hAnsi="Palatino Linotype"/>
          <w:sz w:val="24"/>
          <w:szCs w:val="24"/>
        </w:rPr>
      </w:pPr>
      <w:bookmarkStart w:id="10" w:name="_Hlk99014733"/>
      <w:r w:rsidRPr="004549D6">
        <w:rPr>
          <w:rFonts w:ascii="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52B8B" w:rsidRPr="004549D6">
        <w:rPr>
          <w:rFonts w:ascii="Palatino Linotype" w:hAnsi="Palatino Linotype" w:cs="Palatino Linotype"/>
          <w:sz w:val="24"/>
          <w:szCs w:val="24"/>
        </w:rPr>
        <w:t xml:space="preserve"> </w:t>
      </w:r>
      <w:r w:rsidR="00252B8B" w:rsidRPr="004549D6">
        <w:rPr>
          <w:rFonts w:ascii="Palatino Linotype" w:hAnsi="Palatino Linotype"/>
          <w:sz w:val="24"/>
          <w:szCs w:val="24"/>
        </w:rPr>
        <w:t>EMITIENDO VOTO PARTICULAR CONCURRENTE</w:t>
      </w:r>
      <w:r w:rsidRPr="004549D6">
        <w:rPr>
          <w:rFonts w:ascii="Palatino Linotype" w:hAnsi="Palatino Linotype" w:cs="Palatino Linotype"/>
          <w:sz w:val="24"/>
          <w:szCs w:val="24"/>
        </w:rPr>
        <w:t>, SHARON CRISTINA MORALES MARTÍNEZ</w:t>
      </w:r>
      <w:r w:rsidR="00252B8B" w:rsidRPr="004549D6">
        <w:rPr>
          <w:rFonts w:ascii="Palatino Linotype" w:hAnsi="Palatino Linotype" w:cs="Palatino Linotype"/>
          <w:sz w:val="24"/>
          <w:szCs w:val="24"/>
        </w:rPr>
        <w:t xml:space="preserve"> </w:t>
      </w:r>
      <w:r w:rsidR="00252B8B" w:rsidRPr="004549D6">
        <w:rPr>
          <w:rFonts w:ascii="Palatino Linotype" w:hAnsi="Palatino Linotype"/>
          <w:sz w:val="24"/>
          <w:szCs w:val="24"/>
        </w:rPr>
        <w:t>EMITIENDO VOTO PARTICULAR</w:t>
      </w:r>
      <w:r w:rsidRPr="004549D6">
        <w:rPr>
          <w:rFonts w:ascii="Palatino Linotype" w:hAnsi="Palatino Linotype" w:cs="Palatino Linotype"/>
          <w:sz w:val="24"/>
          <w:szCs w:val="24"/>
        </w:rPr>
        <w:t>, LUIS GUSTAVO PARRA NORIEGA</w:t>
      </w:r>
      <w:r w:rsidR="00252B8B" w:rsidRPr="004549D6">
        <w:rPr>
          <w:rFonts w:ascii="Palatino Linotype" w:hAnsi="Palatino Linotype" w:cs="Palatino Linotype"/>
          <w:sz w:val="24"/>
          <w:szCs w:val="24"/>
        </w:rPr>
        <w:t xml:space="preserve"> </w:t>
      </w:r>
      <w:r w:rsidR="00252B8B" w:rsidRPr="004549D6">
        <w:rPr>
          <w:rFonts w:ascii="Palatino Linotype" w:hAnsi="Palatino Linotype"/>
          <w:sz w:val="24"/>
          <w:szCs w:val="24"/>
        </w:rPr>
        <w:t>EMITIENDO VOTO PARTICULAR CONCURRENTE</w:t>
      </w:r>
      <w:r w:rsidRPr="004549D6">
        <w:rPr>
          <w:rFonts w:ascii="Palatino Linotype" w:hAnsi="Palatino Linotype" w:cs="Palatino Linotype"/>
          <w:sz w:val="24"/>
          <w:szCs w:val="24"/>
        </w:rPr>
        <w:t xml:space="preserve"> Y GUADALUPE RAMÍREZ PEÑA</w:t>
      </w:r>
      <w:r w:rsidR="00252B8B" w:rsidRPr="004549D6">
        <w:rPr>
          <w:rFonts w:ascii="Palatino Linotype" w:hAnsi="Palatino Linotype" w:cs="Palatino Linotype"/>
          <w:sz w:val="24"/>
          <w:szCs w:val="24"/>
        </w:rPr>
        <w:t xml:space="preserve"> </w:t>
      </w:r>
      <w:r w:rsidR="00252B8B" w:rsidRPr="004549D6">
        <w:rPr>
          <w:rFonts w:ascii="Palatino Linotype" w:hAnsi="Palatino Linotype"/>
          <w:sz w:val="24"/>
          <w:szCs w:val="24"/>
        </w:rPr>
        <w:t>EMITIENDO VOTO PARTICULAR</w:t>
      </w:r>
      <w:r w:rsidRPr="004549D6">
        <w:rPr>
          <w:rFonts w:ascii="Palatino Linotype" w:hAnsi="Palatino Linotype" w:cs="Palatino Linotype"/>
          <w:sz w:val="24"/>
          <w:szCs w:val="24"/>
        </w:rPr>
        <w:t xml:space="preserve">; EN LA OCTAVA SESIÓN ORDINARIA, CELEBRADA EL CINCO (05) DE MARZO DE DOS MIL VEINTISÉIS, ANTE EL SECRETARIO TÉCNICO DEL PLENO </w:t>
      </w:r>
      <w:r w:rsidRPr="004549D6">
        <w:rPr>
          <w:rFonts w:ascii="Palatino Linotype" w:hAnsi="Palatino Linotype" w:cs="Palatino Linotype"/>
          <w:color w:val="000000" w:themeColor="text1"/>
          <w:sz w:val="24"/>
          <w:szCs w:val="24"/>
        </w:rPr>
        <w:t>ALEXIS TAPIA RAMÍREZ.</w:t>
      </w:r>
    </w:p>
    <w:bookmarkEnd w:id="10"/>
    <w:p w14:paraId="53AB2363"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67797C4E"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3AA2B964"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0FAF113D"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4A3517D1"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71DF91C7"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28E86BDE"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777EDEC4"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5934EB1B"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5E2C45D8"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638063E8"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4F859F76"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54434616"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33E49A20"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63F9992F"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79769EED" w14:textId="77777777" w:rsidR="00E625A8" w:rsidRPr="004549D6" w:rsidRDefault="00E625A8">
      <w:pPr>
        <w:spacing w:after="0" w:line="360" w:lineRule="auto"/>
        <w:jc w:val="both"/>
        <w:rPr>
          <w:rFonts w:ascii="Palatino Linotype" w:eastAsia="Palatino Linotype" w:hAnsi="Palatino Linotype" w:cs="Palatino Linotype"/>
          <w:sz w:val="24"/>
          <w:szCs w:val="24"/>
        </w:rPr>
      </w:pPr>
    </w:p>
    <w:p w14:paraId="15DD3157" w14:textId="77777777" w:rsidR="00E625A8" w:rsidRPr="004549D6" w:rsidRDefault="00E625A8">
      <w:pPr>
        <w:spacing w:line="360" w:lineRule="auto"/>
        <w:ind w:left="2520"/>
        <w:jc w:val="both"/>
        <w:rPr>
          <w:rFonts w:ascii="Palatino Linotype" w:eastAsia="Palatino Linotype" w:hAnsi="Palatino Linotype" w:cs="Palatino Linotype"/>
          <w:sz w:val="24"/>
          <w:szCs w:val="24"/>
        </w:rPr>
      </w:pPr>
    </w:p>
    <w:sectPr w:rsidR="00E625A8" w:rsidRPr="004549D6" w:rsidSect="004549D6">
      <w:headerReference w:type="default" r:id="rId11"/>
      <w:footerReference w:type="default" r:id="rId12"/>
      <w:headerReference w:type="first" r:id="rId13"/>
      <w:footerReference w:type="first" r:id="rId14"/>
      <w:pgSz w:w="12240" w:h="15840"/>
      <w:pgMar w:top="141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B9EDA" w14:textId="77777777" w:rsidR="0090758B" w:rsidRDefault="0090758B">
      <w:pPr>
        <w:spacing w:after="0" w:line="240" w:lineRule="auto"/>
      </w:pPr>
      <w:r>
        <w:separator/>
      </w:r>
    </w:p>
  </w:endnote>
  <w:endnote w:type="continuationSeparator" w:id="0">
    <w:p w14:paraId="6E78DAA3" w14:textId="77777777" w:rsidR="0090758B" w:rsidRDefault="00907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9E77FF5B-93B3-41BB-9701-14F2B85A46A5}"/>
    <w:embedBold r:id="rId2" w:fontKey="{2E4369B1-9071-4155-BC7B-A6D0F99328F1}"/>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4050C1B2-6A8A-452B-9FAE-B06696D7503C}"/>
    <w:embedBold r:id="rId4" w:fontKey="{127BD490-3BC8-43E3-910A-4AC8EDB24D7A}"/>
    <w:embedItalic r:id="rId5" w:fontKey="{3A4E31F3-B903-4108-BAF3-732D4D7216AB}"/>
    <w:embedBoldItalic r:id="rId6" w:fontKey="{8E2F1548-7BD4-43A4-AA89-65FE8169E44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166FFDDD-277B-436A-9BE7-6C105D6B6C6B}"/>
    <w:embedBold r:id="rId8" w:fontKey="{AE791DE6-C563-4520-A52D-7C3C36B09C23}"/>
    <w:embedItalic r:id="rId9" w:fontKey="{336E1C5B-7D0D-4146-872F-E0171186CBA8}"/>
  </w:font>
  <w:font w:name="Bookman Old Style">
    <w:panose1 w:val="02050604050505020204"/>
    <w:charset w:val="00"/>
    <w:family w:val="roman"/>
    <w:pitch w:val="variable"/>
    <w:sig w:usb0="00000287" w:usb1="00000000" w:usb2="00000000" w:usb3="00000000" w:csb0="0000009F" w:csb1="00000000"/>
    <w:embedRegular r:id="rId10" w:fontKey="{AABF509E-2B79-4257-AC68-A156C6B8CD0C}"/>
  </w:font>
  <w:font w:name="Calibri Light">
    <w:panose1 w:val="020F0302020204030204"/>
    <w:charset w:val="00"/>
    <w:family w:val="swiss"/>
    <w:pitch w:val="variable"/>
    <w:sig w:usb0="E4002EFF" w:usb1="C200247B" w:usb2="00000009" w:usb3="00000000" w:csb0="000001FF" w:csb1="00000000"/>
    <w:embedRegular r:id="rId11" w:fontKey="{3226657E-890A-4985-9755-493D01524876}"/>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embedRegular r:id="rId12" w:fontKey="{1E009112-53CE-473B-8C35-D8682B3F4E08}"/>
  </w:font>
  <w:font w:name="Segoe UI">
    <w:panose1 w:val="020B0502040204020203"/>
    <w:charset w:val="00"/>
    <w:family w:val="swiss"/>
    <w:pitch w:val="variable"/>
    <w:sig w:usb0="E4002EFF" w:usb1="C000E47F" w:usb2="00000009" w:usb3="00000000" w:csb0="000001FF" w:csb1="00000000"/>
    <w:embedRegular r:id="rId13" w:fontKey="{145E6268-2379-4071-A680-0AC00BB99F43}"/>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panose1 w:val="00000000000000000000"/>
    <w:charset w:val="00"/>
    <w:family w:val="roman"/>
    <w:notTrueType/>
    <w:pitch w:val="default"/>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4" w:fontKey="{B5C0E5CD-3F16-4625-92F9-A57F8788C5BC}"/>
  </w:font>
  <w:font w:name="Georgia">
    <w:panose1 w:val="02040502050405020303"/>
    <w:charset w:val="00"/>
    <w:family w:val="roman"/>
    <w:pitch w:val="variable"/>
    <w:sig w:usb0="00000287" w:usb1="00000000" w:usb2="00000000" w:usb3="00000000" w:csb0="0000009F" w:csb1="00000000"/>
    <w:embedRegular r:id="rId15" w:fontKey="{29BCBBDF-C89B-4D75-B711-132C91E2A903}"/>
    <w:embedItalic r:id="rId16" w:fontKey="{BF867E4C-D72B-4580-8AF5-BC79E907F1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1B741" w14:textId="77777777" w:rsidR="004549D6" w:rsidRPr="004549D6" w:rsidRDefault="004549D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549D6">
      <w:rPr>
        <w:rFonts w:ascii="Palatino Linotype" w:eastAsia="Palatino Linotype" w:hAnsi="Palatino Linotype" w:cs="Palatino Linotype"/>
        <w:b/>
        <w:color w:val="000000"/>
        <w:szCs w:val="20"/>
      </w:rPr>
      <w:t xml:space="preserve">Página </w:t>
    </w:r>
    <w:r w:rsidRPr="004549D6">
      <w:rPr>
        <w:rFonts w:ascii="Palatino Linotype" w:eastAsia="Palatino Linotype" w:hAnsi="Palatino Linotype" w:cs="Palatino Linotype"/>
        <w:b/>
        <w:color w:val="000000"/>
        <w:szCs w:val="20"/>
      </w:rPr>
      <w:fldChar w:fldCharType="begin"/>
    </w:r>
    <w:r w:rsidRPr="004549D6">
      <w:rPr>
        <w:rFonts w:ascii="Palatino Linotype" w:eastAsia="Palatino Linotype" w:hAnsi="Palatino Linotype" w:cs="Palatino Linotype"/>
        <w:b/>
        <w:color w:val="000000"/>
        <w:szCs w:val="20"/>
      </w:rPr>
      <w:instrText>PAGE</w:instrText>
    </w:r>
    <w:r w:rsidRPr="004549D6">
      <w:rPr>
        <w:rFonts w:ascii="Palatino Linotype" w:eastAsia="Palatino Linotype" w:hAnsi="Palatino Linotype" w:cs="Palatino Linotype"/>
        <w:b/>
        <w:color w:val="000000"/>
        <w:szCs w:val="20"/>
      </w:rPr>
      <w:fldChar w:fldCharType="separate"/>
    </w:r>
    <w:r w:rsidR="00BE10D6">
      <w:rPr>
        <w:rFonts w:ascii="Palatino Linotype" w:eastAsia="Palatino Linotype" w:hAnsi="Palatino Linotype" w:cs="Palatino Linotype"/>
        <w:b/>
        <w:noProof/>
        <w:color w:val="000000"/>
        <w:szCs w:val="20"/>
      </w:rPr>
      <w:t>69</w:t>
    </w:r>
    <w:r w:rsidRPr="004549D6">
      <w:rPr>
        <w:rFonts w:ascii="Palatino Linotype" w:eastAsia="Palatino Linotype" w:hAnsi="Palatino Linotype" w:cs="Palatino Linotype"/>
        <w:b/>
        <w:color w:val="000000"/>
        <w:szCs w:val="20"/>
      </w:rPr>
      <w:fldChar w:fldCharType="end"/>
    </w:r>
    <w:r w:rsidRPr="004549D6">
      <w:rPr>
        <w:rFonts w:ascii="Palatino Linotype" w:eastAsia="Palatino Linotype" w:hAnsi="Palatino Linotype" w:cs="Palatino Linotype"/>
        <w:b/>
        <w:color w:val="000000"/>
        <w:szCs w:val="20"/>
      </w:rPr>
      <w:t xml:space="preserve"> de </w:t>
    </w:r>
    <w:r w:rsidRPr="004549D6">
      <w:rPr>
        <w:rFonts w:ascii="Palatino Linotype" w:eastAsia="Palatino Linotype" w:hAnsi="Palatino Linotype" w:cs="Palatino Linotype"/>
        <w:b/>
        <w:color w:val="000000"/>
        <w:szCs w:val="20"/>
      </w:rPr>
      <w:fldChar w:fldCharType="begin"/>
    </w:r>
    <w:r w:rsidRPr="004549D6">
      <w:rPr>
        <w:rFonts w:ascii="Palatino Linotype" w:eastAsia="Palatino Linotype" w:hAnsi="Palatino Linotype" w:cs="Palatino Linotype"/>
        <w:b/>
        <w:color w:val="000000"/>
        <w:szCs w:val="20"/>
      </w:rPr>
      <w:instrText>NUMPAGES</w:instrText>
    </w:r>
    <w:r w:rsidRPr="004549D6">
      <w:rPr>
        <w:rFonts w:ascii="Palatino Linotype" w:eastAsia="Palatino Linotype" w:hAnsi="Palatino Linotype" w:cs="Palatino Linotype"/>
        <w:b/>
        <w:color w:val="000000"/>
        <w:szCs w:val="20"/>
      </w:rPr>
      <w:fldChar w:fldCharType="separate"/>
    </w:r>
    <w:r w:rsidR="00BE10D6">
      <w:rPr>
        <w:rFonts w:ascii="Palatino Linotype" w:eastAsia="Palatino Linotype" w:hAnsi="Palatino Linotype" w:cs="Palatino Linotype"/>
        <w:b/>
        <w:noProof/>
        <w:color w:val="000000"/>
        <w:szCs w:val="20"/>
      </w:rPr>
      <w:t>70</w:t>
    </w:r>
    <w:r w:rsidRPr="004549D6">
      <w:rPr>
        <w:rFonts w:ascii="Palatino Linotype" w:eastAsia="Palatino Linotype" w:hAnsi="Palatino Linotype" w:cs="Palatino Linotype"/>
        <w:b/>
        <w:color w:val="000000"/>
        <w:szCs w:val="20"/>
      </w:rPr>
      <w:fldChar w:fldCharType="end"/>
    </w:r>
  </w:p>
  <w:p w14:paraId="50702196" w14:textId="77777777" w:rsidR="004549D6" w:rsidRDefault="004549D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AFB33" w14:textId="77777777" w:rsidR="004549D6" w:rsidRPr="004549D6" w:rsidRDefault="004549D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549D6">
      <w:rPr>
        <w:rFonts w:ascii="Palatino Linotype" w:eastAsia="Palatino Linotype" w:hAnsi="Palatino Linotype" w:cs="Palatino Linotype"/>
        <w:b/>
        <w:color w:val="000000"/>
        <w:szCs w:val="20"/>
      </w:rPr>
      <w:t xml:space="preserve">Página </w:t>
    </w:r>
    <w:r w:rsidRPr="004549D6">
      <w:rPr>
        <w:rFonts w:ascii="Palatino Linotype" w:eastAsia="Palatino Linotype" w:hAnsi="Palatino Linotype" w:cs="Palatino Linotype"/>
        <w:b/>
        <w:color w:val="000000"/>
        <w:szCs w:val="20"/>
      </w:rPr>
      <w:fldChar w:fldCharType="begin"/>
    </w:r>
    <w:r w:rsidRPr="004549D6">
      <w:rPr>
        <w:rFonts w:ascii="Palatino Linotype" w:eastAsia="Palatino Linotype" w:hAnsi="Palatino Linotype" w:cs="Palatino Linotype"/>
        <w:b/>
        <w:color w:val="000000"/>
        <w:szCs w:val="20"/>
      </w:rPr>
      <w:instrText>PAGE</w:instrText>
    </w:r>
    <w:r w:rsidRPr="004549D6">
      <w:rPr>
        <w:rFonts w:ascii="Palatino Linotype" w:eastAsia="Palatino Linotype" w:hAnsi="Palatino Linotype" w:cs="Palatino Linotype"/>
        <w:b/>
        <w:color w:val="000000"/>
        <w:szCs w:val="20"/>
      </w:rPr>
      <w:fldChar w:fldCharType="separate"/>
    </w:r>
    <w:r w:rsidR="00BE10D6">
      <w:rPr>
        <w:rFonts w:ascii="Palatino Linotype" w:eastAsia="Palatino Linotype" w:hAnsi="Palatino Linotype" w:cs="Palatino Linotype"/>
        <w:b/>
        <w:noProof/>
        <w:color w:val="000000"/>
        <w:szCs w:val="20"/>
      </w:rPr>
      <w:t>1</w:t>
    </w:r>
    <w:r w:rsidRPr="004549D6">
      <w:rPr>
        <w:rFonts w:ascii="Palatino Linotype" w:eastAsia="Palatino Linotype" w:hAnsi="Palatino Linotype" w:cs="Palatino Linotype"/>
        <w:b/>
        <w:color w:val="000000"/>
        <w:szCs w:val="20"/>
      </w:rPr>
      <w:fldChar w:fldCharType="end"/>
    </w:r>
    <w:r w:rsidRPr="004549D6">
      <w:rPr>
        <w:rFonts w:ascii="Palatino Linotype" w:eastAsia="Palatino Linotype" w:hAnsi="Palatino Linotype" w:cs="Palatino Linotype"/>
        <w:b/>
        <w:color w:val="000000"/>
        <w:szCs w:val="20"/>
      </w:rPr>
      <w:t xml:space="preserve"> de </w:t>
    </w:r>
    <w:r w:rsidRPr="004549D6">
      <w:rPr>
        <w:rFonts w:ascii="Palatino Linotype" w:eastAsia="Palatino Linotype" w:hAnsi="Palatino Linotype" w:cs="Palatino Linotype"/>
        <w:b/>
        <w:color w:val="000000"/>
        <w:szCs w:val="20"/>
      </w:rPr>
      <w:fldChar w:fldCharType="begin"/>
    </w:r>
    <w:r w:rsidRPr="004549D6">
      <w:rPr>
        <w:rFonts w:ascii="Palatino Linotype" w:eastAsia="Palatino Linotype" w:hAnsi="Palatino Linotype" w:cs="Palatino Linotype"/>
        <w:b/>
        <w:color w:val="000000"/>
        <w:szCs w:val="20"/>
      </w:rPr>
      <w:instrText>NUMPAGES</w:instrText>
    </w:r>
    <w:r w:rsidRPr="004549D6">
      <w:rPr>
        <w:rFonts w:ascii="Palatino Linotype" w:eastAsia="Palatino Linotype" w:hAnsi="Palatino Linotype" w:cs="Palatino Linotype"/>
        <w:b/>
        <w:color w:val="000000"/>
        <w:szCs w:val="20"/>
      </w:rPr>
      <w:fldChar w:fldCharType="separate"/>
    </w:r>
    <w:r w:rsidR="00BE10D6">
      <w:rPr>
        <w:rFonts w:ascii="Palatino Linotype" w:eastAsia="Palatino Linotype" w:hAnsi="Palatino Linotype" w:cs="Palatino Linotype"/>
        <w:b/>
        <w:noProof/>
        <w:color w:val="000000"/>
        <w:szCs w:val="20"/>
      </w:rPr>
      <w:t>71</w:t>
    </w:r>
    <w:r w:rsidRPr="004549D6">
      <w:rPr>
        <w:rFonts w:ascii="Palatino Linotype" w:eastAsia="Palatino Linotype" w:hAnsi="Palatino Linotype" w:cs="Palatino Linotype"/>
        <w:b/>
        <w:color w:val="000000"/>
        <w:szCs w:val="20"/>
      </w:rPr>
      <w:fldChar w:fldCharType="end"/>
    </w:r>
  </w:p>
  <w:p w14:paraId="134389B4" w14:textId="77777777" w:rsidR="004549D6" w:rsidRDefault="004549D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9565A" w14:textId="77777777" w:rsidR="0090758B" w:rsidRDefault="0090758B">
      <w:pPr>
        <w:spacing w:after="0" w:line="240" w:lineRule="auto"/>
      </w:pPr>
      <w:r>
        <w:separator/>
      </w:r>
    </w:p>
  </w:footnote>
  <w:footnote w:type="continuationSeparator" w:id="0">
    <w:p w14:paraId="3FFBCD8D" w14:textId="77777777" w:rsidR="0090758B" w:rsidRDefault="0090758B">
      <w:pPr>
        <w:spacing w:after="0" w:line="240" w:lineRule="auto"/>
      </w:pPr>
      <w:r>
        <w:continuationSeparator/>
      </w:r>
    </w:p>
  </w:footnote>
  <w:footnote w:id="1">
    <w:p w14:paraId="7CDDA088" w14:textId="77777777" w:rsidR="004549D6" w:rsidRDefault="004549D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Ley de Protección de Datos Personales en Posesión de Sujetos Obligados del Estado de México. Artículo 4 fr.XII.</w:t>
      </w:r>
    </w:p>
  </w:footnote>
  <w:footnote w:id="2">
    <w:p w14:paraId="5D64886D" w14:textId="77777777" w:rsidR="004549D6" w:rsidRDefault="004549D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Artículo 143, fracción I, de la Ley de Transparencia y Acceso a la Información Pública del Estado de México y Municipios; numeral Trigésimo Octavo, fracción I, de  los Lineamientos Generales en Materia de Clasificación y Desclasificación de la Información, así como para la elaboración de versiones públicas; y, artículo 1, fracción I, de los Lineamientos Sobre Medidas de Seguridad Aplicables a los Sistemas de Datos Personales que se encuentran en Posesión de los Sujetos Obligados de la Ley de Protección de Datos Personales del Estado de México.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774" w:type="dxa"/>
      <w:tblInd w:w="-426" w:type="dxa"/>
      <w:tblLayout w:type="fixed"/>
      <w:tblLook w:val="0400" w:firstRow="0" w:lastRow="0" w:firstColumn="0" w:lastColumn="0" w:noHBand="0" w:noVBand="1"/>
    </w:tblPr>
    <w:tblGrid>
      <w:gridCol w:w="5916"/>
      <w:gridCol w:w="4149"/>
      <w:gridCol w:w="709"/>
    </w:tblGrid>
    <w:tr w:rsidR="004549D6" w14:paraId="68436A02" w14:textId="77777777" w:rsidTr="004549D6">
      <w:trPr>
        <w:trHeight w:val="227"/>
      </w:trPr>
      <w:tc>
        <w:tcPr>
          <w:tcW w:w="5916" w:type="dxa"/>
        </w:tcPr>
        <w:p w14:paraId="2C5F5183" w14:textId="435B950C" w:rsidR="004549D6" w:rsidRPr="004549D6" w:rsidRDefault="004549D6" w:rsidP="00BE10D6">
          <w:pPr>
            <w:spacing w:after="0"/>
            <w:ind w:right="204"/>
            <w:jc w:val="right"/>
            <w:rPr>
              <w:rFonts w:ascii="Palatino Linotype" w:eastAsia="Palatino Linotype" w:hAnsi="Palatino Linotype" w:cs="Palatino Linotype"/>
              <w:b/>
            </w:rPr>
          </w:pPr>
          <w:r w:rsidRPr="004549D6">
            <w:rPr>
              <w:b/>
              <w:noProof/>
              <w:sz w:val="24"/>
            </w:rPr>
            <w:drawing>
              <wp:anchor distT="0" distB="0" distL="0" distR="0" simplePos="0" relativeHeight="251658240" behindDoc="1" locked="0" layoutInCell="1" hidden="0" allowOverlap="1" wp14:anchorId="4085EDEB" wp14:editId="2E69F372">
                <wp:simplePos x="0" y="0"/>
                <wp:positionH relativeFrom="column">
                  <wp:posOffset>-787172</wp:posOffset>
                </wp:positionH>
                <wp:positionV relativeFrom="paragraph">
                  <wp:posOffset>-586596</wp:posOffset>
                </wp:positionV>
                <wp:extent cx="8078470" cy="11360545"/>
                <wp:effectExtent l="0" t="0" r="0" b="0"/>
                <wp:wrapNone/>
                <wp:docPr id="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8078470" cy="11360545"/>
                        </a:xfrm>
                        <a:prstGeom prst="rect">
                          <a:avLst/>
                        </a:prstGeom>
                        <a:ln/>
                      </pic:spPr>
                    </pic:pic>
                  </a:graphicData>
                </a:graphic>
              </wp:anchor>
            </w:drawing>
          </w:r>
          <w:r w:rsidRPr="004549D6">
            <w:rPr>
              <w:rFonts w:ascii="Palatino Linotype" w:eastAsia="Palatino Linotype" w:hAnsi="Palatino Linotype" w:cs="Palatino Linotype"/>
              <w:b/>
              <w:sz w:val="24"/>
            </w:rPr>
            <w:t>Recurso de Revisión N°:</w:t>
          </w:r>
        </w:p>
      </w:tc>
      <w:tc>
        <w:tcPr>
          <w:tcW w:w="4858" w:type="dxa"/>
          <w:gridSpan w:val="2"/>
        </w:tcPr>
        <w:p w14:paraId="5FC6CA15" w14:textId="77777777" w:rsidR="004549D6" w:rsidRPr="004549D6" w:rsidRDefault="004549D6" w:rsidP="00BE10D6">
          <w:pPr>
            <w:spacing w:after="0"/>
            <w:ind w:left="110"/>
            <w:rPr>
              <w:rFonts w:ascii="Palatino Linotype" w:eastAsia="Palatino Linotype" w:hAnsi="Palatino Linotype" w:cs="Palatino Linotype"/>
            </w:rPr>
          </w:pPr>
          <w:bookmarkStart w:id="11" w:name="_heading=h.riqyz912ete4" w:colFirst="0" w:colLast="0"/>
          <w:bookmarkEnd w:id="11"/>
          <w:r w:rsidRPr="004549D6">
            <w:rPr>
              <w:rFonts w:ascii="Palatino Linotype" w:eastAsia="Palatino Linotype" w:hAnsi="Palatino Linotype" w:cs="Palatino Linotype"/>
              <w:sz w:val="24"/>
            </w:rPr>
            <w:t>11223/INFOEM/IP/RR/2025 y acumulado</w:t>
          </w:r>
        </w:p>
      </w:tc>
    </w:tr>
    <w:tr w:rsidR="004549D6" w14:paraId="71879A22" w14:textId="77777777" w:rsidTr="004549D6">
      <w:trPr>
        <w:trHeight w:val="242"/>
      </w:trPr>
      <w:tc>
        <w:tcPr>
          <w:tcW w:w="5916" w:type="dxa"/>
        </w:tcPr>
        <w:p w14:paraId="7D46BB85" w14:textId="03C73356" w:rsidR="004549D6" w:rsidRPr="004549D6" w:rsidRDefault="004549D6" w:rsidP="00BE10D6">
          <w:pPr>
            <w:spacing w:after="0"/>
            <w:ind w:right="204"/>
            <w:jc w:val="right"/>
            <w:rPr>
              <w:rFonts w:ascii="Palatino Linotype" w:eastAsia="Palatino Linotype" w:hAnsi="Palatino Linotype" w:cs="Palatino Linotype"/>
              <w:b/>
            </w:rPr>
          </w:pPr>
          <w:r w:rsidRPr="004549D6">
            <w:rPr>
              <w:rFonts w:ascii="Palatino Linotype" w:eastAsia="Palatino Linotype" w:hAnsi="Palatino Linotype" w:cs="Palatino Linotype"/>
              <w:b/>
              <w:sz w:val="24"/>
            </w:rPr>
            <w:t>Sujeto Obligado:</w:t>
          </w:r>
        </w:p>
      </w:tc>
      <w:tc>
        <w:tcPr>
          <w:tcW w:w="4858" w:type="dxa"/>
          <w:gridSpan w:val="2"/>
        </w:tcPr>
        <w:p w14:paraId="1D94D3A1" w14:textId="77777777" w:rsidR="004549D6" w:rsidRPr="004549D6" w:rsidRDefault="004549D6" w:rsidP="00BE10D6">
          <w:pPr>
            <w:spacing w:after="0"/>
            <w:ind w:left="110"/>
            <w:rPr>
              <w:rFonts w:ascii="Palatino Linotype" w:eastAsia="Palatino Linotype" w:hAnsi="Palatino Linotype" w:cs="Palatino Linotype"/>
            </w:rPr>
          </w:pPr>
          <w:r w:rsidRPr="004549D6">
            <w:rPr>
              <w:rFonts w:ascii="Palatino Linotype" w:eastAsia="Palatino Linotype" w:hAnsi="Palatino Linotype" w:cs="Palatino Linotype"/>
              <w:sz w:val="24"/>
            </w:rPr>
            <w:t>Sistema Municipal Para el Desarrollo Integral de la Familia de Huehuetoca</w:t>
          </w:r>
        </w:p>
      </w:tc>
    </w:tr>
    <w:tr w:rsidR="004549D6" w14:paraId="2F80AE98" w14:textId="77777777" w:rsidTr="004549D6">
      <w:trPr>
        <w:trHeight w:val="342"/>
      </w:trPr>
      <w:tc>
        <w:tcPr>
          <w:tcW w:w="5916" w:type="dxa"/>
        </w:tcPr>
        <w:p w14:paraId="7A30F199" w14:textId="77777777" w:rsidR="004549D6" w:rsidRPr="004549D6" w:rsidRDefault="004549D6" w:rsidP="00BE10D6">
          <w:pPr>
            <w:tabs>
              <w:tab w:val="left" w:pos="4892"/>
            </w:tabs>
            <w:spacing w:after="0"/>
            <w:ind w:right="204"/>
            <w:jc w:val="right"/>
            <w:rPr>
              <w:rFonts w:ascii="Palatino Linotype" w:eastAsia="Palatino Linotype" w:hAnsi="Palatino Linotype" w:cs="Palatino Linotype"/>
            </w:rPr>
          </w:pPr>
          <w:r w:rsidRPr="004549D6">
            <w:rPr>
              <w:rFonts w:ascii="Palatino Linotype" w:eastAsia="Palatino Linotype" w:hAnsi="Palatino Linotype" w:cs="Palatino Linotype"/>
              <w:b/>
              <w:sz w:val="24"/>
            </w:rPr>
            <w:t>Comisionado Ponente</w:t>
          </w:r>
          <w:r w:rsidRPr="004549D6">
            <w:rPr>
              <w:rFonts w:ascii="Palatino Linotype" w:eastAsia="Palatino Linotype" w:hAnsi="Palatino Linotype" w:cs="Palatino Linotype"/>
              <w:sz w:val="24"/>
            </w:rPr>
            <w:t>:</w:t>
          </w:r>
        </w:p>
      </w:tc>
      <w:tc>
        <w:tcPr>
          <w:tcW w:w="4858" w:type="dxa"/>
          <w:gridSpan w:val="2"/>
        </w:tcPr>
        <w:p w14:paraId="42B18679" w14:textId="5CEFC716" w:rsidR="004549D6" w:rsidRPr="004549D6" w:rsidRDefault="004549D6" w:rsidP="00BE10D6">
          <w:pPr>
            <w:spacing w:after="0"/>
            <w:rPr>
              <w:rFonts w:ascii="Palatino Linotype" w:eastAsia="Palatino Linotype" w:hAnsi="Palatino Linotype" w:cs="Palatino Linotype"/>
            </w:rPr>
          </w:pPr>
          <w:r>
            <w:rPr>
              <w:rFonts w:ascii="Palatino Linotype" w:eastAsia="Palatino Linotype" w:hAnsi="Palatino Linotype" w:cs="Palatino Linotype"/>
              <w:sz w:val="24"/>
            </w:rPr>
            <w:t xml:space="preserve">  </w:t>
          </w:r>
          <w:r w:rsidRPr="004549D6">
            <w:rPr>
              <w:rFonts w:ascii="Palatino Linotype" w:eastAsia="Palatino Linotype" w:hAnsi="Palatino Linotype" w:cs="Palatino Linotype"/>
              <w:sz w:val="24"/>
            </w:rPr>
            <w:t>María del Rosario Mejía Ayala</w:t>
          </w:r>
        </w:p>
      </w:tc>
    </w:tr>
    <w:tr w:rsidR="004549D6" w14:paraId="1E8FF9A4" w14:textId="77777777" w:rsidTr="004549D6">
      <w:trPr>
        <w:gridAfter w:val="1"/>
        <w:wAfter w:w="709" w:type="dxa"/>
        <w:trHeight w:val="342"/>
      </w:trPr>
      <w:tc>
        <w:tcPr>
          <w:tcW w:w="5916" w:type="dxa"/>
        </w:tcPr>
        <w:p w14:paraId="76B6C080" w14:textId="77777777" w:rsidR="004549D6" w:rsidRDefault="004549D6">
          <w:pPr>
            <w:tabs>
              <w:tab w:val="left" w:pos="4892"/>
            </w:tabs>
            <w:ind w:right="204"/>
            <w:jc w:val="right"/>
            <w:rPr>
              <w:rFonts w:ascii="Palatino Linotype" w:eastAsia="Palatino Linotype" w:hAnsi="Palatino Linotype" w:cs="Palatino Linotype"/>
            </w:rPr>
          </w:pPr>
        </w:p>
      </w:tc>
      <w:tc>
        <w:tcPr>
          <w:tcW w:w="4149" w:type="dxa"/>
        </w:tcPr>
        <w:p w14:paraId="5C03F30C" w14:textId="77777777" w:rsidR="004549D6" w:rsidRDefault="004549D6">
          <w:pPr>
            <w:ind w:left="-486" w:firstLine="567"/>
            <w:jc w:val="right"/>
            <w:rPr>
              <w:rFonts w:ascii="Palatino Linotype" w:eastAsia="Palatino Linotype" w:hAnsi="Palatino Linotype" w:cs="Palatino Linotype"/>
            </w:rPr>
          </w:pPr>
        </w:p>
      </w:tc>
    </w:tr>
  </w:tbl>
  <w:p w14:paraId="1468B9BC" w14:textId="3C66807A" w:rsidR="004549D6" w:rsidRDefault="004549D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7937" w:type="dxa"/>
      <w:tblInd w:w="2410" w:type="dxa"/>
      <w:tblLayout w:type="fixed"/>
      <w:tblLook w:val="0400" w:firstRow="0" w:lastRow="0" w:firstColumn="0" w:lastColumn="0" w:noHBand="0" w:noVBand="1"/>
    </w:tblPr>
    <w:tblGrid>
      <w:gridCol w:w="3260"/>
      <w:gridCol w:w="4677"/>
    </w:tblGrid>
    <w:tr w:rsidR="004549D6" w14:paraId="30796F63" w14:textId="77777777" w:rsidTr="00BE10D6">
      <w:trPr>
        <w:trHeight w:val="227"/>
      </w:trPr>
      <w:tc>
        <w:tcPr>
          <w:tcW w:w="3260" w:type="dxa"/>
        </w:tcPr>
        <w:p w14:paraId="369B80E7" w14:textId="77777777" w:rsidR="004549D6" w:rsidRPr="00BE10D6" w:rsidRDefault="004549D6" w:rsidP="00BE10D6">
          <w:pPr>
            <w:spacing w:after="0"/>
            <w:ind w:right="204"/>
            <w:jc w:val="right"/>
            <w:rPr>
              <w:rFonts w:ascii="Palatino Linotype" w:eastAsia="Palatino Linotype" w:hAnsi="Palatino Linotype" w:cs="Palatino Linotype"/>
              <w:b/>
            </w:rPr>
          </w:pPr>
          <w:r w:rsidRPr="00BE10D6">
            <w:rPr>
              <w:rFonts w:ascii="Palatino Linotype" w:eastAsia="Palatino Linotype" w:hAnsi="Palatino Linotype" w:cs="Palatino Linotype"/>
              <w:b/>
              <w:sz w:val="24"/>
            </w:rPr>
            <w:t>Recurso de Revisión N°:</w:t>
          </w:r>
        </w:p>
      </w:tc>
      <w:tc>
        <w:tcPr>
          <w:tcW w:w="4677" w:type="dxa"/>
        </w:tcPr>
        <w:p w14:paraId="06ACDBD0" w14:textId="77777777" w:rsidR="004549D6" w:rsidRPr="002C7A53" w:rsidRDefault="004549D6" w:rsidP="00BE10D6">
          <w:pPr>
            <w:spacing w:after="0"/>
            <w:ind w:left="-486" w:firstLine="486"/>
            <w:rPr>
              <w:rFonts w:ascii="Palatino Linotype" w:eastAsia="Palatino Linotype" w:hAnsi="Palatino Linotype" w:cs="Palatino Linotype"/>
            </w:rPr>
          </w:pPr>
          <w:r w:rsidRPr="002C7A53">
            <w:rPr>
              <w:rFonts w:ascii="Palatino Linotype" w:eastAsia="Palatino Linotype" w:hAnsi="Palatino Linotype" w:cs="Palatino Linotype"/>
              <w:sz w:val="24"/>
            </w:rPr>
            <w:t>11223/INFOEM/IP/RR/2025 y acumulado</w:t>
          </w:r>
        </w:p>
      </w:tc>
    </w:tr>
    <w:tr w:rsidR="004549D6" w14:paraId="0C1FD573" w14:textId="77777777" w:rsidTr="00BE10D6">
      <w:trPr>
        <w:trHeight w:val="242"/>
      </w:trPr>
      <w:tc>
        <w:tcPr>
          <w:tcW w:w="3260" w:type="dxa"/>
        </w:tcPr>
        <w:p w14:paraId="3DB304FA" w14:textId="77777777" w:rsidR="004549D6" w:rsidRPr="00BE10D6" w:rsidRDefault="004549D6" w:rsidP="00BE10D6">
          <w:pPr>
            <w:spacing w:after="0"/>
            <w:ind w:right="204"/>
            <w:jc w:val="right"/>
            <w:rPr>
              <w:rFonts w:ascii="Palatino Linotype" w:eastAsia="Palatino Linotype" w:hAnsi="Palatino Linotype" w:cs="Palatino Linotype"/>
              <w:b/>
            </w:rPr>
          </w:pPr>
          <w:r w:rsidRPr="00BE10D6">
            <w:rPr>
              <w:rFonts w:ascii="Palatino Linotype" w:eastAsia="Palatino Linotype" w:hAnsi="Palatino Linotype" w:cs="Palatino Linotype"/>
              <w:b/>
              <w:sz w:val="24"/>
            </w:rPr>
            <w:t>Sujeto Obligado:</w:t>
          </w:r>
        </w:p>
      </w:tc>
      <w:tc>
        <w:tcPr>
          <w:tcW w:w="4677" w:type="dxa"/>
        </w:tcPr>
        <w:p w14:paraId="17D2C6C3" w14:textId="61FE08B3" w:rsidR="004549D6" w:rsidRPr="002C7A53" w:rsidRDefault="004549D6" w:rsidP="00BE10D6">
          <w:pPr>
            <w:spacing w:after="0"/>
            <w:ind w:left="67"/>
            <w:rPr>
              <w:rFonts w:ascii="Palatino Linotype" w:eastAsia="Palatino Linotype" w:hAnsi="Palatino Linotype" w:cs="Palatino Linotype"/>
            </w:rPr>
          </w:pPr>
          <w:r w:rsidRPr="002C7A53">
            <w:rPr>
              <w:rFonts w:ascii="Palatino Linotype" w:eastAsia="Palatino Linotype" w:hAnsi="Palatino Linotype" w:cs="Palatino Linotype"/>
              <w:sz w:val="24"/>
            </w:rPr>
            <w:t>Sistema Mu</w:t>
          </w:r>
          <w:r>
            <w:rPr>
              <w:rFonts w:ascii="Palatino Linotype" w:eastAsia="Palatino Linotype" w:hAnsi="Palatino Linotype" w:cs="Palatino Linotype"/>
              <w:sz w:val="24"/>
            </w:rPr>
            <w:t>nicipal Para el  Desarrollo In</w:t>
          </w:r>
          <w:r w:rsidRPr="002C7A53">
            <w:rPr>
              <w:rFonts w:ascii="Palatino Linotype" w:eastAsia="Palatino Linotype" w:hAnsi="Palatino Linotype" w:cs="Palatino Linotype"/>
              <w:sz w:val="24"/>
            </w:rPr>
            <w:t>gral de la Familia de Huehuetoca</w:t>
          </w:r>
        </w:p>
      </w:tc>
    </w:tr>
    <w:tr w:rsidR="004549D6" w14:paraId="5BBE6A00" w14:textId="77777777" w:rsidTr="00BE10D6">
      <w:trPr>
        <w:trHeight w:val="342"/>
      </w:trPr>
      <w:tc>
        <w:tcPr>
          <w:tcW w:w="3260" w:type="dxa"/>
        </w:tcPr>
        <w:p w14:paraId="3C4C4F81" w14:textId="77777777" w:rsidR="004549D6" w:rsidRPr="00BE10D6" w:rsidRDefault="004549D6" w:rsidP="00BE10D6">
          <w:pPr>
            <w:tabs>
              <w:tab w:val="left" w:pos="4892"/>
            </w:tabs>
            <w:spacing w:after="0"/>
            <w:ind w:right="204"/>
            <w:jc w:val="right"/>
            <w:rPr>
              <w:rFonts w:ascii="Palatino Linotype" w:eastAsia="Palatino Linotype" w:hAnsi="Palatino Linotype" w:cs="Palatino Linotype"/>
              <w:b/>
            </w:rPr>
          </w:pPr>
          <w:r w:rsidRPr="00BE10D6">
            <w:rPr>
              <w:rFonts w:ascii="Palatino Linotype" w:eastAsia="Palatino Linotype" w:hAnsi="Palatino Linotype" w:cs="Palatino Linotype"/>
              <w:b/>
              <w:sz w:val="24"/>
            </w:rPr>
            <w:t>Recurrente:</w:t>
          </w:r>
        </w:p>
      </w:tc>
      <w:tc>
        <w:tcPr>
          <w:tcW w:w="4677" w:type="dxa"/>
        </w:tcPr>
        <w:p w14:paraId="5692E094" w14:textId="77777777" w:rsidR="004549D6" w:rsidRPr="002C7A53" w:rsidRDefault="004549D6" w:rsidP="00BE10D6">
          <w:pPr>
            <w:spacing w:after="0"/>
            <w:ind w:left="-486" w:firstLine="567"/>
            <w:rPr>
              <w:rFonts w:ascii="Palatino Linotype" w:eastAsia="Palatino Linotype" w:hAnsi="Palatino Linotype" w:cs="Palatino Linotype"/>
            </w:rPr>
          </w:pPr>
        </w:p>
      </w:tc>
    </w:tr>
    <w:tr w:rsidR="004549D6" w14:paraId="7421601D" w14:textId="77777777" w:rsidTr="00BE10D6">
      <w:trPr>
        <w:trHeight w:val="60"/>
      </w:trPr>
      <w:tc>
        <w:tcPr>
          <w:tcW w:w="3260" w:type="dxa"/>
        </w:tcPr>
        <w:p w14:paraId="32F572D8" w14:textId="77777777" w:rsidR="004549D6" w:rsidRPr="00BE10D6" w:rsidRDefault="004549D6" w:rsidP="00BE10D6">
          <w:pPr>
            <w:tabs>
              <w:tab w:val="left" w:pos="4892"/>
            </w:tabs>
            <w:spacing w:after="0"/>
            <w:ind w:right="204"/>
            <w:jc w:val="right"/>
            <w:rPr>
              <w:rFonts w:ascii="Palatino Linotype" w:eastAsia="Palatino Linotype" w:hAnsi="Palatino Linotype" w:cs="Palatino Linotype"/>
              <w:b/>
            </w:rPr>
          </w:pPr>
          <w:r w:rsidRPr="00BE10D6">
            <w:rPr>
              <w:rFonts w:ascii="Palatino Linotype" w:eastAsia="Palatino Linotype" w:hAnsi="Palatino Linotype" w:cs="Palatino Linotype"/>
              <w:b/>
              <w:sz w:val="24"/>
            </w:rPr>
            <w:t>Comisionado Ponente:</w:t>
          </w:r>
        </w:p>
      </w:tc>
      <w:tc>
        <w:tcPr>
          <w:tcW w:w="4677" w:type="dxa"/>
        </w:tcPr>
        <w:p w14:paraId="0D439114" w14:textId="77777777" w:rsidR="004549D6" w:rsidRPr="002C7A53" w:rsidRDefault="004549D6" w:rsidP="00BE10D6">
          <w:pPr>
            <w:spacing w:after="0"/>
            <w:ind w:left="-486" w:firstLine="567"/>
            <w:rPr>
              <w:rFonts w:ascii="Palatino Linotype" w:eastAsia="Palatino Linotype" w:hAnsi="Palatino Linotype" w:cs="Palatino Linotype"/>
            </w:rPr>
          </w:pPr>
          <w:r w:rsidRPr="002C7A53">
            <w:rPr>
              <w:rFonts w:ascii="Palatino Linotype" w:eastAsia="Palatino Linotype" w:hAnsi="Palatino Linotype" w:cs="Palatino Linotype"/>
              <w:sz w:val="24"/>
            </w:rPr>
            <w:t>María del Rosario Mejía Ayala</w:t>
          </w:r>
        </w:p>
      </w:tc>
    </w:tr>
  </w:tbl>
  <w:p w14:paraId="3F712D0D" w14:textId="77777777" w:rsidR="004549D6" w:rsidRDefault="004549D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Pr>
        <w:rFonts w:ascii="Palatino Linotype" w:eastAsia="Palatino Linotype" w:hAnsi="Palatino Linotype" w:cs="Palatino Linotype"/>
        <w:b/>
        <w:bCs/>
        <w:noProof/>
        <w:color w:val="000000"/>
        <w:sz w:val="24"/>
        <w:szCs w:val="24"/>
      </w:rPr>
      <w:drawing>
        <wp:anchor distT="0" distB="0" distL="0" distR="0" simplePos="0" relativeHeight="251659264" behindDoc="1" locked="0" layoutInCell="1" hidden="0" allowOverlap="1" wp14:anchorId="7C14158F" wp14:editId="298C0D0E">
          <wp:simplePos x="0" y="0"/>
          <wp:positionH relativeFrom="margin">
            <wp:posOffset>-1237614</wp:posOffset>
          </wp:positionH>
          <wp:positionV relativeFrom="margin">
            <wp:posOffset>-1667067</wp:posOffset>
          </wp:positionV>
          <wp:extent cx="8046720" cy="11124234"/>
          <wp:effectExtent l="0" t="0" r="0" b="0"/>
          <wp:wrapNone/>
          <wp:docPr id="1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8046720" cy="11124234"/>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2F33"/>
    <w:multiLevelType w:val="multilevel"/>
    <w:tmpl w:val="CB6A39CE"/>
    <w:lvl w:ilvl="0">
      <w:start w:val="1"/>
      <w:numFmt w:val="decimal"/>
      <w:lvlText w:val="%1."/>
      <w:lvlJc w:val="left"/>
      <w:pPr>
        <w:ind w:left="720" w:hanging="360"/>
      </w:pPr>
      <w:rPr>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F7357"/>
    <w:multiLevelType w:val="multilevel"/>
    <w:tmpl w:val="3EA24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 w15:restartNumberingAfterBreak="0">
    <w:nsid w:val="0B4F11AA"/>
    <w:multiLevelType w:val="multilevel"/>
    <w:tmpl w:val="9794834C"/>
    <w:lvl w:ilvl="0">
      <w:start w:val="3"/>
      <w:numFmt w:val="decimal"/>
      <w:lvlText w:val="%1."/>
      <w:lvlJc w:val="left"/>
      <w:pPr>
        <w:ind w:left="149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DE6958"/>
    <w:multiLevelType w:val="multilevel"/>
    <w:tmpl w:val="36FAA696"/>
    <w:lvl w:ilvl="0">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0549B4"/>
    <w:multiLevelType w:val="multilevel"/>
    <w:tmpl w:val="8ED87CD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192F6055"/>
    <w:multiLevelType w:val="multilevel"/>
    <w:tmpl w:val="E44CCE9A"/>
    <w:lvl w:ilvl="0">
      <w:start w:val="28"/>
      <w:numFmt w:val="decimal"/>
      <w:pStyle w:val="Listaconvietas3"/>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D04A0E"/>
    <w:multiLevelType w:val="multilevel"/>
    <w:tmpl w:val="089EEE94"/>
    <w:lvl w:ilvl="0">
      <w:start w:val="32"/>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DC42BAE"/>
    <w:multiLevelType w:val="multilevel"/>
    <w:tmpl w:val="F2EAC4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3E31B5"/>
    <w:multiLevelType w:val="multilevel"/>
    <w:tmpl w:val="30A801EA"/>
    <w:lvl w:ilvl="0">
      <w:start w:val="26"/>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126D69"/>
    <w:multiLevelType w:val="multilevel"/>
    <w:tmpl w:val="4E94FB64"/>
    <w:lvl w:ilvl="0">
      <w:start w:val="1"/>
      <w:numFmt w:val="bullet"/>
      <w:lvlText w:val="●"/>
      <w:lvlJc w:val="left"/>
      <w:pPr>
        <w:ind w:left="1494"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8D0EAD"/>
    <w:multiLevelType w:val="multilevel"/>
    <w:tmpl w:val="08D2D588"/>
    <w:lvl w:ilvl="0">
      <w:start w:val="105"/>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05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71682B"/>
    <w:multiLevelType w:val="multilevel"/>
    <w:tmpl w:val="6680D7CA"/>
    <w:lvl w:ilvl="0">
      <w:start w:val="144"/>
      <w:numFmt w:val="decimal"/>
      <w:lvlText w:val="%1."/>
      <w:lvlJc w:val="left"/>
      <w:pPr>
        <w:ind w:left="928" w:hanging="360"/>
      </w:pPr>
      <w:rPr>
        <w:rFonts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6CB5505"/>
    <w:multiLevelType w:val="multilevel"/>
    <w:tmpl w:val="C12A1EC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46E20EC1"/>
    <w:multiLevelType w:val="multilevel"/>
    <w:tmpl w:val="6BA034B0"/>
    <w:lvl w:ilvl="0">
      <w:start w:val="45"/>
      <w:numFmt w:val="decimal"/>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DB05A5"/>
    <w:multiLevelType w:val="multilevel"/>
    <w:tmpl w:val="61A08C9C"/>
    <w:lvl w:ilvl="0">
      <w:start w:val="86"/>
      <w:numFmt w:val="decimal"/>
      <w:lvlText w:val="%1."/>
      <w:lvlJc w:val="left"/>
      <w:pPr>
        <w:ind w:left="0" w:firstLine="0"/>
      </w:pPr>
      <w:rPr>
        <w:rFonts w:ascii="Palatino Linotype" w:eastAsia="Palatino Linotype" w:hAnsi="Palatino Linotype" w:cs="Palatino Linotype" w:hint="default"/>
        <w:b/>
        <w:bCs/>
        <w:i w:val="0"/>
        <w:iCs w:val="0"/>
        <w:sz w:val="24"/>
        <w:szCs w:val="24"/>
      </w:rPr>
    </w:lvl>
    <w:lvl w:ilvl="1">
      <w:start w:val="1"/>
      <w:numFmt w:val="lowerLetter"/>
      <w:lvlText w:val="%2)"/>
      <w:lvlJc w:val="left"/>
      <w:pPr>
        <w:ind w:left="1440" w:hanging="360"/>
      </w:pPr>
      <w:rPr>
        <w:rFonts w:hint="default"/>
        <w:b/>
        <w:bCs/>
        <w:i w:val="0"/>
        <w:iCs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CD137CC"/>
    <w:multiLevelType w:val="multilevel"/>
    <w:tmpl w:val="A5B0006E"/>
    <w:lvl w:ilvl="0">
      <w:start w:val="9"/>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F7383E"/>
    <w:multiLevelType w:val="multilevel"/>
    <w:tmpl w:val="C8FE4BA0"/>
    <w:lvl w:ilvl="0">
      <w:start w:val="1"/>
      <w:numFmt w:val="decimal"/>
      <w:lvlText w:val="%1."/>
      <w:lvlJc w:val="left"/>
      <w:pPr>
        <w:ind w:left="149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BF2A70"/>
    <w:multiLevelType w:val="multilevel"/>
    <w:tmpl w:val="D8EC6C92"/>
    <w:lvl w:ilvl="0">
      <w:start w:val="140"/>
      <w:numFmt w:val="decimal"/>
      <w:lvlText w:val="%1."/>
      <w:lvlJc w:val="left"/>
      <w:pPr>
        <w:ind w:left="644" w:hanging="358"/>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EDD3020"/>
    <w:multiLevelType w:val="multilevel"/>
    <w:tmpl w:val="5F64DA54"/>
    <w:lvl w:ilvl="0">
      <w:start w:val="135"/>
      <w:numFmt w:val="decimal"/>
      <w:lvlText w:val="%1."/>
      <w:lvlJc w:val="left"/>
      <w:pPr>
        <w:ind w:left="360" w:hanging="360"/>
      </w:pPr>
      <w:rPr>
        <w:rFonts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F0A7222"/>
    <w:multiLevelType w:val="multilevel"/>
    <w:tmpl w:val="9892B7F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0" w15:restartNumberingAfterBreak="0">
    <w:nsid w:val="513106B1"/>
    <w:multiLevelType w:val="multilevel"/>
    <w:tmpl w:val="A5427F9A"/>
    <w:lvl w:ilvl="0">
      <w:start w:val="1"/>
      <w:numFmt w:val="decimal"/>
      <w:lvlText w:val="%1."/>
      <w:lvlJc w:val="left"/>
      <w:pPr>
        <w:ind w:left="72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370694"/>
    <w:multiLevelType w:val="multilevel"/>
    <w:tmpl w:val="09F2DE1A"/>
    <w:lvl w:ilvl="0">
      <w:start w:val="64"/>
      <w:numFmt w:val="decimal"/>
      <w:lvlText w:val="%1."/>
      <w:lvlJc w:val="left"/>
      <w:pPr>
        <w:ind w:left="1070" w:hanging="360"/>
      </w:pPr>
      <w:rPr>
        <w:rFonts w:ascii="Palatino Linotype" w:eastAsia="Arial" w:hAnsi="Palatino Linotype" w:cs="Arial" w:hint="default"/>
        <w:b/>
        <w:i w:val="0"/>
        <w:color w:val="000000"/>
        <w:sz w:val="24"/>
        <w:shd w:val="clear" w:color="auto" w:fill="auto"/>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upperRoman"/>
      <w:lvlText w:val="%3."/>
      <w:lvlJc w:val="left"/>
      <w:pPr>
        <w:ind w:left="2700" w:hanging="720"/>
      </w:pPr>
      <w:rPr>
        <w:rFonts w:hint="default"/>
      </w:rPr>
    </w:lvl>
    <w:lvl w:ilvl="3">
      <w:start w:val="1"/>
      <w:numFmt w:val="lowerLetter"/>
      <w:lvlText w:val="%4)"/>
      <w:lvlJc w:val="left"/>
      <w:pPr>
        <w:ind w:left="2895" w:hanging="375"/>
      </w:pPr>
      <w:rPr>
        <w:rFonts w:hint="default"/>
        <w:color w:val="000000"/>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FC12B30"/>
    <w:multiLevelType w:val="multilevel"/>
    <w:tmpl w:val="33FE0830"/>
    <w:lvl w:ilvl="0">
      <w:start w:val="109"/>
      <w:numFmt w:val="decimal"/>
      <w:lvlText w:val="%1."/>
      <w:lvlJc w:val="left"/>
      <w:pPr>
        <w:ind w:left="0" w:firstLine="0"/>
      </w:pPr>
      <w:rPr>
        <w:rFonts w:ascii="Palatino Linotype" w:eastAsia="Palatino Linotype" w:hAnsi="Palatino Linotype" w:cs="Palatino Linotype" w:hint="default"/>
        <w:b/>
        <w:bCs/>
        <w:i w:val="0"/>
        <w:iCs w:val="0"/>
        <w:sz w:val="24"/>
        <w:szCs w:val="24"/>
      </w:rPr>
    </w:lvl>
    <w:lvl w:ilvl="1">
      <w:start w:val="1"/>
      <w:numFmt w:val="lowerLetter"/>
      <w:lvlText w:val="%2)"/>
      <w:lvlJc w:val="left"/>
      <w:pPr>
        <w:ind w:left="1440" w:hanging="360"/>
      </w:pPr>
      <w:rPr>
        <w:rFonts w:hint="default"/>
        <w:b/>
        <w:bCs/>
        <w:i w:val="0"/>
        <w:iCs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2FA6A7D"/>
    <w:multiLevelType w:val="multilevel"/>
    <w:tmpl w:val="0FF44828"/>
    <w:lvl w:ilvl="0">
      <w:start w:val="107"/>
      <w:numFmt w:val="decimal"/>
      <w:lvlText w:val="%1."/>
      <w:lvlJc w:val="left"/>
      <w:pPr>
        <w:ind w:left="1495" w:hanging="360"/>
      </w:pPr>
      <w:rPr>
        <w:rFonts w:hint="default"/>
        <w:b/>
        <w:bCs/>
        <w:i w:val="0"/>
        <w:iCs w:val="0"/>
        <w:color w:val="000000"/>
        <w:sz w:val="24"/>
        <w:szCs w:val="24"/>
      </w:rPr>
    </w:lvl>
    <w:lvl w:ilvl="1">
      <w:start w:val="1"/>
      <w:numFmt w:val="decimal"/>
      <w:lvlText w:val="%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58E414F"/>
    <w:multiLevelType w:val="multilevel"/>
    <w:tmpl w:val="8724E190"/>
    <w:lvl w:ilvl="0">
      <w:start w:val="42"/>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5E493F"/>
    <w:multiLevelType w:val="multilevel"/>
    <w:tmpl w:val="73EED19E"/>
    <w:lvl w:ilvl="0">
      <w:start w:val="10"/>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E743141"/>
    <w:multiLevelType w:val="multilevel"/>
    <w:tmpl w:val="B0E604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6C5399F"/>
    <w:multiLevelType w:val="multilevel"/>
    <w:tmpl w:val="7468387E"/>
    <w:lvl w:ilvl="0">
      <w:start w:val="8"/>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8221464"/>
    <w:multiLevelType w:val="multilevel"/>
    <w:tmpl w:val="C7B4017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9" w15:restartNumberingAfterBreak="0">
    <w:nsid w:val="78302155"/>
    <w:multiLevelType w:val="multilevel"/>
    <w:tmpl w:val="ED429280"/>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3"/>
  </w:num>
  <w:num w:numId="2">
    <w:abstractNumId w:val="5"/>
  </w:num>
  <w:num w:numId="3">
    <w:abstractNumId w:val="20"/>
  </w:num>
  <w:num w:numId="4">
    <w:abstractNumId w:val="17"/>
  </w:num>
  <w:num w:numId="5">
    <w:abstractNumId w:val="11"/>
  </w:num>
  <w:num w:numId="6">
    <w:abstractNumId w:val="19"/>
  </w:num>
  <w:num w:numId="7">
    <w:abstractNumId w:val="9"/>
  </w:num>
  <w:num w:numId="8">
    <w:abstractNumId w:val="27"/>
  </w:num>
  <w:num w:numId="9">
    <w:abstractNumId w:val="16"/>
  </w:num>
  <w:num w:numId="10">
    <w:abstractNumId w:val="24"/>
  </w:num>
  <w:num w:numId="11">
    <w:abstractNumId w:val="29"/>
  </w:num>
  <w:num w:numId="12">
    <w:abstractNumId w:val="22"/>
  </w:num>
  <w:num w:numId="13">
    <w:abstractNumId w:val="7"/>
  </w:num>
  <w:num w:numId="14">
    <w:abstractNumId w:val="12"/>
  </w:num>
  <w:num w:numId="15">
    <w:abstractNumId w:val="14"/>
  </w:num>
  <w:num w:numId="16">
    <w:abstractNumId w:val="10"/>
  </w:num>
  <w:num w:numId="17">
    <w:abstractNumId w:val="26"/>
  </w:num>
  <w:num w:numId="18">
    <w:abstractNumId w:val="2"/>
  </w:num>
  <w:num w:numId="19">
    <w:abstractNumId w:val="18"/>
  </w:num>
  <w:num w:numId="20">
    <w:abstractNumId w:val="13"/>
  </w:num>
  <w:num w:numId="21">
    <w:abstractNumId w:val="23"/>
  </w:num>
  <w:num w:numId="22">
    <w:abstractNumId w:val="0"/>
  </w:num>
  <w:num w:numId="23">
    <w:abstractNumId w:val="28"/>
  </w:num>
  <w:num w:numId="24">
    <w:abstractNumId w:val="15"/>
  </w:num>
  <w:num w:numId="25">
    <w:abstractNumId w:val="25"/>
  </w:num>
  <w:num w:numId="26">
    <w:abstractNumId w:val="8"/>
  </w:num>
  <w:num w:numId="27">
    <w:abstractNumId w:val="21"/>
  </w:num>
  <w:num w:numId="28">
    <w:abstractNumId w:val="1"/>
  </w:num>
  <w:num w:numId="29">
    <w:abstractNumId w:val="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5A8"/>
    <w:rsid w:val="001A2498"/>
    <w:rsid w:val="001F6039"/>
    <w:rsid w:val="00252B8B"/>
    <w:rsid w:val="002C7A53"/>
    <w:rsid w:val="002D7D79"/>
    <w:rsid w:val="003278FE"/>
    <w:rsid w:val="0033386E"/>
    <w:rsid w:val="004549D6"/>
    <w:rsid w:val="006061F6"/>
    <w:rsid w:val="006A3E86"/>
    <w:rsid w:val="006C6E80"/>
    <w:rsid w:val="008A3349"/>
    <w:rsid w:val="008E7387"/>
    <w:rsid w:val="0090758B"/>
    <w:rsid w:val="009602F0"/>
    <w:rsid w:val="00A32462"/>
    <w:rsid w:val="00AE7F28"/>
    <w:rsid w:val="00BB27B4"/>
    <w:rsid w:val="00BE10D6"/>
    <w:rsid w:val="00D84317"/>
    <w:rsid w:val="00E2764D"/>
    <w:rsid w:val="00E625A8"/>
    <w:rsid w:val="00FE28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6FA07"/>
  <w15:docId w15:val="{B1D32BBE-76B7-4D10-805F-EC1E5A81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line="240" w:lineRule="auto"/>
      <w:outlineLvl w:val="0"/>
    </w:pPr>
    <w:rPr>
      <w:color w:val="2E75B5"/>
      <w:sz w:val="32"/>
      <w:szCs w:val="32"/>
    </w:rPr>
  </w:style>
  <w:style w:type="paragraph" w:styleId="Ttulo2">
    <w:name w:val="heading 2"/>
    <w:basedOn w:val="Normal"/>
    <w:next w:val="Normal"/>
    <w:pPr>
      <w:keepNext/>
      <w:keepLines/>
      <w:spacing w:before="40" w:after="0"/>
      <w:outlineLvl w:val="1"/>
    </w:pPr>
    <w:rPr>
      <w:color w:val="2E75B5"/>
      <w:sz w:val="26"/>
      <w:szCs w:val="26"/>
    </w:rPr>
  </w:style>
  <w:style w:type="paragraph" w:styleId="Ttulo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pPr>
      <w:spacing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pPr>
      <w:keepNext/>
      <w:keepLines/>
      <w:spacing w:before="40" w:after="0" w:line="240" w:lineRule="auto"/>
      <w:outlineLvl w:val="4"/>
    </w:pPr>
    <w:rPr>
      <w:color w:val="2E75B5"/>
      <w:sz w:val="24"/>
      <w:szCs w:val="24"/>
    </w:rPr>
  </w:style>
  <w:style w:type="paragraph" w:styleId="Ttulo6">
    <w:name w:val="heading 6"/>
    <w:basedOn w:val="Normal"/>
    <w:next w:val="Normal"/>
    <w:pPr>
      <w:keepNext/>
      <w:keepLines/>
      <w:spacing w:before="40" w:after="0" w:line="240" w:lineRule="auto"/>
      <w:outlineLvl w:val="5"/>
    </w:pPr>
    <w:rPr>
      <w:color w:val="1E4D7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line="240" w:lineRule="auto"/>
    </w:pPr>
    <w:rPr>
      <w:rFonts w:ascii="Times New Roman" w:eastAsia="Times New Roman" w:hAnsi="Times New Roman" w:cs="Times New Roman"/>
      <w:b/>
      <w:bCs/>
      <w:sz w:val="72"/>
      <w:szCs w:val="72"/>
    </w:rPr>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qFormat/>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rPr>
  </w:style>
  <w:style w:type="character" w:customStyle="1" w:styleId="Ttulo1Car">
    <w:name w:val="Título 1 Car"/>
    <w:basedOn w:val="Fuentedeprrafopredeter"/>
    <w:uiPriority w:val="9"/>
    <w:rsid w:val="005D64B0"/>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uiPriority w:val="9"/>
    <w:rsid w:val="005D64B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uiPriority w:val="9"/>
    <w:rsid w:val="005D64B0"/>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uiPriority w:val="9"/>
    <w:rsid w:val="005D64B0"/>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uiPriority w:val="9"/>
    <w:rsid w:val="005D64B0"/>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rsid w:val="005D64B0"/>
    <w:rPr>
      <w:rFonts w:asciiTheme="majorHAnsi" w:eastAsiaTheme="majorEastAsia" w:hAnsiTheme="majorHAnsi" w:cstheme="majorBidi"/>
      <w:color w:val="1F4D78" w:themeColor="accent1" w:themeShade="7F"/>
      <w:sz w:val="24"/>
      <w:szCs w:val="24"/>
      <w:lang w:val="es-ES" w:eastAsia="es-ES"/>
    </w:rPr>
  </w:style>
  <w:style w:type="numbering" w:customStyle="1" w:styleId="Sinlista1">
    <w:name w:val="Sin lista1"/>
    <w:next w:val="Sinlista"/>
    <w:uiPriority w:val="99"/>
    <w:semiHidden/>
    <w:unhideWhenUsed/>
    <w:rsid w:val="005D64B0"/>
  </w:style>
  <w:style w:type="table" w:customStyle="1" w:styleId="Tabladelista1clara-nfasis1115">
    <w:name w:val="Tabla de lista 1 clara - Énfasis 1115"/>
    <w:basedOn w:val="Tablanormal"/>
    <w:next w:val="Tabladelista1clara-nfasis1"/>
    <w:uiPriority w:val="46"/>
    <w:rsid w:val="005D64B0"/>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5D64B0"/>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Textoennegrita">
    <w:name w:val="Strong"/>
    <w:uiPriority w:val="22"/>
    <w:qFormat/>
    <w:rsid w:val="005D64B0"/>
    <w:rPr>
      <w:b/>
      <w:bCs/>
    </w:rPr>
  </w:style>
  <w:style w:type="character" w:customStyle="1" w:styleId="TextodegloboCar">
    <w:name w:val="Texto de globo Car"/>
    <w:basedOn w:val="Fuentedeprrafopredeter"/>
    <w:link w:val="Textodeglobo"/>
    <w:uiPriority w:val="99"/>
    <w:semiHidden/>
    <w:rsid w:val="005D64B0"/>
    <w:rPr>
      <w:rFonts w:ascii="Tahoma" w:hAnsi="Tahoma" w:cs="Tahoma"/>
      <w:sz w:val="16"/>
      <w:szCs w:val="16"/>
    </w:rPr>
  </w:style>
  <w:style w:type="paragraph" w:styleId="Textodeglobo">
    <w:name w:val="Balloon Text"/>
    <w:basedOn w:val="Normal"/>
    <w:link w:val="TextodegloboCar"/>
    <w:uiPriority w:val="99"/>
    <w:semiHidden/>
    <w:unhideWhenUsed/>
    <w:rsid w:val="005D64B0"/>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5D64B0"/>
    <w:rPr>
      <w:rFonts w:ascii="Segoe UI" w:hAnsi="Segoe UI" w:cs="Segoe UI"/>
      <w:sz w:val="18"/>
      <w:szCs w:val="18"/>
    </w:rPr>
  </w:style>
  <w:style w:type="paragraph" w:customStyle="1" w:styleId="n2">
    <w:name w:val="n2"/>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5D64B0"/>
    <w:rPr>
      <w:i/>
      <w:iCs/>
    </w:rPr>
  </w:style>
  <w:style w:type="paragraph" w:customStyle="1" w:styleId="j">
    <w:name w:val="j"/>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cep">
    <w:name w:val="n_acep"/>
    <w:basedOn w:val="Fuentedeprrafopredeter"/>
    <w:rsid w:val="005D64B0"/>
  </w:style>
  <w:style w:type="character" w:customStyle="1" w:styleId="notranslate">
    <w:name w:val="notranslate"/>
    <w:basedOn w:val="Fuentedeprrafopredeter"/>
    <w:rsid w:val="005D64B0"/>
  </w:style>
  <w:style w:type="character" w:customStyle="1" w:styleId="TextocomentarioCar">
    <w:name w:val="Texto comentario Car"/>
    <w:basedOn w:val="Fuentedeprrafopredeter"/>
    <w:link w:val="Textocomentario"/>
    <w:uiPriority w:val="99"/>
    <w:semiHidden/>
    <w:rsid w:val="005D64B0"/>
    <w:rPr>
      <w:sz w:val="20"/>
      <w:szCs w:val="20"/>
    </w:rPr>
  </w:style>
  <w:style w:type="paragraph" w:styleId="Textocomentario">
    <w:name w:val="annotation text"/>
    <w:basedOn w:val="Normal"/>
    <w:link w:val="TextocomentarioCar"/>
    <w:uiPriority w:val="99"/>
    <w:semiHidden/>
    <w:unhideWhenUsed/>
    <w:rsid w:val="005D64B0"/>
    <w:pPr>
      <w:spacing w:line="240" w:lineRule="auto"/>
    </w:pPr>
    <w:rPr>
      <w:sz w:val="20"/>
      <w:szCs w:val="20"/>
    </w:rPr>
  </w:style>
  <w:style w:type="character" w:customStyle="1" w:styleId="TextocomentarioCar1">
    <w:name w:val="Texto comentario Car1"/>
    <w:basedOn w:val="Fuentedeprrafopredeter"/>
    <w:uiPriority w:val="99"/>
    <w:semiHidden/>
    <w:rsid w:val="005D64B0"/>
    <w:rPr>
      <w:sz w:val="20"/>
      <w:szCs w:val="20"/>
    </w:rPr>
  </w:style>
  <w:style w:type="character" w:customStyle="1" w:styleId="AsuntodelcomentarioCar">
    <w:name w:val="Asunto del comentario Car"/>
    <w:basedOn w:val="TextocomentarioCar"/>
    <w:link w:val="Asuntodelcomentario"/>
    <w:uiPriority w:val="99"/>
    <w:semiHidden/>
    <w:rsid w:val="005D64B0"/>
    <w:rPr>
      <w:b/>
      <w:bCs/>
      <w:sz w:val="20"/>
      <w:szCs w:val="20"/>
    </w:rPr>
  </w:style>
  <w:style w:type="paragraph" w:styleId="Asuntodelcomentario">
    <w:name w:val="annotation subject"/>
    <w:basedOn w:val="Textocomentario"/>
    <w:next w:val="Textocomentario"/>
    <w:link w:val="AsuntodelcomentarioCar"/>
    <w:uiPriority w:val="99"/>
    <w:semiHidden/>
    <w:unhideWhenUsed/>
    <w:rsid w:val="005D64B0"/>
    <w:rPr>
      <w:b/>
      <w:bCs/>
    </w:rPr>
  </w:style>
  <w:style w:type="character" w:customStyle="1" w:styleId="AsuntodelcomentarioCar1">
    <w:name w:val="Asunto del comentario Car1"/>
    <w:basedOn w:val="TextocomentarioCar1"/>
    <w:uiPriority w:val="99"/>
    <w:semiHidden/>
    <w:rsid w:val="005D64B0"/>
    <w:rPr>
      <w:b/>
      <w:bCs/>
      <w:sz w:val="20"/>
      <w:szCs w:val="20"/>
    </w:rPr>
  </w:style>
  <w:style w:type="character" w:customStyle="1" w:styleId="apple-style-span">
    <w:name w:val="apple-style-span"/>
    <w:rsid w:val="005D64B0"/>
  </w:style>
  <w:style w:type="paragraph" w:customStyle="1" w:styleId="paragraph">
    <w:name w:val="paragraph"/>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5D64B0"/>
  </w:style>
  <w:style w:type="paragraph" w:customStyle="1" w:styleId="Body1">
    <w:name w:val="Body 1"/>
    <w:rsid w:val="005D64B0"/>
    <w:pPr>
      <w:spacing w:after="200" w:line="276" w:lineRule="auto"/>
      <w:outlineLvl w:val="0"/>
    </w:pPr>
    <w:rPr>
      <w:rFonts w:ascii="Helvetica" w:eastAsia="Arial Unicode MS" w:hAnsi="Helvetica" w:cs="Times New Roman"/>
      <w:color w:val="000000"/>
      <w:szCs w:val="20"/>
      <w:u w:color="000000"/>
    </w:rPr>
  </w:style>
  <w:style w:type="paragraph" w:styleId="Textosinformato">
    <w:name w:val="Plain Text"/>
    <w:basedOn w:val="Normal"/>
    <w:link w:val="TextosinformatoCar"/>
    <w:rsid w:val="005D64B0"/>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5D64B0"/>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5D64B0"/>
  </w:style>
  <w:style w:type="character" w:customStyle="1" w:styleId="red">
    <w:name w:val="red"/>
    <w:basedOn w:val="Fuentedeprrafopredeter"/>
    <w:rsid w:val="005D64B0"/>
  </w:style>
  <w:style w:type="paragraph" w:customStyle="1" w:styleId="francesa">
    <w:name w:val="francesa"/>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0">
    <w:name w:val="Pa0"/>
    <w:basedOn w:val="Default"/>
    <w:next w:val="Default"/>
    <w:uiPriority w:val="99"/>
    <w:rsid w:val="005D64B0"/>
    <w:pPr>
      <w:spacing w:line="221" w:lineRule="atLeast"/>
    </w:pPr>
    <w:rPr>
      <w:rFonts w:ascii="Arial" w:hAnsi="Arial" w:cs="Arial"/>
      <w:color w:val="auto"/>
    </w:rPr>
  </w:style>
  <w:style w:type="paragraph" w:customStyle="1" w:styleId="j2">
    <w:name w:val="j2"/>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
    <w:name w:val="o"/>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
    <w:name w:val="h"/>
    <w:basedOn w:val="Fuentedeprrafopredeter"/>
    <w:rsid w:val="005D64B0"/>
  </w:style>
  <w:style w:type="character" w:customStyle="1" w:styleId="i1">
    <w:name w:val="i1"/>
    <w:basedOn w:val="Fuentedeprrafopredeter"/>
    <w:rsid w:val="005D64B0"/>
  </w:style>
  <w:style w:type="paragraph" w:styleId="Sangradetextonormal">
    <w:name w:val="Body Text Indent"/>
    <w:basedOn w:val="Normal"/>
    <w:link w:val="SangradetextonormalCar"/>
    <w:uiPriority w:val="99"/>
    <w:unhideWhenUsed/>
    <w:rsid w:val="005D64B0"/>
    <w:pPr>
      <w:spacing w:after="120" w:line="276" w:lineRule="auto"/>
      <w:ind w:left="283"/>
    </w:pPr>
    <w:rPr>
      <w:rFonts w:cs="Times New Roman"/>
    </w:rPr>
  </w:style>
  <w:style w:type="character" w:customStyle="1" w:styleId="SangradetextonormalCar">
    <w:name w:val="Sangría de texto normal Car"/>
    <w:basedOn w:val="Fuentedeprrafopredeter"/>
    <w:link w:val="Sangradetextonormal"/>
    <w:uiPriority w:val="99"/>
    <w:rsid w:val="005D64B0"/>
    <w:rPr>
      <w:rFonts w:ascii="Calibri" w:eastAsia="Calibri" w:hAnsi="Calibri" w:cs="Times New Roman"/>
    </w:rPr>
  </w:style>
  <w:style w:type="character" w:styleId="Hipervnculovisitado">
    <w:name w:val="FollowedHyperlink"/>
    <w:basedOn w:val="Fuentedeprrafopredeter"/>
    <w:uiPriority w:val="99"/>
    <w:semiHidden/>
    <w:unhideWhenUsed/>
    <w:rsid w:val="005D64B0"/>
    <w:rPr>
      <w:color w:val="954F72" w:themeColor="followedHyperlink"/>
      <w:u w:val="single"/>
    </w:rPr>
  </w:style>
  <w:style w:type="character" w:styleId="Refdecomentario">
    <w:name w:val="annotation reference"/>
    <w:basedOn w:val="Fuentedeprrafopredeter"/>
    <w:uiPriority w:val="99"/>
    <w:semiHidden/>
    <w:unhideWhenUsed/>
    <w:rsid w:val="005D64B0"/>
    <w:rPr>
      <w:sz w:val="16"/>
      <w:szCs w:val="16"/>
    </w:rPr>
  </w:style>
  <w:style w:type="paragraph" w:customStyle="1" w:styleId="Listavistosa-nfasis11">
    <w:name w:val="Lista vistosa - Énfasis 11"/>
    <w:basedOn w:val="Normal"/>
    <w:link w:val="Listavistosa-nfasis1Car"/>
    <w:uiPriority w:val="34"/>
    <w:qFormat/>
    <w:rsid w:val="005D64B0"/>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5D64B0"/>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5D64B0"/>
    <w:pPr>
      <w:spacing w:after="101" w:line="216" w:lineRule="exact"/>
      <w:ind w:firstLine="288"/>
      <w:jc w:val="both"/>
    </w:pPr>
    <w:rPr>
      <w:rFonts w:ascii="Arial" w:eastAsia="Times New Roman" w:hAnsi="Arial" w:cs="Arial"/>
      <w:sz w:val="18"/>
      <w:szCs w:val="18"/>
      <w:lang w:eastAsia="es-ES"/>
    </w:rPr>
  </w:style>
  <w:style w:type="paragraph" w:customStyle="1" w:styleId="Standard">
    <w:name w:val="Standard"/>
    <w:rsid w:val="005D64B0"/>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5D64B0"/>
    <w:rPr>
      <w:rFonts w:ascii="Arial" w:hAnsi="Arial" w:cs="Arial" w:hint="default"/>
      <w:b/>
      <w:bCs/>
      <w:sz w:val="18"/>
      <w:szCs w:val="18"/>
    </w:rPr>
  </w:style>
  <w:style w:type="paragraph" w:customStyle="1" w:styleId="Pa2">
    <w:name w:val="Pa2"/>
    <w:basedOn w:val="Normal"/>
    <w:next w:val="Normal"/>
    <w:uiPriority w:val="99"/>
    <w:rsid w:val="005D64B0"/>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
    <w:name w:val="d"/>
    <w:basedOn w:val="Fuentedeprrafopredeter"/>
    <w:rsid w:val="005D64B0"/>
  </w:style>
  <w:style w:type="character" w:customStyle="1" w:styleId="b">
    <w:name w:val="b"/>
    <w:basedOn w:val="Fuentedeprrafopredeter"/>
    <w:rsid w:val="005D64B0"/>
  </w:style>
  <w:style w:type="character" w:customStyle="1" w:styleId="k">
    <w:name w:val="k"/>
    <w:basedOn w:val="Fuentedeprrafopredeter"/>
    <w:rsid w:val="005D64B0"/>
  </w:style>
  <w:style w:type="character" w:styleId="CitaHTML">
    <w:name w:val="HTML Cite"/>
    <w:uiPriority w:val="99"/>
    <w:semiHidden/>
    <w:unhideWhenUsed/>
    <w:rsid w:val="005D64B0"/>
    <w:rPr>
      <w:i/>
      <w:iCs/>
    </w:rPr>
  </w:style>
  <w:style w:type="paragraph" w:customStyle="1" w:styleId="RSCGnotaalpie">
    <w:name w:val="RSCG nota al pie"/>
    <w:basedOn w:val="Normal"/>
    <w:uiPriority w:val="99"/>
    <w:qFormat/>
    <w:rsid w:val="005D64B0"/>
    <w:pPr>
      <w:spacing w:after="120" w:line="240" w:lineRule="auto"/>
      <w:jc w:val="both"/>
    </w:pPr>
    <w:rPr>
      <w:rFonts w:ascii="Palatino" w:eastAsia="Times New Roman" w:hAnsi="Palatino"/>
    </w:rPr>
  </w:style>
  <w:style w:type="character" w:customStyle="1" w:styleId="lbl-encabezado-blanco2">
    <w:name w:val="lbl-encabezado-blanco2"/>
    <w:rsid w:val="005D64B0"/>
    <w:rPr>
      <w:color w:val="FFFFFF"/>
    </w:rPr>
  </w:style>
  <w:style w:type="character" w:customStyle="1" w:styleId="TextoCar">
    <w:name w:val="Texto Car"/>
    <w:link w:val="Texto"/>
    <w:locked/>
    <w:rsid w:val="005D64B0"/>
    <w:rPr>
      <w:rFonts w:ascii="Arial" w:eastAsia="Times New Roman" w:hAnsi="Arial" w:cs="Arial"/>
      <w:sz w:val="18"/>
      <w:szCs w:val="18"/>
      <w:lang w:eastAsia="es-ES"/>
    </w:rPr>
  </w:style>
  <w:style w:type="paragraph" w:customStyle="1" w:styleId="ANOTACION">
    <w:name w:val="ANOTACION"/>
    <w:basedOn w:val="Normal"/>
    <w:link w:val="ANOTACIONCar"/>
    <w:rsid w:val="005D64B0"/>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5D64B0"/>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5D64B0"/>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5D64B0"/>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5D64B0"/>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5D64B0"/>
  </w:style>
  <w:style w:type="character" w:customStyle="1" w:styleId="Ninguno">
    <w:name w:val="Ninguno"/>
    <w:rsid w:val="005D64B0"/>
    <w:rPr>
      <w:lang w:val="es-ES_tradnl"/>
    </w:rPr>
  </w:style>
  <w:style w:type="paragraph" w:customStyle="1" w:styleId="Cuerpo">
    <w:name w:val="Cuerpo"/>
    <w:rsid w:val="005D64B0"/>
    <w:pPr>
      <w:pBdr>
        <w:top w:val="nil"/>
        <w:left w:val="nil"/>
        <w:bottom w:val="nil"/>
        <w:right w:val="nil"/>
        <w:between w:val="nil"/>
        <w:bar w:val="nil"/>
      </w:pBdr>
    </w:pPr>
    <w:rPr>
      <w:color w:val="000000"/>
      <w:u w:color="000000"/>
      <w:bdr w:val="nil"/>
      <w:lang w:val="de-DE" w:eastAsia="es-ES"/>
    </w:rPr>
  </w:style>
  <w:style w:type="numbering" w:customStyle="1" w:styleId="Estiloimportado2">
    <w:name w:val="Estilo importado 2"/>
    <w:rsid w:val="005D64B0"/>
  </w:style>
  <w:style w:type="numbering" w:customStyle="1" w:styleId="Estiloimportado1">
    <w:name w:val="Estilo importado 1"/>
    <w:qFormat/>
    <w:rsid w:val="005D64B0"/>
  </w:style>
  <w:style w:type="paragraph" w:customStyle="1" w:styleId="INCISO">
    <w:name w:val="INCISO"/>
    <w:basedOn w:val="Normal"/>
    <w:rsid w:val="005D64B0"/>
    <w:pPr>
      <w:spacing w:after="101" w:line="216" w:lineRule="exact"/>
      <w:ind w:left="1080" w:hanging="360"/>
      <w:jc w:val="both"/>
    </w:pPr>
    <w:rPr>
      <w:rFonts w:ascii="Arial" w:eastAsia="Times New Roman" w:hAnsi="Arial" w:cs="Arial"/>
      <w:sz w:val="18"/>
      <w:szCs w:val="18"/>
      <w:lang w:val="es-ES"/>
    </w:rPr>
  </w:style>
  <w:style w:type="paragraph" w:customStyle="1" w:styleId="m5212863947045306324gmail-msonormal">
    <w:name w:val="m_5212863947045306324gmail-msonormal"/>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highlighted-active">
    <w:name w:val="user-highlighted-active"/>
    <w:basedOn w:val="Fuentedeprrafopredeter"/>
    <w:rsid w:val="005D64B0"/>
  </w:style>
  <w:style w:type="paragraph" w:styleId="Lista">
    <w:name w:val="List"/>
    <w:basedOn w:val="Normal"/>
    <w:uiPriority w:val="99"/>
    <w:unhideWhenUsed/>
    <w:rsid w:val="005D64B0"/>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5D64B0"/>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5D64B0"/>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5D64B0"/>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5D64B0"/>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5D64B0"/>
  </w:style>
  <w:style w:type="character" w:customStyle="1" w:styleId="titulorubrolgt">
    <w:name w:val="titulorubrolgt"/>
    <w:basedOn w:val="Fuentedeprrafopredeter"/>
    <w:rsid w:val="005D64B0"/>
  </w:style>
  <w:style w:type="paragraph" w:customStyle="1" w:styleId="Text">
    <w:name w:val="Text"/>
    <w:basedOn w:val="Normal"/>
    <w:link w:val="TextChar"/>
    <w:rsid w:val="005D64B0"/>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5D64B0"/>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5D64B0"/>
    <w:pPr>
      <w:spacing w:after="0" w:line="360" w:lineRule="auto"/>
      <w:ind w:left="709" w:right="709"/>
      <w:jc w:val="both"/>
    </w:pPr>
    <w:rPr>
      <w:rFonts w:ascii="Arial" w:eastAsia="Times New Roman" w:hAnsi="Arial" w:cs="Arial"/>
      <w:b/>
      <w:bCs/>
      <w:i/>
      <w:iCs/>
      <w:sz w:val="30"/>
      <w:szCs w:val="30"/>
    </w:rPr>
  </w:style>
  <w:style w:type="paragraph" w:customStyle="1" w:styleId="FAFunotente1">
    <w:name w:val="FA Fu?notente1"/>
    <w:basedOn w:val="Normal"/>
    <w:next w:val="Textonotapie"/>
    <w:uiPriority w:val="99"/>
    <w:rsid w:val="005D64B0"/>
    <w:pPr>
      <w:spacing w:after="0" w:line="240" w:lineRule="auto"/>
    </w:pPr>
    <w:rPr>
      <w:rFonts w:eastAsia="Cambria"/>
      <w:sz w:val="20"/>
      <w:szCs w:val="20"/>
    </w:rPr>
  </w:style>
  <w:style w:type="table" w:customStyle="1" w:styleId="Tablaconcuadrcula11">
    <w:name w:val="Tabla con cuadrícula11"/>
    <w:basedOn w:val="Tablanormal"/>
    <w:next w:val="Tablaconcuadrcula"/>
    <w:uiPriority w:val="59"/>
    <w:rsid w:val="005D64B0"/>
    <w:pPr>
      <w:spacing w:after="0" w:line="240" w:lineRule="auto"/>
    </w:pPr>
    <w:rPr>
      <w:rFonts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5D6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5D64B0"/>
    <w:rPr>
      <w:color w:val="605E5C"/>
      <w:shd w:val="clear" w:color="auto" w:fill="E1DFDD"/>
    </w:rPr>
  </w:style>
  <w:style w:type="paragraph" w:customStyle="1" w:styleId="temp">
    <w:name w:val="temp"/>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Fuentedeprrafopredeter"/>
    <w:rsid w:val="005D64B0"/>
  </w:style>
  <w:style w:type="paragraph" w:customStyle="1" w:styleId="ng-star-inserted">
    <w:name w:val="ng-star-inserted"/>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2">
    <w:name w:val="Mención sin resolver2"/>
    <w:basedOn w:val="Fuentedeprrafopredeter"/>
    <w:uiPriority w:val="99"/>
    <w:semiHidden/>
    <w:unhideWhenUsed/>
    <w:rsid w:val="005D64B0"/>
    <w:rPr>
      <w:color w:val="605E5C"/>
      <w:shd w:val="clear" w:color="auto" w:fill="E1DFDD"/>
    </w:rPr>
  </w:style>
  <w:style w:type="character" w:customStyle="1" w:styleId="Mencinsinresolver3">
    <w:name w:val="Mención sin resolver3"/>
    <w:basedOn w:val="Fuentedeprrafopredeter"/>
    <w:uiPriority w:val="99"/>
    <w:semiHidden/>
    <w:unhideWhenUsed/>
    <w:rsid w:val="005D64B0"/>
    <w:rPr>
      <w:color w:val="605E5C"/>
      <w:shd w:val="clear" w:color="auto" w:fill="E1DFDD"/>
    </w:rPr>
  </w:style>
  <w:style w:type="paragraph" w:styleId="Saludo">
    <w:name w:val="Salutation"/>
    <w:basedOn w:val="Normal"/>
    <w:next w:val="Normal"/>
    <w:link w:val="SaludoCar"/>
    <w:uiPriority w:val="99"/>
    <w:unhideWhenUsed/>
    <w:rsid w:val="005D64B0"/>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5D64B0"/>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5D64B0"/>
  </w:style>
  <w:style w:type="character" w:customStyle="1" w:styleId="Mencinsinresolver4">
    <w:name w:val="Mención sin resolver4"/>
    <w:basedOn w:val="Fuentedeprrafopredeter"/>
    <w:uiPriority w:val="99"/>
    <w:semiHidden/>
    <w:unhideWhenUsed/>
    <w:rsid w:val="005D64B0"/>
    <w:rPr>
      <w:color w:val="605E5C"/>
      <w:shd w:val="clear" w:color="auto" w:fill="E1DFDD"/>
    </w:rPr>
  </w:style>
  <w:style w:type="paragraph" w:styleId="Revisin">
    <w:name w:val="Revision"/>
    <w:hidden/>
    <w:uiPriority w:val="99"/>
    <w:semiHidden/>
    <w:rsid w:val="005D64B0"/>
    <w:pPr>
      <w:spacing w:after="0" w:line="240" w:lineRule="auto"/>
    </w:pPr>
    <w:rPr>
      <w:rFonts w:ascii="Times New Roman" w:eastAsia="Times New Roman" w:hAnsi="Times New Roman" w:cs="Times New Roman"/>
      <w:sz w:val="24"/>
      <w:szCs w:val="24"/>
      <w:lang w:eastAsia="es-ES"/>
    </w:rPr>
  </w:style>
  <w:style w:type="numbering" w:customStyle="1" w:styleId="Sinlista11">
    <w:name w:val="Sin lista11"/>
    <w:next w:val="Sinlista"/>
    <w:uiPriority w:val="99"/>
    <w:semiHidden/>
    <w:unhideWhenUsed/>
    <w:rsid w:val="005D64B0"/>
  </w:style>
  <w:style w:type="table" w:customStyle="1" w:styleId="Tablaconcuadrcula3">
    <w:name w:val="Tabla con cuadrícula3"/>
    <w:basedOn w:val="Tablanormal"/>
    <w:next w:val="Tablaconcuadrcula"/>
    <w:uiPriority w:val="59"/>
    <w:qFormat/>
    <w:rsid w:val="005D6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rsid w:val="005D64B0"/>
    <w:pPr>
      <w:spacing w:after="0" w:line="240" w:lineRule="auto"/>
    </w:pPr>
    <w:rPr>
      <w:rFonts w:ascii="Times New Roman" w:eastAsia="Times New Roman" w:hAnsi="Times New Roman" w:cs="Times New Roman"/>
      <w:sz w:val="24"/>
      <w:szCs w:val="24"/>
      <w:lang w:val="es-ES"/>
    </w:rPr>
    <w:tblPr>
      <w:tblCellMar>
        <w:top w:w="0" w:type="dxa"/>
        <w:left w:w="0" w:type="dxa"/>
        <w:bottom w:w="0" w:type="dxa"/>
        <w:right w:w="0" w:type="dxa"/>
      </w:tblCellMar>
    </w:tblPr>
  </w:style>
  <w:style w:type="character" w:customStyle="1" w:styleId="PuestoCar">
    <w:name w:val="Puesto Car"/>
    <w:aliases w:val="Cita textual Car"/>
    <w:basedOn w:val="Fuentedeprrafopredeter"/>
    <w:uiPriority w:val="10"/>
    <w:rsid w:val="005D64B0"/>
    <w:rPr>
      <w:rFonts w:ascii="Times New Roman" w:eastAsia="Times New Roman" w:hAnsi="Times New Roman" w:cs="Times New Roman"/>
      <w:b/>
      <w:sz w:val="72"/>
      <w:szCs w:val="72"/>
      <w:lang w:val="es-ES" w:eastAsia="es-MX"/>
    </w:rPr>
  </w:style>
  <w:style w:type="character" w:customStyle="1" w:styleId="SubttuloCar">
    <w:name w:val="Subtítulo Car"/>
    <w:basedOn w:val="Fuentedeprrafopredeter"/>
    <w:rsid w:val="005D64B0"/>
    <w:rPr>
      <w:rFonts w:ascii="Georgia" w:eastAsia="Georgia" w:hAnsi="Georgia" w:cs="Georgia"/>
      <w:i/>
      <w:color w:val="666666"/>
      <w:sz w:val="48"/>
      <w:szCs w:val="48"/>
      <w:lang w:val="es-ES" w:eastAsia="es-MX"/>
    </w:rPr>
  </w:style>
  <w:style w:type="table" w:customStyle="1" w:styleId="8">
    <w:name w:val="8"/>
    <w:basedOn w:val="TableNormal0"/>
    <w:rsid w:val="005D64B0"/>
    <w:tblPr>
      <w:tblStyleRowBandSize w:val="1"/>
      <w:tblStyleColBandSize w:val="1"/>
      <w:tblCellMar>
        <w:left w:w="115" w:type="dxa"/>
        <w:right w:w="115" w:type="dxa"/>
      </w:tblCellMar>
    </w:tblPr>
  </w:style>
  <w:style w:type="table" w:customStyle="1" w:styleId="7">
    <w:name w:val="7"/>
    <w:basedOn w:val="TableNormal0"/>
    <w:rsid w:val="005D64B0"/>
    <w:tblPr>
      <w:tblStyleRowBandSize w:val="1"/>
      <w:tblStyleColBandSize w:val="1"/>
      <w:tblCellMar>
        <w:left w:w="115" w:type="dxa"/>
        <w:right w:w="115" w:type="dxa"/>
      </w:tblCellMar>
    </w:tblPr>
  </w:style>
  <w:style w:type="table" w:customStyle="1" w:styleId="6">
    <w:name w:val="6"/>
    <w:basedOn w:val="TableNormal0"/>
    <w:rsid w:val="005D64B0"/>
    <w:tblPr>
      <w:tblStyleRowBandSize w:val="1"/>
      <w:tblStyleColBandSize w:val="1"/>
      <w:tblCellMar>
        <w:left w:w="115" w:type="dxa"/>
        <w:right w:w="115" w:type="dxa"/>
      </w:tblCellMar>
    </w:tblPr>
  </w:style>
  <w:style w:type="table" w:customStyle="1" w:styleId="5">
    <w:name w:val="5"/>
    <w:basedOn w:val="TableNormal0"/>
    <w:rsid w:val="005D64B0"/>
    <w:tblPr>
      <w:tblStyleRowBandSize w:val="1"/>
      <w:tblStyleColBandSize w:val="1"/>
      <w:tblCellMar>
        <w:left w:w="115" w:type="dxa"/>
        <w:right w:w="115" w:type="dxa"/>
      </w:tblCellMar>
    </w:tblPr>
  </w:style>
  <w:style w:type="table" w:customStyle="1" w:styleId="4">
    <w:name w:val="4"/>
    <w:basedOn w:val="TableNormal0"/>
    <w:rsid w:val="005D64B0"/>
    <w:tblPr>
      <w:tblStyleRowBandSize w:val="1"/>
      <w:tblStyleColBandSize w:val="1"/>
      <w:tblCellMar>
        <w:left w:w="115" w:type="dxa"/>
        <w:right w:w="115" w:type="dxa"/>
      </w:tblCellMar>
    </w:tblPr>
  </w:style>
  <w:style w:type="table" w:customStyle="1" w:styleId="3">
    <w:name w:val="3"/>
    <w:basedOn w:val="TableNormal0"/>
    <w:rsid w:val="005D64B0"/>
    <w:tblPr>
      <w:tblStyleRowBandSize w:val="1"/>
      <w:tblStyleColBandSize w:val="1"/>
      <w:tblCellMar>
        <w:left w:w="115" w:type="dxa"/>
        <w:right w:w="115" w:type="dxa"/>
      </w:tblCellMar>
    </w:tblPr>
  </w:style>
  <w:style w:type="table" w:customStyle="1" w:styleId="2">
    <w:name w:val="2"/>
    <w:basedOn w:val="TableNormal0"/>
    <w:rsid w:val="005D64B0"/>
    <w:tblPr>
      <w:tblStyleRowBandSize w:val="1"/>
      <w:tblStyleColBandSize w:val="1"/>
      <w:tblCellMar>
        <w:left w:w="115" w:type="dxa"/>
        <w:right w:w="115" w:type="dxa"/>
      </w:tblCellMar>
    </w:tblPr>
  </w:style>
  <w:style w:type="table" w:customStyle="1" w:styleId="1">
    <w:name w:val="1"/>
    <w:basedOn w:val="TableNormal0"/>
    <w:rsid w:val="005D64B0"/>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5D64B0"/>
    <w:rPr>
      <w:rFonts w:ascii="Times New Roman" w:eastAsia="Times New Roman" w:hAnsi="Times New Roman" w:cs="Times New Roman"/>
      <w:sz w:val="20"/>
      <w:szCs w:val="20"/>
      <w:lang w:eastAsia="es-MX"/>
    </w:rPr>
  </w:style>
  <w:style w:type="character" w:customStyle="1" w:styleId="eop">
    <w:name w:val="eop"/>
    <w:basedOn w:val="Fuentedeprrafopredeter"/>
    <w:rsid w:val="005D64B0"/>
  </w:style>
  <w:style w:type="character" w:customStyle="1" w:styleId="m2871584667633129156gmail-apple-converted-space">
    <w:name w:val="m_2871584667633129156gmail-apple-converted-space"/>
    <w:basedOn w:val="Fuentedeprrafopredeter"/>
    <w:rsid w:val="005D64B0"/>
  </w:style>
  <w:style w:type="character" w:customStyle="1" w:styleId="m2871584667633129156gmail-msofootnotereference">
    <w:name w:val="m_2871584667633129156gmail-msofootnotereference"/>
    <w:basedOn w:val="Fuentedeprrafopredeter"/>
    <w:rsid w:val="005D64B0"/>
  </w:style>
  <w:style w:type="paragraph" w:customStyle="1" w:styleId="m2871584667633129156gmail-msofootnotetext">
    <w:name w:val="m_2871584667633129156gmail-msofootnotetext"/>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
    <w:name w:val="u"/>
    <w:basedOn w:val="Fuentedeprrafopredeter"/>
    <w:rsid w:val="005D64B0"/>
  </w:style>
  <w:style w:type="paragraph" w:customStyle="1" w:styleId="rtejustify">
    <w:name w:val="rtejustify"/>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
    <w:name w:val="j1"/>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180717751901043621gmail-msofootnotereference">
    <w:name w:val="m_-7180717751901043621gmail-msofootnotereference"/>
    <w:basedOn w:val="Fuentedeprrafopredeter"/>
    <w:rsid w:val="005D64B0"/>
  </w:style>
  <w:style w:type="character" w:customStyle="1" w:styleId="m-3579365149168697376gmail-msofootnotereference">
    <w:name w:val="m_-3579365149168697376gmail-msofootnotereference"/>
    <w:basedOn w:val="Fuentedeprrafopredeter"/>
    <w:rsid w:val="005D64B0"/>
  </w:style>
  <w:style w:type="paragraph" w:customStyle="1" w:styleId="m-3579365149168697376gmail-msofootnotetext">
    <w:name w:val="m_-3579365149168697376gmail-msofootnotetext"/>
    <w:basedOn w:val="Normal"/>
    <w:rsid w:val="005D6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Fuentedeprrafopredeter"/>
    <w:rsid w:val="005D64B0"/>
  </w:style>
  <w:style w:type="numbering" w:customStyle="1" w:styleId="Sinlista2">
    <w:name w:val="Sin lista2"/>
    <w:next w:val="Sinlista"/>
    <w:uiPriority w:val="99"/>
    <w:semiHidden/>
    <w:unhideWhenUsed/>
    <w:rsid w:val="005D64B0"/>
  </w:style>
  <w:style w:type="table" w:customStyle="1" w:styleId="Tablaconcuadrcula4">
    <w:name w:val="Tabla con cuadrícula4"/>
    <w:basedOn w:val="Tablanormal"/>
    <w:next w:val="Tablaconcuadrcula"/>
    <w:uiPriority w:val="59"/>
    <w:qFormat/>
    <w:rsid w:val="005D6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D64B0"/>
    <w:pPr>
      <w:spacing w:after="0" w:line="240" w:lineRule="auto"/>
    </w:pPr>
    <w:rPr>
      <w:rFonts w:ascii="Times New Roman" w:eastAsia="Times New Roman" w:hAnsi="Times New Roman" w:cs="Times New Roman"/>
      <w:sz w:val="24"/>
      <w:szCs w:val="24"/>
      <w:lang w:val="es-ES"/>
    </w:rPr>
    <w:tblPr>
      <w:tblCellMar>
        <w:top w:w="0" w:type="dxa"/>
        <w:left w:w="0" w:type="dxa"/>
        <w:bottom w:w="0" w:type="dxa"/>
        <w:right w:w="0" w:type="dxa"/>
      </w:tblCellMar>
    </w:tblPr>
  </w:style>
  <w:style w:type="table" w:customStyle="1" w:styleId="81">
    <w:name w:val="81"/>
    <w:basedOn w:val="TableNormal0"/>
    <w:rsid w:val="005D64B0"/>
    <w:tblPr>
      <w:tblStyleRowBandSize w:val="1"/>
      <w:tblStyleColBandSize w:val="1"/>
      <w:tblCellMar>
        <w:left w:w="115" w:type="dxa"/>
        <w:right w:w="115" w:type="dxa"/>
      </w:tblCellMar>
    </w:tblPr>
  </w:style>
  <w:style w:type="table" w:customStyle="1" w:styleId="71">
    <w:name w:val="71"/>
    <w:basedOn w:val="TableNormal0"/>
    <w:rsid w:val="005D64B0"/>
    <w:tblPr>
      <w:tblStyleRowBandSize w:val="1"/>
      <w:tblStyleColBandSize w:val="1"/>
      <w:tblCellMar>
        <w:left w:w="115" w:type="dxa"/>
        <w:right w:w="115" w:type="dxa"/>
      </w:tblCellMar>
    </w:tblPr>
  </w:style>
  <w:style w:type="table" w:customStyle="1" w:styleId="61">
    <w:name w:val="61"/>
    <w:basedOn w:val="TableNormal0"/>
    <w:rsid w:val="005D64B0"/>
    <w:tblPr>
      <w:tblStyleRowBandSize w:val="1"/>
      <w:tblStyleColBandSize w:val="1"/>
      <w:tblCellMar>
        <w:left w:w="115" w:type="dxa"/>
        <w:right w:w="115" w:type="dxa"/>
      </w:tblCellMar>
    </w:tblPr>
  </w:style>
  <w:style w:type="table" w:customStyle="1" w:styleId="51">
    <w:name w:val="51"/>
    <w:basedOn w:val="TableNormal0"/>
    <w:rsid w:val="005D64B0"/>
    <w:tblPr>
      <w:tblStyleRowBandSize w:val="1"/>
      <w:tblStyleColBandSize w:val="1"/>
      <w:tblCellMar>
        <w:left w:w="115" w:type="dxa"/>
        <w:right w:w="115" w:type="dxa"/>
      </w:tblCellMar>
    </w:tblPr>
  </w:style>
  <w:style w:type="table" w:customStyle="1" w:styleId="41">
    <w:name w:val="41"/>
    <w:basedOn w:val="TableNormal0"/>
    <w:rsid w:val="005D64B0"/>
    <w:tblPr>
      <w:tblStyleRowBandSize w:val="1"/>
      <w:tblStyleColBandSize w:val="1"/>
      <w:tblCellMar>
        <w:left w:w="115" w:type="dxa"/>
        <w:right w:w="115" w:type="dxa"/>
      </w:tblCellMar>
    </w:tblPr>
  </w:style>
  <w:style w:type="table" w:customStyle="1" w:styleId="31">
    <w:name w:val="31"/>
    <w:basedOn w:val="TableNormal0"/>
    <w:rsid w:val="005D64B0"/>
    <w:tblPr>
      <w:tblStyleRowBandSize w:val="1"/>
      <w:tblStyleColBandSize w:val="1"/>
      <w:tblCellMar>
        <w:left w:w="115" w:type="dxa"/>
        <w:right w:w="115" w:type="dxa"/>
      </w:tblCellMar>
    </w:tblPr>
  </w:style>
  <w:style w:type="table" w:customStyle="1" w:styleId="21">
    <w:name w:val="21"/>
    <w:basedOn w:val="TableNormal0"/>
    <w:rsid w:val="005D64B0"/>
    <w:tblPr>
      <w:tblStyleRowBandSize w:val="1"/>
      <w:tblStyleColBandSize w:val="1"/>
      <w:tblCellMar>
        <w:left w:w="115" w:type="dxa"/>
        <w:right w:w="115" w:type="dxa"/>
      </w:tblCellMar>
    </w:tblPr>
  </w:style>
  <w:style w:type="table" w:customStyle="1" w:styleId="11">
    <w:name w:val="11"/>
    <w:basedOn w:val="TableNormal0"/>
    <w:rsid w:val="005D64B0"/>
    <w:tblPr>
      <w:tblStyleRowBandSize w:val="1"/>
      <w:tblStyleColBandSize w:val="1"/>
      <w:tblCellMar>
        <w:left w:w="115" w:type="dxa"/>
        <w:right w:w="115" w:type="dxa"/>
      </w:tblCellMar>
    </w:tblPr>
  </w:style>
  <w:style w:type="paragraph" w:customStyle="1" w:styleId="Citas">
    <w:name w:val="Citas"/>
    <w:basedOn w:val="Normal"/>
    <w:qFormat/>
    <w:rsid w:val="005D64B0"/>
    <w:pPr>
      <w:spacing w:before="240" w:line="360" w:lineRule="auto"/>
      <w:ind w:left="851" w:right="851"/>
      <w:jc w:val="both"/>
    </w:pPr>
    <w:rPr>
      <w:rFonts w:ascii="Palatino Linotype" w:hAnsi="Palatino Linotype" w:cs="Arial"/>
      <w:i/>
    </w:rPr>
  </w:style>
  <w:style w:type="character" w:customStyle="1" w:styleId="Mencinsinresolver5">
    <w:name w:val="Mención sin resolver5"/>
    <w:basedOn w:val="Fuentedeprrafopredeter"/>
    <w:uiPriority w:val="99"/>
    <w:semiHidden/>
    <w:unhideWhenUsed/>
    <w:rsid w:val="005D64B0"/>
    <w:rPr>
      <w:color w:val="605E5C"/>
      <w:shd w:val="clear" w:color="auto" w:fill="E1DFDD"/>
    </w:rPr>
  </w:style>
  <w:style w:type="numbering" w:customStyle="1" w:styleId="Estiloimportado21">
    <w:name w:val="Estilo importado 21"/>
    <w:rsid w:val="005D64B0"/>
  </w:style>
  <w:style w:type="numbering" w:customStyle="1" w:styleId="Estiloimportado11">
    <w:name w:val="Estilo importado 11"/>
    <w:qFormat/>
    <w:rsid w:val="005D64B0"/>
  </w:style>
  <w:style w:type="table" w:customStyle="1" w:styleId="Tablaconcuadrcula5">
    <w:name w:val="Tabla con cuadrícula5"/>
    <w:basedOn w:val="Tablanormal"/>
    <w:next w:val="Tablaconcuadrcula"/>
    <w:uiPriority w:val="59"/>
    <w:rsid w:val="005D6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5D64B0"/>
    <w:rPr>
      <w:color w:val="605E5C"/>
      <w:shd w:val="clear" w:color="auto" w:fill="E1DFDD"/>
    </w:rPr>
  </w:style>
  <w:style w:type="numbering" w:customStyle="1" w:styleId="Sinlista3">
    <w:name w:val="Sin lista3"/>
    <w:next w:val="Sinlista"/>
    <w:uiPriority w:val="99"/>
    <w:semiHidden/>
    <w:unhideWhenUsed/>
    <w:rsid w:val="005D64B0"/>
  </w:style>
  <w:style w:type="table" w:customStyle="1" w:styleId="Tablaconcuadrcula7">
    <w:name w:val="Tabla con cuadrícula7"/>
    <w:basedOn w:val="Tablanormal"/>
    <w:next w:val="Tablaconcuadrcula"/>
    <w:uiPriority w:val="39"/>
    <w:rsid w:val="005D6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22">
    <w:name w:val="Estilo importado 22"/>
    <w:rsid w:val="005D64B0"/>
  </w:style>
  <w:style w:type="numbering" w:customStyle="1" w:styleId="Estiloimportado12">
    <w:name w:val="Estilo importado 12"/>
    <w:qFormat/>
    <w:rsid w:val="005D64B0"/>
  </w:style>
  <w:style w:type="character" w:customStyle="1" w:styleId="Mencinsinresolver7">
    <w:name w:val="Mención sin resolver7"/>
    <w:basedOn w:val="Fuentedeprrafopredeter"/>
    <w:uiPriority w:val="99"/>
    <w:semiHidden/>
    <w:unhideWhenUsed/>
    <w:rsid w:val="00CB26CF"/>
    <w:rPr>
      <w:color w:val="605E5C"/>
      <w:shd w:val="clear" w:color="auto" w:fill="E1DFDD"/>
    </w:rPr>
  </w:style>
  <w:style w:type="paragraph" w:customStyle="1" w:styleId="Fundamentos">
    <w:name w:val="Fundamentos"/>
    <w:basedOn w:val="Normal"/>
    <w:qFormat/>
    <w:rsid w:val="00067F99"/>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rPr>
  </w:style>
  <w:style w:type="paragraph" w:customStyle="1" w:styleId="NormalINFOEM">
    <w:name w:val="Normal INFOEM"/>
    <w:basedOn w:val="Normal"/>
    <w:link w:val="NormalINFOEMCar"/>
    <w:qFormat/>
    <w:rsid w:val="00067F99"/>
    <w:pPr>
      <w:spacing w:after="0" w:line="360" w:lineRule="auto"/>
      <w:jc w:val="both"/>
    </w:pPr>
    <w:rPr>
      <w:rFonts w:ascii="Palatino Linotype" w:hAnsi="Palatino Linotype"/>
      <w:sz w:val="24"/>
      <w:lang w:val="es-ES_tradnl"/>
    </w:rPr>
  </w:style>
  <w:style w:type="character" w:customStyle="1" w:styleId="NormalINFOEMCar">
    <w:name w:val="Normal INFOEM Car"/>
    <w:basedOn w:val="Fuentedeprrafopredeter"/>
    <w:link w:val="NormalINFOEM"/>
    <w:rsid w:val="00067F99"/>
    <w:rPr>
      <w:rFonts w:ascii="Palatino Linotype" w:eastAsia="Calibri" w:hAnsi="Palatino Linotype" w:cs="Calibri"/>
      <w:sz w:val="24"/>
      <w:lang w:val="es-ES_tradnl" w:eastAsia="es-MX"/>
    </w:rPr>
  </w:style>
  <w:style w:type="paragraph" w:styleId="Subttulo">
    <w:name w:val="Subtitle"/>
    <w:basedOn w:val="Normal"/>
    <w:next w:val="Normal"/>
    <w:pPr>
      <w:keepNext/>
      <w:keepLines/>
      <w:spacing w:before="360" w:after="80" w:line="240" w:lineRule="auto"/>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omawww.sat.gob.mx/tramitesyservicios/paginas/documentos/anexo20_2022.pdf" TargetMode="External"/><Relationship Id="rId4" Type="http://schemas.openxmlformats.org/officeDocument/2006/relationships/styles" Target="styles.xml"/><Relationship Id="rId9" Type="http://schemas.openxmlformats.org/officeDocument/2006/relationships/hyperlink" Target="http://www.diputados.gob.mx/documentos/N_Acta_Nacimiento.pdf"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M+62CnCiJ/9lUJio6ezZi8H44g==">CgMxLjAyDmgueGloYmUzbDd2a2I3Mg5oLm0zODU4eGJkbjlidzIOaC41cjZ0c2ZmdzZzNjUyDmguOXI0bXlqcGFqbXFtMg5oLjZwMzdhdDU5MXEzMjIOaC5jamUwZ2k1Y2FhOTUyCWguNGQzNG9nODIOaC44cG9yc3p2OHd3MWgyDmguYXVwN3doZ3Zmb3dwMg5oLnJpcXl6OTEyZXRlNDgAciExUmw3WmJiSWJhdUdpQmh1bnJ4WXJBaGlvR3VEQVVkWU4=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62F71C-781C-48D1-8509-5CF5A6AD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70</Pages>
  <Words>16693</Words>
  <Characters>91812</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108289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HAP</dc:creator>
  <cp:lastModifiedBy>Cuenta Microsoft</cp:lastModifiedBy>
  <cp:revision>12</cp:revision>
  <cp:lastPrinted>2026-03-06T19:32:00Z</cp:lastPrinted>
  <dcterms:created xsi:type="dcterms:W3CDTF">2026-02-25T00:54:00Z</dcterms:created>
  <dcterms:modified xsi:type="dcterms:W3CDTF">2026-03-17T20:16:00Z</dcterms:modified>
</cp:coreProperties>
</file>