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603" w:rsidRPr="000407C5" w:rsidRDefault="000655B2">
      <w:pPr>
        <w:spacing w:line="360" w:lineRule="auto"/>
        <w:jc w:val="both"/>
        <w:rPr>
          <w:rFonts w:ascii="Palatino Linotype" w:eastAsia="Palatino Linotype" w:hAnsi="Palatino Linotype" w:cs="Palatino Linotype"/>
          <w:b/>
        </w:rPr>
      </w:pPr>
      <w:bookmarkStart w:id="0" w:name="_GoBack"/>
      <w:bookmarkEnd w:id="0"/>
      <w:r w:rsidRPr="000407C5">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w:t>
      </w:r>
      <w:r w:rsidR="000407C5" w:rsidRPr="000407C5">
        <w:rPr>
          <w:rFonts w:ascii="Palatino Linotype" w:eastAsia="Palatino Linotype" w:hAnsi="Palatino Linotype" w:cs="Palatino Linotype"/>
        </w:rPr>
        <w:t xml:space="preserve">Estado de México; </w:t>
      </w:r>
      <w:r w:rsidR="000407C5" w:rsidRPr="000407C5">
        <w:rPr>
          <w:rFonts w:ascii="Palatino Linotype" w:eastAsia="Palatino Linotype" w:hAnsi="Palatino Linotype" w:cs="Palatino Linotype"/>
          <w:b/>
        </w:rPr>
        <w:t>de fecha</w:t>
      </w:r>
      <w:r w:rsidR="006D3ABD" w:rsidRPr="000407C5">
        <w:rPr>
          <w:rFonts w:ascii="Palatino Linotype" w:eastAsia="Palatino Linotype" w:hAnsi="Palatino Linotype" w:cs="Palatino Linotype"/>
          <w:b/>
        </w:rPr>
        <w:t xml:space="preserve"> once </w:t>
      </w:r>
      <w:r w:rsidR="000407C5" w:rsidRPr="000407C5">
        <w:rPr>
          <w:rFonts w:ascii="Palatino Linotype" w:eastAsia="Palatino Linotype" w:hAnsi="Palatino Linotype" w:cs="Palatino Linotype"/>
          <w:b/>
        </w:rPr>
        <w:t xml:space="preserve">(11) </w:t>
      </w:r>
      <w:r w:rsidR="006D3ABD" w:rsidRPr="000407C5">
        <w:rPr>
          <w:rFonts w:ascii="Palatino Linotype" w:eastAsia="Palatino Linotype" w:hAnsi="Palatino Linotype" w:cs="Palatino Linotype"/>
          <w:b/>
        </w:rPr>
        <w:t>de marzo de dos mil veintiséis</w:t>
      </w:r>
      <w:r w:rsidRPr="000407C5">
        <w:rPr>
          <w:rFonts w:ascii="Palatino Linotype" w:eastAsia="Palatino Linotype" w:hAnsi="Palatino Linotype" w:cs="Palatino Linotype"/>
          <w:b/>
        </w:rPr>
        <w:t>.</w:t>
      </w:r>
    </w:p>
    <w:p w:rsidR="007A5603" w:rsidRPr="000407C5" w:rsidRDefault="007A5603">
      <w:pPr>
        <w:jc w:val="both"/>
        <w:rPr>
          <w:rFonts w:ascii="Palatino Linotype" w:eastAsia="Palatino Linotype" w:hAnsi="Palatino Linotype" w:cs="Palatino Linotype"/>
        </w:rPr>
      </w:pPr>
    </w:p>
    <w:p w:rsidR="007A5603" w:rsidRPr="000407C5" w:rsidRDefault="000655B2">
      <w:pPr>
        <w:spacing w:line="360" w:lineRule="auto"/>
        <w:jc w:val="both"/>
        <w:rPr>
          <w:rFonts w:ascii="Palatino Linotype" w:eastAsia="Palatino Linotype" w:hAnsi="Palatino Linotype" w:cs="Palatino Linotype"/>
        </w:rPr>
      </w:pPr>
      <w:r w:rsidRPr="000407C5">
        <w:rPr>
          <w:rFonts w:ascii="Palatino Linotype" w:eastAsia="Palatino Linotype" w:hAnsi="Palatino Linotype" w:cs="Palatino Linotype"/>
          <w:b/>
          <w:bCs/>
        </w:rPr>
        <w:t>VISTO</w:t>
      </w:r>
      <w:r w:rsidRPr="000407C5">
        <w:rPr>
          <w:rFonts w:ascii="Palatino Linotype" w:eastAsia="Palatino Linotype" w:hAnsi="Palatino Linotype" w:cs="Palatino Linotype"/>
        </w:rPr>
        <w:t xml:space="preserve"> el expediente electrónico formado con motivo del recurso de revisión </w:t>
      </w:r>
      <w:r w:rsidRPr="000407C5">
        <w:rPr>
          <w:rFonts w:ascii="Palatino Linotype" w:eastAsia="Palatino Linotype" w:hAnsi="Palatino Linotype" w:cs="Palatino Linotype"/>
          <w:b/>
          <w:bCs/>
        </w:rPr>
        <w:t xml:space="preserve">06788/INFOEM/IP/RR/2025, </w:t>
      </w:r>
      <w:r w:rsidRPr="000407C5">
        <w:rPr>
          <w:rFonts w:ascii="Palatino Linotype" w:eastAsia="Palatino Linotype" w:hAnsi="Palatino Linotype" w:cs="Palatino Linotype"/>
        </w:rPr>
        <w:t xml:space="preserve">promovido por </w:t>
      </w:r>
      <w:r w:rsidRPr="000407C5">
        <w:rPr>
          <w:rFonts w:ascii="Palatino Linotype" w:eastAsia="Palatino Linotype" w:hAnsi="Palatino Linotype" w:cs="Palatino Linotype"/>
          <w:b/>
        </w:rPr>
        <w:t>un</w:t>
      </w:r>
      <w:r w:rsidR="000407C5" w:rsidRPr="000407C5">
        <w:rPr>
          <w:rFonts w:ascii="Palatino Linotype" w:eastAsia="Palatino Linotype" w:hAnsi="Palatino Linotype" w:cs="Palatino Linotype"/>
          <w:b/>
        </w:rPr>
        <w:t xml:space="preserve"> usuario que no registró nombre alguno</w:t>
      </w:r>
      <w:r w:rsidR="000407C5">
        <w:rPr>
          <w:rFonts w:ascii="Palatino Linotype" w:eastAsia="Palatino Linotype" w:hAnsi="Palatino Linotype" w:cs="Palatino Linotype"/>
        </w:rPr>
        <w:t>, a quien en lo sucesivo denominaremos</w:t>
      </w:r>
      <w:r w:rsidRPr="000407C5">
        <w:rPr>
          <w:rFonts w:ascii="Palatino Linotype" w:eastAsia="Palatino Linotype" w:hAnsi="Palatino Linotype" w:cs="Palatino Linotype"/>
        </w:rPr>
        <w:t xml:space="preserve"> </w:t>
      </w:r>
      <w:r w:rsidRPr="000407C5">
        <w:rPr>
          <w:rFonts w:ascii="Palatino Linotype" w:eastAsia="Palatino Linotype" w:hAnsi="Palatino Linotype" w:cs="Palatino Linotype"/>
          <w:b/>
          <w:bCs/>
        </w:rPr>
        <w:t>RECURRENTE,</w:t>
      </w:r>
      <w:r w:rsidRPr="000407C5">
        <w:rPr>
          <w:rFonts w:ascii="Palatino Linotype" w:eastAsia="Palatino Linotype" w:hAnsi="Palatino Linotype" w:cs="Palatino Linotype"/>
        </w:rPr>
        <w:t xml:space="preserve"> en contra de la respuesta del </w:t>
      </w:r>
      <w:r w:rsidRPr="000407C5">
        <w:rPr>
          <w:rFonts w:ascii="Palatino Linotype" w:eastAsia="Palatino Linotype" w:hAnsi="Palatino Linotype" w:cs="Palatino Linotype"/>
          <w:b/>
          <w:bCs/>
        </w:rPr>
        <w:t xml:space="preserve">Ayuntamiento de Toluca, </w:t>
      </w:r>
      <w:r w:rsidRPr="000407C5">
        <w:rPr>
          <w:rFonts w:ascii="Palatino Linotype" w:eastAsia="Palatino Linotype" w:hAnsi="Palatino Linotype" w:cs="Palatino Linotype"/>
        </w:rPr>
        <w:t>en adelante el</w:t>
      </w:r>
      <w:r w:rsidRPr="000407C5">
        <w:rPr>
          <w:rFonts w:ascii="Palatino Linotype" w:eastAsia="Palatino Linotype" w:hAnsi="Palatino Linotype" w:cs="Palatino Linotype"/>
          <w:b/>
          <w:bCs/>
        </w:rPr>
        <w:t xml:space="preserve"> SUJETO OBLIGADO</w:t>
      </w:r>
      <w:r w:rsidRPr="000407C5">
        <w:rPr>
          <w:rFonts w:ascii="Palatino Linotype" w:eastAsia="Palatino Linotype" w:hAnsi="Palatino Linotype" w:cs="Palatino Linotype"/>
        </w:rPr>
        <w:t>, por lo que se procede a dictar la presente resolución, con base en los siguientes:</w:t>
      </w:r>
    </w:p>
    <w:p w:rsidR="007A5603" w:rsidRDefault="007A5603">
      <w:pPr>
        <w:jc w:val="both"/>
        <w:rPr>
          <w:rFonts w:ascii="Palatino Linotype" w:eastAsia="Palatino Linotype" w:hAnsi="Palatino Linotype" w:cs="Palatino Linotype"/>
        </w:rPr>
      </w:pPr>
    </w:p>
    <w:p w:rsidR="000407C5" w:rsidRPr="000407C5" w:rsidRDefault="000407C5">
      <w:pPr>
        <w:jc w:val="both"/>
        <w:rPr>
          <w:rFonts w:ascii="Palatino Linotype" w:eastAsia="Palatino Linotype" w:hAnsi="Palatino Linotype" w:cs="Palatino Linotype"/>
        </w:rPr>
      </w:pPr>
    </w:p>
    <w:p w:rsidR="007A5603" w:rsidRPr="000407C5" w:rsidRDefault="000655B2">
      <w:pPr>
        <w:keepNext/>
        <w:keepLines/>
        <w:spacing w:line="360" w:lineRule="auto"/>
        <w:jc w:val="center"/>
        <w:rPr>
          <w:rFonts w:ascii="Palatino Linotype" w:eastAsia="Palatino Linotype" w:hAnsi="Palatino Linotype" w:cs="Palatino Linotype"/>
          <w:b/>
          <w:bCs/>
        </w:rPr>
      </w:pPr>
      <w:r w:rsidRPr="000407C5">
        <w:rPr>
          <w:rFonts w:ascii="Palatino Linotype" w:eastAsia="Palatino Linotype" w:hAnsi="Palatino Linotype" w:cs="Palatino Linotype"/>
          <w:b/>
          <w:bCs/>
        </w:rPr>
        <w:t>A N T E C E D E N T E S</w:t>
      </w:r>
    </w:p>
    <w:p w:rsidR="007A5603" w:rsidRPr="000407C5" w:rsidRDefault="007A5603">
      <w:pPr>
        <w:rPr>
          <w:rFonts w:ascii="Palatino Linotype" w:eastAsia="Palatino Linotype" w:hAnsi="Palatino Linotype" w:cs="Palatino Linotype"/>
        </w:rPr>
      </w:pPr>
    </w:p>
    <w:p w:rsidR="007A5603" w:rsidRPr="000407C5" w:rsidRDefault="000655B2">
      <w:pPr>
        <w:numPr>
          <w:ilvl w:val="0"/>
          <w:numId w:val="5"/>
        </w:numPr>
        <w:spacing w:line="360" w:lineRule="auto"/>
        <w:ind w:left="0" w:firstLine="0"/>
        <w:jc w:val="both"/>
        <w:rPr>
          <w:rFonts w:ascii="Palatino Linotype" w:eastAsia="Palatino Linotype" w:hAnsi="Palatino Linotype" w:cs="Palatino Linotype"/>
        </w:rPr>
      </w:pPr>
      <w:r w:rsidRPr="000407C5">
        <w:rPr>
          <w:rFonts w:ascii="Palatino Linotype" w:eastAsia="Palatino Linotype" w:hAnsi="Palatino Linotype" w:cs="Palatino Linotype"/>
        </w:rPr>
        <w:t>El veinticinco de abril de dos mil veinticinco, la</w:t>
      </w:r>
      <w:r w:rsidRPr="000407C5">
        <w:rPr>
          <w:rFonts w:ascii="Palatino Linotype" w:eastAsia="Palatino Linotype" w:hAnsi="Palatino Linotype" w:cs="Palatino Linotype"/>
          <w:b/>
          <w:bCs/>
        </w:rPr>
        <w:t xml:space="preserve"> </w:t>
      </w:r>
      <w:r w:rsidRPr="000407C5">
        <w:rPr>
          <w:rFonts w:ascii="Palatino Linotype" w:eastAsia="Palatino Linotype" w:hAnsi="Palatino Linotype" w:cs="Palatino Linotype"/>
        </w:rPr>
        <w:t>parte</w:t>
      </w:r>
      <w:r w:rsidRPr="000407C5">
        <w:rPr>
          <w:rFonts w:ascii="Palatino Linotype" w:eastAsia="Palatino Linotype" w:hAnsi="Palatino Linotype" w:cs="Palatino Linotype"/>
          <w:b/>
          <w:bCs/>
        </w:rPr>
        <w:t xml:space="preserve"> RECURRENTE </w:t>
      </w:r>
      <w:r w:rsidRPr="000407C5">
        <w:rPr>
          <w:rFonts w:ascii="Palatino Linotype" w:eastAsia="Palatino Linotype" w:hAnsi="Palatino Linotype" w:cs="Palatino Linotype"/>
        </w:rPr>
        <w:t xml:space="preserve">presentó ante el </w:t>
      </w:r>
      <w:r w:rsidRPr="000407C5">
        <w:rPr>
          <w:rFonts w:ascii="Palatino Linotype" w:eastAsia="Palatino Linotype" w:hAnsi="Palatino Linotype" w:cs="Palatino Linotype"/>
          <w:b/>
          <w:bCs/>
        </w:rPr>
        <w:t>SUJETO OBLIGADO,</w:t>
      </w:r>
      <w:r w:rsidRPr="000407C5">
        <w:rPr>
          <w:rFonts w:ascii="Palatino Linotype" w:eastAsia="Palatino Linotype" w:hAnsi="Palatino Linotype" w:cs="Palatino Linotype"/>
        </w:rPr>
        <w:t xml:space="preserve"> a través del el Sistema de Acceso a la Información Mexiquense </w:t>
      </w:r>
      <w:r w:rsidRPr="000407C5">
        <w:rPr>
          <w:rFonts w:ascii="Palatino Linotype" w:eastAsia="Palatino Linotype" w:hAnsi="Palatino Linotype" w:cs="Palatino Linotype"/>
          <w:b/>
          <w:bCs/>
        </w:rPr>
        <w:t>(SAIMEX),</w:t>
      </w:r>
      <w:r w:rsidRPr="000407C5">
        <w:rPr>
          <w:rFonts w:ascii="Palatino Linotype" w:eastAsia="Palatino Linotype" w:hAnsi="Palatino Linotype" w:cs="Palatino Linotype"/>
        </w:rPr>
        <w:t xml:space="preserve"> la solicitud de información pública </w:t>
      </w:r>
      <w:r w:rsidRPr="000407C5">
        <w:rPr>
          <w:rFonts w:ascii="Palatino Linotype" w:eastAsia="Palatino Linotype" w:hAnsi="Palatino Linotype" w:cs="Palatino Linotype"/>
          <w:b/>
          <w:bCs/>
        </w:rPr>
        <w:t>02489/TOLUCA/IP/2025</w:t>
      </w:r>
      <w:r w:rsidRPr="000407C5">
        <w:rPr>
          <w:rFonts w:ascii="Palatino Linotype" w:eastAsia="Palatino Linotype" w:hAnsi="Palatino Linotype" w:cs="Palatino Linotype"/>
        </w:rPr>
        <w:t>, en la que solicitó:</w:t>
      </w:r>
    </w:p>
    <w:p w:rsidR="007A5603" w:rsidRPr="000407C5" w:rsidRDefault="007A5603">
      <w:pPr>
        <w:jc w:val="both"/>
        <w:rPr>
          <w:rFonts w:ascii="Palatino Linotype" w:eastAsia="Palatino Linotype" w:hAnsi="Palatino Linotype" w:cs="Palatino Linotype"/>
          <w:i/>
          <w:iCs/>
        </w:rPr>
      </w:pPr>
    </w:p>
    <w:p w:rsidR="007A5603" w:rsidRPr="000407C5" w:rsidRDefault="000655B2">
      <w:pPr>
        <w:ind w:left="567" w:right="567"/>
        <w:jc w:val="both"/>
        <w:rPr>
          <w:rFonts w:ascii="Palatino Linotype" w:eastAsia="Palatino Linotype" w:hAnsi="Palatino Linotype" w:cs="Palatino Linotype"/>
          <w:i/>
          <w:iCs/>
          <w:color w:val="000000"/>
        </w:rPr>
      </w:pPr>
      <w:r w:rsidRPr="000407C5">
        <w:rPr>
          <w:rFonts w:ascii="Palatino Linotype" w:eastAsia="Palatino Linotype" w:hAnsi="Palatino Linotype" w:cs="Palatino Linotype"/>
          <w:i/>
          <w:iCs/>
          <w:color w:val="000000"/>
        </w:rPr>
        <w:t>“De conformidad con el artículo 5 constitucional se solicita el oficio del presiente sonde solicite su día de asueto o descuento oara andas en las plazas outle de compras el nombre del personal que lo acompaña cudandolo qué son más de 8 xomo lo dice la nota periodística el vehículo marca modelo factura el combustible asignando al vehículo qué utiliza el presidente y los vehículos asignados con gasolina y factura de todo el personal de presidencia.” (Sic)</w:t>
      </w:r>
    </w:p>
    <w:p w:rsidR="007A5603" w:rsidRDefault="000655B2">
      <w:pPr>
        <w:ind w:left="567" w:right="567"/>
        <w:jc w:val="both"/>
        <w:rPr>
          <w:rFonts w:ascii="Palatino Linotype" w:eastAsia="Palatino Linotype" w:hAnsi="Palatino Linotype" w:cs="Palatino Linotype"/>
          <w:i/>
          <w:iCs/>
          <w:color w:val="000000"/>
        </w:rPr>
      </w:pPr>
      <w:r w:rsidRPr="000407C5">
        <w:rPr>
          <w:rFonts w:ascii="Palatino Linotype" w:eastAsia="Palatino Linotype" w:hAnsi="Palatino Linotype" w:cs="Palatino Linotype"/>
          <w:i/>
          <w:iCs/>
          <w:color w:val="000000"/>
        </w:rPr>
        <w:t xml:space="preserve"> </w:t>
      </w:r>
    </w:p>
    <w:p w:rsidR="000407C5" w:rsidRPr="000407C5" w:rsidRDefault="000407C5">
      <w:pPr>
        <w:ind w:left="567" w:right="567"/>
        <w:jc w:val="both"/>
        <w:rPr>
          <w:rFonts w:ascii="Palatino Linotype" w:eastAsia="Palatino Linotype" w:hAnsi="Palatino Linotype" w:cs="Palatino Linotype"/>
          <w:i/>
          <w:iCs/>
          <w:color w:val="000000"/>
        </w:rPr>
      </w:pPr>
    </w:p>
    <w:p w:rsidR="007A5603" w:rsidRPr="000407C5" w:rsidRDefault="000655B2">
      <w:pPr>
        <w:numPr>
          <w:ilvl w:val="0"/>
          <w:numId w:val="5"/>
        </w:numPr>
        <w:spacing w:line="360" w:lineRule="auto"/>
        <w:ind w:left="0" w:firstLine="0"/>
        <w:jc w:val="both"/>
        <w:rPr>
          <w:rFonts w:ascii="Palatino Linotype" w:eastAsia="Palatino Linotype" w:hAnsi="Palatino Linotype" w:cs="Palatino Linotype"/>
        </w:rPr>
      </w:pPr>
      <w:r w:rsidRPr="000407C5">
        <w:rPr>
          <w:rFonts w:ascii="Palatino Linotype" w:eastAsia="Palatino Linotype" w:hAnsi="Palatino Linotype" w:cs="Palatino Linotype"/>
        </w:rPr>
        <w:t xml:space="preserve">Se hace constar que se señaló como modalidad de entrega de la información a través del </w:t>
      </w:r>
      <w:r w:rsidRPr="000407C5">
        <w:rPr>
          <w:rFonts w:ascii="Palatino Linotype" w:eastAsia="Palatino Linotype" w:hAnsi="Palatino Linotype" w:cs="Palatino Linotype"/>
          <w:b/>
          <w:bCs/>
        </w:rPr>
        <w:t>SAIMEX.</w:t>
      </w:r>
    </w:p>
    <w:p w:rsidR="007A5603" w:rsidRPr="000407C5" w:rsidRDefault="007A5603">
      <w:pPr>
        <w:rPr>
          <w:rFonts w:ascii="Palatino Linotype" w:eastAsia="Palatino Linotype" w:hAnsi="Palatino Linotype" w:cs="Palatino Linotype"/>
        </w:rPr>
      </w:pPr>
    </w:p>
    <w:p w:rsidR="007A5603" w:rsidRPr="000407C5" w:rsidRDefault="000655B2">
      <w:pPr>
        <w:numPr>
          <w:ilvl w:val="0"/>
          <w:numId w:val="5"/>
        </w:numPr>
        <w:spacing w:line="360" w:lineRule="auto"/>
        <w:ind w:left="0" w:firstLine="0"/>
        <w:jc w:val="both"/>
        <w:rPr>
          <w:rFonts w:ascii="Palatino Linotype" w:eastAsia="Palatino Linotype" w:hAnsi="Palatino Linotype" w:cs="Palatino Linotype"/>
        </w:rPr>
      </w:pPr>
      <w:r w:rsidRPr="000407C5">
        <w:rPr>
          <w:rFonts w:ascii="Palatino Linotype" w:eastAsia="Palatino Linotype" w:hAnsi="Palatino Linotype" w:cs="Palatino Linotype"/>
        </w:rPr>
        <w:t xml:space="preserve">El veinte de mayo de dos mil veinticinco, el </w:t>
      </w:r>
      <w:r w:rsidRPr="000407C5">
        <w:rPr>
          <w:rFonts w:ascii="Palatino Linotype" w:eastAsia="Palatino Linotype" w:hAnsi="Palatino Linotype" w:cs="Palatino Linotype"/>
          <w:b/>
          <w:bCs/>
        </w:rPr>
        <w:t>SUJETO OBLIGADO</w:t>
      </w:r>
      <w:r w:rsidRPr="000407C5">
        <w:rPr>
          <w:rFonts w:ascii="Palatino Linotype" w:eastAsia="Palatino Linotype" w:hAnsi="Palatino Linotype" w:cs="Palatino Linotype"/>
          <w:b/>
          <w:bCs/>
          <w:i/>
          <w:iCs/>
        </w:rPr>
        <w:t xml:space="preserve"> </w:t>
      </w:r>
      <w:r w:rsidRPr="000407C5">
        <w:rPr>
          <w:rFonts w:ascii="Palatino Linotype" w:eastAsia="Palatino Linotype" w:hAnsi="Palatino Linotype" w:cs="Palatino Linotype"/>
        </w:rPr>
        <w:t>dio respuesta a la solicitud de información, en los siguientes términos:</w:t>
      </w:r>
    </w:p>
    <w:p w:rsidR="007A5603" w:rsidRPr="000407C5" w:rsidRDefault="000655B2">
      <w:pPr>
        <w:ind w:left="567" w:right="567"/>
        <w:jc w:val="both"/>
        <w:rPr>
          <w:rFonts w:ascii="Palatino Linotype" w:eastAsia="Palatino Linotype" w:hAnsi="Palatino Linotype" w:cs="Palatino Linotype"/>
          <w:i/>
          <w:iCs/>
        </w:rPr>
      </w:pPr>
      <w:r w:rsidRPr="000407C5">
        <w:rPr>
          <w:rFonts w:ascii="Palatino Linotype" w:eastAsia="Palatino Linotype" w:hAnsi="Palatino Linotype" w:cs="Palatino Linotype"/>
          <w:i/>
          <w:iCs/>
          <w:color w:val="000000"/>
        </w:rPr>
        <w:lastRenderedPageBreak/>
        <w:t xml:space="preserve">“En atención a la solicitud con folio 02489/TOLUCA/IP/2025, me permito adjuntar al presente la respuesta correspondiente. Sin más por el momento, reciba un saludo” (Sic) </w:t>
      </w:r>
    </w:p>
    <w:p w:rsidR="007A5603" w:rsidRPr="000407C5" w:rsidRDefault="007A5603">
      <w:pPr>
        <w:ind w:right="710"/>
        <w:jc w:val="both"/>
        <w:rPr>
          <w:rFonts w:ascii="Palatino Linotype" w:eastAsia="Palatino Linotype" w:hAnsi="Palatino Linotype" w:cs="Palatino Linotype"/>
          <w:i/>
          <w:iCs/>
          <w:color w:val="000000"/>
        </w:rPr>
      </w:pPr>
    </w:p>
    <w:p w:rsidR="007A5603" w:rsidRPr="000407C5" w:rsidRDefault="000655B2">
      <w:pPr>
        <w:ind w:right="567"/>
        <w:jc w:val="both"/>
        <w:rPr>
          <w:rFonts w:ascii="Palatino Linotype" w:eastAsia="Palatino Linotype" w:hAnsi="Palatino Linotype" w:cs="Palatino Linotype"/>
          <w:b/>
          <w:bCs/>
        </w:rPr>
      </w:pPr>
      <w:r w:rsidRPr="000407C5">
        <w:rPr>
          <w:rFonts w:ascii="Palatino Linotype" w:eastAsia="Palatino Linotype" w:hAnsi="Palatino Linotype" w:cs="Palatino Linotype"/>
          <w:b/>
          <w:bCs/>
        </w:rPr>
        <w:t>Archivos electrónicos adjuntos:</w:t>
      </w:r>
    </w:p>
    <w:p w:rsidR="007A5603" w:rsidRPr="000407C5" w:rsidRDefault="00E074F1">
      <w:pPr>
        <w:ind w:left="567" w:right="567"/>
        <w:jc w:val="both"/>
        <w:rPr>
          <w:rFonts w:ascii="Palatino Linotype" w:eastAsia="Palatino Linotype" w:hAnsi="Palatino Linotype" w:cs="Palatino Linotype"/>
          <w:b/>
          <w:bCs/>
        </w:rPr>
      </w:pPr>
      <w:hyperlink r:id="rId8">
        <w:r w:rsidR="000655B2" w:rsidRPr="000407C5">
          <w:rPr>
            <w:rFonts w:ascii="Palatino Linotype" w:eastAsia="Palatino Linotype" w:hAnsi="Palatino Linotype" w:cs="Palatino Linotype"/>
            <w:b/>
            <w:bCs/>
            <w:color w:val="000000"/>
          </w:rPr>
          <w:t>SAIMEX 02489.pdf</w:t>
        </w:r>
      </w:hyperlink>
      <w:r w:rsidR="000655B2" w:rsidRPr="000407C5">
        <w:rPr>
          <w:rFonts w:ascii="Palatino Linotype" w:eastAsia="Palatino Linotype" w:hAnsi="Palatino Linotype" w:cs="Palatino Linotype"/>
          <w:b/>
          <w:bCs/>
        </w:rPr>
        <w:t xml:space="preserve">: </w:t>
      </w:r>
      <w:r w:rsidR="000655B2" w:rsidRPr="000407C5">
        <w:rPr>
          <w:rFonts w:ascii="Palatino Linotype" w:eastAsia="Palatino Linotype" w:hAnsi="Palatino Linotype" w:cs="Palatino Linotype"/>
        </w:rPr>
        <w:t xml:space="preserve">Oficio suscrito por la Dirección General de Seguridad y Protección, por medio del cual, refirió que la información relativa a </w:t>
      </w:r>
      <w:r w:rsidR="000655B2" w:rsidRPr="000407C5">
        <w:rPr>
          <w:rFonts w:ascii="Palatino Linotype" w:eastAsia="Palatino Linotype" w:hAnsi="Palatino Linotype" w:cs="Palatino Linotype"/>
          <w:i/>
          <w:iCs/>
        </w:rPr>
        <w:t>“…El vehículo marca modelo factura el combustible asignado al vehículo que utiliza el presidente…”,</w:t>
      </w:r>
      <w:r w:rsidR="000655B2" w:rsidRPr="000407C5">
        <w:rPr>
          <w:rFonts w:ascii="Palatino Linotype" w:eastAsia="Palatino Linotype" w:hAnsi="Palatino Linotype" w:cs="Palatino Linotype"/>
        </w:rPr>
        <w:t xml:space="preserve"> fue clasificada como reservada por el Comité de Transparencia, en el Acta de la Quingentésima Septuagésima Cuarta Sesión Extraordinaria del 14 de mayo de 205, recayendo en el Acuerdo CT/SE/574/02/2025.</w:t>
      </w:r>
    </w:p>
    <w:p w:rsidR="007A5603" w:rsidRPr="000407C5" w:rsidRDefault="00E074F1">
      <w:pPr>
        <w:ind w:left="567" w:right="567"/>
        <w:jc w:val="both"/>
        <w:rPr>
          <w:rFonts w:ascii="Palatino Linotype" w:eastAsia="Palatino Linotype" w:hAnsi="Palatino Linotype" w:cs="Palatino Linotype"/>
        </w:rPr>
      </w:pPr>
      <w:hyperlink r:id="rId9">
        <w:r w:rsidR="000655B2" w:rsidRPr="000407C5">
          <w:rPr>
            <w:rFonts w:ascii="Palatino Linotype" w:eastAsia="Palatino Linotype" w:hAnsi="Palatino Linotype" w:cs="Palatino Linotype"/>
            <w:b/>
            <w:bCs/>
            <w:color w:val="000000"/>
          </w:rPr>
          <w:t>Oficio 200010000-1649-2025.pdf</w:t>
        </w:r>
      </w:hyperlink>
      <w:r w:rsidR="000655B2" w:rsidRPr="000407C5">
        <w:rPr>
          <w:rFonts w:ascii="Palatino Linotype" w:eastAsia="Palatino Linotype" w:hAnsi="Palatino Linotype" w:cs="Palatino Linotype"/>
          <w:b/>
          <w:bCs/>
        </w:rPr>
        <w:t xml:space="preserve">: </w:t>
      </w:r>
      <w:r w:rsidR="000655B2" w:rsidRPr="000407C5">
        <w:rPr>
          <w:rFonts w:ascii="Palatino Linotype" w:eastAsia="Palatino Linotype" w:hAnsi="Palatino Linotype" w:cs="Palatino Linotype"/>
        </w:rPr>
        <w:t xml:space="preserve">Oficio suscrito por el Secretario Particular de Presidencia, mediante el cual, informó que el nombre del personal, características del vehículo, factura y combustible asignado para uso del Presidente Municipal, corresponde a información clasificada como reservada por el Comité de Transparencia, mediante acta de la Quingentésima Septuagésima Cuarta Sesión Extraordinaria del 14 de mayo de 205, recayendo en el Acuerdo CT/SE/574/02/2025. Asimismo, proporcionó información relativa a la marca, vehículo y modelos, de los vehículos asignados a la presidencia municipal; adicionalmente, informó que la gasolina dispersada a los mismos depende de las características, operatividad y funciones que desempeñan, por otro lado, respecto a las facturas solicitadas, señaló que no obran en los archivos de la unidad administrativa a su cargo. Finalmente, respecto al </w:t>
      </w:r>
      <w:r w:rsidR="000655B2" w:rsidRPr="000407C5">
        <w:rPr>
          <w:rFonts w:ascii="Palatino Linotype" w:eastAsia="Palatino Linotype" w:hAnsi="Palatino Linotype" w:cs="Palatino Linotype"/>
          <w:i/>
          <w:iCs/>
        </w:rPr>
        <w:t>“oficio del presidente donde solicitó su día de asueto o descuento para andar en plazas outlet de compras”</w:t>
      </w:r>
      <w:r w:rsidR="000655B2" w:rsidRPr="000407C5">
        <w:rPr>
          <w:rFonts w:ascii="Palatino Linotype" w:eastAsia="Palatino Linotype" w:hAnsi="Palatino Linotype" w:cs="Palatino Linotype"/>
        </w:rPr>
        <w:t>, refirió que dicha interrogante se trata de manifestaciones subjetivas.</w:t>
      </w:r>
    </w:p>
    <w:p w:rsidR="007A5603" w:rsidRPr="000407C5" w:rsidRDefault="007A5603">
      <w:pPr>
        <w:ind w:right="-592"/>
        <w:jc w:val="both"/>
        <w:rPr>
          <w:rFonts w:ascii="Palatino Linotype" w:eastAsia="Palatino Linotype" w:hAnsi="Palatino Linotype" w:cs="Palatino Linotype"/>
          <w:b/>
          <w:bCs/>
        </w:rPr>
      </w:pP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rPr>
      </w:pPr>
      <w:r w:rsidRPr="000407C5">
        <w:rPr>
          <w:rFonts w:ascii="Palatino Linotype" w:eastAsia="Palatino Linotype" w:hAnsi="Palatino Linotype" w:cs="Palatino Linotype"/>
        </w:rPr>
        <w:t>El diez de junio de dos mil veinticinco,</w:t>
      </w:r>
      <w:r w:rsidRPr="000407C5">
        <w:rPr>
          <w:rFonts w:ascii="Palatino Linotype" w:eastAsia="Palatino Linotype" w:hAnsi="Palatino Linotype" w:cs="Palatino Linotype"/>
          <w:b/>
          <w:bCs/>
        </w:rPr>
        <w:t xml:space="preserve"> </w:t>
      </w:r>
      <w:r w:rsidRPr="000407C5">
        <w:rPr>
          <w:rFonts w:ascii="Palatino Linotype" w:eastAsia="Palatino Linotype" w:hAnsi="Palatino Linotype" w:cs="Palatino Linotype"/>
        </w:rPr>
        <w:t xml:space="preserve">el </w:t>
      </w:r>
      <w:r w:rsidRPr="000407C5">
        <w:rPr>
          <w:rFonts w:ascii="Palatino Linotype" w:eastAsia="Palatino Linotype" w:hAnsi="Palatino Linotype" w:cs="Palatino Linotype"/>
          <w:b/>
          <w:bCs/>
        </w:rPr>
        <w:t>RECURRENTE</w:t>
      </w:r>
      <w:r w:rsidRPr="000407C5">
        <w:rPr>
          <w:rFonts w:ascii="Palatino Linotype" w:eastAsia="Palatino Linotype" w:hAnsi="Palatino Linotype" w:cs="Palatino Linotype"/>
        </w:rPr>
        <w:t xml:space="preserve"> interpuso el recurso de revisión en contra de la respuesta, señalando como:</w:t>
      </w:r>
    </w:p>
    <w:p w:rsidR="007A5603" w:rsidRPr="000407C5" w:rsidRDefault="007A5603">
      <w:pPr>
        <w:ind w:right="1"/>
        <w:jc w:val="both"/>
        <w:rPr>
          <w:rFonts w:ascii="Palatino Linotype" w:eastAsia="Palatino Linotype" w:hAnsi="Palatino Linotype" w:cs="Palatino Linotype"/>
        </w:rPr>
      </w:pPr>
    </w:p>
    <w:p w:rsidR="007A5603" w:rsidRPr="000407C5" w:rsidRDefault="000407C5" w:rsidP="000407C5">
      <w:pPr>
        <w:pStyle w:val="Prrafodelista"/>
        <w:numPr>
          <w:ilvl w:val="0"/>
          <w:numId w:val="8"/>
        </w:numPr>
        <w:ind w:right="567"/>
        <w:jc w:val="both"/>
        <w:rPr>
          <w:rFonts w:ascii="Palatino Linotype" w:eastAsia="Palatino Linotype" w:hAnsi="Palatino Linotype" w:cs="Palatino Linotype"/>
          <w:i/>
          <w:iCs/>
        </w:rPr>
      </w:pPr>
      <w:r w:rsidRPr="000407C5">
        <w:rPr>
          <w:rFonts w:ascii="Palatino Linotype" w:eastAsia="Palatino Linotype" w:hAnsi="Palatino Linotype" w:cs="Palatino Linotype"/>
          <w:b/>
          <w:bCs/>
          <w:sz w:val="24"/>
        </w:rPr>
        <w:t>ACTO IMPUGNADO</w:t>
      </w:r>
      <w:r w:rsidRPr="000407C5">
        <w:rPr>
          <w:rFonts w:ascii="Palatino Linotype" w:eastAsia="Palatino Linotype" w:hAnsi="Palatino Linotype" w:cs="Palatino Linotype"/>
          <w:b/>
          <w:bCs/>
          <w:i/>
          <w:iCs/>
          <w:sz w:val="24"/>
        </w:rPr>
        <w:t>:</w:t>
      </w:r>
      <w:r w:rsidRPr="000407C5">
        <w:rPr>
          <w:rFonts w:ascii="Palatino Linotype" w:eastAsia="Palatino Linotype" w:hAnsi="Palatino Linotype" w:cs="Palatino Linotype"/>
          <w:i/>
          <w:iCs/>
          <w:color w:val="000000"/>
          <w:sz w:val="24"/>
        </w:rPr>
        <w:t xml:space="preserve"> </w:t>
      </w:r>
      <w:r w:rsidR="000655B2" w:rsidRPr="000407C5">
        <w:rPr>
          <w:rFonts w:ascii="Palatino Linotype" w:eastAsia="Palatino Linotype" w:hAnsi="Palatino Linotype" w:cs="Palatino Linotype"/>
          <w:i/>
          <w:iCs/>
          <w:color w:val="000000"/>
        </w:rPr>
        <w:t>“La respuesta ocultando información como sabe el Ayuntamiento” (Sic)</w:t>
      </w:r>
    </w:p>
    <w:p w:rsidR="007A5603" w:rsidRPr="000407C5" w:rsidRDefault="007A5603" w:rsidP="000407C5">
      <w:pPr>
        <w:ind w:right="567"/>
        <w:jc w:val="both"/>
        <w:rPr>
          <w:rFonts w:ascii="Palatino Linotype" w:eastAsia="Palatino Linotype" w:hAnsi="Palatino Linotype" w:cs="Palatino Linotype"/>
        </w:rPr>
      </w:pPr>
    </w:p>
    <w:p w:rsidR="007A5603" w:rsidRPr="000407C5" w:rsidRDefault="000407C5" w:rsidP="000407C5">
      <w:pPr>
        <w:pStyle w:val="Prrafodelista"/>
        <w:numPr>
          <w:ilvl w:val="0"/>
          <w:numId w:val="8"/>
        </w:numPr>
        <w:ind w:right="567"/>
        <w:jc w:val="both"/>
        <w:rPr>
          <w:rFonts w:ascii="Palatino Linotype" w:eastAsia="Palatino Linotype" w:hAnsi="Palatino Linotype" w:cs="Palatino Linotype"/>
          <w:i/>
          <w:iCs/>
          <w:color w:val="000000"/>
          <w:sz w:val="24"/>
        </w:rPr>
      </w:pPr>
      <w:r w:rsidRPr="000407C5">
        <w:rPr>
          <w:rFonts w:ascii="Palatino Linotype" w:eastAsia="Palatino Linotype" w:hAnsi="Palatino Linotype" w:cs="Palatino Linotype"/>
          <w:b/>
          <w:bCs/>
          <w:sz w:val="24"/>
        </w:rPr>
        <w:t>RAZONES O MOTIVOS DE INCONFORMIDAD</w:t>
      </w:r>
      <w:r w:rsidR="000655B2" w:rsidRPr="000407C5">
        <w:rPr>
          <w:rFonts w:ascii="Palatino Linotype" w:eastAsia="Palatino Linotype" w:hAnsi="Palatino Linotype" w:cs="Palatino Linotype"/>
          <w:b/>
          <w:bCs/>
          <w:sz w:val="24"/>
        </w:rPr>
        <w:t xml:space="preserve">: </w:t>
      </w:r>
      <w:r w:rsidR="000655B2" w:rsidRPr="000407C5">
        <w:rPr>
          <w:rFonts w:ascii="Palatino Linotype" w:eastAsia="Palatino Linotype" w:hAnsi="Palatino Linotype" w:cs="Palatino Linotype"/>
          <w:i/>
          <w:iCs/>
          <w:color w:val="000000"/>
          <w:sz w:val="24"/>
        </w:rPr>
        <w:t>“Reservan la información que es pública no se puede reservar son bienes públicos y servidora públicos y no entregan el oficio donde pidió su día de asueto sin goce de sueldo” (Sic)</w:t>
      </w:r>
    </w:p>
    <w:p w:rsidR="007A5603" w:rsidRPr="000407C5" w:rsidRDefault="007A5603">
      <w:pPr>
        <w:ind w:right="568"/>
        <w:jc w:val="both"/>
        <w:rPr>
          <w:rFonts w:ascii="Palatino Linotype" w:eastAsia="Palatino Linotype" w:hAnsi="Palatino Linotype" w:cs="Palatino Linotype"/>
          <w:b/>
          <w:bCs/>
        </w:rPr>
      </w:pP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rPr>
      </w:pPr>
      <w:r w:rsidRPr="000407C5">
        <w:rPr>
          <w:rFonts w:ascii="Palatino Linotype" w:eastAsia="Palatino Linotype" w:hAnsi="Palatino Linotype" w:cs="Palatino Linotype"/>
        </w:rPr>
        <w:lastRenderedPageBreak/>
        <w:t xml:space="preserve">Se registró el recurso de revisión bajo el número de expediente al rubro indicado, asimismo con fundamento en lo dispuesto por el artículo 185 fracción I de la </w:t>
      </w:r>
      <w:r w:rsidRPr="000407C5">
        <w:rPr>
          <w:rFonts w:ascii="Palatino Linotype" w:eastAsia="Palatino Linotype" w:hAnsi="Palatino Linotype" w:cs="Palatino Linotype"/>
          <w:b/>
          <w:bCs/>
        </w:rPr>
        <w:t xml:space="preserve">Ley de Transparencia y Acceso a la Información Pública del Estado de México y Municipios </w:t>
      </w:r>
      <w:r w:rsidRPr="000407C5">
        <w:rPr>
          <w:rFonts w:ascii="Palatino Linotype" w:eastAsia="Palatino Linotype" w:hAnsi="Palatino Linotype" w:cs="Palatino Linotype"/>
        </w:rPr>
        <w:t xml:space="preserve">se turna a la </w:t>
      </w:r>
      <w:r w:rsidRPr="000407C5">
        <w:rPr>
          <w:rFonts w:ascii="Palatino Linotype" w:eastAsia="Palatino Linotype" w:hAnsi="Palatino Linotype" w:cs="Palatino Linotype"/>
          <w:b/>
          <w:bCs/>
        </w:rPr>
        <w:t xml:space="preserve">Comisionada María del Rosario Mejía Ayala, </w:t>
      </w:r>
      <w:r w:rsidRPr="000407C5">
        <w:rPr>
          <w:rFonts w:ascii="Palatino Linotype" w:eastAsia="Palatino Linotype" w:hAnsi="Palatino Linotype" w:cs="Palatino Linotype"/>
        </w:rPr>
        <w:t xml:space="preserve">para su análisis. </w:t>
      </w:r>
    </w:p>
    <w:p w:rsidR="007A5603" w:rsidRPr="000407C5" w:rsidRDefault="007A5603">
      <w:pPr>
        <w:ind w:right="-592"/>
        <w:jc w:val="both"/>
        <w:rPr>
          <w:rFonts w:ascii="Palatino Linotype" w:eastAsia="Palatino Linotype" w:hAnsi="Palatino Linotype" w:cs="Palatino Linotype"/>
        </w:rPr>
      </w:pPr>
    </w:p>
    <w:p w:rsidR="007A5603" w:rsidRPr="000407C5" w:rsidRDefault="000407C5">
      <w:pPr>
        <w:numPr>
          <w:ilvl w:val="0"/>
          <w:numId w:val="5"/>
        </w:numPr>
        <w:spacing w:line="360" w:lineRule="auto"/>
        <w:ind w:left="0" w:right="1" w:firstLine="0"/>
        <w:jc w:val="both"/>
        <w:rPr>
          <w:rFonts w:ascii="Palatino Linotype" w:eastAsia="Palatino Linotype" w:hAnsi="Palatino Linotype" w:cs="Palatino Linotype"/>
          <w:color w:val="000000"/>
        </w:rPr>
      </w:pPr>
      <w:r>
        <w:rPr>
          <w:rFonts w:ascii="Palatino Linotype" w:eastAsia="Palatino Linotype" w:hAnsi="Palatino Linotype" w:cs="Palatino Linotype"/>
        </w:rPr>
        <w:t>La Comisionada p</w:t>
      </w:r>
      <w:r w:rsidR="000655B2" w:rsidRPr="000407C5">
        <w:rPr>
          <w:rFonts w:ascii="Palatino Linotype" w:eastAsia="Palatino Linotype" w:hAnsi="Palatino Linotype" w:cs="Palatino Linotype"/>
        </w:rPr>
        <w:t xml:space="preserve">onente con fundamento en lo dispuesto por el artículo 185 fracción II de la ley de la materia, a través del acuerdo de admisión del trece de junio de dos mil veinticinco, puso a disposición de las partes el expediente electrónico vía </w:t>
      </w:r>
      <w:r w:rsidR="000655B2" w:rsidRPr="000407C5">
        <w:rPr>
          <w:rFonts w:ascii="Palatino Linotype" w:eastAsia="Palatino Linotype" w:hAnsi="Palatino Linotype" w:cs="Palatino Linotype"/>
          <w:b/>
          <w:bCs/>
        </w:rPr>
        <w:t xml:space="preserve">SAIMEX </w:t>
      </w:r>
      <w:r w:rsidR="000655B2" w:rsidRPr="000407C5">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000655B2" w:rsidRPr="000407C5">
        <w:rPr>
          <w:rFonts w:ascii="Palatino Linotype" w:eastAsia="Palatino Linotype" w:hAnsi="Palatino Linotype" w:cs="Palatino Linotype"/>
          <w:b/>
          <w:bCs/>
        </w:rPr>
        <w:t>SUJETO OBLIGADO</w:t>
      </w:r>
      <w:r w:rsidR="000655B2" w:rsidRPr="000407C5">
        <w:rPr>
          <w:rFonts w:ascii="Palatino Linotype" w:eastAsia="Palatino Linotype" w:hAnsi="Palatino Linotype" w:cs="Palatino Linotype"/>
        </w:rPr>
        <w:t xml:space="preserve"> presentará el informe justificado procedente. </w:t>
      </w:r>
    </w:p>
    <w:p w:rsidR="007A5603" w:rsidRPr="000407C5" w:rsidRDefault="007A5603">
      <w:pPr>
        <w:ind w:right="-592"/>
        <w:rPr>
          <w:rFonts w:ascii="Palatino Linotype" w:eastAsia="Palatino Linotype" w:hAnsi="Palatino Linotype" w:cs="Palatino Linotype"/>
        </w:rPr>
      </w:pPr>
    </w:p>
    <w:p w:rsidR="007A5603" w:rsidRPr="000407C5" w:rsidRDefault="000655B2">
      <w:pPr>
        <w:numPr>
          <w:ilvl w:val="0"/>
          <w:numId w:val="5"/>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b/>
          <w:bCs/>
        </w:rPr>
      </w:pPr>
      <w:r w:rsidRPr="000407C5">
        <w:rPr>
          <w:rFonts w:ascii="Palatino Linotype" w:eastAsia="Palatino Linotype" w:hAnsi="Palatino Linotype" w:cs="Palatino Linotype"/>
        </w:rPr>
        <w:t xml:space="preserve">El veinticuatro de junio de dos mil veinticinco, el </w:t>
      </w:r>
      <w:r w:rsidRPr="000407C5">
        <w:rPr>
          <w:rFonts w:ascii="Palatino Linotype" w:eastAsia="Palatino Linotype" w:hAnsi="Palatino Linotype" w:cs="Palatino Linotype"/>
          <w:b/>
          <w:bCs/>
        </w:rPr>
        <w:t>SUJETO OBLIGADO</w:t>
      </w:r>
      <w:r w:rsidRPr="000407C5">
        <w:rPr>
          <w:rFonts w:ascii="Palatino Linotype" w:eastAsia="Palatino Linotype" w:hAnsi="Palatino Linotype" w:cs="Palatino Linotype"/>
        </w:rPr>
        <w:t xml:space="preserve"> rindió el informe justificado correspondiente, mediante el archivo electrónico denominado </w:t>
      </w:r>
      <w:r w:rsidRPr="000407C5">
        <w:rPr>
          <w:rFonts w:ascii="Palatino Linotype" w:eastAsia="Palatino Linotype" w:hAnsi="Palatino Linotype" w:cs="Palatino Linotype"/>
          <w:b/>
          <w:bCs/>
        </w:rPr>
        <w:t>ANEXOS 06788-2025.pdf,</w:t>
      </w:r>
      <w:r w:rsidRPr="000407C5">
        <w:rPr>
          <w:rFonts w:ascii="Palatino Linotype" w:eastAsia="Palatino Linotype" w:hAnsi="Palatino Linotype" w:cs="Palatino Linotype"/>
        </w:rPr>
        <w:t xml:space="preserve"> a través del cual, </w:t>
      </w:r>
      <w:r w:rsidRPr="000407C5">
        <w:rPr>
          <w:rFonts w:ascii="Palatino Linotype" w:eastAsia="Palatino Linotype" w:hAnsi="Palatino Linotype" w:cs="Palatino Linotype"/>
          <w:b/>
          <w:bCs/>
        </w:rPr>
        <w:t>ratificó la respuesta.</w:t>
      </w:r>
      <w:r w:rsidRPr="000407C5">
        <w:rPr>
          <w:rFonts w:ascii="Palatino Linotype" w:eastAsia="Palatino Linotype" w:hAnsi="Palatino Linotype" w:cs="Palatino Linotype"/>
        </w:rPr>
        <w:t xml:space="preserve"> </w:t>
      </w:r>
    </w:p>
    <w:p w:rsidR="007A5603" w:rsidRPr="000407C5" w:rsidRDefault="007A5603">
      <w:pPr>
        <w:pBdr>
          <w:top w:val="nil"/>
          <w:left w:val="nil"/>
          <w:bottom w:val="nil"/>
          <w:right w:val="nil"/>
          <w:between w:val="nil"/>
        </w:pBdr>
        <w:spacing w:line="360" w:lineRule="auto"/>
        <w:ind w:right="1"/>
        <w:jc w:val="both"/>
        <w:rPr>
          <w:rFonts w:ascii="Palatino Linotype" w:eastAsia="Palatino Linotype" w:hAnsi="Palatino Linotype" w:cs="Palatino Linotype"/>
        </w:rPr>
      </w:pPr>
    </w:p>
    <w:p w:rsidR="007A5603" w:rsidRPr="000407C5" w:rsidRDefault="000655B2">
      <w:pPr>
        <w:numPr>
          <w:ilvl w:val="0"/>
          <w:numId w:val="5"/>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rPr>
        <w:t>Por su parte,</w:t>
      </w:r>
      <w:r w:rsidRPr="000407C5">
        <w:rPr>
          <w:rFonts w:ascii="Palatino Linotype" w:eastAsia="Palatino Linotype" w:hAnsi="Palatino Linotype" w:cs="Palatino Linotype"/>
          <w:color w:val="000000"/>
        </w:rPr>
        <w:t xml:space="preserve"> la parte </w:t>
      </w:r>
      <w:r w:rsidRPr="000407C5">
        <w:rPr>
          <w:rFonts w:ascii="Palatino Linotype" w:eastAsia="Palatino Linotype" w:hAnsi="Palatino Linotype" w:cs="Palatino Linotype"/>
          <w:b/>
          <w:bCs/>
          <w:color w:val="000000"/>
        </w:rPr>
        <w:t>RECURRENTE</w:t>
      </w:r>
      <w:r w:rsidRPr="000407C5">
        <w:rPr>
          <w:rFonts w:ascii="Palatino Linotype" w:eastAsia="Palatino Linotype" w:hAnsi="Palatino Linotype" w:cs="Palatino Linotype"/>
          <w:color w:val="000000"/>
        </w:rPr>
        <w:t xml:space="preserve"> dejó de realizar manifestaciones que a su derecho conviniera y asistiera.</w:t>
      </w:r>
    </w:p>
    <w:p w:rsidR="007A5603" w:rsidRPr="000407C5" w:rsidRDefault="007A5603">
      <w:pPr>
        <w:rPr>
          <w:rFonts w:ascii="Palatino Linotype" w:eastAsia="Palatino Linotype" w:hAnsi="Palatino Linotype" w:cs="Palatino Linotype"/>
          <w:b/>
          <w:bCs/>
        </w:rPr>
      </w:pPr>
    </w:p>
    <w:p w:rsidR="007A5603" w:rsidRPr="000407C5" w:rsidRDefault="000655B2">
      <w:pPr>
        <w:numPr>
          <w:ilvl w:val="0"/>
          <w:numId w:val="5"/>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rPr>
        <w:t>El veintisiete de enero de dos mil veintiséis, se notificó el</w:t>
      </w:r>
      <w:r w:rsidRPr="000407C5">
        <w:rPr>
          <w:rFonts w:ascii="Palatino Linotype" w:eastAsia="Palatino Linotype" w:hAnsi="Palatino Linotype" w:cs="Palatino Linotype"/>
          <w:color w:val="000000"/>
        </w:rPr>
        <w:t xml:space="preserve"> </w:t>
      </w:r>
      <w:r w:rsidRPr="000407C5">
        <w:rPr>
          <w:rFonts w:ascii="Palatino Linotype" w:eastAsia="Palatino Linotype" w:hAnsi="Palatino Linotype" w:cs="Palatino Linotype"/>
        </w:rPr>
        <w:t>acuerdo mediante el cual se aprobó la ampliación de plazo para emitir resolución.</w:t>
      </w:r>
    </w:p>
    <w:p w:rsidR="007A5603" w:rsidRPr="000407C5" w:rsidRDefault="007A5603">
      <w:pPr>
        <w:rPr>
          <w:rFonts w:ascii="Palatino Linotype" w:eastAsia="Palatino Linotype" w:hAnsi="Palatino Linotype" w:cs="Palatino Linotype"/>
        </w:rPr>
      </w:pP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rPr>
      </w:pPr>
      <w:r w:rsidRPr="000407C5">
        <w:rPr>
          <w:rFonts w:ascii="Palatino Linotype" w:eastAsia="Palatino Linotype" w:hAnsi="Palatino Linotype" w:cs="Palatino Linotype"/>
        </w:rPr>
        <w:t>La Comisionada Ponente decretó el cierre de instrucción mediante el acuerdo del once de febrero de dos mil veintiséis.</w:t>
      </w:r>
      <w:r w:rsidR="000407C5">
        <w:rPr>
          <w:rFonts w:ascii="Palatino Linotype" w:eastAsia="Palatino Linotype" w:hAnsi="Palatino Linotype" w:cs="Palatino Linotype"/>
        </w:rPr>
        <w:t xml:space="preserve"> ---------------------------------------------------------------------------------</w:t>
      </w:r>
    </w:p>
    <w:p w:rsidR="007A5603" w:rsidRPr="000407C5" w:rsidRDefault="007A5603">
      <w:pPr>
        <w:rPr>
          <w:rFonts w:ascii="Palatino Linotype" w:eastAsia="Palatino Linotype" w:hAnsi="Palatino Linotype" w:cs="Palatino Linotype"/>
          <w:b/>
          <w:bCs/>
        </w:rPr>
      </w:pPr>
    </w:p>
    <w:p w:rsidR="007A5603" w:rsidRPr="000407C5" w:rsidRDefault="000655B2">
      <w:pPr>
        <w:keepNext/>
        <w:keepLines/>
        <w:spacing w:line="360" w:lineRule="auto"/>
        <w:ind w:right="-592"/>
        <w:jc w:val="center"/>
        <w:rPr>
          <w:rFonts w:ascii="Palatino Linotype" w:eastAsia="Palatino Linotype" w:hAnsi="Palatino Linotype" w:cs="Palatino Linotype"/>
          <w:b/>
          <w:bCs/>
        </w:rPr>
      </w:pPr>
      <w:r w:rsidRPr="000407C5">
        <w:rPr>
          <w:rFonts w:ascii="Palatino Linotype" w:eastAsia="Palatino Linotype" w:hAnsi="Palatino Linotype" w:cs="Palatino Linotype"/>
          <w:b/>
          <w:bCs/>
        </w:rPr>
        <w:lastRenderedPageBreak/>
        <w:t xml:space="preserve">C O N S I D E R A N D O </w:t>
      </w:r>
    </w:p>
    <w:p w:rsidR="007A5603" w:rsidRPr="000407C5" w:rsidRDefault="007A5603">
      <w:pPr>
        <w:keepNext/>
        <w:keepLines/>
        <w:ind w:right="-592"/>
        <w:rPr>
          <w:rFonts w:ascii="Palatino Linotype" w:eastAsia="Palatino Linotype" w:hAnsi="Palatino Linotype" w:cs="Palatino Linotype"/>
        </w:rPr>
      </w:pPr>
    </w:p>
    <w:p w:rsidR="007A5603" w:rsidRPr="000407C5" w:rsidRDefault="000655B2">
      <w:pPr>
        <w:keepNext/>
        <w:keepLines/>
        <w:spacing w:line="360" w:lineRule="auto"/>
        <w:ind w:right="-592"/>
        <w:rPr>
          <w:rFonts w:ascii="Palatino Linotype" w:eastAsia="Palatino Linotype" w:hAnsi="Palatino Linotype" w:cs="Palatino Linotype"/>
          <w:b/>
          <w:bCs/>
        </w:rPr>
      </w:pPr>
      <w:r w:rsidRPr="000407C5">
        <w:rPr>
          <w:rFonts w:ascii="Palatino Linotype" w:eastAsia="Palatino Linotype" w:hAnsi="Palatino Linotype" w:cs="Palatino Linotype"/>
          <w:b/>
          <w:bCs/>
        </w:rPr>
        <w:t>PRIMERO. De la competencia.</w:t>
      </w: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rPr>
      </w:pPr>
      <w:bookmarkStart w:id="1" w:name="_heading=h.3znysh7" w:colFirst="0" w:colLast="0"/>
      <w:bookmarkEnd w:id="1"/>
      <w:r w:rsidRPr="000407C5">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rsidR="007A5603" w:rsidRPr="000407C5" w:rsidRDefault="007A5603">
      <w:pPr>
        <w:spacing w:line="360" w:lineRule="auto"/>
        <w:ind w:left="644" w:right="1"/>
        <w:jc w:val="both"/>
        <w:rPr>
          <w:rFonts w:ascii="Palatino Linotype" w:eastAsia="Palatino Linotype" w:hAnsi="Palatino Linotype" w:cs="Palatino Linotype"/>
        </w:rPr>
      </w:pPr>
      <w:bookmarkStart w:id="2" w:name="_heading=h.2v230knidey2" w:colFirst="0" w:colLast="0"/>
      <w:bookmarkEnd w:id="2"/>
    </w:p>
    <w:p w:rsidR="007A5603" w:rsidRPr="000407C5" w:rsidRDefault="000655B2">
      <w:pPr>
        <w:keepNext/>
        <w:keepLines/>
        <w:spacing w:line="360" w:lineRule="auto"/>
        <w:ind w:right="1"/>
        <w:rPr>
          <w:rFonts w:ascii="Palatino Linotype" w:eastAsia="Palatino Linotype" w:hAnsi="Palatino Linotype" w:cs="Palatino Linotype"/>
          <w:b/>
          <w:bCs/>
        </w:rPr>
      </w:pPr>
      <w:r w:rsidRPr="000407C5">
        <w:rPr>
          <w:rFonts w:ascii="Palatino Linotype" w:eastAsia="Palatino Linotype" w:hAnsi="Palatino Linotype" w:cs="Palatino Linotype"/>
          <w:b/>
          <w:bCs/>
        </w:rPr>
        <w:t>SEGUNDO. De la oportunidad y procedencia.</w:t>
      </w: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rPr>
      </w:pPr>
      <w:bookmarkStart w:id="3" w:name="_heading=h.3dy6vkm" w:colFirst="0" w:colLast="0"/>
      <w:bookmarkEnd w:id="3"/>
      <w:r w:rsidRPr="000407C5">
        <w:rPr>
          <w:rFonts w:ascii="Palatino Linotype" w:eastAsia="Palatino Linotype" w:hAnsi="Palatino Linotype" w:cs="Palatino Linotype"/>
        </w:rPr>
        <w:t xml:space="preserve">El medio de impugnación fue presentado a través del </w:t>
      </w:r>
      <w:r w:rsidRPr="000407C5">
        <w:rPr>
          <w:rFonts w:ascii="Palatino Linotype" w:eastAsia="Palatino Linotype" w:hAnsi="Palatino Linotype" w:cs="Palatino Linotype"/>
          <w:b/>
          <w:bCs/>
        </w:rPr>
        <w:t>SAIMEX,</w:t>
      </w:r>
      <w:r w:rsidRPr="000407C5">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0407C5">
        <w:rPr>
          <w:rFonts w:ascii="Palatino Linotype" w:eastAsia="Palatino Linotype" w:hAnsi="Palatino Linotype" w:cs="Palatino Linotype"/>
          <w:b/>
          <w:bCs/>
        </w:rPr>
        <w:t>SUJETO OBLIGADO</w:t>
      </w:r>
      <w:r w:rsidRPr="000407C5">
        <w:rPr>
          <w:rFonts w:ascii="Palatino Linotype" w:eastAsia="Palatino Linotype" w:hAnsi="Palatino Linotype" w:cs="Palatino Linotype"/>
        </w:rPr>
        <w:t xml:space="preserve"> entregó respuesta el veinte de mayo de dos mil veinticinco, de tal forma que el plazo para interponer el recurso de revisión transcurrió del veintiuno de mayo al diez de junio de dos mil veinticinco; en consecuencia, presentó su inconformidad el diez de junio de dos mil veinticinco, por lo que se encuentra dentro de los márgenes temporales previstos en el artículo 178 de la </w:t>
      </w:r>
      <w:r w:rsidRPr="000407C5">
        <w:rPr>
          <w:rFonts w:ascii="Palatino Linotype" w:eastAsia="Palatino Linotype" w:hAnsi="Palatino Linotype" w:cs="Palatino Linotype"/>
          <w:b/>
          <w:bCs/>
        </w:rPr>
        <w:t xml:space="preserve">Ley de Transparencia y Acceso a la Información Pública del Estado de México y Municipios </w:t>
      </w:r>
      <w:r w:rsidRPr="000407C5">
        <w:rPr>
          <w:rFonts w:ascii="Palatino Linotype" w:eastAsia="Palatino Linotype" w:hAnsi="Palatino Linotype" w:cs="Palatino Linotype"/>
        </w:rPr>
        <w:t>vigente.</w:t>
      </w:r>
    </w:p>
    <w:p w:rsidR="007A5603" w:rsidRPr="000407C5" w:rsidRDefault="007A5603">
      <w:pPr>
        <w:ind w:right="1"/>
        <w:jc w:val="both"/>
        <w:rPr>
          <w:rFonts w:ascii="Palatino Linotype" w:eastAsia="Palatino Linotype" w:hAnsi="Palatino Linotype" w:cs="Palatino Linotype"/>
          <w:b/>
          <w:bCs/>
        </w:rPr>
      </w:pP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rPr>
      </w:pPr>
      <w:r w:rsidRPr="000407C5">
        <w:rPr>
          <w:rFonts w:ascii="Palatino Linotype" w:eastAsia="Palatino Linotype" w:hAnsi="Palatino Linotype" w:cs="Palatino Linotype"/>
        </w:rPr>
        <w:t xml:space="preserve">Por otro lado, el escrito contiene las formalidades previstas por el artículo 180 último párrafo de la Ley de la materia actual, por lo que es procedente que este Instituto de </w:t>
      </w:r>
      <w:r w:rsidRPr="000407C5">
        <w:rPr>
          <w:rFonts w:ascii="Palatino Linotype" w:eastAsia="Palatino Linotype" w:hAnsi="Palatino Linotype" w:cs="Palatino Linotype"/>
        </w:rPr>
        <w:lastRenderedPageBreak/>
        <w:t>Transparencia, Acceso a la Información Pública y Protección de Datos Personales del Estado de México y Municipios, conozca y resuelva el presente recurso.</w:t>
      </w:r>
    </w:p>
    <w:p w:rsidR="007A5603" w:rsidRPr="000407C5" w:rsidRDefault="000655B2">
      <w:pPr>
        <w:pStyle w:val="Ttulo1"/>
        <w:spacing w:line="360" w:lineRule="auto"/>
        <w:rPr>
          <w:rFonts w:ascii="Palatino Linotype" w:eastAsia="Palatino Linotype" w:hAnsi="Palatino Linotype" w:cs="Palatino Linotype"/>
          <w:b w:val="0"/>
          <w:bCs w:val="0"/>
          <w:sz w:val="24"/>
          <w:szCs w:val="24"/>
        </w:rPr>
      </w:pPr>
      <w:r w:rsidRPr="000407C5">
        <w:rPr>
          <w:rFonts w:ascii="Palatino Linotype" w:eastAsia="Palatino Linotype" w:hAnsi="Palatino Linotype" w:cs="Palatino Linotype"/>
          <w:sz w:val="24"/>
          <w:szCs w:val="24"/>
        </w:rPr>
        <w:t>TERCERO. Planteamiento de la Litis.</w:t>
      </w: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i/>
          <w:iCs/>
        </w:rPr>
      </w:pPr>
      <w:bookmarkStart w:id="4" w:name="_heading=h.2pqa4mglkgv2" w:colFirst="0" w:colLast="0"/>
      <w:bookmarkEnd w:id="4"/>
      <w:r w:rsidRPr="000407C5">
        <w:rPr>
          <w:rFonts w:ascii="Palatino Linotype" w:eastAsia="Palatino Linotype" w:hAnsi="Palatino Linotype" w:cs="Palatino Linotype"/>
        </w:rPr>
        <w:t xml:space="preserve">La parte </w:t>
      </w:r>
      <w:r w:rsidRPr="000407C5">
        <w:rPr>
          <w:rFonts w:ascii="Palatino Linotype" w:eastAsia="Palatino Linotype" w:hAnsi="Palatino Linotype" w:cs="Palatino Linotype"/>
          <w:b/>
          <w:bCs/>
        </w:rPr>
        <w:t>RECURRENTE</w:t>
      </w:r>
      <w:r w:rsidRPr="000407C5">
        <w:rPr>
          <w:rFonts w:ascii="Palatino Linotype" w:eastAsia="Palatino Linotype" w:hAnsi="Palatino Linotype" w:cs="Palatino Linotype"/>
        </w:rPr>
        <w:t xml:space="preserve"> solicitó lo siguiente: </w:t>
      </w:r>
      <w:r w:rsidRPr="000407C5">
        <w:rPr>
          <w:rFonts w:ascii="Palatino Linotype" w:eastAsia="Palatino Linotype" w:hAnsi="Palatino Linotype" w:cs="Palatino Linotype"/>
          <w:i/>
          <w:iCs/>
          <w:color w:val="000000"/>
        </w:rPr>
        <w:t>“De conformidad con el artículo 5 constitucional se solicita el oficio del presiente sonde solicite su día de asueto o descuento oara andas en las plazas outle de compras el nombre del personal que lo acompaña cudandolo qué son más de 8 xomo lo dice la nota periodística el vehículo marca modelo factura el combustible asignando al vehículo qué utiliza el presidente y los vehículos asignados con gasolina y factura de todo el personal de presidencia.” (Sic)</w:t>
      </w:r>
    </w:p>
    <w:p w:rsidR="007A5603" w:rsidRPr="000407C5" w:rsidRDefault="007A5603">
      <w:pPr>
        <w:spacing w:line="360" w:lineRule="auto"/>
        <w:ind w:right="1"/>
        <w:jc w:val="both"/>
        <w:rPr>
          <w:rFonts w:ascii="Palatino Linotype" w:eastAsia="Palatino Linotype" w:hAnsi="Palatino Linotype" w:cs="Palatino Linotype"/>
          <w:b/>
          <w:bCs/>
          <w:i/>
          <w:iCs/>
        </w:rPr>
      </w:pP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rPr>
      </w:pPr>
      <w:r w:rsidRPr="000407C5">
        <w:rPr>
          <w:rFonts w:ascii="Palatino Linotype" w:eastAsia="Palatino Linotype" w:hAnsi="Palatino Linotype" w:cs="Palatino Linotype"/>
        </w:rPr>
        <w:t xml:space="preserve">El </w:t>
      </w:r>
      <w:r w:rsidRPr="000407C5">
        <w:rPr>
          <w:rFonts w:ascii="Palatino Linotype" w:eastAsia="Palatino Linotype" w:hAnsi="Palatino Linotype" w:cs="Palatino Linotype"/>
          <w:b/>
          <w:bCs/>
        </w:rPr>
        <w:t>SUJETO OBLIGADO</w:t>
      </w:r>
      <w:r w:rsidRPr="000407C5">
        <w:rPr>
          <w:rFonts w:ascii="Palatino Linotype" w:eastAsia="Palatino Linotype" w:hAnsi="Palatino Linotype" w:cs="Palatino Linotype"/>
        </w:rPr>
        <w:t xml:space="preserve"> emitió respuesta en términos del </w:t>
      </w:r>
      <w:r w:rsidRPr="000407C5">
        <w:rPr>
          <w:rFonts w:ascii="Palatino Linotype" w:eastAsia="Palatino Linotype" w:hAnsi="Palatino Linotype" w:cs="Palatino Linotype"/>
          <w:b/>
          <w:bCs/>
        </w:rPr>
        <w:t>párrafo 3</w:t>
      </w:r>
      <w:r w:rsidRPr="000407C5">
        <w:rPr>
          <w:rFonts w:ascii="Palatino Linotype" w:eastAsia="Palatino Linotype" w:hAnsi="Palatino Linotype" w:cs="Palatino Linotype"/>
        </w:rPr>
        <w:t xml:space="preserve"> de la presente resolución.</w:t>
      </w:r>
    </w:p>
    <w:p w:rsidR="007A5603" w:rsidRPr="000407C5" w:rsidRDefault="007A5603">
      <w:pPr>
        <w:spacing w:line="360" w:lineRule="auto"/>
        <w:ind w:right="1"/>
        <w:jc w:val="both"/>
        <w:rPr>
          <w:rFonts w:ascii="Palatino Linotype" w:eastAsia="Palatino Linotype" w:hAnsi="Palatino Linotype" w:cs="Palatino Linotype"/>
          <w:b/>
          <w:bCs/>
        </w:rPr>
      </w:pP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rPr>
      </w:pPr>
      <w:r w:rsidRPr="000407C5">
        <w:rPr>
          <w:rFonts w:ascii="Palatino Linotype" w:eastAsia="Palatino Linotype" w:hAnsi="Palatino Linotype" w:cs="Palatino Linotype"/>
        </w:rPr>
        <w:t>Inconforme con la respuesta, el Solicitante interpuso el recurso de revisión en el que manifestó la reserva de la información y la entrega de información incompleta.</w:t>
      </w:r>
    </w:p>
    <w:p w:rsidR="007A5603" w:rsidRPr="000407C5" w:rsidRDefault="007A5603">
      <w:pPr>
        <w:pBdr>
          <w:top w:val="nil"/>
          <w:left w:val="nil"/>
          <w:bottom w:val="nil"/>
          <w:right w:val="nil"/>
          <w:between w:val="nil"/>
        </w:pBdr>
        <w:ind w:left="720"/>
        <w:rPr>
          <w:rFonts w:ascii="Palatino Linotype" w:eastAsia="Palatino Linotype" w:hAnsi="Palatino Linotype" w:cs="Palatino Linotype"/>
          <w:color w:val="000000"/>
        </w:rPr>
      </w:pP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rPr>
      </w:pPr>
      <w:r w:rsidRPr="000407C5">
        <w:rPr>
          <w:rFonts w:ascii="Palatino Linotype" w:eastAsia="Palatino Linotype" w:hAnsi="Palatino Linotype" w:cs="Palatino Linotype"/>
        </w:rPr>
        <w:t xml:space="preserve">En dichas condiciones, la </w:t>
      </w:r>
      <w:r w:rsidRPr="000407C5">
        <w:rPr>
          <w:rFonts w:ascii="Palatino Linotype" w:eastAsia="Palatino Linotype" w:hAnsi="Palatino Linotype" w:cs="Palatino Linotype"/>
          <w:i/>
          <w:iCs/>
        </w:rPr>
        <w:t>Litis</w:t>
      </w:r>
      <w:r w:rsidRPr="000407C5">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sidRPr="000407C5">
        <w:rPr>
          <w:rFonts w:ascii="Palatino Linotype" w:eastAsia="Palatino Linotype" w:hAnsi="Palatino Linotype" w:cs="Palatino Linotype"/>
          <w:b/>
          <w:bCs/>
        </w:rPr>
        <w:t>II</w:t>
      </w:r>
      <w:r w:rsidRPr="000407C5">
        <w:rPr>
          <w:rFonts w:ascii="Palatino Linotype" w:eastAsia="Palatino Linotype" w:hAnsi="Palatino Linotype" w:cs="Palatino Linotype"/>
        </w:rPr>
        <w:t xml:space="preserve"> y</w:t>
      </w:r>
      <w:r w:rsidRPr="000407C5">
        <w:rPr>
          <w:rFonts w:ascii="Palatino Linotype" w:eastAsia="Palatino Linotype" w:hAnsi="Palatino Linotype" w:cs="Palatino Linotype"/>
          <w:b/>
          <w:bCs/>
        </w:rPr>
        <w:t xml:space="preserve"> V </w:t>
      </w:r>
      <w:r w:rsidRPr="000407C5">
        <w:rPr>
          <w:rFonts w:ascii="Palatino Linotype" w:eastAsia="Palatino Linotype" w:hAnsi="Palatino Linotype" w:cs="Palatino Linotype"/>
        </w:rPr>
        <w:t xml:space="preserve">de la </w:t>
      </w:r>
      <w:r w:rsidRPr="000407C5">
        <w:rPr>
          <w:rFonts w:ascii="Palatino Linotype" w:eastAsia="Palatino Linotype" w:hAnsi="Palatino Linotype" w:cs="Palatino Linotype"/>
          <w:b/>
          <w:bCs/>
        </w:rPr>
        <w:t>Ley de Transparencia y Acceso a la Información Pública del Estado de México y Municipios</w:t>
      </w:r>
      <w:r w:rsidRPr="000407C5">
        <w:rPr>
          <w:rFonts w:ascii="Palatino Linotype" w:eastAsia="Palatino Linotype" w:hAnsi="Palatino Linotype" w:cs="Palatino Linotype"/>
        </w:rPr>
        <w:t>.</w:t>
      </w:r>
    </w:p>
    <w:p w:rsidR="007A5603" w:rsidRPr="000407C5" w:rsidRDefault="007A5603">
      <w:pPr>
        <w:spacing w:line="360" w:lineRule="auto"/>
        <w:ind w:right="1"/>
        <w:jc w:val="both"/>
        <w:rPr>
          <w:rFonts w:ascii="Palatino Linotype" w:eastAsia="Palatino Linotype" w:hAnsi="Palatino Linotype" w:cs="Palatino Linotype"/>
          <w:b/>
          <w:bCs/>
        </w:rPr>
      </w:pPr>
    </w:p>
    <w:p w:rsidR="007A5603" w:rsidRPr="000407C5" w:rsidRDefault="000655B2">
      <w:pPr>
        <w:pStyle w:val="Ttulo2"/>
        <w:spacing w:before="0" w:line="360" w:lineRule="auto"/>
        <w:ind w:right="1"/>
        <w:rPr>
          <w:rFonts w:ascii="Palatino Linotype" w:eastAsia="Palatino Linotype" w:hAnsi="Palatino Linotype" w:cs="Palatino Linotype"/>
          <w:b/>
          <w:bCs/>
          <w:color w:val="000000"/>
          <w:sz w:val="24"/>
          <w:szCs w:val="24"/>
        </w:rPr>
      </w:pPr>
      <w:r w:rsidRPr="000407C5">
        <w:rPr>
          <w:rFonts w:ascii="Palatino Linotype" w:eastAsia="Palatino Linotype" w:hAnsi="Palatino Linotype" w:cs="Palatino Linotype"/>
          <w:b/>
          <w:bCs/>
          <w:color w:val="000000"/>
          <w:sz w:val="24"/>
          <w:szCs w:val="24"/>
        </w:rPr>
        <w:t>CUARTA. Estudio y resolución del asunto.</w:t>
      </w: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rPr>
      </w:pPr>
      <w:r w:rsidRPr="000407C5">
        <w:rPr>
          <w:rFonts w:ascii="Palatino Linotype" w:eastAsia="Palatino Linotype" w:hAnsi="Palatino Linotype" w:cs="Palatino Linotype"/>
        </w:rPr>
        <w:t xml:space="preserve">El </w:t>
      </w:r>
      <w:r w:rsidRPr="000407C5">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w:t>
      </w:r>
      <w:r w:rsidRPr="000407C5">
        <w:rPr>
          <w:rFonts w:ascii="Palatino Linotype" w:eastAsia="Palatino Linotype" w:hAnsi="Palatino Linotype" w:cs="Palatino Linotype"/>
          <w:color w:val="000000"/>
        </w:rPr>
        <w:lastRenderedPageBreak/>
        <w:t xml:space="preserve">Derechos Humanos en su artículo 13.1; en el artículo sexto de la Constitución Política de los Estados Unidos Mexicanos y en el artículo quinto de la </w:t>
      </w:r>
      <w:r w:rsidRPr="000407C5">
        <w:rPr>
          <w:rFonts w:ascii="Palatino Linotype" w:eastAsia="Palatino Linotype" w:hAnsi="Palatino Linotype" w:cs="Palatino Linotype"/>
        </w:rPr>
        <w:t>Particular</w:t>
      </w:r>
      <w:r w:rsidRPr="000407C5">
        <w:rPr>
          <w:rFonts w:ascii="Palatino Linotype" w:eastAsia="Palatino Linotype" w:hAnsi="Palatino Linotype" w:cs="Palatino Linotype"/>
          <w:color w:val="000000"/>
        </w:rPr>
        <w:t xml:space="preserve"> del Estado de México.</w:t>
      </w:r>
    </w:p>
    <w:p w:rsidR="007A5603" w:rsidRPr="000407C5" w:rsidRDefault="007A5603">
      <w:pPr>
        <w:spacing w:line="360" w:lineRule="auto"/>
        <w:ind w:right="1"/>
        <w:jc w:val="both"/>
        <w:rPr>
          <w:rFonts w:ascii="Palatino Linotype" w:eastAsia="Palatino Linotype" w:hAnsi="Palatino Linotype" w:cs="Palatino Linotype"/>
          <w:b/>
          <w:bCs/>
        </w:rPr>
      </w:pPr>
    </w:p>
    <w:p w:rsidR="007A5603" w:rsidRPr="000407C5" w:rsidRDefault="000655B2">
      <w:pPr>
        <w:numPr>
          <w:ilvl w:val="0"/>
          <w:numId w:val="5"/>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b/>
          <w:bCs/>
          <w:color w:val="000000"/>
        </w:rPr>
      </w:pPr>
      <w:r w:rsidRPr="000407C5">
        <w:rPr>
          <w:rFonts w:ascii="Palatino Linotype" w:eastAsia="Palatino Linotype" w:hAnsi="Palatino Linotype" w:cs="Palatino Linotype"/>
          <w:color w:val="000000"/>
        </w:rPr>
        <w:t xml:space="preserve">Definiendo el Derecho de Acceso a la Información Pública como: </w:t>
      </w:r>
      <w:r w:rsidRPr="000407C5">
        <w:rPr>
          <w:rFonts w:ascii="Palatino Linotype" w:eastAsia="Palatino Linotype" w:hAnsi="Palatino Linotype" w:cs="Palatino Linotype"/>
          <w:i/>
          <w:iCs/>
          <w:color w:val="000000"/>
        </w:rPr>
        <w:t xml:space="preserve">La igualdad de </w:t>
      </w:r>
      <w:r w:rsidRPr="000407C5">
        <w:rPr>
          <w:rFonts w:ascii="Palatino Linotype" w:eastAsia="Palatino Linotype" w:hAnsi="Palatino Linotype" w:cs="Palatino Linotype"/>
          <w:color w:val="000000"/>
        </w:rPr>
        <w:t>oportunidades</w:t>
      </w:r>
      <w:r w:rsidRPr="000407C5">
        <w:rPr>
          <w:rFonts w:ascii="Palatino Linotype" w:eastAsia="Palatino Linotype" w:hAnsi="Palatino Linotype" w:cs="Palatino Linotype"/>
          <w:i/>
          <w:iCs/>
          <w:color w:val="000000"/>
        </w:rPr>
        <w:t xml:space="preserve"> para recibir, buscar e impartir información</w:t>
      </w:r>
      <w:r w:rsidRPr="000407C5">
        <w:rPr>
          <w:rFonts w:ascii="Palatino Linotype" w:eastAsia="Palatino Linotype" w:hAnsi="Palatino Linotype" w:cs="Palatino Linotype"/>
          <w:color w:val="000000"/>
          <w:vertAlign w:val="superscript"/>
        </w:rPr>
        <w:footnoteReference w:id="1"/>
      </w:r>
      <w:r w:rsidRPr="000407C5">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407C5">
        <w:rPr>
          <w:rFonts w:ascii="Palatino Linotype" w:eastAsia="Palatino Linotype" w:hAnsi="Palatino Linotype" w:cs="Palatino Linotype"/>
          <w:color w:val="000000"/>
          <w:vertAlign w:val="superscript"/>
        </w:rPr>
        <w:footnoteReference w:id="2"/>
      </w:r>
      <w:r w:rsidRPr="000407C5">
        <w:rPr>
          <w:rFonts w:ascii="Palatino Linotype" w:eastAsia="Palatino Linotype" w:hAnsi="Palatino Linotype" w:cs="Palatino Linotype"/>
          <w:color w:val="000000"/>
        </w:rPr>
        <w:t>que se constituye como una herramienta fundamental para ejercer</w:t>
      </w:r>
      <w:r w:rsidRPr="000407C5">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0407C5">
        <w:rPr>
          <w:rFonts w:ascii="Palatino Linotype" w:eastAsia="Palatino Linotype" w:hAnsi="Palatino Linotype" w:cs="Palatino Linotype"/>
          <w:color w:val="000000"/>
          <w:vertAlign w:val="superscript"/>
        </w:rPr>
        <w:footnoteReference w:id="3"/>
      </w:r>
      <w:r w:rsidRPr="000407C5">
        <w:rPr>
          <w:rFonts w:ascii="Palatino Linotype" w:eastAsia="Palatino Linotype" w:hAnsi="Palatino Linotype" w:cs="Palatino Linotype"/>
          <w:color w:val="000000"/>
        </w:rPr>
        <w:t>fomentando</w:t>
      </w:r>
      <w:r w:rsidRPr="000407C5">
        <w:rPr>
          <w:rFonts w:ascii="Palatino Linotype" w:eastAsia="Palatino Linotype" w:hAnsi="Palatino Linotype" w:cs="Palatino Linotype"/>
          <w:i/>
          <w:iCs/>
          <w:color w:val="000000"/>
        </w:rPr>
        <w:t xml:space="preserve"> la transparencia de las actividades estatales y </w:t>
      </w:r>
      <w:r w:rsidRPr="000407C5">
        <w:rPr>
          <w:rFonts w:ascii="Palatino Linotype" w:eastAsia="Palatino Linotype" w:hAnsi="Palatino Linotype" w:cs="Palatino Linotype"/>
          <w:color w:val="000000"/>
        </w:rPr>
        <w:t>promoviendo</w:t>
      </w:r>
      <w:r w:rsidRPr="000407C5">
        <w:rPr>
          <w:rFonts w:ascii="Palatino Linotype" w:eastAsia="Palatino Linotype" w:hAnsi="Palatino Linotype" w:cs="Palatino Linotype"/>
          <w:i/>
          <w:iCs/>
          <w:color w:val="000000"/>
        </w:rPr>
        <w:t xml:space="preserve"> la responsabilidad de los funcionarios sobre su gestión pública,</w:t>
      </w:r>
      <w:r w:rsidRPr="000407C5">
        <w:rPr>
          <w:rFonts w:ascii="Palatino Linotype" w:eastAsia="Palatino Linotype" w:hAnsi="Palatino Linotype" w:cs="Palatino Linotype"/>
          <w:color w:val="000000"/>
          <w:vertAlign w:val="superscript"/>
        </w:rPr>
        <w:footnoteReference w:id="4"/>
      </w:r>
      <w:r w:rsidRPr="000407C5">
        <w:rPr>
          <w:rFonts w:ascii="Palatino Linotype" w:eastAsia="Palatino Linotype" w:hAnsi="Palatino Linotype" w:cs="Palatino Linotype"/>
          <w:color w:val="000000"/>
        </w:rPr>
        <w:t>que permite</w:t>
      </w:r>
      <w:r w:rsidRPr="000407C5">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7A5603" w:rsidRPr="000407C5" w:rsidRDefault="007A5603">
      <w:pPr>
        <w:ind w:right="1"/>
        <w:rPr>
          <w:rFonts w:ascii="Palatino Linotype" w:eastAsia="Palatino Linotype" w:hAnsi="Palatino Linotype" w:cs="Palatino Linotype"/>
          <w:color w:val="000000"/>
        </w:rPr>
      </w:pP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rPr>
      </w:pPr>
      <w:r w:rsidRPr="000407C5">
        <w:rPr>
          <w:rFonts w:ascii="Palatino Linotype" w:eastAsia="Palatino Linotype" w:hAnsi="Palatino Linotype" w:cs="Palatino Linotype"/>
          <w:color w:val="000000"/>
        </w:rPr>
        <w:t xml:space="preserve">En </w:t>
      </w:r>
      <w:r w:rsidRPr="000407C5">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rsidR="007A5603" w:rsidRPr="000407C5" w:rsidRDefault="000655B2">
      <w:pPr>
        <w:ind w:left="567" w:right="71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w:t>
      </w:r>
      <w:r w:rsidRPr="000407C5">
        <w:rPr>
          <w:rFonts w:ascii="Palatino Linotype" w:eastAsia="Palatino Linotype" w:hAnsi="Palatino Linotype" w:cs="Palatino Linotype"/>
          <w:b/>
          <w:bCs/>
          <w:i/>
          <w:iCs/>
        </w:rPr>
        <w:t>Artículo 1.-</w:t>
      </w:r>
      <w:r w:rsidRPr="000407C5">
        <w:rPr>
          <w:rFonts w:ascii="Palatino Linotype" w:eastAsia="Palatino Linotype" w:hAnsi="Palatino Linotype" w:cs="Palatino Linotype"/>
          <w:i/>
          <w:iCs/>
        </w:rPr>
        <w:t xml:space="preserve"> </w:t>
      </w:r>
    </w:p>
    <w:p w:rsidR="007A5603" w:rsidRPr="000407C5" w:rsidRDefault="000655B2">
      <w:pPr>
        <w:ind w:left="567" w:right="71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w:t>
      </w:r>
    </w:p>
    <w:p w:rsidR="007A5603" w:rsidRPr="000407C5" w:rsidRDefault="000655B2">
      <w:pPr>
        <w:ind w:left="567" w:right="71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Todas las</w:t>
      </w:r>
      <w:r w:rsidRPr="000407C5">
        <w:rPr>
          <w:rFonts w:ascii="Palatino Linotype" w:eastAsia="Palatino Linotype" w:hAnsi="Palatino Linotype" w:cs="Palatino Linotype"/>
        </w:rPr>
        <w:t xml:space="preserve"> </w:t>
      </w:r>
      <w:r w:rsidRPr="000407C5">
        <w:rPr>
          <w:rFonts w:ascii="Palatino Linotype" w:eastAsia="Palatino Linotype" w:hAnsi="Palatino Linotype" w:cs="Palatino Linotype"/>
          <w:i/>
          <w:iCs/>
        </w:rPr>
        <w:t xml:space="preserve">autoridades, en el ámbito de sus competencias, tienen la obligación de promover, respetar, proteger y garantizar los derechos humanos de conformidad con los principios de universalidad, interdependencia, indivisibilidad y progresividad. En consecuencia, el </w:t>
      </w:r>
      <w:r w:rsidRPr="000407C5">
        <w:rPr>
          <w:rFonts w:ascii="Palatino Linotype" w:eastAsia="Palatino Linotype" w:hAnsi="Palatino Linotype" w:cs="Palatino Linotype"/>
          <w:i/>
          <w:iCs/>
        </w:rPr>
        <w:lastRenderedPageBreak/>
        <w:t>Estado deberá prevenir, investigar, sancionar y reparar las violaciones a los derechos humanos, en los términos que establezca la ley.</w:t>
      </w:r>
    </w:p>
    <w:p w:rsidR="007A5603" w:rsidRPr="000407C5" w:rsidRDefault="000655B2">
      <w:pPr>
        <w:ind w:left="567" w:right="710"/>
        <w:jc w:val="both"/>
        <w:rPr>
          <w:rFonts w:ascii="Palatino Linotype" w:eastAsia="Palatino Linotype" w:hAnsi="Palatino Linotype" w:cs="Palatino Linotype"/>
        </w:rPr>
      </w:pPr>
      <w:r w:rsidRPr="000407C5">
        <w:rPr>
          <w:rFonts w:ascii="Palatino Linotype" w:eastAsia="Palatino Linotype" w:hAnsi="Palatino Linotype" w:cs="Palatino Linotype"/>
          <w:i/>
          <w:iCs/>
        </w:rPr>
        <w:t>(…)</w:t>
      </w:r>
      <w:r w:rsidRPr="000407C5">
        <w:rPr>
          <w:rFonts w:ascii="Palatino Linotype" w:eastAsia="Palatino Linotype" w:hAnsi="Palatino Linotype" w:cs="Palatino Linotype"/>
        </w:rPr>
        <w:t>”</w:t>
      </w:r>
    </w:p>
    <w:p w:rsidR="007A5603" w:rsidRPr="000407C5" w:rsidRDefault="007A5603">
      <w:pPr>
        <w:ind w:right="-592"/>
        <w:jc w:val="both"/>
        <w:rPr>
          <w:rFonts w:ascii="Palatino Linotype" w:eastAsia="Palatino Linotype" w:hAnsi="Palatino Linotype" w:cs="Palatino Linotype"/>
          <w:b/>
          <w:bCs/>
        </w:rPr>
      </w:pP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rPr>
      </w:pPr>
      <w:r w:rsidRPr="000407C5">
        <w:rPr>
          <w:rFonts w:ascii="Palatino Linotype" w:eastAsia="Palatino Linotype" w:hAnsi="Palatino Linotype" w:cs="Palatino Linotype"/>
          <w:color w:val="000000"/>
        </w:rPr>
        <w:t xml:space="preserve">Por </w:t>
      </w:r>
      <w:r w:rsidRPr="000407C5">
        <w:rPr>
          <w:rFonts w:ascii="Palatino Linotype" w:eastAsia="Palatino Linotype" w:hAnsi="Palatino Linotype" w:cs="Palatino Linotype"/>
        </w:rPr>
        <w:t>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7A5603" w:rsidRPr="000407C5" w:rsidRDefault="007A5603">
      <w:pPr>
        <w:ind w:right="1"/>
        <w:jc w:val="both"/>
        <w:rPr>
          <w:rFonts w:ascii="Palatino Linotype" w:eastAsia="Palatino Linotype" w:hAnsi="Palatino Linotype" w:cs="Palatino Linotype"/>
          <w:b/>
          <w:bCs/>
        </w:rPr>
      </w:pP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rPr>
      </w:pPr>
      <w:r w:rsidRPr="000407C5">
        <w:rPr>
          <w:rFonts w:ascii="Palatino Linotype" w:eastAsia="Palatino Linotype" w:hAnsi="Palatino Linotype" w:cs="Palatino Linotype"/>
          <w:color w:val="000000"/>
        </w:rPr>
        <w:t xml:space="preserve">Así </w:t>
      </w:r>
      <w:r w:rsidRPr="000407C5">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7A5603" w:rsidRPr="000407C5" w:rsidRDefault="000655B2">
      <w:pPr>
        <w:ind w:left="567" w:right="710"/>
        <w:jc w:val="both"/>
        <w:rPr>
          <w:rFonts w:ascii="Palatino Linotype" w:eastAsia="Palatino Linotype" w:hAnsi="Palatino Linotype" w:cs="Palatino Linotype"/>
          <w:b/>
          <w:bCs/>
          <w:i/>
          <w:iCs/>
        </w:rPr>
      </w:pPr>
      <w:r w:rsidRPr="000407C5">
        <w:rPr>
          <w:rFonts w:ascii="Palatino Linotype" w:eastAsia="Palatino Linotype" w:hAnsi="Palatino Linotype" w:cs="Palatino Linotype"/>
          <w:b/>
          <w:bCs/>
          <w:i/>
          <w:iCs/>
        </w:rPr>
        <w:t>Constitución Política de los Estados Unidos Mexicanos</w:t>
      </w:r>
    </w:p>
    <w:p w:rsidR="007A5603" w:rsidRPr="000407C5" w:rsidRDefault="007A5603">
      <w:pPr>
        <w:ind w:left="567" w:right="710"/>
        <w:jc w:val="both"/>
        <w:rPr>
          <w:rFonts w:ascii="Palatino Linotype" w:eastAsia="Palatino Linotype" w:hAnsi="Palatino Linotype" w:cs="Palatino Linotype"/>
          <w:b/>
          <w:bCs/>
          <w:i/>
          <w:iCs/>
        </w:rPr>
      </w:pPr>
    </w:p>
    <w:p w:rsidR="007A5603" w:rsidRPr="000407C5" w:rsidRDefault="000655B2">
      <w:pPr>
        <w:ind w:left="567" w:right="710"/>
        <w:jc w:val="both"/>
        <w:rPr>
          <w:rFonts w:ascii="Palatino Linotype" w:eastAsia="Palatino Linotype" w:hAnsi="Palatino Linotype" w:cs="Palatino Linotype"/>
          <w:b/>
          <w:bCs/>
          <w:i/>
          <w:iCs/>
        </w:rPr>
      </w:pPr>
      <w:r w:rsidRPr="000407C5">
        <w:rPr>
          <w:rFonts w:ascii="Palatino Linotype" w:eastAsia="Palatino Linotype" w:hAnsi="Palatino Linotype" w:cs="Palatino Linotype"/>
          <w:b/>
          <w:bCs/>
          <w:i/>
          <w:iCs/>
        </w:rPr>
        <w:t>“Artículo 6.</w:t>
      </w:r>
      <w:r w:rsidRPr="000407C5">
        <w:rPr>
          <w:rFonts w:ascii="Palatino Linotype" w:eastAsia="Palatino Linotype" w:hAnsi="Palatino Linotype" w:cs="Palatino Linotype"/>
          <w:i/>
          <w:iCs/>
        </w:rPr>
        <w:t xml:space="preserve"> …</w:t>
      </w:r>
    </w:p>
    <w:p w:rsidR="007A5603" w:rsidRPr="000407C5" w:rsidRDefault="000655B2">
      <w:pPr>
        <w:ind w:left="567" w:right="71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w:t>
      </w:r>
    </w:p>
    <w:p w:rsidR="007A5603" w:rsidRPr="000407C5" w:rsidRDefault="000655B2">
      <w:pPr>
        <w:ind w:left="567" w:right="71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Para efectos de lo dispuesto en el presente artículo se observará lo siguiente:</w:t>
      </w:r>
    </w:p>
    <w:p w:rsidR="007A5603" w:rsidRPr="000407C5" w:rsidRDefault="000655B2">
      <w:pPr>
        <w:ind w:left="567" w:right="710"/>
        <w:jc w:val="both"/>
        <w:rPr>
          <w:rFonts w:ascii="Palatino Linotype" w:eastAsia="Palatino Linotype" w:hAnsi="Palatino Linotype" w:cs="Palatino Linotype"/>
          <w:b/>
          <w:bCs/>
          <w:i/>
          <w:iCs/>
        </w:rPr>
      </w:pPr>
      <w:r w:rsidRPr="000407C5">
        <w:rPr>
          <w:rFonts w:ascii="Palatino Linotype" w:eastAsia="Palatino Linotype" w:hAnsi="Palatino Linotype" w:cs="Palatino Linotype"/>
          <w:b/>
          <w:bCs/>
          <w:i/>
          <w:iCs/>
        </w:rPr>
        <w:t>A</w:t>
      </w:r>
      <w:r w:rsidRPr="000407C5">
        <w:rPr>
          <w:rFonts w:ascii="Palatino Linotype" w:eastAsia="Palatino Linotype" w:hAnsi="Palatino Linotype" w:cs="Palatino Linotype"/>
          <w:i/>
          <w:iCs/>
        </w:rPr>
        <w:t xml:space="preserve">. </w:t>
      </w:r>
      <w:r w:rsidRPr="000407C5">
        <w:rPr>
          <w:rFonts w:ascii="Palatino Linotype" w:eastAsia="Palatino Linotype" w:hAnsi="Palatino Linotype" w:cs="Palatino Linotype"/>
          <w:b/>
          <w:bCs/>
          <w:i/>
          <w:iCs/>
        </w:rPr>
        <w:t>Para el ejercicio del derecho de acceso a la información</w:t>
      </w:r>
      <w:r w:rsidRPr="000407C5">
        <w:rPr>
          <w:rFonts w:ascii="Palatino Linotype" w:eastAsia="Palatino Linotype" w:hAnsi="Palatino Linotype" w:cs="Palatino Linotype"/>
          <w:i/>
          <w:iCs/>
        </w:rPr>
        <w:t xml:space="preserve">, la Federación y </w:t>
      </w:r>
      <w:r w:rsidRPr="000407C5">
        <w:rPr>
          <w:rFonts w:ascii="Palatino Linotype" w:eastAsia="Palatino Linotype" w:hAnsi="Palatino Linotype" w:cs="Palatino Linotype"/>
          <w:b/>
          <w:bCs/>
          <w:i/>
          <w:iCs/>
        </w:rPr>
        <w:t>las entidades federativas, en el ámbito de sus respectivas competencias, se regirán por los siguientes principios y bases:</w:t>
      </w:r>
    </w:p>
    <w:p w:rsidR="007A5603" w:rsidRPr="000407C5" w:rsidRDefault="000655B2">
      <w:pPr>
        <w:ind w:left="567" w:right="710"/>
        <w:jc w:val="both"/>
        <w:rPr>
          <w:rFonts w:ascii="Palatino Linotype" w:eastAsia="Palatino Linotype" w:hAnsi="Palatino Linotype" w:cs="Palatino Linotype"/>
          <w:i/>
          <w:iCs/>
        </w:rPr>
      </w:pPr>
      <w:r w:rsidRPr="000407C5">
        <w:rPr>
          <w:rFonts w:ascii="Palatino Linotype" w:eastAsia="Palatino Linotype" w:hAnsi="Palatino Linotype" w:cs="Palatino Linotype"/>
          <w:b/>
          <w:bCs/>
          <w:i/>
          <w:iCs/>
        </w:rPr>
        <w:t xml:space="preserve">I. </w:t>
      </w:r>
      <w:r w:rsidRPr="000407C5">
        <w:rPr>
          <w:rFonts w:ascii="Palatino Linotype" w:eastAsia="Palatino Linotype" w:hAnsi="Palatino Linotype" w:cs="Palatino Linotype"/>
          <w:b/>
          <w:bCs/>
          <w:i/>
          <w:iCs/>
        </w:rPr>
        <w:tab/>
        <w:t>Toda la información en posesión de cualquier</w:t>
      </w:r>
      <w:r w:rsidRPr="000407C5">
        <w:rPr>
          <w:rFonts w:ascii="Palatino Linotype" w:eastAsia="Palatino Linotype" w:hAnsi="Palatino Linotype" w:cs="Palatino Linotype"/>
          <w:i/>
          <w:iCs/>
        </w:rPr>
        <w:t xml:space="preserve"> </w:t>
      </w:r>
      <w:r w:rsidRPr="000407C5">
        <w:rPr>
          <w:rFonts w:ascii="Palatino Linotype" w:eastAsia="Palatino Linotype" w:hAnsi="Palatino Linotype" w:cs="Palatino Linotype"/>
          <w:b/>
          <w:bCs/>
          <w:i/>
          <w:iCs/>
        </w:rPr>
        <w:t>autoridad</w:t>
      </w:r>
      <w:r w:rsidRPr="000407C5">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0407C5">
        <w:rPr>
          <w:rFonts w:ascii="Palatino Linotype" w:eastAsia="Palatino Linotype" w:hAnsi="Palatino Linotype" w:cs="Palatino Linotype"/>
          <w:b/>
          <w:bCs/>
          <w:i/>
          <w:iCs/>
        </w:rPr>
        <w:t>municipal</w:t>
      </w:r>
      <w:r w:rsidRPr="000407C5">
        <w:rPr>
          <w:rFonts w:ascii="Palatino Linotype" w:eastAsia="Palatino Linotype" w:hAnsi="Palatino Linotype" w:cs="Palatino Linotype"/>
          <w:i/>
          <w:iCs/>
        </w:rPr>
        <w:t xml:space="preserve">, </w:t>
      </w:r>
      <w:r w:rsidRPr="000407C5">
        <w:rPr>
          <w:rFonts w:ascii="Palatino Linotype" w:eastAsia="Palatino Linotype" w:hAnsi="Palatino Linotype" w:cs="Palatino Linotype"/>
          <w:b/>
          <w:bCs/>
          <w:i/>
          <w:iCs/>
        </w:rPr>
        <w:t>es pública</w:t>
      </w:r>
      <w:r w:rsidRPr="000407C5">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0407C5">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0407C5">
        <w:rPr>
          <w:rFonts w:ascii="Palatino Linotype" w:eastAsia="Palatino Linotype" w:hAnsi="Palatino Linotype" w:cs="Palatino Linotype"/>
          <w:i/>
          <w:iCs/>
        </w:rPr>
        <w:t xml:space="preserve">, la ley determinará los </w:t>
      </w:r>
      <w:r w:rsidRPr="000407C5">
        <w:rPr>
          <w:rFonts w:ascii="Palatino Linotype" w:eastAsia="Palatino Linotype" w:hAnsi="Palatino Linotype" w:cs="Palatino Linotype"/>
          <w:i/>
          <w:iCs/>
        </w:rPr>
        <w:lastRenderedPageBreak/>
        <w:t>supuestos específicos bajo los cuales procederá la declaración de inexistencia de la información.”</w:t>
      </w:r>
    </w:p>
    <w:p w:rsidR="007A5603" w:rsidRPr="000407C5" w:rsidRDefault="007A5603">
      <w:pPr>
        <w:tabs>
          <w:tab w:val="left" w:pos="426"/>
          <w:tab w:val="left" w:pos="567"/>
        </w:tabs>
        <w:ind w:left="567" w:right="710"/>
        <w:jc w:val="both"/>
        <w:rPr>
          <w:rFonts w:ascii="Palatino Linotype" w:eastAsia="Palatino Linotype" w:hAnsi="Palatino Linotype" w:cs="Palatino Linotype"/>
          <w:color w:val="000000"/>
        </w:rPr>
      </w:pPr>
    </w:p>
    <w:p w:rsidR="007A5603" w:rsidRPr="000407C5" w:rsidRDefault="000655B2">
      <w:pPr>
        <w:ind w:left="567" w:right="710"/>
        <w:jc w:val="both"/>
        <w:rPr>
          <w:rFonts w:ascii="Palatino Linotype" w:eastAsia="Palatino Linotype" w:hAnsi="Palatino Linotype" w:cs="Palatino Linotype"/>
          <w:b/>
          <w:bCs/>
          <w:i/>
          <w:iCs/>
        </w:rPr>
      </w:pPr>
      <w:r w:rsidRPr="000407C5">
        <w:rPr>
          <w:rFonts w:ascii="Palatino Linotype" w:eastAsia="Palatino Linotype" w:hAnsi="Palatino Linotype" w:cs="Palatino Linotype"/>
          <w:b/>
          <w:bCs/>
          <w:i/>
          <w:iCs/>
        </w:rPr>
        <w:t>Constitución Política del Estado Libre y Soberano de México</w:t>
      </w:r>
    </w:p>
    <w:p w:rsidR="007A5603" w:rsidRPr="000407C5" w:rsidRDefault="000655B2">
      <w:pPr>
        <w:ind w:left="567" w:right="710"/>
        <w:jc w:val="both"/>
        <w:rPr>
          <w:rFonts w:ascii="Palatino Linotype" w:eastAsia="Palatino Linotype" w:hAnsi="Palatino Linotype" w:cs="Palatino Linotype"/>
          <w:i/>
          <w:iCs/>
        </w:rPr>
      </w:pPr>
      <w:r w:rsidRPr="000407C5">
        <w:rPr>
          <w:rFonts w:ascii="Palatino Linotype" w:eastAsia="Palatino Linotype" w:hAnsi="Palatino Linotype" w:cs="Palatino Linotype"/>
          <w:b/>
          <w:bCs/>
          <w:i/>
          <w:iCs/>
        </w:rPr>
        <w:t>“Artículo 5</w:t>
      </w:r>
      <w:r w:rsidRPr="000407C5">
        <w:rPr>
          <w:rFonts w:ascii="Palatino Linotype" w:eastAsia="Palatino Linotype" w:hAnsi="Palatino Linotype" w:cs="Palatino Linotype"/>
          <w:i/>
          <w:iCs/>
        </w:rPr>
        <w:t>.-…</w:t>
      </w:r>
    </w:p>
    <w:p w:rsidR="007A5603" w:rsidRPr="000407C5" w:rsidRDefault="000655B2">
      <w:pPr>
        <w:ind w:left="567" w:right="71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w:t>
      </w:r>
    </w:p>
    <w:p w:rsidR="007A5603" w:rsidRPr="000407C5" w:rsidRDefault="000655B2">
      <w:pPr>
        <w:ind w:left="567" w:right="710"/>
        <w:jc w:val="both"/>
        <w:rPr>
          <w:rFonts w:ascii="Palatino Linotype" w:eastAsia="Palatino Linotype" w:hAnsi="Palatino Linotype" w:cs="Palatino Linotype"/>
          <w:i/>
          <w:iCs/>
        </w:rPr>
      </w:pPr>
      <w:r w:rsidRPr="000407C5">
        <w:rPr>
          <w:rFonts w:ascii="Palatino Linotype" w:eastAsia="Palatino Linotype" w:hAnsi="Palatino Linotype" w:cs="Palatino Linotype"/>
          <w:b/>
          <w:bCs/>
          <w:i/>
          <w:iCs/>
        </w:rPr>
        <w:t>El derecho a la información será garantizado por el Estado. La ley establecerá las previsiones que permitan asegurar la protección, el respeto y la difusión de este derecho</w:t>
      </w:r>
      <w:r w:rsidRPr="000407C5">
        <w:rPr>
          <w:rFonts w:ascii="Palatino Linotype" w:eastAsia="Palatino Linotype" w:hAnsi="Palatino Linotype" w:cs="Palatino Linotype"/>
          <w:i/>
          <w:iCs/>
        </w:rPr>
        <w:t>.</w:t>
      </w:r>
    </w:p>
    <w:p w:rsidR="007A5603" w:rsidRPr="000407C5" w:rsidRDefault="000655B2">
      <w:pPr>
        <w:ind w:left="567" w:right="71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A5603" w:rsidRPr="000407C5" w:rsidRDefault="007A5603">
      <w:pPr>
        <w:ind w:left="567" w:right="710"/>
        <w:jc w:val="both"/>
        <w:rPr>
          <w:rFonts w:ascii="Palatino Linotype" w:eastAsia="Palatino Linotype" w:hAnsi="Palatino Linotype" w:cs="Palatino Linotype"/>
          <w:i/>
          <w:iCs/>
        </w:rPr>
      </w:pPr>
    </w:p>
    <w:p w:rsidR="007A5603" w:rsidRPr="000407C5" w:rsidRDefault="000655B2">
      <w:pPr>
        <w:ind w:left="567" w:right="710"/>
        <w:jc w:val="both"/>
        <w:rPr>
          <w:rFonts w:ascii="Palatino Linotype" w:eastAsia="Palatino Linotype" w:hAnsi="Palatino Linotype" w:cs="Palatino Linotype"/>
          <w:i/>
          <w:iCs/>
        </w:rPr>
      </w:pPr>
      <w:r w:rsidRPr="000407C5">
        <w:rPr>
          <w:rFonts w:ascii="Palatino Linotype" w:eastAsia="Palatino Linotype" w:hAnsi="Palatino Linotype" w:cs="Palatino Linotype"/>
          <w:b/>
          <w:bCs/>
          <w:i/>
          <w:iCs/>
        </w:rPr>
        <w:t>Este derecho se regirá por los principios y bases siguientes</w:t>
      </w:r>
      <w:r w:rsidRPr="000407C5">
        <w:rPr>
          <w:rFonts w:ascii="Palatino Linotype" w:eastAsia="Palatino Linotype" w:hAnsi="Palatino Linotype" w:cs="Palatino Linotype"/>
          <w:i/>
          <w:iCs/>
        </w:rPr>
        <w:t>:</w:t>
      </w:r>
    </w:p>
    <w:p w:rsidR="007A5603" w:rsidRPr="000407C5" w:rsidRDefault="000655B2">
      <w:pPr>
        <w:ind w:left="567" w:right="710"/>
        <w:jc w:val="both"/>
        <w:rPr>
          <w:rFonts w:ascii="Palatino Linotype" w:eastAsia="Palatino Linotype" w:hAnsi="Palatino Linotype" w:cs="Palatino Linotype"/>
          <w:b/>
          <w:bCs/>
        </w:rPr>
      </w:pPr>
      <w:r w:rsidRPr="000407C5">
        <w:rPr>
          <w:rFonts w:ascii="Palatino Linotype" w:eastAsia="Palatino Linotype" w:hAnsi="Palatino Linotype" w:cs="Palatino Linotype"/>
          <w:b/>
          <w:bCs/>
          <w:i/>
          <w:iCs/>
        </w:rPr>
        <w:t>Toda la información en posesión de cualquier autoridad, entidad, órgano y organismos de los</w:t>
      </w:r>
      <w:r w:rsidRPr="000407C5">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0407C5">
        <w:rPr>
          <w:rFonts w:ascii="Palatino Linotype" w:eastAsia="Palatino Linotype" w:hAnsi="Palatino Linotype" w:cs="Palatino Linotype"/>
          <w:b/>
          <w:bCs/>
          <w:i/>
          <w:iCs/>
        </w:rPr>
        <w:t>municipales</w:t>
      </w:r>
      <w:r w:rsidRPr="000407C5">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0407C5">
        <w:rPr>
          <w:rFonts w:ascii="Palatino Linotype" w:eastAsia="Palatino Linotype" w:hAnsi="Palatino Linotype" w:cs="Palatino Linotype"/>
          <w:b/>
          <w:bCs/>
          <w:i/>
          <w:iCs/>
        </w:rPr>
        <w:t>es pública</w:t>
      </w:r>
      <w:r w:rsidRPr="000407C5">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0407C5">
        <w:rPr>
          <w:rFonts w:ascii="Palatino Linotype" w:eastAsia="Palatino Linotype" w:hAnsi="Palatino Linotype" w:cs="Palatino Linotype"/>
          <w:b/>
          <w:bCs/>
          <w:i/>
          <w:iCs/>
        </w:rPr>
        <w:t>En la interpretación de este derecho deberá prevalecer el principio de máxima publicidad</w:t>
      </w:r>
      <w:r w:rsidRPr="000407C5">
        <w:rPr>
          <w:rFonts w:ascii="Palatino Linotype" w:eastAsia="Palatino Linotype" w:hAnsi="Palatino Linotype" w:cs="Palatino Linotype"/>
          <w:i/>
          <w:iCs/>
        </w:rPr>
        <w:t xml:space="preserve">. </w:t>
      </w:r>
      <w:r w:rsidRPr="000407C5">
        <w:rPr>
          <w:rFonts w:ascii="Palatino Linotype" w:eastAsia="Palatino Linotype" w:hAnsi="Palatino Linotype" w:cs="Palatino Linotype"/>
          <w:b/>
          <w:bCs/>
          <w:i/>
          <w:iCs/>
        </w:rPr>
        <w:t>Los sujetos obligados deberán documentar todo acto que derive del ejercicio de sus facultades, competencias o funciones</w:t>
      </w:r>
      <w:r w:rsidRPr="000407C5">
        <w:rPr>
          <w:rFonts w:ascii="Palatino Linotype" w:eastAsia="Palatino Linotype" w:hAnsi="Palatino Linotype" w:cs="Palatino Linotype"/>
          <w:i/>
          <w:iCs/>
        </w:rPr>
        <w:t>, la ley determinará los supuestos específicos bajo los cuales procederá la declaración de inexistencia de la información.”</w:t>
      </w:r>
    </w:p>
    <w:p w:rsidR="007A5603" w:rsidRPr="000407C5" w:rsidRDefault="007A5603">
      <w:pPr>
        <w:rPr>
          <w:rFonts w:ascii="Palatino Linotype" w:eastAsia="Palatino Linotype" w:hAnsi="Palatino Linotype" w:cs="Palatino Linotype"/>
          <w:b/>
          <w:bCs/>
        </w:rPr>
      </w:pP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rPr>
      </w:pPr>
      <w:r w:rsidRPr="000407C5">
        <w:rPr>
          <w:rFonts w:ascii="Palatino Linotype" w:eastAsia="Palatino Linotype" w:hAnsi="Palatino Linotype" w:cs="Palatino Linotype"/>
          <w:color w:val="000000"/>
        </w:rPr>
        <w:t xml:space="preserve">Según </w:t>
      </w:r>
      <w:r w:rsidRPr="000407C5">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0407C5">
        <w:rPr>
          <w:rFonts w:ascii="Palatino Linotype" w:eastAsia="Palatino Linotype" w:hAnsi="Palatino Linotype" w:cs="Palatino Linotype"/>
          <w:i/>
          <w:iCs/>
        </w:rPr>
        <w:t>por los principios de simplicidad, rapidez gratuidad del procedimiento, auxilio y orientación a los particulares</w:t>
      </w:r>
      <w:r w:rsidRPr="000407C5">
        <w:rPr>
          <w:rFonts w:ascii="Palatino Linotype" w:eastAsia="Palatino Linotype" w:hAnsi="Palatino Linotype" w:cs="Palatino Linotype"/>
        </w:rPr>
        <w:t>, contemplando el derecho de las personas con discapacidad y hablantes de lengua indígena.</w:t>
      </w:r>
    </w:p>
    <w:p w:rsidR="007A5603" w:rsidRPr="000407C5" w:rsidRDefault="007A5603">
      <w:pPr>
        <w:ind w:right="-592"/>
        <w:jc w:val="both"/>
        <w:rPr>
          <w:rFonts w:ascii="Palatino Linotype" w:eastAsia="Palatino Linotype" w:hAnsi="Palatino Linotype" w:cs="Palatino Linotype"/>
          <w:b/>
          <w:bCs/>
        </w:rPr>
      </w:pP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rPr>
      </w:pPr>
      <w:r w:rsidRPr="000407C5">
        <w:rPr>
          <w:rFonts w:ascii="Palatino Linotype" w:eastAsia="Palatino Linotype" w:hAnsi="Palatino Linotype" w:cs="Palatino Linotype"/>
          <w:color w:val="000000"/>
        </w:rPr>
        <w:lastRenderedPageBreak/>
        <w:t xml:space="preserve">El </w:t>
      </w:r>
      <w:r w:rsidRPr="000407C5">
        <w:rPr>
          <w:rFonts w:ascii="Palatino Linotype" w:eastAsia="Palatino Linotype" w:hAnsi="Palatino Linotype" w:cs="Palatino Linotype"/>
        </w:rPr>
        <w:t xml:space="preserve">Derecho de Acceso a la Información se garantiza y respeta oportunamente, y según lo que dispone la Ley, las </w:t>
      </w:r>
      <w:r w:rsidRPr="000407C5">
        <w:rPr>
          <w:rFonts w:ascii="Palatino Linotype" w:eastAsia="Palatino Linotype" w:hAnsi="Palatino Linotype" w:cs="Palatino Linotype"/>
          <w:i/>
          <w:iCs/>
        </w:rPr>
        <w:t>solicitudes de acceso a la información</w:t>
      </w:r>
      <w:r w:rsidRPr="000407C5">
        <w:rPr>
          <w:rFonts w:ascii="Palatino Linotype" w:eastAsia="Palatino Linotype" w:hAnsi="Palatino Linotype" w:cs="Palatino Linotype"/>
        </w:rPr>
        <w:t>.</w:t>
      </w:r>
    </w:p>
    <w:p w:rsidR="007A5603" w:rsidRPr="000407C5" w:rsidRDefault="007A5603">
      <w:pPr>
        <w:ind w:right="1"/>
        <w:jc w:val="both"/>
        <w:rPr>
          <w:rFonts w:ascii="Palatino Linotype" w:eastAsia="Palatino Linotype" w:hAnsi="Palatino Linotype" w:cs="Palatino Linotype"/>
          <w:b/>
          <w:bCs/>
        </w:rPr>
      </w:pP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rPr>
      </w:pPr>
      <w:r w:rsidRPr="000407C5">
        <w:rPr>
          <w:rFonts w:ascii="Palatino Linotype" w:eastAsia="Palatino Linotype" w:hAnsi="Palatino Linotype" w:cs="Palatino Linotype"/>
          <w:color w:val="000000"/>
        </w:rPr>
        <w:t xml:space="preserve">Así </w:t>
      </w:r>
      <w:r w:rsidRPr="000407C5">
        <w:rPr>
          <w:rFonts w:ascii="Palatino Linotype" w:eastAsia="Palatino Linotype" w:hAnsi="Palatino Linotype" w:cs="Palatino Linotype"/>
        </w:rPr>
        <w:t xml:space="preserve">entonces, se procede analizar, en primer lugar, si el </w:t>
      </w:r>
      <w:r w:rsidRPr="000407C5">
        <w:rPr>
          <w:rFonts w:ascii="Palatino Linotype" w:eastAsia="Palatino Linotype" w:hAnsi="Palatino Linotype" w:cs="Palatino Linotype"/>
          <w:b/>
          <w:bCs/>
        </w:rPr>
        <w:t>SUJETO OBLIGADO</w:t>
      </w:r>
      <w:r w:rsidRPr="000407C5">
        <w:rPr>
          <w:rFonts w:ascii="Palatino Linotype" w:eastAsia="Palatino Linotype" w:hAnsi="Palatino Linotype" w:cs="Palatino Linotype"/>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7A5603" w:rsidRPr="000407C5" w:rsidRDefault="007A5603">
      <w:pPr>
        <w:rPr>
          <w:rFonts w:ascii="Palatino Linotype" w:eastAsia="Palatino Linotype" w:hAnsi="Palatino Linotype" w:cs="Palatino Linotype"/>
          <w:b/>
          <w:bCs/>
        </w:rPr>
      </w:pPr>
    </w:p>
    <w:p w:rsidR="007A5603" w:rsidRPr="000407C5" w:rsidRDefault="000655B2">
      <w:pPr>
        <w:keepNext/>
        <w:keepLines/>
        <w:numPr>
          <w:ilvl w:val="1"/>
          <w:numId w:val="7"/>
        </w:numPr>
        <w:spacing w:line="360" w:lineRule="auto"/>
        <w:ind w:left="567" w:right="-592"/>
        <w:jc w:val="both"/>
        <w:rPr>
          <w:rFonts w:ascii="Palatino Linotype" w:eastAsia="Palatino Linotype" w:hAnsi="Palatino Linotype" w:cs="Palatino Linotype"/>
          <w:b/>
          <w:bCs/>
        </w:rPr>
      </w:pPr>
      <w:r w:rsidRPr="000407C5">
        <w:rPr>
          <w:rFonts w:ascii="Palatino Linotype" w:eastAsia="Palatino Linotype" w:hAnsi="Palatino Linotype" w:cs="Palatino Linotype"/>
          <w:b/>
          <w:bCs/>
        </w:rPr>
        <w:t>De la información solicitada y la respuesta del SUJETO OBLIGADO.</w:t>
      </w: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rPr>
      </w:pPr>
      <w:bookmarkStart w:id="5" w:name="_heading=h.30j0zll" w:colFirst="0" w:colLast="0"/>
      <w:bookmarkEnd w:id="5"/>
      <w:r w:rsidRPr="000407C5">
        <w:rPr>
          <w:rFonts w:ascii="Palatino Linotype" w:eastAsia="Palatino Linotype" w:hAnsi="Palatino Linotype" w:cs="Palatino Linotype"/>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7A5603" w:rsidRPr="000407C5" w:rsidRDefault="007A5603">
      <w:pPr>
        <w:spacing w:line="360" w:lineRule="auto"/>
        <w:ind w:right="1"/>
        <w:jc w:val="both"/>
        <w:rPr>
          <w:rFonts w:ascii="Palatino Linotype" w:eastAsia="Palatino Linotype" w:hAnsi="Palatino Linotype" w:cs="Palatino Linotype"/>
          <w:b/>
          <w:bCs/>
        </w:rPr>
      </w:pP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rPr>
      </w:pPr>
      <w:r w:rsidRPr="000407C5">
        <w:rPr>
          <w:rFonts w:ascii="Palatino Linotype" w:eastAsia="Palatino Linotype" w:hAnsi="Palatino Linotype" w:cs="Palatino Linotype"/>
        </w:rPr>
        <w:t xml:space="preserve">Así, resulta conveniente reiterar la información solicitada por la parte </w:t>
      </w:r>
      <w:r w:rsidRPr="000407C5">
        <w:rPr>
          <w:rFonts w:ascii="Palatino Linotype" w:eastAsia="Palatino Linotype" w:hAnsi="Palatino Linotype" w:cs="Palatino Linotype"/>
          <w:b/>
          <w:bCs/>
        </w:rPr>
        <w:t>RECURRENTE</w:t>
      </w:r>
      <w:r w:rsidRPr="000407C5">
        <w:rPr>
          <w:rFonts w:ascii="Palatino Linotype" w:eastAsia="Palatino Linotype" w:hAnsi="Palatino Linotype" w:cs="Palatino Linotype"/>
        </w:rPr>
        <w:t xml:space="preserve">, así como la respuesta emitida por el </w:t>
      </w:r>
      <w:r w:rsidRPr="000407C5">
        <w:rPr>
          <w:rFonts w:ascii="Palatino Linotype" w:eastAsia="Palatino Linotype" w:hAnsi="Palatino Linotype" w:cs="Palatino Linotype"/>
          <w:b/>
          <w:bCs/>
        </w:rPr>
        <w:t>SUJETO OBLIGADO</w:t>
      </w:r>
      <w:r w:rsidRPr="000407C5">
        <w:rPr>
          <w:rFonts w:ascii="Palatino Linotype" w:eastAsia="Palatino Linotype" w:hAnsi="Palatino Linotype" w:cs="Palatino Linotype"/>
        </w:rPr>
        <w:t>, mediante el siguiente cuadro descriptivo:</w:t>
      </w:r>
    </w:p>
    <w:p w:rsidR="007A5603" w:rsidRDefault="007A5603">
      <w:pPr>
        <w:rPr>
          <w:rFonts w:ascii="Palatino Linotype" w:eastAsia="Palatino Linotype" w:hAnsi="Palatino Linotype" w:cs="Palatino Linotype"/>
        </w:rPr>
      </w:pPr>
    </w:p>
    <w:p w:rsidR="000407C5" w:rsidRDefault="000407C5">
      <w:pPr>
        <w:rPr>
          <w:rFonts w:ascii="Palatino Linotype" w:eastAsia="Palatino Linotype" w:hAnsi="Palatino Linotype" w:cs="Palatino Linotype"/>
        </w:rPr>
      </w:pPr>
    </w:p>
    <w:p w:rsidR="000407C5" w:rsidRDefault="000407C5">
      <w:pPr>
        <w:rPr>
          <w:rFonts w:ascii="Palatino Linotype" w:eastAsia="Palatino Linotype" w:hAnsi="Palatino Linotype" w:cs="Palatino Linotype"/>
        </w:rPr>
      </w:pPr>
    </w:p>
    <w:p w:rsidR="000407C5" w:rsidRDefault="000407C5">
      <w:pPr>
        <w:rPr>
          <w:rFonts w:ascii="Palatino Linotype" w:eastAsia="Palatino Linotype" w:hAnsi="Palatino Linotype" w:cs="Palatino Linotype"/>
        </w:rPr>
      </w:pPr>
    </w:p>
    <w:p w:rsidR="000407C5" w:rsidRDefault="000407C5">
      <w:pPr>
        <w:rPr>
          <w:rFonts w:ascii="Palatino Linotype" w:eastAsia="Palatino Linotype" w:hAnsi="Palatino Linotype" w:cs="Palatino Linotype"/>
        </w:rPr>
      </w:pPr>
    </w:p>
    <w:p w:rsidR="000407C5" w:rsidRDefault="000407C5">
      <w:pPr>
        <w:rPr>
          <w:rFonts w:ascii="Palatino Linotype" w:eastAsia="Palatino Linotype" w:hAnsi="Palatino Linotype" w:cs="Palatino Linotype"/>
        </w:rPr>
      </w:pPr>
    </w:p>
    <w:p w:rsidR="000407C5" w:rsidRPr="000407C5" w:rsidRDefault="000407C5">
      <w:pPr>
        <w:rPr>
          <w:rFonts w:ascii="Palatino Linotype" w:eastAsia="Palatino Linotype" w:hAnsi="Palatino Linotype" w:cs="Palatino Linotype"/>
        </w:rPr>
      </w:pPr>
    </w:p>
    <w:tbl>
      <w:tblPr>
        <w:tblStyle w:val="af1"/>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544"/>
        <w:gridCol w:w="2830"/>
      </w:tblGrid>
      <w:tr w:rsidR="007A5603" w:rsidRPr="000407C5">
        <w:tc>
          <w:tcPr>
            <w:tcW w:w="2972" w:type="dxa"/>
            <w:shd w:val="clear" w:color="auto" w:fill="D9D9D9"/>
          </w:tcPr>
          <w:p w:rsidR="007A5603" w:rsidRPr="000407C5" w:rsidRDefault="000655B2">
            <w:pPr>
              <w:ind w:right="1"/>
              <w:jc w:val="center"/>
              <w:rPr>
                <w:rFonts w:ascii="Palatino Linotype" w:eastAsia="Palatino Linotype" w:hAnsi="Palatino Linotype" w:cs="Palatino Linotype"/>
                <w:b/>
                <w:bCs/>
              </w:rPr>
            </w:pPr>
            <w:r w:rsidRPr="000407C5">
              <w:rPr>
                <w:rFonts w:ascii="Palatino Linotype" w:eastAsia="Palatino Linotype" w:hAnsi="Palatino Linotype" w:cs="Palatino Linotype"/>
                <w:b/>
                <w:bCs/>
              </w:rPr>
              <w:lastRenderedPageBreak/>
              <w:t>Información Solicitada</w:t>
            </w:r>
          </w:p>
        </w:tc>
        <w:tc>
          <w:tcPr>
            <w:tcW w:w="3544" w:type="dxa"/>
            <w:shd w:val="clear" w:color="auto" w:fill="D9D9D9"/>
          </w:tcPr>
          <w:p w:rsidR="007A5603" w:rsidRPr="000407C5" w:rsidRDefault="000655B2">
            <w:pPr>
              <w:ind w:right="1"/>
              <w:jc w:val="center"/>
              <w:rPr>
                <w:rFonts w:ascii="Palatino Linotype" w:eastAsia="Palatino Linotype" w:hAnsi="Palatino Linotype" w:cs="Palatino Linotype"/>
                <w:b/>
                <w:bCs/>
              </w:rPr>
            </w:pPr>
            <w:r w:rsidRPr="000407C5">
              <w:rPr>
                <w:rFonts w:ascii="Palatino Linotype" w:eastAsia="Palatino Linotype" w:hAnsi="Palatino Linotype" w:cs="Palatino Linotype"/>
                <w:b/>
                <w:bCs/>
              </w:rPr>
              <w:t>Respuesta</w:t>
            </w:r>
          </w:p>
        </w:tc>
        <w:tc>
          <w:tcPr>
            <w:tcW w:w="2830" w:type="dxa"/>
            <w:shd w:val="clear" w:color="auto" w:fill="D9D9D9"/>
          </w:tcPr>
          <w:p w:rsidR="007A5603" w:rsidRPr="000407C5" w:rsidRDefault="000655B2">
            <w:pPr>
              <w:spacing w:line="360" w:lineRule="auto"/>
              <w:ind w:right="1"/>
              <w:jc w:val="center"/>
              <w:rPr>
                <w:rFonts w:ascii="Palatino Linotype" w:eastAsia="Palatino Linotype" w:hAnsi="Palatino Linotype" w:cs="Palatino Linotype"/>
                <w:b/>
                <w:bCs/>
              </w:rPr>
            </w:pPr>
            <w:r w:rsidRPr="000407C5">
              <w:rPr>
                <w:rFonts w:ascii="Palatino Linotype" w:eastAsia="Palatino Linotype" w:hAnsi="Palatino Linotype" w:cs="Palatino Linotype"/>
                <w:b/>
                <w:bCs/>
              </w:rPr>
              <w:t>Comentario</w:t>
            </w:r>
          </w:p>
        </w:tc>
      </w:tr>
      <w:tr w:rsidR="007A5603" w:rsidRPr="000407C5">
        <w:trPr>
          <w:trHeight w:val="1928"/>
        </w:trPr>
        <w:tc>
          <w:tcPr>
            <w:tcW w:w="2972" w:type="dxa"/>
          </w:tcPr>
          <w:p w:rsidR="007A5603" w:rsidRPr="000407C5" w:rsidRDefault="000655B2">
            <w:pPr>
              <w:ind w:right="1"/>
              <w:jc w:val="both"/>
              <w:rPr>
                <w:rFonts w:ascii="Palatino Linotype" w:eastAsia="Palatino Linotype" w:hAnsi="Palatino Linotype" w:cs="Palatino Linotype"/>
                <w:b/>
                <w:bCs/>
                <w:i/>
                <w:iCs/>
              </w:rPr>
            </w:pPr>
            <w:r w:rsidRPr="000407C5">
              <w:rPr>
                <w:rFonts w:ascii="Palatino Linotype" w:eastAsia="Palatino Linotype" w:hAnsi="Palatino Linotype" w:cs="Palatino Linotype"/>
                <w:i/>
                <w:iCs/>
                <w:color w:val="000000"/>
              </w:rPr>
              <w:t>Se solicita el oficio del presiente sonde solicite su día de asueto o descuento para andas en las plazas outle de compras el nombre del personal que lo acompaña cuidándolo qué son más de 8</w:t>
            </w:r>
          </w:p>
        </w:tc>
        <w:tc>
          <w:tcPr>
            <w:tcW w:w="3544" w:type="dxa"/>
          </w:tcPr>
          <w:p w:rsidR="007A5603" w:rsidRPr="000407C5" w:rsidRDefault="000655B2">
            <w:pPr>
              <w:jc w:val="both"/>
              <w:rPr>
                <w:rFonts w:ascii="Palatino Linotype" w:eastAsia="Palatino Linotype" w:hAnsi="Palatino Linotype" w:cs="Palatino Linotype"/>
              </w:rPr>
            </w:pPr>
            <w:r w:rsidRPr="000407C5">
              <w:rPr>
                <w:rFonts w:ascii="Palatino Linotype" w:eastAsia="Palatino Linotype" w:hAnsi="Palatino Linotype" w:cs="Palatino Linotype"/>
              </w:rPr>
              <w:t>el Secretario Particular de Presidencia, mediante el cual, informó que el nombre del personal, características del vehículo, factura y combustible asignado para uso del Presidente Municipal, corresponde a información clasificada como reservada por el Comité de Transparencia, mediante acta de la Quingentésima Septuagésima Cuarta Sesión Extraordinaria del 14 de mayo de 205, recayendo en el Acuerdo CT/SE/574/02/2025.</w:t>
            </w:r>
          </w:p>
        </w:tc>
        <w:tc>
          <w:tcPr>
            <w:tcW w:w="2830" w:type="dxa"/>
          </w:tcPr>
          <w:p w:rsidR="007A5603" w:rsidRPr="000407C5" w:rsidRDefault="000655B2">
            <w:pPr>
              <w:ind w:right="1"/>
              <w:jc w:val="both"/>
              <w:rPr>
                <w:rFonts w:ascii="Palatino Linotype" w:eastAsia="Palatino Linotype" w:hAnsi="Palatino Linotype" w:cs="Palatino Linotype"/>
                <w:b/>
                <w:bCs/>
              </w:rPr>
            </w:pPr>
            <w:r w:rsidRPr="000407C5">
              <w:rPr>
                <w:rFonts w:ascii="Palatino Linotype" w:eastAsia="Palatino Linotype" w:hAnsi="Palatino Linotype" w:cs="Palatino Linotype"/>
              </w:rPr>
              <w:t>No colma no remite el</w:t>
            </w:r>
            <w:r w:rsidRPr="000407C5">
              <w:rPr>
                <w:rFonts w:ascii="Palatino Linotype" w:eastAsia="Palatino Linotype" w:hAnsi="Palatino Linotype" w:cs="Palatino Linotype"/>
                <w:b/>
                <w:bCs/>
              </w:rPr>
              <w:t xml:space="preserve"> </w:t>
            </w:r>
            <w:r w:rsidRPr="000407C5">
              <w:rPr>
                <w:rFonts w:ascii="Palatino Linotype" w:eastAsia="Palatino Linotype" w:hAnsi="Palatino Linotype" w:cs="Palatino Linotype"/>
              </w:rPr>
              <w:t>acta de la Quingentésima Septuagésima Cuarta Sesión Extraordinaria del 14 de mayo de 205, recayendo en el Acuerdo CT/SE/574/02/2025.</w:t>
            </w:r>
          </w:p>
        </w:tc>
      </w:tr>
      <w:tr w:rsidR="007A5603" w:rsidRPr="000407C5">
        <w:trPr>
          <w:trHeight w:val="1928"/>
        </w:trPr>
        <w:tc>
          <w:tcPr>
            <w:tcW w:w="2972" w:type="dxa"/>
          </w:tcPr>
          <w:p w:rsidR="007A5603" w:rsidRPr="000407C5" w:rsidRDefault="000655B2">
            <w:pPr>
              <w:ind w:right="1"/>
              <w:jc w:val="both"/>
              <w:rPr>
                <w:rFonts w:ascii="Palatino Linotype" w:eastAsia="Palatino Linotype" w:hAnsi="Palatino Linotype" w:cs="Palatino Linotype"/>
                <w:i/>
                <w:iCs/>
                <w:color w:val="000000"/>
              </w:rPr>
            </w:pPr>
            <w:r w:rsidRPr="000407C5">
              <w:rPr>
                <w:rFonts w:ascii="Palatino Linotype" w:eastAsia="Palatino Linotype" w:hAnsi="Palatino Linotype" w:cs="Palatino Linotype"/>
                <w:i/>
                <w:iCs/>
                <w:color w:val="000000"/>
              </w:rPr>
              <w:t xml:space="preserve">El vehículo marca modelo factura el combustible asignando al vehículo qué utiliza el presidente y los vehículos asignados gasolina y factura de todo el personal de presidencia.” (Sic) </w:t>
            </w:r>
          </w:p>
        </w:tc>
        <w:tc>
          <w:tcPr>
            <w:tcW w:w="3544" w:type="dxa"/>
          </w:tcPr>
          <w:p w:rsidR="007A5603" w:rsidRPr="000407C5" w:rsidRDefault="000655B2">
            <w:pPr>
              <w:ind w:right="34"/>
              <w:jc w:val="both"/>
              <w:rPr>
                <w:rFonts w:ascii="Palatino Linotype" w:eastAsia="Palatino Linotype" w:hAnsi="Palatino Linotype" w:cs="Palatino Linotype"/>
              </w:rPr>
            </w:pPr>
            <w:r w:rsidRPr="000407C5">
              <w:rPr>
                <w:rFonts w:ascii="Palatino Linotype" w:eastAsia="Palatino Linotype" w:hAnsi="Palatino Linotype" w:cs="Palatino Linotype"/>
              </w:rPr>
              <w:t>El Secretario Particular de Presidencia, proporcionó información relativa a la marca, vehículo y modelos, de los vehículos asignados a la presidencia municipal; adicionalmente, informó que la gasolina dispersada a los mismos depende de las características, operatividad y funciones que desempeñan, ahora bien, respecto a las facturas solicitadas, señaló que no obran en los archivos de la unidad administrativa a su cargo</w:t>
            </w:r>
          </w:p>
        </w:tc>
        <w:tc>
          <w:tcPr>
            <w:tcW w:w="2830" w:type="dxa"/>
          </w:tcPr>
          <w:p w:rsidR="007A5603" w:rsidRPr="000407C5" w:rsidRDefault="000655B2">
            <w:pPr>
              <w:ind w:right="1"/>
              <w:jc w:val="both"/>
              <w:rPr>
                <w:rFonts w:ascii="Palatino Linotype" w:eastAsia="Palatino Linotype" w:hAnsi="Palatino Linotype" w:cs="Palatino Linotype"/>
              </w:rPr>
            </w:pPr>
            <w:r w:rsidRPr="000407C5">
              <w:rPr>
                <w:rFonts w:ascii="Palatino Linotype" w:eastAsia="Palatino Linotype" w:hAnsi="Palatino Linotype" w:cs="Palatino Linotype"/>
              </w:rPr>
              <w:t>El requerimiento se atendió parcialmente, toda vez que no se proporcionó la bitácora de combustible, así como, las facturas correspondientes a los vehículos asignados al personal de la Presidencia Municipal.</w:t>
            </w:r>
          </w:p>
        </w:tc>
      </w:tr>
    </w:tbl>
    <w:p w:rsidR="007A5603" w:rsidRDefault="007A5603">
      <w:pPr>
        <w:rPr>
          <w:rFonts w:ascii="Palatino Linotype" w:eastAsia="Palatino Linotype" w:hAnsi="Palatino Linotype" w:cs="Palatino Linotype"/>
        </w:rPr>
      </w:pPr>
    </w:p>
    <w:p w:rsidR="000407C5" w:rsidRPr="000407C5" w:rsidRDefault="000407C5">
      <w:pPr>
        <w:rPr>
          <w:rFonts w:ascii="Palatino Linotype" w:eastAsia="Palatino Linotype" w:hAnsi="Palatino Linotype" w:cs="Palatino Linotype"/>
        </w:rPr>
      </w:pP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rPr>
      </w:pPr>
      <w:bookmarkStart w:id="6" w:name="_heading=h.2s8eyo1" w:colFirst="0" w:colLast="0"/>
      <w:bookmarkEnd w:id="6"/>
      <w:r w:rsidRPr="000407C5">
        <w:rPr>
          <w:rFonts w:ascii="Palatino Linotype" w:eastAsia="Palatino Linotype" w:hAnsi="Palatino Linotype" w:cs="Palatino Linotype"/>
        </w:rPr>
        <w:lastRenderedPageBreak/>
        <w:t xml:space="preserve">En atención a lo anterior, se precisa que se obvia el análisis de la competencia por parte del </w:t>
      </w:r>
      <w:r w:rsidRPr="000407C5">
        <w:rPr>
          <w:rFonts w:ascii="Palatino Linotype" w:eastAsia="Palatino Linotype" w:hAnsi="Palatino Linotype" w:cs="Palatino Linotype"/>
          <w:b/>
          <w:bCs/>
        </w:rPr>
        <w:t>SUJETO OBLIGADO</w:t>
      </w:r>
      <w:r w:rsidRPr="000407C5">
        <w:rPr>
          <w:rFonts w:ascii="Palatino Linotype" w:eastAsia="Palatino Linotype" w:hAnsi="Palatino Linotype" w:cs="Palatino Linotype"/>
        </w:rPr>
        <w:t>, para generar, administrar o poseer la información solicitada, dado que éste ha asumido la misma, en razón de que en su respuesta admitió contar con dicha información.</w:t>
      </w:r>
    </w:p>
    <w:p w:rsidR="007A5603" w:rsidRPr="000407C5" w:rsidRDefault="007A5603">
      <w:pPr>
        <w:spacing w:line="360" w:lineRule="auto"/>
        <w:ind w:right="1"/>
        <w:jc w:val="both"/>
        <w:rPr>
          <w:rFonts w:ascii="Palatino Linotype" w:eastAsia="Palatino Linotype" w:hAnsi="Palatino Linotype" w:cs="Palatino Linotype"/>
          <w:b/>
          <w:bCs/>
        </w:rPr>
      </w:pPr>
    </w:p>
    <w:p w:rsidR="007A5603" w:rsidRPr="000407C5" w:rsidRDefault="000655B2">
      <w:pPr>
        <w:numPr>
          <w:ilvl w:val="0"/>
          <w:numId w:val="5"/>
        </w:numPr>
        <w:spacing w:line="360" w:lineRule="auto"/>
        <w:ind w:left="0" w:right="1" w:firstLine="0"/>
        <w:jc w:val="both"/>
        <w:rPr>
          <w:rFonts w:ascii="Palatino Linotype" w:eastAsia="Palatino Linotype" w:hAnsi="Palatino Linotype" w:cs="Palatino Linotype"/>
          <w:b/>
          <w:bCs/>
        </w:rPr>
      </w:pPr>
      <w:r w:rsidRPr="000407C5">
        <w:rPr>
          <w:rFonts w:ascii="Palatino Linotype" w:eastAsia="Palatino Linotype" w:hAnsi="Palatino Linotype" w:cs="Palatino Linotype"/>
        </w:rPr>
        <w:t>En efecto, el hecho de que el</w:t>
      </w:r>
      <w:r w:rsidRPr="000407C5">
        <w:rPr>
          <w:rFonts w:ascii="Palatino Linotype" w:eastAsia="Palatino Linotype" w:hAnsi="Palatino Linotype" w:cs="Palatino Linotype"/>
          <w:b/>
          <w:bCs/>
        </w:rPr>
        <w:t xml:space="preserve"> SUJETO OBLIGADO</w:t>
      </w:r>
      <w:r w:rsidRPr="000407C5">
        <w:rPr>
          <w:rFonts w:ascii="Palatino Linotype" w:eastAsia="Palatino Linotype" w:hAnsi="Palatino Linotype" w:cs="Palatino Linotype"/>
        </w:rPr>
        <w:t xml:space="preserve"> haya admitido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7A5603" w:rsidRPr="000407C5" w:rsidRDefault="000655B2">
      <w:pPr>
        <w:tabs>
          <w:tab w:val="left" w:pos="8505"/>
        </w:tabs>
        <w:ind w:left="567" w:right="567"/>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w:t>
      </w:r>
      <w:r w:rsidRPr="000407C5">
        <w:rPr>
          <w:rFonts w:ascii="Palatino Linotype" w:eastAsia="Palatino Linotype" w:hAnsi="Palatino Linotype" w:cs="Palatino Linotype"/>
          <w:b/>
          <w:bCs/>
          <w:i/>
          <w:iCs/>
        </w:rPr>
        <w:t>Artículo 12.</w:t>
      </w:r>
      <w:r w:rsidRPr="000407C5">
        <w:rPr>
          <w:rFonts w:ascii="Palatino Linotype" w:eastAsia="Palatino Linotype" w:hAnsi="Palatino Linotype" w:cs="Palatino Linotype"/>
          <w:i/>
          <w:iCs/>
        </w:rPr>
        <w:t> Quienes generen, recopilen, administren, manejen, procesen, archiven o conserven información pública serán responsables de la misma en los términos de las disposiciones jurídicas aplicables.</w:t>
      </w:r>
    </w:p>
    <w:p w:rsidR="007A5603" w:rsidRPr="000407C5" w:rsidRDefault="007A5603">
      <w:pPr>
        <w:tabs>
          <w:tab w:val="left" w:pos="8505"/>
        </w:tabs>
        <w:ind w:left="567" w:right="567"/>
        <w:jc w:val="both"/>
        <w:rPr>
          <w:rFonts w:ascii="Palatino Linotype" w:eastAsia="Palatino Linotype" w:hAnsi="Palatino Linotype" w:cs="Palatino Linotype"/>
          <w:i/>
          <w:iCs/>
        </w:rPr>
      </w:pPr>
    </w:p>
    <w:p w:rsidR="007A5603" w:rsidRPr="000407C5" w:rsidRDefault="000655B2">
      <w:pPr>
        <w:tabs>
          <w:tab w:val="left" w:pos="8505"/>
        </w:tabs>
        <w:ind w:left="567" w:right="567"/>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7A5603" w:rsidRPr="000407C5" w:rsidRDefault="007A5603">
      <w:pPr>
        <w:pBdr>
          <w:top w:val="nil"/>
          <w:left w:val="nil"/>
          <w:bottom w:val="nil"/>
          <w:right w:val="nil"/>
          <w:between w:val="nil"/>
        </w:pBdr>
        <w:ind w:left="-566" w:right="-787"/>
        <w:rPr>
          <w:rFonts w:ascii="Palatino Linotype" w:eastAsia="Palatino Linotype" w:hAnsi="Palatino Linotype" w:cs="Palatino Linotype"/>
          <w:color w:val="000000"/>
        </w:rPr>
      </w:pPr>
    </w:p>
    <w:p w:rsidR="007A5603" w:rsidRDefault="000655B2">
      <w:pPr>
        <w:numPr>
          <w:ilvl w:val="0"/>
          <w:numId w:val="5"/>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Así, el estudio de la naturaleza jurídica de la información pública solicitada, tiene por objeto determinar si ésta la genera, posee o administra el </w:t>
      </w:r>
      <w:r w:rsidRPr="000407C5">
        <w:rPr>
          <w:rFonts w:ascii="Palatino Linotype" w:eastAsia="Palatino Linotype" w:hAnsi="Palatino Linotype" w:cs="Palatino Linotype"/>
          <w:b/>
          <w:bCs/>
          <w:color w:val="000000"/>
        </w:rPr>
        <w:t>SUJETO OBLIGADO</w:t>
      </w:r>
      <w:r w:rsidRPr="000407C5">
        <w:rPr>
          <w:rFonts w:ascii="Palatino Linotype" w:eastAsia="Palatino Linotype" w:hAnsi="Palatino Linotype" w:cs="Palatino Linotype"/>
          <w:color w:val="000000"/>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0407C5" w:rsidRDefault="000407C5" w:rsidP="000407C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0407C5" w:rsidRPr="000407C5" w:rsidRDefault="000407C5" w:rsidP="000407C5">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7A5603" w:rsidRPr="000407C5" w:rsidRDefault="000655B2">
      <w:pPr>
        <w:numPr>
          <w:ilvl w:val="0"/>
          <w:numId w:val="6"/>
        </w:numPr>
        <w:pBdr>
          <w:top w:val="nil"/>
          <w:left w:val="nil"/>
          <w:bottom w:val="nil"/>
          <w:right w:val="nil"/>
          <w:between w:val="nil"/>
        </w:pBdr>
        <w:tabs>
          <w:tab w:val="left" w:pos="9214"/>
        </w:tabs>
        <w:spacing w:line="360" w:lineRule="auto"/>
        <w:jc w:val="both"/>
        <w:rPr>
          <w:rFonts w:ascii="Palatino Linotype" w:eastAsia="Palatino Linotype" w:hAnsi="Palatino Linotype" w:cs="Palatino Linotype"/>
          <w:b/>
          <w:bCs/>
          <w:color w:val="000000"/>
        </w:rPr>
      </w:pPr>
      <w:r w:rsidRPr="000407C5">
        <w:rPr>
          <w:rFonts w:ascii="Palatino Linotype" w:eastAsia="Palatino Linotype" w:hAnsi="Palatino Linotype" w:cs="Palatino Linotype"/>
          <w:b/>
          <w:bCs/>
          <w:color w:val="000000"/>
        </w:rPr>
        <w:lastRenderedPageBreak/>
        <w:t>Nombre del personal que acompaña al Presidente encargadas de su custodia.</w:t>
      </w:r>
    </w:p>
    <w:p w:rsidR="007A5603" w:rsidRPr="000407C5" w:rsidRDefault="000655B2">
      <w:pPr>
        <w:numPr>
          <w:ilvl w:val="0"/>
          <w:numId w:val="5"/>
        </w:numPr>
        <w:pBdr>
          <w:top w:val="nil"/>
          <w:left w:val="nil"/>
          <w:bottom w:val="nil"/>
          <w:right w:val="nil"/>
          <w:between w:val="nil"/>
        </w:pBdr>
        <w:tabs>
          <w:tab w:val="left" w:pos="0"/>
          <w:tab w:val="left" w:pos="567"/>
          <w:tab w:val="left" w:pos="9214"/>
        </w:tabs>
        <w:spacing w:line="360" w:lineRule="auto"/>
        <w:ind w:left="0"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Por cuanto hace al número de personas encargadas de su custodia, el Secretario Particular de Presidencia, informó que el nombre del personal, características del vehículo, factura y combustible asignado para uso del Presidente Municipal, corresponde a información clasificada como reservada por el Comité de Transparencia, mediante acta de la Quingentésima Septuagésima Cuarta Sesión Extraordinaria del 14 de mayo de 205, recayendo en el Acuerdo CT/SE/574/02/2025, sin embargo omite remitir el acuerdo que refiere, al respecto el número de personas encargadas de la  custodia del presidente Municipal, es información que no abona a la transparencia, por el contrario, conocer detalles específicos sobre la seguridad de una persona o un servidor público, como el número exacto de agentes encargados de su custodia, genera múltiples riesgos de seguridad.</w:t>
      </w:r>
    </w:p>
    <w:p w:rsidR="007A5603" w:rsidRPr="000407C5" w:rsidRDefault="007A5603">
      <w:pPr>
        <w:pBdr>
          <w:top w:val="nil"/>
          <w:left w:val="nil"/>
          <w:bottom w:val="nil"/>
          <w:right w:val="nil"/>
          <w:between w:val="nil"/>
        </w:pBdr>
        <w:tabs>
          <w:tab w:val="left" w:pos="0"/>
          <w:tab w:val="left" w:pos="567"/>
          <w:tab w:val="left" w:pos="9214"/>
        </w:tabs>
        <w:spacing w:line="360" w:lineRule="auto"/>
        <w:jc w:val="both"/>
        <w:rPr>
          <w:rFonts w:ascii="Palatino Linotype" w:eastAsia="Palatino Linotype" w:hAnsi="Palatino Linotype" w:cs="Palatino Linotype"/>
          <w:color w:val="000000"/>
        </w:rPr>
      </w:pPr>
    </w:p>
    <w:p w:rsidR="007A5603" w:rsidRPr="000407C5" w:rsidRDefault="000655B2">
      <w:pPr>
        <w:numPr>
          <w:ilvl w:val="0"/>
          <w:numId w:val="5"/>
        </w:numPr>
        <w:pBdr>
          <w:top w:val="nil"/>
          <w:left w:val="nil"/>
          <w:bottom w:val="nil"/>
          <w:right w:val="nil"/>
          <w:between w:val="nil"/>
        </w:pBdr>
        <w:tabs>
          <w:tab w:val="left" w:pos="0"/>
          <w:tab w:val="left" w:pos="567"/>
          <w:tab w:val="left" w:pos="9214"/>
        </w:tabs>
        <w:spacing w:line="360" w:lineRule="auto"/>
        <w:ind w:left="0"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El conocimiento público de esta información podría traer como consecuencia que individuos o grupos delincuenciales utilice estos datos para atentar en cualquier momento contra la integridad del presidente municipal, y que  la publicación de la información solicitada, podría ser determinante para que en casos futuros, se puedan constituir elementos suficientes para que individuos o grupos delincuenciales realicen actos tendentes a vulnerar la seguridad del municipio, o de que estos mismos grupos, adquieran equipo armamentístico superior y atentan contra la seguridad personal del presidente municipal, o que , se diseñen o pongan en práctica estrategias encaminadas a neutralizar los mecanismos de seguridad implementados por los elementos de la seguridad del presidente municipal, así como las actividades de inteligencia que efectúan para cumplir con sus funciones.</w:t>
      </w:r>
    </w:p>
    <w:p w:rsidR="007A5603" w:rsidRPr="000407C5" w:rsidRDefault="007A5603">
      <w:pPr>
        <w:pBdr>
          <w:top w:val="nil"/>
          <w:left w:val="nil"/>
          <w:bottom w:val="nil"/>
          <w:right w:val="nil"/>
          <w:between w:val="nil"/>
        </w:pBdr>
        <w:tabs>
          <w:tab w:val="left" w:pos="0"/>
          <w:tab w:val="left" w:pos="567"/>
          <w:tab w:val="left" w:pos="9214"/>
        </w:tabs>
        <w:spacing w:line="360" w:lineRule="auto"/>
        <w:jc w:val="both"/>
        <w:rPr>
          <w:rFonts w:ascii="Palatino Linotype" w:eastAsia="Palatino Linotype" w:hAnsi="Palatino Linotype" w:cs="Palatino Linotype"/>
          <w:color w:val="000000"/>
        </w:rPr>
      </w:pPr>
    </w:p>
    <w:p w:rsidR="007A5603" w:rsidRPr="000407C5" w:rsidRDefault="000655B2">
      <w:pPr>
        <w:numPr>
          <w:ilvl w:val="0"/>
          <w:numId w:val="5"/>
        </w:numPr>
        <w:pBdr>
          <w:top w:val="nil"/>
          <w:left w:val="nil"/>
          <w:bottom w:val="nil"/>
          <w:right w:val="nil"/>
          <w:between w:val="nil"/>
        </w:pBdr>
        <w:tabs>
          <w:tab w:val="left" w:pos="0"/>
          <w:tab w:val="left" w:pos="567"/>
          <w:tab w:val="left" w:pos="9214"/>
        </w:tabs>
        <w:spacing w:line="360" w:lineRule="auto"/>
        <w:ind w:left="0"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lastRenderedPageBreak/>
        <w:t>Las legislaciones de transparencia y protección de datos reconocen que, aunque la regla general es la publicidad de la información, existen excepciones cuando esta divulgación compromete la seguridad pública; luego entonces la información sobre dispositivos de seguridad se reserva precisamente para evitar que su conocimiento público facilite su neutralización, pues la seguridad no depende solo de la fuerza, sino también de la incertidumbre que se genera en un posible atacante al conocer los detalles de la protección, siendo entonces que si se reserva la cantidad de custodios, esa incertidumbre desaparece; lo anterior encuentra sustento en el artículo 140 de la Ley de la Materia, a saber:</w:t>
      </w:r>
    </w:p>
    <w:p w:rsidR="007A5603" w:rsidRPr="000407C5" w:rsidRDefault="000655B2">
      <w:pPr>
        <w:tabs>
          <w:tab w:val="left" w:pos="567"/>
          <w:tab w:val="left" w:pos="1276"/>
          <w:tab w:val="left" w:pos="9214"/>
        </w:tabs>
        <w:spacing w:line="360" w:lineRule="auto"/>
        <w:ind w:left="1276"/>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“Artículo 140. El acceso a la información pública será restringido excepcionalmente, cuando por razones de interés público, ésta sea clasificada como reservada, conforme a los criterios siguientes:</w:t>
      </w:r>
    </w:p>
    <w:p w:rsidR="007A5603" w:rsidRPr="000407C5" w:rsidRDefault="000655B2">
      <w:pPr>
        <w:tabs>
          <w:tab w:val="left" w:pos="567"/>
          <w:tab w:val="left" w:pos="1276"/>
          <w:tab w:val="left" w:pos="9214"/>
        </w:tabs>
        <w:spacing w:line="360" w:lineRule="auto"/>
        <w:ind w:left="1276"/>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w:t>
      </w:r>
    </w:p>
    <w:p w:rsidR="007A5603" w:rsidRPr="000407C5" w:rsidRDefault="000655B2">
      <w:pPr>
        <w:tabs>
          <w:tab w:val="left" w:pos="567"/>
          <w:tab w:val="left" w:pos="1276"/>
          <w:tab w:val="left" w:pos="9214"/>
        </w:tabs>
        <w:spacing w:line="360" w:lineRule="auto"/>
        <w:ind w:left="1276"/>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IV. Ponga en riesgo la vida, la seguridad o la salud de una persona física;</w:t>
      </w:r>
    </w:p>
    <w:p w:rsidR="007A5603" w:rsidRPr="000407C5" w:rsidRDefault="000655B2">
      <w:pPr>
        <w:tabs>
          <w:tab w:val="left" w:pos="567"/>
          <w:tab w:val="left" w:pos="1276"/>
          <w:tab w:val="left" w:pos="9214"/>
        </w:tabs>
        <w:spacing w:line="360" w:lineRule="auto"/>
        <w:ind w:left="1276"/>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w:t>
      </w:r>
    </w:p>
    <w:p w:rsidR="007A5603" w:rsidRPr="000407C5" w:rsidRDefault="007A5603">
      <w:pPr>
        <w:tabs>
          <w:tab w:val="left" w:pos="0"/>
          <w:tab w:val="left" w:pos="567"/>
          <w:tab w:val="left" w:pos="9214"/>
        </w:tabs>
        <w:spacing w:line="360" w:lineRule="auto"/>
        <w:jc w:val="both"/>
        <w:rPr>
          <w:rFonts w:ascii="Palatino Linotype" w:eastAsia="Palatino Linotype" w:hAnsi="Palatino Linotype" w:cs="Palatino Linotype"/>
        </w:rPr>
      </w:pPr>
    </w:p>
    <w:p w:rsidR="007A5603" w:rsidRPr="000407C5" w:rsidRDefault="000655B2">
      <w:pPr>
        <w:numPr>
          <w:ilvl w:val="0"/>
          <w:numId w:val="5"/>
        </w:numPr>
        <w:pBdr>
          <w:top w:val="nil"/>
          <w:left w:val="nil"/>
          <w:bottom w:val="nil"/>
          <w:right w:val="nil"/>
          <w:between w:val="nil"/>
        </w:pBdr>
        <w:tabs>
          <w:tab w:val="left" w:pos="0"/>
          <w:tab w:val="left" w:pos="567"/>
          <w:tab w:val="left" w:pos="9214"/>
        </w:tabs>
        <w:spacing w:line="360" w:lineRule="auto"/>
        <w:ind w:left="0"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Por lo que en relatadas circunstancias a dicho rubro deberá recaer un Acuerdo del Comité de Transparencia en el que de manera fundada y motivada se reserve el número de personas encargadas de la custodia del Presidente Municipal, al veinticinco de abril de dos mil veinticinco.</w:t>
      </w:r>
    </w:p>
    <w:p w:rsidR="007A5603" w:rsidRPr="000407C5" w:rsidRDefault="007A5603">
      <w:pPr>
        <w:pBdr>
          <w:top w:val="nil"/>
          <w:left w:val="nil"/>
          <w:bottom w:val="nil"/>
          <w:right w:val="nil"/>
          <w:between w:val="nil"/>
        </w:pBdr>
        <w:tabs>
          <w:tab w:val="left" w:pos="0"/>
          <w:tab w:val="left" w:pos="567"/>
          <w:tab w:val="left" w:pos="9214"/>
        </w:tabs>
        <w:spacing w:line="360" w:lineRule="auto"/>
        <w:jc w:val="both"/>
        <w:rPr>
          <w:rFonts w:ascii="Palatino Linotype" w:eastAsia="Palatino Linotype" w:hAnsi="Palatino Linotype" w:cs="Palatino Linotype"/>
          <w:color w:val="000000"/>
        </w:rPr>
      </w:pPr>
    </w:p>
    <w:p w:rsidR="007A5603" w:rsidRPr="000407C5" w:rsidRDefault="000655B2">
      <w:pPr>
        <w:numPr>
          <w:ilvl w:val="0"/>
          <w:numId w:val="2"/>
        </w:numPr>
        <w:pBdr>
          <w:top w:val="nil"/>
          <w:left w:val="nil"/>
          <w:bottom w:val="nil"/>
          <w:right w:val="nil"/>
          <w:between w:val="nil"/>
        </w:pBdr>
        <w:tabs>
          <w:tab w:val="left" w:pos="0"/>
          <w:tab w:val="left" w:pos="360"/>
          <w:tab w:val="left" w:pos="9214"/>
        </w:tabs>
        <w:spacing w:line="360" w:lineRule="auto"/>
        <w:ind w:left="0" w:firstLine="0"/>
        <w:jc w:val="both"/>
        <w:rPr>
          <w:rFonts w:ascii="Palatino Linotype" w:eastAsia="Palatino Linotype" w:hAnsi="Palatino Linotype" w:cs="Palatino Linotype"/>
          <w:b/>
          <w:bCs/>
          <w:color w:val="000000"/>
        </w:rPr>
      </w:pPr>
      <w:r w:rsidRPr="000407C5">
        <w:rPr>
          <w:rFonts w:ascii="Palatino Linotype" w:eastAsia="Palatino Linotype" w:hAnsi="Palatino Linotype" w:cs="Palatino Linotype"/>
          <w:b/>
          <w:bCs/>
          <w:color w:val="000000"/>
        </w:rPr>
        <w:t>De las bitácoras de combustible.</w:t>
      </w:r>
    </w:p>
    <w:p w:rsidR="007A5603" w:rsidRPr="000407C5" w:rsidRDefault="000655B2">
      <w:pPr>
        <w:numPr>
          <w:ilvl w:val="0"/>
          <w:numId w:val="5"/>
        </w:numPr>
        <w:spacing w:line="360" w:lineRule="auto"/>
        <w:ind w:left="0"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Respecto a este punto, es </w:t>
      </w:r>
      <w:r w:rsidRPr="000407C5">
        <w:rPr>
          <w:rFonts w:ascii="Palatino Linotype" w:eastAsia="Palatino Linotype" w:hAnsi="Palatino Linotype" w:cs="Palatino Linotype"/>
        </w:rPr>
        <w:t xml:space="preserve">conveniente precisar que, </w:t>
      </w:r>
      <w:r w:rsidRPr="000407C5">
        <w:rPr>
          <w:rFonts w:ascii="Palatino Linotype" w:eastAsia="Palatino Linotype" w:hAnsi="Palatino Linotype" w:cs="Palatino Linotype"/>
          <w:color w:val="000000"/>
        </w:rPr>
        <w:t xml:space="preserve">el Manual </w:t>
      </w:r>
      <w:r w:rsidRPr="000407C5">
        <w:rPr>
          <w:rFonts w:ascii="Palatino Linotype" w:eastAsia="Palatino Linotype" w:hAnsi="Palatino Linotype" w:cs="Palatino Linotype"/>
        </w:rPr>
        <w:t xml:space="preserve">para la Planeación, Programación y Presupuesto de Egresos Municipal, establece el “Clasificador por Objeto de Gasto”, el cual, permite una clasificación de las erogaciones, consistente con criterios contables </w:t>
      </w:r>
      <w:r w:rsidRPr="000407C5">
        <w:rPr>
          <w:rFonts w:ascii="Palatino Linotype" w:eastAsia="Palatino Linotype" w:hAnsi="Palatino Linotype" w:cs="Palatino Linotype"/>
        </w:rPr>
        <w:lastRenderedPageBreak/>
        <w:t>que permiten un adecuado registro de las operaciones además de que constituye un elemento del sistema general de cuentas donde cada componente destaca aspectos del presupuesto y suministra información que atiende a diferentes necesidades, lo cual, permite el vínculo con la contabilidad.</w:t>
      </w:r>
    </w:p>
    <w:p w:rsidR="007A5603" w:rsidRPr="000407C5" w:rsidRDefault="007A5603">
      <w:pPr>
        <w:pBdr>
          <w:top w:val="nil"/>
          <w:left w:val="nil"/>
          <w:bottom w:val="nil"/>
          <w:right w:val="nil"/>
          <w:between w:val="nil"/>
        </w:pBdr>
        <w:spacing w:before="240" w:line="360" w:lineRule="auto"/>
        <w:ind w:right="48"/>
        <w:jc w:val="both"/>
        <w:rPr>
          <w:rFonts w:ascii="Palatino Linotype" w:eastAsia="Palatino Linotype" w:hAnsi="Palatino Linotype" w:cs="Palatino Linotype"/>
          <w:color w:val="000000"/>
        </w:rPr>
      </w:pPr>
    </w:p>
    <w:p w:rsidR="007A5603" w:rsidRPr="000407C5" w:rsidRDefault="000655B2">
      <w:pPr>
        <w:numPr>
          <w:ilvl w:val="0"/>
          <w:numId w:val="5"/>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De acuerdo al nivel de desagregación del “Clasificador por Objeto del Gasto Estatal y Municipal”, se encuentra el capítulo de gasto </w:t>
      </w:r>
      <w:r w:rsidRPr="000407C5">
        <w:rPr>
          <w:rFonts w:ascii="Palatino Linotype" w:eastAsia="Palatino Linotype" w:hAnsi="Palatino Linotype" w:cs="Palatino Linotype"/>
          <w:b/>
          <w:bCs/>
          <w:color w:val="000000"/>
        </w:rPr>
        <w:t xml:space="preserve">2000 MATERIALES Y SUMINISTROS </w:t>
      </w:r>
      <w:r w:rsidRPr="000407C5">
        <w:rPr>
          <w:rFonts w:ascii="Palatino Linotype" w:eastAsia="Palatino Linotype" w:hAnsi="Palatino Linotype" w:cs="Palatino Linotype"/>
          <w:color w:val="000000"/>
        </w:rPr>
        <w:t>el cual agrupa las asignaciones destinadas a la adquisición de toda clase de insumos y suministros requeridos para la prestación de bienes y servicios públicos y para el desempeño de las actividades administrativas.</w:t>
      </w:r>
    </w:p>
    <w:p w:rsidR="007A5603" w:rsidRPr="000407C5" w:rsidRDefault="007A5603">
      <w:pPr>
        <w:pBdr>
          <w:top w:val="nil"/>
          <w:left w:val="nil"/>
          <w:bottom w:val="nil"/>
          <w:right w:val="nil"/>
          <w:between w:val="nil"/>
        </w:pBdr>
        <w:rPr>
          <w:rFonts w:ascii="Palatino Linotype" w:eastAsia="Palatino Linotype" w:hAnsi="Palatino Linotype" w:cs="Palatino Linotype"/>
          <w:color w:val="000000"/>
        </w:rPr>
      </w:pPr>
    </w:p>
    <w:p w:rsidR="007A5603" w:rsidRPr="000407C5" w:rsidRDefault="000655B2">
      <w:pPr>
        <w:numPr>
          <w:ilvl w:val="0"/>
          <w:numId w:val="5"/>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Dentro de dicho capítulo se encuentran los siguientes conceptos y partidas:</w:t>
      </w:r>
    </w:p>
    <w:p w:rsidR="007A5603" w:rsidRPr="000407C5" w:rsidRDefault="000655B2">
      <w:pPr>
        <w:pBdr>
          <w:top w:val="nil"/>
          <w:left w:val="nil"/>
          <w:bottom w:val="nil"/>
          <w:right w:val="nil"/>
          <w:between w:val="nil"/>
        </w:pBdr>
        <w:tabs>
          <w:tab w:val="left" w:pos="426"/>
        </w:tabs>
        <w:ind w:left="567" w:right="616"/>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b/>
          <w:bCs/>
          <w:color w:val="000000"/>
        </w:rPr>
        <w:t>2600 COMBUSTIBLES, LUBRICANTES Y ADITIVOS</w:t>
      </w:r>
      <w:r w:rsidRPr="000407C5">
        <w:rPr>
          <w:rFonts w:ascii="Palatino Linotype" w:eastAsia="Palatino Linotype" w:hAnsi="Palatino Linotype" w:cs="Palatino Linotype"/>
          <w:color w:val="000000"/>
        </w:rPr>
        <w:t xml:space="preserve">. </w:t>
      </w:r>
    </w:p>
    <w:p w:rsidR="007A5603" w:rsidRPr="000407C5" w:rsidRDefault="000655B2">
      <w:pPr>
        <w:pBdr>
          <w:top w:val="nil"/>
          <w:left w:val="nil"/>
          <w:bottom w:val="nil"/>
          <w:right w:val="nil"/>
          <w:between w:val="nil"/>
        </w:pBdr>
        <w:tabs>
          <w:tab w:val="left" w:pos="426"/>
        </w:tabs>
        <w:ind w:left="567" w:right="616"/>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Asignaciones destinadas a la adquisición de combustibles, lubricantes y aditivos de todo tipo, necesarios para el funcionamiento de vehículos de transporte terrestres, aéreos, marítimos, lacustres y fluviales; así como de maquinaria y equipo. </w:t>
      </w:r>
    </w:p>
    <w:p w:rsidR="007A5603" w:rsidRPr="000407C5" w:rsidRDefault="000655B2">
      <w:pPr>
        <w:pBdr>
          <w:top w:val="nil"/>
          <w:left w:val="nil"/>
          <w:bottom w:val="nil"/>
          <w:right w:val="nil"/>
          <w:between w:val="nil"/>
        </w:pBdr>
        <w:tabs>
          <w:tab w:val="left" w:pos="426"/>
        </w:tabs>
        <w:ind w:left="567" w:right="616"/>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b/>
          <w:bCs/>
          <w:color w:val="000000"/>
        </w:rPr>
        <w:t>2610</w:t>
      </w:r>
      <w:r w:rsidRPr="000407C5">
        <w:rPr>
          <w:rFonts w:ascii="Palatino Linotype" w:eastAsia="Palatino Linotype" w:hAnsi="Palatino Linotype" w:cs="Palatino Linotype"/>
          <w:color w:val="000000"/>
        </w:rPr>
        <w:t xml:space="preserve"> Combustibles, lubricantes y aditivos. Asignaciones destinadas a la adquisición de productos derivados del petróleo (como gasolina, diesel, leña, etc.), aceites y grasas lubricantes para el uso en equipo de transporte e industrial y regeneración de aceite usado. Incluye el etanol y el biogás, entre otros. Excluye el petróleo crudo y gas natural, así como los combustibles utilizados como materia prima. </w:t>
      </w:r>
    </w:p>
    <w:p w:rsidR="007A5603" w:rsidRPr="000407C5" w:rsidRDefault="000655B2">
      <w:pPr>
        <w:pBdr>
          <w:top w:val="nil"/>
          <w:left w:val="nil"/>
          <w:bottom w:val="nil"/>
          <w:right w:val="nil"/>
          <w:between w:val="nil"/>
        </w:pBdr>
        <w:tabs>
          <w:tab w:val="left" w:pos="426"/>
        </w:tabs>
        <w:ind w:left="567" w:right="616"/>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b/>
          <w:bCs/>
          <w:color w:val="000000"/>
        </w:rPr>
        <w:t>2611</w:t>
      </w:r>
      <w:r w:rsidRPr="000407C5">
        <w:rPr>
          <w:rFonts w:ascii="Palatino Linotype" w:eastAsia="Palatino Linotype" w:hAnsi="Palatino Linotype" w:cs="Palatino Linotype"/>
          <w:color w:val="000000"/>
        </w:rPr>
        <w:t xml:space="preserve"> Combustibles, lubricantes y aditivos. Asignaciones destinadas a la adquisición de toda clase de combustibles, en estado líquido o gaseoso, crudos o refinados, así como de lubricantes y aditivos, requeridos para el funcionamiento de vehículos y equipos de transporte terrestre, aéreo o lacustre, así como, para maquinaria, equipo de producción, Plantas de emergencia, servicios administrativos y elaboración de alimentos</w:t>
      </w:r>
    </w:p>
    <w:p w:rsidR="007A5603" w:rsidRPr="000407C5" w:rsidRDefault="007A5603">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highlight w:val="yellow"/>
        </w:rPr>
      </w:pPr>
    </w:p>
    <w:p w:rsidR="007A5603" w:rsidRPr="000407C5" w:rsidRDefault="000655B2">
      <w:pPr>
        <w:numPr>
          <w:ilvl w:val="0"/>
          <w:numId w:val="5"/>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lastRenderedPageBreak/>
        <w:t>Por otro lado, el Manual Único de Contabilidad Gubernamental para las Dependencias y Entidades Públicas del Gobierno y Municipios del Estado de México tiene como objetivo el proporcionar a las entidades de la administración pública Estatal y Municipal, los elementos necesarios que les permitan contabilizar sus operaciones al establecer los criterios en materia de contabilidad gubernamental; el instrumento básico para su operación es el Catálogo de Cuentas, el cual agrupa un conjunto de conceptos homogéneos, cuya ordenación facilita distinguir y formar agrupaciones generales y de orden particular; mientras que el Instructivo para el manejo de las cuentas, describe, en forma detallada, los distintos conceptos de cargo y abono por los que cada cuenta deberá ser afectada, indicando el número respectivo, su denominación, clasificación y naturaleza, así como la representatividad de su saldo; de igual manera, la Guía Contabilizadora contiene la descripción detallada de las principales operaciones, además de mencionar los documentos fuente que respaldan cada operación, señalando su periodicidad durante un ejercicio e incluye las cuentas a afectar, tanto contable como presupuestalmente.</w:t>
      </w:r>
    </w:p>
    <w:p w:rsidR="007A5603" w:rsidRPr="000407C5" w:rsidRDefault="007A5603">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rsidR="007A5603" w:rsidRPr="000407C5" w:rsidRDefault="000655B2">
      <w:pPr>
        <w:numPr>
          <w:ilvl w:val="0"/>
          <w:numId w:val="5"/>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Es así, como el Clasificador por objeto de gasto de los años requeridos, establece la partida y el concepto del tema que nos ocupa, de la siguiente manera:</w:t>
      </w:r>
    </w:p>
    <w:p w:rsidR="007A5603" w:rsidRPr="000407C5" w:rsidRDefault="007A5603">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highlight w:val="yellow"/>
        </w:rPr>
      </w:pPr>
    </w:p>
    <w:p w:rsidR="007A5603" w:rsidRPr="000407C5" w:rsidRDefault="000655B2">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highlight w:val="yellow"/>
        </w:rPr>
      </w:pPr>
      <w:r w:rsidRPr="000407C5">
        <w:rPr>
          <w:rFonts w:ascii="Palatino Linotype" w:eastAsia="Palatino Linotype" w:hAnsi="Palatino Linotype" w:cs="Palatino Linotype"/>
          <w:noProof/>
          <w:color w:val="000000"/>
          <w:highlight w:val="yellow"/>
        </w:rPr>
        <w:lastRenderedPageBreak/>
        <w:drawing>
          <wp:inline distT="0" distB="0" distL="0" distR="0">
            <wp:extent cx="5612130" cy="217277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t="2820"/>
                    <a:stretch>
                      <a:fillRect/>
                    </a:stretch>
                  </pic:blipFill>
                  <pic:spPr>
                    <a:xfrm>
                      <a:off x="0" y="0"/>
                      <a:ext cx="5612130" cy="2172773"/>
                    </a:xfrm>
                    <a:prstGeom prst="rect">
                      <a:avLst/>
                    </a:prstGeom>
                    <a:ln/>
                  </pic:spPr>
                </pic:pic>
              </a:graphicData>
            </a:graphic>
          </wp:inline>
        </w:drawing>
      </w:r>
    </w:p>
    <w:p w:rsidR="007A5603" w:rsidRPr="000407C5" w:rsidRDefault="007A5603">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color w:val="000000"/>
        </w:rPr>
      </w:pPr>
    </w:p>
    <w:p w:rsidR="007A5603" w:rsidRPr="000407C5" w:rsidRDefault="000655B2">
      <w:pPr>
        <w:numPr>
          <w:ilvl w:val="0"/>
          <w:numId w:val="5"/>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Por su parte, los Lineamientos de Control Financiero y Administrativo para las Entidades Fiscalizables Municipales del Estado de México, en sus artículos 1 y 28 señalan, al respecto lo siguiente:</w:t>
      </w:r>
    </w:p>
    <w:p w:rsidR="007A5603" w:rsidRPr="000407C5" w:rsidRDefault="000655B2">
      <w:pPr>
        <w:tabs>
          <w:tab w:val="left" w:pos="426"/>
        </w:tabs>
        <w:ind w:left="567" w:right="616"/>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w:t>
      </w:r>
      <w:r w:rsidRPr="000407C5">
        <w:rPr>
          <w:rFonts w:ascii="Palatino Linotype" w:eastAsia="Palatino Linotype" w:hAnsi="Palatino Linotype" w:cs="Palatino Linotype"/>
          <w:b/>
          <w:bCs/>
          <w:i/>
          <w:iCs/>
        </w:rPr>
        <w:t>Artículo 1.</w:t>
      </w:r>
      <w:r w:rsidRPr="000407C5">
        <w:rPr>
          <w:rFonts w:ascii="Palatino Linotype" w:eastAsia="Palatino Linotype" w:hAnsi="Palatino Linotype" w:cs="Palatino Linotype"/>
          <w:i/>
          <w:iCs/>
        </w:rPr>
        <w:t xml:space="preserve"> Los presentes Lineamientos tendrán por objeto establecer las normas en materia de control financiero que comprende la obtención, administración y aplicación de los recursos públicos, obligatorias para los servidores públicos de los municipios, organismos públicos descentralizados y fideicomisos públicos de carácter municipal en el ámbito de sus respectivas competencias. </w:t>
      </w:r>
    </w:p>
    <w:p w:rsidR="007A5603" w:rsidRPr="000407C5" w:rsidRDefault="000655B2">
      <w:pPr>
        <w:tabs>
          <w:tab w:val="left" w:pos="426"/>
        </w:tabs>
        <w:ind w:left="567" w:right="616"/>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 </w:t>
      </w:r>
    </w:p>
    <w:p w:rsidR="007A5603" w:rsidRPr="000407C5" w:rsidRDefault="007A5603">
      <w:pPr>
        <w:tabs>
          <w:tab w:val="left" w:pos="426"/>
        </w:tabs>
        <w:ind w:left="567" w:right="616"/>
        <w:jc w:val="both"/>
        <w:rPr>
          <w:rFonts w:ascii="Palatino Linotype" w:eastAsia="Palatino Linotype" w:hAnsi="Palatino Linotype" w:cs="Palatino Linotype"/>
          <w:i/>
          <w:iCs/>
        </w:rPr>
      </w:pPr>
    </w:p>
    <w:p w:rsidR="007A5603" w:rsidRPr="000407C5" w:rsidRDefault="000655B2">
      <w:pPr>
        <w:tabs>
          <w:tab w:val="left" w:pos="426"/>
        </w:tabs>
        <w:ind w:left="567" w:right="616"/>
        <w:jc w:val="both"/>
        <w:rPr>
          <w:rFonts w:ascii="Palatino Linotype" w:eastAsia="Palatino Linotype" w:hAnsi="Palatino Linotype" w:cs="Palatino Linotype"/>
          <w:i/>
          <w:iCs/>
        </w:rPr>
      </w:pPr>
      <w:r w:rsidRPr="000407C5">
        <w:rPr>
          <w:rFonts w:ascii="Palatino Linotype" w:eastAsia="Palatino Linotype" w:hAnsi="Palatino Linotype" w:cs="Palatino Linotype"/>
          <w:b/>
          <w:bCs/>
          <w:i/>
          <w:iCs/>
        </w:rPr>
        <w:t>Artículo 28.</w:t>
      </w:r>
      <w:r w:rsidRPr="000407C5">
        <w:rPr>
          <w:rFonts w:ascii="Palatino Linotype" w:eastAsia="Palatino Linotype" w:hAnsi="Palatino Linotype" w:cs="Palatino Linotype"/>
          <w:i/>
          <w:iCs/>
        </w:rPr>
        <w:t xml:space="preserve"> Los servidores públicos municipales responsables de llevar el control del consumo de los combustibles y lubricantes de cada uno de los vehículos y maquinaria de la entidad fiscalizable municipal, por medio de los vales de gasolina o por los consumos foráneos que realicen fuera del municipio, deben llevar una bitácora de acuerdo al Anexo 3.”</w:t>
      </w:r>
    </w:p>
    <w:p w:rsidR="007A5603" w:rsidRPr="000407C5" w:rsidRDefault="007A5603">
      <w:pPr>
        <w:tabs>
          <w:tab w:val="left" w:pos="426"/>
        </w:tabs>
        <w:ind w:left="567" w:right="616"/>
        <w:jc w:val="both"/>
        <w:rPr>
          <w:rFonts w:ascii="Palatino Linotype" w:eastAsia="Palatino Linotype" w:hAnsi="Palatino Linotype" w:cs="Palatino Linotype"/>
          <w:i/>
          <w:iCs/>
          <w:color w:val="000000"/>
          <w:highlight w:val="yellow"/>
        </w:rPr>
      </w:pPr>
    </w:p>
    <w:p w:rsidR="007A5603" w:rsidRPr="000407C5" w:rsidRDefault="000655B2">
      <w:pPr>
        <w:tabs>
          <w:tab w:val="left" w:pos="426"/>
        </w:tabs>
        <w:spacing w:line="360" w:lineRule="auto"/>
        <w:ind w:right="49"/>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noProof/>
          <w:color w:val="000000"/>
        </w:rPr>
        <w:lastRenderedPageBreak/>
        <w:drawing>
          <wp:inline distT="0" distB="0" distL="0" distR="0">
            <wp:extent cx="5612130" cy="3405505"/>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612130" cy="3405505"/>
                    </a:xfrm>
                    <a:prstGeom prst="rect">
                      <a:avLst/>
                    </a:prstGeom>
                    <a:ln/>
                  </pic:spPr>
                </pic:pic>
              </a:graphicData>
            </a:graphic>
          </wp:inline>
        </w:drawing>
      </w:r>
    </w:p>
    <w:p w:rsidR="007A5603" w:rsidRPr="000407C5" w:rsidRDefault="000655B2">
      <w:pPr>
        <w:numPr>
          <w:ilvl w:val="0"/>
          <w:numId w:val="5"/>
        </w:numPr>
        <w:pBdr>
          <w:top w:val="nil"/>
          <w:left w:val="nil"/>
          <w:bottom w:val="nil"/>
          <w:right w:val="nil"/>
          <w:between w:val="nil"/>
        </w:pBdr>
        <w:spacing w:before="240" w:line="360" w:lineRule="auto"/>
        <w:ind w:left="0" w:right="48"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Por lo tanto, el </w:t>
      </w:r>
      <w:r w:rsidRPr="000407C5">
        <w:rPr>
          <w:rFonts w:ascii="Palatino Linotype" w:eastAsia="Palatino Linotype" w:hAnsi="Palatino Linotype" w:cs="Palatino Linotype"/>
          <w:b/>
          <w:bCs/>
          <w:color w:val="000000"/>
        </w:rPr>
        <w:t>SUJETO OBLIGADO</w:t>
      </w:r>
      <w:r w:rsidRPr="000407C5">
        <w:rPr>
          <w:rFonts w:ascii="Palatino Linotype" w:eastAsia="Palatino Linotype" w:hAnsi="Palatino Linotype" w:cs="Palatino Linotype"/>
          <w:color w:val="000000"/>
        </w:rPr>
        <w:t xml:space="preserve"> está constreñido de llevar un control sobre el consumo de los combustibles de cada uno de los vehículos y maquinaria por medio de bitácoras de gasolina o diésel, dentro de los cuales se incluye el kilometraje de los vehículos, de ahí que, debe generar, poseer y administrar una bitácora conforme al formato señalado en el anexo 3 de los referidos lineamientos, mismo que deberá ser llenado según corresponda, con la finalidad de que el Sujeto Obligado pueda proporcionar información financiera, presupuestaria, programática y económica para consolidarla y presentarla en la Cuenta Pública del Gobierno y Organismos Auxiliares del Estado de México, así como la Cuenta Pública Municipal y, como resultado, forma parte del presupuesto de egresos del </w:t>
      </w:r>
      <w:r w:rsidRPr="000407C5">
        <w:rPr>
          <w:rFonts w:ascii="Palatino Linotype" w:eastAsia="Palatino Linotype" w:hAnsi="Palatino Linotype" w:cs="Palatino Linotype"/>
          <w:b/>
          <w:bCs/>
          <w:color w:val="000000"/>
        </w:rPr>
        <w:t>SUJETO OBLIGADO.</w:t>
      </w:r>
    </w:p>
    <w:p w:rsidR="007A5603" w:rsidRPr="000407C5" w:rsidRDefault="007A5603">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7A5603" w:rsidRPr="000407C5" w:rsidRDefault="000655B2">
      <w:pPr>
        <w:numPr>
          <w:ilvl w:val="0"/>
          <w:numId w:val="5"/>
        </w:numPr>
        <w:pBdr>
          <w:top w:val="nil"/>
          <w:left w:val="nil"/>
          <w:bottom w:val="nil"/>
          <w:right w:val="nil"/>
          <w:between w:val="nil"/>
        </w:pBdr>
        <w:spacing w:after="240" w:line="360" w:lineRule="auto"/>
        <w:ind w:left="0" w:right="48" w:firstLine="0"/>
        <w:jc w:val="both"/>
        <w:rPr>
          <w:rFonts w:ascii="Palatino Linotype" w:eastAsia="Palatino Linotype" w:hAnsi="Palatino Linotype" w:cs="Palatino Linotype"/>
          <w:b/>
          <w:bCs/>
          <w:color w:val="000000"/>
        </w:rPr>
      </w:pPr>
      <w:r w:rsidRPr="000407C5">
        <w:rPr>
          <w:rFonts w:ascii="Palatino Linotype" w:eastAsia="Palatino Linotype" w:hAnsi="Palatino Linotype" w:cs="Palatino Linotype"/>
          <w:color w:val="000000"/>
        </w:rPr>
        <w:lastRenderedPageBreak/>
        <w:t xml:space="preserve">Precisado lo anterior, se ordena al </w:t>
      </w:r>
      <w:r w:rsidRPr="000407C5">
        <w:rPr>
          <w:rFonts w:ascii="Palatino Linotype" w:eastAsia="Palatino Linotype" w:hAnsi="Palatino Linotype" w:cs="Palatino Linotype"/>
          <w:b/>
          <w:bCs/>
          <w:color w:val="000000"/>
        </w:rPr>
        <w:t>SUJETO OBLIGADO</w:t>
      </w:r>
      <w:r w:rsidRPr="000407C5">
        <w:rPr>
          <w:rFonts w:ascii="Palatino Linotype" w:eastAsia="Palatino Linotype" w:hAnsi="Palatino Linotype" w:cs="Palatino Linotype"/>
          <w:color w:val="000000"/>
        </w:rPr>
        <w:t xml:space="preserve"> haga entrega de </w:t>
      </w:r>
      <w:r w:rsidRPr="000407C5">
        <w:rPr>
          <w:rFonts w:ascii="Palatino Linotype" w:eastAsia="Palatino Linotype" w:hAnsi="Palatino Linotype" w:cs="Palatino Linotype"/>
          <w:b/>
          <w:bCs/>
          <w:color w:val="000000"/>
        </w:rPr>
        <w:t>las bitácoras de combustible de los vehículos asignados a todos los servidores públicos que integran la Presidencia Municipal, al 25 de abril de 2025.</w:t>
      </w:r>
    </w:p>
    <w:p w:rsidR="007A5603" w:rsidRPr="000407C5" w:rsidRDefault="000655B2">
      <w:pPr>
        <w:numPr>
          <w:ilvl w:val="0"/>
          <w:numId w:val="3"/>
        </w:numPr>
        <w:pBdr>
          <w:top w:val="nil"/>
          <w:left w:val="nil"/>
          <w:bottom w:val="nil"/>
          <w:right w:val="nil"/>
          <w:between w:val="nil"/>
        </w:pBdr>
        <w:tabs>
          <w:tab w:val="left" w:pos="426"/>
        </w:tabs>
        <w:spacing w:line="360" w:lineRule="auto"/>
        <w:jc w:val="both"/>
        <w:rPr>
          <w:rFonts w:ascii="Palatino Linotype" w:eastAsia="Palatino Linotype" w:hAnsi="Palatino Linotype" w:cs="Palatino Linotype"/>
          <w:b/>
          <w:bCs/>
          <w:color w:val="000000"/>
        </w:rPr>
      </w:pPr>
      <w:r w:rsidRPr="000407C5">
        <w:rPr>
          <w:rFonts w:ascii="Palatino Linotype" w:eastAsia="Palatino Linotype" w:hAnsi="Palatino Linotype" w:cs="Palatino Linotype"/>
          <w:b/>
          <w:bCs/>
          <w:color w:val="000000"/>
        </w:rPr>
        <w:t>De las facturas.</w:t>
      </w:r>
    </w:p>
    <w:p w:rsidR="007A5603" w:rsidRPr="000407C5" w:rsidRDefault="000655B2">
      <w:pPr>
        <w:numPr>
          <w:ilvl w:val="0"/>
          <w:numId w:val="5"/>
        </w:numPr>
        <w:spacing w:line="360" w:lineRule="auto"/>
        <w:ind w:left="0"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Ahora bien, relativo al punto es necesario referir que, las facturas estas </w:t>
      </w:r>
      <w:r w:rsidRPr="000407C5">
        <w:rPr>
          <w:rFonts w:ascii="Palatino Linotype" w:eastAsia="Palatino Linotype" w:hAnsi="Palatino Linotype" w:cs="Palatino Linotype"/>
        </w:rPr>
        <w:t xml:space="preserve">amparan las erogaciones que se realizan con erario público tienen naturaleza pública, pues constituyen un medio idóneo de evidencia del gasto realizado con recursos públicos. </w:t>
      </w:r>
    </w:p>
    <w:p w:rsidR="007A5603" w:rsidRPr="000407C5" w:rsidRDefault="007A560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7A5603" w:rsidRPr="000407C5" w:rsidRDefault="000655B2">
      <w:pPr>
        <w:numPr>
          <w:ilvl w:val="0"/>
          <w:numId w:val="5"/>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En el mismo orden de ideas, el Código Financiero del Estado de México, establece en su artículo 344 lo siguiente: </w:t>
      </w:r>
    </w:p>
    <w:p w:rsidR="007A5603" w:rsidRPr="000407C5" w:rsidRDefault="000655B2">
      <w:pPr>
        <w:spacing w:line="276" w:lineRule="auto"/>
        <w:ind w:left="567" w:right="843"/>
        <w:jc w:val="both"/>
        <w:rPr>
          <w:rFonts w:ascii="Palatino Linotype" w:eastAsia="Palatino Linotype" w:hAnsi="Palatino Linotype" w:cs="Palatino Linotype"/>
          <w:i/>
          <w:iCs/>
        </w:rPr>
      </w:pPr>
      <w:r w:rsidRPr="000407C5">
        <w:rPr>
          <w:rFonts w:ascii="Palatino Linotype" w:eastAsia="Palatino Linotype" w:hAnsi="Palatino Linotype" w:cs="Palatino Linotype"/>
          <w:b/>
          <w:bCs/>
          <w:i/>
          <w:iCs/>
        </w:rPr>
        <w:t>Artículo 344.-</w:t>
      </w:r>
      <w:r w:rsidRPr="000407C5">
        <w:rPr>
          <w:rFonts w:ascii="Palatino Linotype" w:eastAsia="Palatino Linotype" w:hAnsi="Palatino Linotype" w:cs="Palatino Linotype"/>
          <w:i/>
          <w:iCs/>
        </w:rPr>
        <w:t xml:space="preserve"> </w:t>
      </w:r>
      <w:r w:rsidRPr="000407C5">
        <w:rPr>
          <w:rFonts w:ascii="Palatino Linotype" w:eastAsia="Palatino Linotype" w:hAnsi="Palatino Linotype" w:cs="Palatino Linotype"/>
          <w:b/>
          <w:bCs/>
          <w:i/>
          <w:iCs/>
          <w:u w:val="single"/>
        </w:rPr>
        <w:t>Los Entes Públicos, a través de cualquiera de sus unidades administrativas</w:t>
      </w:r>
      <w:r w:rsidRPr="000407C5">
        <w:rPr>
          <w:rFonts w:ascii="Palatino Linotype" w:eastAsia="Palatino Linotype" w:hAnsi="Palatino Linotype" w:cs="Palatino Linotype"/>
          <w:i/>
          <w:iCs/>
        </w:rPr>
        <w:t xml:space="preserve">, de acuerdo con su naturaleza jurídica y según corresponda, </w:t>
      </w:r>
      <w:r w:rsidRPr="000407C5">
        <w:rPr>
          <w:rFonts w:ascii="Palatino Linotype" w:eastAsia="Palatino Linotype" w:hAnsi="Palatino Linotype" w:cs="Palatino Linotype"/>
          <w:b/>
          <w:bCs/>
          <w:i/>
          <w:iCs/>
          <w:u w:val="single"/>
        </w:rPr>
        <w:t>registrarán contablemente el efecto patrimonial y presupuestal de las operaciones financieras que realicen, en el momento en que ocurran, con base en el sistema y políticas de registro establecidas</w:t>
      </w:r>
      <w:r w:rsidRPr="000407C5">
        <w:rPr>
          <w:rFonts w:ascii="Palatino Linotype" w:eastAsia="Palatino Linotype" w:hAnsi="Palatino Linotype" w:cs="Palatino Linotype"/>
          <w:i/>
          <w:iCs/>
        </w:rPr>
        <w:t xml:space="preserve">, en el caso de los Municipios, se hará por la Tesorería. </w:t>
      </w:r>
    </w:p>
    <w:p w:rsidR="007A5603" w:rsidRPr="000407C5" w:rsidRDefault="000655B2">
      <w:pPr>
        <w:spacing w:line="276" w:lineRule="auto"/>
        <w:ind w:left="567" w:right="843"/>
        <w:jc w:val="both"/>
        <w:rPr>
          <w:rFonts w:ascii="Palatino Linotype" w:eastAsia="Palatino Linotype" w:hAnsi="Palatino Linotype" w:cs="Palatino Linotype"/>
          <w:i/>
          <w:iCs/>
        </w:rPr>
      </w:pPr>
      <w:r w:rsidRPr="000407C5">
        <w:rPr>
          <w:rFonts w:ascii="Palatino Linotype" w:eastAsia="Palatino Linotype" w:hAnsi="Palatino Linotype" w:cs="Palatino Linotype"/>
          <w:b/>
          <w:bCs/>
          <w:i/>
          <w:iCs/>
          <w:u w:val="single"/>
        </w:rPr>
        <w:t>Todo registro contable y presupuestal deberá estar soportado con los documentos comprobatorios originales o en medios electrónicos, los que deberán permanecer en custodia y conservación</w:t>
      </w:r>
      <w:r w:rsidRPr="000407C5">
        <w:rPr>
          <w:rFonts w:ascii="Palatino Linotype" w:eastAsia="Palatino Linotype" w:hAnsi="Palatino Linotype" w:cs="Palatino Linotype"/>
          <w:i/>
          <w:iCs/>
        </w:rPr>
        <w:t xml:space="preserve"> de los Entes Públicos a través de las unidades administrativas que ejercieron el gasto y a disposición de los Órganos de Fiscalización locales y federales, según corresponda, así como de los órganos internos de control, por un término de cinco años, contados a partir del ejercicio presupuestal siguiente al que corresponda, en el caso de los Municipios, dicha obligación corresponderá a la Tesorería. </w:t>
      </w:r>
    </w:p>
    <w:p w:rsidR="007A5603" w:rsidRPr="000407C5" w:rsidRDefault="007A5603">
      <w:pPr>
        <w:spacing w:line="276" w:lineRule="auto"/>
        <w:ind w:left="567" w:right="843"/>
        <w:jc w:val="both"/>
        <w:rPr>
          <w:rFonts w:ascii="Palatino Linotype" w:eastAsia="Palatino Linotype" w:hAnsi="Palatino Linotype" w:cs="Palatino Linotype"/>
          <w:i/>
          <w:iCs/>
        </w:rPr>
      </w:pPr>
    </w:p>
    <w:p w:rsidR="007A5603" w:rsidRPr="000407C5" w:rsidRDefault="000655B2">
      <w:pPr>
        <w:spacing w:line="276" w:lineRule="auto"/>
        <w:ind w:left="567" w:right="843"/>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Tratándose de documentos de carácter histórico, se estará a lo dispuesto por la legislación de la materia.</w:t>
      </w:r>
    </w:p>
    <w:p w:rsidR="007A5603" w:rsidRPr="000407C5" w:rsidRDefault="007A5603">
      <w:pPr>
        <w:spacing w:line="360" w:lineRule="auto"/>
        <w:ind w:right="49"/>
        <w:jc w:val="both"/>
        <w:rPr>
          <w:rFonts w:ascii="Palatino Linotype" w:eastAsia="Palatino Linotype" w:hAnsi="Palatino Linotype" w:cs="Palatino Linotype"/>
        </w:rPr>
      </w:pPr>
    </w:p>
    <w:p w:rsidR="007A5603" w:rsidRPr="000407C5" w:rsidRDefault="000655B2">
      <w:pPr>
        <w:numPr>
          <w:ilvl w:val="0"/>
          <w:numId w:val="5"/>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lastRenderedPageBreak/>
        <w:t xml:space="preserve">Es así que, los entes públicos deberán registrar contablemente las operaciones financieras que realicen, el cual deberá estar soportado con los documentos comprobatorios originales o en medios electrónicos, sin embargo, si bien es cierto, el Código Financiero del Estado de México y Municipios establece la obligación de llevar registros contables y presupuestales, también lo es que no define qué se debe entender por estos, por lo que, de conformidad con el </w:t>
      </w:r>
      <w:r w:rsidRPr="000407C5">
        <w:rPr>
          <w:rFonts w:ascii="Palatino Linotype" w:eastAsia="Palatino Linotype" w:hAnsi="Palatino Linotype" w:cs="Palatino Linotype"/>
          <w:i/>
          <w:iCs/>
          <w:color w:val="000000"/>
        </w:rPr>
        <w:t>Glosario de Términos Administrativos</w:t>
      </w:r>
      <w:r w:rsidRPr="000407C5">
        <w:rPr>
          <w:rFonts w:ascii="Palatino Linotype" w:eastAsia="Palatino Linotype" w:hAnsi="Palatino Linotype" w:cs="Palatino Linotype"/>
          <w:color w:val="000000"/>
        </w:rPr>
        <w:t xml:space="preserve"> y el </w:t>
      </w:r>
      <w:r w:rsidRPr="000407C5">
        <w:rPr>
          <w:rFonts w:ascii="Palatino Linotype" w:eastAsia="Palatino Linotype" w:hAnsi="Palatino Linotype" w:cs="Palatino Linotype"/>
          <w:i/>
          <w:iCs/>
          <w:color w:val="000000"/>
        </w:rPr>
        <w:t>Glosario de Términos para el Proceso de Planeación, Programación, Presupuestación y Evaluación en la Administración Pública</w:t>
      </w:r>
      <w:r w:rsidRPr="000407C5">
        <w:rPr>
          <w:rFonts w:ascii="Palatino Linotype" w:eastAsia="Palatino Linotype" w:hAnsi="Palatino Linotype" w:cs="Palatino Linotype"/>
          <w:color w:val="000000"/>
        </w:rPr>
        <w:t xml:space="preserve">, definen los registros como: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b/>
          <w:bCs/>
          <w:i/>
          <w:iCs/>
        </w:rPr>
        <w:t xml:space="preserve">Registro contable. </w:t>
      </w:r>
      <w:r w:rsidRPr="000407C5">
        <w:rPr>
          <w:rFonts w:ascii="Palatino Linotype" w:eastAsia="Palatino Linotype" w:hAnsi="Palatino Linotype" w:cs="Palatino Linotype"/>
          <w:i/>
          <w:iCs/>
        </w:rPr>
        <w:t xml:space="preserve">Asiento que se realiza en los libros de contabilidad de las actividades relacionadas con el ingreso y egreso de un ente económico.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b/>
          <w:bCs/>
          <w:i/>
          <w:iCs/>
        </w:rPr>
        <w:t xml:space="preserve">Registro Presupuestario. </w:t>
      </w:r>
      <w:r w:rsidRPr="000407C5">
        <w:rPr>
          <w:rFonts w:ascii="Palatino Linotype" w:eastAsia="Palatino Linotype" w:hAnsi="Palatino Linotype" w:cs="Palatino Linotype"/>
          <w:i/>
          <w:iCs/>
        </w:rPr>
        <w:t xml:space="preserve">Asiento contable de las erogaciones realizadas por las dependencias y entidades con relación a la asignación, modificación y ejercicio de los recursos presupuestarios que se les hayan autorizado. </w:t>
      </w:r>
    </w:p>
    <w:p w:rsidR="007A5603" w:rsidRPr="000407C5" w:rsidRDefault="007A5603">
      <w:pPr>
        <w:spacing w:line="360" w:lineRule="auto"/>
        <w:ind w:right="49"/>
        <w:jc w:val="both"/>
        <w:rPr>
          <w:rFonts w:ascii="Palatino Linotype" w:eastAsia="Palatino Linotype" w:hAnsi="Palatino Linotype" w:cs="Palatino Linotype"/>
        </w:rPr>
      </w:pPr>
    </w:p>
    <w:p w:rsidR="007A5603" w:rsidRPr="000407C5" w:rsidRDefault="000655B2">
      <w:pPr>
        <w:numPr>
          <w:ilvl w:val="0"/>
          <w:numId w:val="5"/>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De los preceptos citados, se colige que los entes fiscalizables</w:t>
      </w:r>
      <w:r w:rsidRPr="000407C5">
        <w:rPr>
          <w:rFonts w:ascii="Palatino Linotype" w:eastAsia="Palatino Linotype" w:hAnsi="Palatino Linotype" w:cs="Palatino Linotype"/>
          <w:b/>
          <w:bCs/>
          <w:color w:val="000000"/>
          <w:u w:val="single"/>
        </w:rPr>
        <w:t xml:space="preserve"> deben contar con una unidad administrativa que registra contablemente el efecto patrimonial y presupuestal de las operaciones financieras</w:t>
      </w:r>
      <w:r w:rsidRPr="000407C5">
        <w:rPr>
          <w:rFonts w:ascii="Palatino Linotype" w:eastAsia="Palatino Linotype" w:hAnsi="Palatino Linotype" w:cs="Palatino Linotype"/>
          <w:color w:val="000000"/>
        </w:rPr>
        <w:t xml:space="preserve"> que realizan y por lo general, se encuentran en las denominadas </w:t>
      </w:r>
      <w:r w:rsidRPr="000407C5">
        <w:rPr>
          <w:rFonts w:ascii="Palatino Linotype" w:eastAsia="Palatino Linotype" w:hAnsi="Palatino Linotype" w:cs="Palatino Linotype"/>
          <w:i/>
          <w:iCs/>
          <w:color w:val="000000"/>
        </w:rPr>
        <w:t xml:space="preserve">pólizas contables </w:t>
      </w:r>
      <w:r w:rsidRPr="000407C5">
        <w:rPr>
          <w:rFonts w:ascii="Palatino Linotype" w:eastAsia="Palatino Linotype" w:hAnsi="Palatino Linotype" w:cs="Palatino Linotype"/>
          <w:color w:val="000000"/>
        </w:rPr>
        <w:t xml:space="preserve">las cuales son aquellos documentos en los que se asientan en forma individual todas y cada una de las operaciones desarrolladas por una institución, así como la información necesaria para la identificación de estas. </w:t>
      </w:r>
    </w:p>
    <w:p w:rsidR="007A5603" w:rsidRPr="000407C5" w:rsidRDefault="007A560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7A5603" w:rsidRPr="000407C5" w:rsidRDefault="000655B2">
      <w:pPr>
        <w:numPr>
          <w:ilvl w:val="0"/>
          <w:numId w:val="5"/>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En lo que respecta al </w:t>
      </w:r>
      <w:r w:rsidRPr="000407C5">
        <w:rPr>
          <w:rFonts w:ascii="Palatino Linotype" w:eastAsia="Palatino Linotype" w:hAnsi="Palatino Linotype" w:cs="Palatino Linotype"/>
          <w:b/>
          <w:bCs/>
          <w:color w:val="000000"/>
        </w:rPr>
        <w:t>SUJETO OBLIGADO</w:t>
      </w:r>
      <w:r w:rsidRPr="000407C5">
        <w:rPr>
          <w:rFonts w:ascii="Palatino Linotype" w:eastAsia="Palatino Linotype" w:hAnsi="Palatino Linotype" w:cs="Palatino Linotype"/>
          <w:color w:val="000000"/>
        </w:rPr>
        <w:t xml:space="preserve">, se tiene que, su Reglamento Interno establece que contará con una Dirección de Administración y Tesorería, la cual tendrá las siguientes atribuciones: </w:t>
      </w:r>
    </w:p>
    <w:p w:rsidR="007A5603" w:rsidRPr="000407C5" w:rsidRDefault="007A5603">
      <w:pPr>
        <w:spacing w:line="276" w:lineRule="auto"/>
        <w:ind w:left="567" w:right="579"/>
        <w:jc w:val="both"/>
        <w:rPr>
          <w:rFonts w:ascii="Palatino Linotype" w:eastAsia="Palatino Linotype" w:hAnsi="Palatino Linotype" w:cs="Palatino Linotype"/>
          <w:i/>
          <w:iCs/>
        </w:rPr>
      </w:pPr>
    </w:p>
    <w:p w:rsidR="007A5603" w:rsidRPr="000407C5" w:rsidRDefault="000655B2">
      <w:pPr>
        <w:ind w:left="567" w:right="579"/>
        <w:jc w:val="both"/>
        <w:rPr>
          <w:rFonts w:ascii="Palatino Linotype" w:eastAsia="Palatino Linotype" w:hAnsi="Palatino Linotype" w:cs="Palatino Linotype"/>
          <w:i/>
          <w:iCs/>
        </w:rPr>
      </w:pPr>
      <w:r w:rsidRPr="000407C5">
        <w:rPr>
          <w:rFonts w:ascii="Palatino Linotype" w:eastAsia="Palatino Linotype" w:hAnsi="Palatino Linotype" w:cs="Palatino Linotype"/>
          <w:b/>
          <w:bCs/>
          <w:i/>
          <w:iCs/>
        </w:rPr>
        <w:lastRenderedPageBreak/>
        <w:t>“Artículo 20.-</w:t>
      </w:r>
      <w:r w:rsidRPr="000407C5">
        <w:rPr>
          <w:rFonts w:ascii="Palatino Linotype" w:eastAsia="Palatino Linotype" w:hAnsi="Palatino Linotype" w:cs="Palatino Linotype"/>
          <w:i/>
          <w:iCs/>
        </w:rPr>
        <w:t xml:space="preserve"> Corresponde a la Dirección de Administración y Tesorería, quien tendrá además de las señaladas en el artículo 16 de la Ley, las siguientes atribuciones: </w:t>
      </w:r>
    </w:p>
    <w:p w:rsidR="007A5603" w:rsidRPr="000407C5" w:rsidRDefault="000655B2">
      <w:pPr>
        <w:ind w:left="567" w:right="579"/>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w:t>
      </w:r>
    </w:p>
    <w:p w:rsidR="007A5603" w:rsidRPr="000407C5" w:rsidRDefault="000655B2">
      <w:pPr>
        <w:ind w:left="567" w:right="579"/>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II. Supervisar y controlar la integración del presupuesto general optimizando los recursos financieros; </w:t>
      </w:r>
    </w:p>
    <w:p w:rsidR="007A5603" w:rsidRPr="000407C5" w:rsidRDefault="000655B2">
      <w:pPr>
        <w:ind w:left="567" w:right="579"/>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III. Administrar de manera eficiente los recursos </w:t>
      </w:r>
    </w:p>
    <w:p w:rsidR="007A5603" w:rsidRPr="000407C5" w:rsidRDefault="000655B2">
      <w:pPr>
        <w:ind w:left="567" w:right="579"/>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w:t>
      </w:r>
    </w:p>
    <w:p w:rsidR="007A5603" w:rsidRPr="000407C5" w:rsidRDefault="000655B2">
      <w:pPr>
        <w:ind w:left="567" w:right="579"/>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V. Validar las pólizas-cheque generadas por el Departamento de Finanzas para efectuar los pagos a proveedores de bienes y servicios otorgados, los correspondientes al pago de nómina y de obligaciones fiscales, laborales, de seguridad social sindical y administrativas, así como verificar que las mismas cumplan con las políticas y normas aplicables; </w:t>
      </w:r>
    </w:p>
    <w:p w:rsidR="007A5603" w:rsidRPr="000407C5" w:rsidRDefault="000655B2">
      <w:pPr>
        <w:ind w:left="567" w:right="579"/>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VI. Alimentar, actualizar y controlar los resultados del Sistema de Control Patrimonial con la finalidad de establecer políticas para la toma de decisiones en materia de bienes muebles e inmuebles, uso y destino de los mismos; </w:t>
      </w:r>
    </w:p>
    <w:p w:rsidR="007A5603" w:rsidRPr="000407C5" w:rsidRDefault="000655B2">
      <w:pPr>
        <w:ind w:left="567" w:right="579"/>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w:t>
      </w:r>
    </w:p>
    <w:p w:rsidR="007A5603" w:rsidRPr="000407C5" w:rsidRDefault="000655B2">
      <w:pPr>
        <w:ind w:left="567" w:right="579"/>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X. Proveer a las Unidades Administrativas de los recursos humanos y materiales necesarios para su buen funcionamiento, así como de servicios de mantenimiento de inmuebles, parque vehicular y apoyo para la realización de eventos cuando así sea requerido; </w:t>
      </w:r>
    </w:p>
    <w:p w:rsidR="007A5603" w:rsidRPr="000407C5" w:rsidRDefault="000655B2">
      <w:pPr>
        <w:ind w:left="567" w:right="579"/>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w:t>
      </w:r>
    </w:p>
    <w:p w:rsidR="007A5603" w:rsidRPr="000407C5" w:rsidRDefault="000655B2">
      <w:pPr>
        <w:ind w:left="567" w:right="579"/>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XIII. Suscribir contratos de bienes y servicios en términos de la legislación aplicable; </w:t>
      </w:r>
    </w:p>
    <w:p w:rsidR="007A5603" w:rsidRPr="000407C5" w:rsidRDefault="000655B2">
      <w:pPr>
        <w:ind w:left="567" w:right="579"/>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w:t>
      </w:r>
    </w:p>
    <w:p w:rsidR="007A5603" w:rsidRPr="000407C5" w:rsidRDefault="007A5603">
      <w:pPr>
        <w:spacing w:line="276" w:lineRule="auto"/>
        <w:ind w:left="567" w:right="579"/>
        <w:jc w:val="both"/>
        <w:rPr>
          <w:rFonts w:ascii="Palatino Linotype" w:eastAsia="Palatino Linotype" w:hAnsi="Palatino Linotype" w:cs="Palatino Linotype"/>
          <w:i/>
          <w:iCs/>
        </w:rPr>
      </w:pPr>
    </w:p>
    <w:p w:rsidR="007A5603" w:rsidRPr="000407C5" w:rsidRDefault="000655B2">
      <w:pPr>
        <w:numPr>
          <w:ilvl w:val="0"/>
          <w:numId w:val="5"/>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De lo anterior, se colige que el </w:t>
      </w:r>
      <w:r w:rsidRPr="000407C5">
        <w:rPr>
          <w:rFonts w:ascii="Palatino Linotype" w:eastAsia="Palatino Linotype" w:hAnsi="Palatino Linotype" w:cs="Palatino Linotype"/>
          <w:b/>
          <w:bCs/>
          <w:color w:val="000000"/>
        </w:rPr>
        <w:t>SUJETO OBLIGADO</w:t>
      </w:r>
      <w:r w:rsidRPr="000407C5">
        <w:rPr>
          <w:rFonts w:ascii="Palatino Linotype" w:eastAsia="Palatino Linotype" w:hAnsi="Palatino Linotype" w:cs="Palatino Linotype"/>
          <w:color w:val="000000"/>
        </w:rPr>
        <w:t xml:space="preserve">, cuenta con las competencias, facultades y atribuciones para conocer, administrar y generar la información relacionada con los procedimientos de contratación llevados a cabo por el Municipio, así como, los documentos donde consta la comprobación de las erogaciones realizadas. </w:t>
      </w:r>
    </w:p>
    <w:p w:rsidR="007A5603" w:rsidRPr="000407C5" w:rsidRDefault="007A5603">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7A5603" w:rsidRPr="000407C5" w:rsidRDefault="000655B2">
      <w:pPr>
        <w:numPr>
          <w:ilvl w:val="0"/>
          <w:numId w:val="5"/>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Correlativo a lo anterior, es necesario precisar que de las constancias que obran en el expediente se logra vislumbrar que el </w:t>
      </w:r>
      <w:r w:rsidRPr="000407C5">
        <w:rPr>
          <w:rFonts w:ascii="Palatino Linotype" w:eastAsia="Palatino Linotype" w:hAnsi="Palatino Linotype" w:cs="Palatino Linotype"/>
          <w:b/>
          <w:bCs/>
          <w:color w:val="000000"/>
        </w:rPr>
        <w:t>SUJETO OBLIGADO</w:t>
      </w:r>
      <w:r w:rsidRPr="000407C5">
        <w:rPr>
          <w:rFonts w:ascii="Palatino Linotype" w:eastAsia="Palatino Linotype" w:hAnsi="Palatino Linotype" w:cs="Palatino Linotype"/>
          <w:color w:val="000000"/>
        </w:rPr>
        <w:t xml:space="preserve">, no turnó la solicitud de información a la unidad administrativa competente, a saber la </w:t>
      </w:r>
      <w:r w:rsidRPr="000407C5">
        <w:rPr>
          <w:rFonts w:ascii="Palatino Linotype" w:eastAsia="Palatino Linotype" w:hAnsi="Palatino Linotype" w:cs="Palatino Linotype"/>
          <w:b/>
          <w:bCs/>
          <w:color w:val="000000"/>
        </w:rPr>
        <w:t>Tesorería Municipal</w:t>
      </w:r>
      <w:r w:rsidRPr="000407C5">
        <w:rPr>
          <w:rFonts w:ascii="Palatino Linotype" w:eastAsia="Palatino Linotype" w:hAnsi="Palatino Linotype" w:cs="Palatino Linotype"/>
          <w:color w:val="000000"/>
        </w:rPr>
        <w:t xml:space="preserve">, por lo que, resulta necesario hacer referencia al procedimiento de búsqueda que deben de seguir los Sujetos Obligados para localizar la información, el cual se encuentra previsto en los artículos </w:t>
      </w:r>
      <w:r w:rsidRPr="000407C5">
        <w:rPr>
          <w:rFonts w:ascii="Palatino Linotype" w:eastAsia="Palatino Linotype" w:hAnsi="Palatino Linotype" w:cs="Palatino Linotype"/>
          <w:color w:val="000000"/>
        </w:rPr>
        <w:lastRenderedPageBreak/>
        <w:t>160 y 162 de la Ley de Transparencia y Acceso a la Información Pública del Estado de México y Municipios, mismo que es el siguiente:</w:t>
      </w:r>
    </w:p>
    <w:p w:rsidR="007A5603" w:rsidRPr="000407C5" w:rsidRDefault="000655B2">
      <w:pPr>
        <w:numPr>
          <w:ilvl w:val="3"/>
          <w:numId w:val="4"/>
        </w:numPr>
        <w:pBdr>
          <w:top w:val="nil"/>
          <w:left w:val="nil"/>
          <w:bottom w:val="nil"/>
          <w:right w:val="nil"/>
          <w:between w:val="nil"/>
        </w:pBdr>
        <w:ind w:left="567" w:right="560"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7A5603" w:rsidRPr="000407C5" w:rsidRDefault="007A5603">
      <w:pPr>
        <w:ind w:left="567" w:right="560"/>
        <w:jc w:val="both"/>
        <w:rPr>
          <w:rFonts w:ascii="Palatino Linotype" w:eastAsia="Palatino Linotype" w:hAnsi="Palatino Linotype" w:cs="Palatino Linotype"/>
          <w:color w:val="000000"/>
        </w:rPr>
      </w:pPr>
    </w:p>
    <w:p w:rsidR="007A5603" w:rsidRPr="000407C5" w:rsidRDefault="000655B2">
      <w:pPr>
        <w:numPr>
          <w:ilvl w:val="3"/>
          <w:numId w:val="4"/>
        </w:numPr>
        <w:pBdr>
          <w:top w:val="nil"/>
          <w:left w:val="nil"/>
          <w:bottom w:val="nil"/>
          <w:right w:val="nil"/>
          <w:between w:val="nil"/>
        </w:pBdr>
        <w:ind w:left="567" w:right="560"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Los sujetos obligados otorgaran acceso a los documentos que se encuentren en sus archivos o que estén obligados a documentar de acuerdo con sus facultades, competencias o funciones, en el formato en que la solicitante manifieste, de entre aquellos formatos existentes.</w:t>
      </w:r>
    </w:p>
    <w:p w:rsidR="007A5603" w:rsidRPr="000407C5" w:rsidRDefault="007A5603">
      <w:pPr>
        <w:spacing w:line="360" w:lineRule="auto"/>
        <w:ind w:right="49"/>
        <w:jc w:val="both"/>
        <w:rPr>
          <w:rFonts w:ascii="Palatino Linotype" w:eastAsia="Palatino Linotype" w:hAnsi="Palatino Linotype" w:cs="Palatino Linotype"/>
          <w:color w:val="000000"/>
        </w:rPr>
      </w:pPr>
    </w:p>
    <w:p w:rsidR="007A5603" w:rsidRPr="000407C5" w:rsidRDefault="000655B2">
      <w:pPr>
        <w:numPr>
          <w:ilvl w:val="0"/>
          <w:numId w:val="5"/>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Así y conforme a lo establecido en párrafos anteriores, el Sujeto Obligado no cumplió con el procedimiento de búsqueda establecido en el artículo 162 de la Ley de Transparencia y Acceso a la Información Pública del Estado de México y Municipios, al gestionar el requerimiento de información al área competente para conocer de lo peticionado, a saber, la </w:t>
      </w:r>
      <w:r w:rsidRPr="000407C5">
        <w:rPr>
          <w:rFonts w:ascii="Palatino Linotype" w:eastAsia="Palatino Linotype" w:hAnsi="Palatino Linotype" w:cs="Palatino Linotype"/>
          <w:b/>
          <w:bCs/>
          <w:color w:val="000000"/>
        </w:rPr>
        <w:t>Tesorería Municipal,</w:t>
      </w:r>
      <w:r w:rsidRPr="000407C5">
        <w:rPr>
          <w:rFonts w:ascii="Palatino Linotype" w:eastAsia="Palatino Linotype" w:hAnsi="Palatino Linotype" w:cs="Palatino Linotype"/>
          <w:color w:val="000000"/>
        </w:rPr>
        <w:t xml:space="preserve"> en términos de los artículos 76 y 77 del Bando Municipal del Ayuntamiento de la Paz, el cual establece lo siguiente: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b/>
          <w:bCs/>
          <w:i/>
          <w:iCs/>
        </w:rPr>
        <w:t>Artículo 76.</w:t>
      </w:r>
      <w:r w:rsidRPr="000407C5">
        <w:rPr>
          <w:rFonts w:ascii="Palatino Linotype" w:eastAsia="Palatino Linotype" w:hAnsi="Palatino Linotype" w:cs="Palatino Linotype"/>
          <w:i/>
          <w:iCs/>
        </w:rPr>
        <w:t xml:space="preserve"> La Tesorería es el órgano encargado de la recaudación de los ingresos municipales y responsable de </w:t>
      </w:r>
      <w:r w:rsidRPr="000407C5">
        <w:rPr>
          <w:rFonts w:ascii="Palatino Linotype" w:eastAsia="Palatino Linotype" w:hAnsi="Palatino Linotype" w:cs="Palatino Linotype"/>
          <w:b/>
          <w:bCs/>
          <w:i/>
          <w:iCs/>
          <w:u w:val="single"/>
        </w:rPr>
        <w:t>realizar las erogaciones</w:t>
      </w:r>
      <w:r w:rsidRPr="000407C5">
        <w:rPr>
          <w:rFonts w:ascii="Palatino Linotype" w:eastAsia="Palatino Linotype" w:hAnsi="Palatino Linotype" w:cs="Palatino Linotype"/>
          <w:i/>
          <w:iCs/>
        </w:rPr>
        <w:t xml:space="preserve"> que haga el Ayuntamiento. </w:t>
      </w:r>
    </w:p>
    <w:p w:rsidR="007A5603" w:rsidRPr="000407C5" w:rsidRDefault="007A5603">
      <w:pPr>
        <w:spacing w:line="276" w:lineRule="auto"/>
        <w:ind w:left="567" w:right="560"/>
        <w:jc w:val="both"/>
        <w:rPr>
          <w:rFonts w:ascii="Palatino Linotype" w:eastAsia="Palatino Linotype" w:hAnsi="Palatino Linotype" w:cs="Palatino Linotype"/>
          <w:i/>
          <w:iCs/>
        </w:rPr>
      </w:pP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b/>
          <w:bCs/>
          <w:i/>
          <w:iCs/>
        </w:rPr>
        <w:t>Artículo 77.</w:t>
      </w:r>
      <w:r w:rsidRPr="000407C5">
        <w:rPr>
          <w:rFonts w:ascii="Palatino Linotype" w:eastAsia="Palatino Linotype" w:hAnsi="Palatino Linotype" w:cs="Palatino Linotype"/>
          <w:i/>
          <w:iCs/>
        </w:rPr>
        <w:t xml:space="preserve"> Son atribuciones de la persona titular de la Tesorería Municipal: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I. administrar la hacienda pública, de conformidad con las disposiciones legales aplicables;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III. Imponer las sanciones administrativas que procedan por infracciones a las disposiciones fiscales; </w:t>
      </w:r>
    </w:p>
    <w:p w:rsidR="007A5603" w:rsidRPr="000407C5" w:rsidRDefault="000655B2">
      <w:pPr>
        <w:spacing w:line="276" w:lineRule="auto"/>
        <w:ind w:left="567" w:right="560"/>
        <w:jc w:val="both"/>
        <w:rPr>
          <w:rFonts w:ascii="Palatino Linotype" w:eastAsia="Palatino Linotype" w:hAnsi="Palatino Linotype" w:cs="Palatino Linotype"/>
          <w:b/>
          <w:bCs/>
          <w:i/>
          <w:iCs/>
        </w:rPr>
      </w:pPr>
      <w:r w:rsidRPr="000407C5">
        <w:rPr>
          <w:rFonts w:ascii="Palatino Linotype" w:eastAsia="Palatino Linotype" w:hAnsi="Palatino Linotype" w:cs="Palatino Linotype"/>
          <w:b/>
          <w:bCs/>
          <w:i/>
          <w:iCs/>
        </w:rPr>
        <w:lastRenderedPageBreak/>
        <w:t xml:space="preserve">IV. Llevar los registros contables, financieros y administrativos de los ingresos, egresos, e inventarios;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V. Proporcionar oportunamente al Ayuntamiento todos los datos o informes que sean necesarios para la formulación del Presupuesto de Egresos Municipales, vigilando que se ajuste a las disposiciones de la Ley Orgánica Municipal y otros ordenamientos aplicables;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VI. Presentar anualmente al Ayuntamiento un informe de la situación contable financiera de la Tesorería;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VII. Proporcionar para la formulación del proyecto de Presupuesto de Egresos Municipales la información financiera relativa a la solución o en su caso, el pago de los litigios laborales;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VIII. Diseñar y aprobar las formas oficiales de manifestaciones, avisos y declaraciones y demás documentos requeridos;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IX. Participar en la formulación de convenios fiscales y ejercer las atribuciones que le correspondan en el ámbito de su competencia;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X. Proponer al Ayuntamiento la cancelación de cuentas incobrables;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XI. Custodiar y ejercer las garantías que se otorguen en favor de la hacienda pública; XII. Proponer la política de ingresos de la Tesorería;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XIII. Intervenir en la elaboración del programa financiero municipal;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XIV. Elaborar y mantener actualizado el padrón de contribuyentes;</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XV. Administrar a su inmediato antecesor todos los datos oficiales que se le solicite, para contestar los pliegos de observaciones y alcances que formule y deduzca el Órgano Superior de Fiscalización del Estado de México;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XVI. Solicitar a las instancias competentes, la práctica de revisiones circunstanciadas, de conformidad con las normas que rigen en materia de control y evaluación gubernamental en el ámbito municipal; </w:t>
      </w:r>
    </w:p>
    <w:p w:rsidR="007A5603" w:rsidRPr="000407C5" w:rsidRDefault="000655B2">
      <w:pPr>
        <w:spacing w:line="276" w:lineRule="auto"/>
        <w:ind w:left="567" w:right="560"/>
        <w:jc w:val="both"/>
        <w:rPr>
          <w:rFonts w:ascii="Palatino Linotype" w:eastAsia="Palatino Linotype" w:hAnsi="Palatino Linotype" w:cs="Palatino Linotype"/>
          <w:b/>
          <w:bCs/>
          <w:i/>
          <w:iCs/>
        </w:rPr>
      </w:pPr>
      <w:r w:rsidRPr="000407C5">
        <w:rPr>
          <w:rFonts w:ascii="Palatino Linotype" w:eastAsia="Palatino Linotype" w:hAnsi="Palatino Linotype" w:cs="Palatino Linotype"/>
          <w:b/>
          <w:bCs/>
          <w:i/>
          <w:iCs/>
        </w:rPr>
        <w:t xml:space="preserve">XVII. Glosar oportunamente las cuentas del Ayuntamiento;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XVIII. Contestar oportunamente los pliegos de observaciones y responsabilidad que haga el Órgano Superior de Fiscalización del Estado de México, así como atender en tiempo y forma las solicitudes de información que éste requiera, informando al Ayuntamiento;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XIX. Expedir copias certificadas de los documentos a su cuidado, por acuerdo expreso del Ayuntamiento y cuando se trate de documentación presentada ante el Órgano Superior de Fiscalización del Estado de México;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lastRenderedPageBreak/>
        <w:t xml:space="preserve">XX.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XXI. Dar cumplimiento a las leyes, convenios de coordinación fiscal y demás que en materia hacendaria celebre el Ayuntamiento con el Estado;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XXII. Entregar oportunamente al Síndico, el informe mensual que corresponda, a fin de que se revise, y de ser necesario, para que se formulen las observaciones respectivas; </w:t>
      </w:r>
    </w:p>
    <w:p w:rsidR="007A5603" w:rsidRPr="000407C5" w:rsidRDefault="000655B2">
      <w:pPr>
        <w:spacing w:line="276" w:lineRule="auto"/>
        <w:ind w:left="567" w:right="560"/>
        <w:jc w:val="both"/>
        <w:rPr>
          <w:rFonts w:ascii="Palatino Linotype" w:eastAsia="Palatino Linotype" w:hAnsi="Palatino Linotype" w:cs="Palatino Linotype"/>
          <w:i/>
          <w:iCs/>
        </w:rPr>
      </w:pPr>
      <w:r w:rsidRPr="000407C5">
        <w:rPr>
          <w:rFonts w:ascii="Palatino Linotype" w:eastAsia="Palatino Linotype" w:hAnsi="Palatino Linotype" w:cs="Palatino Linotype"/>
          <w:i/>
          <w:iCs/>
        </w:rPr>
        <w:t xml:space="preserve">XXIII. Elaborar la nómina del personal; y </w:t>
      </w:r>
    </w:p>
    <w:p w:rsidR="007A5603" w:rsidRPr="000407C5" w:rsidRDefault="000655B2">
      <w:pPr>
        <w:spacing w:line="276" w:lineRule="auto"/>
        <w:ind w:left="567" w:right="560"/>
        <w:jc w:val="both"/>
        <w:rPr>
          <w:rFonts w:ascii="Palatino Linotype" w:eastAsia="Palatino Linotype" w:hAnsi="Palatino Linotype" w:cs="Palatino Linotype"/>
          <w:i/>
          <w:iCs/>
          <w:color w:val="000000"/>
        </w:rPr>
      </w:pPr>
      <w:r w:rsidRPr="000407C5">
        <w:rPr>
          <w:rFonts w:ascii="Palatino Linotype" w:eastAsia="Palatino Linotype" w:hAnsi="Palatino Linotype" w:cs="Palatino Linotype"/>
          <w:i/>
          <w:iCs/>
        </w:rPr>
        <w:t>XXIV. Las demás que señalen otras disposiciones aplicables.</w:t>
      </w:r>
    </w:p>
    <w:p w:rsidR="007A5603" w:rsidRPr="000407C5" w:rsidRDefault="007A5603">
      <w:pPr>
        <w:spacing w:line="360" w:lineRule="auto"/>
        <w:ind w:right="49"/>
        <w:jc w:val="both"/>
        <w:rPr>
          <w:rFonts w:ascii="Palatino Linotype" w:eastAsia="Palatino Linotype" w:hAnsi="Palatino Linotype" w:cs="Palatino Linotype"/>
        </w:rPr>
      </w:pPr>
    </w:p>
    <w:p w:rsidR="007A5603" w:rsidRPr="000407C5" w:rsidRDefault="000655B2">
      <w:pPr>
        <w:numPr>
          <w:ilvl w:val="0"/>
          <w:numId w:val="5"/>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b/>
          <w:bCs/>
          <w:color w:val="000000"/>
        </w:rPr>
      </w:pPr>
      <w:r w:rsidRPr="000407C5">
        <w:rPr>
          <w:rFonts w:ascii="Palatino Linotype" w:eastAsia="Palatino Linotype" w:hAnsi="Palatino Linotype" w:cs="Palatino Linotype"/>
          <w:color w:val="000000"/>
        </w:rPr>
        <w:t xml:space="preserve">En </w:t>
      </w:r>
      <w:r w:rsidRPr="000407C5">
        <w:rPr>
          <w:rFonts w:ascii="Palatino Linotype" w:eastAsia="Palatino Linotype" w:hAnsi="Palatino Linotype" w:cs="Palatino Linotype"/>
          <w:color w:val="222222"/>
          <w:highlight w:val="white"/>
        </w:rPr>
        <w:t xml:space="preserve">consecuencia, el </w:t>
      </w:r>
      <w:r w:rsidRPr="000407C5">
        <w:rPr>
          <w:rFonts w:ascii="Palatino Linotype" w:eastAsia="Palatino Linotype" w:hAnsi="Palatino Linotype" w:cs="Palatino Linotype"/>
          <w:b/>
          <w:bCs/>
          <w:color w:val="222222"/>
          <w:highlight w:val="white"/>
        </w:rPr>
        <w:t>SUJETO OBLIGADO</w:t>
      </w:r>
      <w:r w:rsidRPr="000407C5">
        <w:rPr>
          <w:rFonts w:ascii="Palatino Linotype" w:eastAsia="Palatino Linotype" w:hAnsi="Palatino Linotype" w:cs="Palatino Linotype"/>
          <w:color w:val="222222"/>
          <w:highlight w:val="white"/>
        </w:rPr>
        <w:t xml:space="preserve"> deberá hacer entrega, previa búsqueda exhaustiva y razonable, de ser procedente en versión pública, </w:t>
      </w:r>
      <w:r w:rsidRPr="000407C5">
        <w:rPr>
          <w:rFonts w:ascii="Palatino Linotype" w:eastAsia="Palatino Linotype" w:hAnsi="Palatino Linotype" w:cs="Palatino Linotype"/>
          <w:b/>
          <w:bCs/>
          <w:color w:val="222222"/>
          <w:highlight w:val="white"/>
        </w:rPr>
        <w:t xml:space="preserve">de las facturas correspondientes a la adquisición de los </w:t>
      </w:r>
      <w:r w:rsidRPr="000407C5">
        <w:rPr>
          <w:rFonts w:ascii="Palatino Linotype" w:eastAsia="Palatino Linotype" w:hAnsi="Palatino Linotype" w:cs="Palatino Linotype"/>
          <w:b/>
          <w:bCs/>
          <w:color w:val="222222"/>
        </w:rPr>
        <w:t xml:space="preserve">vehículos asignados a todos los servidores públicos que integran la Presidencia Municipal, </w:t>
      </w:r>
      <w:r w:rsidR="00007110" w:rsidRPr="000407C5">
        <w:rPr>
          <w:rFonts w:ascii="Palatino Linotype" w:eastAsia="Palatino Linotype" w:hAnsi="Palatino Linotype" w:cs="Palatino Linotype"/>
          <w:b/>
          <w:bCs/>
          <w:color w:val="222222"/>
        </w:rPr>
        <w:t xml:space="preserve">del 25 de abril de 2024 </w:t>
      </w:r>
      <w:r w:rsidRPr="000407C5">
        <w:rPr>
          <w:rFonts w:ascii="Palatino Linotype" w:eastAsia="Palatino Linotype" w:hAnsi="Palatino Linotype" w:cs="Palatino Linotype"/>
          <w:b/>
          <w:bCs/>
          <w:color w:val="222222"/>
        </w:rPr>
        <w:t>al 25 de abril de 20</w:t>
      </w:r>
      <w:r w:rsidR="00007110" w:rsidRPr="000407C5">
        <w:rPr>
          <w:rFonts w:ascii="Palatino Linotype" w:eastAsia="Palatino Linotype" w:hAnsi="Palatino Linotype" w:cs="Palatino Linotype"/>
          <w:b/>
          <w:bCs/>
          <w:color w:val="222222"/>
        </w:rPr>
        <w:t>2</w:t>
      </w:r>
      <w:r w:rsidRPr="000407C5">
        <w:rPr>
          <w:rFonts w:ascii="Palatino Linotype" w:eastAsia="Palatino Linotype" w:hAnsi="Palatino Linotype" w:cs="Palatino Linotype"/>
          <w:b/>
          <w:bCs/>
          <w:color w:val="222222"/>
        </w:rPr>
        <w:t>5.</w:t>
      </w:r>
    </w:p>
    <w:p w:rsidR="007A5603" w:rsidRPr="000407C5" w:rsidRDefault="007A5603">
      <w:pPr>
        <w:spacing w:line="360" w:lineRule="auto"/>
        <w:ind w:right="-787"/>
        <w:jc w:val="both"/>
        <w:rPr>
          <w:rFonts w:ascii="Palatino Linotype" w:eastAsia="Palatino Linotype" w:hAnsi="Palatino Linotype" w:cs="Palatino Linotype"/>
          <w:color w:val="000000"/>
        </w:rPr>
      </w:pPr>
    </w:p>
    <w:p w:rsidR="007A5603" w:rsidRPr="000407C5" w:rsidRDefault="000655B2">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bCs/>
          <w:color w:val="000000"/>
        </w:rPr>
      </w:pPr>
      <w:r w:rsidRPr="000407C5">
        <w:rPr>
          <w:rFonts w:ascii="Palatino Linotype" w:eastAsia="Palatino Linotype" w:hAnsi="Palatino Linotype" w:cs="Palatino Linotype"/>
          <w:b/>
          <w:bCs/>
          <w:color w:val="000000"/>
        </w:rPr>
        <w:t>QUINTO. VERSIÓN PÚBLICA.</w:t>
      </w:r>
    </w:p>
    <w:p w:rsidR="007A5603" w:rsidRPr="000407C5" w:rsidRDefault="000655B2">
      <w:pPr>
        <w:keepNext/>
        <w:keepLines/>
        <w:numPr>
          <w:ilvl w:val="0"/>
          <w:numId w:val="1"/>
        </w:numPr>
        <w:spacing w:line="360" w:lineRule="auto"/>
        <w:ind w:left="284" w:firstLine="0"/>
        <w:rPr>
          <w:rFonts w:ascii="Palatino Linotype" w:eastAsia="Palatino Linotype" w:hAnsi="Palatino Linotype" w:cs="Palatino Linotype"/>
          <w:b/>
          <w:bCs/>
          <w:color w:val="000000"/>
        </w:rPr>
      </w:pPr>
      <w:r w:rsidRPr="000407C5">
        <w:rPr>
          <w:rFonts w:ascii="Palatino Linotype" w:eastAsia="Palatino Linotype" w:hAnsi="Palatino Linotype" w:cs="Palatino Linotype"/>
          <w:b/>
          <w:bCs/>
          <w:color w:val="000000"/>
        </w:rPr>
        <w:t xml:space="preserve">Nociones generales. </w:t>
      </w:r>
    </w:p>
    <w:p w:rsidR="007A5603" w:rsidRPr="000407C5" w:rsidRDefault="000655B2">
      <w:pPr>
        <w:numPr>
          <w:ilvl w:val="0"/>
          <w:numId w:val="5"/>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Debe destacarse que, debido a la naturaleza de la información solicitada</w:t>
      </w:r>
      <w:r w:rsidRPr="000407C5">
        <w:rPr>
          <w:rFonts w:ascii="Palatino Linotype" w:eastAsia="Palatino Linotype" w:hAnsi="Palatino Linotype" w:cs="Palatino Linotype"/>
          <w:b/>
          <w:bCs/>
          <w:color w:val="000000"/>
        </w:rPr>
        <w:t xml:space="preserve">, </w:t>
      </w:r>
      <w:r w:rsidRPr="000407C5">
        <w:rPr>
          <w:rFonts w:ascii="Palatino Linotype" w:eastAsia="Palatino Linotype" w:hAnsi="Palatino Linotype" w:cs="Palatino Linotype"/>
          <w:color w:val="000000"/>
        </w:rPr>
        <w:t xml:space="preserve">eventualmente pudiera obrar datos personales susceptibles de protegerse, el </w:t>
      </w:r>
      <w:r w:rsidRPr="000407C5">
        <w:rPr>
          <w:rFonts w:ascii="Palatino Linotype" w:eastAsia="Palatino Linotype" w:hAnsi="Palatino Linotype" w:cs="Palatino Linotype"/>
          <w:b/>
          <w:bCs/>
          <w:color w:val="000000"/>
        </w:rPr>
        <w:t xml:space="preserve">SUJETO OBLIGADO </w:t>
      </w:r>
      <w:r w:rsidRPr="000407C5">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7A5603" w:rsidRPr="000407C5" w:rsidRDefault="007A5603">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rsidR="007A5603" w:rsidRPr="000407C5" w:rsidRDefault="000655B2">
      <w:pPr>
        <w:numPr>
          <w:ilvl w:val="0"/>
          <w:numId w:val="5"/>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lastRenderedPageBreak/>
        <w:t>No pasa desapercibido para este Órgano Garante que los Sujetos Obligados</w:t>
      </w:r>
      <w:r w:rsidRPr="000407C5">
        <w:rPr>
          <w:rFonts w:ascii="Palatino Linotype" w:eastAsia="Palatino Linotype" w:hAnsi="Palatino Linotype" w:cs="Palatino Linotype"/>
          <w:b/>
          <w:bCs/>
          <w:color w:val="000000"/>
        </w:rPr>
        <w:t xml:space="preserve"> </w:t>
      </w:r>
      <w:r w:rsidRPr="000407C5">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7A5603" w:rsidRPr="000407C5" w:rsidRDefault="007A560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f2"/>
        <w:tblW w:w="1006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7513"/>
      </w:tblGrid>
      <w:tr w:rsidR="007A5603" w:rsidRPr="000407C5" w:rsidTr="000407C5">
        <w:tc>
          <w:tcPr>
            <w:tcW w:w="2547" w:type="dxa"/>
          </w:tcPr>
          <w:p w:rsidR="007A5603" w:rsidRPr="000407C5" w:rsidRDefault="000655B2">
            <w:pPr>
              <w:rPr>
                <w:rFonts w:ascii="Palatino Linotype" w:eastAsia="Palatino Linotype" w:hAnsi="Palatino Linotype" w:cs="Palatino Linotype"/>
              </w:rPr>
            </w:pPr>
            <w:r w:rsidRPr="000407C5">
              <w:rPr>
                <w:rFonts w:ascii="Palatino Linotype" w:eastAsia="Palatino Linotype" w:hAnsi="Palatino Linotype" w:cs="Palatino Linotype"/>
              </w:rPr>
              <w:t>a) Requisitos previos.</w:t>
            </w:r>
          </w:p>
        </w:tc>
        <w:tc>
          <w:tcPr>
            <w:tcW w:w="7513" w:type="dxa"/>
          </w:tcPr>
          <w:p w:rsidR="007A5603" w:rsidRPr="000407C5" w:rsidRDefault="000655B2">
            <w:pPr>
              <w:ind w:right="49"/>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7A5603" w:rsidRPr="000407C5" w:rsidRDefault="000655B2">
            <w:pPr>
              <w:ind w:right="49"/>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7A5603" w:rsidRPr="000407C5" w:rsidRDefault="000655B2">
            <w:pPr>
              <w:ind w:right="49"/>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7A5603" w:rsidRPr="000407C5" w:rsidRDefault="000655B2">
            <w:pPr>
              <w:jc w:val="both"/>
              <w:rPr>
                <w:rFonts w:ascii="Palatino Linotype" w:eastAsia="Palatino Linotype" w:hAnsi="Palatino Linotype" w:cs="Palatino Linotype"/>
              </w:rPr>
            </w:pPr>
            <w:r w:rsidRPr="000407C5">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0407C5">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0407C5">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7A5603" w:rsidRPr="000407C5" w:rsidTr="000407C5">
        <w:tc>
          <w:tcPr>
            <w:tcW w:w="2547" w:type="dxa"/>
          </w:tcPr>
          <w:p w:rsidR="007A5603" w:rsidRPr="000407C5" w:rsidRDefault="000655B2">
            <w:pPr>
              <w:rPr>
                <w:rFonts w:ascii="Palatino Linotype" w:eastAsia="Palatino Linotype" w:hAnsi="Palatino Linotype" w:cs="Palatino Linotype"/>
              </w:rPr>
            </w:pPr>
            <w:r w:rsidRPr="000407C5">
              <w:rPr>
                <w:rFonts w:ascii="Palatino Linotype" w:eastAsia="Palatino Linotype" w:hAnsi="Palatino Linotype" w:cs="Palatino Linotype"/>
              </w:rPr>
              <w:t>b) Supuestos de clasificación.</w:t>
            </w:r>
          </w:p>
        </w:tc>
        <w:tc>
          <w:tcPr>
            <w:tcW w:w="7513" w:type="dxa"/>
          </w:tcPr>
          <w:p w:rsidR="007A5603" w:rsidRPr="000407C5" w:rsidRDefault="000655B2">
            <w:pPr>
              <w:ind w:right="49"/>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7A5603" w:rsidRPr="000407C5" w:rsidRDefault="000655B2">
            <w:pPr>
              <w:ind w:right="49"/>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7A5603" w:rsidRPr="000407C5" w:rsidRDefault="000655B2">
            <w:pPr>
              <w:jc w:val="both"/>
              <w:rPr>
                <w:rFonts w:ascii="Palatino Linotype" w:eastAsia="Palatino Linotype" w:hAnsi="Palatino Linotype" w:cs="Palatino Linotype"/>
              </w:rPr>
            </w:pPr>
            <w:r w:rsidRPr="000407C5">
              <w:rPr>
                <w:rFonts w:ascii="Palatino Linotype" w:eastAsia="Palatino Linotype" w:hAnsi="Palatino Linotype" w:cs="Palatino Linotype"/>
                <w:color w:val="000000"/>
              </w:rPr>
              <w:lastRenderedPageBreak/>
              <w:t xml:space="preserve">El </w:t>
            </w:r>
            <w:r w:rsidRPr="000407C5">
              <w:rPr>
                <w:rFonts w:ascii="Palatino Linotype" w:eastAsia="Palatino Linotype" w:hAnsi="Palatino Linotype" w:cs="Palatino Linotype"/>
                <w:b/>
                <w:bCs/>
                <w:color w:val="000000"/>
              </w:rPr>
              <w:t>Sujeto Obligado</w:t>
            </w:r>
            <w:r w:rsidRPr="000407C5">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7A5603" w:rsidRPr="000407C5" w:rsidTr="000407C5">
        <w:tc>
          <w:tcPr>
            <w:tcW w:w="2547" w:type="dxa"/>
          </w:tcPr>
          <w:p w:rsidR="007A5603" w:rsidRPr="000407C5" w:rsidRDefault="000655B2">
            <w:pPr>
              <w:rPr>
                <w:rFonts w:ascii="Palatino Linotype" w:eastAsia="Palatino Linotype" w:hAnsi="Palatino Linotype" w:cs="Palatino Linotype"/>
              </w:rPr>
            </w:pPr>
            <w:r w:rsidRPr="000407C5">
              <w:rPr>
                <w:rFonts w:ascii="Palatino Linotype" w:eastAsia="Palatino Linotype" w:hAnsi="Palatino Linotype" w:cs="Palatino Linotype"/>
              </w:rPr>
              <w:lastRenderedPageBreak/>
              <w:t>c) Formalidades para emitir el acuerdo de clasificación.</w:t>
            </w:r>
          </w:p>
        </w:tc>
        <w:tc>
          <w:tcPr>
            <w:tcW w:w="7513" w:type="dxa"/>
          </w:tcPr>
          <w:p w:rsidR="007A5603" w:rsidRPr="000407C5" w:rsidRDefault="000655B2">
            <w:pPr>
              <w:ind w:right="49"/>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7A5603" w:rsidRPr="000407C5" w:rsidRDefault="000655B2">
            <w:pPr>
              <w:ind w:right="49"/>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Es necesario que </w:t>
            </w:r>
            <w:r w:rsidRPr="000407C5">
              <w:rPr>
                <w:rFonts w:ascii="Palatino Linotype" w:eastAsia="Palatino Linotype" w:hAnsi="Palatino Linotype" w:cs="Palatino Linotype"/>
                <w:b/>
                <w:bCs/>
                <w:color w:val="000000"/>
                <w:u w:val="single"/>
              </w:rPr>
              <w:t>el acto reúna con los requisitos elementales</w:t>
            </w:r>
            <w:r w:rsidRPr="000407C5">
              <w:rPr>
                <w:rFonts w:ascii="Palatino Linotype" w:eastAsia="Palatino Linotype" w:hAnsi="Palatino Linotype" w:cs="Palatino Linotype"/>
                <w:color w:val="000000"/>
              </w:rPr>
              <w:t>, entre ellos, que la autoridad que va a emitir el acto de autoridad sea la legalmente facultada para ello.</w:t>
            </w:r>
          </w:p>
          <w:p w:rsidR="007A5603" w:rsidRPr="000407C5" w:rsidRDefault="000655B2">
            <w:pPr>
              <w:jc w:val="both"/>
              <w:rPr>
                <w:rFonts w:ascii="Palatino Linotype" w:eastAsia="Palatino Linotype" w:hAnsi="Palatino Linotype" w:cs="Palatino Linotype"/>
              </w:rPr>
            </w:pPr>
            <w:r w:rsidRPr="000407C5">
              <w:rPr>
                <w:rFonts w:ascii="Palatino Linotype" w:eastAsia="Palatino Linotype" w:hAnsi="Palatino Linotype" w:cs="Palatino Linotype"/>
                <w:color w:val="000000"/>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7A5603" w:rsidRPr="000407C5" w:rsidTr="000407C5">
        <w:tc>
          <w:tcPr>
            <w:tcW w:w="2547" w:type="dxa"/>
          </w:tcPr>
          <w:p w:rsidR="007A5603" w:rsidRPr="000407C5" w:rsidRDefault="007A5603">
            <w:pPr>
              <w:rPr>
                <w:rFonts w:ascii="Palatino Linotype" w:eastAsia="Palatino Linotype" w:hAnsi="Palatino Linotype" w:cs="Palatino Linotype"/>
              </w:rPr>
            </w:pPr>
          </w:p>
          <w:p w:rsidR="007A5603" w:rsidRPr="000407C5" w:rsidRDefault="000655B2">
            <w:pPr>
              <w:jc w:val="both"/>
              <w:rPr>
                <w:rFonts w:ascii="Palatino Linotype" w:eastAsia="Palatino Linotype" w:hAnsi="Palatino Linotype" w:cs="Palatino Linotype"/>
              </w:rPr>
            </w:pPr>
            <w:r w:rsidRPr="000407C5">
              <w:rPr>
                <w:rFonts w:ascii="Palatino Linotype" w:eastAsia="Palatino Linotype" w:hAnsi="Palatino Linotype" w:cs="Palatino Linotype"/>
                <w:color w:val="000000"/>
              </w:rPr>
              <w:t xml:space="preserve">d) Requisitos de fondo del acuerdo de clasificación. </w:t>
            </w:r>
          </w:p>
        </w:tc>
        <w:tc>
          <w:tcPr>
            <w:tcW w:w="7513" w:type="dxa"/>
          </w:tcPr>
          <w:p w:rsidR="007A5603" w:rsidRPr="000407C5" w:rsidRDefault="000655B2">
            <w:pPr>
              <w:ind w:right="49"/>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0407C5">
              <w:rPr>
                <w:rFonts w:ascii="Palatino Linotype" w:eastAsia="Palatino Linotype" w:hAnsi="Palatino Linotype" w:cs="Palatino Linotype"/>
                <w:b/>
                <w:bCs/>
                <w:color w:val="000000"/>
              </w:rPr>
              <w:t>Sujetos Obligados</w:t>
            </w:r>
            <w:r w:rsidRPr="000407C5">
              <w:rPr>
                <w:rFonts w:ascii="Palatino Linotype" w:eastAsia="Palatino Linotype" w:hAnsi="Palatino Linotype" w:cs="Palatino Linotype"/>
                <w:color w:val="000000"/>
              </w:rPr>
              <w:t xml:space="preserve">, por lo que deberán fundar y motivar debidamente la clasificación. </w:t>
            </w:r>
          </w:p>
          <w:p w:rsidR="007A5603" w:rsidRPr="000407C5" w:rsidRDefault="000655B2">
            <w:pPr>
              <w:ind w:right="49"/>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De lo anterior, se desprende que para una correcta </w:t>
            </w:r>
            <w:r w:rsidRPr="000407C5">
              <w:rPr>
                <w:rFonts w:ascii="Palatino Linotype" w:eastAsia="Palatino Linotype" w:hAnsi="Palatino Linotype" w:cs="Palatino Linotype"/>
                <w:b/>
                <w:bCs/>
                <w:color w:val="000000"/>
              </w:rPr>
              <w:t>clasificación total o parcial</w:t>
            </w:r>
            <w:r w:rsidRPr="000407C5">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7A5603" w:rsidRPr="000407C5" w:rsidRDefault="000655B2">
            <w:pPr>
              <w:ind w:right="49"/>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Así, en un acto de autoridad se cumple con la debida fundamentación cuando se cita el precepto legal aplicable al caso concreto y la debida motivación cuando se expresan las razones, motivos o circunstancias que tomó en cuenta la autoridad para </w:t>
            </w:r>
            <w:r w:rsidRPr="000407C5">
              <w:rPr>
                <w:rFonts w:ascii="Palatino Linotype" w:eastAsia="Palatino Linotype" w:hAnsi="Palatino Linotype" w:cs="Palatino Linotype"/>
                <w:color w:val="000000"/>
              </w:rPr>
              <w:lastRenderedPageBreak/>
              <w:t>adecuar el hecho a los fundamentos de derecho. De este modo, la persona que se sienta afectada pueda impugnar la decisión, permitiéndole una real y auténtica defensa.</w:t>
            </w:r>
          </w:p>
          <w:p w:rsidR="007A5603" w:rsidRPr="000407C5" w:rsidRDefault="000655B2">
            <w:pPr>
              <w:ind w:right="49"/>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7A5603" w:rsidRPr="000407C5" w:rsidRDefault="000655B2">
            <w:pPr>
              <w:ind w:right="49"/>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Ahora bien, </w:t>
            </w:r>
            <w:r w:rsidRPr="000407C5">
              <w:rPr>
                <w:rFonts w:ascii="Palatino Linotype" w:eastAsia="Palatino Linotype" w:hAnsi="Palatino Linotype" w:cs="Palatino Linotype"/>
                <w:b/>
                <w:bCs/>
                <w:color w:val="000000"/>
                <w:u w:val="single"/>
              </w:rPr>
              <w:t>para cada caso además de fundar y motivar</w:t>
            </w:r>
            <w:r w:rsidRPr="000407C5">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7A5603" w:rsidRPr="000407C5" w:rsidTr="000407C5">
        <w:tc>
          <w:tcPr>
            <w:tcW w:w="2547" w:type="dxa"/>
          </w:tcPr>
          <w:p w:rsidR="007A5603" w:rsidRPr="000407C5" w:rsidRDefault="000655B2">
            <w:pPr>
              <w:ind w:right="49"/>
              <w:jc w:val="both"/>
              <w:rPr>
                <w:rFonts w:ascii="Palatino Linotype" w:eastAsia="Palatino Linotype" w:hAnsi="Palatino Linotype" w:cs="Palatino Linotype"/>
              </w:rPr>
            </w:pPr>
            <w:r w:rsidRPr="000407C5">
              <w:rPr>
                <w:rFonts w:ascii="Palatino Linotype" w:eastAsia="Palatino Linotype" w:hAnsi="Palatino Linotype" w:cs="Palatino Linotype"/>
              </w:rPr>
              <w:lastRenderedPageBreak/>
              <w:t xml:space="preserve">e) Condiciones especiales de la clasificación de la información como confidencial. </w:t>
            </w:r>
          </w:p>
        </w:tc>
        <w:tc>
          <w:tcPr>
            <w:tcW w:w="7513" w:type="dxa"/>
          </w:tcPr>
          <w:p w:rsidR="007A5603" w:rsidRPr="000407C5" w:rsidRDefault="000655B2">
            <w:pPr>
              <w:ind w:right="49"/>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7A5603" w:rsidRPr="000407C5" w:rsidRDefault="000655B2">
            <w:pPr>
              <w:ind w:right="49"/>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7A5603" w:rsidRPr="000407C5" w:rsidRDefault="000655B2">
            <w:pPr>
              <w:rPr>
                <w:rFonts w:ascii="Palatino Linotype" w:eastAsia="Palatino Linotype" w:hAnsi="Palatino Linotype" w:cs="Palatino Linotype"/>
              </w:rPr>
            </w:pPr>
            <w:r w:rsidRPr="000407C5">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7A5603" w:rsidRPr="000407C5" w:rsidRDefault="007A5603">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rsidR="007A5603" w:rsidRPr="000407C5" w:rsidRDefault="000655B2">
      <w:pPr>
        <w:numPr>
          <w:ilvl w:val="0"/>
          <w:numId w:val="5"/>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7A5603" w:rsidRPr="000407C5" w:rsidRDefault="007A5603">
      <w:pPr>
        <w:pBdr>
          <w:top w:val="nil"/>
          <w:left w:val="nil"/>
          <w:bottom w:val="nil"/>
          <w:right w:val="nil"/>
          <w:between w:val="nil"/>
        </w:pBdr>
        <w:spacing w:before="120" w:line="360" w:lineRule="auto"/>
        <w:jc w:val="both"/>
        <w:rPr>
          <w:rFonts w:ascii="Palatino Linotype" w:eastAsia="Palatino Linotype" w:hAnsi="Palatino Linotype" w:cs="Palatino Linotype"/>
          <w:color w:val="000000"/>
        </w:rPr>
      </w:pPr>
    </w:p>
    <w:p w:rsidR="007A5603" w:rsidRPr="000407C5" w:rsidRDefault="000655B2">
      <w:pPr>
        <w:numPr>
          <w:ilvl w:val="0"/>
          <w:numId w:val="5"/>
        </w:numPr>
        <w:pBdr>
          <w:top w:val="nil"/>
          <w:left w:val="nil"/>
          <w:bottom w:val="nil"/>
          <w:right w:val="nil"/>
          <w:between w:val="nil"/>
        </w:pBdr>
        <w:spacing w:before="120" w:line="360" w:lineRule="auto"/>
        <w:ind w:left="0"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222222"/>
        </w:rPr>
        <w:lastRenderedPageBreak/>
        <w:t xml:space="preserve">Por lo anteriormente expuesto y fundado, este </w:t>
      </w:r>
      <w:r w:rsidRPr="000407C5">
        <w:rPr>
          <w:rFonts w:ascii="Palatino Linotype" w:eastAsia="Palatino Linotype" w:hAnsi="Palatino Linotype" w:cs="Palatino Linotype"/>
          <w:b/>
          <w:bCs/>
          <w:color w:val="222222"/>
        </w:rPr>
        <w:t>ÓRGANO GARANTE</w:t>
      </w:r>
      <w:r w:rsidRPr="000407C5">
        <w:rPr>
          <w:rFonts w:ascii="Palatino Linotype" w:eastAsia="Palatino Linotype" w:hAnsi="Palatino Linotype" w:cs="Palatino Linotype"/>
          <w:color w:val="222222"/>
        </w:rPr>
        <w:t xml:space="preserve"> emite los siguientes:</w:t>
      </w:r>
    </w:p>
    <w:p w:rsidR="007A5603" w:rsidRPr="000407C5" w:rsidRDefault="000655B2">
      <w:pPr>
        <w:keepNext/>
        <w:keepLines/>
        <w:spacing w:line="360" w:lineRule="auto"/>
        <w:ind w:right="-592"/>
        <w:jc w:val="center"/>
        <w:rPr>
          <w:rFonts w:ascii="Palatino Linotype" w:eastAsia="Palatino Linotype" w:hAnsi="Palatino Linotype" w:cs="Palatino Linotype"/>
          <w:b/>
          <w:bCs/>
          <w:color w:val="000000"/>
        </w:rPr>
      </w:pPr>
      <w:bookmarkStart w:id="7" w:name="_heading=h.8tgq9am2xy6v" w:colFirst="0" w:colLast="0"/>
      <w:bookmarkEnd w:id="7"/>
      <w:r w:rsidRPr="000407C5">
        <w:rPr>
          <w:rFonts w:ascii="Palatino Linotype" w:eastAsia="Palatino Linotype" w:hAnsi="Palatino Linotype" w:cs="Palatino Linotype"/>
          <w:b/>
          <w:bCs/>
          <w:color w:val="000000"/>
        </w:rPr>
        <w:t>R E S O L U T I V O S</w:t>
      </w:r>
    </w:p>
    <w:p w:rsidR="007A5603" w:rsidRPr="000407C5" w:rsidRDefault="007A5603">
      <w:pPr>
        <w:keepNext/>
        <w:keepLines/>
        <w:spacing w:line="360" w:lineRule="auto"/>
        <w:ind w:right="-592"/>
        <w:jc w:val="center"/>
        <w:rPr>
          <w:rFonts w:ascii="Palatino Linotype" w:eastAsia="Palatino Linotype" w:hAnsi="Palatino Linotype" w:cs="Palatino Linotype"/>
          <w:b/>
          <w:bCs/>
          <w:color w:val="000000"/>
        </w:rPr>
      </w:pPr>
    </w:p>
    <w:p w:rsidR="007A5603" w:rsidRPr="000407C5" w:rsidRDefault="000655B2">
      <w:pPr>
        <w:spacing w:line="360" w:lineRule="auto"/>
        <w:jc w:val="both"/>
        <w:rPr>
          <w:rFonts w:ascii="Palatino Linotype" w:eastAsia="Palatino Linotype" w:hAnsi="Palatino Linotype" w:cs="Palatino Linotype"/>
        </w:rPr>
      </w:pPr>
      <w:r w:rsidRPr="000407C5">
        <w:rPr>
          <w:rFonts w:ascii="Palatino Linotype" w:eastAsia="Palatino Linotype" w:hAnsi="Palatino Linotype" w:cs="Palatino Linotype"/>
          <w:b/>
          <w:bCs/>
        </w:rPr>
        <w:t>PRIMERO</w:t>
      </w:r>
      <w:r w:rsidRPr="000407C5">
        <w:rPr>
          <w:rFonts w:ascii="Palatino Linotype" w:eastAsia="Palatino Linotype" w:hAnsi="Palatino Linotype" w:cs="Palatino Linotype"/>
        </w:rPr>
        <w:t xml:space="preserve">. Resultan fundadas las razones o motivos de inconformidad hechos valer en el Recursos de Revisión </w:t>
      </w:r>
      <w:r w:rsidRPr="000407C5">
        <w:rPr>
          <w:rFonts w:ascii="Palatino Linotype" w:eastAsia="Palatino Linotype" w:hAnsi="Palatino Linotype" w:cs="Palatino Linotype"/>
          <w:b/>
          <w:bCs/>
        </w:rPr>
        <w:t xml:space="preserve">06788/INFOEM/IP/RR/2025 </w:t>
      </w:r>
      <w:r w:rsidRPr="000407C5">
        <w:rPr>
          <w:rFonts w:ascii="Palatino Linotype" w:eastAsia="Palatino Linotype" w:hAnsi="Palatino Linotype" w:cs="Palatino Linotype"/>
        </w:rPr>
        <w:t xml:space="preserve">en términos del </w:t>
      </w:r>
      <w:r w:rsidRPr="000407C5">
        <w:rPr>
          <w:rFonts w:ascii="Palatino Linotype" w:eastAsia="Palatino Linotype" w:hAnsi="Palatino Linotype" w:cs="Palatino Linotype"/>
          <w:b/>
          <w:bCs/>
        </w:rPr>
        <w:t xml:space="preserve">Considerando CUARTO </w:t>
      </w:r>
      <w:r w:rsidRPr="000407C5">
        <w:rPr>
          <w:rFonts w:ascii="Palatino Linotype" w:eastAsia="Palatino Linotype" w:hAnsi="Palatino Linotype" w:cs="Palatino Linotype"/>
        </w:rPr>
        <w:t>de la presente resolución.</w:t>
      </w:r>
    </w:p>
    <w:p w:rsidR="007A5603" w:rsidRPr="000407C5" w:rsidRDefault="007A5603">
      <w:pPr>
        <w:jc w:val="both"/>
        <w:rPr>
          <w:rFonts w:ascii="Palatino Linotype" w:eastAsia="Palatino Linotype" w:hAnsi="Palatino Linotype" w:cs="Palatino Linotype"/>
        </w:rPr>
      </w:pPr>
    </w:p>
    <w:p w:rsidR="007A5603" w:rsidRPr="000407C5" w:rsidRDefault="000655B2">
      <w:pPr>
        <w:pBdr>
          <w:top w:val="nil"/>
          <w:left w:val="nil"/>
          <w:bottom w:val="nil"/>
          <w:right w:val="nil"/>
          <w:between w:val="nil"/>
        </w:pBdr>
        <w:spacing w:line="360" w:lineRule="auto"/>
        <w:ind w:right="1"/>
        <w:jc w:val="both"/>
        <w:rPr>
          <w:rFonts w:ascii="Palatino Linotype" w:eastAsia="Palatino Linotype" w:hAnsi="Palatino Linotype" w:cs="Palatino Linotype"/>
        </w:rPr>
      </w:pPr>
      <w:bookmarkStart w:id="8" w:name="_heading=h.26in1rg" w:colFirst="0" w:colLast="0"/>
      <w:bookmarkEnd w:id="8"/>
      <w:r w:rsidRPr="000407C5">
        <w:rPr>
          <w:rFonts w:ascii="Palatino Linotype" w:eastAsia="Palatino Linotype" w:hAnsi="Palatino Linotype" w:cs="Palatino Linotype"/>
          <w:b/>
          <w:bCs/>
        </w:rPr>
        <w:t xml:space="preserve">SEGUNDO. </w:t>
      </w:r>
      <w:r w:rsidRPr="000407C5">
        <w:rPr>
          <w:rFonts w:ascii="Palatino Linotype" w:eastAsia="Palatino Linotype" w:hAnsi="Palatino Linotype" w:cs="Palatino Linotype"/>
          <w:color w:val="000000"/>
        </w:rPr>
        <w:t>Se</w:t>
      </w:r>
      <w:r w:rsidRPr="000407C5">
        <w:rPr>
          <w:rFonts w:ascii="Palatino Linotype" w:eastAsia="Palatino Linotype" w:hAnsi="Palatino Linotype" w:cs="Palatino Linotype"/>
          <w:b/>
          <w:bCs/>
          <w:color w:val="000000"/>
        </w:rPr>
        <w:t xml:space="preserve"> MODIFICA </w:t>
      </w:r>
      <w:r w:rsidRPr="000407C5">
        <w:rPr>
          <w:rFonts w:ascii="Palatino Linotype" w:eastAsia="Palatino Linotype" w:hAnsi="Palatino Linotype" w:cs="Palatino Linotype"/>
          <w:color w:val="000000"/>
        </w:rPr>
        <w:t xml:space="preserve">la respuesta emitida por </w:t>
      </w:r>
      <w:r w:rsidR="00C13961" w:rsidRPr="000407C5">
        <w:rPr>
          <w:rFonts w:ascii="Palatino Linotype" w:eastAsia="Palatino Linotype" w:hAnsi="Palatino Linotype" w:cs="Palatino Linotype"/>
          <w:b/>
          <w:bCs/>
          <w:color w:val="000000"/>
        </w:rPr>
        <w:t>el</w:t>
      </w:r>
      <w:r w:rsidRPr="000407C5">
        <w:rPr>
          <w:rFonts w:ascii="Palatino Linotype" w:eastAsia="Palatino Linotype" w:hAnsi="Palatino Linotype" w:cs="Palatino Linotype"/>
          <w:b/>
          <w:bCs/>
          <w:color w:val="000000"/>
        </w:rPr>
        <w:t xml:space="preserve"> Ayuntamiento de Toluca, </w:t>
      </w:r>
      <w:r w:rsidRPr="000407C5">
        <w:rPr>
          <w:rFonts w:ascii="Palatino Linotype" w:eastAsia="Palatino Linotype" w:hAnsi="Palatino Linotype" w:cs="Palatino Linotype"/>
          <w:color w:val="000000"/>
        </w:rPr>
        <w:t xml:space="preserve">a la </w:t>
      </w:r>
      <w:r w:rsidRPr="000407C5">
        <w:rPr>
          <w:rFonts w:ascii="Palatino Linotype" w:eastAsia="Palatino Linotype" w:hAnsi="Palatino Linotype" w:cs="Palatino Linotype"/>
        </w:rPr>
        <w:t>solicitud de información pública registrada con el número</w:t>
      </w:r>
      <w:r w:rsidRPr="000407C5">
        <w:rPr>
          <w:rFonts w:ascii="Palatino Linotype" w:eastAsia="Palatino Linotype" w:hAnsi="Palatino Linotype" w:cs="Palatino Linotype"/>
          <w:b/>
          <w:bCs/>
        </w:rPr>
        <w:t xml:space="preserve"> 02489/TOLUCA/IP/2025 </w:t>
      </w:r>
      <w:r w:rsidRPr="000407C5">
        <w:rPr>
          <w:rFonts w:ascii="Palatino Linotype" w:eastAsia="Palatino Linotype" w:hAnsi="Palatino Linotype" w:cs="Palatino Linotype"/>
          <w:color w:val="000000"/>
        </w:rPr>
        <w:t xml:space="preserve">y se </w:t>
      </w:r>
      <w:r w:rsidRPr="000407C5">
        <w:rPr>
          <w:rFonts w:ascii="Palatino Linotype" w:eastAsia="Palatino Linotype" w:hAnsi="Palatino Linotype" w:cs="Palatino Linotype"/>
          <w:b/>
          <w:bCs/>
          <w:color w:val="000000"/>
        </w:rPr>
        <w:t>ORDENA</w:t>
      </w:r>
      <w:r w:rsidRPr="000407C5">
        <w:rPr>
          <w:rFonts w:ascii="Palatino Linotype" w:eastAsia="Palatino Linotype" w:hAnsi="Palatino Linotype" w:cs="Palatino Linotype"/>
          <w:color w:val="000000"/>
        </w:rPr>
        <w:t xml:space="preserve"> entregar vía Sistema de Acceso a la Información Mexiquense </w:t>
      </w:r>
      <w:r w:rsidRPr="000407C5">
        <w:rPr>
          <w:rFonts w:ascii="Palatino Linotype" w:eastAsia="Palatino Linotype" w:hAnsi="Palatino Linotype" w:cs="Palatino Linotype"/>
          <w:b/>
          <w:bCs/>
          <w:color w:val="000000"/>
        </w:rPr>
        <w:t xml:space="preserve">(SAIMEX), </w:t>
      </w:r>
      <w:r w:rsidRPr="000407C5">
        <w:rPr>
          <w:rFonts w:ascii="Palatino Linotype" w:eastAsia="Palatino Linotype" w:hAnsi="Palatino Linotype" w:cs="Palatino Linotype"/>
        </w:rPr>
        <w:t>de ser procedente en versión pública:</w:t>
      </w:r>
    </w:p>
    <w:p w:rsidR="007A5603" w:rsidRPr="000407C5" w:rsidRDefault="007A5603">
      <w:pPr>
        <w:pBdr>
          <w:top w:val="nil"/>
          <w:left w:val="nil"/>
          <w:bottom w:val="nil"/>
          <w:right w:val="nil"/>
          <w:between w:val="nil"/>
        </w:pBdr>
        <w:spacing w:line="360" w:lineRule="auto"/>
        <w:ind w:right="1"/>
        <w:jc w:val="both"/>
        <w:rPr>
          <w:rFonts w:ascii="Palatino Linotype" w:eastAsia="Palatino Linotype" w:hAnsi="Palatino Linotype" w:cs="Palatino Linotype"/>
        </w:rPr>
      </w:pPr>
    </w:p>
    <w:p w:rsidR="007A5603" w:rsidRPr="000407C5" w:rsidRDefault="000655B2">
      <w:pPr>
        <w:numPr>
          <w:ilvl w:val="3"/>
          <w:numId w:val="7"/>
        </w:numPr>
        <w:pBdr>
          <w:top w:val="nil"/>
          <w:left w:val="nil"/>
          <w:bottom w:val="nil"/>
          <w:right w:val="nil"/>
          <w:between w:val="nil"/>
        </w:pBdr>
        <w:spacing w:line="360" w:lineRule="auto"/>
        <w:ind w:left="1134" w:right="1" w:firstLine="0"/>
        <w:jc w:val="both"/>
        <w:rPr>
          <w:rFonts w:ascii="Palatino Linotype" w:eastAsia="Palatino Linotype" w:hAnsi="Palatino Linotype" w:cs="Palatino Linotype"/>
          <w:color w:val="000000"/>
        </w:rPr>
      </w:pPr>
      <w:r w:rsidRPr="000407C5">
        <w:rPr>
          <w:rFonts w:ascii="Palatino Linotype" w:eastAsia="Palatino Linotype" w:hAnsi="Palatino Linotype" w:cs="Palatino Linotype"/>
          <w:color w:val="000000"/>
        </w:rPr>
        <w:t>Las bitácoras de combustible y</w:t>
      </w:r>
      <w:r w:rsidRPr="000407C5">
        <w:rPr>
          <w:rFonts w:ascii="Palatino Linotype" w:eastAsia="Palatino Linotype" w:hAnsi="Palatino Linotype" w:cs="Palatino Linotype"/>
          <w:color w:val="222222"/>
        </w:rPr>
        <w:t xml:space="preserve"> las facturas correspondientes a la adquisición de los vehículos asignados a todos los servidores públicos que integran la Presidencia Municipal, </w:t>
      </w:r>
      <w:r w:rsidR="00C13961" w:rsidRPr="000407C5">
        <w:rPr>
          <w:rFonts w:ascii="Palatino Linotype" w:eastAsia="Palatino Linotype" w:hAnsi="Palatino Linotype" w:cs="Palatino Linotype"/>
          <w:color w:val="222222"/>
        </w:rPr>
        <w:t xml:space="preserve">del 25 de abril de 2024 </w:t>
      </w:r>
      <w:r w:rsidRPr="000407C5">
        <w:rPr>
          <w:rFonts w:ascii="Palatino Linotype" w:eastAsia="Palatino Linotype" w:hAnsi="Palatino Linotype" w:cs="Palatino Linotype"/>
          <w:color w:val="222222"/>
        </w:rPr>
        <w:t>al 25 de abril de 20</w:t>
      </w:r>
      <w:r w:rsidR="00C13961" w:rsidRPr="000407C5">
        <w:rPr>
          <w:rFonts w:ascii="Palatino Linotype" w:eastAsia="Palatino Linotype" w:hAnsi="Palatino Linotype" w:cs="Palatino Linotype"/>
          <w:color w:val="222222"/>
        </w:rPr>
        <w:t>2</w:t>
      </w:r>
      <w:r w:rsidRPr="000407C5">
        <w:rPr>
          <w:rFonts w:ascii="Palatino Linotype" w:eastAsia="Palatino Linotype" w:hAnsi="Palatino Linotype" w:cs="Palatino Linotype"/>
          <w:color w:val="222222"/>
        </w:rPr>
        <w:t>5.</w:t>
      </w:r>
    </w:p>
    <w:p w:rsidR="007A5603" w:rsidRPr="000407C5" w:rsidRDefault="007A5603">
      <w:pPr>
        <w:pBdr>
          <w:top w:val="nil"/>
          <w:left w:val="nil"/>
          <w:bottom w:val="nil"/>
          <w:right w:val="nil"/>
          <w:between w:val="nil"/>
        </w:pBdr>
        <w:ind w:right="1"/>
        <w:jc w:val="both"/>
        <w:rPr>
          <w:rFonts w:ascii="Palatino Linotype" w:eastAsia="Palatino Linotype" w:hAnsi="Palatino Linotype" w:cs="Palatino Linotype"/>
          <w:b/>
          <w:bCs/>
        </w:rPr>
      </w:pPr>
    </w:p>
    <w:p w:rsidR="007A5603" w:rsidRPr="000407C5" w:rsidRDefault="000655B2">
      <w:pPr>
        <w:spacing w:before="240" w:after="240" w:line="360" w:lineRule="auto"/>
        <w:ind w:right="1"/>
        <w:jc w:val="both"/>
        <w:rPr>
          <w:rFonts w:ascii="Palatino Linotype" w:eastAsia="Palatino Linotype" w:hAnsi="Palatino Linotype" w:cs="Palatino Linotype"/>
          <w:b/>
          <w:bCs/>
        </w:rPr>
      </w:pPr>
      <w:r w:rsidRPr="000407C5">
        <w:rPr>
          <w:rFonts w:ascii="Palatino Linotype" w:eastAsia="Palatino Linotype" w:hAnsi="Palatino Linotype" w:cs="Palatino Linotype"/>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w:t>
      </w:r>
      <w:r w:rsidRPr="000407C5">
        <w:rPr>
          <w:rFonts w:ascii="Palatino Linotype" w:eastAsia="Palatino Linotype" w:hAnsi="Palatino Linotype" w:cs="Palatino Linotype"/>
          <w:b/>
          <w:bCs/>
        </w:rPr>
        <w:t xml:space="preserve"> RECURRENTE.</w:t>
      </w:r>
    </w:p>
    <w:p w:rsidR="007A5603" w:rsidRPr="000407C5" w:rsidRDefault="000655B2">
      <w:pPr>
        <w:spacing w:after="160" w:line="360" w:lineRule="auto"/>
        <w:ind w:left="1276" w:right="278"/>
        <w:jc w:val="both"/>
        <w:rPr>
          <w:rFonts w:ascii="Palatino Linotype" w:eastAsia="Palatino Linotype" w:hAnsi="Palatino Linotype" w:cs="Palatino Linotype"/>
        </w:rPr>
      </w:pPr>
      <w:r w:rsidRPr="000407C5">
        <w:rPr>
          <w:rFonts w:ascii="Palatino Linotype" w:eastAsia="Palatino Linotype" w:hAnsi="Palatino Linotype" w:cs="Palatino Linotype"/>
        </w:rPr>
        <w:t xml:space="preserve">b) El Acuerdo del Comité de Transparencia en el que de manera fundada y motivada se clasifique como reservada la información relativa a la cantidad de </w:t>
      </w:r>
      <w:r w:rsidRPr="000407C5">
        <w:rPr>
          <w:rFonts w:ascii="Palatino Linotype" w:eastAsia="Palatino Linotype" w:hAnsi="Palatino Linotype" w:cs="Palatino Linotype"/>
        </w:rPr>
        <w:lastRenderedPageBreak/>
        <w:t xml:space="preserve">personal encargado de la custodia del Presidente Municipal de Toluca, al veinticinco de abril de dos mil veinticinco; </w:t>
      </w:r>
    </w:p>
    <w:p w:rsidR="007A5603" w:rsidRPr="000407C5" w:rsidRDefault="000655B2">
      <w:pPr>
        <w:tabs>
          <w:tab w:val="left" w:pos="8080"/>
        </w:tabs>
        <w:spacing w:line="360" w:lineRule="auto"/>
        <w:ind w:right="49"/>
        <w:jc w:val="both"/>
        <w:rPr>
          <w:rFonts w:ascii="Palatino Linotype" w:eastAsia="Palatino Linotype" w:hAnsi="Palatino Linotype" w:cs="Palatino Linotype"/>
          <w:b/>
          <w:bCs/>
        </w:rPr>
      </w:pPr>
      <w:r w:rsidRPr="000407C5">
        <w:rPr>
          <w:rFonts w:ascii="Palatino Linotype" w:eastAsia="Palatino Linotype" w:hAnsi="Palatino Linotype" w:cs="Palatino Linotype"/>
          <w:b/>
          <w:bCs/>
        </w:rPr>
        <w:t xml:space="preserve">TERCERO. NOTIFÍQUESE </w:t>
      </w:r>
      <w:r w:rsidRPr="000407C5">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0407C5">
        <w:rPr>
          <w:rFonts w:ascii="Palatino Linotype" w:eastAsia="Palatino Linotype" w:hAnsi="Palatino Linotype" w:cs="Palatino Linotype"/>
          <w:b/>
          <w:bCs/>
        </w:rPr>
        <w:t>dé cumplimiento a lo ordenado dentro del plazo de diez días hábiles,</w:t>
      </w:r>
      <w:r w:rsidRPr="000407C5">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7A5603" w:rsidRPr="000407C5" w:rsidRDefault="007A5603">
      <w:pPr>
        <w:tabs>
          <w:tab w:val="left" w:pos="8080"/>
        </w:tabs>
        <w:spacing w:line="360" w:lineRule="auto"/>
        <w:ind w:right="49"/>
        <w:jc w:val="both"/>
        <w:rPr>
          <w:rFonts w:ascii="Palatino Linotype" w:eastAsia="Palatino Linotype" w:hAnsi="Palatino Linotype" w:cs="Palatino Linotype"/>
        </w:rPr>
      </w:pPr>
    </w:p>
    <w:p w:rsidR="007A5603" w:rsidRPr="000407C5" w:rsidRDefault="000655B2">
      <w:pPr>
        <w:spacing w:line="360" w:lineRule="auto"/>
        <w:jc w:val="both"/>
        <w:rPr>
          <w:rFonts w:ascii="Palatino Linotype" w:eastAsia="Palatino Linotype" w:hAnsi="Palatino Linotype" w:cs="Palatino Linotype"/>
        </w:rPr>
      </w:pPr>
      <w:r w:rsidRPr="000407C5">
        <w:rPr>
          <w:rFonts w:ascii="Palatino Linotype" w:eastAsia="Palatino Linotype" w:hAnsi="Palatino Linotype" w:cs="Palatino Linotype"/>
          <w:b/>
          <w:bCs/>
        </w:rPr>
        <w:t xml:space="preserve">CUARTO. </w:t>
      </w:r>
      <w:r w:rsidRPr="000407C5">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0407C5">
        <w:rPr>
          <w:rFonts w:ascii="Palatino Linotype" w:eastAsia="Palatino Linotype" w:hAnsi="Palatino Linotype" w:cs="Palatino Linotype"/>
          <w:b/>
          <w:bCs/>
        </w:rPr>
        <w:t>SUJETO OBLIGADO</w:t>
      </w:r>
      <w:r w:rsidRPr="000407C5">
        <w:rPr>
          <w:rFonts w:ascii="Palatino Linotype" w:eastAsia="Palatino Linotype" w:hAnsi="Palatino Linotype" w:cs="Palatino Linotype"/>
        </w:rPr>
        <w:t xml:space="preserve"> de manera fundada y motivada, podrá solicitar una ampliación de plazo para el cumplimiento de la presente resolución.</w:t>
      </w:r>
    </w:p>
    <w:p w:rsidR="007A5603" w:rsidRPr="000407C5" w:rsidRDefault="007A5603">
      <w:pPr>
        <w:spacing w:line="360" w:lineRule="auto"/>
        <w:jc w:val="both"/>
        <w:rPr>
          <w:rFonts w:ascii="Palatino Linotype" w:eastAsia="Palatino Linotype" w:hAnsi="Palatino Linotype" w:cs="Palatino Linotype"/>
        </w:rPr>
      </w:pPr>
    </w:p>
    <w:p w:rsidR="007A5603" w:rsidRPr="000407C5" w:rsidRDefault="000655B2">
      <w:pPr>
        <w:tabs>
          <w:tab w:val="left" w:pos="8080"/>
        </w:tabs>
        <w:spacing w:line="360" w:lineRule="auto"/>
        <w:ind w:right="49"/>
        <w:jc w:val="both"/>
        <w:rPr>
          <w:rFonts w:ascii="Palatino Linotype" w:eastAsia="Palatino Linotype" w:hAnsi="Palatino Linotype" w:cs="Palatino Linotype"/>
        </w:rPr>
      </w:pPr>
      <w:bookmarkStart w:id="9" w:name="_heading=h.35nkun2" w:colFirst="0" w:colLast="0"/>
      <w:bookmarkEnd w:id="9"/>
      <w:r w:rsidRPr="000407C5">
        <w:rPr>
          <w:rFonts w:ascii="Palatino Linotype" w:eastAsia="Palatino Linotype" w:hAnsi="Palatino Linotype" w:cs="Palatino Linotype"/>
          <w:b/>
          <w:bCs/>
        </w:rPr>
        <w:t xml:space="preserve">QUINTO. </w:t>
      </w:r>
      <w:r w:rsidRPr="000407C5">
        <w:rPr>
          <w:rFonts w:ascii="Palatino Linotype" w:eastAsia="Palatino Linotype" w:hAnsi="Palatino Linotype" w:cs="Palatino Linotype"/>
        </w:rPr>
        <w:t>Notifíquese a la parte</w:t>
      </w:r>
      <w:r w:rsidRPr="000407C5">
        <w:rPr>
          <w:rFonts w:ascii="Palatino Linotype" w:eastAsia="Palatino Linotype" w:hAnsi="Palatino Linotype" w:cs="Palatino Linotype"/>
          <w:b/>
          <w:bCs/>
        </w:rPr>
        <w:t xml:space="preserve"> RECURRENTE</w:t>
      </w:r>
      <w:r w:rsidRPr="000407C5">
        <w:rPr>
          <w:rFonts w:ascii="Palatino Linotype" w:eastAsia="Palatino Linotype" w:hAnsi="Palatino Linotype" w:cs="Palatino Linotype"/>
        </w:rPr>
        <w:t xml:space="preserve"> la presente resolución, vía </w:t>
      </w:r>
      <w:r w:rsidRPr="000407C5">
        <w:rPr>
          <w:rFonts w:ascii="Palatino Linotype" w:eastAsia="Palatino Linotype" w:hAnsi="Palatino Linotype" w:cs="Palatino Linotype"/>
          <w:b/>
          <w:bCs/>
        </w:rPr>
        <w:t>SAIMEX.</w:t>
      </w:r>
    </w:p>
    <w:p w:rsidR="007A5603" w:rsidRPr="000407C5" w:rsidRDefault="000655B2">
      <w:pPr>
        <w:spacing w:before="240" w:after="240" w:line="360" w:lineRule="auto"/>
        <w:ind w:right="1"/>
        <w:jc w:val="both"/>
        <w:rPr>
          <w:rFonts w:ascii="Palatino Linotype" w:eastAsia="Palatino Linotype" w:hAnsi="Palatino Linotype" w:cs="Palatino Linotype"/>
        </w:rPr>
      </w:pPr>
      <w:r w:rsidRPr="000407C5">
        <w:rPr>
          <w:rFonts w:ascii="Palatino Linotype" w:eastAsia="Palatino Linotype" w:hAnsi="Palatino Linotype" w:cs="Palatino Linotype"/>
          <w:b/>
          <w:bCs/>
        </w:rPr>
        <w:t>SEXTO.</w:t>
      </w:r>
      <w:r w:rsidRPr="000407C5">
        <w:rPr>
          <w:rFonts w:ascii="Palatino Linotype" w:eastAsia="Palatino Linotype" w:hAnsi="Palatino Linotype" w:cs="Palatino Linotype"/>
        </w:rPr>
        <w:t xml:space="preserve"> Se hace del conocimiento de la parte</w:t>
      </w:r>
      <w:r w:rsidRPr="000407C5">
        <w:rPr>
          <w:rFonts w:ascii="Palatino Linotype" w:eastAsia="Palatino Linotype" w:hAnsi="Palatino Linotype" w:cs="Palatino Linotype"/>
          <w:b/>
          <w:bCs/>
        </w:rPr>
        <w:t xml:space="preserve"> RECURRENTE</w:t>
      </w:r>
      <w:r w:rsidRPr="000407C5">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6D3ABD" w:rsidRPr="000407C5" w:rsidRDefault="006D3ABD">
      <w:pPr>
        <w:spacing w:before="240" w:after="240" w:line="360" w:lineRule="auto"/>
        <w:ind w:right="1"/>
        <w:jc w:val="both"/>
        <w:rPr>
          <w:rFonts w:ascii="Palatino Linotype" w:eastAsia="Palatino Linotype" w:hAnsi="Palatino Linotype" w:cs="Palatino Linotype"/>
          <w:b/>
          <w:bCs/>
          <w:color w:val="000000"/>
        </w:rPr>
      </w:pPr>
    </w:p>
    <w:p w:rsidR="006D3ABD" w:rsidRPr="000407C5" w:rsidRDefault="006D3ABD" w:rsidP="006D3ABD">
      <w:pPr>
        <w:spacing w:before="240" w:after="240" w:line="360" w:lineRule="auto"/>
        <w:ind w:firstLine="1"/>
        <w:jc w:val="both"/>
        <w:rPr>
          <w:rFonts w:ascii="Palatino Linotype" w:hAnsi="Palatino Linotype"/>
        </w:rPr>
      </w:pPr>
      <w:bookmarkStart w:id="10" w:name="_heading=h.k06rde75t38" w:colFirst="0" w:colLast="0"/>
      <w:bookmarkStart w:id="11" w:name="_Hlk99014733"/>
      <w:bookmarkEnd w:id="10"/>
      <w:r w:rsidRPr="000407C5">
        <w:rPr>
          <w:rFonts w:ascii="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C5A41" w:rsidRPr="000407C5">
        <w:rPr>
          <w:rFonts w:ascii="Palatino Linotype" w:hAnsi="Palatino Linotype" w:cs="Palatino Linotype"/>
        </w:rPr>
        <w:t xml:space="preserve"> </w:t>
      </w:r>
      <w:r w:rsidR="000C5A41" w:rsidRPr="000407C5">
        <w:rPr>
          <w:rFonts w:ascii="Palatino Linotype" w:hAnsi="Palatino Linotype"/>
        </w:rPr>
        <w:t>EMITIENDO VOTO PARTICULAR</w:t>
      </w:r>
      <w:r w:rsidRPr="000407C5">
        <w:rPr>
          <w:rFonts w:ascii="Palatino Linotype" w:hAnsi="Palatino Linotype" w:cs="Palatino Linotype"/>
        </w:rPr>
        <w:t>, LUIS GUSTAVO PARRA NORIEGA</w:t>
      </w:r>
      <w:r w:rsidR="000C5A41" w:rsidRPr="000407C5">
        <w:rPr>
          <w:rFonts w:ascii="Palatino Linotype" w:hAnsi="Palatino Linotype" w:cs="Palatino Linotype"/>
        </w:rPr>
        <w:t xml:space="preserve"> </w:t>
      </w:r>
      <w:r w:rsidR="000C5A41" w:rsidRPr="000407C5">
        <w:rPr>
          <w:rFonts w:ascii="Palatino Linotype" w:hAnsi="Palatino Linotype"/>
        </w:rPr>
        <w:t>EMITIENDO VOTO PARTICULAR</w:t>
      </w:r>
      <w:r w:rsidRPr="000407C5">
        <w:rPr>
          <w:rFonts w:ascii="Palatino Linotype" w:hAnsi="Palatino Linotype" w:cs="Palatino Linotype"/>
        </w:rPr>
        <w:t xml:space="preserve"> Y GUADALUPE RAMÍREZ PEÑA</w:t>
      </w:r>
      <w:r w:rsidR="000C5A41" w:rsidRPr="000407C5">
        <w:rPr>
          <w:rFonts w:ascii="Palatino Linotype" w:hAnsi="Palatino Linotype" w:cs="Palatino Linotype"/>
        </w:rPr>
        <w:t xml:space="preserve"> </w:t>
      </w:r>
      <w:r w:rsidR="000C5A41" w:rsidRPr="000407C5">
        <w:rPr>
          <w:rFonts w:ascii="Palatino Linotype" w:hAnsi="Palatino Linotype"/>
        </w:rPr>
        <w:t>EMITIENDO VOTO PARTICULAR</w:t>
      </w:r>
      <w:r w:rsidRPr="000407C5">
        <w:rPr>
          <w:rFonts w:ascii="Palatino Linotype" w:hAnsi="Palatino Linotype" w:cs="Palatino Linotype"/>
        </w:rPr>
        <w:t xml:space="preserve">; EN LA NOVENA SESIÓN ORDINARIA, CELEBRADA EL ONCE (11) DE MARZO DE DOS MIL VEINTISÉIS, ANTE EL SECRETARIO TÉCNICO DEL PLENO </w:t>
      </w:r>
      <w:r w:rsidRPr="000407C5">
        <w:rPr>
          <w:rFonts w:ascii="Palatino Linotype" w:hAnsi="Palatino Linotype" w:cs="Palatino Linotype"/>
          <w:color w:val="000000" w:themeColor="text1"/>
        </w:rPr>
        <w:t>ALEXIS TAPIA RAMÍREZ.</w:t>
      </w:r>
    </w:p>
    <w:bookmarkEnd w:id="11"/>
    <w:p w:rsidR="007A5603" w:rsidRPr="000407C5" w:rsidRDefault="007A5603">
      <w:pPr>
        <w:spacing w:line="360" w:lineRule="auto"/>
        <w:ind w:right="-592"/>
        <w:jc w:val="both"/>
        <w:rPr>
          <w:rFonts w:ascii="Palatino Linotype" w:eastAsia="Palatino Linotype" w:hAnsi="Palatino Linotype" w:cs="Palatino Linotype"/>
        </w:rPr>
      </w:pPr>
    </w:p>
    <w:p w:rsidR="007A5603" w:rsidRPr="000407C5" w:rsidRDefault="007A5603">
      <w:pPr>
        <w:spacing w:line="360" w:lineRule="auto"/>
        <w:ind w:right="-592"/>
        <w:jc w:val="both"/>
        <w:rPr>
          <w:rFonts w:ascii="Palatino Linotype" w:eastAsia="Palatino Linotype" w:hAnsi="Palatino Linotype" w:cs="Palatino Linotype"/>
        </w:rPr>
      </w:pPr>
    </w:p>
    <w:p w:rsidR="007A5603" w:rsidRPr="000407C5" w:rsidRDefault="007A5603">
      <w:pPr>
        <w:spacing w:line="360" w:lineRule="auto"/>
        <w:ind w:right="-592"/>
        <w:jc w:val="both"/>
        <w:rPr>
          <w:rFonts w:ascii="Palatino Linotype" w:eastAsia="Palatino Linotype" w:hAnsi="Palatino Linotype" w:cs="Palatino Linotype"/>
        </w:rPr>
      </w:pPr>
    </w:p>
    <w:p w:rsidR="007A5603" w:rsidRPr="000407C5" w:rsidRDefault="007A5603">
      <w:pPr>
        <w:spacing w:line="360" w:lineRule="auto"/>
        <w:ind w:right="-592"/>
        <w:jc w:val="both"/>
        <w:rPr>
          <w:rFonts w:ascii="Palatino Linotype" w:eastAsia="Palatino Linotype" w:hAnsi="Palatino Linotype" w:cs="Palatino Linotype"/>
        </w:rPr>
      </w:pPr>
    </w:p>
    <w:p w:rsidR="007A5603" w:rsidRPr="000407C5" w:rsidRDefault="007A5603">
      <w:pPr>
        <w:spacing w:line="360" w:lineRule="auto"/>
        <w:ind w:right="-592"/>
        <w:jc w:val="both"/>
        <w:rPr>
          <w:rFonts w:ascii="Palatino Linotype" w:eastAsia="Palatino Linotype" w:hAnsi="Palatino Linotype" w:cs="Palatino Linotype"/>
        </w:rPr>
      </w:pPr>
    </w:p>
    <w:p w:rsidR="007A5603" w:rsidRPr="000407C5" w:rsidRDefault="007A5603">
      <w:pPr>
        <w:spacing w:line="360" w:lineRule="auto"/>
        <w:ind w:right="-592"/>
        <w:jc w:val="both"/>
        <w:rPr>
          <w:rFonts w:ascii="Palatino Linotype" w:eastAsia="Palatino Linotype" w:hAnsi="Palatino Linotype" w:cs="Palatino Linotype"/>
        </w:rPr>
      </w:pPr>
    </w:p>
    <w:p w:rsidR="007A5603" w:rsidRPr="000407C5" w:rsidRDefault="007A5603">
      <w:pPr>
        <w:spacing w:line="360" w:lineRule="auto"/>
        <w:ind w:right="-592"/>
        <w:jc w:val="both"/>
        <w:rPr>
          <w:rFonts w:ascii="Palatino Linotype" w:eastAsia="Palatino Linotype" w:hAnsi="Palatino Linotype" w:cs="Palatino Linotype"/>
        </w:rPr>
      </w:pPr>
    </w:p>
    <w:p w:rsidR="007A5603" w:rsidRPr="000407C5" w:rsidRDefault="007A5603">
      <w:pPr>
        <w:spacing w:line="360" w:lineRule="auto"/>
        <w:ind w:right="-592"/>
        <w:jc w:val="both"/>
        <w:rPr>
          <w:rFonts w:ascii="Palatino Linotype" w:eastAsia="Palatino Linotype" w:hAnsi="Palatino Linotype" w:cs="Palatino Linotype"/>
        </w:rPr>
      </w:pPr>
    </w:p>
    <w:p w:rsidR="007A5603" w:rsidRPr="000407C5" w:rsidRDefault="007A5603">
      <w:pPr>
        <w:spacing w:line="360" w:lineRule="auto"/>
        <w:ind w:right="-592"/>
        <w:jc w:val="both"/>
        <w:rPr>
          <w:rFonts w:ascii="Palatino Linotype" w:eastAsia="Palatino Linotype" w:hAnsi="Palatino Linotype" w:cs="Palatino Linotype"/>
        </w:rPr>
      </w:pPr>
    </w:p>
    <w:p w:rsidR="007A5603" w:rsidRPr="000407C5" w:rsidRDefault="007A5603">
      <w:pPr>
        <w:spacing w:line="360" w:lineRule="auto"/>
        <w:ind w:right="-592"/>
        <w:rPr>
          <w:rFonts w:ascii="Palatino Linotype" w:eastAsia="Palatino Linotype" w:hAnsi="Palatino Linotype" w:cs="Palatino Linotype"/>
        </w:rPr>
      </w:pPr>
    </w:p>
    <w:p w:rsidR="007A5603" w:rsidRPr="000407C5" w:rsidRDefault="007A5603">
      <w:pPr>
        <w:spacing w:line="360" w:lineRule="auto"/>
        <w:ind w:right="-592"/>
        <w:rPr>
          <w:rFonts w:ascii="Palatino Linotype" w:eastAsia="Palatino Linotype" w:hAnsi="Palatino Linotype" w:cs="Palatino Linotype"/>
        </w:rPr>
      </w:pPr>
    </w:p>
    <w:p w:rsidR="007A5603" w:rsidRPr="000407C5" w:rsidRDefault="007A5603">
      <w:pPr>
        <w:spacing w:line="360" w:lineRule="auto"/>
        <w:ind w:right="-592"/>
        <w:rPr>
          <w:rFonts w:ascii="Palatino Linotype" w:eastAsia="Palatino Linotype" w:hAnsi="Palatino Linotype" w:cs="Palatino Linotype"/>
        </w:rPr>
      </w:pPr>
    </w:p>
    <w:p w:rsidR="007A5603" w:rsidRPr="000407C5" w:rsidRDefault="007A5603">
      <w:pPr>
        <w:spacing w:line="360" w:lineRule="auto"/>
        <w:ind w:right="-592"/>
        <w:rPr>
          <w:rFonts w:ascii="Palatino Linotype" w:eastAsia="Palatino Linotype" w:hAnsi="Palatino Linotype" w:cs="Palatino Linotype"/>
        </w:rPr>
      </w:pPr>
    </w:p>
    <w:p w:rsidR="007A5603" w:rsidRPr="000407C5" w:rsidRDefault="007A5603">
      <w:pPr>
        <w:spacing w:line="360" w:lineRule="auto"/>
        <w:ind w:right="-592"/>
        <w:rPr>
          <w:rFonts w:ascii="Palatino Linotype" w:eastAsia="Palatino Linotype" w:hAnsi="Palatino Linotype" w:cs="Palatino Linotype"/>
        </w:rPr>
      </w:pPr>
    </w:p>
    <w:p w:rsidR="007A5603" w:rsidRPr="000407C5" w:rsidRDefault="007A5603">
      <w:pPr>
        <w:spacing w:line="360" w:lineRule="auto"/>
        <w:ind w:right="-592"/>
        <w:rPr>
          <w:rFonts w:ascii="Palatino Linotype" w:eastAsia="Palatino Linotype" w:hAnsi="Palatino Linotype" w:cs="Palatino Linotype"/>
        </w:rPr>
      </w:pPr>
    </w:p>
    <w:p w:rsidR="007A5603" w:rsidRPr="000407C5" w:rsidRDefault="007A5603">
      <w:pPr>
        <w:ind w:right="-592"/>
        <w:rPr>
          <w:rFonts w:ascii="Palatino Linotype" w:eastAsia="Palatino Linotype" w:hAnsi="Palatino Linotype" w:cs="Palatino Linotype"/>
        </w:rPr>
      </w:pPr>
    </w:p>
    <w:p w:rsidR="007A5603" w:rsidRPr="000407C5" w:rsidRDefault="007A5603">
      <w:pPr>
        <w:ind w:right="-592"/>
        <w:rPr>
          <w:rFonts w:ascii="Palatino Linotype" w:eastAsia="Palatino Linotype" w:hAnsi="Palatino Linotype" w:cs="Palatino Linotype"/>
        </w:rPr>
      </w:pPr>
    </w:p>
    <w:p w:rsidR="007A5603" w:rsidRPr="000407C5" w:rsidRDefault="007A5603">
      <w:pPr>
        <w:ind w:right="-592"/>
        <w:rPr>
          <w:rFonts w:ascii="Palatino Linotype" w:eastAsia="Palatino Linotype" w:hAnsi="Palatino Linotype" w:cs="Palatino Linotype"/>
        </w:rPr>
      </w:pPr>
    </w:p>
    <w:sectPr w:rsidR="007A5603" w:rsidRPr="000407C5" w:rsidSect="000407C5">
      <w:headerReference w:type="even" r:id="rId12"/>
      <w:headerReference w:type="default" r:id="rId13"/>
      <w:footerReference w:type="default" r:id="rId14"/>
      <w:headerReference w:type="first" r:id="rId15"/>
      <w:footerReference w:type="first" r:id="rId16"/>
      <w:pgSz w:w="12240" w:h="15840"/>
      <w:pgMar w:top="80" w:right="75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74F1" w:rsidRDefault="00E074F1">
      <w:r>
        <w:separator/>
      </w:r>
    </w:p>
  </w:endnote>
  <w:endnote w:type="continuationSeparator" w:id="0">
    <w:p w:rsidR="00E074F1" w:rsidRDefault="00E07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BE8E5425-A9B3-4BFA-A15D-E1CF94EC42AA}"/>
    <w:embedBold r:id="rId2" w:fontKey="{F7DB220A-8EBD-420C-BF90-427CD01DC597}"/>
    <w:embedItalic r:id="rId3" w:fontKey="{8F268E3C-2485-459F-9587-5F5E286277DC}"/>
    <w:embedBoldItalic r:id="rId4" w:fontKey="{0337EA15-8D7A-4920-98CF-A28059B198E2}"/>
  </w:font>
  <w:font w:name="Noto Sans Symbols">
    <w:altName w:val="Times New Roman"/>
    <w:charset w:val="00"/>
    <w:family w:val="auto"/>
    <w:pitch w:val="default"/>
    <w:embedRegular r:id="rId5" w:fontKey="{BB12A1C4-5AB6-43F1-94E0-6172F91DAE62}"/>
  </w:font>
  <w:font w:name="Calibri">
    <w:panose1 w:val="020F0502020204030204"/>
    <w:charset w:val="00"/>
    <w:family w:val="swiss"/>
    <w:pitch w:val="variable"/>
    <w:sig w:usb0="E4002EFF" w:usb1="C200247B" w:usb2="00000009" w:usb3="00000000" w:csb0="000001FF" w:csb1="00000000"/>
    <w:embedRegular r:id="rId6" w:fontKey="{7B9D8F03-BC3C-4A62-8089-F1CC47FF56C9}"/>
    <w:embedBold r:id="rId7" w:fontKey="{015C0CD7-4E28-4C58-AD33-190725424FD8}"/>
  </w:font>
  <w:font w:name="Calibri Light">
    <w:panose1 w:val="020F0302020204030204"/>
    <w:charset w:val="00"/>
    <w:family w:val="swiss"/>
    <w:pitch w:val="variable"/>
    <w:sig w:usb0="E4002EFF" w:usb1="C200247B" w:usb2="00000009" w:usb3="00000000" w:csb0="000001FF" w:csb1="00000000"/>
    <w:embedRegular r:id="rId8" w:fontKey="{34CD400D-43D1-43AE-96DD-7B84BD30698D}"/>
  </w:font>
  <w:font w:name="Century Gothic">
    <w:panose1 w:val="020B0502020202020204"/>
    <w:charset w:val="00"/>
    <w:family w:val="swiss"/>
    <w:pitch w:val="variable"/>
    <w:sig w:usb0="00000287" w:usb1="00000000" w:usb2="00000000" w:usb3="00000000" w:csb0="0000009F" w:csb1="00000000"/>
    <w:embedRegular r:id="rId9" w:fontKey="{0E8D199D-6099-4702-939D-9CC9E2712388}"/>
  </w:font>
  <w:font w:name="Segoe UI">
    <w:panose1 w:val="020B0502040204020203"/>
    <w:charset w:val="00"/>
    <w:family w:val="swiss"/>
    <w:pitch w:val="variable"/>
    <w:sig w:usb0="E4002EFF" w:usb1="C000E47F" w:usb2="00000009" w:usb3="00000000" w:csb0="000001FF" w:csb1="00000000"/>
    <w:embedRegular r:id="rId10" w:fontKey="{6BE1F416-B01E-4649-A438-CB0B81C867A3}"/>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1" w:fontKey="{7AE0864D-90CB-4460-826E-0F7B260AE708}"/>
  </w:font>
  <w:font w:name="Garamond">
    <w:panose1 w:val="02020404030301010803"/>
    <w:charset w:val="00"/>
    <w:family w:val="roman"/>
    <w:pitch w:val="variable"/>
    <w:sig w:usb0="00000287" w:usb1="00000000" w:usb2="00000000" w:usb3="00000000" w:csb0="0000009F" w:csb1="00000000"/>
    <w:embedRegular r:id="rId12" w:fontKey="{E968C538-B8C6-402E-8343-EF5A235AF9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603" w:rsidRPr="000407C5" w:rsidRDefault="000655B2">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0407C5">
      <w:rPr>
        <w:rFonts w:ascii="Palatino Linotype" w:hAnsi="Palatino Linotype"/>
        <w:b/>
        <w:color w:val="000000"/>
        <w:sz w:val="22"/>
      </w:rPr>
      <w:t xml:space="preserve">Página </w:t>
    </w:r>
    <w:r w:rsidRPr="000407C5">
      <w:rPr>
        <w:rFonts w:ascii="Palatino Linotype" w:hAnsi="Palatino Linotype"/>
        <w:b/>
        <w:bCs/>
        <w:color w:val="000000"/>
        <w:sz w:val="22"/>
      </w:rPr>
      <w:fldChar w:fldCharType="begin"/>
    </w:r>
    <w:r w:rsidRPr="000407C5">
      <w:rPr>
        <w:rFonts w:ascii="Palatino Linotype" w:hAnsi="Palatino Linotype"/>
        <w:b/>
        <w:bCs/>
        <w:color w:val="000000"/>
        <w:sz w:val="22"/>
      </w:rPr>
      <w:instrText>PAGE</w:instrText>
    </w:r>
    <w:r w:rsidRPr="000407C5">
      <w:rPr>
        <w:rFonts w:ascii="Palatino Linotype" w:hAnsi="Palatino Linotype"/>
        <w:b/>
        <w:bCs/>
        <w:color w:val="000000"/>
        <w:sz w:val="22"/>
      </w:rPr>
      <w:fldChar w:fldCharType="separate"/>
    </w:r>
    <w:r w:rsidR="000407C5">
      <w:rPr>
        <w:rFonts w:ascii="Palatino Linotype" w:hAnsi="Palatino Linotype"/>
        <w:b/>
        <w:bCs/>
        <w:noProof/>
        <w:color w:val="000000"/>
        <w:sz w:val="22"/>
      </w:rPr>
      <w:t>21</w:t>
    </w:r>
    <w:r w:rsidRPr="000407C5">
      <w:rPr>
        <w:rFonts w:ascii="Palatino Linotype" w:hAnsi="Palatino Linotype"/>
        <w:b/>
        <w:bCs/>
        <w:color w:val="000000"/>
        <w:sz w:val="22"/>
      </w:rPr>
      <w:fldChar w:fldCharType="end"/>
    </w:r>
    <w:r w:rsidRPr="000407C5">
      <w:rPr>
        <w:rFonts w:ascii="Palatino Linotype" w:hAnsi="Palatino Linotype"/>
        <w:b/>
        <w:color w:val="000000"/>
        <w:sz w:val="22"/>
      </w:rPr>
      <w:t xml:space="preserve"> de </w:t>
    </w:r>
    <w:r w:rsidRPr="000407C5">
      <w:rPr>
        <w:rFonts w:ascii="Palatino Linotype" w:hAnsi="Palatino Linotype"/>
        <w:b/>
        <w:bCs/>
        <w:color w:val="000000"/>
        <w:sz w:val="22"/>
      </w:rPr>
      <w:fldChar w:fldCharType="begin"/>
    </w:r>
    <w:r w:rsidRPr="000407C5">
      <w:rPr>
        <w:rFonts w:ascii="Palatino Linotype" w:hAnsi="Palatino Linotype"/>
        <w:b/>
        <w:bCs/>
        <w:color w:val="000000"/>
        <w:sz w:val="22"/>
      </w:rPr>
      <w:instrText>NUMPAGES</w:instrText>
    </w:r>
    <w:r w:rsidRPr="000407C5">
      <w:rPr>
        <w:rFonts w:ascii="Palatino Linotype" w:hAnsi="Palatino Linotype"/>
        <w:b/>
        <w:bCs/>
        <w:color w:val="000000"/>
        <w:sz w:val="22"/>
      </w:rPr>
      <w:fldChar w:fldCharType="separate"/>
    </w:r>
    <w:r w:rsidR="000407C5">
      <w:rPr>
        <w:rFonts w:ascii="Palatino Linotype" w:hAnsi="Palatino Linotype"/>
        <w:b/>
        <w:bCs/>
        <w:noProof/>
        <w:color w:val="000000"/>
        <w:sz w:val="22"/>
      </w:rPr>
      <w:t>30</w:t>
    </w:r>
    <w:r w:rsidRPr="000407C5">
      <w:rPr>
        <w:rFonts w:ascii="Palatino Linotype" w:hAnsi="Palatino Linotype"/>
        <w:b/>
        <w:bCs/>
        <w:color w:val="000000"/>
        <w:sz w:val="22"/>
      </w:rPr>
      <w:fldChar w:fldCharType="end"/>
    </w:r>
  </w:p>
  <w:p w:rsidR="007A5603" w:rsidRDefault="007A5603">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603" w:rsidRPr="000407C5" w:rsidRDefault="000655B2">
    <w:pPr>
      <w:pBdr>
        <w:top w:val="nil"/>
        <w:left w:val="nil"/>
        <w:bottom w:val="nil"/>
        <w:right w:val="nil"/>
        <w:between w:val="nil"/>
      </w:pBdr>
      <w:tabs>
        <w:tab w:val="center" w:pos="4419"/>
        <w:tab w:val="right" w:pos="8838"/>
      </w:tabs>
      <w:jc w:val="right"/>
      <w:rPr>
        <w:rFonts w:ascii="Palatino Linotype" w:hAnsi="Palatino Linotype"/>
        <w:b/>
        <w:color w:val="000000"/>
        <w:sz w:val="22"/>
      </w:rPr>
    </w:pPr>
    <w:r w:rsidRPr="000407C5">
      <w:rPr>
        <w:rFonts w:ascii="Palatino Linotype" w:hAnsi="Palatino Linotype"/>
        <w:b/>
        <w:color w:val="000000"/>
        <w:sz w:val="22"/>
      </w:rPr>
      <w:t xml:space="preserve">Página  de </w:t>
    </w:r>
    <w:r w:rsidRPr="000407C5">
      <w:rPr>
        <w:rFonts w:ascii="Palatino Linotype" w:hAnsi="Palatino Linotype"/>
        <w:b/>
        <w:bCs/>
        <w:color w:val="000000"/>
        <w:sz w:val="22"/>
      </w:rPr>
      <w:fldChar w:fldCharType="begin"/>
    </w:r>
    <w:r w:rsidRPr="000407C5">
      <w:rPr>
        <w:rFonts w:ascii="Palatino Linotype" w:hAnsi="Palatino Linotype"/>
        <w:b/>
        <w:bCs/>
        <w:color w:val="000000"/>
        <w:sz w:val="22"/>
      </w:rPr>
      <w:instrText>NUMPAGES</w:instrText>
    </w:r>
    <w:r w:rsidRPr="000407C5">
      <w:rPr>
        <w:rFonts w:ascii="Palatino Linotype" w:hAnsi="Palatino Linotype"/>
        <w:b/>
        <w:bCs/>
        <w:color w:val="000000"/>
        <w:sz w:val="22"/>
      </w:rPr>
      <w:fldChar w:fldCharType="separate"/>
    </w:r>
    <w:r w:rsidR="000407C5">
      <w:rPr>
        <w:rFonts w:ascii="Palatino Linotype" w:hAnsi="Palatino Linotype"/>
        <w:b/>
        <w:bCs/>
        <w:noProof/>
        <w:color w:val="000000"/>
        <w:sz w:val="22"/>
      </w:rPr>
      <w:t>30</w:t>
    </w:r>
    <w:r w:rsidRPr="000407C5">
      <w:rPr>
        <w:rFonts w:ascii="Palatino Linotype" w:hAnsi="Palatino Linotype"/>
        <w:b/>
        <w:bCs/>
        <w:color w:val="000000"/>
        <w:sz w:val="22"/>
      </w:rPr>
      <w:fldChar w:fldCharType="end"/>
    </w:r>
  </w:p>
  <w:p w:rsidR="007A5603" w:rsidRDefault="007A5603">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74F1" w:rsidRDefault="00E074F1">
      <w:r>
        <w:separator/>
      </w:r>
    </w:p>
  </w:footnote>
  <w:footnote w:type="continuationSeparator" w:id="0">
    <w:p w:rsidR="00E074F1" w:rsidRDefault="00E074F1">
      <w:r>
        <w:continuationSeparator/>
      </w:r>
    </w:p>
  </w:footnote>
  <w:footnote w:id="1">
    <w:p w:rsidR="007A5603" w:rsidRDefault="000655B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7A5603" w:rsidRDefault="000655B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7A5603" w:rsidRDefault="000655B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7A5603" w:rsidRDefault="000655B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5603" w:rsidRDefault="00E074F1">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3"/>
      <w:tblW w:w="10490" w:type="dxa"/>
      <w:tblInd w:w="0" w:type="dxa"/>
      <w:tblLayout w:type="fixed"/>
      <w:tblLook w:val="0400" w:firstRow="0" w:lastRow="0" w:firstColumn="0" w:lastColumn="0" w:noHBand="0" w:noVBand="1"/>
    </w:tblPr>
    <w:tblGrid>
      <w:gridCol w:w="2268"/>
      <w:gridCol w:w="8222"/>
    </w:tblGrid>
    <w:tr w:rsidR="007A5603" w:rsidTr="000407C5">
      <w:trPr>
        <w:trHeight w:val="1435"/>
      </w:trPr>
      <w:tc>
        <w:tcPr>
          <w:tcW w:w="2268" w:type="dxa"/>
          <w:shd w:val="clear" w:color="auto" w:fill="auto"/>
        </w:tcPr>
        <w:p w:rsidR="007A5603" w:rsidRDefault="007A5603">
          <w:pPr>
            <w:tabs>
              <w:tab w:val="right" w:pos="4273"/>
            </w:tabs>
            <w:rPr>
              <w:rFonts w:ascii="Garamond" w:eastAsia="Garamond" w:hAnsi="Garamond" w:cs="Garamond"/>
              <w:sz w:val="16"/>
              <w:szCs w:val="16"/>
            </w:rPr>
          </w:pPr>
        </w:p>
      </w:tc>
      <w:tc>
        <w:tcPr>
          <w:tcW w:w="8222" w:type="dxa"/>
          <w:shd w:val="clear" w:color="auto" w:fill="auto"/>
        </w:tcPr>
        <w:tbl>
          <w:tblPr>
            <w:tblStyle w:val="af4"/>
            <w:tblW w:w="7925" w:type="dxa"/>
            <w:tblInd w:w="311" w:type="dxa"/>
            <w:tblLayout w:type="fixed"/>
            <w:tblLook w:val="0400" w:firstRow="0" w:lastRow="0" w:firstColumn="0" w:lastColumn="0" w:noHBand="0" w:noVBand="1"/>
          </w:tblPr>
          <w:tblGrid>
            <w:gridCol w:w="3814"/>
            <w:gridCol w:w="4111"/>
          </w:tblGrid>
          <w:tr w:rsidR="007A5603" w:rsidTr="000407C5">
            <w:trPr>
              <w:trHeight w:val="150"/>
            </w:trPr>
            <w:tc>
              <w:tcPr>
                <w:tcW w:w="3814" w:type="dxa"/>
                <w:shd w:val="clear" w:color="auto" w:fill="auto"/>
              </w:tcPr>
              <w:p w:rsidR="007A5603" w:rsidRPr="000407C5" w:rsidRDefault="000655B2">
                <w:pPr>
                  <w:tabs>
                    <w:tab w:val="right" w:pos="8838"/>
                  </w:tabs>
                  <w:ind w:left="850" w:right="-105"/>
                  <w:jc w:val="both"/>
                  <w:rPr>
                    <w:rFonts w:ascii="Palatino Linotype" w:eastAsia="Palatino Linotype" w:hAnsi="Palatino Linotype" w:cs="Palatino Linotype"/>
                    <w:b/>
                    <w:bCs/>
                    <w:szCs w:val="22"/>
                  </w:rPr>
                </w:pPr>
                <w:r w:rsidRPr="000407C5">
                  <w:rPr>
                    <w:rFonts w:ascii="Palatino Linotype" w:eastAsia="Palatino Linotype" w:hAnsi="Palatino Linotype" w:cs="Palatino Linotype"/>
                    <w:b/>
                    <w:bCs/>
                    <w:szCs w:val="22"/>
                  </w:rPr>
                  <w:t>Recurso de Revisión:</w:t>
                </w:r>
              </w:p>
            </w:tc>
            <w:tc>
              <w:tcPr>
                <w:tcW w:w="4111" w:type="dxa"/>
                <w:shd w:val="clear" w:color="auto" w:fill="auto"/>
              </w:tcPr>
              <w:p w:rsidR="007A5603" w:rsidRPr="000407C5" w:rsidRDefault="000655B2">
                <w:pPr>
                  <w:tabs>
                    <w:tab w:val="right" w:pos="8838"/>
                  </w:tabs>
                  <w:ind w:right="-781"/>
                  <w:jc w:val="both"/>
                  <w:rPr>
                    <w:rFonts w:ascii="Palatino Linotype" w:eastAsia="Palatino Linotype" w:hAnsi="Palatino Linotype" w:cs="Palatino Linotype"/>
                    <w:szCs w:val="22"/>
                  </w:rPr>
                </w:pPr>
                <w:r w:rsidRPr="000407C5">
                  <w:rPr>
                    <w:rFonts w:ascii="Palatino Linotype" w:eastAsia="Palatino Linotype" w:hAnsi="Palatino Linotype" w:cs="Palatino Linotype"/>
                    <w:szCs w:val="22"/>
                  </w:rPr>
                  <w:t>06788/INFOEM/IP/RR/2025</w:t>
                </w:r>
              </w:p>
            </w:tc>
          </w:tr>
          <w:tr w:rsidR="007A5603" w:rsidTr="000407C5">
            <w:trPr>
              <w:trHeight w:val="295"/>
            </w:trPr>
            <w:tc>
              <w:tcPr>
                <w:tcW w:w="3814" w:type="dxa"/>
                <w:shd w:val="clear" w:color="auto" w:fill="auto"/>
              </w:tcPr>
              <w:p w:rsidR="007A5603" w:rsidRPr="000407C5" w:rsidRDefault="000655B2">
                <w:pPr>
                  <w:tabs>
                    <w:tab w:val="right" w:pos="8838"/>
                  </w:tabs>
                  <w:ind w:left="850" w:right="-105"/>
                  <w:jc w:val="both"/>
                  <w:rPr>
                    <w:rFonts w:ascii="Palatino Linotype" w:eastAsia="Palatino Linotype" w:hAnsi="Palatino Linotype" w:cs="Palatino Linotype"/>
                    <w:b/>
                    <w:bCs/>
                    <w:szCs w:val="22"/>
                  </w:rPr>
                </w:pPr>
                <w:r w:rsidRPr="000407C5">
                  <w:rPr>
                    <w:rFonts w:ascii="Palatino Linotype" w:eastAsia="Palatino Linotype" w:hAnsi="Palatino Linotype" w:cs="Palatino Linotype"/>
                    <w:b/>
                    <w:bCs/>
                    <w:szCs w:val="22"/>
                  </w:rPr>
                  <w:t>Sujeto Obligado:</w:t>
                </w:r>
              </w:p>
            </w:tc>
            <w:tc>
              <w:tcPr>
                <w:tcW w:w="4111" w:type="dxa"/>
                <w:shd w:val="clear" w:color="auto" w:fill="auto"/>
              </w:tcPr>
              <w:p w:rsidR="007A5603" w:rsidRPr="000407C5" w:rsidRDefault="000655B2">
                <w:pPr>
                  <w:tabs>
                    <w:tab w:val="left" w:pos="3122"/>
                    <w:tab w:val="right" w:pos="8838"/>
                  </w:tabs>
                  <w:ind w:right="-1552"/>
                  <w:rPr>
                    <w:rFonts w:ascii="Palatino Linotype" w:eastAsia="Palatino Linotype" w:hAnsi="Palatino Linotype" w:cs="Palatino Linotype"/>
                    <w:szCs w:val="22"/>
                  </w:rPr>
                </w:pPr>
                <w:r w:rsidRPr="000407C5">
                  <w:rPr>
                    <w:rFonts w:ascii="Palatino Linotype" w:eastAsia="Palatino Linotype" w:hAnsi="Palatino Linotype" w:cs="Palatino Linotype"/>
                    <w:szCs w:val="22"/>
                  </w:rPr>
                  <w:t xml:space="preserve">Ayuntamiento de Toluca </w:t>
                </w:r>
              </w:p>
            </w:tc>
          </w:tr>
          <w:tr w:rsidR="007A5603" w:rsidTr="000407C5">
            <w:trPr>
              <w:trHeight w:val="295"/>
            </w:trPr>
            <w:tc>
              <w:tcPr>
                <w:tcW w:w="3814" w:type="dxa"/>
                <w:shd w:val="clear" w:color="auto" w:fill="auto"/>
              </w:tcPr>
              <w:p w:rsidR="007A5603" w:rsidRPr="000407C5" w:rsidRDefault="000655B2">
                <w:pPr>
                  <w:tabs>
                    <w:tab w:val="right" w:pos="8838"/>
                  </w:tabs>
                  <w:ind w:left="850" w:right="-105"/>
                  <w:jc w:val="both"/>
                  <w:rPr>
                    <w:rFonts w:ascii="Palatino Linotype" w:eastAsia="Palatino Linotype" w:hAnsi="Palatino Linotype" w:cs="Palatino Linotype"/>
                    <w:b/>
                    <w:bCs/>
                    <w:szCs w:val="22"/>
                  </w:rPr>
                </w:pPr>
                <w:r w:rsidRPr="000407C5">
                  <w:rPr>
                    <w:rFonts w:ascii="Palatino Linotype" w:eastAsia="Palatino Linotype" w:hAnsi="Palatino Linotype" w:cs="Palatino Linotype"/>
                    <w:b/>
                    <w:bCs/>
                    <w:szCs w:val="22"/>
                  </w:rPr>
                  <w:t>Comisionada ponente:</w:t>
                </w:r>
              </w:p>
            </w:tc>
            <w:tc>
              <w:tcPr>
                <w:tcW w:w="4111" w:type="dxa"/>
                <w:shd w:val="clear" w:color="auto" w:fill="auto"/>
              </w:tcPr>
              <w:p w:rsidR="007A5603" w:rsidRPr="000407C5" w:rsidRDefault="000655B2">
                <w:pPr>
                  <w:tabs>
                    <w:tab w:val="right" w:pos="8838"/>
                  </w:tabs>
                  <w:ind w:right="-781"/>
                  <w:jc w:val="both"/>
                  <w:rPr>
                    <w:rFonts w:ascii="Palatino Linotype" w:eastAsia="Palatino Linotype" w:hAnsi="Palatino Linotype" w:cs="Palatino Linotype"/>
                    <w:szCs w:val="22"/>
                  </w:rPr>
                </w:pPr>
                <w:r w:rsidRPr="000407C5">
                  <w:rPr>
                    <w:rFonts w:ascii="Palatino Linotype" w:eastAsia="Palatino Linotype" w:hAnsi="Palatino Linotype" w:cs="Palatino Linotype"/>
                    <w:szCs w:val="22"/>
                  </w:rPr>
                  <w:t>María del Rosario Mejía Ayala</w:t>
                </w:r>
              </w:p>
              <w:p w:rsidR="007A5603" w:rsidRPr="000407C5" w:rsidRDefault="007A5603">
                <w:pPr>
                  <w:tabs>
                    <w:tab w:val="right" w:pos="8838"/>
                  </w:tabs>
                  <w:ind w:left="141" w:right="-781"/>
                  <w:jc w:val="both"/>
                  <w:rPr>
                    <w:rFonts w:ascii="Palatino Linotype" w:eastAsia="Palatino Linotype" w:hAnsi="Palatino Linotype" w:cs="Palatino Linotype"/>
                    <w:szCs w:val="22"/>
                  </w:rPr>
                </w:pPr>
              </w:p>
            </w:tc>
          </w:tr>
        </w:tbl>
        <w:p w:rsidR="007A5603" w:rsidRDefault="007A5603">
          <w:pPr>
            <w:tabs>
              <w:tab w:val="right" w:pos="8838"/>
            </w:tabs>
            <w:ind w:left="-28"/>
            <w:jc w:val="both"/>
            <w:rPr>
              <w:rFonts w:ascii="Arial" w:eastAsia="Arial" w:hAnsi="Arial" w:cs="Arial"/>
              <w:b/>
              <w:bCs/>
              <w:sz w:val="18"/>
              <w:szCs w:val="18"/>
            </w:rPr>
          </w:pPr>
        </w:p>
      </w:tc>
    </w:tr>
  </w:tbl>
  <w:p w:rsidR="007A5603" w:rsidRDefault="00E074F1">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5"/>
      <w:tblW w:w="10065" w:type="dxa"/>
      <w:tblInd w:w="0" w:type="dxa"/>
      <w:tblLayout w:type="fixed"/>
      <w:tblLook w:val="0400" w:firstRow="0" w:lastRow="0" w:firstColumn="0" w:lastColumn="0" w:noHBand="0" w:noVBand="1"/>
    </w:tblPr>
    <w:tblGrid>
      <w:gridCol w:w="2265"/>
      <w:gridCol w:w="7800"/>
    </w:tblGrid>
    <w:tr w:rsidR="007A5603">
      <w:trPr>
        <w:trHeight w:val="1435"/>
      </w:trPr>
      <w:tc>
        <w:tcPr>
          <w:tcW w:w="2265" w:type="dxa"/>
          <w:shd w:val="clear" w:color="auto" w:fill="auto"/>
        </w:tcPr>
        <w:p w:rsidR="007A5603" w:rsidRDefault="007A5603">
          <w:pPr>
            <w:tabs>
              <w:tab w:val="right" w:pos="4273"/>
            </w:tabs>
            <w:rPr>
              <w:rFonts w:ascii="Garamond" w:eastAsia="Garamond" w:hAnsi="Garamond" w:cs="Garamond"/>
              <w:sz w:val="22"/>
              <w:szCs w:val="22"/>
            </w:rPr>
          </w:pPr>
        </w:p>
      </w:tc>
      <w:tc>
        <w:tcPr>
          <w:tcW w:w="7800" w:type="dxa"/>
          <w:shd w:val="clear" w:color="auto" w:fill="auto"/>
        </w:tcPr>
        <w:tbl>
          <w:tblPr>
            <w:tblStyle w:val="af6"/>
            <w:tblW w:w="7968" w:type="dxa"/>
            <w:tblInd w:w="1448" w:type="dxa"/>
            <w:tblLayout w:type="fixed"/>
            <w:tblLook w:val="0400" w:firstRow="0" w:lastRow="0" w:firstColumn="0" w:lastColumn="0" w:noHBand="0" w:noVBand="1"/>
          </w:tblPr>
          <w:tblGrid>
            <w:gridCol w:w="2582"/>
            <w:gridCol w:w="5386"/>
          </w:tblGrid>
          <w:tr w:rsidR="007A5603" w:rsidTr="000407C5">
            <w:trPr>
              <w:trHeight w:val="144"/>
            </w:trPr>
            <w:tc>
              <w:tcPr>
                <w:tcW w:w="2582" w:type="dxa"/>
                <w:shd w:val="clear" w:color="auto" w:fill="auto"/>
              </w:tcPr>
              <w:p w:rsidR="007A5603" w:rsidRPr="000407C5" w:rsidRDefault="000655B2" w:rsidP="006D3ABD">
                <w:pPr>
                  <w:tabs>
                    <w:tab w:val="right" w:pos="8838"/>
                  </w:tabs>
                  <w:ind w:left="-264" w:right="-105" w:firstLine="195"/>
                  <w:jc w:val="both"/>
                  <w:rPr>
                    <w:rFonts w:ascii="Palatino Linotype" w:eastAsia="Palatino Linotype" w:hAnsi="Palatino Linotype" w:cs="Palatino Linotype"/>
                    <w:b/>
                    <w:bCs/>
                    <w:szCs w:val="22"/>
                  </w:rPr>
                </w:pPr>
                <w:r w:rsidRPr="000407C5">
                  <w:rPr>
                    <w:rFonts w:ascii="Palatino Linotype" w:eastAsia="Palatino Linotype" w:hAnsi="Palatino Linotype" w:cs="Palatino Linotype"/>
                    <w:b/>
                    <w:bCs/>
                    <w:szCs w:val="22"/>
                  </w:rPr>
                  <w:t>Recurso de Revisión:</w:t>
                </w:r>
              </w:p>
            </w:tc>
            <w:tc>
              <w:tcPr>
                <w:tcW w:w="5386" w:type="dxa"/>
                <w:shd w:val="clear" w:color="auto" w:fill="auto"/>
              </w:tcPr>
              <w:p w:rsidR="007A5603" w:rsidRPr="000407C5" w:rsidRDefault="000655B2" w:rsidP="006D3ABD">
                <w:pPr>
                  <w:tabs>
                    <w:tab w:val="right" w:pos="8838"/>
                  </w:tabs>
                  <w:ind w:right="-1552"/>
                  <w:jc w:val="both"/>
                  <w:rPr>
                    <w:rFonts w:ascii="Palatino Linotype" w:eastAsia="Palatino Linotype" w:hAnsi="Palatino Linotype" w:cs="Palatino Linotype"/>
                    <w:szCs w:val="22"/>
                  </w:rPr>
                </w:pPr>
                <w:r w:rsidRPr="000407C5">
                  <w:rPr>
                    <w:rFonts w:ascii="Palatino Linotype" w:eastAsia="Palatino Linotype" w:hAnsi="Palatino Linotype" w:cs="Palatino Linotype"/>
                    <w:szCs w:val="22"/>
                  </w:rPr>
                  <w:t>06788/INFOEM/IP/RR/2025</w:t>
                </w:r>
              </w:p>
            </w:tc>
          </w:tr>
          <w:tr w:rsidR="007A5603" w:rsidTr="000407C5">
            <w:trPr>
              <w:trHeight w:val="144"/>
            </w:trPr>
            <w:tc>
              <w:tcPr>
                <w:tcW w:w="2582" w:type="dxa"/>
                <w:shd w:val="clear" w:color="auto" w:fill="auto"/>
              </w:tcPr>
              <w:p w:rsidR="007A5603" w:rsidRPr="000407C5" w:rsidRDefault="000655B2" w:rsidP="006D3ABD">
                <w:pPr>
                  <w:tabs>
                    <w:tab w:val="right" w:pos="8838"/>
                  </w:tabs>
                  <w:ind w:left="-74" w:right="-105"/>
                  <w:jc w:val="both"/>
                  <w:rPr>
                    <w:rFonts w:ascii="Palatino Linotype" w:eastAsia="Palatino Linotype" w:hAnsi="Palatino Linotype" w:cs="Palatino Linotype"/>
                    <w:b/>
                    <w:bCs/>
                    <w:szCs w:val="22"/>
                  </w:rPr>
                </w:pPr>
                <w:r w:rsidRPr="000407C5">
                  <w:rPr>
                    <w:rFonts w:ascii="Palatino Linotype" w:eastAsia="Palatino Linotype" w:hAnsi="Palatino Linotype" w:cs="Palatino Linotype"/>
                    <w:b/>
                    <w:bCs/>
                    <w:szCs w:val="22"/>
                  </w:rPr>
                  <w:t>Recurrente:</w:t>
                </w:r>
              </w:p>
            </w:tc>
            <w:tc>
              <w:tcPr>
                <w:tcW w:w="5386" w:type="dxa"/>
                <w:shd w:val="clear" w:color="auto" w:fill="auto"/>
              </w:tcPr>
              <w:p w:rsidR="007A5603" w:rsidRPr="000407C5" w:rsidRDefault="007A5603" w:rsidP="006D3ABD">
                <w:pPr>
                  <w:tabs>
                    <w:tab w:val="left" w:pos="3122"/>
                    <w:tab w:val="right" w:pos="8838"/>
                  </w:tabs>
                  <w:ind w:right="-1552"/>
                  <w:jc w:val="both"/>
                  <w:rPr>
                    <w:rFonts w:ascii="Palatino Linotype" w:eastAsia="Palatino Linotype" w:hAnsi="Palatino Linotype" w:cs="Palatino Linotype"/>
                    <w:szCs w:val="22"/>
                  </w:rPr>
                </w:pPr>
              </w:p>
            </w:tc>
          </w:tr>
          <w:tr w:rsidR="007A5603" w:rsidTr="000407C5">
            <w:trPr>
              <w:trHeight w:val="80"/>
            </w:trPr>
            <w:tc>
              <w:tcPr>
                <w:tcW w:w="2582" w:type="dxa"/>
                <w:shd w:val="clear" w:color="auto" w:fill="auto"/>
              </w:tcPr>
              <w:p w:rsidR="007A5603" w:rsidRPr="000407C5" w:rsidRDefault="000655B2" w:rsidP="006D3ABD">
                <w:pPr>
                  <w:tabs>
                    <w:tab w:val="right" w:pos="8838"/>
                  </w:tabs>
                  <w:ind w:left="-74" w:right="-105"/>
                  <w:jc w:val="both"/>
                  <w:rPr>
                    <w:rFonts w:ascii="Palatino Linotype" w:eastAsia="Palatino Linotype" w:hAnsi="Palatino Linotype" w:cs="Palatino Linotype"/>
                    <w:b/>
                    <w:bCs/>
                    <w:szCs w:val="22"/>
                  </w:rPr>
                </w:pPr>
                <w:r w:rsidRPr="000407C5">
                  <w:rPr>
                    <w:rFonts w:ascii="Palatino Linotype" w:eastAsia="Palatino Linotype" w:hAnsi="Palatino Linotype" w:cs="Palatino Linotype"/>
                    <w:b/>
                    <w:bCs/>
                    <w:szCs w:val="22"/>
                  </w:rPr>
                  <w:t>Sujeto Obligado:</w:t>
                </w:r>
              </w:p>
            </w:tc>
            <w:tc>
              <w:tcPr>
                <w:tcW w:w="5386" w:type="dxa"/>
                <w:shd w:val="clear" w:color="auto" w:fill="auto"/>
              </w:tcPr>
              <w:p w:rsidR="007A5603" w:rsidRPr="000407C5" w:rsidRDefault="000655B2" w:rsidP="006D3ABD">
                <w:pPr>
                  <w:tabs>
                    <w:tab w:val="left" w:pos="3122"/>
                    <w:tab w:val="right" w:pos="8838"/>
                  </w:tabs>
                  <w:ind w:right="-1552"/>
                  <w:jc w:val="both"/>
                  <w:rPr>
                    <w:rFonts w:ascii="Palatino Linotype" w:eastAsia="Palatino Linotype" w:hAnsi="Palatino Linotype" w:cs="Palatino Linotype"/>
                    <w:szCs w:val="22"/>
                  </w:rPr>
                </w:pPr>
                <w:r w:rsidRPr="000407C5">
                  <w:rPr>
                    <w:rFonts w:ascii="Palatino Linotype" w:eastAsia="Palatino Linotype" w:hAnsi="Palatino Linotype" w:cs="Palatino Linotype"/>
                    <w:szCs w:val="22"/>
                  </w:rPr>
                  <w:t>Ayuntamiento de Toluca</w:t>
                </w:r>
              </w:p>
            </w:tc>
          </w:tr>
          <w:tr w:rsidR="007A5603" w:rsidTr="000407C5">
            <w:trPr>
              <w:trHeight w:val="283"/>
            </w:trPr>
            <w:tc>
              <w:tcPr>
                <w:tcW w:w="2582" w:type="dxa"/>
                <w:shd w:val="clear" w:color="auto" w:fill="auto"/>
              </w:tcPr>
              <w:p w:rsidR="007A5603" w:rsidRPr="000407C5" w:rsidRDefault="000655B2" w:rsidP="000407C5">
                <w:pPr>
                  <w:tabs>
                    <w:tab w:val="right" w:pos="8838"/>
                  </w:tabs>
                  <w:ind w:left="-85" w:right="-105"/>
                  <w:jc w:val="both"/>
                  <w:rPr>
                    <w:rFonts w:ascii="Palatino Linotype" w:eastAsia="Palatino Linotype" w:hAnsi="Palatino Linotype" w:cs="Palatino Linotype"/>
                    <w:b/>
                    <w:bCs/>
                    <w:szCs w:val="22"/>
                  </w:rPr>
                </w:pPr>
                <w:r w:rsidRPr="000407C5">
                  <w:rPr>
                    <w:rFonts w:ascii="Palatino Linotype" w:eastAsia="Palatino Linotype" w:hAnsi="Palatino Linotype" w:cs="Palatino Linotype"/>
                    <w:b/>
                    <w:bCs/>
                    <w:szCs w:val="22"/>
                  </w:rPr>
                  <w:t>Comisionada ponente:</w:t>
                </w:r>
              </w:p>
            </w:tc>
            <w:tc>
              <w:tcPr>
                <w:tcW w:w="5386" w:type="dxa"/>
                <w:shd w:val="clear" w:color="auto" w:fill="auto"/>
              </w:tcPr>
              <w:p w:rsidR="007A5603" w:rsidRPr="000407C5" w:rsidRDefault="000655B2" w:rsidP="006D3ABD">
                <w:pPr>
                  <w:tabs>
                    <w:tab w:val="right" w:pos="8838"/>
                  </w:tabs>
                  <w:ind w:right="-1552"/>
                  <w:jc w:val="both"/>
                  <w:rPr>
                    <w:rFonts w:ascii="Palatino Linotype" w:eastAsia="Palatino Linotype" w:hAnsi="Palatino Linotype" w:cs="Palatino Linotype"/>
                    <w:szCs w:val="22"/>
                  </w:rPr>
                </w:pPr>
                <w:r w:rsidRPr="000407C5">
                  <w:rPr>
                    <w:rFonts w:ascii="Palatino Linotype" w:eastAsia="Palatino Linotype" w:hAnsi="Palatino Linotype" w:cs="Palatino Linotype"/>
                    <w:szCs w:val="22"/>
                  </w:rPr>
                  <w:t>María del Rosario Mejía Ayala</w:t>
                </w:r>
              </w:p>
              <w:p w:rsidR="007A5603" w:rsidRPr="000407C5" w:rsidRDefault="007A5603" w:rsidP="006D3ABD">
                <w:pPr>
                  <w:tabs>
                    <w:tab w:val="right" w:pos="8838"/>
                  </w:tabs>
                  <w:ind w:right="-1552"/>
                  <w:jc w:val="both"/>
                  <w:rPr>
                    <w:rFonts w:ascii="Palatino Linotype" w:eastAsia="Palatino Linotype" w:hAnsi="Palatino Linotype" w:cs="Palatino Linotype"/>
                    <w:szCs w:val="22"/>
                  </w:rPr>
                </w:pPr>
              </w:p>
            </w:tc>
          </w:tr>
        </w:tbl>
        <w:p w:rsidR="007A5603" w:rsidRDefault="007A5603">
          <w:pPr>
            <w:tabs>
              <w:tab w:val="right" w:pos="8838"/>
            </w:tabs>
            <w:ind w:left="-28"/>
            <w:jc w:val="both"/>
            <w:rPr>
              <w:rFonts w:ascii="Arial" w:eastAsia="Arial" w:hAnsi="Arial" w:cs="Arial"/>
              <w:b/>
              <w:bCs/>
              <w:sz w:val="22"/>
              <w:szCs w:val="22"/>
            </w:rPr>
          </w:pPr>
        </w:p>
      </w:tc>
    </w:tr>
  </w:tbl>
  <w:p w:rsidR="007A5603" w:rsidRDefault="00E074F1">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6C0A83"/>
    <w:multiLevelType w:val="hybridMultilevel"/>
    <w:tmpl w:val="5AD04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FFB1189"/>
    <w:multiLevelType w:val="multilevel"/>
    <w:tmpl w:val="C93A535A"/>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194436A"/>
    <w:multiLevelType w:val="multilevel"/>
    <w:tmpl w:val="D186A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6077083"/>
    <w:multiLevelType w:val="multilevel"/>
    <w:tmpl w:val="1FE028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ED760F2"/>
    <w:multiLevelType w:val="multilevel"/>
    <w:tmpl w:val="E2ECFE72"/>
    <w:lvl w:ilvl="0">
      <w:start w:val="1"/>
      <w:numFmt w:val="decimal"/>
      <w:lvlText w:val="%1."/>
      <w:lvlJc w:val="left"/>
      <w:pPr>
        <w:ind w:left="925"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E9B079D"/>
    <w:multiLevelType w:val="multilevel"/>
    <w:tmpl w:val="6B5AD4D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1307BD9"/>
    <w:multiLevelType w:val="multilevel"/>
    <w:tmpl w:val="EB02434E"/>
    <w:lvl w:ilvl="0">
      <w:numFmt w:val="bullet"/>
      <w:lvlText w:val="•"/>
      <w:lvlJc w:val="left"/>
      <w:pPr>
        <w:ind w:left="1080" w:hanging="72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7CD841F1"/>
    <w:multiLevelType w:val="multilevel"/>
    <w:tmpl w:val="1C36B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2"/>
  </w:num>
  <w:num w:numId="3">
    <w:abstractNumId w:val="3"/>
  </w:num>
  <w:num w:numId="4">
    <w:abstractNumId w:val="6"/>
  </w:num>
  <w:num w:numId="5">
    <w:abstractNumId w:val="4"/>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603"/>
    <w:rsid w:val="00007110"/>
    <w:rsid w:val="000407C5"/>
    <w:rsid w:val="000655B2"/>
    <w:rsid w:val="000C5A41"/>
    <w:rsid w:val="001B6795"/>
    <w:rsid w:val="00375317"/>
    <w:rsid w:val="006D3ABD"/>
    <w:rsid w:val="007A5603"/>
    <w:rsid w:val="008C2CAB"/>
    <w:rsid w:val="00C13961"/>
    <w:rsid w:val="00DE1F15"/>
    <w:rsid w:val="00E074F1"/>
    <w:rsid w:val="00E33FA4"/>
    <w:rsid w:val="00F27A47"/>
    <w:rsid w:val="00FC4D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9A01C69B-ACF8-4718-A3D5-E247E0EA3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character" w:customStyle="1" w:styleId="Ttulo2Car">
    <w:name w:val="Título 2 Car"/>
    <w:basedOn w:val="Fuentedeprrafopredeter"/>
    <w:uiPriority w:val="9"/>
    <w:rsid w:val="00835EC8"/>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835EC8"/>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835EC8"/>
    <w:rPr>
      <w:rFonts w:ascii="Century Gothic" w:eastAsia="Times New Roman" w:hAnsi="Century Gothic" w:cs="Times New Roman"/>
      <w:szCs w:val="24"/>
      <w:lang w:eastAsia="es-MX"/>
    </w:rPr>
  </w:style>
  <w:style w:type="character" w:styleId="Hipervnculo">
    <w:name w:val="Hyperlink"/>
    <w:aliases w:val="Hipervínculo1,Hipervínculo11,Hipervínculo12,Hipervínculo13,Hipervínculo14,Hipervínculo15"/>
    <w:uiPriority w:val="99"/>
    <w:unhideWhenUsed/>
    <w:rsid w:val="00835EC8"/>
    <w:rPr>
      <w:color w:val="0563C1"/>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35EC8"/>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locked/>
    <w:rsid w:val="00835EC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35EC8"/>
    <w:rPr>
      <w:rFonts w:asciiTheme="minorHAnsi" w:eastAsiaTheme="minorHAnsi" w:hAnsiTheme="minorHAnsi" w:cstheme="minorBidi"/>
      <w:sz w:val="20"/>
      <w:szCs w:val="20"/>
      <w:lang w:eastAsia="en-US"/>
    </w:rPr>
  </w:style>
  <w:style w:type="character" w:customStyle="1" w:styleId="TextonotapieCar1">
    <w:name w:val="Texto nota pie Car1"/>
    <w:basedOn w:val="Fuentedeprrafopredeter"/>
    <w:uiPriority w:val="99"/>
    <w:semiHidden/>
    <w:rsid w:val="00835EC8"/>
    <w:rPr>
      <w:rFonts w:ascii="Times New Roman" w:eastAsia="Times New Roman" w:hAnsi="Times New Roman" w:cs="Times New Roman"/>
      <w:sz w:val="20"/>
      <w:szCs w:val="20"/>
      <w:lang w:eastAsia="es-MX"/>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9D378D"/>
    <w:rPr>
      <w:sz w:val="16"/>
      <w:szCs w:val="16"/>
    </w:rPr>
  </w:style>
  <w:style w:type="paragraph" w:styleId="Textocomentario">
    <w:name w:val="annotation text"/>
    <w:basedOn w:val="Normal"/>
    <w:link w:val="TextocomentarioCar"/>
    <w:uiPriority w:val="99"/>
    <w:semiHidden/>
    <w:unhideWhenUsed/>
    <w:rsid w:val="009D378D"/>
    <w:rPr>
      <w:sz w:val="20"/>
      <w:szCs w:val="20"/>
    </w:rPr>
  </w:style>
  <w:style w:type="character" w:customStyle="1" w:styleId="TextocomentarioCar">
    <w:name w:val="Texto comentario Car"/>
    <w:basedOn w:val="Fuentedeprrafopredeter"/>
    <w:link w:val="Textocomentario"/>
    <w:uiPriority w:val="99"/>
    <w:semiHidden/>
    <w:rsid w:val="009D378D"/>
    <w:rPr>
      <w:sz w:val="20"/>
      <w:szCs w:val="20"/>
    </w:rPr>
  </w:style>
  <w:style w:type="paragraph" w:styleId="Asuntodelcomentario">
    <w:name w:val="annotation subject"/>
    <w:basedOn w:val="Textocomentario"/>
    <w:next w:val="Textocomentario"/>
    <w:link w:val="AsuntodelcomentarioCar"/>
    <w:uiPriority w:val="99"/>
    <w:semiHidden/>
    <w:unhideWhenUsed/>
    <w:rsid w:val="009D378D"/>
    <w:rPr>
      <w:b/>
      <w:bCs/>
    </w:rPr>
  </w:style>
  <w:style w:type="character" w:customStyle="1" w:styleId="AsuntodelcomentarioCar">
    <w:name w:val="Asunto del comentario Car"/>
    <w:basedOn w:val="TextocomentarioCar"/>
    <w:link w:val="Asuntodelcomentario"/>
    <w:uiPriority w:val="99"/>
    <w:semiHidden/>
    <w:rsid w:val="009D378D"/>
    <w:rPr>
      <w:b/>
      <w:bCs/>
      <w:sz w:val="20"/>
      <w:szCs w:val="20"/>
    </w:rPr>
  </w:style>
  <w:style w:type="paragraph" w:styleId="Textodeglobo">
    <w:name w:val="Balloon Text"/>
    <w:basedOn w:val="Normal"/>
    <w:link w:val="TextodegloboCar"/>
    <w:uiPriority w:val="99"/>
    <w:semiHidden/>
    <w:unhideWhenUsed/>
    <w:rsid w:val="009D378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D378D"/>
    <w:rPr>
      <w:rFonts w:ascii="Segoe UI" w:hAnsi="Segoe UI" w:cs="Segoe UI"/>
      <w:sz w:val="18"/>
      <w:szCs w:val="18"/>
    </w:rPr>
  </w:style>
  <w:style w:type="paragraph" w:styleId="Piedepgina">
    <w:name w:val="footer"/>
    <w:basedOn w:val="Normal"/>
    <w:link w:val="PiedepginaCar"/>
    <w:uiPriority w:val="99"/>
    <w:unhideWhenUsed/>
    <w:rsid w:val="008936E7"/>
    <w:pPr>
      <w:tabs>
        <w:tab w:val="center" w:pos="4419"/>
        <w:tab w:val="right" w:pos="8838"/>
      </w:tabs>
    </w:pPr>
  </w:style>
  <w:style w:type="character" w:customStyle="1" w:styleId="PiedepginaCar">
    <w:name w:val="Pie de página Car"/>
    <w:basedOn w:val="Fuentedeprrafopredeter"/>
    <w:link w:val="Piedepgina"/>
    <w:uiPriority w:val="99"/>
    <w:rsid w:val="008936E7"/>
  </w:style>
  <w:style w:type="table" w:customStyle="1" w:styleId="Tablanormal13">
    <w:name w:val="Tabla normal 13"/>
    <w:basedOn w:val="Tablanormal"/>
    <w:next w:val="Tablanormal1"/>
    <w:uiPriority w:val="41"/>
    <w:rsid w:val="00AF5D34"/>
    <w:rPr>
      <w:rFonts w:asciiTheme="minorHAnsi" w:eastAsiaTheme="minorHAnsi" w:hAnsiTheme="minorHAnsi" w:cstheme="minorBidi"/>
      <w:sz w:val="22"/>
      <w:szCs w:val="22"/>
      <w:lang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AF5D3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visitado">
    <w:name w:val="FollowedHyperlink"/>
    <w:basedOn w:val="Fuentedeprrafopredeter"/>
    <w:uiPriority w:val="99"/>
    <w:semiHidden/>
    <w:unhideWhenUsed/>
    <w:rsid w:val="000D6271"/>
    <w:rPr>
      <w:color w:val="954F72" w:themeColor="followedHyperlink"/>
      <w:u w:val="single"/>
    </w:rPr>
  </w:style>
  <w:style w:type="table" w:styleId="Tablaconcuadrcula">
    <w:name w:val="Table Grid"/>
    <w:basedOn w:val="Tablanormal"/>
    <w:uiPriority w:val="39"/>
    <w:rsid w:val="000D62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rPr>
      <w:rFonts w:ascii="Calibri" w:eastAsia="Calibri" w:hAnsi="Calibri" w:cs="Calibri"/>
      <w:sz w:val="22"/>
      <w:szCs w:val="22"/>
    </w:rPr>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850EB3"/>
    <w:pPr>
      <w:spacing w:before="100" w:beforeAutospacing="1" w:after="100" w:afterAutospacing="1"/>
    </w:pPr>
  </w:style>
  <w:style w:type="paragraph" w:customStyle="1" w:styleId="m5907675151158779931gmail-msolistparagraph">
    <w:name w:val="m_5907675151158779931gmail-msolistparagraph"/>
    <w:basedOn w:val="Normal"/>
    <w:rsid w:val="00F32383"/>
    <w:pPr>
      <w:spacing w:before="100" w:beforeAutospacing="1" w:after="100" w:afterAutospacing="1"/>
    </w:pPr>
  </w:style>
  <w:style w:type="paragraph" w:styleId="Textoindependiente">
    <w:name w:val="Body Text"/>
    <w:basedOn w:val="Normal"/>
    <w:link w:val="TextoindependienteCar"/>
    <w:rsid w:val="00FD0C3F"/>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FD0C3F"/>
    <w:rPr>
      <w:rFonts w:ascii="Arial" w:hAnsi="Arial"/>
      <w:szCs w:val="20"/>
      <w:lang w:val="es-ES_tradnl" w:eastAsia="es-ES"/>
    </w:rPr>
  </w:style>
  <w:style w:type="paragraph" w:styleId="Sinespaciado">
    <w:name w:val="No Spacing"/>
    <w:aliases w:val="Francesa,INAI,Fundamentos"/>
    <w:link w:val="SinespaciadoCar"/>
    <w:uiPriority w:val="1"/>
    <w:qFormat/>
    <w:rsid w:val="00AC68B1"/>
    <w:rPr>
      <w:rFonts w:asciiTheme="minorHAnsi" w:eastAsiaTheme="minorEastAsia" w:hAnsiTheme="minorHAnsi" w:cstheme="minorBidi"/>
      <w:lang w:val="es-ES_tradnl" w:eastAsia="es-ES"/>
    </w:rPr>
  </w:style>
  <w:style w:type="character" w:customStyle="1" w:styleId="SinespaciadoCar">
    <w:name w:val="Sin espaciado Car"/>
    <w:aliases w:val="Francesa Car,INAI Car,Fundamentos Car"/>
    <w:link w:val="Sinespaciado"/>
    <w:uiPriority w:val="1"/>
    <w:qFormat/>
    <w:locked/>
    <w:rsid w:val="00AC68B1"/>
    <w:rPr>
      <w:rFonts w:asciiTheme="minorHAnsi" w:eastAsiaTheme="minorEastAsia" w:hAnsiTheme="minorHAnsi" w:cstheme="minorBidi"/>
      <w:lang w:val="es-ES_tradnl" w:eastAsia="es-ES"/>
    </w:rPr>
  </w:style>
  <w:style w:type="character" w:customStyle="1" w:styleId="uv3um">
    <w:name w:val="uv3um"/>
    <w:basedOn w:val="Fuentedeprrafopredeter"/>
    <w:rsid w:val="004D0BA4"/>
  </w:style>
  <w:style w:type="table" w:customStyle="1" w:styleId="a9">
    <w:basedOn w:val="TableNormal2"/>
    <w:tblPr>
      <w:tblStyleRowBandSize w:val="1"/>
      <w:tblStyleColBandSize w:val="1"/>
      <w:tblCellMar>
        <w:left w:w="115" w:type="dxa"/>
        <w:right w:w="115" w:type="dxa"/>
      </w:tblCellMar>
    </w:tblPr>
  </w:style>
  <w:style w:type="table" w:customStyle="1" w:styleId="aa">
    <w:basedOn w:val="TableNormal2"/>
    <w:tblPr>
      <w:tblStyleRowBandSize w:val="1"/>
      <w:tblStyleColBandSize w:val="1"/>
      <w:tblCellMar>
        <w:left w:w="1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paragraph" w:styleId="Lista2">
    <w:name w:val="List 2"/>
    <w:basedOn w:val="Normal"/>
    <w:uiPriority w:val="99"/>
    <w:unhideWhenUsed/>
    <w:rsid w:val="001640EA"/>
    <w:pPr>
      <w:ind w:left="566" w:hanging="283"/>
      <w:contextualSpacing/>
    </w:pPr>
    <w:rPr>
      <w:rFonts w:asciiTheme="minorHAnsi" w:eastAsiaTheme="minorEastAsia" w:hAnsiTheme="minorHAnsi" w:cstheme="minorBidi"/>
      <w:lang w:val="es-ES_tradnl" w:eastAsia="es-ES"/>
    </w:rPr>
  </w:style>
  <w:style w:type="paragraph" w:styleId="Sangradetextonormal">
    <w:name w:val="Body Text Indent"/>
    <w:basedOn w:val="Normal"/>
    <w:link w:val="SangradetextonormalCar"/>
    <w:uiPriority w:val="99"/>
    <w:unhideWhenUsed/>
    <w:rsid w:val="001640EA"/>
    <w:pPr>
      <w:spacing w:after="120"/>
      <w:ind w:left="283"/>
    </w:pPr>
    <w:rPr>
      <w:rFonts w:asciiTheme="minorHAnsi" w:eastAsiaTheme="minorEastAsia" w:hAnsiTheme="minorHAnsi" w:cstheme="minorBidi"/>
      <w:lang w:val="es-ES_tradnl" w:eastAsia="es-ES"/>
    </w:rPr>
  </w:style>
  <w:style w:type="character" w:customStyle="1" w:styleId="SangradetextonormalCar">
    <w:name w:val="Sangría de texto normal Car"/>
    <w:basedOn w:val="Fuentedeprrafopredeter"/>
    <w:link w:val="Sangradetextonormal"/>
    <w:uiPriority w:val="99"/>
    <w:rsid w:val="001640EA"/>
    <w:rPr>
      <w:rFonts w:asciiTheme="minorHAnsi" w:eastAsiaTheme="minorEastAsia" w:hAnsiTheme="minorHAnsi" w:cstheme="minorBidi"/>
      <w:lang w:val="es-ES_tradnl" w:eastAsia="es-ES"/>
    </w:rPr>
  </w:style>
  <w:style w:type="paragraph" w:styleId="Textoindependienteprimerasangra2">
    <w:name w:val="Body Text First Indent 2"/>
    <w:basedOn w:val="Sangradetextonormal"/>
    <w:link w:val="Textoindependienteprimerasangra2Car"/>
    <w:uiPriority w:val="99"/>
    <w:unhideWhenUsed/>
    <w:rsid w:val="001640E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640EA"/>
    <w:rPr>
      <w:rFonts w:asciiTheme="minorHAnsi" w:eastAsiaTheme="minorEastAsia" w:hAnsiTheme="minorHAnsi" w:cstheme="minorBidi"/>
      <w:lang w:val="es-ES_tradnl" w:eastAsia="es-ES"/>
    </w:rPr>
  </w:style>
  <w:style w:type="table" w:customStyle="1" w:styleId="ad">
    <w:basedOn w:val="TableNormal1"/>
    <w:tblPr>
      <w:tblStyleRowBandSize w:val="1"/>
      <w:tblStyleColBandSize w:val="1"/>
      <w:tblCellMar>
        <w:left w:w="115" w:type="dxa"/>
        <w:right w:w="115" w:type="dxa"/>
      </w:tblCellMar>
    </w:tblPr>
  </w:style>
  <w:style w:type="table" w:customStyle="1" w:styleId="ae">
    <w:basedOn w:val="TableNormal1"/>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115" w:type="dxa"/>
        <w:bottom w:w="0" w:type="dxa"/>
        <w:right w:w="115"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446608.page"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saimex.org.mx/saimex/solicitud/downloadAttach/2448045.page"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UTd+UJOM3M4h119yLZquJOlcXQ==">CgMxLjAyCWguM3pueXNoNzIOaC4ydjIzMGtuaWRleTIyCWguM2R5NnZrbTIOaC4ycHFhNG1nbGtndjIyCWguMzBqMHpsbDIJaC4yczhleW8xMg5oLjh0Z3E5YW0yeHk2djIJaC4yNmluMXJnMgloLjM1bmt1bjIyDWguazA2cmRlNzV0Mzg4AHIhMUt5NDJjZWRMWFF5bFVyMGl5c1M5WU1VSlVlT3liUFY3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30</Pages>
  <Words>7551</Words>
  <Characters>41535</Characters>
  <Application>Microsoft Office Word</Application>
  <DocSecurity>0</DocSecurity>
  <Lines>346</Lines>
  <Paragraphs>97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48989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INFOEM521</dc:creator>
  <cp:lastModifiedBy>Cuenta Microsoft</cp:lastModifiedBy>
  <cp:revision>9</cp:revision>
  <cp:lastPrinted>2026-03-12T23:14:00Z</cp:lastPrinted>
  <dcterms:created xsi:type="dcterms:W3CDTF">2026-03-10T20:07:00Z</dcterms:created>
  <dcterms:modified xsi:type="dcterms:W3CDTF">2026-03-19T16:39:00Z</dcterms:modified>
</cp:coreProperties>
</file>