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98757" w14:textId="780095A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047831" w:rsidRPr="00BB7CE8">
        <w:rPr>
          <w:rFonts w:ascii="Palatino Linotype" w:eastAsia="Palatino Linotype" w:hAnsi="Palatino Linotype" w:cs="Palatino Linotype"/>
          <w:b/>
          <w:bCs/>
          <w:sz w:val="22"/>
          <w:szCs w:val="22"/>
        </w:rPr>
        <w:t>veinticinco</w:t>
      </w:r>
      <w:r w:rsidRPr="00BB7CE8">
        <w:rPr>
          <w:rFonts w:ascii="Palatino Linotype" w:eastAsia="Palatino Linotype" w:hAnsi="Palatino Linotype" w:cs="Palatino Linotype"/>
          <w:b/>
          <w:bCs/>
          <w:sz w:val="22"/>
          <w:szCs w:val="22"/>
        </w:rPr>
        <w:t xml:space="preserve"> de </w:t>
      </w:r>
      <w:r w:rsidR="00047831" w:rsidRPr="00BB7CE8">
        <w:rPr>
          <w:rFonts w:ascii="Palatino Linotype" w:eastAsia="Palatino Linotype" w:hAnsi="Palatino Linotype" w:cs="Palatino Linotype"/>
          <w:b/>
          <w:bCs/>
          <w:sz w:val="22"/>
          <w:szCs w:val="22"/>
        </w:rPr>
        <w:t>febrero</w:t>
      </w:r>
      <w:r w:rsidRPr="00BB7CE8">
        <w:rPr>
          <w:rFonts w:ascii="Palatino Linotype" w:eastAsia="Palatino Linotype" w:hAnsi="Palatino Linotype" w:cs="Palatino Linotype"/>
          <w:b/>
          <w:bCs/>
          <w:sz w:val="22"/>
          <w:szCs w:val="22"/>
        </w:rPr>
        <w:t xml:space="preserve"> de dos mil veintiséis.</w:t>
      </w:r>
    </w:p>
    <w:p w14:paraId="18E9CFCD"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5CD5B1FB" w14:textId="64685D6B" w:rsidR="00A40B65" w:rsidRPr="00BB7CE8" w:rsidRDefault="00E5237A">
      <w:pPr>
        <w:tabs>
          <w:tab w:val="left" w:pos="5812"/>
        </w:tabs>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t>Visto</w:t>
      </w:r>
      <w:r w:rsidRPr="00BB7CE8">
        <w:rPr>
          <w:rFonts w:ascii="Palatino Linotype" w:eastAsia="Palatino Linotype" w:hAnsi="Palatino Linotype" w:cs="Palatino Linotype"/>
          <w:sz w:val="22"/>
          <w:szCs w:val="22"/>
        </w:rPr>
        <w:t xml:space="preserve"> el expediente formado con motivo del recurso de revisión </w:t>
      </w:r>
      <w:r w:rsidR="00047831" w:rsidRPr="00BB7CE8">
        <w:rPr>
          <w:rFonts w:ascii="Palatino Linotype" w:eastAsia="Palatino Linotype" w:hAnsi="Palatino Linotype" w:cs="Palatino Linotype"/>
          <w:b/>
          <w:bCs/>
          <w:sz w:val="22"/>
          <w:szCs w:val="22"/>
        </w:rPr>
        <w:t>12289/INFOEM/IP/RR/2025</w:t>
      </w:r>
      <w:r w:rsidRPr="00BB7CE8">
        <w:rPr>
          <w:rFonts w:ascii="Palatino Linotype" w:eastAsia="Palatino Linotype" w:hAnsi="Palatino Linotype" w:cs="Palatino Linotype"/>
          <w:sz w:val="22"/>
          <w:szCs w:val="22"/>
        </w:rPr>
        <w:t>, interpuesto por</w:t>
      </w:r>
      <w:r w:rsidRPr="00BB7CE8">
        <w:rPr>
          <w:rFonts w:ascii="Palatino Linotype" w:eastAsia="Palatino Linotype" w:hAnsi="Palatino Linotype" w:cs="Palatino Linotype"/>
          <w:b/>
          <w:bCs/>
          <w:sz w:val="22"/>
          <w:szCs w:val="22"/>
        </w:rPr>
        <w:t xml:space="preserve"> </w:t>
      </w:r>
      <w:r w:rsidR="00704963" w:rsidRPr="00704963">
        <w:rPr>
          <w:rFonts w:ascii="Palatino Linotype" w:eastAsia="Palatino Linotype" w:hAnsi="Palatino Linotype" w:cs="Palatino Linotype"/>
          <w:b/>
          <w:bCs/>
          <w:sz w:val="22"/>
          <w:szCs w:val="22"/>
        </w:rPr>
        <w:t xml:space="preserve">XXXXX XXXXXX XXXXXXXX </w:t>
      </w:r>
      <w:bookmarkStart w:id="0" w:name="_GoBack"/>
      <w:bookmarkEnd w:id="0"/>
      <w:r w:rsidRPr="00BB7CE8">
        <w:rPr>
          <w:rFonts w:ascii="Palatino Linotype" w:eastAsia="Palatino Linotype" w:hAnsi="Palatino Linotype" w:cs="Palatino Linotype"/>
          <w:sz w:val="22"/>
          <w:szCs w:val="22"/>
        </w:rPr>
        <w:t>en lo sucesivo,</w:t>
      </w:r>
      <w:r w:rsidRPr="00BB7CE8">
        <w:rPr>
          <w:rFonts w:ascii="Palatino Linotype" w:eastAsia="Palatino Linotype" w:hAnsi="Palatino Linotype" w:cs="Palatino Linotype"/>
          <w:b/>
          <w:bCs/>
          <w:sz w:val="22"/>
          <w:szCs w:val="22"/>
        </w:rPr>
        <w:t xml:space="preserve"> la parte</w:t>
      </w:r>
      <w:r w:rsidRPr="00BB7CE8">
        <w:rPr>
          <w:rFonts w:ascii="Palatino Linotype" w:eastAsia="Palatino Linotype" w:hAnsi="Palatino Linotype" w:cs="Palatino Linotype"/>
          <w:sz w:val="22"/>
          <w:szCs w:val="22"/>
        </w:rPr>
        <w:t xml:space="preserve"> </w:t>
      </w:r>
      <w:r w:rsidRPr="00BB7CE8">
        <w:rPr>
          <w:rFonts w:ascii="Palatino Linotype" w:eastAsia="Palatino Linotype" w:hAnsi="Palatino Linotype" w:cs="Palatino Linotype"/>
          <w:b/>
          <w:bCs/>
          <w:sz w:val="22"/>
          <w:szCs w:val="22"/>
        </w:rPr>
        <w:t>Recurrente,</w:t>
      </w:r>
      <w:r w:rsidRPr="00BB7CE8">
        <w:rPr>
          <w:rFonts w:ascii="Palatino Linotype" w:eastAsia="Palatino Linotype" w:hAnsi="Palatino Linotype" w:cs="Palatino Linotype"/>
          <w:sz w:val="22"/>
          <w:szCs w:val="22"/>
        </w:rPr>
        <w:t xml:space="preserve"> en contra de la respuesta a la solicitud de información con número de folio</w:t>
      </w:r>
      <w:r w:rsidRPr="00BB7CE8">
        <w:rPr>
          <w:rFonts w:ascii="Palatino Linotype" w:eastAsia="Palatino Linotype" w:hAnsi="Palatino Linotype" w:cs="Palatino Linotype"/>
          <w:b/>
          <w:bCs/>
          <w:sz w:val="22"/>
          <w:szCs w:val="22"/>
        </w:rPr>
        <w:t xml:space="preserve"> 0</w:t>
      </w:r>
      <w:r w:rsidR="00047831" w:rsidRPr="00BB7CE8">
        <w:rPr>
          <w:rFonts w:ascii="Palatino Linotype" w:eastAsia="Palatino Linotype" w:hAnsi="Palatino Linotype" w:cs="Palatino Linotype"/>
          <w:b/>
          <w:bCs/>
          <w:sz w:val="22"/>
          <w:szCs w:val="22"/>
        </w:rPr>
        <w:t>1484</w:t>
      </w:r>
      <w:r w:rsidRPr="00BB7CE8">
        <w:rPr>
          <w:rFonts w:ascii="Palatino Linotype" w:eastAsia="Palatino Linotype" w:hAnsi="Palatino Linotype" w:cs="Palatino Linotype"/>
          <w:b/>
          <w:bCs/>
          <w:sz w:val="22"/>
          <w:szCs w:val="22"/>
        </w:rPr>
        <w:t>/</w:t>
      </w:r>
      <w:r w:rsidR="00047831" w:rsidRPr="00BB7CE8">
        <w:rPr>
          <w:rFonts w:ascii="Palatino Linotype" w:eastAsia="Palatino Linotype" w:hAnsi="Palatino Linotype" w:cs="Palatino Linotype"/>
          <w:b/>
          <w:bCs/>
          <w:sz w:val="22"/>
          <w:szCs w:val="22"/>
        </w:rPr>
        <w:t>CUAUTIZC</w:t>
      </w:r>
      <w:r w:rsidRPr="00BB7CE8">
        <w:rPr>
          <w:rFonts w:ascii="Palatino Linotype" w:eastAsia="Palatino Linotype" w:hAnsi="Palatino Linotype" w:cs="Palatino Linotype"/>
          <w:b/>
          <w:bCs/>
          <w:sz w:val="22"/>
          <w:szCs w:val="22"/>
        </w:rPr>
        <w:t xml:space="preserve">/IP/2025, </w:t>
      </w:r>
      <w:r w:rsidRPr="00BB7CE8">
        <w:rPr>
          <w:rFonts w:ascii="Palatino Linotype" w:eastAsia="Palatino Linotype" w:hAnsi="Palatino Linotype" w:cs="Palatino Linotype"/>
          <w:sz w:val="22"/>
          <w:szCs w:val="22"/>
        </w:rPr>
        <w:t xml:space="preserve">por parte del </w:t>
      </w:r>
      <w:r w:rsidR="00047831" w:rsidRPr="00BB7CE8">
        <w:rPr>
          <w:rFonts w:ascii="Palatino Linotype" w:eastAsia="Palatino Linotype" w:hAnsi="Palatino Linotype" w:cs="Palatino Linotype"/>
          <w:b/>
          <w:bCs/>
          <w:sz w:val="22"/>
          <w:szCs w:val="22"/>
        </w:rPr>
        <w:t>Ayuntamiento de Cuautitlán Izcalli</w:t>
      </w:r>
      <w:r w:rsidRPr="00BB7CE8">
        <w:rPr>
          <w:rFonts w:ascii="Palatino Linotype" w:eastAsia="Palatino Linotype" w:hAnsi="Palatino Linotype" w:cs="Palatino Linotype"/>
          <w:b/>
          <w:bCs/>
          <w:sz w:val="22"/>
          <w:szCs w:val="22"/>
        </w:rPr>
        <w:t xml:space="preserve">, </w:t>
      </w:r>
      <w:r w:rsidRPr="00BB7CE8">
        <w:rPr>
          <w:rFonts w:ascii="Palatino Linotype" w:eastAsia="Palatino Linotype" w:hAnsi="Palatino Linotype" w:cs="Palatino Linotype"/>
          <w:sz w:val="22"/>
          <w:szCs w:val="22"/>
        </w:rPr>
        <w:t xml:space="preserve">en lo sucesivo el </w:t>
      </w:r>
      <w:r w:rsidRPr="00BB7CE8">
        <w:rPr>
          <w:rFonts w:ascii="Palatino Linotype" w:eastAsia="Palatino Linotype" w:hAnsi="Palatino Linotype" w:cs="Palatino Linotype"/>
          <w:b/>
          <w:bCs/>
          <w:sz w:val="22"/>
          <w:szCs w:val="22"/>
        </w:rPr>
        <w:t xml:space="preserve">Sujeto Obligado, </w:t>
      </w:r>
      <w:r w:rsidRPr="00BB7CE8">
        <w:rPr>
          <w:rFonts w:ascii="Palatino Linotype" w:eastAsia="Palatino Linotype" w:hAnsi="Palatino Linotype" w:cs="Palatino Linotype"/>
          <w:sz w:val="22"/>
          <w:szCs w:val="22"/>
        </w:rPr>
        <w:t xml:space="preserve">se procede a dictar la presente resolución con base en los siguientes: </w:t>
      </w:r>
    </w:p>
    <w:p w14:paraId="0D19C11B" w14:textId="77777777" w:rsidR="00A40B65" w:rsidRPr="00BB7CE8" w:rsidRDefault="00E5237A">
      <w:pPr>
        <w:spacing w:line="360" w:lineRule="auto"/>
        <w:jc w:val="center"/>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b/>
          <w:bCs/>
          <w:sz w:val="22"/>
          <w:szCs w:val="22"/>
        </w:rPr>
        <w:t>I. A N T E C E D E N T E S</w:t>
      </w:r>
    </w:p>
    <w:p w14:paraId="3011D0E6" w14:textId="77777777" w:rsidR="00A40B65" w:rsidRPr="00BB7CE8" w:rsidRDefault="00A40B65">
      <w:pPr>
        <w:spacing w:line="360" w:lineRule="auto"/>
        <w:jc w:val="center"/>
        <w:rPr>
          <w:rFonts w:ascii="Palatino Linotype" w:eastAsia="Palatino Linotype" w:hAnsi="Palatino Linotype" w:cs="Palatino Linotype"/>
          <w:b/>
          <w:bCs/>
          <w:sz w:val="22"/>
          <w:szCs w:val="22"/>
        </w:rPr>
      </w:pPr>
    </w:p>
    <w:p w14:paraId="3687C1DA" w14:textId="7563C8CA" w:rsidR="00A40B65" w:rsidRPr="00BB7CE8" w:rsidRDefault="00E5237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sz w:val="22"/>
          <w:szCs w:val="22"/>
        </w:rPr>
      </w:pPr>
      <w:bookmarkStart w:id="1" w:name="_heading=h.4d34og8" w:colFirst="0" w:colLast="0"/>
      <w:bookmarkEnd w:id="1"/>
      <w:r w:rsidRPr="00BB7CE8">
        <w:rPr>
          <w:rFonts w:ascii="Palatino Linotype" w:eastAsia="Palatino Linotype" w:hAnsi="Palatino Linotype" w:cs="Palatino Linotype"/>
          <w:b/>
          <w:bCs/>
          <w:sz w:val="22"/>
          <w:szCs w:val="22"/>
        </w:rPr>
        <w:t>Solicitud de acceso a la información.</w:t>
      </w:r>
      <w:r w:rsidRPr="00BB7CE8">
        <w:rPr>
          <w:rFonts w:ascii="Palatino Linotype" w:eastAsia="Palatino Linotype" w:hAnsi="Palatino Linotype" w:cs="Palatino Linotype"/>
          <w:sz w:val="22"/>
          <w:szCs w:val="22"/>
        </w:rPr>
        <w:t xml:space="preserve"> El </w:t>
      </w:r>
      <w:r w:rsidR="00047831" w:rsidRPr="00BB7CE8">
        <w:rPr>
          <w:rFonts w:ascii="Palatino Linotype" w:eastAsia="Palatino Linotype" w:hAnsi="Palatino Linotype" w:cs="Palatino Linotype"/>
          <w:b/>
          <w:bCs/>
          <w:sz w:val="22"/>
          <w:szCs w:val="22"/>
        </w:rPr>
        <w:t>dieciséis</w:t>
      </w:r>
      <w:r w:rsidRPr="00BB7CE8">
        <w:rPr>
          <w:rFonts w:ascii="Palatino Linotype" w:eastAsia="Palatino Linotype" w:hAnsi="Palatino Linotype" w:cs="Palatino Linotype"/>
          <w:b/>
          <w:bCs/>
          <w:sz w:val="22"/>
          <w:szCs w:val="22"/>
        </w:rPr>
        <w:t xml:space="preserve"> de </w:t>
      </w:r>
      <w:r w:rsidR="00047831" w:rsidRPr="00BB7CE8">
        <w:rPr>
          <w:rFonts w:ascii="Palatino Linotype" w:eastAsia="Palatino Linotype" w:hAnsi="Palatino Linotype" w:cs="Palatino Linotype"/>
          <w:b/>
          <w:bCs/>
          <w:sz w:val="22"/>
          <w:szCs w:val="22"/>
        </w:rPr>
        <w:t>octubre</w:t>
      </w:r>
      <w:r w:rsidRPr="00BB7CE8">
        <w:rPr>
          <w:rFonts w:ascii="Palatino Linotype" w:eastAsia="Palatino Linotype" w:hAnsi="Palatino Linotype" w:cs="Palatino Linotype"/>
          <w:b/>
          <w:bCs/>
          <w:sz w:val="22"/>
          <w:szCs w:val="22"/>
        </w:rPr>
        <w:t xml:space="preserve"> de dos mil veinticinco,</w:t>
      </w:r>
      <w:r w:rsidRPr="00BB7CE8">
        <w:rPr>
          <w:rFonts w:ascii="Palatino Linotype" w:eastAsia="Palatino Linotype" w:hAnsi="Palatino Linotype" w:cs="Palatino Linotype"/>
          <w:sz w:val="22"/>
          <w:szCs w:val="22"/>
        </w:rPr>
        <w:t xml:space="preserve"> la parte </w:t>
      </w:r>
      <w:r w:rsidRPr="00BB7CE8">
        <w:rPr>
          <w:rFonts w:ascii="Palatino Linotype" w:eastAsia="Palatino Linotype" w:hAnsi="Palatino Linotype" w:cs="Palatino Linotype"/>
          <w:b/>
          <w:bCs/>
          <w:sz w:val="22"/>
          <w:szCs w:val="22"/>
        </w:rPr>
        <w:t xml:space="preserve">Recurrente </w:t>
      </w:r>
      <w:r w:rsidRPr="00BB7CE8">
        <w:rPr>
          <w:rFonts w:ascii="Palatino Linotype" w:eastAsia="Palatino Linotype" w:hAnsi="Palatino Linotype" w:cs="Palatino Linotype"/>
          <w:sz w:val="22"/>
          <w:szCs w:val="22"/>
        </w:rPr>
        <w:t xml:space="preserve">presentó, a través del Sistema de Acceso a la Información Mexiquense, en lo subsecuente el </w:t>
      </w:r>
      <w:r w:rsidRPr="00BB7CE8">
        <w:rPr>
          <w:rFonts w:ascii="Palatino Linotype" w:eastAsia="Palatino Linotype" w:hAnsi="Palatino Linotype" w:cs="Palatino Linotype"/>
          <w:b/>
          <w:bCs/>
          <w:sz w:val="22"/>
          <w:szCs w:val="22"/>
        </w:rPr>
        <w:t>SAIMEX,</w:t>
      </w:r>
      <w:r w:rsidRPr="00BB7CE8">
        <w:rPr>
          <w:rFonts w:ascii="Palatino Linotype" w:eastAsia="Palatino Linotype" w:hAnsi="Palatino Linotype" w:cs="Palatino Linotype"/>
          <w:sz w:val="22"/>
          <w:szCs w:val="22"/>
        </w:rPr>
        <w:t xml:space="preserve"> ante el </w:t>
      </w:r>
      <w:r w:rsidRPr="00BB7CE8">
        <w:rPr>
          <w:rFonts w:ascii="Palatino Linotype" w:eastAsia="Palatino Linotype" w:hAnsi="Palatino Linotype" w:cs="Palatino Linotype"/>
          <w:b/>
          <w:bCs/>
          <w:sz w:val="22"/>
          <w:szCs w:val="22"/>
        </w:rPr>
        <w:t>Sujeto Obligado</w:t>
      </w:r>
      <w:r w:rsidRPr="00BB7CE8">
        <w:rPr>
          <w:rFonts w:ascii="Palatino Linotype" w:eastAsia="Palatino Linotype" w:hAnsi="Palatino Linotype" w:cs="Palatino Linotype"/>
          <w:sz w:val="22"/>
          <w:szCs w:val="22"/>
        </w:rPr>
        <w:t>, la solicitud de acceso a la información pública,</w:t>
      </w:r>
      <w:r w:rsidRPr="00BB7CE8">
        <w:rPr>
          <w:rFonts w:ascii="Palatino Linotype" w:eastAsia="Palatino Linotype" w:hAnsi="Palatino Linotype" w:cs="Palatino Linotype"/>
          <w:b/>
          <w:bCs/>
          <w:sz w:val="22"/>
          <w:szCs w:val="22"/>
        </w:rPr>
        <w:t xml:space="preserve"> </w:t>
      </w:r>
      <w:r w:rsidRPr="00BB7CE8">
        <w:rPr>
          <w:rFonts w:ascii="Palatino Linotype" w:eastAsia="Palatino Linotype" w:hAnsi="Palatino Linotype" w:cs="Palatino Linotype"/>
          <w:sz w:val="22"/>
          <w:szCs w:val="22"/>
        </w:rPr>
        <w:t xml:space="preserve">mediante la cual requirió la información siguiente: </w:t>
      </w:r>
    </w:p>
    <w:p w14:paraId="112487D0"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417AF235" w14:textId="1098C12D" w:rsidR="00A40B65" w:rsidRPr="00BB7CE8" w:rsidRDefault="00E5237A">
      <w:pPr>
        <w:ind w:left="567" w:right="902"/>
        <w:jc w:val="both"/>
        <w:rPr>
          <w:rFonts w:ascii="Palatino Linotype" w:eastAsia="Palatino Linotype" w:hAnsi="Palatino Linotype" w:cs="Palatino Linotype"/>
          <w:i/>
          <w:iCs/>
          <w:sz w:val="22"/>
          <w:szCs w:val="22"/>
        </w:rPr>
      </w:pPr>
      <w:bookmarkStart w:id="2" w:name="_heading=h.gjdgxs" w:colFirst="0" w:colLast="0"/>
      <w:bookmarkEnd w:id="2"/>
      <w:r w:rsidRPr="00BB7CE8">
        <w:rPr>
          <w:rFonts w:ascii="Palatino Linotype" w:eastAsia="Palatino Linotype" w:hAnsi="Palatino Linotype" w:cs="Palatino Linotype"/>
          <w:i/>
          <w:iCs/>
          <w:sz w:val="22"/>
          <w:szCs w:val="22"/>
        </w:rPr>
        <w:t xml:space="preserve"> “</w:t>
      </w:r>
      <w:r w:rsidR="00047831" w:rsidRPr="00BB7CE8">
        <w:rPr>
          <w:rFonts w:ascii="Palatino Linotype" w:eastAsia="Palatino Linotype" w:hAnsi="Palatino Linotype" w:cs="Palatino Linotype"/>
          <w:i/>
          <w:iCs/>
          <w:sz w:val="22"/>
          <w:szCs w:val="22"/>
        </w:rPr>
        <w:t>SOLICITO COPIA SIMPLE DIGITALIZADA A TRAVÉS DEL SISTEMA ELECTRONICO SAIMEX DE LOS COMPROBANTES DE TODOS LOS PAGOS REALIZADOS A PERSONAS FISICAS Y MORALES POR LA TESORERIA MUNICIAPAL DE 1 DE SEPTIEMBRE AL 15 DE OCTUBRE DE 2025.</w:t>
      </w:r>
      <w:r w:rsidRPr="00BB7CE8">
        <w:rPr>
          <w:rFonts w:ascii="Palatino Linotype" w:eastAsia="Palatino Linotype" w:hAnsi="Palatino Linotype" w:cs="Palatino Linotype"/>
          <w:i/>
          <w:iCs/>
          <w:sz w:val="22"/>
          <w:szCs w:val="22"/>
        </w:rPr>
        <w:t xml:space="preserve">” </w:t>
      </w:r>
    </w:p>
    <w:p w14:paraId="24AAA536" w14:textId="77777777" w:rsidR="00A40B65" w:rsidRPr="00BB7CE8" w:rsidRDefault="00A40B65">
      <w:pPr>
        <w:ind w:left="567" w:right="902"/>
        <w:jc w:val="both"/>
        <w:rPr>
          <w:rFonts w:ascii="Palatino Linotype" w:eastAsia="Palatino Linotype" w:hAnsi="Palatino Linotype" w:cs="Palatino Linotype"/>
          <w:b/>
          <w:bCs/>
          <w:i/>
          <w:iCs/>
          <w:sz w:val="22"/>
          <w:szCs w:val="22"/>
        </w:rPr>
      </w:pPr>
    </w:p>
    <w:p w14:paraId="4190C6CF" w14:textId="77777777" w:rsidR="00A40B65" w:rsidRPr="00BB7CE8" w:rsidRDefault="00E5237A">
      <w:pPr>
        <w:spacing w:line="360" w:lineRule="auto"/>
        <w:jc w:val="both"/>
        <w:rPr>
          <w:rFonts w:ascii="Palatino Linotype" w:eastAsia="Palatino Linotype" w:hAnsi="Palatino Linotype" w:cs="Palatino Linotype"/>
          <w:sz w:val="22"/>
          <w:szCs w:val="22"/>
        </w:rPr>
      </w:pPr>
      <w:bookmarkStart w:id="3" w:name="_heading=h.3dy6vkm" w:colFirst="0" w:colLast="0"/>
      <w:bookmarkEnd w:id="3"/>
      <w:r w:rsidRPr="00BB7CE8">
        <w:rPr>
          <w:rFonts w:ascii="Palatino Linotype" w:eastAsia="Palatino Linotype" w:hAnsi="Palatino Linotype" w:cs="Palatino Linotype"/>
          <w:b/>
          <w:bCs/>
          <w:sz w:val="22"/>
          <w:szCs w:val="22"/>
        </w:rPr>
        <w:t xml:space="preserve">Modalidad de Entrega: </w:t>
      </w:r>
      <w:r w:rsidRPr="00BB7CE8">
        <w:rPr>
          <w:rFonts w:ascii="Palatino Linotype" w:eastAsia="Palatino Linotype" w:hAnsi="Palatino Linotype" w:cs="Palatino Linotype"/>
          <w:sz w:val="22"/>
          <w:szCs w:val="22"/>
        </w:rPr>
        <w:t xml:space="preserve">A través del </w:t>
      </w:r>
      <w:r w:rsidRPr="00BB7CE8">
        <w:rPr>
          <w:rFonts w:ascii="Palatino Linotype" w:eastAsia="Palatino Linotype" w:hAnsi="Palatino Linotype" w:cs="Palatino Linotype"/>
          <w:b/>
          <w:bCs/>
          <w:sz w:val="22"/>
          <w:szCs w:val="22"/>
        </w:rPr>
        <w:t>SAIMEX</w:t>
      </w:r>
      <w:r w:rsidRPr="00BB7CE8">
        <w:rPr>
          <w:rFonts w:ascii="Palatino Linotype" w:eastAsia="Palatino Linotype" w:hAnsi="Palatino Linotype" w:cs="Palatino Linotype"/>
          <w:sz w:val="22"/>
          <w:szCs w:val="22"/>
        </w:rPr>
        <w:t>.</w:t>
      </w:r>
    </w:p>
    <w:p w14:paraId="6A27C3E5"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3649E687" w14:textId="77777777" w:rsidR="00BA1529" w:rsidRPr="00BB7CE8" w:rsidRDefault="00E5237A">
      <w:pPr>
        <w:numPr>
          <w:ilvl w:val="0"/>
          <w:numId w:val="2"/>
        </w:numPr>
        <w:pBdr>
          <w:top w:val="nil"/>
          <w:left w:val="nil"/>
          <w:bottom w:val="nil"/>
          <w:right w:val="nil"/>
          <w:between w:val="nil"/>
        </w:pBdr>
        <w:tabs>
          <w:tab w:val="left" w:pos="284"/>
          <w:tab w:val="left" w:pos="3119"/>
        </w:tabs>
        <w:spacing w:line="360" w:lineRule="auto"/>
        <w:ind w:left="0" w:firstLine="0"/>
        <w:jc w:val="both"/>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b/>
          <w:bCs/>
          <w:sz w:val="22"/>
          <w:szCs w:val="22"/>
        </w:rPr>
        <w:t xml:space="preserve">Respuesta. </w:t>
      </w:r>
      <w:r w:rsidRPr="00BB7CE8">
        <w:rPr>
          <w:rFonts w:ascii="Palatino Linotype" w:eastAsia="Palatino Linotype" w:hAnsi="Palatino Linotype" w:cs="Palatino Linotype"/>
          <w:sz w:val="22"/>
          <w:szCs w:val="22"/>
        </w:rPr>
        <w:t xml:space="preserve">El </w:t>
      </w:r>
      <w:r w:rsidR="00047831" w:rsidRPr="00BB7CE8">
        <w:rPr>
          <w:rFonts w:ascii="Palatino Linotype" w:eastAsia="Palatino Linotype" w:hAnsi="Palatino Linotype" w:cs="Palatino Linotype"/>
          <w:b/>
          <w:bCs/>
          <w:sz w:val="22"/>
          <w:szCs w:val="22"/>
        </w:rPr>
        <w:t>veinticuatro</w:t>
      </w:r>
      <w:r w:rsidRPr="00BB7CE8">
        <w:rPr>
          <w:rFonts w:ascii="Palatino Linotype" w:eastAsia="Palatino Linotype" w:hAnsi="Palatino Linotype" w:cs="Palatino Linotype"/>
          <w:b/>
          <w:bCs/>
          <w:sz w:val="22"/>
          <w:szCs w:val="22"/>
        </w:rPr>
        <w:t xml:space="preserve"> de </w:t>
      </w:r>
      <w:r w:rsidR="00047831" w:rsidRPr="00BB7CE8">
        <w:rPr>
          <w:rFonts w:ascii="Palatino Linotype" w:eastAsia="Palatino Linotype" w:hAnsi="Palatino Linotype" w:cs="Palatino Linotype"/>
          <w:b/>
          <w:bCs/>
          <w:sz w:val="22"/>
          <w:szCs w:val="22"/>
        </w:rPr>
        <w:t>octubre</w:t>
      </w:r>
      <w:r w:rsidRPr="00BB7CE8">
        <w:rPr>
          <w:rFonts w:ascii="Palatino Linotype" w:eastAsia="Palatino Linotype" w:hAnsi="Palatino Linotype" w:cs="Palatino Linotype"/>
          <w:b/>
          <w:bCs/>
          <w:sz w:val="22"/>
          <w:szCs w:val="22"/>
        </w:rPr>
        <w:t xml:space="preserve"> de dos mil veinticinco</w:t>
      </w:r>
      <w:r w:rsidRPr="00BB7CE8">
        <w:rPr>
          <w:rFonts w:ascii="Palatino Linotype" w:eastAsia="Palatino Linotype" w:hAnsi="Palatino Linotype" w:cs="Palatino Linotype"/>
          <w:sz w:val="22"/>
          <w:szCs w:val="22"/>
        </w:rPr>
        <w:t>, el</w:t>
      </w:r>
      <w:r w:rsidRPr="00BB7CE8">
        <w:rPr>
          <w:rFonts w:ascii="Palatino Linotype" w:eastAsia="Palatino Linotype" w:hAnsi="Palatino Linotype" w:cs="Palatino Linotype"/>
          <w:b/>
          <w:bCs/>
          <w:sz w:val="22"/>
          <w:szCs w:val="22"/>
        </w:rPr>
        <w:t xml:space="preserve"> Sujeto Obligado </w:t>
      </w:r>
      <w:r w:rsidRPr="00BB7CE8">
        <w:rPr>
          <w:rFonts w:ascii="Palatino Linotype" w:eastAsia="Palatino Linotype" w:hAnsi="Palatino Linotype" w:cs="Palatino Linotype"/>
          <w:sz w:val="22"/>
          <w:szCs w:val="22"/>
        </w:rPr>
        <w:t xml:space="preserve">notificó a la persona solicitante, </w:t>
      </w:r>
      <w:r w:rsidR="00BA1529" w:rsidRPr="00BB7CE8">
        <w:rPr>
          <w:rFonts w:ascii="Palatino Linotype" w:eastAsia="Palatino Linotype" w:hAnsi="Palatino Linotype" w:cs="Palatino Linotype"/>
          <w:sz w:val="22"/>
          <w:szCs w:val="22"/>
        </w:rPr>
        <w:t>en los siguientes términos:</w:t>
      </w:r>
    </w:p>
    <w:p w14:paraId="6C97A79C" w14:textId="40670B44" w:rsidR="00BA1529" w:rsidRPr="00BB7CE8" w:rsidRDefault="00BA1529" w:rsidP="00BA1529">
      <w:pPr>
        <w:pBdr>
          <w:top w:val="nil"/>
          <w:left w:val="nil"/>
          <w:bottom w:val="nil"/>
          <w:right w:val="nil"/>
          <w:between w:val="nil"/>
        </w:pBdr>
        <w:tabs>
          <w:tab w:val="left" w:pos="284"/>
          <w:tab w:val="left" w:pos="3119"/>
        </w:tabs>
        <w:spacing w:line="360"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14:paraId="1106043C" w14:textId="77777777" w:rsidR="00BA1529" w:rsidRPr="00BB7CE8" w:rsidRDefault="00BA1529" w:rsidP="00BA1529">
      <w:pPr>
        <w:pBdr>
          <w:top w:val="nil"/>
          <w:left w:val="nil"/>
          <w:bottom w:val="nil"/>
          <w:right w:val="nil"/>
          <w:between w:val="nil"/>
        </w:pBdr>
        <w:tabs>
          <w:tab w:val="left" w:pos="284"/>
          <w:tab w:val="left" w:pos="3119"/>
        </w:tabs>
        <w:spacing w:line="360"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Se procede a notificar la respuesta a la solicitud de información pública. Así mismo se hace de su conocimiento que usted puede interponer su recurso de revisión dentro del plazo de 15 días hábiles contados a partir de la fecha en que se realice la notificación vía electrónica, a través del SAIMEX</w:t>
      </w:r>
    </w:p>
    <w:p w14:paraId="2EDD2F50" w14:textId="77777777" w:rsidR="00BA1529" w:rsidRPr="00BB7CE8" w:rsidRDefault="00BA1529" w:rsidP="00BA1529">
      <w:pPr>
        <w:pBdr>
          <w:top w:val="nil"/>
          <w:left w:val="nil"/>
          <w:bottom w:val="nil"/>
          <w:right w:val="nil"/>
          <w:between w:val="nil"/>
        </w:pBdr>
        <w:tabs>
          <w:tab w:val="left" w:pos="284"/>
          <w:tab w:val="left" w:pos="3119"/>
        </w:tabs>
        <w:spacing w:line="360"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ATENTAMENTE</w:t>
      </w:r>
    </w:p>
    <w:p w14:paraId="6C051F8F" w14:textId="03069BA4" w:rsidR="00BA1529" w:rsidRPr="00BB7CE8" w:rsidRDefault="00BA1529" w:rsidP="00BA1529">
      <w:pPr>
        <w:pBdr>
          <w:top w:val="nil"/>
          <w:left w:val="nil"/>
          <w:bottom w:val="nil"/>
          <w:right w:val="nil"/>
          <w:between w:val="nil"/>
        </w:pBdr>
        <w:tabs>
          <w:tab w:val="left" w:pos="284"/>
          <w:tab w:val="left" w:pos="3119"/>
        </w:tabs>
        <w:spacing w:line="360"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GABRIELA ELIZABETH MORALES CRUZ” </w:t>
      </w:r>
    </w:p>
    <w:p w14:paraId="48EB5848" w14:textId="77777777" w:rsidR="00BA1529" w:rsidRPr="00BB7CE8" w:rsidRDefault="00BA1529" w:rsidP="00BA1529">
      <w:pPr>
        <w:pBdr>
          <w:top w:val="nil"/>
          <w:left w:val="nil"/>
          <w:bottom w:val="nil"/>
          <w:right w:val="nil"/>
          <w:between w:val="nil"/>
        </w:pBdr>
        <w:tabs>
          <w:tab w:val="left" w:pos="284"/>
          <w:tab w:val="left" w:pos="3119"/>
        </w:tabs>
        <w:spacing w:line="360" w:lineRule="auto"/>
        <w:jc w:val="both"/>
        <w:rPr>
          <w:rFonts w:ascii="Palatino Linotype" w:eastAsia="Palatino Linotype" w:hAnsi="Palatino Linotype" w:cs="Palatino Linotype"/>
          <w:b/>
          <w:bCs/>
          <w:sz w:val="22"/>
          <w:szCs w:val="22"/>
        </w:rPr>
      </w:pPr>
    </w:p>
    <w:p w14:paraId="63EA3899" w14:textId="64B755F4" w:rsidR="00BA1529" w:rsidRPr="00BB7CE8" w:rsidRDefault="00BA1529" w:rsidP="00BA1529">
      <w:pPr>
        <w:pBdr>
          <w:top w:val="nil"/>
          <w:left w:val="nil"/>
          <w:bottom w:val="nil"/>
          <w:right w:val="nil"/>
          <w:between w:val="nil"/>
        </w:pBdr>
        <w:tabs>
          <w:tab w:val="left" w:pos="284"/>
          <w:tab w:val="left" w:pos="3119"/>
        </w:tabs>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El Sujeto Obligado adjuntó los documentos electrónicos denominados:</w:t>
      </w:r>
    </w:p>
    <w:p w14:paraId="2C252C7A" w14:textId="77777777" w:rsidR="00BA1529" w:rsidRPr="00BB7CE8" w:rsidRDefault="00BA1529" w:rsidP="00BA1529">
      <w:pPr>
        <w:pBdr>
          <w:top w:val="nil"/>
          <w:left w:val="nil"/>
          <w:bottom w:val="nil"/>
          <w:right w:val="nil"/>
          <w:between w:val="nil"/>
        </w:pBdr>
        <w:tabs>
          <w:tab w:val="left" w:pos="284"/>
          <w:tab w:val="left" w:pos="3119"/>
        </w:tabs>
        <w:spacing w:line="360" w:lineRule="auto"/>
        <w:jc w:val="both"/>
        <w:rPr>
          <w:rFonts w:ascii="Palatino Linotype" w:eastAsia="Palatino Linotype" w:hAnsi="Palatino Linotype" w:cs="Palatino Linotype"/>
          <w:sz w:val="22"/>
          <w:szCs w:val="22"/>
        </w:rPr>
      </w:pPr>
    </w:p>
    <w:p w14:paraId="5C6F9204" w14:textId="3F5E4C85" w:rsidR="00BA1529" w:rsidRPr="00BB7CE8" w:rsidRDefault="00704963" w:rsidP="00BA1529">
      <w:pPr>
        <w:pStyle w:val="Listaconvietas3"/>
        <w:numPr>
          <w:ilvl w:val="0"/>
          <w:numId w:val="6"/>
        </w:numPr>
        <w:spacing w:line="360" w:lineRule="auto"/>
        <w:ind w:left="426"/>
        <w:jc w:val="both"/>
        <w:rPr>
          <w:rFonts w:ascii="Palatino Linotype" w:hAnsi="Palatino Linotype"/>
          <w:sz w:val="22"/>
          <w:szCs w:val="22"/>
        </w:rPr>
      </w:pPr>
      <w:hyperlink r:id="rId8" w:tgtFrame="_blank" w:history="1">
        <w:r w:rsidR="00BA1529" w:rsidRPr="00BB7CE8">
          <w:rPr>
            <w:rFonts w:ascii="Palatino Linotype" w:hAnsi="Palatino Linotype" w:cs="Arial"/>
            <w:sz w:val="22"/>
            <w:szCs w:val="22"/>
          </w:rPr>
          <w:t>TM-EJT-2554-2025.pdf</w:t>
        </w:r>
      </w:hyperlink>
      <w:r w:rsidR="00BA1529" w:rsidRPr="00BB7CE8">
        <w:rPr>
          <w:rFonts w:ascii="Palatino Linotype" w:hAnsi="Palatino Linotype"/>
          <w:sz w:val="22"/>
          <w:szCs w:val="22"/>
        </w:rPr>
        <w:t>: Oficio suscrito por el Tesorero Municipal, mediante el cual refiere que la información será proporcionada en consulta directa, ya que corresponde a un peso de 1.62 GB, lo que supera las capacidades del SAIMEX.</w:t>
      </w:r>
    </w:p>
    <w:p w14:paraId="29E3F355" w14:textId="21FBE794" w:rsidR="00BA1529" w:rsidRPr="00BB7CE8" w:rsidRDefault="00704963" w:rsidP="00BA1529">
      <w:pPr>
        <w:pStyle w:val="Listaconvietas3"/>
        <w:numPr>
          <w:ilvl w:val="0"/>
          <w:numId w:val="6"/>
        </w:numPr>
        <w:spacing w:line="360" w:lineRule="auto"/>
        <w:ind w:left="426"/>
        <w:jc w:val="both"/>
        <w:rPr>
          <w:rFonts w:ascii="Palatino Linotype" w:hAnsi="Palatino Linotype"/>
          <w:sz w:val="22"/>
          <w:szCs w:val="22"/>
        </w:rPr>
      </w:pPr>
      <w:hyperlink r:id="rId9" w:tgtFrame="_blank" w:history="1">
        <w:r w:rsidR="00BA1529" w:rsidRPr="00BB7CE8">
          <w:rPr>
            <w:rFonts w:ascii="Palatino Linotype" w:hAnsi="Palatino Linotype" w:cs="Arial"/>
            <w:sz w:val="22"/>
            <w:szCs w:val="22"/>
          </w:rPr>
          <w:t>Acta 36° Sesión Ordinaria (1).</w:t>
        </w:r>
        <w:proofErr w:type="spellStart"/>
        <w:r w:rsidR="00BA1529" w:rsidRPr="00BB7CE8">
          <w:rPr>
            <w:rFonts w:ascii="Palatino Linotype" w:hAnsi="Palatino Linotype" w:cs="Arial"/>
            <w:sz w:val="22"/>
            <w:szCs w:val="22"/>
          </w:rPr>
          <w:t>pdf</w:t>
        </w:r>
        <w:proofErr w:type="spellEnd"/>
      </w:hyperlink>
      <w:r w:rsidR="00BA1529" w:rsidRPr="00BB7CE8">
        <w:rPr>
          <w:rFonts w:ascii="Palatino Linotype" w:hAnsi="Palatino Linotype"/>
          <w:sz w:val="22"/>
          <w:szCs w:val="22"/>
        </w:rPr>
        <w:t>:</w:t>
      </w:r>
      <w:r w:rsidR="00D327B4" w:rsidRPr="00BB7CE8">
        <w:rPr>
          <w:rFonts w:ascii="Palatino Linotype" w:hAnsi="Palatino Linotype"/>
          <w:sz w:val="22"/>
          <w:szCs w:val="22"/>
        </w:rPr>
        <w:t xml:space="preserve"> Acta del Comité de Transparencia mediante la cual se aprueba el cambio de modalidad a consulta directa.</w:t>
      </w:r>
    </w:p>
    <w:p w14:paraId="35F53EC8" w14:textId="1365725E" w:rsidR="00BA1529" w:rsidRPr="00BB7CE8" w:rsidRDefault="00704963" w:rsidP="00BA1529">
      <w:pPr>
        <w:pStyle w:val="Listaconvietas3"/>
        <w:numPr>
          <w:ilvl w:val="0"/>
          <w:numId w:val="6"/>
        </w:numPr>
        <w:spacing w:line="360" w:lineRule="auto"/>
        <w:ind w:left="426"/>
        <w:jc w:val="both"/>
        <w:rPr>
          <w:rFonts w:ascii="Palatino Linotype" w:hAnsi="Palatino Linotype"/>
          <w:sz w:val="22"/>
          <w:szCs w:val="22"/>
        </w:rPr>
      </w:pPr>
      <w:hyperlink r:id="rId10" w:tgtFrame="_blank" w:history="1">
        <w:r w:rsidR="00BA1529" w:rsidRPr="00BB7CE8">
          <w:rPr>
            <w:rFonts w:ascii="Palatino Linotype" w:hAnsi="Palatino Linotype" w:cs="Arial"/>
            <w:sz w:val="22"/>
            <w:szCs w:val="22"/>
          </w:rPr>
          <w:t>Cambio de modalidad1484.pdf</w:t>
        </w:r>
      </w:hyperlink>
      <w:r w:rsidR="00BA1529" w:rsidRPr="00BB7CE8">
        <w:rPr>
          <w:rFonts w:ascii="Palatino Linotype" w:hAnsi="Palatino Linotype"/>
          <w:sz w:val="22"/>
          <w:szCs w:val="22"/>
        </w:rPr>
        <w:t>: El documento contiene dos oficios, uno dirigido al Director General de Informática de este Organismo Garante mediante el cual solicita el registro de incidencias derivado del peso de la información. El segundo es en respuesta al primero, donde se menciona que ha quedado registrado el reporte de incidencias por el peso de la información.</w:t>
      </w:r>
    </w:p>
    <w:p w14:paraId="26C817BE" w14:textId="77777777" w:rsidR="00BA1529" w:rsidRPr="00BB7CE8" w:rsidRDefault="00BA1529" w:rsidP="00BA1529">
      <w:pPr>
        <w:pBdr>
          <w:top w:val="nil"/>
          <w:left w:val="nil"/>
          <w:bottom w:val="nil"/>
          <w:right w:val="nil"/>
          <w:between w:val="nil"/>
        </w:pBdr>
        <w:tabs>
          <w:tab w:val="left" w:pos="284"/>
          <w:tab w:val="left" w:pos="3119"/>
        </w:tabs>
        <w:spacing w:line="360" w:lineRule="auto"/>
        <w:jc w:val="both"/>
        <w:rPr>
          <w:rFonts w:ascii="Palatino Linotype" w:eastAsia="Palatino Linotype" w:hAnsi="Palatino Linotype" w:cs="Palatino Linotype"/>
          <w:b/>
          <w:bCs/>
          <w:sz w:val="22"/>
          <w:szCs w:val="22"/>
          <w:lang w:val="es-MX"/>
        </w:rPr>
      </w:pPr>
    </w:p>
    <w:p w14:paraId="24E17E6A" w14:textId="77777777" w:rsidR="00BA1529" w:rsidRPr="00BB7CE8" w:rsidRDefault="00BA1529" w:rsidP="00BA1529">
      <w:pPr>
        <w:pBdr>
          <w:top w:val="nil"/>
          <w:left w:val="nil"/>
          <w:bottom w:val="nil"/>
          <w:right w:val="nil"/>
          <w:between w:val="nil"/>
        </w:pBdr>
        <w:tabs>
          <w:tab w:val="left" w:pos="284"/>
          <w:tab w:val="left" w:pos="3119"/>
        </w:tabs>
        <w:spacing w:line="360" w:lineRule="auto"/>
        <w:jc w:val="both"/>
        <w:rPr>
          <w:rFonts w:ascii="Palatino Linotype" w:eastAsia="Palatino Linotype" w:hAnsi="Palatino Linotype" w:cs="Palatino Linotype"/>
          <w:b/>
          <w:bCs/>
          <w:sz w:val="22"/>
          <w:szCs w:val="22"/>
        </w:rPr>
      </w:pPr>
    </w:p>
    <w:p w14:paraId="244BBE24" w14:textId="77777777" w:rsidR="00BA1529" w:rsidRPr="00BB7CE8" w:rsidRDefault="00BA1529" w:rsidP="00BA1529">
      <w:pPr>
        <w:pBdr>
          <w:top w:val="nil"/>
          <w:left w:val="nil"/>
          <w:bottom w:val="nil"/>
          <w:right w:val="nil"/>
          <w:between w:val="nil"/>
        </w:pBdr>
        <w:tabs>
          <w:tab w:val="left" w:pos="284"/>
          <w:tab w:val="left" w:pos="3119"/>
        </w:tabs>
        <w:spacing w:line="360" w:lineRule="auto"/>
        <w:jc w:val="both"/>
        <w:rPr>
          <w:rFonts w:ascii="Palatino Linotype" w:eastAsia="Palatino Linotype" w:hAnsi="Palatino Linotype" w:cs="Palatino Linotype"/>
          <w:b/>
          <w:bCs/>
          <w:sz w:val="22"/>
          <w:szCs w:val="22"/>
        </w:rPr>
      </w:pPr>
    </w:p>
    <w:p w14:paraId="526C80EC" w14:textId="77777777" w:rsidR="00BA1529" w:rsidRPr="00BB7CE8" w:rsidRDefault="00BA1529" w:rsidP="00BA1529">
      <w:pPr>
        <w:pBdr>
          <w:top w:val="nil"/>
          <w:left w:val="nil"/>
          <w:bottom w:val="nil"/>
          <w:right w:val="nil"/>
          <w:between w:val="nil"/>
        </w:pBdr>
        <w:tabs>
          <w:tab w:val="left" w:pos="284"/>
          <w:tab w:val="left" w:pos="3119"/>
        </w:tabs>
        <w:spacing w:line="360" w:lineRule="auto"/>
        <w:jc w:val="both"/>
        <w:rPr>
          <w:rFonts w:ascii="Palatino Linotype" w:eastAsia="Palatino Linotype" w:hAnsi="Palatino Linotype" w:cs="Palatino Linotype"/>
          <w:b/>
          <w:bCs/>
          <w:sz w:val="22"/>
          <w:szCs w:val="22"/>
        </w:rPr>
      </w:pPr>
    </w:p>
    <w:p w14:paraId="6603D40E" w14:textId="670C9C8E"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lastRenderedPageBreak/>
        <w:t xml:space="preserve">3. Interposición del recurso de revisión. </w:t>
      </w:r>
      <w:r w:rsidRPr="00BB7CE8">
        <w:rPr>
          <w:rFonts w:ascii="Palatino Linotype" w:eastAsia="Palatino Linotype" w:hAnsi="Palatino Linotype" w:cs="Palatino Linotype"/>
          <w:sz w:val="22"/>
          <w:szCs w:val="22"/>
        </w:rPr>
        <w:t xml:space="preserve">Inconforme con los términos de la respuesta emitida por parte del </w:t>
      </w:r>
      <w:r w:rsidRPr="00BB7CE8">
        <w:rPr>
          <w:rFonts w:ascii="Palatino Linotype" w:eastAsia="Palatino Linotype" w:hAnsi="Palatino Linotype" w:cs="Palatino Linotype"/>
          <w:b/>
          <w:bCs/>
          <w:sz w:val="22"/>
          <w:szCs w:val="22"/>
        </w:rPr>
        <w:t>Sujeto Obligado</w:t>
      </w:r>
      <w:r w:rsidRPr="00BB7CE8">
        <w:rPr>
          <w:rFonts w:ascii="Palatino Linotype" w:eastAsia="Palatino Linotype" w:hAnsi="Palatino Linotype" w:cs="Palatino Linotype"/>
          <w:sz w:val="22"/>
          <w:szCs w:val="22"/>
        </w:rPr>
        <w:t xml:space="preserve">, el </w:t>
      </w:r>
      <w:r w:rsidRPr="00BB7CE8">
        <w:rPr>
          <w:rFonts w:ascii="Palatino Linotype" w:eastAsia="Palatino Linotype" w:hAnsi="Palatino Linotype" w:cs="Palatino Linotype"/>
          <w:b/>
          <w:bCs/>
          <w:sz w:val="22"/>
          <w:szCs w:val="22"/>
        </w:rPr>
        <w:t>veint</w:t>
      </w:r>
      <w:r w:rsidR="00D327B4" w:rsidRPr="00BB7CE8">
        <w:rPr>
          <w:rFonts w:ascii="Palatino Linotype" w:eastAsia="Palatino Linotype" w:hAnsi="Palatino Linotype" w:cs="Palatino Linotype"/>
          <w:b/>
          <w:bCs/>
          <w:sz w:val="22"/>
          <w:szCs w:val="22"/>
        </w:rPr>
        <w:t>iocho</w:t>
      </w:r>
      <w:r w:rsidRPr="00BB7CE8">
        <w:rPr>
          <w:rFonts w:ascii="Palatino Linotype" w:eastAsia="Palatino Linotype" w:hAnsi="Palatino Linotype" w:cs="Palatino Linotype"/>
          <w:b/>
          <w:bCs/>
          <w:sz w:val="22"/>
          <w:szCs w:val="22"/>
        </w:rPr>
        <w:t xml:space="preserve"> de </w:t>
      </w:r>
      <w:r w:rsidR="00D327B4" w:rsidRPr="00BB7CE8">
        <w:rPr>
          <w:rFonts w:ascii="Palatino Linotype" w:eastAsia="Palatino Linotype" w:hAnsi="Palatino Linotype" w:cs="Palatino Linotype"/>
          <w:b/>
          <w:bCs/>
          <w:sz w:val="22"/>
          <w:szCs w:val="22"/>
        </w:rPr>
        <w:t>octubre</w:t>
      </w:r>
      <w:r w:rsidRPr="00BB7CE8">
        <w:rPr>
          <w:rFonts w:ascii="Palatino Linotype" w:eastAsia="Palatino Linotype" w:hAnsi="Palatino Linotype" w:cs="Palatino Linotype"/>
          <w:b/>
          <w:bCs/>
          <w:sz w:val="22"/>
          <w:szCs w:val="22"/>
        </w:rPr>
        <w:t xml:space="preserve"> dos mil veinticinco, la parte Recurrente</w:t>
      </w:r>
      <w:r w:rsidRPr="00BB7CE8">
        <w:rPr>
          <w:rFonts w:ascii="Palatino Linotype" w:eastAsia="Palatino Linotype" w:hAnsi="Palatino Linotype" w:cs="Palatino Linotype"/>
          <w:sz w:val="22"/>
          <w:szCs w:val="22"/>
        </w:rPr>
        <w:t xml:space="preserve"> interpuso el recurso de revisión a través de </w:t>
      </w:r>
      <w:r w:rsidRPr="00BB7CE8">
        <w:rPr>
          <w:rFonts w:ascii="Palatino Linotype" w:eastAsia="Palatino Linotype" w:hAnsi="Palatino Linotype" w:cs="Palatino Linotype"/>
          <w:b/>
          <w:bCs/>
          <w:sz w:val="22"/>
          <w:szCs w:val="22"/>
        </w:rPr>
        <w:t xml:space="preserve">SAIMEX, </w:t>
      </w:r>
      <w:r w:rsidRPr="00BB7CE8">
        <w:rPr>
          <w:rFonts w:ascii="Palatino Linotype" w:eastAsia="Palatino Linotype" w:hAnsi="Palatino Linotype" w:cs="Palatino Linotype"/>
          <w:sz w:val="22"/>
          <w:szCs w:val="22"/>
        </w:rPr>
        <w:t>en donde se manifestó de la siguiente manera:</w:t>
      </w:r>
    </w:p>
    <w:p w14:paraId="3BEB16D8"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44D83CAD" w14:textId="3DDC2E6E" w:rsidR="00A40B65" w:rsidRPr="00BB7CE8" w:rsidRDefault="00E5237A">
      <w:pPr>
        <w:tabs>
          <w:tab w:val="left" w:pos="2745"/>
        </w:tabs>
        <w:spacing w:line="276" w:lineRule="auto"/>
        <w:ind w:left="567" w:right="900"/>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sz w:val="22"/>
          <w:szCs w:val="22"/>
        </w:rPr>
        <w:t xml:space="preserve">a) Acto impugnado: </w:t>
      </w:r>
      <w:r w:rsidRPr="00BB7CE8">
        <w:rPr>
          <w:rFonts w:ascii="Palatino Linotype" w:eastAsia="Palatino Linotype" w:hAnsi="Palatino Linotype" w:cs="Palatino Linotype"/>
          <w:i/>
          <w:iCs/>
          <w:sz w:val="22"/>
          <w:szCs w:val="22"/>
        </w:rPr>
        <w:t>“</w:t>
      </w:r>
      <w:r w:rsidR="00D327B4" w:rsidRPr="00BB7CE8">
        <w:rPr>
          <w:rFonts w:ascii="Palatino Linotype" w:eastAsia="Palatino Linotype" w:hAnsi="Palatino Linotype" w:cs="Palatino Linotype"/>
          <w:i/>
          <w:iCs/>
          <w:sz w:val="22"/>
          <w:szCs w:val="22"/>
        </w:rPr>
        <w:t>RESPUESTA A LA SOLICITUD 01484/CUAUTIZC/IP/2025</w:t>
      </w:r>
      <w:r w:rsidRPr="00BB7CE8">
        <w:rPr>
          <w:rFonts w:ascii="Palatino Linotype" w:eastAsia="Palatino Linotype" w:hAnsi="Palatino Linotype" w:cs="Palatino Linotype"/>
          <w:i/>
          <w:iCs/>
          <w:sz w:val="22"/>
          <w:szCs w:val="22"/>
        </w:rPr>
        <w:t xml:space="preserve">.” </w:t>
      </w:r>
    </w:p>
    <w:p w14:paraId="369C9B61" w14:textId="77777777" w:rsidR="00A40B65" w:rsidRPr="00BB7CE8" w:rsidRDefault="00A40B65">
      <w:pPr>
        <w:tabs>
          <w:tab w:val="left" w:pos="2745"/>
        </w:tabs>
        <w:spacing w:line="276" w:lineRule="auto"/>
        <w:ind w:left="567" w:right="900"/>
        <w:jc w:val="both"/>
        <w:rPr>
          <w:rFonts w:ascii="Palatino Linotype" w:eastAsia="Palatino Linotype" w:hAnsi="Palatino Linotype" w:cs="Palatino Linotype"/>
          <w:b/>
          <w:bCs/>
          <w:sz w:val="22"/>
          <w:szCs w:val="22"/>
        </w:rPr>
      </w:pPr>
    </w:p>
    <w:p w14:paraId="3101AC9C" w14:textId="0C3F097F" w:rsidR="00A40B65" w:rsidRPr="00BB7CE8" w:rsidRDefault="00E5237A">
      <w:pPr>
        <w:spacing w:line="276" w:lineRule="auto"/>
        <w:ind w:left="567" w:right="900"/>
        <w:jc w:val="both"/>
        <w:rPr>
          <w:rFonts w:ascii="Palatino Linotype" w:eastAsia="Palatino Linotype" w:hAnsi="Palatino Linotype" w:cs="Palatino Linotype"/>
          <w:sz w:val="22"/>
          <w:szCs w:val="22"/>
        </w:rPr>
      </w:pPr>
      <w:bookmarkStart w:id="4" w:name="_heading=h.30j0zll" w:colFirst="0" w:colLast="0"/>
      <w:bookmarkEnd w:id="4"/>
      <w:r w:rsidRPr="00BB7CE8">
        <w:rPr>
          <w:rFonts w:ascii="Palatino Linotype" w:eastAsia="Palatino Linotype" w:hAnsi="Palatino Linotype" w:cs="Palatino Linotype"/>
          <w:b/>
          <w:bCs/>
          <w:sz w:val="22"/>
          <w:szCs w:val="22"/>
        </w:rPr>
        <w:t>b) Razones o motivos de inconformidad</w:t>
      </w:r>
      <w:r w:rsidRPr="00BB7CE8">
        <w:rPr>
          <w:rFonts w:ascii="Palatino Linotype" w:eastAsia="Palatino Linotype" w:hAnsi="Palatino Linotype" w:cs="Palatino Linotype"/>
          <w:sz w:val="22"/>
          <w:szCs w:val="22"/>
        </w:rPr>
        <w:t xml:space="preserve">: </w:t>
      </w:r>
      <w:r w:rsidRPr="00BB7CE8">
        <w:rPr>
          <w:rFonts w:ascii="Palatino Linotype" w:eastAsia="Palatino Linotype" w:hAnsi="Palatino Linotype" w:cs="Palatino Linotype"/>
          <w:i/>
          <w:iCs/>
          <w:sz w:val="22"/>
          <w:szCs w:val="22"/>
        </w:rPr>
        <w:t>“</w:t>
      </w:r>
      <w:r w:rsidR="00D327B4" w:rsidRPr="00BB7CE8">
        <w:rPr>
          <w:rFonts w:ascii="Palatino Linotype" w:eastAsia="Palatino Linotype" w:hAnsi="Palatino Linotype" w:cs="Palatino Linotype"/>
          <w:i/>
          <w:iCs/>
          <w:sz w:val="22"/>
          <w:szCs w:val="22"/>
        </w:rPr>
        <w:t xml:space="preserve">EL CAMBIO EN LA MODALIDAD DE ENTREGA IMPUESTA POR EL SUJETO OBLIGADO VIOLA EL PRINCIPIO DE MÁXIMA ACCESIBILIDAD A LA INFORMACIÓN PÚBLICA. EL SUJETO OBLIGADO PUEDE HACER USO DE OTROS MEDIOS ELECTRÓNICOS QUE SOPORTAN EL VOLUMEN DE LA INFORMACION SOLICITADA PARA PONERLA A DISPOSICIÓN DE ESTE SOLICITANTE, TALES COMO ENLACE ELECTRÓNICO, CORREO ELECTRÓNICO Y SISTEMAS DE COMPRESION DE ARCHIVOS (ZIP, RAR, ENTRE OTROS) POR LO ANTERIOR, SOLICITO SE REVOQUE LA RESPUESTA DEL SUJETO OBLIGADO Y SE ORDENE LA ENTREGA DE LA INFORMACION A TRAVÉS DE MEDIOS </w:t>
      </w:r>
      <w:proofErr w:type="gramStart"/>
      <w:r w:rsidR="00D327B4" w:rsidRPr="00BB7CE8">
        <w:rPr>
          <w:rFonts w:ascii="Palatino Linotype" w:eastAsia="Palatino Linotype" w:hAnsi="Palatino Linotype" w:cs="Palatino Linotype"/>
          <w:i/>
          <w:iCs/>
          <w:sz w:val="22"/>
          <w:szCs w:val="22"/>
        </w:rPr>
        <w:t>DIGITALES.</w:t>
      </w:r>
      <w:r w:rsidRPr="00BB7CE8">
        <w:rPr>
          <w:rFonts w:ascii="Palatino Linotype" w:eastAsia="Palatino Linotype" w:hAnsi="Palatino Linotype" w:cs="Palatino Linotype"/>
          <w:i/>
          <w:iCs/>
          <w:sz w:val="22"/>
          <w:szCs w:val="22"/>
        </w:rPr>
        <w:t>.</w:t>
      </w:r>
      <w:proofErr w:type="gramEnd"/>
      <w:r w:rsidRPr="00BB7CE8">
        <w:rPr>
          <w:rFonts w:ascii="Palatino Linotype" w:eastAsia="Palatino Linotype" w:hAnsi="Palatino Linotype" w:cs="Palatino Linotype"/>
          <w:i/>
          <w:iCs/>
          <w:sz w:val="22"/>
          <w:szCs w:val="22"/>
        </w:rPr>
        <w:t>”</w:t>
      </w:r>
    </w:p>
    <w:p w14:paraId="2847A461" w14:textId="77777777" w:rsidR="00A40B65" w:rsidRPr="00BB7CE8" w:rsidRDefault="00A40B65">
      <w:pPr>
        <w:spacing w:line="360" w:lineRule="auto"/>
        <w:jc w:val="both"/>
        <w:rPr>
          <w:rFonts w:ascii="Palatino Linotype" w:eastAsia="Palatino Linotype" w:hAnsi="Palatino Linotype" w:cs="Palatino Linotype"/>
          <w:b/>
          <w:bCs/>
          <w:sz w:val="22"/>
          <w:szCs w:val="22"/>
        </w:rPr>
      </w:pPr>
    </w:p>
    <w:p w14:paraId="5F79F08F"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t xml:space="preserve">4. Turno. </w:t>
      </w:r>
      <w:r w:rsidRPr="00BB7CE8">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BB7CE8">
        <w:rPr>
          <w:rFonts w:ascii="Palatino Linotype" w:eastAsia="Palatino Linotype" w:hAnsi="Palatino Linotype" w:cs="Palatino Linotype"/>
          <w:b/>
          <w:bCs/>
          <w:sz w:val="22"/>
          <w:szCs w:val="22"/>
        </w:rPr>
        <w:t xml:space="preserve">Guadalupe Ramírez Peña, </w:t>
      </w:r>
      <w:r w:rsidRPr="00BB7CE8">
        <w:rPr>
          <w:rFonts w:ascii="Palatino Linotype" w:eastAsia="Palatino Linotype" w:hAnsi="Palatino Linotype" w:cs="Palatino Linotype"/>
          <w:sz w:val="22"/>
          <w:szCs w:val="22"/>
        </w:rPr>
        <w:t xml:space="preserve">a efecto de que analizara sobre su admisión o su </w:t>
      </w:r>
      <w:proofErr w:type="spellStart"/>
      <w:r w:rsidRPr="00BB7CE8">
        <w:rPr>
          <w:rFonts w:ascii="Palatino Linotype" w:eastAsia="Palatino Linotype" w:hAnsi="Palatino Linotype" w:cs="Palatino Linotype"/>
          <w:sz w:val="22"/>
          <w:szCs w:val="22"/>
        </w:rPr>
        <w:t>desechamiento</w:t>
      </w:r>
      <w:proofErr w:type="spellEnd"/>
      <w:r w:rsidRPr="00BB7CE8">
        <w:rPr>
          <w:rFonts w:ascii="Palatino Linotype" w:eastAsia="Palatino Linotype" w:hAnsi="Palatino Linotype" w:cs="Palatino Linotype"/>
          <w:sz w:val="22"/>
          <w:szCs w:val="22"/>
        </w:rPr>
        <w:t>.</w:t>
      </w:r>
    </w:p>
    <w:p w14:paraId="640E7730"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19FF5318" w14:textId="3E902AA2" w:rsidR="00A40B65" w:rsidRPr="00BB7CE8" w:rsidRDefault="00E5237A">
      <w:pPr>
        <w:spacing w:line="360" w:lineRule="auto"/>
        <w:jc w:val="both"/>
        <w:rPr>
          <w:rFonts w:ascii="Palatino Linotype" w:eastAsia="Palatino Linotype" w:hAnsi="Palatino Linotype" w:cs="Palatino Linotype"/>
          <w:sz w:val="22"/>
          <w:szCs w:val="22"/>
        </w:rPr>
      </w:pPr>
      <w:bookmarkStart w:id="5" w:name="_heading=h.2s8eyo1" w:colFirst="0" w:colLast="0"/>
      <w:bookmarkEnd w:id="5"/>
      <w:r w:rsidRPr="00BB7CE8">
        <w:rPr>
          <w:rFonts w:ascii="Palatino Linotype" w:eastAsia="Palatino Linotype" w:hAnsi="Palatino Linotype" w:cs="Palatino Linotype"/>
          <w:b/>
          <w:bCs/>
          <w:sz w:val="22"/>
          <w:szCs w:val="22"/>
        </w:rPr>
        <w:t>5. Admisión del Recurso de revisión.</w:t>
      </w:r>
      <w:r w:rsidRPr="00BB7CE8">
        <w:rPr>
          <w:rFonts w:ascii="Palatino Linotype" w:eastAsia="Palatino Linotype" w:hAnsi="Palatino Linotype" w:cs="Palatino Linotype"/>
          <w:sz w:val="22"/>
          <w:szCs w:val="22"/>
        </w:rPr>
        <w:t xml:space="preserve"> El</w:t>
      </w:r>
      <w:r w:rsidRPr="00BB7CE8">
        <w:rPr>
          <w:rFonts w:ascii="Palatino Linotype" w:eastAsia="Palatino Linotype" w:hAnsi="Palatino Linotype" w:cs="Palatino Linotype"/>
          <w:b/>
          <w:bCs/>
          <w:sz w:val="22"/>
          <w:szCs w:val="22"/>
        </w:rPr>
        <w:t xml:space="preserve"> </w:t>
      </w:r>
      <w:r w:rsidR="00D327B4" w:rsidRPr="00BB7CE8">
        <w:rPr>
          <w:rFonts w:ascii="Palatino Linotype" w:eastAsia="Palatino Linotype" w:hAnsi="Palatino Linotype" w:cs="Palatino Linotype"/>
          <w:b/>
          <w:bCs/>
          <w:sz w:val="22"/>
          <w:szCs w:val="22"/>
        </w:rPr>
        <w:t>treinta y uno</w:t>
      </w:r>
      <w:r w:rsidRPr="00BB7CE8">
        <w:rPr>
          <w:rFonts w:ascii="Palatino Linotype" w:eastAsia="Palatino Linotype" w:hAnsi="Palatino Linotype" w:cs="Palatino Linotype"/>
          <w:b/>
          <w:bCs/>
          <w:sz w:val="22"/>
          <w:szCs w:val="22"/>
        </w:rPr>
        <w:t xml:space="preserve"> de </w:t>
      </w:r>
      <w:r w:rsidR="00D327B4" w:rsidRPr="00BB7CE8">
        <w:rPr>
          <w:rFonts w:ascii="Palatino Linotype" w:eastAsia="Palatino Linotype" w:hAnsi="Palatino Linotype" w:cs="Palatino Linotype"/>
          <w:b/>
          <w:bCs/>
          <w:sz w:val="22"/>
          <w:szCs w:val="22"/>
        </w:rPr>
        <w:t>octubre</w:t>
      </w:r>
      <w:r w:rsidRPr="00BB7CE8">
        <w:rPr>
          <w:rFonts w:ascii="Palatino Linotype" w:eastAsia="Palatino Linotype" w:hAnsi="Palatino Linotype" w:cs="Palatino Linotype"/>
          <w:b/>
          <w:bCs/>
          <w:sz w:val="22"/>
          <w:szCs w:val="22"/>
        </w:rPr>
        <w:t xml:space="preserve"> de dos mil veinticinco, </w:t>
      </w:r>
      <w:r w:rsidRPr="00BB7CE8">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BB7CE8">
        <w:rPr>
          <w:rFonts w:ascii="Palatino Linotype" w:eastAsia="Palatino Linotype" w:hAnsi="Palatino Linotype" w:cs="Palatino Linotype"/>
          <w:b/>
          <w:bCs/>
          <w:sz w:val="22"/>
          <w:szCs w:val="22"/>
        </w:rPr>
        <w:t xml:space="preserve">Sujeto Obligado </w:t>
      </w:r>
      <w:r w:rsidRPr="00BB7CE8">
        <w:rPr>
          <w:rFonts w:ascii="Palatino Linotype" w:eastAsia="Palatino Linotype" w:hAnsi="Palatino Linotype" w:cs="Palatino Linotype"/>
          <w:sz w:val="22"/>
          <w:szCs w:val="22"/>
        </w:rPr>
        <w:t>presentara su informe justificado.</w:t>
      </w:r>
    </w:p>
    <w:p w14:paraId="73236D59"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6CBDF3E9" w14:textId="3981A366" w:rsidR="00D327B4" w:rsidRPr="00BB7CE8" w:rsidRDefault="00E5237A">
      <w:pPr>
        <w:widowControl w:val="0"/>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t xml:space="preserve">6. Manifestaciones. </w:t>
      </w:r>
      <w:r w:rsidRPr="00BB7CE8">
        <w:rPr>
          <w:rFonts w:ascii="Palatino Linotype" w:eastAsia="Palatino Linotype" w:hAnsi="Palatino Linotype" w:cs="Palatino Linotype"/>
          <w:sz w:val="22"/>
          <w:szCs w:val="22"/>
        </w:rPr>
        <w:t xml:space="preserve">El </w:t>
      </w:r>
      <w:r w:rsidR="00D327B4" w:rsidRPr="00BB7CE8">
        <w:rPr>
          <w:rFonts w:ascii="Palatino Linotype" w:eastAsia="Palatino Linotype" w:hAnsi="Palatino Linotype" w:cs="Palatino Linotype"/>
          <w:b/>
          <w:bCs/>
          <w:sz w:val="22"/>
          <w:szCs w:val="22"/>
        </w:rPr>
        <w:t>cinco</w:t>
      </w:r>
      <w:r w:rsidRPr="00BB7CE8">
        <w:rPr>
          <w:rFonts w:ascii="Palatino Linotype" w:eastAsia="Palatino Linotype" w:hAnsi="Palatino Linotype" w:cs="Palatino Linotype"/>
          <w:b/>
          <w:bCs/>
          <w:sz w:val="22"/>
          <w:szCs w:val="22"/>
        </w:rPr>
        <w:t xml:space="preserve"> de </w:t>
      </w:r>
      <w:r w:rsidR="00D327B4" w:rsidRPr="00BB7CE8">
        <w:rPr>
          <w:rFonts w:ascii="Palatino Linotype" w:eastAsia="Palatino Linotype" w:hAnsi="Palatino Linotype" w:cs="Palatino Linotype"/>
          <w:b/>
          <w:bCs/>
          <w:sz w:val="22"/>
          <w:szCs w:val="22"/>
        </w:rPr>
        <w:t>noviembre</w:t>
      </w:r>
      <w:r w:rsidRPr="00BB7CE8">
        <w:rPr>
          <w:rFonts w:ascii="Palatino Linotype" w:eastAsia="Palatino Linotype" w:hAnsi="Palatino Linotype" w:cs="Palatino Linotype"/>
          <w:b/>
          <w:bCs/>
          <w:sz w:val="22"/>
          <w:szCs w:val="22"/>
        </w:rPr>
        <w:t xml:space="preserve"> de dos mil veinticinco</w:t>
      </w:r>
      <w:r w:rsidRPr="00BB7CE8">
        <w:rPr>
          <w:rFonts w:ascii="Palatino Linotype" w:eastAsia="Palatino Linotype" w:hAnsi="Palatino Linotype" w:cs="Palatino Linotype"/>
          <w:sz w:val="22"/>
          <w:szCs w:val="22"/>
        </w:rPr>
        <w:t xml:space="preserve">, el Sujeto Obligado remitió </w:t>
      </w:r>
      <w:r w:rsidR="00D327B4" w:rsidRPr="00BB7CE8">
        <w:rPr>
          <w:rFonts w:ascii="Palatino Linotype" w:eastAsia="Palatino Linotype" w:hAnsi="Palatino Linotype" w:cs="Palatino Linotype"/>
          <w:sz w:val="22"/>
          <w:szCs w:val="22"/>
        </w:rPr>
        <w:t>el informe justificado, a través del documento electrónico denominado informe Justificado RR 12289.pdf, a través del cual ratifica la respuesta inicial, además, hace de conocimiento del particular que en la consulta directa se le puede proporcionar la información en copias simples, certificadas o medios de almacenamiento. El contenido del informe justificado se puso a disposición del Recurrente el veinte de febrero de dos mil veintiséis.</w:t>
      </w:r>
    </w:p>
    <w:p w14:paraId="68895C14" w14:textId="77777777" w:rsidR="00A40B65" w:rsidRPr="00BB7CE8" w:rsidRDefault="00A40B65">
      <w:pPr>
        <w:widowControl w:val="0"/>
        <w:spacing w:line="360" w:lineRule="auto"/>
        <w:ind w:right="49"/>
        <w:jc w:val="both"/>
        <w:rPr>
          <w:rFonts w:ascii="Palatino Linotype" w:eastAsia="Palatino Linotype" w:hAnsi="Palatino Linotype" w:cs="Palatino Linotype"/>
          <w:sz w:val="22"/>
          <w:szCs w:val="22"/>
        </w:rPr>
      </w:pPr>
    </w:p>
    <w:p w14:paraId="789E5E94" w14:textId="77777777" w:rsidR="00A40B65" w:rsidRPr="00BB7CE8" w:rsidRDefault="00E5237A">
      <w:pPr>
        <w:widowControl w:val="0"/>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La parte Recurrente fue omisa en rendir manifestaciones. </w:t>
      </w:r>
    </w:p>
    <w:p w14:paraId="6E9F4282" w14:textId="77777777" w:rsidR="00A40B65" w:rsidRPr="00BB7CE8" w:rsidRDefault="00A40B65">
      <w:pPr>
        <w:widowControl w:val="0"/>
        <w:spacing w:line="360" w:lineRule="auto"/>
        <w:ind w:right="49"/>
        <w:jc w:val="both"/>
        <w:rPr>
          <w:rFonts w:ascii="Palatino Linotype" w:eastAsia="Palatino Linotype" w:hAnsi="Palatino Linotype" w:cs="Palatino Linotype"/>
          <w:sz w:val="22"/>
          <w:szCs w:val="22"/>
        </w:rPr>
      </w:pPr>
    </w:p>
    <w:p w14:paraId="6EC760E5" w14:textId="12D9BE6C" w:rsidR="00A40B65" w:rsidRPr="00BB7CE8" w:rsidRDefault="00E5237A">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t>7. Ampliación de plazo:</w:t>
      </w:r>
      <w:r w:rsidRPr="00BB7CE8">
        <w:rPr>
          <w:rFonts w:ascii="Palatino Linotype" w:eastAsia="Palatino Linotype" w:hAnsi="Palatino Linotype" w:cs="Palatino Linotype"/>
          <w:sz w:val="22"/>
          <w:szCs w:val="22"/>
        </w:rPr>
        <w:t xml:space="preserve"> En fecha </w:t>
      </w:r>
      <w:r w:rsidR="00D327B4" w:rsidRPr="00BB7CE8">
        <w:rPr>
          <w:rFonts w:ascii="Palatino Linotype" w:eastAsia="Palatino Linotype" w:hAnsi="Palatino Linotype" w:cs="Palatino Linotype"/>
          <w:b/>
          <w:bCs/>
          <w:sz w:val="22"/>
          <w:szCs w:val="22"/>
        </w:rPr>
        <w:t>veinte</w:t>
      </w:r>
      <w:r w:rsidRPr="00BB7CE8">
        <w:rPr>
          <w:rFonts w:ascii="Palatino Linotype" w:eastAsia="Palatino Linotype" w:hAnsi="Palatino Linotype" w:cs="Palatino Linotype"/>
          <w:b/>
          <w:bCs/>
          <w:sz w:val="22"/>
          <w:szCs w:val="22"/>
        </w:rPr>
        <w:t xml:space="preserve"> de </w:t>
      </w:r>
      <w:r w:rsidR="00D327B4" w:rsidRPr="00BB7CE8">
        <w:rPr>
          <w:rFonts w:ascii="Palatino Linotype" w:eastAsia="Palatino Linotype" w:hAnsi="Palatino Linotype" w:cs="Palatino Linotype"/>
          <w:b/>
          <w:bCs/>
          <w:sz w:val="22"/>
          <w:szCs w:val="22"/>
        </w:rPr>
        <w:t>febrero de dos mil veintiséis</w:t>
      </w:r>
      <w:r w:rsidRPr="00BB7CE8">
        <w:rPr>
          <w:rFonts w:ascii="Palatino Linotype" w:eastAsia="Palatino Linotype" w:hAnsi="Palatino Linotype" w:cs="Palatino Linotype"/>
          <w:sz w:val="22"/>
          <w:szCs w:val="22"/>
        </w:rPr>
        <w:t>, con fundamento en el artículo 181, párrafo tercero de la Ley de Transparencia y Acceso a la Información Pública del Estado de México y Municipios, se acordó la ampliación del plazo para su resolución, mismo que fue notificado el veintiuno de agosto de dos mil veinticinco.</w:t>
      </w:r>
    </w:p>
    <w:p w14:paraId="71DD3224" w14:textId="77777777" w:rsidR="00A40B65" w:rsidRPr="00BB7CE8" w:rsidRDefault="00A40B65">
      <w:pPr>
        <w:widowControl w:val="0"/>
        <w:spacing w:line="360" w:lineRule="auto"/>
        <w:jc w:val="both"/>
        <w:rPr>
          <w:rFonts w:ascii="Palatino Linotype" w:eastAsia="Palatino Linotype" w:hAnsi="Palatino Linotype" w:cs="Palatino Linotype"/>
          <w:sz w:val="22"/>
          <w:szCs w:val="22"/>
        </w:rPr>
      </w:pPr>
    </w:p>
    <w:p w14:paraId="4DD98025" w14:textId="77777777" w:rsidR="00A40B65" w:rsidRPr="00BB7CE8" w:rsidRDefault="00E5237A">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2C15E907" w14:textId="77777777" w:rsidR="00A40B65" w:rsidRPr="00BB7CE8" w:rsidRDefault="00A40B65">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p>
    <w:p w14:paraId="5F99865C"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1FC468F1"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4CFAA025"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45DE86EE"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04EB29FD"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4CB67400" w14:textId="77777777" w:rsidR="00A40B65" w:rsidRPr="00BB7CE8" w:rsidRDefault="00E5237A">
      <w:pPr>
        <w:spacing w:line="360" w:lineRule="auto"/>
        <w:jc w:val="both"/>
        <w:rPr>
          <w:rFonts w:ascii="Palatino Linotype" w:eastAsia="Palatino Linotype" w:hAnsi="Palatino Linotype" w:cs="Palatino Linotype"/>
          <w:strike/>
          <w:sz w:val="22"/>
          <w:szCs w:val="22"/>
        </w:rPr>
      </w:pPr>
      <w:r w:rsidRPr="00BB7CE8">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0E8CFA78"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51719899" w14:textId="77777777" w:rsidR="00A40B65" w:rsidRPr="00BB7CE8" w:rsidRDefault="00E5237A">
      <w:pPr>
        <w:numPr>
          <w:ilvl w:val="0"/>
          <w:numId w:val="4"/>
        </w:num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Complejidad del Asunto: La complejidad de la prueba, la pluralidad de sujetos procesales, el tiempo transcurrido, las características y contexto del recurso.</w:t>
      </w:r>
    </w:p>
    <w:p w14:paraId="0DF7F89B" w14:textId="77777777" w:rsidR="00A40B65" w:rsidRPr="00BB7CE8" w:rsidRDefault="00E5237A">
      <w:pPr>
        <w:numPr>
          <w:ilvl w:val="0"/>
          <w:numId w:val="4"/>
        </w:num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Actividad Procesal del interesado. Acciones u omisiones del interesado.</w:t>
      </w:r>
    </w:p>
    <w:p w14:paraId="7D090FAC" w14:textId="77777777" w:rsidR="00A40B65" w:rsidRPr="00BB7CE8" w:rsidRDefault="00E5237A">
      <w:pPr>
        <w:numPr>
          <w:ilvl w:val="0"/>
          <w:numId w:val="4"/>
        </w:num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Conducta de la Autoridad: Las Acciones u omisiones realizadas en el procedimiento. Así como si la autoridad actuó con la debida diligencia.</w:t>
      </w:r>
    </w:p>
    <w:p w14:paraId="5FAB309E" w14:textId="77777777" w:rsidR="00A40B65" w:rsidRPr="00BB7CE8" w:rsidRDefault="00E5237A">
      <w:pPr>
        <w:numPr>
          <w:ilvl w:val="0"/>
          <w:numId w:val="4"/>
        </w:num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 La afectación generada en la situación jurídica de la persona involucrada en el proceso: Violación a sus derechos humanos.</w:t>
      </w:r>
    </w:p>
    <w:p w14:paraId="45751642"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37E3BB4B"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694F381"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0B4E6BBE"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BB7CE8">
        <w:rPr>
          <w:rFonts w:ascii="Palatino Linotype" w:eastAsia="Palatino Linotype" w:hAnsi="Palatino Linotype" w:cs="Palatino Linotype"/>
          <w:i/>
          <w:iCs/>
          <w:sz w:val="22"/>
          <w:szCs w:val="22"/>
        </w:rPr>
        <w:t>“TÉRMINOS PROCESALES. PARA DETERMINAR SI UN FUNCIONARIO JUDICIAL ACTUÓ INDEBIDAMENTE POR NO RESPETARLOS SE DEBE ATENDER AL PRESUPUESTO QUE CONSIDERÓ EL LEGISLADOR AL FIJARLOS Y LAS CARACTERÍSTICAS DEL CASO.”</w:t>
      </w:r>
      <w:r w:rsidRPr="00BB7CE8">
        <w:rPr>
          <w:rFonts w:ascii="Palatino Linotype" w:eastAsia="Palatino Linotype" w:hAnsi="Palatino Linotype" w:cs="Palatino Linotype"/>
          <w:sz w:val="22"/>
          <w:szCs w:val="22"/>
        </w:rPr>
        <w:t>, visible en la Gaceta del Seminario Judicial de la Federación con el registro digital 205635.</w:t>
      </w:r>
    </w:p>
    <w:p w14:paraId="66392E1F" w14:textId="77777777" w:rsidR="00CA47B7" w:rsidRPr="00BB7CE8" w:rsidRDefault="00CA47B7">
      <w:pPr>
        <w:spacing w:line="360" w:lineRule="auto"/>
        <w:jc w:val="both"/>
        <w:rPr>
          <w:rFonts w:ascii="Palatino Linotype" w:eastAsia="Palatino Linotype" w:hAnsi="Palatino Linotype" w:cs="Palatino Linotype"/>
          <w:sz w:val="22"/>
          <w:szCs w:val="22"/>
        </w:rPr>
      </w:pPr>
    </w:p>
    <w:p w14:paraId="5A87FD43"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E0BD7BF"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17607D27"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6BADEE92"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0AA65A18" w14:textId="77777777" w:rsidR="00A40B65" w:rsidRPr="00BB7CE8" w:rsidRDefault="00E5237A">
      <w:pPr>
        <w:spacing w:line="360" w:lineRule="auto"/>
        <w:ind w:left="567" w:right="616"/>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t xml:space="preserve"> </w:t>
      </w:r>
      <w:r w:rsidRPr="00BB7CE8">
        <w:rPr>
          <w:rFonts w:ascii="Palatino Linotype" w:eastAsia="Palatino Linotype" w:hAnsi="Palatino Linotype" w:cs="Palatino Linotype"/>
          <w:b/>
          <w:bCs/>
          <w:i/>
          <w:iCs/>
          <w:sz w:val="22"/>
          <w:szCs w:val="22"/>
        </w:rPr>
        <w:t>“PLAZO RAZONABLE PARA RESOLVER. DIMENSIÓN Y EFECTOS DE ESTE CONCEPTO CUANDO SE ADUCE EXCESIVA CARGA DE TRABAJO.”</w:t>
      </w:r>
      <w:r w:rsidRPr="00BB7CE8">
        <w:rPr>
          <w:rFonts w:ascii="Palatino Linotype" w:eastAsia="Palatino Linotype" w:hAnsi="Palatino Linotype" w:cs="Palatino Linotype"/>
          <w:sz w:val="22"/>
          <w:szCs w:val="22"/>
        </w:rPr>
        <w:t xml:space="preserve"> consultable en el Seminario Judicial de la Federación y su gaceta, con el registro digital 2002351.</w:t>
      </w:r>
    </w:p>
    <w:p w14:paraId="2ADAF25C" w14:textId="77777777" w:rsidR="00A40B65" w:rsidRPr="00BB7CE8" w:rsidRDefault="00E5237A">
      <w:pPr>
        <w:spacing w:line="360" w:lineRule="auto"/>
        <w:ind w:left="567" w:right="616"/>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i/>
          <w:iCs/>
          <w:sz w:val="22"/>
          <w:szCs w:val="22"/>
        </w:rPr>
        <w:t>“PLAZO RAZONABLE PARA RESOLVER. CONCEPTO Y ELEMENTOS QUE LO INTEGRAN A LA LUZ DEL DERECHO INTERNACIONAL DE LOS DERECHOS HUMANOS</w:t>
      </w:r>
      <w:r w:rsidRPr="00BB7CE8">
        <w:rPr>
          <w:rFonts w:ascii="Palatino Linotype" w:eastAsia="Palatino Linotype" w:hAnsi="Palatino Linotype" w:cs="Palatino Linotype"/>
          <w:i/>
          <w:iCs/>
          <w:sz w:val="22"/>
          <w:szCs w:val="22"/>
        </w:rPr>
        <w:t>.”</w:t>
      </w:r>
      <w:r w:rsidRPr="00BB7CE8">
        <w:rPr>
          <w:rFonts w:ascii="Palatino Linotype" w:eastAsia="Palatino Linotype" w:hAnsi="Palatino Linotype" w:cs="Palatino Linotype"/>
          <w:sz w:val="22"/>
          <w:szCs w:val="22"/>
        </w:rPr>
        <w:t>, visible en el Seminario Judicial de la Federación y su gaceta, con el registro digital 2002350.</w:t>
      </w:r>
    </w:p>
    <w:p w14:paraId="2C906A45" w14:textId="77777777" w:rsidR="00A40B65" w:rsidRPr="00BB7CE8" w:rsidRDefault="00A40B65">
      <w:pPr>
        <w:widowControl w:val="0"/>
        <w:spacing w:line="360" w:lineRule="auto"/>
        <w:ind w:right="49"/>
        <w:jc w:val="both"/>
        <w:rPr>
          <w:rFonts w:ascii="Palatino Linotype" w:eastAsia="Palatino Linotype" w:hAnsi="Palatino Linotype" w:cs="Palatino Linotype"/>
          <w:sz w:val="22"/>
          <w:szCs w:val="22"/>
        </w:rPr>
      </w:pPr>
    </w:p>
    <w:p w14:paraId="3B49B168" w14:textId="46F3017B" w:rsidR="00A40B65" w:rsidRPr="00BB7CE8" w:rsidRDefault="00E5237A">
      <w:pPr>
        <w:spacing w:line="360" w:lineRule="auto"/>
        <w:jc w:val="both"/>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b/>
          <w:bCs/>
          <w:sz w:val="22"/>
          <w:szCs w:val="22"/>
        </w:rPr>
        <w:t xml:space="preserve">8. Cierre de instrucción. </w:t>
      </w:r>
      <w:r w:rsidRPr="00BB7CE8">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00446785" w:rsidRPr="00BB7CE8">
        <w:rPr>
          <w:rFonts w:ascii="Palatino Linotype" w:eastAsia="Palatino Linotype" w:hAnsi="Palatino Linotype" w:cs="Palatino Linotype"/>
          <w:b/>
          <w:bCs/>
          <w:sz w:val="22"/>
          <w:szCs w:val="22"/>
        </w:rPr>
        <w:t>cinco de marzo</w:t>
      </w:r>
      <w:r w:rsidRPr="00BB7CE8">
        <w:rPr>
          <w:rFonts w:ascii="Palatino Linotype" w:eastAsia="Palatino Linotype" w:hAnsi="Palatino Linotype" w:cs="Palatino Linotype"/>
          <w:b/>
          <w:bCs/>
          <w:sz w:val="22"/>
          <w:szCs w:val="22"/>
        </w:rPr>
        <w:t xml:space="preserve"> de dos mil veintiséis,</w:t>
      </w:r>
      <w:r w:rsidRPr="00BB7CE8">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1527C28B"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315F0738"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531C435C" w14:textId="7E51063F" w:rsidR="0089635B" w:rsidRPr="00BB7CE8" w:rsidRDefault="0089635B">
      <w:pPr>
        <w:spacing w:line="360" w:lineRule="auto"/>
        <w:jc w:val="both"/>
        <w:rPr>
          <w:rFonts w:ascii="Palatino Linotype" w:eastAsia="Palatino Linotype" w:hAnsi="Palatino Linotype" w:cs="Palatino Linotype"/>
          <w:sz w:val="22"/>
          <w:szCs w:val="22"/>
        </w:rPr>
      </w:pPr>
    </w:p>
    <w:p w14:paraId="05699953" w14:textId="3F2BB123" w:rsidR="0089635B" w:rsidRPr="00BB7CE8" w:rsidRDefault="0089635B">
      <w:pPr>
        <w:spacing w:line="360" w:lineRule="auto"/>
        <w:jc w:val="both"/>
        <w:rPr>
          <w:rFonts w:ascii="Palatino Linotype" w:eastAsia="Palatino Linotype" w:hAnsi="Palatino Linotype" w:cs="Palatino Linotype"/>
          <w:sz w:val="22"/>
          <w:szCs w:val="22"/>
        </w:rPr>
      </w:pPr>
    </w:p>
    <w:p w14:paraId="0A375719" w14:textId="08150339" w:rsidR="0089635B" w:rsidRPr="00BB7CE8" w:rsidRDefault="0089635B">
      <w:pPr>
        <w:spacing w:line="360" w:lineRule="auto"/>
        <w:jc w:val="both"/>
        <w:rPr>
          <w:rFonts w:ascii="Palatino Linotype" w:eastAsia="Palatino Linotype" w:hAnsi="Palatino Linotype" w:cs="Palatino Linotype"/>
          <w:sz w:val="22"/>
          <w:szCs w:val="22"/>
        </w:rPr>
      </w:pPr>
    </w:p>
    <w:p w14:paraId="29294A78" w14:textId="301AB03E" w:rsidR="0089635B" w:rsidRPr="00BB7CE8" w:rsidRDefault="0089635B">
      <w:pPr>
        <w:spacing w:line="360" w:lineRule="auto"/>
        <w:jc w:val="both"/>
        <w:rPr>
          <w:rFonts w:ascii="Palatino Linotype" w:eastAsia="Palatino Linotype" w:hAnsi="Palatino Linotype" w:cs="Palatino Linotype"/>
          <w:sz w:val="22"/>
          <w:szCs w:val="22"/>
        </w:rPr>
      </w:pPr>
    </w:p>
    <w:p w14:paraId="0AE7FB6A" w14:textId="77777777" w:rsidR="0089635B" w:rsidRPr="00BB7CE8" w:rsidRDefault="0089635B">
      <w:pPr>
        <w:spacing w:line="360" w:lineRule="auto"/>
        <w:jc w:val="both"/>
        <w:rPr>
          <w:rFonts w:ascii="Palatino Linotype" w:eastAsia="Palatino Linotype" w:hAnsi="Palatino Linotype" w:cs="Palatino Linotype"/>
          <w:sz w:val="22"/>
          <w:szCs w:val="22"/>
        </w:rPr>
      </w:pPr>
    </w:p>
    <w:p w14:paraId="3AE9E2BA" w14:textId="77777777" w:rsidR="00A40B65" w:rsidRPr="00BB7CE8" w:rsidRDefault="00E5237A">
      <w:pPr>
        <w:widowControl w:val="0"/>
        <w:spacing w:line="360" w:lineRule="auto"/>
        <w:jc w:val="center"/>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b/>
          <w:bCs/>
          <w:sz w:val="22"/>
          <w:szCs w:val="22"/>
        </w:rPr>
        <w:t>II. C O N S I D E R A N D O S</w:t>
      </w:r>
    </w:p>
    <w:p w14:paraId="39ABBBA8" w14:textId="77777777" w:rsidR="00A40B65" w:rsidRPr="00BB7CE8" w:rsidRDefault="00A40B65">
      <w:pPr>
        <w:widowControl w:val="0"/>
        <w:spacing w:line="360" w:lineRule="auto"/>
        <w:jc w:val="center"/>
        <w:rPr>
          <w:rFonts w:ascii="Palatino Linotype" w:eastAsia="Palatino Linotype" w:hAnsi="Palatino Linotype" w:cs="Palatino Linotype"/>
          <w:b/>
          <w:bCs/>
          <w:sz w:val="22"/>
          <w:szCs w:val="22"/>
        </w:rPr>
      </w:pPr>
    </w:p>
    <w:p w14:paraId="0C4AFDD1"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t>Primero. Competencia.</w:t>
      </w:r>
      <w:r w:rsidRPr="00BB7CE8">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w:t>
      </w:r>
      <w:r w:rsidRPr="00BB7CE8">
        <w:rPr>
          <w:rFonts w:ascii="Palatino Linotype" w:hAnsi="Palatino Linotype"/>
          <w:sz w:val="22"/>
          <w:szCs w:val="22"/>
        </w:rPr>
        <w:t xml:space="preserve"> </w:t>
      </w:r>
      <w:r w:rsidRPr="00BB7CE8">
        <w:rPr>
          <w:rFonts w:ascii="Palatino Linotype" w:eastAsia="Palatino Linotype" w:hAnsi="Palatino Linotype" w:cs="Palatino Linotype"/>
          <w:sz w:val="22"/>
          <w:szCs w:val="22"/>
        </w:rPr>
        <w:t>5 párrafos trigésimo noveno, cuadragésimo y cuadragésimo primero fracciones IV y V de la Constitución Política del Estado Libre y Soberano de México; Transitorio Cuarto, párrafo segundo del Decreto número 198 de la “LXII” Legislatura del Estado de México;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33F7EFFA"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49BE1460" w14:textId="77777777" w:rsidR="00A40B65" w:rsidRPr="00BB7CE8" w:rsidRDefault="00E5237A">
      <w:pPr>
        <w:spacing w:line="360" w:lineRule="auto"/>
        <w:jc w:val="both"/>
        <w:rPr>
          <w:rFonts w:ascii="Palatino Linotype" w:eastAsia="Palatino Linotype" w:hAnsi="Palatino Linotype" w:cs="Palatino Linotype"/>
          <w:sz w:val="22"/>
          <w:szCs w:val="22"/>
        </w:rPr>
      </w:pPr>
      <w:bookmarkStart w:id="6" w:name="_heading=h.tyjcwt" w:colFirst="0" w:colLast="0"/>
      <w:bookmarkEnd w:id="6"/>
      <w:r w:rsidRPr="00BB7CE8">
        <w:rPr>
          <w:rFonts w:ascii="Palatino Linotype" w:eastAsia="Palatino Linotype" w:hAnsi="Palatino Linotype" w:cs="Palatino Linotype"/>
          <w:b/>
          <w:bCs/>
          <w:sz w:val="22"/>
          <w:szCs w:val="22"/>
        </w:rPr>
        <w:t xml:space="preserve">Segundo. Oportunidad y </w:t>
      </w:r>
      <w:proofErr w:type="spellStart"/>
      <w:r w:rsidRPr="00BB7CE8">
        <w:rPr>
          <w:rFonts w:ascii="Palatino Linotype" w:eastAsia="Palatino Linotype" w:hAnsi="Palatino Linotype" w:cs="Palatino Linotype"/>
          <w:b/>
          <w:bCs/>
          <w:sz w:val="22"/>
          <w:szCs w:val="22"/>
        </w:rPr>
        <w:t>Procedibilidad</w:t>
      </w:r>
      <w:proofErr w:type="spellEnd"/>
      <w:r w:rsidRPr="00BB7CE8">
        <w:rPr>
          <w:rFonts w:ascii="Palatino Linotype" w:eastAsia="Palatino Linotype" w:hAnsi="Palatino Linotype" w:cs="Palatino Linotype"/>
          <w:b/>
          <w:bCs/>
          <w:sz w:val="22"/>
          <w:szCs w:val="22"/>
        </w:rPr>
        <w:t xml:space="preserve"> del Recurso de Revisión</w:t>
      </w:r>
      <w:r w:rsidRPr="00BB7CE8">
        <w:rPr>
          <w:rFonts w:ascii="Palatino Linotype" w:eastAsia="Palatino Linotype" w:hAnsi="Palatino Linotype" w:cs="Palatino Linotype"/>
          <w:sz w:val="22"/>
          <w:szCs w:val="22"/>
        </w:rPr>
        <w:t xml:space="preserve">. Previo al estudio del fondo del asunto, se procede a analizar los requisitos de oportunidad y </w:t>
      </w:r>
      <w:proofErr w:type="spellStart"/>
      <w:r w:rsidRPr="00BB7CE8">
        <w:rPr>
          <w:rFonts w:ascii="Palatino Linotype" w:eastAsia="Palatino Linotype" w:hAnsi="Palatino Linotype" w:cs="Palatino Linotype"/>
          <w:sz w:val="22"/>
          <w:szCs w:val="22"/>
        </w:rPr>
        <w:t>procedibilidad</w:t>
      </w:r>
      <w:proofErr w:type="spellEnd"/>
      <w:r w:rsidRPr="00BB7CE8">
        <w:rPr>
          <w:rFonts w:ascii="Palatino Linotype" w:eastAsia="Palatino Linotype" w:hAnsi="Palatino Linotype" w:cs="Palatino Linotype"/>
          <w:sz w:val="22"/>
          <w:szCs w:val="22"/>
        </w:rPr>
        <w:t xml:space="preserve"> que debe reunir el recurso de revisión interpuesto, previstos en los artículos 178 y 180 de la Ley de Transparencia y Acceso a la Información Pública del Estado de México y Municipios.</w:t>
      </w:r>
    </w:p>
    <w:p w14:paraId="1C207674"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246CEFDF" w14:textId="0D176D07" w:rsidR="00A40B65" w:rsidRPr="00BB7CE8" w:rsidRDefault="00E5237A">
      <w:pPr>
        <w:spacing w:line="360" w:lineRule="auto"/>
        <w:jc w:val="both"/>
        <w:rPr>
          <w:rFonts w:ascii="Palatino Linotype" w:eastAsia="Palatino Linotype" w:hAnsi="Palatino Linotype" w:cs="Palatino Linotype"/>
          <w:sz w:val="22"/>
          <w:szCs w:val="22"/>
        </w:rPr>
      </w:pPr>
      <w:bookmarkStart w:id="7" w:name="_heading=h.3znysh7" w:colFirst="0" w:colLast="0"/>
      <w:bookmarkEnd w:id="7"/>
      <w:r w:rsidRPr="00BB7CE8">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BB7CE8">
        <w:rPr>
          <w:rFonts w:ascii="Palatino Linotype" w:eastAsia="Palatino Linotype" w:hAnsi="Palatino Linotype" w:cs="Palatino Linotype"/>
          <w:b/>
          <w:bCs/>
          <w:sz w:val="22"/>
          <w:szCs w:val="22"/>
        </w:rPr>
        <w:t xml:space="preserve">Sujeto Obligado </w:t>
      </w:r>
      <w:r w:rsidRPr="00BB7CE8">
        <w:rPr>
          <w:rFonts w:ascii="Palatino Linotype" w:eastAsia="Palatino Linotype" w:hAnsi="Palatino Linotype" w:cs="Palatino Linotype"/>
          <w:sz w:val="22"/>
          <w:szCs w:val="22"/>
        </w:rPr>
        <w:t xml:space="preserve">remitió la respuesta a la solicitud de información el </w:t>
      </w:r>
      <w:r w:rsidR="00CA47B7" w:rsidRPr="00BB7CE8">
        <w:rPr>
          <w:rFonts w:ascii="Palatino Linotype" w:eastAsia="Palatino Linotype" w:hAnsi="Palatino Linotype" w:cs="Palatino Linotype"/>
          <w:b/>
          <w:bCs/>
          <w:sz w:val="22"/>
          <w:szCs w:val="22"/>
        </w:rPr>
        <w:t xml:space="preserve">veinticuatro de octubre </w:t>
      </w:r>
      <w:r w:rsidRPr="00BB7CE8">
        <w:rPr>
          <w:rFonts w:ascii="Palatino Linotype" w:eastAsia="Palatino Linotype" w:hAnsi="Palatino Linotype" w:cs="Palatino Linotype"/>
          <w:b/>
          <w:bCs/>
          <w:sz w:val="22"/>
          <w:szCs w:val="22"/>
        </w:rPr>
        <w:t xml:space="preserve">dos mil veinticinco, </w:t>
      </w:r>
      <w:r w:rsidRPr="00BB7CE8">
        <w:rPr>
          <w:rFonts w:ascii="Palatino Linotype" w:eastAsia="Palatino Linotype" w:hAnsi="Palatino Linotype" w:cs="Palatino Linotype"/>
          <w:sz w:val="22"/>
          <w:szCs w:val="22"/>
        </w:rPr>
        <w:t xml:space="preserve">mientras que el recurso de revisión interpuesto por </w:t>
      </w:r>
      <w:r w:rsidRPr="00BB7CE8">
        <w:rPr>
          <w:rFonts w:ascii="Palatino Linotype" w:eastAsia="Palatino Linotype" w:hAnsi="Palatino Linotype" w:cs="Palatino Linotype"/>
          <w:b/>
          <w:bCs/>
          <w:sz w:val="22"/>
          <w:szCs w:val="22"/>
        </w:rPr>
        <w:t>la parte</w:t>
      </w:r>
      <w:r w:rsidRPr="00BB7CE8">
        <w:rPr>
          <w:rFonts w:ascii="Palatino Linotype" w:eastAsia="Palatino Linotype" w:hAnsi="Palatino Linotype" w:cs="Palatino Linotype"/>
          <w:sz w:val="22"/>
          <w:szCs w:val="22"/>
        </w:rPr>
        <w:t xml:space="preserve"> </w:t>
      </w:r>
      <w:r w:rsidRPr="00BB7CE8">
        <w:rPr>
          <w:rFonts w:ascii="Palatino Linotype" w:eastAsia="Palatino Linotype" w:hAnsi="Palatino Linotype" w:cs="Palatino Linotype"/>
          <w:b/>
          <w:bCs/>
          <w:sz w:val="22"/>
          <w:szCs w:val="22"/>
        </w:rPr>
        <w:t>Recurrente</w:t>
      </w:r>
      <w:r w:rsidRPr="00BB7CE8">
        <w:rPr>
          <w:rFonts w:ascii="Palatino Linotype" w:eastAsia="Palatino Linotype" w:hAnsi="Palatino Linotype" w:cs="Palatino Linotype"/>
          <w:sz w:val="22"/>
          <w:szCs w:val="22"/>
        </w:rPr>
        <w:t xml:space="preserve">, se tuvo por presentado el día </w:t>
      </w:r>
      <w:r w:rsidRPr="00BB7CE8">
        <w:rPr>
          <w:rFonts w:ascii="Palatino Linotype" w:eastAsia="Palatino Linotype" w:hAnsi="Palatino Linotype" w:cs="Palatino Linotype"/>
          <w:b/>
          <w:bCs/>
          <w:sz w:val="22"/>
          <w:szCs w:val="22"/>
        </w:rPr>
        <w:t>veint</w:t>
      </w:r>
      <w:r w:rsidR="00CA47B7" w:rsidRPr="00BB7CE8">
        <w:rPr>
          <w:rFonts w:ascii="Palatino Linotype" w:eastAsia="Palatino Linotype" w:hAnsi="Palatino Linotype" w:cs="Palatino Linotype"/>
          <w:b/>
          <w:bCs/>
          <w:sz w:val="22"/>
          <w:szCs w:val="22"/>
        </w:rPr>
        <w:t>iocho</w:t>
      </w:r>
      <w:r w:rsidRPr="00BB7CE8">
        <w:rPr>
          <w:rFonts w:ascii="Palatino Linotype" w:eastAsia="Palatino Linotype" w:hAnsi="Palatino Linotype" w:cs="Palatino Linotype"/>
          <w:b/>
          <w:bCs/>
          <w:sz w:val="22"/>
          <w:szCs w:val="22"/>
        </w:rPr>
        <w:t xml:space="preserve"> de </w:t>
      </w:r>
      <w:r w:rsidR="00CA47B7" w:rsidRPr="00BB7CE8">
        <w:rPr>
          <w:rFonts w:ascii="Palatino Linotype" w:eastAsia="Palatino Linotype" w:hAnsi="Palatino Linotype" w:cs="Palatino Linotype"/>
          <w:b/>
          <w:bCs/>
          <w:sz w:val="22"/>
          <w:szCs w:val="22"/>
        </w:rPr>
        <w:t>octubre</w:t>
      </w:r>
      <w:r w:rsidRPr="00BB7CE8">
        <w:rPr>
          <w:rFonts w:ascii="Palatino Linotype" w:eastAsia="Palatino Linotype" w:hAnsi="Palatino Linotype" w:cs="Palatino Linotype"/>
          <w:b/>
          <w:bCs/>
          <w:sz w:val="22"/>
          <w:szCs w:val="22"/>
        </w:rPr>
        <w:t xml:space="preserve"> de dos mil veinticinco, </w:t>
      </w:r>
      <w:r w:rsidRPr="00BB7CE8">
        <w:rPr>
          <w:rFonts w:ascii="Palatino Linotype" w:eastAsia="Palatino Linotype" w:hAnsi="Palatino Linotype" w:cs="Palatino Linotype"/>
          <w:sz w:val="22"/>
          <w:szCs w:val="22"/>
        </w:rPr>
        <w:t>esto es, al s</w:t>
      </w:r>
      <w:r w:rsidR="00CA47B7" w:rsidRPr="00BB7CE8">
        <w:rPr>
          <w:rFonts w:ascii="Palatino Linotype" w:eastAsia="Palatino Linotype" w:hAnsi="Palatino Linotype" w:cs="Palatino Linotype"/>
          <w:sz w:val="22"/>
          <w:szCs w:val="22"/>
        </w:rPr>
        <w:t>egundo día</w:t>
      </w:r>
      <w:r w:rsidRPr="00BB7CE8">
        <w:rPr>
          <w:rFonts w:ascii="Palatino Linotype" w:eastAsia="Palatino Linotype" w:hAnsi="Palatino Linotype" w:cs="Palatino Linotype"/>
          <w:sz w:val="22"/>
          <w:szCs w:val="22"/>
        </w:rPr>
        <w:t xml:space="preserve"> hábil en que se tuvo conocimiento de la respuesta. </w:t>
      </w:r>
    </w:p>
    <w:p w14:paraId="023B0C8A"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2E5CCB66"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38F3C38D" w14:textId="77777777" w:rsidR="00A40B65" w:rsidRPr="00BB7CE8" w:rsidRDefault="00A40B65">
      <w:pPr>
        <w:spacing w:line="276" w:lineRule="auto"/>
        <w:ind w:right="902"/>
        <w:jc w:val="both"/>
        <w:rPr>
          <w:rFonts w:ascii="Palatino Linotype" w:eastAsia="Palatino Linotype" w:hAnsi="Palatino Linotype" w:cs="Palatino Linotype"/>
          <w:i/>
          <w:iCs/>
          <w:sz w:val="22"/>
          <w:szCs w:val="22"/>
        </w:rPr>
      </w:pPr>
    </w:p>
    <w:p w14:paraId="7AA1CB3D" w14:textId="77777777" w:rsidR="00A40B65" w:rsidRPr="00BB7CE8" w:rsidRDefault="00E5237A">
      <w:pPr>
        <w:tabs>
          <w:tab w:val="left" w:pos="7938"/>
        </w:tabs>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Al mismo tiempo, por cuanto hace a la </w:t>
      </w:r>
      <w:proofErr w:type="spellStart"/>
      <w:r w:rsidRPr="00BB7CE8">
        <w:rPr>
          <w:rFonts w:ascii="Palatino Linotype" w:eastAsia="Palatino Linotype" w:hAnsi="Palatino Linotype" w:cs="Palatino Linotype"/>
          <w:sz w:val="22"/>
          <w:szCs w:val="22"/>
        </w:rPr>
        <w:t>procedibilidad</w:t>
      </w:r>
      <w:proofErr w:type="spellEnd"/>
      <w:r w:rsidRPr="00BB7CE8">
        <w:rPr>
          <w:rFonts w:ascii="Palatino Linotype" w:eastAsia="Palatino Linotype" w:hAnsi="Palatino Linotype" w:cs="Palatino Linotype"/>
          <w:sz w:val="22"/>
          <w:szCs w:val="22"/>
        </w:rPr>
        <w:t xml:space="preserve">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2BFEED41" w14:textId="77777777" w:rsidR="00A40B65" w:rsidRPr="00BB7CE8" w:rsidRDefault="00A40B65">
      <w:pPr>
        <w:tabs>
          <w:tab w:val="left" w:pos="7938"/>
        </w:tabs>
        <w:spacing w:line="360" w:lineRule="auto"/>
        <w:jc w:val="both"/>
        <w:rPr>
          <w:rFonts w:ascii="Palatino Linotype" w:eastAsia="Palatino Linotype" w:hAnsi="Palatino Linotype" w:cs="Palatino Linotype"/>
          <w:sz w:val="22"/>
          <w:szCs w:val="22"/>
        </w:rPr>
      </w:pPr>
    </w:p>
    <w:p w14:paraId="6DE0A775" w14:textId="6E3D7A8B"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Finalmente, se advierte que resulta procedente la interposición del recurso, según lo manifestado por </w:t>
      </w:r>
      <w:r w:rsidRPr="00BB7CE8">
        <w:rPr>
          <w:rFonts w:ascii="Palatino Linotype" w:eastAsia="Palatino Linotype" w:hAnsi="Palatino Linotype" w:cs="Palatino Linotype"/>
          <w:b/>
          <w:bCs/>
          <w:sz w:val="22"/>
          <w:szCs w:val="22"/>
        </w:rPr>
        <w:t>la parte</w:t>
      </w:r>
      <w:r w:rsidRPr="00BB7CE8">
        <w:rPr>
          <w:rFonts w:ascii="Palatino Linotype" w:eastAsia="Palatino Linotype" w:hAnsi="Palatino Linotype" w:cs="Palatino Linotype"/>
          <w:sz w:val="22"/>
          <w:szCs w:val="22"/>
        </w:rPr>
        <w:t xml:space="preserve"> </w:t>
      </w:r>
      <w:r w:rsidRPr="00BB7CE8">
        <w:rPr>
          <w:rFonts w:ascii="Palatino Linotype" w:eastAsia="Palatino Linotype" w:hAnsi="Palatino Linotype" w:cs="Palatino Linotype"/>
          <w:b/>
          <w:bCs/>
          <w:sz w:val="22"/>
          <w:szCs w:val="22"/>
        </w:rPr>
        <w:t>Recurrente</w:t>
      </w:r>
      <w:r w:rsidRPr="00BB7CE8">
        <w:rPr>
          <w:rFonts w:ascii="Palatino Linotype" w:eastAsia="Palatino Linotype" w:hAnsi="Palatino Linotype" w:cs="Palatino Linotype"/>
          <w:sz w:val="22"/>
          <w:szCs w:val="22"/>
        </w:rPr>
        <w:t xml:space="preserve"> </w:t>
      </w:r>
      <w:r w:rsidR="00CA47B7" w:rsidRPr="00BB7CE8">
        <w:rPr>
          <w:rFonts w:ascii="Palatino Linotype" w:eastAsia="Palatino Linotype" w:hAnsi="Palatino Linotype" w:cs="Palatino Linotype"/>
          <w:sz w:val="22"/>
          <w:szCs w:val="22"/>
        </w:rPr>
        <w:t>en sus</w:t>
      </w:r>
      <w:r w:rsidRPr="00BB7CE8">
        <w:rPr>
          <w:rFonts w:ascii="Palatino Linotype" w:eastAsia="Palatino Linotype" w:hAnsi="Palatino Linotype" w:cs="Palatino Linotype"/>
          <w:sz w:val="22"/>
          <w:szCs w:val="22"/>
        </w:rPr>
        <w:t xml:space="preserve"> motivos de inconformidad, </w:t>
      </w:r>
      <w:r w:rsidR="00CA47B7" w:rsidRPr="00BB7CE8">
        <w:rPr>
          <w:rFonts w:ascii="Palatino Linotype" w:eastAsia="Palatino Linotype" w:hAnsi="Palatino Linotype" w:cs="Palatino Linotype"/>
          <w:sz w:val="22"/>
          <w:szCs w:val="22"/>
        </w:rPr>
        <w:t>de acuerdo con el</w:t>
      </w:r>
      <w:r w:rsidRPr="00BB7CE8">
        <w:rPr>
          <w:rFonts w:ascii="Palatino Linotype" w:eastAsia="Palatino Linotype" w:hAnsi="Palatino Linotype" w:cs="Palatino Linotype"/>
          <w:sz w:val="22"/>
          <w:szCs w:val="22"/>
        </w:rPr>
        <w:t xml:space="preserve"> artículo 179, fracción </w:t>
      </w:r>
      <w:r w:rsidR="00CA47B7" w:rsidRPr="00BB7CE8">
        <w:rPr>
          <w:rFonts w:ascii="Palatino Linotype" w:eastAsia="Palatino Linotype" w:hAnsi="Palatino Linotype" w:cs="Palatino Linotype"/>
          <w:sz w:val="22"/>
          <w:szCs w:val="22"/>
        </w:rPr>
        <w:t>VII</w:t>
      </w:r>
      <w:r w:rsidRPr="00BB7CE8">
        <w:rPr>
          <w:rFonts w:ascii="Palatino Linotype" w:eastAsia="Palatino Linotype" w:hAnsi="Palatino Linotype" w:cs="Palatino Linotype"/>
          <w:sz w:val="22"/>
          <w:szCs w:val="22"/>
        </w:rPr>
        <w:t>I del ordenamiento legal citado, que a la letra dice: </w:t>
      </w:r>
    </w:p>
    <w:p w14:paraId="5E853354"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370F1913" w14:textId="77777777" w:rsidR="00A40B65" w:rsidRPr="00BB7CE8" w:rsidRDefault="00E5237A">
      <w:pPr>
        <w:ind w:left="567" w:right="902"/>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r w:rsidRPr="00BB7CE8">
        <w:rPr>
          <w:rFonts w:ascii="Palatino Linotype" w:eastAsia="Palatino Linotype" w:hAnsi="Palatino Linotype" w:cs="Palatino Linotype"/>
          <w:b/>
          <w:bCs/>
          <w:i/>
          <w:iCs/>
          <w:sz w:val="22"/>
          <w:szCs w:val="22"/>
        </w:rPr>
        <w:t>Artículo 179.</w:t>
      </w:r>
      <w:r w:rsidRPr="00BB7CE8">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5941B588" w14:textId="77777777" w:rsidR="00A40B65" w:rsidRPr="00BB7CE8" w:rsidRDefault="00E5237A">
      <w:pPr>
        <w:ind w:left="567" w:right="902"/>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p>
    <w:p w14:paraId="48DE151F" w14:textId="4E870E9E" w:rsidR="00A40B65" w:rsidRPr="00BB7CE8" w:rsidRDefault="00CA47B7">
      <w:pPr>
        <w:spacing w:line="360" w:lineRule="auto"/>
        <w:ind w:left="567" w:right="902"/>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VIII. La notificación, entrega o puesta a disposición de información en una modalidad o formato distinto al solicitado</w:t>
      </w:r>
      <w:r w:rsidR="00E5237A" w:rsidRPr="00BB7CE8">
        <w:rPr>
          <w:rFonts w:ascii="Palatino Linotype" w:eastAsia="Palatino Linotype" w:hAnsi="Palatino Linotype" w:cs="Palatino Linotype"/>
          <w:i/>
          <w:iCs/>
          <w:sz w:val="22"/>
          <w:szCs w:val="22"/>
        </w:rPr>
        <w:t>;</w:t>
      </w:r>
    </w:p>
    <w:p w14:paraId="0ADD23A0" w14:textId="77777777" w:rsidR="00A40B65" w:rsidRPr="00BB7CE8" w:rsidRDefault="00E5237A">
      <w:pPr>
        <w:spacing w:line="360" w:lineRule="auto"/>
        <w:ind w:left="567" w:right="902"/>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p>
    <w:p w14:paraId="60AC710A" w14:textId="77777777" w:rsidR="00A40B65" w:rsidRPr="00BB7CE8" w:rsidRDefault="00A40B65">
      <w:pPr>
        <w:spacing w:line="360" w:lineRule="auto"/>
        <w:ind w:left="567" w:right="902"/>
        <w:jc w:val="both"/>
        <w:rPr>
          <w:rFonts w:ascii="Palatino Linotype" w:eastAsia="Palatino Linotype" w:hAnsi="Palatino Linotype" w:cs="Palatino Linotype"/>
          <w:i/>
          <w:iCs/>
          <w:sz w:val="22"/>
          <w:szCs w:val="22"/>
        </w:rPr>
      </w:pPr>
    </w:p>
    <w:p w14:paraId="52796426" w14:textId="0F086D0F"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t>Tercero. Materia de Revisión</w:t>
      </w:r>
      <w:r w:rsidRPr="00BB7CE8">
        <w:rPr>
          <w:rFonts w:ascii="Palatino Linotype" w:eastAsia="Palatino Linotype" w:hAnsi="Palatino Linotype" w:cs="Palatino Linotype"/>
          <w:sz w:val="22"/>
          <w:szCs w:val="22"/>
        </w:rPr>
        <w:t xml:space="preserve">: De las constancias que integran el expediente electrónico se advierte que el tema sobre el que este Instituto se pronunciará será en determinar si se actualiza la fracción </w:t>
      </w:r>
      <w:r w:rsidR="00CA47B7" w:rsidRPr="00BB7CE8">
        <w:rPr>
          <w:rFonts w:ascii="Palatino Linotype" w:eastAsia="Palatino Linotype" w:hAnsi="Palatino Linotype" w:cs="Palatino Linotype"/>
          <w:sz w:val="22"/>
          <w:szCs w:val="22"/>
        </w:rPr>
        <w:t>VII</w:t>
      </w:r>
      <w:r w:rsidRPr="00BB7CE8">
        <w:rPr>
          <w:rFonts w:ascii="Palatino Linotype" w:eastAsia="Palatino Linotype" w:hAnsi="Palatino Linotype" w:cs="Palatino Linotype"/>
          <w:sz w:val="22"/>
          <w:szCs w:val="22"/>
        </w:rPr>
        <w:t xml:space="preserve">I del artículo 179 de la Ley de Transparencia y Acceso a la Información Pública del Estado de México y Municipios.  </w:t>
      </w:r>
    </w:p>
    <w:p w14:paraId="1603E5A4"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2E8D8445"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t xml:space="preserve">Cuarto. Estudio de fondo del asunto. </w:t>
      </w:r>
      <w:r w:rsidRPr="00BB7CE8">
        <w:rPr>
          <w:rFonts w:ascii="Palatino Linotype" w:eastAsia="Palatino Linotype" w:hAnsi="Palatino Linotype" w:cs="Palatino Linotype"/>
          <w:sz w:val="22"/>
          <w:szCs w:val="22"/>
        </w:rPr>
        <w:t>Es conveniente analizar si la respuesta del Sujeto Obligado</w:t>
      </w:r>
      <w:r w:rsidRPr="00BB7CE8">
        <w:rPr>
          <w:rFonts w:ascii="Palatino Linotype" w:eastAsia="Palatino Linotype" w:hAnsi="Palatino Linotype" w:cs="Palatino Linotype"/>
          <w:b/>
          <w:bCs/>
          <w:sz w:val="22"/>
          <w:szCs w:val="22"/>
        </w:rPr>
        <w:t xml:space="preserve"> </w:t>
      </w:r>
      <w:r w:rsidRPr="00BB7CE8">
        <w:rPr>
          <w:rFonts w:ascii="Palatino Linotype" w:eastAsia="Palatino Linotype" w:hAnsi="Palatino Linotype" w:cs="Palatino Linotype"/>
          <w:sz w:val="22"/>
          <w:szCs w:val="22"/>
        </w:rPr>
        <w:t>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06180DAE"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63D1920B" w14:textId="77777777" w:rsidR="00A40B65" w:rsidRPr="00BB7CE8" w:rsidRDefault="00E5237A">
      <w:pPr>
        <w:tabs>
          <w:tab w:val="left" w:pos="851"/>
        </w:tabs>
        <w:spacing w:line="276"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r w:rsidRPr="00BB7CE8">
        <w:rPr>
          <w:rFonts w:ascii="Palatino Linotype" w:eastAsia="Palatino Linotype" w:hAnsi="Palatino Linotype" w:cs="Palatino Linotype"/>
          <w:b/>
          <w:bCs/>
          <w:i/>
          <w:iCs/>
          <w:sz w:val="22"/>
          <w:szCs w:val="22"/>
        </w:rPr>
        <w:t>Artículo 4</w:t>
      </w:r>
      <w:r w:rsidRPr="00BB7CE8">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79DC94EC" w14:textId="77777777" w:rsidR="00A40B65" w:rsidRPr="00BB7CE8" w:rsidRDefault="00E5237A">
      <w:pPr>
        <w:tabs>
          <w:tab w:val="left" w:pos="851"/>
        </w:tabs>
        <w:spacing w:line="276"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BB7CE8">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E4A1547" w14:textId="77777777" w:rsidR="00A40B65" w:rsidRPr="00BB7CE8" w:rsidRDefault="00E5237A">
      <w:pPr>
        <w:tabs>
          <w:tab w:val="left" w:pos="851"/>
        </w:tabs>
        <w:spacing w:line="276"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BB7CE8">
        <w:rPr>
          <w:rFonts w:ascii="Palatino Linotype" w:eastAsia="Palatino Linotype" w:hAnsi="Palatino Linotype" w:cs="Palatino Linotype"/>
          <w:i/>
          <w:iCs/>
          <w:sz w:val="22"/>
          <w:szCs w:val="22"/>
        </w:rPr>
        <w:t>.”</w:t>
      </w:r>
    </w:p>
    <w:p w14:paraId="1B1EFBB8"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0EAB7ACB"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3927305" w14:textId="77777777" w:rsidR="00A40B65" w:rsidRPr="00BB7CE8" w:rsidRDefault="00A40B65">
      <w:pPr>
        <w:spacing w:line="276" w:lineRule="auto"/>
        <w:ind w:left="567" w:right="616"/>
        <w:jc w:val="both"/>
        <w:rPr>
          <w:rFonts w:ascii="Palatino Linotype" w:eastAsia="Palatino Linotype" w:hAnsi="Palatino Linotype" w:cs="Palatino Linotype"/>
          <w:sz w:val="22"/>
          <w:szCs w:val="22"/>
        </w:rPr>
      </w:pPr>
    </w:p>
    <w:p w14:paraId="04536647" w14:textId="77777777" w:rsidR="00A40B65" w:rsidRPr="00BB7CE8" w:rsidRDefault="00E5237A">
      <w:pPr>
        <w:spacing w:line="276"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r w:rsidRPr="00BB7CE8">
        <w:rPr>
          <w:rFonts w:ascii="Palatino Linotype" w:eastAsia="Palatino Linotype" w:hAnsi="Palatino Linotype" w:cs="Palatino Linotype"/>
          <w:b/>
          <w:bCs/>
          <w:i/>
          <w:iCs/>
          <w:sz w:val="22"/>
          <w:szCs w:val="22"/>
        </w:rPr>
        <w:t>Artículo 12.-</w:t>
      </w:r>
      <w:r w:rsidRPr="00BB7CE8">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0E877502" w14:textId="77777777" w:rsidR="00A40B65" w:rsidRPr="00BB7CE8" w:rsidRDefault="00A40B65">
      <w:pPr>
        <w:spacing w:line="276" w:lineRule="auto"/>
        <w:ind w:left="567" w:right="616"/>
        <w:jc w:val="both"/>
        <w:rPr>
          <w:rFonts w:ascii="Palatino Linotype" w:eastAsia="Palatino Linotype" w:hAnsi="Palatino Linotype" w:cs="Palatino Linotype"/>
          <w:i/>
          <w:iCs/>
          <w:sz w:val="22"/>
          <w:szCs w:val="22"/>
        </w:rPr>
      </w:pPr>
    </w:p>
    <w:p w14:paraId="7DA07E94" w14:textId="77777777" w:rsidR="00A40B65" w:rsidRPr="00BB7CE8" w:rsidRDefault="00E5237A">
      <w:pPr>
        <w:spacing w:line="276"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BB7CE8">
        <w:rPr>
          <w:rFonts w:ascii="Palatino Linotype" w:eastAsia="Palatino Linotype" w:hAnsi="Palatino Linotype" w:cs="Palatino Linotype"/>
          <w:i/>
          <w:iCs/>
          <w:sz w:val="22"/>
          <w:szCs w:val="22"/>
        </w:rPr>
        <w:t xml:space="preserve">. </w:t>
      </w:r>
      <w:r w:rsidRPr="00BB7CE8">
        <w:rPr>
          <w:rFonts w:ascii="Palatino Linotype" w:eastAsia="Palatino Linotype" w:hAnsi="Palatino Linotype" w:cs="Palatino Linotype"/>
          <w:b/>
          <w:bCs/>
          <w:i/>
          <w:iCs/>
          <w:sz w:val="22"/>
          <w:szCs w:val="22"/>
        </w:rPr>
        <w:t>La obligación de proporcionar información no comprende el procesamiento de la misma, ni el presentarla conforme al interés del solicitante; no estarán obligados a generarla, resumirla, efectuar cálculos o practicar investigaciones</w:t>
      </w:r>
      <w:r w:rsidRPr="00BB7CE8">
        <w:rPr>
          <w:rFonts w:ascii="Palatino Linotype" w:eastAsia="Palatino Linotype" w:hAnsi="Palatino Linotype" w:cs="Palatino Linotype"/>
          <w:i/>
          <w:iCs/>
          <w:sz w:val="22"/>
          <w:szCs w:val="22"/>
        </w:rPr>
        <w:t xml:space="preserve">.” </w:t>
      </w:r>
    </w:p>
    <w:p w14:paraId="1124DE18" w14:textId="77777777" w:rsidR="00A40B65" w:rsidRPr="00BB7CE8" w:rsidRDefault="00A40B65">
      <w:pPr>
        <w:spacing w:line="276" w:lineRule="auto"/>
        <w:ind w:left="567" w:right="616"/>
        <w:jc w:val="both"/>
        <w:rPr>
          <w:rFonts w:ascii="Palatino Linotype" w:eastAsia="Palatino Linotype" w:hAnsi="Palatino Linotype" w:cs="Palatino Linotype"/>
          <w:i/>
          <w:iCs/>
          <w:sz w:val="22"/>
          <w:szCs w:val="22"/>
        </w:rPr>
      </w:pPr>
    </w:p>
    <w:p w14:paraId="4E68E89A" w14:textId="77777777" w:rsidR="00A40B65" w:rsidRPr="00BB7CE8" w:rsidRDefault="00E5237A">
      <w:pPr>
        <w:spacing w:line="360" w:lineRule="auto"/>
        <w:ind w:right="-93"/>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concretarán a proporcionar la información solicitada que tengan en su poder en el estado que se encuentran, sin necesidad de concretarse al interés o términos específicos del solicitante.</w:t>
      </w:r>
    </w:p>
    <w:p w14:paraId="29B04A64" w14:textId="77777777" w:rsidR="00A40B65" w:rsidRPr="00BB7CE8" w:rsidRDefault="00A40B65">
      <w:pPr>
        <w:spacing w:line="360" w:lineRule="auto"/>
        <w:ind w:right="-93"/>
        <w:jc w:val="both"/>
        <w:rPr>
          <w:rFonts w:ascii="Palatino Linotype" w:eastAsia="Palatino Linotype" w:hAnsi="Palatino Linotype" w:cs="Palatino Linotype"/>
          <w:sz w:val="22"/>
          <w:szCs w:val="22"/>
        </w:rPr>
      </w:pPr>
    </w:p>
    <w:p w14:paraId="6B22AE20" w14:textId="77777777" w:rsidR="00A40B65" w:rsidRPr="00BB7CE8" w:rsidRDefault="00E5237A">
      <w:pPr>
        <w:spacing w:line="360" w:lineRule="auto"/>
        <w:jc w:val="both"/>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sz w:val="22"/>
          <w:szCs w:val="22"/>
        </w:rPr>
        <w:t xml:space="preserve">Sirve de apoyo a lo anterior, el criterio </w:t>
      </w:r>
      <w:proofErr w:type="gramStart"/>
      <w:r w:rsidRPr="00BB7CE8">
        <w:rPr>
          <w:rFonts w:ascii="Palatino Linotype" w:eastAsia="Palatino Linotype" w:hAnsi="Palatino Linotype" w:cs="Palatino Linotype"/>
          <w:sz w:val="22"/>
          <w:szCs w:val="22"/>
        </w:rPr>
        <w:t>orientador  03</w:t>
      </w:r>
      <w:proofErr w:type="gramEnd"/>
      <w:r w:rsidRPr="00BB7CE8">
        <w:rPr>
          <w:rFonts w:ascii="Palatino Linotype" w:eastAsia="Palatino Linotype" w:hAnsi="Palatino Linotype" w:cs="Palatino Linotype"/>
          <w:sz w:val="22"/>
          <w:szCs w:val="22"/>
        </w:rPr>
        <w:t>-17, expuesto por el entonces Instituto Nacional de Transparencia, Acceso a la Información y Protección de Datos Personales, que dice:</w:t>
      </w:r>
      <w:r w:rsidRPr="00BB7CE8">
        <w:rPr>
          <w:rFonts w:ascii="Palatino Linotype" w:eastAsia="Palatino Linotype" w:hAnsi="Palatino Linotype" w:cs="Palatino Linotype"/>
          <w:b/>
          <w:bCs/>
          <w:sz w:val="22"/>
          <w:szCs w:val="22"/>
        </w:rPr>
        <w:t xml:space="preserve"> </w:t>
      </w:r>
    </w:p>
    <w:p w14:paraId="2C7EECA0" w14:textId="77777777" w:rsidR="00A40B65" w:rsidRPr="00BB7CE8" w:rsidRDefault="00A40B65">
      <w:pPr>
        <w:spacing w:line="276" w:lineRule="auto"/>
        <w:ind w:left="851" w:right="850"/>
        <w:jc w:val="both"/>
        <w:rPr>
          <w:rFonts w:ascii="Palatino Linotype" w:eastAsia="Palatino Linotype" w:hAnsi="Palatino Linotype" w:cs="Palatino Linotype"/>
          <w:sz w:val="22"/>
          <w:szCs w:val="22"/>
        </w:rPr>
      </w:pPr>
    </w:p>
    <w:p w14:paraId="1C48784A" w14:textId="77777777" w:rsidR="00A40B65" w:rsidRPr="00BB7CE8" w:rsidRDefault="00E5237A">
      <w:pPr>
        <w:spacing w:line="276"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r w:rsidRPr="00BB7CE8">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BB7CE8">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233B7145" w14:textId="77777777" w:rsidR="00A40B65" w:rsidRPr="00BB7CE8" w:rsidRDefault="00A40B65">
      <w:pPr>
        <w:spacing w:line="276" w:lineRule="auto"/>
        <w:ind w:left="567" w:right="616"/>
        <w:jc w:val="both"/>
        <w:rPr>
          <w:rFonts w:ascii="Palatino Linotype" w:eastAsia="Palatino Linotype" w:hAnsi="Palatino Linotype" w:cs="Palatino Linotype"/>
          <w:i/>
          <w:iCs/>
          <w:sz w:val="22"/>
          <w:szCs w:val="22"/>
        </w:rPr>
      </w:pPr>
    </w:p>
    <w:p w14:paraId="3A753B5C"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369B4B3" w14:textId="77777777" w:rsidR="00CA47B7" w:rsidRPr="00BB7CE8" w:rsidRDefault="00CA47B7">
      <w:pPr>
        <w:spacing w:line="360" w:lineRule="auto"/>
        <w:jc w:val="both"/>
        <w:rPr>
          <w:rFonts w:ascii="Palatino Linotype" w:eastAsia="Palatino Linotype" w:hAnsi="Palatino Linotype" w:cs="Palatino Linotype"/>
          <w:sz w:val="22"/>
          <w:szCs w:val="22"/>
        </w:rPr>
      </w:pPr>
    </w:p>
    <w:p w14:paraId="3E73035A"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5D545FBF"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08EA0A3E"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15979690"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7377C1F7" w14:textId="77777777" w:rsidR="00A40B65" w:rsidRPr="00BB7CE8" w:rsidRDefault="00E5237A">
      <w:pPr>
        <w:spacing w:line="276"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r w:rsidRPr="00BB7CE8">
        <w:rPr>
          <w:rFonts w:ascii="Palatino Linotype" w:eastAsia="Palatino Linotype" w:hAnsi="Palatino Linotype" w:cs="Palatino Linotype"/>
          <w:b/>
          <w:bCs/>
          <w:i/>
          <w:iCs/>
          <w:sz w:val="22"/>
          <w:szCs w:val="22"/>
        </w:rPr>
        <w:t xml:space="preserve">Artículo 3. </w:t>
      </w:r>
      <w:r w:rsidRPr="00BB7CE8">
        <w:rPr>
          <w:rFonts w:ascii="Palatino Linotype" w:eastAsia="Palatino Linotype" w:hAnsi="Palatino Linotype" w:cs="Palatino Linotype"/>
          <w:i/>
          <w:iCs/>
          <w:sz w:val="22"/>
          <w:szCs w:val="22"/>
        </w:rPr>
        <w:t>Para los efectos de la presente Ley se entenderá por:</w:t>
      </w:r>
    </w:p>
    <w:p w14:paraId="54590EA6" w14:textId="77777777" w:rsidR="00A40B65" w:rsidRPr="00BB7CE8" w:rsidRDefault="00E5237A">
      <w:pPr>
        <w:spacing w:line="276"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p>
    <w:p w14:paraId="7793E220" w14:textId="77777777" w:rsidR="00A40B65" w:rsidRPr="00BB7CE8" w:rsidRDefault="00E5237A">
      <w:pPr>
        <w:spacing w:line="276" w:lineRule="auto"/>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XI. Documento:</w:t>
      </w:r>
      <w:r w:rsidRPr="00BB7CE8">
        <w:rPr>
          <w:rFonts w:ascii="Palatino Linotype" w:eastAsia="Palatino Linotype" w:hAnsi="Palatino Linotype" w:cs="Palatino Linotype"/>
          <w:i/>
          <w:iCs/>
          <w:sz w:val="22"/>
          <w:szCs w:val="22"/>
        </w:rPr>
        <w:t xml:space="preserve"> Los expedientes, reportes, estudios, actas</w:t>
      </w:r>
      <w:r w:rsidRPr="00BB7CE8">
        <w:rPr>
          <w:rFonts w:ascii="Palatino Linotype" w:eastAsia="Palatino Linotype" w:hAnsi="Palatino Linotype" w:cs="Palatino Linotype"/>
          <w:b/>
          <w:bCs/>
          <w:i/>
          <w:iCs/>
          <w:sz w:val="22"/>
          <w:szCs w:val="22"/>
        </w:rPr>
        <w:t>,</w:t>
      </w:r>
      <w:r w:rsidRPr="00BB7CE8">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F56CE12" w14:textId="77777777" w:rsidR="00A40B65" w:rsidRPr="00BB7CE8" w:rsidRDefault="00A40B65">
      <w:pPr>
        <w:spacing w:line="360" w:lineRule="auto"/>
        <w:ind w:left="851" w:right="899"/>
        <w:jc w:val="both"/>
        <w:rPr>
          <w:rFonts w:ascii="Palatino Linotype" w:eastAsia="Palatino Linotype" w:hAnsi="Palatino Linotype" w:cs="Palatino Linotype"/>
          <w:sz w:val="22"/>
          <w:szCs w:val="22"/>
        </w:rPr>
      </w:pPr>
    </w:p>
    <w:p w14:paraId="402C90AF"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8B76511"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7EACE855" w14:textId="77777777" w:rsidR="00A40B65" w:rsidRPr="00BB7CE8" w:rsidRDefault="00E5237A">
      <w:pPr>
        <w:tabs>
          <w:tab w:val="left" w:pos="7797"/>
        </w:tabs>
        <w:spacing w:line="276" w:lineRule="auto"/>
        <w:ind w:left="709" w:right="616"/>
        <w:jc w:val="both"/>
        <w:rPr>
          <w:rFonts w:ascii="Palatino Linotype" w:eastAsia="Palatino Linotype" w:hAnsi="Palatino Linotype" w:cs="Palatino Linotype"/>
          <w:b/>
          <w:bCs/>
          <w:i/>
          <w:iCs/>
          <w:sz w:val="22"/>
          <w:szCs w:val="22"/>
        </w:rPr>
      </w:pPr>
      <w:r w:rsidRPr="00BB7CE8">
        <w:rPr>
          <w:rFonts w:ascii="Palatino Linotype" w:eastAsia="Palatino Linotype" w:hAnsi="Palatino Linotype" w:cs="Palatino Linotype"/>
          <w:b/>
          <w:bCs/>
          <w:sz w:val="22"/>
          <w:szCs w:val="22"/>
        </w:rPr>
        <w:t>“</w:t>
      </w:r>
      <w:r w:rsidRPr="00BB7CE8">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BB7CE8">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A59F6B2" w14:textId="77777777" w:rsidR="00A40B65" w:rsidRPr="00BB7CE8" w:rsidRDefault="00E5237A">
      <w:pPr>
        <w:tabs>
          <w:tab w:val="left" w:pos="7797"/>
        </w:tabs>
        <w:spacing w:line="276" w:lineRule="auto"/>
        <w:ind w:left="709"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En </w:t>
      </w:r>
      <w:proofErr w:type="gramStart"/>
      <w:r w:rsidRPr="00BB7CE8">
        <w:rPr>
          <w:rFonts w:ascii="Palatino Linotype" w:eastAsia="Palatino Linotype" w:hAnsi="Palatino Linotype" w:cs="Palatino Linotype"/>
          <w:i/>
          <w:iCs/>
          <w:sz w:val="22"/>
          <w:szCs w:val="22"/>
        </w:rPr>
        <w:t>consecuencia</w:t>
      </w:r>
      <w:proofErr w:type="gramEnd"/>
      <w:r w:rsidRPr="00BB7CE8">
        <w:rPr>
          <w:rFonts w:ascii="Palatino Linotype" w:eastAsia="Palatino Linotype" w:hAnsi="Palatino Linotype" w:cs="Palatino Linotype"/>
          <w:i/>
          <w:iCs/>
          <w:sz w:val="22"/>
          <w:szCs w:val="22"/>
        </w:rPr>
        <w:t xml:space="preserve"> el acceso a la información se refiere a que se cumplan cualquiera de los siguientes tres supuestos:</w:t>
      </w:r>
    </w:p>
    <w:p w14:paraId="7859E134" w14:textId="77777777" w:rsidR="00A40B65" w:rsidRPr="00BB7CE8" w:rsidRDefault="00E5237A">
      <w:pPr>
        <w:tabs>
          <w:tab w:val="left" w:pos="7797"/>
        </w:tabs>
        <w:spacing w:line="276" w:lineRule="auto"/>
        <w:ind w:left="709"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1) Que se trate de información registrada en cualquier soporte documental, </w:t>
      </w:r>
      <w:proofErr w:type="gramStart"/>
      <w:r w:rsidRPr="00BB7CE8">
        <w:rPr>
          <w:rFonts w:ascii="Palatino Linotype" w:eastAsia="Palatino Linotype" w:hAnsi="Palatino Linotype" w:cs="Palatino Linotype"/>
          <w:i/>
          <w:iCs/>
          <w:sz w:val="22"/>
          <w:szCs w:val="22"/>
        </w:rPr>
        <w:t>que</w:t>
      </w:r>
      <w:proofErr w:type="gramEnd"/>
      <w:r w:rsidRPr="00BB7CE8">
        <w:rPr>
          <w:rFonts w:ascii="Palatino Linotype" w:eastAsia="Palatino Linotype" w:hAnsi="Palatino Linotype" w:cs="Palatino Linotype"/>
          <w:i/>
          <w:iCs/>
          <w:sz w:val="22"/>
          <w:szCs w:val="22"/>
        </w:rPr>
        <w:t xml:space="preserve"> en ejercicio de las atribuciones conferidas, sea generada por los Sujetos Obligados;</w:t>
      </w:r>
    </w:p>
    <w:p w14:paraId="2B21803A" w14:textId="77777777" w:rsidR="00A40B65" w:rsidRPr="00BB7CE8" w:rsidRDefault="00E5237A">
      <w:pPr>
        <w:tabs>
          <w:tab w:val="left" w:pos="7797"/>
        </w:tabs>
        <w:spacing w:line="276" w:lineRule="auto"/>
        <w:ind w:left="709" w:right="616"/>
        <w:jc w:val="both"/>
        <w:rPr>
          <w:rFonts w:ascii="Palatino Linotype" w:eastAsia="Palatino Linotype" w:hAnsi="Palatino Linotype" w:cs="Palatino Linotype"/>
          <w:b/>
          <w:bCs/>
          <w:i/>
          <w:iCs/>
          <w:sz w:val="22"/>
          <w:szCs w:val="22"/>
        </w:rPr>
      </w:pPr>
      <w:r w:rsidRPr="00BB7CE8">
        <w:rPr>
          <w:rFonts w:ascii="Palatino Linotype" w:eastAsia="Palatino Linotype" w:hAnsi="Palatino Linotype" w:cs="Palatino Linotype"/>
          <w:b/>
          <w:bCs/>
          <w:i/>
          <w:iCs/>
          <w:sz w:val="22"/>
          <w:szCs w:val="22"/>
        </w:rPr>
        <w:t xml:space="preserve">2) Que se trate de información registrada en cualquier soporte documental, </w:t>
      </w:r>
      <w:proofErr w:type="gramStart"/>
      <w:r w:rsidRPr="00BB7CE8">
        <w:rPr>
          <w:rFonts w:ascii="Palatino Linotype" w:eastAsia="Palatino Linotype" w:hAnsi="Palatino Linotype" w:cs="Palatino Linotype"/>
          <w:b/>
          <w:bCs/>
          <w:i/>
          <w:iCs/>
          <w:sz w:val="22"/>
          <w:szCs w:val="22"/>
        </w:rPr>
        <w:t>que</w:t>
      </w:r>
      <w:proofErr w:type="gramEnd"/>
      <w:r w:rsidRPr="00BB7CE8">
        <w:rPr>
          <w:rFonts w:ascii="Palatino Linotype" w:eastAsia="Palatino Linotype" w:hAnsi="Palatino Linotype" w:cs="Palatino Linotype"/>
          <w:b/>
          <w:bCs/>
          <w:i/>
          <w:iCs/>
          <w:sz w:val="22"/>
          <w:szCs w:val="22"/>
        </w:rPr>
        <w:t xml:space="preserve"> en ejercicio de las atribuciones conferidas, sea administrada por los Sujetos Obligados, y</w:t>
      </w:r>
    </w:p>
    <w:p w14:paraId="3F40FFF8" w14:textId="77777777" w:rsidR="00A40B65" w:rsidRPr="00BB7CE8" w:rsidRDefault="00E5237A">
      <w:pPr>
        <w:tabs>
          <w:tab w:val="left" w:pos="7797"/>
        </w:tabs>
        <w:spacing w:line="276" w:lineRule="auto"/>
        <w:ind w:left="709" w:right="616"/>
        <w:jc w:val="both"/>
        <w:rPr>
          <w:rFonts w:ascii="Palatino Linotype" w:eastAsia="Palatino Linotype" w:hAnsi="Palatino Linotype" w:cs="Palatino Linotype"/>
          <w:b/>
          <w:bCs/>
          <w:i/>
          <w:iCs/>
          <w:sz w:val="22"/>
          <w:szCs w:val="22"/>
        </w:rPr>
      </w:pPr>
      <w:r w:rsidRPr="00BB7CE8">
        <w:rPr>
          <w:rFonts w:ascii="Palatino Linotype" w:eastAsia="Palatino Linotype" w:hAnsi="Palatino Linotype" w:cs="Palatino Linotype"/>
          <w:b/>
          <w:bCs/>
          <w:i/>
          <w:iCs/>
          <w:sz w:val="22"/>
          <w:szCs w:val="22"/>
        </w:rPr>
        <w:t xml:space="preserve">3) Que se trate de información registrada en cualquier soporte documental, </w:t>
      </w:r>
      <w:proofErr w:type="gramStart"/>
      <w:r w:rsidRPr="00BB7CE8">
        <w:rPr>
          <w:rFonts w:ascii="Palatino Linotype" w:eastAsia="Palatino Linotype" w:hAnsi="Palatino Linotype" w:cs="Palatino Linotype"/>
          <w:b/>
          <w:bCs/>
          <w:i/>
          <w:iCs/>
          <w:sz w:val="22"/>
          <w:szCs w:val="22"/>
        </w:rPr>
        <w:t>que</w:t>
      </w:r>
      <w:proofErr w:type="gramEnd"/>
      <w:r w:rsidRPr="00BB7CE8">
        <w:rPr>
          <w:rFonts w:ascii="Palatino Linotype" w:eastAsia="Palatino Linotype" w:hAnsi="Palatino Linotype" w:cs="Palatino Linotype"/>
          <w:b/>
          <w:bCs/>
          <w:i/>
          <w:iCs/>
          <w:sz w:val="22"/>
          <w:szCs w:val="22"/>
        </w:rPr>
        <w:t xml:space="preserve"> en ejercicio de las atribuciones conferidas, se encuentre en posesión de los Sujetos Obligados.” </w:t>
      </w:r>
    </w:p>
    <w:p w14:paraId="3BA8B133"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47154FC7" w14:textId="6F50C330" w:rsidR="00CA47B7"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Dicho lo anterior, es de recordar que la parte Solicitante requirió los</w:t>
      </w:r>
      <w:r w:rsidR="00CA47B7" w:rsidRPr="00BB7CE8">
        <w:rPr>
          <w:rFonts w:ascii="Palatino Linotype" w:eastAsia="Palatino Linotype" w:hAnsi="Palatino Linotype" w:cs="Palatino Linotype"/>
          <w:sz w:val="22"/>
          <w:szCs w:val="22"/>
        </w:rPr>
        <w:t xml:space="preserve"> comprobantes de todos los pagos realizados a personas físicas y morales por la tesorería municipal de 1 de septiembre al 15 de octubre de 2025.</w:t>
      </w:r>
    </w:p>
    <w:p w14:paraId="6B7DBC8B"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2FBD216F" w14:textId="692187D7" w:rsidR="00CA47B7"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En respuesta, el Sujeto Obligado, la Tesorería Municipal refirió que la información </w:t>
      </w:r>
      <w:r w:rsidR="00CA47B7" w:rsidRPr="00BB7CE8">
        <w:rPr>
          <w:rFonts w:ascii="Palatino Linotype" w:eastAsia="Palatino Linotype" w:hAnsi="Palatino Linotype" w:cs="Palatino Linotype"/>
          <w:sz w:val="22"/>
          <w:szCs w:val="22"/>
        </w:rPr>
        <w:t xml:space="preserve">tiene un peso de 1.64 GB, en consecuencia, sobrepasa las capacidades del SAIMEX, por lo que se pone a disposición en consulta directa. Señaló la fecha, el domicilio y horario en que le sería proporcionada la información. </w:t>
      </w:r>
    </w:p>
    <w:p w14:paraId="79A20271"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5744B251" w14:textId="5FD0BC20" w:rsidR="00A40B65" w:rsidRPr="00BB7CE8" w:rsidRDefault="00E5237A">
      <w:pPr>
        <w:spacing w:line="360" w:lineRule="auto"/>
        <w:jc w:val="both"/>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sz w:val="22"/>
          <w:szCs w:val="22"/>
        </w:rPr>
        <w:t>Derivado de ello, la parte Recurrente se inconformó arguyendo la negativa de entrega de la información</w:t>
      </w:r>
      <w:r w:rsidR="00312907" w:rsidRPr="00BB7CE8">
        <w:rPr>
          <w:rFonts w:ascii="Palatino Linotype" w:eastAsia="Palatino Linotype" w:hAnsi="Palatino Linotype" w:cs="Palatino Linotype"/>
          <w:sz w:val="22"/>
          <w:szCs w:val="22"/>
        </w:rPr>
        <w:t xml:space="preserve"> en la modalidad elegida. </w:t>
      </w:r>
    </w:p>
    <w:p w14:paraId="4A643A68" w14:textId="65CDF210" w:rsidR="00A40B65" w:rsidRPr="00BB7CE8" w:rsidRDefault="00A40B65">
      <w:pPr>
        <w:spacing w:line="360" w:lineRule="auto"/>
        <w:jc w:val="both"/>
        <w:rPr>
          <w:rFonts w:ascii="Palatino Linotype" w:eastAsia="Palatino Linotype" w:hAnsi="Palatino Linotype" w:cs="Palatino Linotype"/>
          <w:sz w:val="22"/>
          <w:szCs w:val="22"/>
        </w:rPr>
      </w:pPr>
    </w:p>
    <w:p w14:paraId="02217AE1"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bookmarkStart w:id="8" w:name="_heading=h.oxz92w2agzdg" w:colFirst="0" w:colLast="0"/>
      <w:bookmarkEnd w:id="8"/>
      <w:r w:rsidRPr="00BB7CE8">
        <w:rPr>
          <w:rFonts w:ascii="Palatino Linotype" w:eastAsia="Palatino Linotype" w:hAnsi="Palatino Linotype" w:cs="Palatino Linotype"/>
          <w:sz w:val="22"/>
          <w:szCs w:val="22"/>
        </w:rPr>
        <w:t xml:space="preserve">Dicho lo anterior, se procede a contextualizar la información solicitada la cual se encuentra relacionada con comprobantes de pago/facturas, para ello, es de mencionar lo que establece el Glosario de Términos Hacendarios que emite el Instituto Hacendario del Estado de México, el cual define como </w:t>
      </w:r>
      <w:r w:rsidRPr="00BB7CE8">
        <w:rPr>
          <w:rFonts w:ascii="Palatino Linotype" w:eastAsia="Palatino Linotype" w:hAnsi="Palatino Linotype" w:cs="Palatino Linotype"/>
          <w:i/>
          <w:iCs/>
          <w:sz w:val="22"/>
          <w:szCs w:val="22"/>
        </w:rPr>
        <w:t>“factura” al</w:t>
      </w:r>
      <w:r w:rsidRPr="00BB7CE8">
        <w:rPr>
          <w:rFonts w:ascii="Palatino Linotype" w:eastAsia="Palatino Linotype" w:hAnsi="Palatino Linotype" w:cs="Palatino Linotype"/>
          <w:b/>
          <w:bCs/>
          <w:i/>
          <w:iCs/>
          <w:sz w:val="22"/>
          <w:szCs w:val="22"/>
        </w:rPr>
        <w:t xml:space="preserve"> documento fiscal que emite la persona física o moral para comprobar la venta o adquisición de un bien y/o servicio.</w:t>
      </w:r>
    </w:p>
    <w:p w14:paraId="5973CE12" w14:textId="77777777" w:rsidR="00A40B65" w:rsidRPr="00BB7CE8" w:rsidRDefault="00A40B65">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AB57B8E" w14:textId="77777777" w:rsidR="00A40B65" w:rsidRPr="00BB7CE8" w:rsidRDefault="00E5237A">
      <w:pPr>
        <w:spacing w:line="360" w:lineRule="auto"/>
        <w:ind w:right="-7"/>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En ese sentido, es de señalar que cuando las facturas amparan las erogaciones que se realizan con erario público tienen naturaleza pública, pues constituyen un medio idóneo de evidencia del gasto realizado con recursos públicos. </w:t>
      </w:r>
    </w:p>
    <w:p w14:paraId="2F51E076" w14:textId="77777777" w:rsidR="00A40B65" w:rsidRPr="00BB7CE8" w:rsidRDefault="00A40B65">
      <w:pPr>
        <w:spacing w:line="360" w:lineRule="auto"/>
        <w:ind w:right="-7"/>
        <w:jc w:val="both"/>
        <w:rPr>
          <w:rFonts w:ascii="Palatino Linotype" w:eastAsia="Palatino Linotype" w:hAnsi="Palatino Linotype" w:cs="Palatino Linotype"/>
          <w:sz w:val="22"/>
          <w:szCs w:val="22"/>
        </w:rPr>
      </w:pPr>
    </w:p>
    <w:p w14:paraId="731CDB97"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Asimismo, el Código Financiero del Estado de México, establece en su artículo 344 lo siguiente: </w:t>
      </w:r>
    </w:p>
    <w:p w14:paraId="3521300F"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553D8132" w14:textId="77777777" w:rsidR="00A40B65" w:rsidRPr="00BB7CE8" w:rsidRDefault="00E5237A">
      <w:pPr>
        <w:ind w:left="567" w:right="843"/>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Artículo 344.-</w:t>
      </w:r>
      <w:r w:rsidRPr="00BB7CE8">
        <w:rPr>
          <w:rFonts w:ascii="Palatino Linotype" w:eastAsia="Palatino Linotype" w:hAnsi="Palatino Linotype" w:cs="Palatino Linotype"/>
          <w:i/>
          <w:iCs/>
          <w:sz w:val="22"/>
          <w:szCs w:val="22"/>
        </w:rPr>
        <w:t xml:space="preserve"> </w:t>
      </w:r>
      <w:r w:rsidRPr="00BB7CE8">
        <w:rPr>
          <w:rFonts w:ascii="Palatino Linotype" w:eastAsia="Palatino Linotype" w:hAnsi="Palatino Linotype" w:cs="Palatino Linotype"/>
          <w:b/>
          <w:bCs/>
          <w:i/>
          <w:iCs/>
          <w:sz w:val="22"/>
          <w:szCs w:val="22"/>
          <w:u w:val="single"/>
        </w:rPr>
        <w:t>Los Entes Públicos, a través de cualquiera de sus unidades administrativas</w:t>
      </w:r>
      <w:r w:rsidRPr="00BB7CE8">
        <w:rPr>
          <w:rFonts w:ascii="Palatino Linotype" w:eastAsia="Palatino Linotype" w:hAnsi="Palatino Linotype" w:cs="Palatino Linotype"/>
          <w:i/>
          <w:iCs/>
          <w:sz w:val="22"/>
          <w:szCs w:val="22"/>
        </w:rPr>
        <w:t xml:space="preserve">, de acuerdo con su naturaleza jurídica y según corresponda, </w:t>
      </w:r>
      <w:r w:rsidRPr="00BB7CE8">
        <w:rPr>
          <w:rFonts w:ascii="Palatino Linotype" w:eastAsia="Palatino Linotype" w:hAnsi="Palatino Linotype" w:cs="Palatino Linotype"/>
          <w:b/>
          <w:bCs/>
          <w:i/>
          <w:iCs/>
          <w:sz w:val="22"/>
          <w:szCs w:val="22"/>
          <w:u w:val="single"/>
        </w:rPr>
        <w:t>registrarán contablemente el efecto patrimonial y presupuestal de las operaciones financieras que realicen, en el momento en que ocurran, con base en el sistema y políticas de registro establecidas</w:t>
      </w:r>
      <w:r w:rsidRPr="00BB7CE8">
        <w:rPr>
          <w:rFonts w:ascii="Palatino Linotype" w:eastAsia="Palatino Linotype" w:hAnsi="Palatino Linotype" w:cs="Palatino Linotype"/>
          <w:i/>
          <w:iCs/>
          <w:sz w:val="22"/>
          <w:szCs w:val="22"/>
        </w:rPr>
        <w:t>, en el caso de los Municipios</w:t>
      </w:r>
      <w:r w:rsidRPr="00BB7CE8">
        <w:rPr>
          <w:rFonts w:ascii="Palatino Linotype" w:eastAsia="Palatino Linotype" w:hAnsi="Palatino Linotype" w:cs="Palatino Linotype"/>
          <w:b/>
          <w:bCs/>
          <w:i/>
          <w:iCs/>
          <w:sz w:val="22"/>
          <w:szCs w:val="22"/>
          <w:u w:val="single"/>
        </w:rPr>
        <w:t>, se hará por la Tesorería.</w:t>
      </w:r>
      <w:r w:rsidRPr="00BB7CE8">
        <w:rPr>
          <w:rFonts w:ascii="Palatino Linotype" w:eastAsia="Palatino Linotype" w:hAnsi="Palatino Linotype" w:cs="Palatino Linotype"/>
          <w:i/>
          <w:iCs/>
          <w:sz w:val="22"/>
          <w:szCs w:val="22"/>
        </w:rPr>
        <w:t xml:space="preserve"> </w:t>
      </w:r>
    </w:p>
    <w:p w14:paraId="33923B86" w14:textId="77777777" w:rsidR="00A40B65" w:rsidRPr="00BB7CE8" w:rsidRDefault="00A40B65">
      <w:pPr>
        <w:ind w:left="567" w:right="843"/>
        <w:jc w:val="both"/>
        <w:rPr>
          <w:rFonts w:ascii="Palatino Linotype" w:eastAsia="Palatino Linotype" w:hAnsi="Palatino Linotype" w:cs="Palatino Linotype"/>
          <w:i/>
          <w:iCs/>
          <w:sz w:val="22"/>
          <w:szCs w:val="22"/>
        </w:rPr>
      </w:pPr>
    </w:p>
    <w:p w14:paraId="0C024DCA" w14:textId="77777777" w:rsidR="00A40B65" w:rsidRPr="00BB7CE8" w:rsidRDefault="00E5237A">
      <w:pPr>
        <w:ind w:left="567" w:right="843"/>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u w:val="single"/>
        </w:rPr>
        <w:t>Todo registro contable y presupuestal deberá estar soportado con los documentos comprobatorios originales o en medios electrónicos, los que deberán permanecer en custodia y conservación</w:t>
      </w:r>
      <w:r w:rsidRPr="00BB7CE8">
        <w:rPr>
          <w:rFonts w:ascii="Palatino Linotype" w:eastAsia="Palatino Linotype" w:hAnsi="Palatino Linotype" w:cs="Palatino Linotype"/>
          <w:i/>
          <w:iCs/>
          <w:sz w:val="22"/>
          <w:szCs w:val="22"/>
        </w:rPr>
        <w:t xml:space="preserve"> de los Entes Públicos a través de las unidades administrativas que ejercieron el gasto y a disposición de los Órganos de Fiscalización locales y federales, según corresponda, así como de los órganos internos de control, por un término de cinco años, contados a partir del ejercicio presupuestal siguiente al que corresponda, en el caso de los Municipios, dicha obligación corresponderá a la Tesorería. </w:t>
      </w:r>
    </w:p>
    <w:p w14:paraId="4F6EE425" w14:textId="77777777" w:rsidR="00A40B65" w:rsidRPr="00BB7CE8" w:rsidRDefault="00A40B65">
      <w:pPr>
        <w:ind w:left="567" w:right="843"/>
        <w:jc w:val="both"/>
        <w:rPr>
          <w:rFonts w:ascii="Palatino Linotype" w:eastAsia="Palatino Linotype" w:hAnsi="Palatino Linotype" w:cs="Palatino Linotype"/>
          <w:i/>
          <w:iCs/>
          <w:sz w:val="22"/>
          <w:szCs w:val="22"/>
        </w:rPr>
      </w:pPr>
    </w:p>
    <w:p w14:paraId="6C334E42" w14:textId="77777777" w:rsidR="00A40B65" w:rsidRPr="00BB7CE8" w:rsidRDefault="00E5237A">
      <w:pPr>
        <w:ind w:left="567" w:right="843"/>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Tratándose de documentos de carácter histórico, se estará a lo dispuesto por la legislación de la materia.</w:t>
      </w:r>
    </w:p>
    <w:p w14:paraId="074E2C9F" w14:textId="77777777" w:rsidR="00A40B65" w:rsidRPr="00BB7CE8" w:rsidRDefault="00A40B65">
      <w:pPr>
        <w:spacing w:line="360" w:lineRule="auto"/>
        <w:ind w:right="49"/>
        <w:jc w:val="both"/>
        <w:rPr>
          <w:rFonts w:ascii="Palatino Linotype" w:hAnsi="Palatino Linotype"/>
          <w:sz w:val="22"/>
          <w:szCs w:val="22"/>
        </w:rPr>
      </w:pPr>
    </w:p>
    <w:p w14:paraId="5D127FCA"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Es así que, los entes públicos deberán registrar contablemente las operaciones financieras que realicen, el cual deberá estar soportado con los documentos comprobatorios originales o en medios electrónicos, sin embargo, si bien es cierto, el Código Financiero del Estado de México y Municipios establece la obligación de llevar registros contables y presupuestales, también lo es que no define qué se debe entender por estos, por lo que, de conformidad con el </w:t>
      </w:r>
      <w:r w:rsidRPr="00BB7CE8">
        <w:rPr>
          <w:rFonts w:ascii="Palatino Linotype" w:eastAsia="Palatino Linotype" w:hAnsi="Palatino Linotype" w:cs="Palatino Linotype"/>
          <w:i/>
          <w:iCs/>
          <w:sz w:val="22"/>
          <w:szCs w:val="22"/>
        </w:rPr>
        <w:t>Glosario de Términos Administrativos</w:t>
      </w:r>
      <w:r w:rsidRPr="00BB7CE8">
        <w:rPr>
          <w:rFonts w:ascii="Palatino Linotype" w:eastAsia="Palatino Linotype" w:hAnsi="Palatino Linotype" w:cs="Palatino Linotype"/>
          <w:sz w:val="22"/>
          <w:szCs w:val="22"/>
        </w:rPr>
        <w:t xml:space="preserve"> y el </w:t>
      </w:r>
      <w:r w:rsidRPr="00BB7CE8">
        <w:rPr>
          <w:rFonts w:ascii="Palatino Linotype" w:eastAsia="Palatino Linotype" w:hAnsi="Palatino Linotype" w:cs="Palatino Linotype"/>
          <w:i/>
          <w:iCs/>
          <w:sz w:val="22"/>
          <w:szCs w:val="22"/>
        </w:rPr>
        <w:t xml:space="preserve">Glosario de Términos para el Proceso de Planeación, Programación, </w:t>
      </w:r>
      <w:proofErr w:type="spellStart"/>
      <w:r w:rsidRPr="00BB7CE8">
        <w:rPr>
          <w:rFonts w:ascii="Palatino Linotype" w:eastAsia="Palatino Linotype" w:hAnsi="Palatino Linotype" w:cs="Palatino Linotype"/>
          <w:i/>
          <w:iCs/>
          <w:sz w:val="22"/>
          <w:szCs w:val="22"/>
        </w:rPr>
        <w:t>Presupuestación</w:t>
      </w:r>
      <w:proofErr w:type="spellEnd"/>
      <w:r w:rsidRPr="00BB7CE8">
        <w:rPr>
          <w:rFonts w:ascii="Palatino Linotype" w:eastAsia="Palatino Linotype" w:hAnsi="Palatino Linotype" w:cs="Palatino Linotype"/>
          <w:i/>
          <w:iCs/>
          <w:sz w:val="22"/>
          <w:szCs w:val="22"/>
        </w:rPr>
        <w:t xml:space="preserve"> y Evaluación en la Administración Pública</w:t>
      </w:r>
      <w:r w:rsidRPr="00BB7CE8">
        <w:rPr>
          <w:rFonts w:ascii="Palatino Linotype" w:eastAsia="Palatino Linotype" w:hAnsi="Palatino Linotype" w:cs="Palatino Linotype"/>
          <w:sz w:val="22"/>
          <w:szCs w:val="22"/>
        </w:rPr>
        <w:t xml:space="preserve">, definen los registros como: </w:t>
      </w:r>
    </w:p>
    <w:p w14:paraId="29BD52C8" w14:textId="77777777" w:rsidR="00A40B65" w:rsidRPr="00BB7CE8" w:rsidRDefault="00A40B65">
      <w:pPr>
        <w:spacing w:line="360" w:lineRule="auto"/>
        <w:ind w:left="567" w:right="560"/>
        <w:jc w:val="both"/>
        <w:rPr>
          <w:rFonts w:ascii="Palatino Linotype" w:eastAsia="Palatino Linotype" w:hAnsi="Palatino Linotype" w:cs="Palatino Linotype"/>
          <w:i/>
          <w:iCs/>
          <w:sz w:val="22"/>
          <w:szCs w:val="22"/>
        </w:rPr>
      </w:pPr>
    </w:p>
    <w:p w14:paraId="5F1D99CC" w14:textId="77777777" w:rsidR="00A40B65" w:rsidRPr="00BB7CE8" w:rsidRDefault="00E5237A">
      <w:pPr>
        <w:ind w:left="567" w:right="560"/>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 xml:space="preserve">Registro contable. </w:t>
      </w:r>
      <w:r w:rsidRPr="00BB7CE8">
        <w:rPr>
          <w:rFonts w:ascii="Palatino Linotype" w:eastAsia="Palatino Linotype" w:hAnsi="Palatino Linotype" w:cs="Palatino Linotype"/>
          <w:i/>
          <w:iCs/>
          <w:sz w:val="22"/>
          <w:szCs w:val="22"/>
        </w:rPr>
        <w:t xml:space="preserve">Asiento que se realiza en los libros de contabilidad de las actividades relacionadas con el ingreso y egreso de un ente económico. </w:t>
      </w:r>
    </w:p>
    <w:p w14:paraId="0DA20A78" w14:textId="77777777" w:rsidR="00A40B65" w:rsidRPr="00BB7CE8" w:rsidRDefault="00A40B65">
      <w:pPr>
        <w:ind w:left="567" w:right="560"/>
        <w:jc w:val="both"/>
        <w:rPr>
          <w:rFonts w:ascii="Palatino Linotype" w:eastAsia="Palatino Linotype" w:hAnsi="Palatino Linotype" w:cs="Palatino Linotype"/>
          <w:i/>
          <w:iCs/>
          <w:sz w:val="22"/>
          <w:szCs w:val="22"/>
        </w:rPr>
      </w:pPr>
    </w:p>
    <w:p w14:paraId="1C784B87" w14:textId="77777777" w:rsidR="00A40B65" w:rsidRPr="00BB7CE8" w:rsidRDefault="00E5237A">
      <w:pPr>
        <w:ind w:left="567" w:right="560"/>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 xml:space="preserve">Registro Presupuestario. </w:t>
      </w:r>
      <w:r w:rsidRPr="00BB7CE8">
        <w:rPr>
          <w:rFonts w:ascii="Palatino Linotype" w:eastAsia="Palatino Linotype" w:hAnsi="Palatino Linotype" w:cs="Palatino Linotype"/>
          <w:i/>
          <w:iCs/>
          <w:sz w:val="22"/>
          <w:szCs w:val="22"/>
        </w:rPr>
        <w:t xml:space="preserve">Asiento contable de las erogaciones realizadas por las dependencias y entidades con relación a la asignación, modificación y ejercicio de los recursos presupuestarios que se les hayan autorizado. </w:t>
      </w:r>
    </w:p>
    <w:p w14:paraId="4DF63AC8"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7A39E218"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De los preceptos citados, se colige que los entes fiscalizables</w:t>
      </w:r>
      <w:r w:rsidRPr="00BB7CE8">
        <w:rPr>
          <w:rFonts w:ascii="Palatino Linotype" w:eastAsia="Palatino Linotype" w:hAnsi="Palatino Linotype" w:cs="Palatino Linotype"/>
          <w:b/>
          <w:bCs/>
          <w:sz w:val="22"/>
          <w:szCs w:val="22"/>
          <w:u w:val="single"/>
        </w:rPr>
        <w:t xml:space="preserve"> deben contar con una unidad administrativa que registra contablemente el efecto patrimonial y presupuestal de las operaciones financieras</w:t>
      </w:r>
      <w:r w:rsidRPr="00BB7CE8">
        <w:rPr>
          <w:rFonts w:ascii="Palatino Linotype" w:eastAsia="Palatino Linotype" w:hAnsi="Palatino Linotype" w:cs="Palatino Linotype"/>
          <w:sz w:val="22"/>
          <w:szCs w:val="22"/>
        </w:rPr>
        <w:t xml:space="preserve"> que realizan y por lo general, se encuentran en las denominadas </w:t>
      </w:r>
      <w:r w:rsidRPr="00BB7CE8">
        <w:rPr>
          <w:rFonts w:ascii="Palatino Linotype" w:eastAsia="Palatino Linotype" w:hAnsi="Palatino Linotype" w:cs="Palatino Linotype"/>
          <w:i/>
          <w:iCs/>
          <w:sz w:val="22"/>
          <w:szCs w:val="22"/>
        </w:rPr>
        <w:t xml:space="preserve">pólizas contables </w:t>
      </w:r>
      <w:r w:rsidRPr="00BB7CE8">
        <w:rPr>
          <w:rFonts w:ascii="Palatino Linotype" w:eastAsia="Palatino Linotype" w:hAnsi="Palatino Linotype" w:cs="Palatino Linotype"/>
          <w:sz w:val="22"/>
          <w:szCs w:val="22"/>
        </w:rPr>
        <w:t xml:space="preserve">las cuales son aquellos documentos en los que se asientan en forma individual todas y cada una de las operaciones desarrolladas por una institución, así como la información necesaria para la identificación de estas. </w:t>
      </w:r>
    </w:p>
    <w:p w14:paraId="19A3B1F3"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37EE7B17" w14:textId="77777777" w:rsidR="00A40B65" w:rsidRPr="00BB7CE8" w:rsidRDefault="00E5237A">
      <w:pPr>
        <w:spacing w:line="360" w:lineRule="auto"/>
        <w:ind w:right="-93"/>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En lo que corresponde al procedimiento de búsqueda de la información solicitada, es necesario precisar que de las constancias que obran en el expediente se logra vislumbrar que el Sujeto Obligado, turnó la solicitud de información a la unidad administrativa competente, a saber la Tesorería Municipal, por lo que, resulta necesario hacer referencia al procedimiento de búsqueda que deben de seguir los Sujetos Obligados para localizar la información, el cual se encuentra previsto en los artículos 160 y 162 de la Ley de Transparencia y Acceso a la Información Pública del Estado de México y Municipios, mismo que es el siguiente:</w:t>
      </w:r>
    </w:p>
    <w:p w14:paraId="52F4E397" w14:textId="77777777" w:rsidR="00A40B65" w:rsidRPr="00BB7CE8" w:rsidRDefault="00A40B65">
      <w:pPr>
        <w:spacing w:line="360" w:lineRule="auto"/>
        <w:ind w:right="-93"/>
        <w:jc w:val="both"/>
        <w:rPr>
          <w:rFonts w:ascii="Palatino Linotype" w:eastAsia="Palatino Linotype" w:hAnsi="Palatino Linotype" w:cs="Palatino Linotype"/>
          <w:sz w:val="22"/>
          <w:szCs w:val="22"/>
        </w:rPr>
      </w:pPr>
    </w:p>
    <w:p w14:paraId="17CC0794" w14:textId="77777777" w:rsidR="00A40B65" w:rsidRPr="00BB7CE8" w:rsidRDefault="00E5237A">
      <w:pPr>
        <w:numPr>
          <w:ilvl w:val="3"/>
          <w:numId w:val="5"/>
        </w:numPr>
        <w:pBdr>
          <w:top w:val="nil"/>
          <w:left w:val="nil"/>
          <w:bottom w:val="nil"/>
          <w:right w:val="nil"/>
          <w:between w:val="nil"/>
        </w:pBdr>
        <w:spacing w:line="360" w:lineRule="auto"/>
        <w:ind w:left="567" w:right="560"/>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094B6594" w14:textId="77777777" w:rsidR="00A40B65" w:rsidRPr="00BB7CE8" w:rsidRDefault="00E5237A">
      <w:pPr>
        <w:numPr>
          <w:ilvl w:val="3"/>
          <w:numId w:val="5"/>
        </w:numPr>
        <w:pBdr>
          <w:top w:val="nil"/>
          <w:left w:val="nil"/>
          <w:bottom w:val="nil"/>
          <w:right w:val="nil"/>
          <w:between w:val="nil"/>
        </w:pBdr>
        <w:spacing w:line="360" w:lineRule="auto"/>
        <w:ind w:left="567" w:right="560"/>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14:paraId="2C8483B5"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72BD7F48"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Así, conforme a lo establecido en párrafos anteriores, el Sujeto Obligado cumplió con el procedimiento de búsqueda establecido en el artículo 162 de la Ley de Transparencia y Acceso a la Información Pública del Estado de México y Municipios, al gestionar el requerimiento de información al área competente para conocer de lo peticionado.</w:t>
      </w:r>
    </w:p>
    <w:p w14:paraId="6AC8E6C3" w14:textId="77777777" w:rsidR="00A40B65" w:rsidRPr="00BB7CE8" w:rsidRDefault="00A40B65">
      <w:pPr>
        <w:spacing w:line="360" w:lineRule="auto"/>
        <w:ind w:right="49"/>
        <w:jc w:val="both"/>
        <w:rPr>
          <w:rFonts w:ascii="Palatino Linotype" w:eastAsia="Palatino Linotype" w:hAnsi="Palatino Linotype" w:cs="Palatino Linotype"/>
          <w:b/>
          <w:bCs/>
          <w:sz w:val="22"/>
          <w:szCs w:val="22"/>
        </w:rPr>
      </w:pPr>
    </w:p>
    <w:p w14:paraId="3849BF8D"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Ahora bien, mediante informe justificado, el Sujeto Obligado pretendió el cambio de modalidad de entrega de la información, lo cual será analizado al tenor de lo siguiente: </w:t>
      </w:r>
    </w:p>
    <w:p w14:paraId="00464FAE"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246B7651" w14:textId="77777777" w:rsidR="00A40B65" w:rsidRPr="00BB7CE8" w:rsidRDefault="00E5237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t>Del cambio de modalidad.</w:t>
      </w:r>
      <w:r w:rsidRPr="00BB7CE8">
        <w:rPr>
          <w:rFonts w:ascii="Palatino Linotype" w:eastAsia="Palatino Linotype" w:hAnsi="Palatino Linotype" w:cs="Palatino Linotype"/>
          <w:sz w:val="22"/>
          <w:szCs w:val="22"/>
        </w:rPr>
        <w:t xml:space="preserve"> </w:t>
      </w:r>
    </w:p>
    <w:p w14:paraId="49A6CC6E"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1EFD795F" w14:textId="77777777" w:rsidR="00A40B65" w:rsidRPr="00BB7CE8" w:rsidRDefault="00E5237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En principio, es de recordar que el Recurrente al momento de presentar la solicitud de información que dio origen al Recurso de Revisión que nos ocupa, eligió como modalidad de entrega </w:t>
      </w:r>
      <w:r w:rsidRPr="00BB7CE8">
        <w:rPr>
          <w:rFonts w:ascii="Palatino Linotype" w:eastAsia="Palatino Linotype" w:hAnsi="Palatino Linotype" w:cs="Palatino Linotype"/>
          <w:i/>
          <w:iCs/>
          <w:sz w:val="22"/>
          <w:szCs w:val="22"/>
        </w:rPr>
        <w:t>“Sistema de Acceso a la Información Pública Mexiquense”</w:t>
      </w:r>
      <w:r w:rsidRPr="00BB7CE8">
        <w:rPr>
          <w:rFonts w:ascii="Palatino Linotype" w:eastAsia="Palatino Linotype" w:hAnsi="Palatino Linotype" w:cs="Palatino Linotype"/>
          <w:sz w:val="22"/>
          <w:szCs w:val="22"/>
        </w:rPr>
        <w:t xml:space="preserve">. </w:t>
      </w:r>
      <w:r w:rsidRPr="00BB7CE8">
        <w:rPr>
          <w:rFonts w:ascii="Palatino Linotype" w:hAnsi="Palatino Linotype"/>
          <w:sz w:val="22"/>
          <w:szCs w:val="22"/>
        </w:rPr>
        <w:t xml:space="preserve"> </w:t>
      </w:r>
    </w:p>
    <w:p w14:paraId="7D25EA14" w14:textId="77777777" w:rsidR="00A40B65" w:rsidRPr="00BB7CE8" w:rsidRDefault="00A40B65">
      <w:pPr>
        <w:pBdr>
          <w:top w:val="nil"/>
          <w:left w:val="nil"/>
          <w:bottom w:val="nil"/>
          <w:right w:val="nil"/>
          <w:between w:val="nil"/>
        </w:pBdr>
        <w:spacing w:line="360" w:lineRule="auto"/>
        <w:jc w:val="both"/>
        <w:rPr>
          <w:rFonts w:ascii="Palatino Linotype" w:hAnsi="Palatino Linotype"/>
          <w:sz w:val="22"/>
          <w:szCs w:val="22"/>
        </w:rPr>
      </w:pPr>
    </w:p>
    <w:p w14:paraId="329206CA"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De tal forma, resulta necesario traer a colación que el artículo 155, fracción V de la Ley de Transparencia y Acceso a la Información Pública del Estado de México y Municipios precisa que, para presentar una solicitud de información, el particular podrá señalar la modalidad en la que prefiere se otorgue el acceso a esta, tal como se observa a la literalidad:</w:t>
      </w:r>
    </w:p>
    <w:p w14:paraId="271B4116"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5B9CAA54" w14:textId="77777777" w:rsidR="00A40B65" w:rsidRPr="00BB7CE8" w:rsidRDefault="00E5237A">
      <w:pPr>
        <w:spacing w:line="276" w:lineRule="auto"/>
        <w:ind w:left="567" w:right="567"/>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Artículo 155.</w:t>
      </w:r>
      <w:r w:rsidRPr="00BB7CE8">
        <w:rPr>
          <w:rFonts w:ascii="Palatino Linotype" w:eastAsia="Palatino Linotype" w:hAnsi="Palatino Linotype" w:cs="Palatino Linotype"/>
          <w:i/>
          <w:iCs/>
          <w:sz w:val="22"/>
          <w:szCs w:val="22"/>
        </w:rPr>
        <w:t xml:space="preserve"> Para presentar una solicitud por escrito, no se podrán exigir mayores requisitos que los siguientes:</w:t>
      </w:r>
    </w:p>
    <w:p w14:paraId="243F4158" w14:textId="77777777" w:rsidR="00A40B65" w:rsidRPr="00BB7CE8" w:rsidRDefault="00E5237A">
      <w:pPr>
        <w:spacing w:line="276" w:lineRule="auto"/>
        <w:ind w:left="567" w:right="567"/>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p>
    <w:p w14:paraId="29BA84DE" w14:textId="77777777" w:rsidR="00A40B65" w:rsidRPr="00BB7CE8" w:rsidRDefault="00E5237A">
      <w:pPr>
        <w:spacing w:line="276" w:lineRule="auto"/>
        <w:ind w:left="567" w:right="567"/>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7387FF74" w14:textId="77777777" w:rsidR="00A40B65" w:rsidRPr="00BB7CE8" w:rsidRDefault="00E5237A">
      <w:pPr>
        <w:spacing w:line="276" w:lineRule="auto"/>
        <w:ind w:left="567" w:right="567"/>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p>
    <w:p w14:paraId="435FF7EE" w14:textId="77777777" w:rsidR="00A40B65" w:rsidRPr="00BB7CE8" w:rsidRDefault="00A40B65">
      <w:pPr>
        <w:spacing w:line="360" w:lineRule="auto"/>
        <w:ind w:right="-28"/>
        <w:jc w:val="both"/>
        <w:rPr>
          <w:rFonts w:ascii="Palatino Linotype" w:eastAsia="Palatino Linotype" w:hAnsi="Palatino Linotype" w:cs="Palatino Linotype"/>
          <w:sz w:val="22"/>
          <w:szCs w:val="22"/>
        </w:rPr>
      </w:pPr>
    </w:p>
    <w:p w14:paraId="53B749CA" w14:textId="77777777" w:rsidR="00A40B65" w:rsidRPr="00BB7CE8" w:rsidRDefault="00E5237A">
      <w:pPr>
        <w:spacing w:line="360" w:lineRule="auto"/>
        <w:ind w:right="-28"/>
        <w:jc w:val="both"/>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sz w:val="22"/>
          <w:szCs w:val="22"/>
        </w:rPr>
        <w:t xml:space="preserve">El artículo 158, dispone que, de manera excepcional, cuando de manera fundada y motivada lo determine el Sujeto Obligado, </w:t>
      </w:r>
      <w:r w:rsidRPr="00BB7CE8">
        <w:rPr>
          <w:rFonts w:ascii="Palatino Linotype" w:eastAsia="Palatino Linotype" w:hAnsi="Palatino Linotype" w:cs="Palatino Linotype"/>
          <w:b/>
          <w:bCs/>
          <w:sz w:val="22"/>
          <w:szCs w:val="22"/>
        </w:rPr>
        <w:t>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p>
    <w:p w14:paraId="3996AC8A"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64660206"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En el mismo orden de ideas, el artículo 164 de la Ley en la materia dispone que el acceso, se dará en la modalidad de entrega y, en su caso, de envío elegidos por el solicitante, de tal modo que, para el caso que no pueda entregarse o enviarse en la modalidad elegida, el sujeto obligado deberá ofrecer otra y otras modalidades de entrega, para lo que </w:t>
      </w:r>
      <w:r w:rsidRPr="00BB7CE8">
        <w:rPr>
          <w:rFonts w:ascii="Palatino Linotype" w:eastAsia="Palatino Linotype" w:hAnsi="Palatino Linotype" w:cs="Palatino Linotype"/>
          <w:b/>
          <w:bCs/>
          <w:sz w:val="22"/>
          <w:szCs w:val="22"/>
        </w:rPr>
        <w:t>se deberá fundar y motivar dicha necesidad</w:t>
      </w:r>
      <w:r w:rsidRPr="00BB7CE8">
        <w:rPr>
          <w:rFonts w:ascii="Palatino Linotype" w:eastAsia="Palatino Linotype" w:hAnsi="Palatino Linotype" w:cs="Palatino Linotype"/>
          <w:sz w:val="22"/>
          <w:szCs w:val="22"/>
        </w:rPr>
        <w:t xml:space="preserve">, como se advierte a continuación: </w:t>
      </w:r>
    </w:p>
    <w:p w14:paraId="38687C7E"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1B7CBF39" w14:textId="77777777" w:rsidR="00A40B65" w:rsidRPr="00BB7CE8" w:rsidRDefault="00E5237A">
      <w:pPr>
        <w:spacing w:line="276" w:lineRule="auto"/>
        <w:ind w:left="567" w:right="567"/>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Artículo 164.</w:t>
      </w:r>
      <w:r w:rsidRPr="00BB7CE8">
        <w:rPr>
          <w:rFonts w:ascii="Palatino Linotype" w:eastAsia="Palatino Linotype" w:hAnsi="Palatino Linotype" w:cs="Palatino Linotype"/>
          <w:i/>
          <w:iCs/>
          <w:sz w:val="22"/>
          <w:szCs w:val="22"/>
        </w:rPr>
        <w:t xml:space="preserve"> El acceso se dará en la modalidad de entrega y, en su caso, de envío elegidos por el solicitante. Cuando la información no pueda entregarse o enviarse en la modalidad solicitada, el sujeto obligado deberá ofrecer otra u otras modalidades de entrega. </w:t>
      </w:r>
    </w:p>
    <w:p w14:paraId="1BC0B232" w14:textId="77777777" w:rsidR="00A40B65" w:rsidRPr="00BB7CE8" w:rsidRDefault="00E5237A">
      <w:pPr>
        <w:spacing w:line="276" w:lineRule="auto"/>
        <w:ind w:left="567" w:right="567"/>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En cualquier caso, se deberá fundar y motivar la necesidad de ofrecer otras modalidades.</w:t>
      </w:r>
    </w:p>
    <w:p w14:paraId="4A80DC64" w14:textId="77777777" w:rsidR="00A40B65" w:rsidRPr="00BB7CE8" w:rsidRDefault="00A40B65">
      <w:pPr>
        <w:spacing w:line="276" w:lineRule="auto"/>
        <w:ind w:left="567" w:right="567"/>
        <w:jc w:val="both"/>
        <w:rPr>
          <w:rFonts w:ascii="Palatino Linotype" w:eastAsia="Palatino Linotype" w:hAnsi="Palatino Linotype" w:cs="Palatino Linotype"/>
          <w:i/>
          <w:iCs/>
          <w:sz w:val="22"/>
          <w:szCs w:val="22"/>
        </w:rPr>
      </w:pPr>
    </w:p>
    <w:p w14:paraId="4C93B2F5"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Para lo cual, conforme al artículo 174 de la Ley de la materia, indica que los costos de reproducción y, en su caso, de envío para la obtención de la información deberán ser cubiertos por el solicitante de manera previa a la entrega por parte del Sujeto Obligado. </w:t>
      </w:r>
    </w:p>
    <w:p w14:paraId="5945378B"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4F70C7D5" w14:textId="77777777" w:rsidR="00A40B65" w:rsidRPr="00BB7CE8" w:rsidRDefault="00E5237A">
      <w:pPr>
        <w:spacing w:line="360" w:lineRule="auto"/>
        <w:ind w:right="49"/>
        <w:jc w:val="both"/>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sz w:val="22"/>
          <w:szCs w:val="22"/>
        </w:rPr>
        <w:t xml:space="preserve">En tales consideraciones, la entrega de la información deberá hacerse, en la medida de lo posible en la forma solicitada por el interesado, salvo que exista un impedimento justificado para atenderla, en cuyo caso, deberán exponerse las razones por las cuales no se es posible utilizar el medio de reproducción solicitado, por lo que, la entrega la modalidad de entrega distinta a la elegida sólo procederán cuando </w:t>
      </w:r>
      <w:r w:rsidRPr="00BB7CE8">
        <w:rPr>
          <w:rFonts w:ascii="Palatino Linotype" w:eastAsia="Palatino Linotype" w:hAnsi="Palatino Linotype" w:cs="Palatino Linotype"/>
          <w:b/>
          <w:bCs/>
          <w:sz w:val="22"/>
          <w:szCs w:val="22"/>
        </w:rPr>
        <w:t xml:space="preserve">se acredite la imposibilidad de atenderla. </w:t>
      </w:r>
    </w:p>
    <w:p w14:paraId="34AF0548" w14:textId="77777777" w:rsidR="00A40B65" w:rsidRPr="00BB7CE8" w:rsidRDefault="00A40B65">
      <w:pPr>
        <w:spacing w:line="360" w:lineRule="auto"/>
        <w:ind w:right="49"/>
        <w:jc w:val="both"/>
        <w:rPr>
          <w:rFonts w:ascii="Palatino Linotype" w:eastAsia="Palatino Linotype" w:hAnsi="Palatino Linotype" w:cs="Palatino Linotype"/>
          <w:b/>
          <w:bCs/>
          <w:sz w:val="22"/>
          <w:szCs w:val="22"/>
        </w:rPr>
      </w:pPr>
    </w:p>
    <w:p w14:paraId="396A58E6"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Por lo anterior, en caso de impedimento, los sujetos obligados deberán ofrecer al particular otras modalidades de entrega a la solicitada, tal como lo establece el Criterio 08/17 emitido por el entonces pleno del Instituto Nacional de Transparencia, Acceso a la Información y Protección de Datos Personales, el cual establece lo siguiente: </w:t>
      </w:r>
    </w:p>
    <w:p w14:paraId="3FE13CCE"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3EE68F17" w14:textId="77777777" w:rsidR="00A40B65" w:rsidRPr="00BB7CE8" w:rsidRDefault="00E5237A">
      <w:pPr>
        <w:spacing w:line="276" w:lineRule="auto"/>
        <w:ind w:left="567" w:right="567"/>
        <w:jc w:val="both"/>
        <w:rPr>
          <w:rFonts w:ascii="Palatino Linotype" w:eastAsia="Palatino Linotype" w:hAnsi="Palatino Linotype" w:cs="Palatino Linotype"/>
          <w:b/>
          <w:bCs/>
          <w:i/>
          <w:iCs/>
          <w:sz w:val="22"/>
          <w:szCs w:val="22"/>
          <w:u w:val="single"/>
        </w:rPr>
      </w:pPr>
      <w:r w:rsidRPr="00BB7CE8">
        <w:rPr>
          <w:rFonts w:ascii="Palatino Linotype" w:eastAsia="Palatino Linotype" w:hAnsi="Palatino Linotype" w:cs="Palatino Linotype"/>
          <w:b/>
          <w:bCs/>
          <w:i/>
          <w:iCs/>
          <w:sz w:val="22"/>
          <w:szCs w:val="22"/>
        </w:rPr>
        <w:t>Modalidad de entrega. Procedencia de proporcionar la información solicitada en una diversa a la elegida por el solicitante.</w:t>
      </w:r>
      <w:r w:rsidRPr="00BB7CE8">
        <w:rPr>
          <w:rFonts w:ascii="Palatino Linotype" w:eastAsia="Palatino Linotype" w:hAnsi="Palatino Linotype" w:cs="Palatino Linotype"/>
          <w:i/>
          <w:iCs/>
          <w:sz w:val="22"/>
          <w:szCs w:val="22"/>
        </w:rPr>
        <w:t xml:space="preserve">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w:t>
      </w:r>
      <w:r w:rsidRPr="00BB7CE8">
        <w:rPr>
          <w:rFonts w:ascii="Palatino Linotype" w:eastAsia="Palatino Linotype" w:hAnsi="Palatino Linotype" w:cs="Palatino Linotype"/>
          <w:b/>
          <w:bCs/>
          <w:i/>
          <w:iCs/>
          <w:sz w:val="22"/>
          <w:szCs w:val="22"/>
          <w:u w:val="single"/>
        </w:rPr>
        <w:t>a) justifique el impedimento para atender la misma y b) se notifique al particular la disposición de la información en todas las modalidades que permita el documento de que se trate, procurando reducir, en todo momento, los costos de entrega.</w:t>
      </w:r>
    </w:p>
    <w:p w14:paraId="2E0C408B" w14:textId="77777777" w:rsidR="00A40B65" w:rsidRPr="00BB7CE8" w:rsidRDefault="00A40B65">
      <w:pPr>
        <w:spacing w:line="276" w:lineRule="auto"/>
        <w:ind w:left="567" w:right="567"/>
        <w:jc w:val="both"/>
        <w:rPr>
          <w:rFonts w:ascii="Palatino Linotype" w:eastAsia="Palatino Linotype" w:hAnsi="Palatino Linotype" w:cs="Palatino Linotype"/>
          <w:i/>
          <w:iCs/>
          <w:sz w:val="22"/>
          <w:szCs w:val="22"/>
        </w:rPr>
      </w:pPr>
    </w:p>
    <w:p w14:paraId="2714F083"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Es así que, se desprende que, cuando no sea posible atender la modalidad elegida por los solicitantes, el sujeto obligado deberá justificar el impedimento para atender esta y notificar al particular la puesta a disposición de la información en todas las modalidades que lo permitan, procurando reducir los costos de entrega.</w:t>
      </w:r>
    </w:p>
    <w:p w14:paraId="695B8729"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599D2DBF" w14:textId="1EB58AB9" w:rsidR="00312907"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En este sentido, se tiene que el Sujeto Obligado</w:t>
      </w:r>
      <w:r w:rsidR="00312907" w:rsidRPr="00BB7CE8">
        <w:rPr>
          <w:rFonts w:ascii="Palatino Linotype" w:eastAsia="Palatino Linotype" w:hAnsi="Palatino Linotype" w:cs="Palatino Linotype"/>
          <w:sz w:val="22"/>
          <w:szCs w:val="22"/>
        </w:rPr>
        <w:t xml:space="preserve">, como fue señalado en los antecedentes de la presente resolución, entregó </w:t>
      </w:r>
    </w:p>
    <w:p w14:paraId="7FBBE229" w14:textId="77777777" w:rsidR="00312907" w:rsidRPr="00BB7CE8" w:rsidRDefault="00312907">
      <w:pPr>
        <w:spacing w:line="360" w:lineRule="auto"/>
        <w:ind w:right="49"/>
        <w:jc w:val="both"/>
        <w:rPr>
          <w:rFonts w:ascii="Palatino Linotype" w:eastAsia="Palatino Linotype" w:hAnsi="Palatino Linotype" w:cs="Palatino Linotype"/>
          <w:sz w:val="22"/>
          <w:szCs w:val="22"/>
        </w:rPr>
      </w:pPr>
    </w:p>
    <w:p w14:paraId="58B128E7" w14:textId="0FC32FD2" w:rsidR="00312907" w:rsidRPr="00BB7CE8" w:rsidRDefault="00312907" w:rsidP="00312907">
      <w:pPr>
        <w:pStyle w:val="Listaconvietas3"/>
        <w:numPr>
          <w:ilvl w:val="0"/>
          <w:numId w:val="6"/>
        </w:numPr>
        <w:spacing w:line="360" w:lineRule="auto"/>
        <w:ind w:left="426"/>
        <w:jc w:val="both"/>
        <w:rPr>
          <w:rFonts w:ascii="Palatino Linotype" w:hAnsi="Palatino Linotype"/>
          <w:sz w:val="22"/>
          <w:szCs w:val="22"/>
        </w:rPr>
      </w:pPr>
      <w:r w:rsidRPr="00BB7CE8">
        <w:rPr>
          <w:rFonts w:ascii="Palatino Linotype" w:hAnsi="Palatino Linotype"/>
          <w:sz w:val="22"/>
          <w:szCs w:val="22"/>
        </w:rPr>
        <w:t>Oficio suscrito por el Tesorero Municipal, mediante el cual refiere que la información será proporcionada en consulta directa, ya que corresponde a un peso de 1.62 GB, lo que supera las capacidades del SAIMEX.</w:t>
      </w:r>
    </w:p>
    <w:p w14:paraId="1F7AF92A" w14:textId="4E0E388C" w:rsidR="00312907" w:rsidRPr="00BB7CE8" w:rsidRDefault="00312907" w:rsidP="00312907">
      <w:pPr>
        <w:pStyle w:val="Listaconvietas3"/>
        <w:numPr>
          <w:ilvl w:val="0"/>
          <w:numId w:val="6"/>
        </w:numPr>
        <w:spacing w:line="360" w:lineRule="auto"/>
        <w:ind w:left="426"/>
        <w:jc w:val="both"/>
        <w:rPr>
          <w:rFonts w:ascii="Palatino Linotype" w:hAnsi="Palatino Linotype"/>
          <w:sz w:val="22"/>
          <w:szCs w:val="22"/>
        </w:rPr>
      </w:pPr>
      <w:r w:rsidRPr="00BB7CE8">
        <w:rPr>
          <w:rFonts w:ascii="Palatino Linotype" w:hAnsi="Palatino Linotype"/>
          <w:sz w:val="22"/>
          <w:szCs w:val="22"/>
        </w:rPr>
        <w:t>Acta del Comité de Transparencia mediante la cual se aprueba el cambio de modalidad a consulta directa.</w:t>
      </w:r>
    </w:p>
    <w:p w14:paraId="65A67F27" w14:textId="77777777" w:rsidR="00312907" w:rsidRPr="00BB7CE8" w:rsidRDefault="00312907" w:rsidP="00312907">
      <w:pPr>
        <w:pStyle w:val="Listaconvietas3"/>
        <w:numPr>
          <w:ilvl w:val="0"/>
          <w:numId w:val="6"/>
        </w:numPr>
        <w:spacing w:line="360" w:lineRule="auto"/>
        <w:ind w:left="426"/>
        <w:jc w:val="both"/>
        <w:rPr>
          <w:rFonts w:ascii="Palatino Linotype" w:hAnsi="Palatino Linotype"/>
          <w:sz w:val="22"/>
          <w:szCs w:val="22"/>
        </w:rPr>
      </w:pPr>
      <w:r w:rsidRPr="00BB7CE8">
        <w:rPr>
          <w:rFonts w:ascii="Palatino Linotype" w:hAnsi="Palatino Linotype"/>
          <w:sz w:val="22"/>
          <w:szCs w:val="22"/>
        </w:rPr>
        <w:t xml:space="preserve">Oficio suscrito por el Coordinador de Transparencia y dirigido al Director General de Informática de este Organismo Garante mediante el cual solicita el registro de incidencias derivado del peso de la información. </w:t>
      </w:r>
    </w:p>
    <w:p w14:paraId="4BB59287" w14:textId="770B1B0D" w:rsidR="00312907" w:rsidRPr="00BB7CE8" w:rsidRDefault="00312907" w:rsidP="00312907">
      <w:pPr>
        <w:pStyle w:val="Listaconvietas3"/>
        <w:numPr>
          <w:ilvl w:val="0"/>
          <w:numId w:val="6"/>
        </w:numPr>
        <w:spacing w:line="360" w:lineRule="auto"/>
        <w:ind w:left="426"/>
        <w:jc w:val="both"/>
        <w:rPr>
          <w:rFonts w:ascii="Palatino Linotype" w:hAnsi="Palatino Linotype"/>
          <w:sz w:val="22"/>
          <w:szCs w:val="22"/>
        </w:rPr>
      </w:pPr>
      <w:r w:rsidRPr="00BB7CE8">
        <w:rPr>
          <w:rFonts w:ascii="Palatino Linotype" w:hAnsi="Palatino Linotype"/>
          <w:sz w:val="22"/>
          <w:szCs w:val="22"/>
        </w:rPr>
        <w:t>Oficio del Director General de Informática de este Organismo Garante y dirigido al Coordinador de Transparencia del Sujeto Obligado donde se menciona que ha quedado registrado el reporte de incidencias por el peso de la información.</w:t>
      </w:r>
    </w:p>
    <w:p w14:paraId="4C502929"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7490D11B" w14:textId="5EA56ABB" w:rsidR="00312907" w:rsidRPr="00BB7CE8" w:rsidRDefault="00312907">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No pasa desapercibido que la naturaleza de la información requerida se basa en comprobantes de pago, lo que de manera enunciativa más no limitativa son facturas, las cuales se solicitaron sin documentación adicional como lo son los anexos.</w:t>
      </w:r>
    </w:p>
    <w:p w14:paraId="11B53E48" w14:textId="77777777" w:rsidR="00312907" w:rsidRPr="00BB7CE8" w:rsidRDefault="00312907">
      <w:pPr>
        <w:spacing w:line="360" w:lineRule="auto"/>
        <w:ind w:right="49"/>
        <w:jc w:val="both"/>
        <w:rPr>
          <w:rFonts w:ascii="Palatino Linotype" w:eastAsia="Palatino Linotype" w:hAnsi="Palatino Linotype" w:cs="Palatino Linotype"/>
          <w:sz w:val="22"/>
          <w:szCs w:val="22"/>
        </w:rPr>
      </w:pPr>
    </w:p>
    <w:p w14:paraId="69F870DF" w14:textId="3F99C0A9" w:rsidR="00312907" w:rsidRPr="00BB7CE8" w:rsidRDefault="00875930">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Otro elemento importante para considerar</w:t>
      </w:r>
      <w:r w:rsidR="00312907" w:rsidRPr="00BB7CE8">
        <w:rPr>
          <w:rFonts w:ascii="Palatino Linotype" w:eastAsia="Palatino Linotype" w:hAnsi="Palatino Linotype" w:cs="Palatino Linotype"/>
          <w:sz w:val="22"/>
          <w:szCs w:val="22"/>
        </w:rPr>
        <w:t xml:space="preserve"> es </w:t>
      </w:r>
      <w:r w:rsidRPr="00BB7CE8">
        <w:rPr>
          <w:rFonts w:ascii="Palatino Linotype" w:eastAsia="Palatino Linotype" w:hAnsi="Palatino Linotype" w:cs="Palatino Linotype"/>
          <w:sz w:val="22"/>
          <w:szCs w:val="22"/>
        </w:rPr>
        <w:t xml:space="preserve">la temporalidad de la información requerida, la cual versa del uno de septiembre al quince de octubre, periodo que comprende únicamente a cuarenta y cuatro días naturales. </w:t>
      </w:r>
    </w:p>
    <w:p w14:paraId="30619F1B" w14:textId="77777777" w:rsidR="00875930" w:rsidRPr="00BB7CE8" w:rsidRDefault="00875930">
      <w:pPr>
        <w:spacing w:line="360" w:lineRule="auto"/>
        <w:ind w:right="49"/>
        <w:jc w:val="both"/>
        <w:rPr>
          <w:rFonts w:ascii="Palatino Linotype" w:eastAsia="Palatino Linotype" w:hAnsi="Palatino Linotype" w:cs="Palatino Linotype"/>
          <w:sz w:val="22"/>
          <w:szCs w:val="22"/>
        </w:rPr>
      </w:pPr>
    </w:p>
    <w:p w14:paraId="3B363313" w14:textId="52EA4B4F" w:rsidR="00875930" w:rsidRPr="00BB7CE8" w:rsidRDefault="00875930">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Establecido lo anterior y ante la omisión de señalar el número de fojas que integra la información, el diecinueve de febrero de dos mil veintiséis, se realizó un requerimiento de información adicional en los siguientes términos:</w:t>
      </w:r>
    </w:p>
    <w:p w14:paraId="2833B449" w14:textId="77777777" w:rsidR="00875930" w:rsidRPr="00BB7CE8" w:rsidRDefault="00875930">
      <w:pPr>
        <w:spacing w:line="360" w:lineRule="auto"/>
        <w:ind w:right="49"/>
        <w:jc w:val="both"/>
        <w:rPr>
          <w:rFonts w:ascii="Palatino Linotype" w:eastAsia="Palatino Linotype" w:hAnsi="Palatino Linotype" w:cs="Palatino Linotype"/>
          <w:sz w:val="22"/>
          <w:szCs w:val="22"/>
        </w:rPr>
      </w:pPr>
    </w:p>
    <w:p w14:paraId="0120B4A7" w14:textId="258EA449" w:rsidR="00875930" w:rsidRPr="00BB7CE8" w:rsidRDefault="00875930">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noProof/>
          <w:sz w:val="22"/>
          <w:szCs w:val="22"/>
          <w:lang w:val="es-MX" w:eastAsia="es-MX"/>
        </w:rPr>
        <w:drawing>
          <wp:inline distT="0" distB="0" distL="0" distR="0" wp14:anchorId="6C415CEF" wp14:editId="39693928">
            <wp:extent cx="5612130" cy="6268720"/>
            <wp:effectExtent l="0" t="0" r="1270" b="5080"/>
            <wp:docPr id="82947213"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213" name="Imagen 1" descr="Texto, Carta&#10;&#10;El contenido generado por IA puede ser incorrecto."/>
                    <pic:cNvPicPr/>
                  </pic:nvPicPr>
                  <pic:blipFill>
                    <a:blip r:embed="rId11">
                      <a:extLst>
                        <a:ext uri="{28A0092B-C50C-407E-A947-70E740481C1C}">
                          <a14:useLocalDpi xmlns:a14="http://schemas.microsoft.com/office/drawing/2010/main" val="0"/>
                        </a:ext>
                      </a:extLst>
                    </a:blip>
                    <a:stretch>
                      <a:fillRect/>
                    </a:stretch>
                  </pic:blipFill>
                  <pic:spPr>
                    <a:xfrm>
                      <a:off x="0" y="0"/>
                      <a:ext cx="5612130" cy="6268720"/>
                    </a:xfrm>
                    <a:prstGeom prst="rect">
                      <a:avLst/>
                    </a:prstGeom>
                  </pic:spPr>
                </pic:pic>
              </a:graphicData>
            </a:graphic>
          </wp:inline>
        </w:drawing>
      </w:r>
    </w:p>
    <w:p w14:paraId="66F9ABD5" w14:textId="77777777" w:rsidR="00875930" w:rsidRPr="00BB7CE8" w:rsidRDefault="00875930">
      <w:pPr>
        <w:spacing w:line="360" w:lineRule="auto"/>
        <w:ind w:right="49"/>
        <w:jc w:val="both"/>
        <w:rPr>
          <w:rFonts w:ascii="Palatino Linotype" w:eastAsia="Palatino Linotype" w:hAnsi="Palatino Linotype" w:cs="Palatino Linotype"/>
          <w:sz w:val="22"/>
          <w:szCs w:val="22"/>
        </w:rPr>
      </w:pPr>
    </w:p>
    <w:p w14:paraId="4F9B40EE" w14:textId="6C6A8E18" w:rsidR="00875930" w:rsidRPr="00BB7CE8" w:rsidRDefault="00875930">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noProof/>
          <w:sz w:val="22"/>
          <w:szCs w:val="22"/>
          <w:lang w:val="es-MX" w:eastAsia="es-MX"/>
        </w:rPr>
        <w:drawing>
          <wp:inline distT="0" distB="0" distL="0" distR="0" wp14:anchorId="4EDA137F" wp14:editId="6CA3E519">
            <wp:extent cx="5612130" cy="2112010"/>
            <wp:effectExtent l="0" t="0" r="1270" b="0"/>
            <wp:docPr id="1757352383" name="Imagen 2"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52383" name="Imagen 2" descr="Interfaz de usuario gráfica, Texto, Aplicación&#10;&#10;El contenido generado por IA puede ser incorrecto."/>
                    <pic:cNvPicPr/>
                  </pic:nvPicPr>
                  <pic:blipFill>
                    <a:blip r:embed="rId12">
                      <a:extLst>
                        <a:ext uri="{28A0092B-C50C-407E-A947-70E740481C1C}">
                          <a14:useLocalDpi xmlns:a14="http://schemas.microsoft.com/office/drawing/2010/main" val="0"/>
                        </a:ext>
                      </a:extLst>
                    </a:blip>
                    <a:stretch>
                      <a:fillRect/>
                    </a:stretch>
                  </pic:blipFill>
                  <pic:spPr>
                    <a:xfrm>
                      <a:off x="0" y="0"/>
                      <a:ext cx="5612130" cy="2112010"/>
                    </a:xfrm>
                    <a:prstGeom prst="rect">
                      <a:avLst/>
                    </a:prstGeom>
                  </pic:spPr>
                </pic:pic>
              </a:graphicData>
            </a:graphic>
          </wp:inline>
        </w:drawing>
      </w:r>
    </w:p>
    <w:p w14:paraId="4BBF8126" w14:textId="2E92902C" w:rsidR="00D11DFE" w:rsidRPr="00BB7CE8" w:rsidRDefault="00D11DFE">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Por su parte, el Sujeto Obligado, vía correo electrónico, </w:t>
      </w:r>
      <w:r w:rsidR="00830B53" w:rsidRPr="00BB7CE8">
        <w:rPr>
          <w:rFonts w:ascii="Palatino Linotype" w:eastAsia="Palatino Linotype" w:hAnsi="Palatino Linotype" w:cs="Palatino Linotype"/>
          <w:sz w:val="22"/>
          <w:szCs w:val="22"/>
        </w:rPr>
        <w:t>dio respuesta al requerimiento de información adicional en los siguientes términos:</w:t>
      </w:r>
    </w:p>
    <w:p w14:paraId="06CD8B34" w14:textId="4F8A9075" w:rsidR="00830B53" w:rsidRPr="00BB7CE8" w:rsidRDefault="0004797C" w:rsidP="00187475">
      <w:pPr>
        <w:spacing w:line="360" w:lineRule="auto"/>
        <w:ind w:right="49"/>
        <w:jc w:val="center"/>
        <w:rPr>
          <w:rFonts w:ascii="Palatino Linotype" w:eastAsia="Palatino Linotype" w:hAnsi="Palatino Linotype" w:cs="Palatino Linotype"/>
          <w:sz w:val="22"/>
          <w:szCs w:val="22"/>
        </w:rPr>
      </w:pPr>
      <w:r w:rsidRPr="00BB7CE8">
        <w:rPr>
          <w:rFonts w:ascii="Palatino Linotype" w:eastAsia="Palatino Linotype" w:hAnsi="Palatino Linotype" w:cs="Palatino Linotype"/>
          <w:noProof/>
          <w:sz w:val="22"/>
          <w:szCs w:val="22"/>
          <w:lang w:val="es-MX" w:eastAsia="es-MX"/>
        </w:rPr>
        <w:drawing>
          <wp:inline distT="0" distB="0" distL="0" distR="0" wp14:anchorId="11D4B33F" wp14:editId="4E63826B">
            <wp:extent cx="3448050" cy="424666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71517" cy="4275568"/>
                    </a:xfrm>
                    <a:prstGeom prst="rect">
                      <a:avLst/>
                    </a:prstGeom>
                  </pic:spPr>
                </pic:pic>
              </a:graphicData>
            </a:graphic>
          </wp:inline>
        </w:drawing>
      </w:r>
    </w:p>
    <w:p w14:paraId="2C8548F0" w14:textId="77777777" w:rsidR="00D11DFE" w:rsidRPr="00BB7CE8" w:rsidRDefault="00D11DFE">
      <w:pPr>
        <w:spacing w:line="360" w:lineRule="auto"/>
        <w:ind w:right="49"/>
        <w:jc w:val="both"/>
        <w:rPr>
          <w:rFonts w:ascii="Palatino Linotype" w:eastAsia="Palatino Linotype" w:hAnsi="Palatino Linotype" w:cs="Palatino Linotype"/>
          <w:sz w:val="22"/>
          <w:szCs w:val="22"/>
        </w:rPr>
      </w:pPr>
    </w:p>
    <w:p w14:paraId="104BD956" w14:textId="77777777" w:rsidR="00D11DFE" w:rsidRPr="00BB7CE8" w:rsidRDefault="00D11DFE">
      <w:pPr>
        <w:spacing w:line="360" w:lineRule="auto"/>
        <w:ind w:right="49"/>
        <w:jc w:val="both"/>
        <w:rPr>
          <w:rFonts w:ascii="Palatino Linotype" w:eastAsia="Palatino Linotype" w:hAnsi="Palatino Linotype" w:cs="Palatino Linotype"/>
          <w:sz w:val="22"/>
          <w:szCs w:val="22"/>
        </w:rPr>
      </w:pPr>
    </w:p>
    <w:p w14:paraId="0CCA5A7D" w14:textId="6B788BCA" w:rsidR="00D11DFE" w:rsidRPr="00BB7CE8" w:rsidRDefault="0004797C">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noProof/>
          <w:sz w:val="22"/>
          <w:szCs w:val="22"/>
          <w:lang w:val="es-MX" w:eastAsia="es-MX"/>
        </w:rPr>
        <w:drawing>
          <wp:inline distT="0" distB="0" distL="0" distR="0" wp14:anchorId="0A97C351" wp14:editId="5A043A1B">
            <wp:extent cx="5612130" cy="5923915"/>
            <wp:effectExtent l="0" t="0" r="762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5923915"/>
                    </a:xfrm>
                    <a:prstGeom prst="rect">
                      <a:avLst/>
                    </a:prstGeom>
                  </pic:spPr>
                </pic:pic>
              </a:graphicData>
            </a:graphic>
          </wp:inline>
        </w:drawing>
      </w:r>
    </w:p>
    <w:p w14:paraId="49FE230F" w14:textId="77777777" w:rsidR="00D11DFE" w:rsidRPr="00BB7CE8" w:rsidRDefault="00D11DFE">
      <w:pPr>
        <w:spacing w:line="360" w:lineRule="auto"/>
        <w:ind w:right="49"/>
        <w:jc w:val="both"/>
        <w:rPr>
          <w:rFonts w:ascii="Palatino Linotype" w:eastAsia="Palatino Linotype" w:hAnsi="Palatino Linotype" w:cs="Palatino Linotype"/>
          <w:sz w:val="22"/>
          <w:szCs w:val="22"/>
        </w:rPr>
      </w:pPr>
    </w:p>
    <w:p w14:paraId="3593D263" w14:textId="77777777" w:rsidR="00D11DFE" w:rsidRPr="00BB7CE8" w:rsidRDefault="00D11DFE">
      <w:pPr>
        <w:spacing w:line="360" w:lineRule="auto"/>
        <w:ind w:right="49"/>
        <w:jc w:val="both"/>
        <w:rPr>
          <w:rFonts w:ascii="Palatino Linotype" w:eastAsia="Palatino Linotype" w:hAnsi="Palatino Linotype" w:cs="Palatino Linotype"/>
          <w:sz w:val="22"/>
          <w:szCs w:val="22"/>
        </w:rPr>
      </w:pPr>
    </w:p>
    <w:p w14:paraId="02FAF4F0" w14:textId="77777777" w:rsidR="00D11DFE" w:rsidRPr="00BB7CE8" w:rsidRDefault="00D11DFE">
      <w:pPr>
        <w:spacing w:line="360" w:lineRule="auto"/>
        <w:ind w:right="49"/>
        <w:jc w:val="both"/>
        <w:rPr>
          <w:rFonts w:ascii="Palatino Linotype" w:eastAsia="Palatino Linotype" w:hAnsi="Palatino Linotype" w:cs="Palatino Linotype"/>
          <w:sz w:val="22"/>
          <w:szCs w:val="22"/>
        </w:rPr>
      </w:pPr>
    </w:p>
    <w:p w14:paraId="0AC9DF56" w14:textId="77777777" w:rsidR="0004797C" w:rsidRPr="00BB7CE8" w:rsidRDefault="0004797C">
      <w:pPr>
        <w:spacing w:line="360" w:lineRule="auto"/>
        <w:ind w:right="49"/>
        <w:jc w:val="both"/>
        <w:rPr>
          <w:rFonts w:ascii="Palatino Linotype" w:eastAsia="Palatino Linotype" w:hAnsi="Palatino Linotype" w:cs="Palatino Linotype"/>
          <w:sz w:val="22"/>
          <w:szCs w:val="22"/>
        </w:rPr>
      </w:pPr>
    </w:p>
    <w:p w14:paraId="6ECAB10C"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Conforme a lo anterior, se considera que la información solicitada sobrepasa las capacidades técnicas del Sistema de Acceso a la Información Mexiquense </w:t>
      </w:r>
      <w:proofErr w:type="gramStart"/>
      <w:r w:rsidRPr="00BB7CE8">
        <w:rPr>
          <w:rFonts w:ascii="Palatino Linotype" w:eastAsia="Palatino Linotype" w:hAnsi="Palatino Linotype" w:cs="Palatino Linotype"/>
          <w:sz w:val="22"/>
          <w:szCs w:val="22"/>
        </w:rPr>
        <w:t>y</w:t>
      </w:r>
      <w:proofErr w:type="gramEnd"/>
      <w:r w:rsidRPr="00BB7CE8">
        <w:rPr>
          <w:rFonts w:ascii="Palatino Linotype" w:eastAsia="Palatino Linotype" w:hAnsi="Palatino Linotype" w:cs="Palatino Linotype"/>
          <w:sz w:val="22"/>
          <w:szCs w:val="22"/>
        </w:rPr>
        <w:t xml:space="preserve"> por ende, acreditó de manera fundada y motivada, el cambio de modalidad de entrega de la información para atender el requerimiento de información. </w:t>
      </w:r>
    </w:p>
    <w:p w14:paraId="70F70063"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p>
    <w:p w14:paraId="4ED6BD71" w14:textId="7BFFA9CF" w:rsidR="000B431C" w:rsidRPr="00BB7CE8" w:rsidRDefault="000B431C" w:rsidP="000B431C">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Sin embargo, el entonces Órgano Garante Nacional, consideró que no resulta suficiente justificar una imposibilidad técnica y humana para acreditar un cambio de modalidad, sino que es necesario demostrar otros impedimentos con el fin de privilegiar el Principio de Gratuidad y Máxima Publicidad; argumentos que encuentran sustento dentro diversas de sus resoluciones de Recursos de Inconformidad como el RIA 136/20, RIA 140/20, RIA 153/20 RIA 237/20, RIA 257/20, RIA 258/20. </w:t>
      </w:r>
    </w:p>
    <w:p w14:paraId="1F2E6C0C"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p>
    <w:p w14:paraId="52F3D396" w14:textId="77777777" w:rsidR="000B431C" w:rsidRPr="00BB7CE8" w:rsidRDefault="000B431C" w:rsidP="000B431C">
      <w:pPr>
        <w:spacing w:line="360" w:lineRule="auto"/>
        <w:ind w:right="-28"/>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Además, precisan que no se debe ceñir el cambio de modalidad, directamente a consulta directa, sino que los sujetos obligados, deben de buscar la posibilidad de proporcionarla en las otras formas que establecen en la Ley, ya sean electrónicas o físicas.</w:t>
      </w:r>
    </w:p>
    <w:p w14:paraId="6F09096A" w14:textId="77777777" w:rsidR="000B431C" w:rsidRPr="00BB7CE8" w:rsidRDefault="000B431C" w:rsidP="000B431C">
      <w:pPr>
        <w:spacing w:line="360" w:lineRule="auto"/>
        <w:ind w:right="-28"/>
        <w:jc w:val="both"/>
        <w:rPr>
          <w:rFonts w:ascii="Palatino Linotype" w:eastAsia="Palatino Linotype" w:hAnsi="Palatino Linotype" w:cs="Palatino Linotype"/>
          <w:sz w:val="22"/>
          <w:szCs w:val="22"/>
        </w:rPr>
      </w:pPr>
    </w:p>
    <w:p w14:paraId="48BB253D" w14:textId="77777777" w:rsidR="000B431C" w:rsidRPr="00BB7CE8" w:rsidRDefault="000B431C" w:rsidP="000B431C">
      <w:pPr>
        <w:spacing w:line="360" w:lineRule="auto"/>
        <w:ind w:right="-28"/>
        <w:jc w:val="both"/>
        <w:rPr>
          <w:rFonts w:ascii="Palatino Linotype" w:eastAsia="Palatino Linotype" w:hAnsi="Palatino Linotype" w:cs="Palatino Linotype"/>
          <w:b/>
          <w:sz w:val="22"/>
          <w:szCs w:val="22"/>
        </w:rPr>
      </w:pPr>
      <w:r w:rsidRPr="00BB7CE8">
        <w:rPr>
          <w:rFonts w:ascii="Palatino Linotype" w:eastAsia="Palatino Linotype" w:hAnsi="Palatino Linotype" w:cs="Palatino Linotype"/>
          <w:sz w:val="22"/>
          <w:szCs w:val="22"/>
        </w:rPr>
        <w:t xml:space="preserve">Conforme a lo anterior, si bien se acreditó la imposibilidad para proporcionar la información a través del Sistema de Acceso a la Información Mexiquense, el </w:t>
      </w:r>
      <w:r w:rsidRPr="00BB7CE8">
        <w:rPr>
          <w:rFonts w:ascii="Palatino Linotype" w:eastAsia="Palatino Linotype" w:hAnsi="Palatino Linotype" w:cs="Palatino Linotype"/>
          <w:b/>
          <w:sz w:val="22"/>
          <w:szCs w:val="22"/>
        </w:rPr>
        <w:t xml:space="preserve">Sujeto Obligado </w:t>
      </w:r>
      <w:r w:rsidRPr="00BB7CE8">
        <w:rPr>
          <w:rFonts w:ascii="Palatino Linotype" w:eastAsia="Palatino Linotype" w:hAnsi="Palatino Linotype" w:cs="Palatino Linotype"/>
          <w:sz w:val="22"/>
          <w:szCs w:val="22"/>
        </w:rPr>
        <w:t>omitió ponerla a disposición en todas las modalidades posibles, como por ejemplo, la entrega a través de un dispositivo USB o disco duro extraíble, sin costo si la persona solicitante los proporciona; correo certificado, previo pago de los costos de reproducción y envío, así como habilitar una liga electrónica en una plataforma electrónica de almacenamiento, entre otras.</w:t>
      </w:r>
    </w:p>
    <w:p w14:paraId="4E906735" w14:textId="77777777" w:rsidR="000B431C" w:rsidRPr="00BB7CE8" w:rsidRDefault="000B431C" w:rsidP="000B431C">
      <w:pPr>
        <w:spacing w:line="360" w:lineRule="auto"/>
        <w:jc w:val="both"/>
        <w:rPr>
          <w:rFonts w:ascii="Palatino Linotype" w:eastAsia="Palatino Linotype" w:hAnsi="Palatino Linotype" w:cs="Palatino Linotype"/>
          <w:b/>
          <w:sz w:val="22"/>
          <w:szCs w:val="22"/>
        </w:rPr>
      </w:pPr>
    </w:p>
    <w:p w14:paraId="14D43220"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Bajo los argumentos expuestos, resulta procedente ordenar al </w:t>
      </w:r>
      <w:r w:rsidRPr="00BB7CE8">
        <w:rPr>
          <w:rFonts w:ascii="Palatino Linotype" w:eastAsia="Palatino Linotype" w:hAnsi="Palatino Linotype" w:cs="Palatino Linotype"/>
          <w:b/>
          <w:sz w:val="22"/>
          <w:szCs w:val="22"/>
        </w:rPr>
        <w:t>Sujeto Obligado</w:t>
      </w:r>
      <w:r w:rsidRPr="00BB7CE8">
        <w:rPr>
          <w:rFonts w:ascii="Palatino Linotype" w:eastAsia="Palatino Linotype" w:hAnsi="Palatino Linotype" w:cs="Palatino Linotype"/>
          <w:sz w:val="22"/>
          <w:szCs w:val="22"/>
        </w:rPr>
        <w:t xml:space="preserve"> poner a disposición de la persona solicitante la información requerida, de ser procedente en versión pública, </w:t>
      </w:r>
      <w:r w:rsidRPr="00BB7CE8">
        <w:rPr>
          <w:rFonts w:ascii="Palatino Linotype" w:eastAsia="Palatino Linotype" w:hAnsi="Palatino Linotype" w:cs="Palatino Linotype"/>
          <w:b/>
          <w:sz w:val="22"/>
          <w:szCs w:val="22"/>
          <w:u w:val="single"/>
        </w:rPr>
        <w:t>en todas las modalidades posibles</w:t>
      </w:r>
      <w:r w:rsidRPr="00BB7CE8">
        <w:rPr>
          <w:rFonts w:ascii="Palatino Linotype" w:eastAsia="Palatino Linotype" w:hAnsi="Palatino Linotype" w:cs="Palatino Linotype"/>
          <w:sz w:val="22"/>
          <w:szCs w:val="22"/>
        </w:rPr>
        <w:t xml:space="preserve">, de manera enunciativa, más no limitativa: </w:t>
      </w:r>
      <w:r w:rsidRPr="00BB7CE8">
        <w:rPr>
          <w:rFonts w:ascii="Palatino Linotype" w:eastAsia="Palatino Linotype" w:hAnsi="Palatino Linotype" w:cs="Palatino Linotype"/>
          <w:b/>
          <w:sz w:val="22"/>
          <w:szCs w:val="22"/>
          <w:u w:val="single"/>
        </w:rPr>
        <w:t>disco compacto, dispositivos de almacenamiento (CD-ROM, USB, Disco duro extraíble, etcétera), consulta directa, copias simples o certificadas, con posibilidad de entrega en la Unidad de Transparencia o a domicilio por correo certificado</w:t>
      </w:r>
      <w:r w:rsidRPr="00BB7CE8">
        <w:rPr>
          <w:rFonts w:ascii="Palatino Linotype" w:eastAsia="Palatino Linotype" w:hAnsi="Palatino Linotype" w:cs="Palatino Linotype"/>
          <w:b/>
          <w:sz w:val="22"/>
          <w:szCs w:val="22"/>
        </w:rPr>
        <w:t xml:space="preserve">; </w:t>
      </w:r>
      <w:r w:rsidRPr="00BB7CE8">
        <w:rPr>
          <w:rFonts w:ascii="Palatino Linotype" w:eastAsia="Palatino Linotype" w:hAnsi="Palatino Linotype" w:cs="Palatino Linotype"/>
          <w:sz w:val="22"/>
          <w:szCs w:val="22"/>
        </w:rPr>
        <w:t xml:space="preserve">previo pago de los derechos correspondientes, </w:t>
      </w:r>
      <w:r w:rsidRPr="00BB7CE8">
        <w:rPr>
          <w:rFonts w:ascii="Palatino Linotype" w:eastAsia="Palatino Linotype" w:hAnsi="Palatino Linotype" w:cs="Palatino Linotype"/>
          <w:b/>
          <w:sz w:val="22"/>
          <w:szCs w:val="22"/>
          <w:u w:val="single"/>
        </w:rPr>
        <w:t>o sin costo, para el caso de que la persona solicitante proporcione disco compacto o los medios magnéticos</w:t>
      </w:r>
      <w:r w:rsidRPr="00BB7CE8">
        <w:rPr>
          <w:rFonts w:ascii="Palatino Linotype" w:eastAsia="Palatino Linotype" w:hAnsi="Palatino Linotype" w:cs="Palatino Linotype"/>
          <w:sz w:val="22"/>
          <w:szCs w:val="22"/>
        </w:rPr>
        <w:t>, como establece el último párrafo del artículo 148 del Código Financiero del Estado de México, citado con antelación.</w:t>
      </w:r>
    </w:p>
    <w:p w14:paraId="2B93AF3F"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p>
    <w:p w14:paraId="5BB6D183"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Es necesario aclarar, para el caso que </w:t>
      </w:r>
      <w:r w:rsidRPr="00BB7CE8">
        <w:rPr>
          <w:rFonts w:ascii="Palatino Linotype" w:eastAsia="Palatino Linotype" w:hAnsi="Palatino Linotype" w:cs="Palatino Linotype"/>
          <w:bCs/>
          <w:sz w:val="22"/>
          <w:szCs w:val="22"/>
        </w:rPr>
        <w:t>no</w:t>
      </w:r>
      <w:r w:rsidRPr="00BB7CE8">
        <w:rPr>
          <w:rFonts w:ascii="Palatino Linotype" w:eastAsia="Palatino Linotype" w:hAnsi="Palatino Linotype" w:cs="Palatino Linotype"/>
          <w:sz w:val="22"/>
          <w:szCs w:val="22"/>
        </w:rPr>
        <w:t xml:space="preserve"> pueda subir la información en una liga electrónica de acceso en Internet, por no contar con presupuesto, ni con el equipo electrónico adecuado para tal circunstancia, podrá omitir dicha modalidad, para la entrega de la misma.</w:t>
      </w:r>
    </w:p>
    <w:p w14:paraId="0F906F53"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p>
    <w:p w14:paraId="330B89BC"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Conforme a lo anterior, se considera que el </w:t>
      </w:r>
      <w:r w:rsidRPr="00BB7CE8">
        <w:rPr>
          <w:rFonts w:ascii="Palatino Linotype" w:eastAsia="Palatino Linotype" w:hAnsi="Palatino Linotype" w:cs="Palatino Linotype"/>
          <w:b/>
          <w:bCs/>
          <w:sz w:val="22"/>
          <w:szCs w:val="22"/>
        </w:rPr>
        <w:t>Sujeto Obligado</w:t>
      </w:r>
      <w:r w:rsidRPr="00BB7CE8">
        <w:rPr>
          <w:rFonts w:ascii="Palatino Linotype" w:eastAsia="Palatino Linotype" w:hAnsi="Palatino Linotype" w:cs="Palatino Linotype"/>
          <w:sz w:val="22"/>
          <w:szCs w:val="22"/>
        </w:rPr>
        <w:t xml:space="preserve"> deberá poner a disposición del ahora </w:t>
      </w:r>
      <w:r w:rsidRPr="00BB7CE8">
        <w:rPr>
          <w:rFonts w:ascii="Palatino Linotype" w:eastAsia="Palatino Linotype" w:hAnsi="Palatino Linotype" w:cs="Palatino Linotype"/>
          <w:b/>
          <w:bCs/>
          <w:sz w:val="22"/>
          <w:szCs w:val="22"/>
        </w:rPr>
        <w:t>Recurrente</w:t>
      </w:r>
      <w:r w:rsidRPr="00BB7CE8">
        <w:rPr>
          <w:rFonts w:ascii="Palatino Linotype" w:eastAsia="Palatino Linotype" w:hAnsi="Palatino Linotype" w:cs="Palatino Linotype"/>
          <w:sz w:val="22"/>
          <w:szCs w:val="22"/>
        </w:rPr>
        <w:t xml:space="preserve">, en todas las modalidades que permita la documentación; además, el </w:t>
      </w:r>
      <w:r w:rsidRPr="00BB7CE8">
        <w:rPr>
          <w:rFonts w:ascii="Palatino Linotype" w:eastAsia="Palatino Linotype" w:hAnsi="Palatino Linotype" w:cs="Palatino Linotype"/>
          <w:b/>
          <w:bCs/>
          <w:sz w:val="22"/>
          <w:szCs w:val="22"/>
        </w:rPr>
        <w:t>Sujeto Obligado</w:t>
      </w:r>
      <w:r w:rsidRPr="00BB7CE8">
        <w:rPr>
          <w:rFonts w:ascii="Palatino Linotype" w:eastAsia="Palatino Linotype" w:hAnsi="Palatino Linotype" w:cs="Palatino Linotype"/>
          <w:sz w:val="22"/>
          <w:szCs w:val="22"/>
        </w:rPr>
        <w:t xml:space="preserve"> deberá hacer del conocimiento al Particular que la información estará disponible, por un plazo mínimo de sesenta días naturales, a partir de la fecha en que ponga a disposición del Recurrente la información, </w:t>
      </w:r>
      <w:r w:rsidRPr="00BB7CE8">
        <w:rPr>
          <w:rFonts w:ascii="Palatino Linotype" w:eastAsia="Palatino Linotype" w:hAnsi="Palatino Linotype" w:cs="Palatino Linotype"/>
          <w:b/>
          <w:sz w:val="22"/>
          <w:szCs w:val="22"/>
        </w:rPr>
        <w:t>en términos del segundo párrafo del artículo 166 de la Ley de Transparencia y Acceso a la Información Pública del Estado de México y Municipios.</w:t>
      </w:r>
    </w:p>
    <w:p w14:paraId="5CAFCF2E"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p>
    <w:p w14:paraId="5FAC0867"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En tal tesitura, si dentro del transcurso del término señalado en el párrafo anterior, </w:t>
      </w:r>
      <w:r w:rsidRPr="00BB7CE8">
        <w:rPr>
          <w:rFonts w:ascii="Palatino Linotype" w:eastAsia="Palatino Linotype" w:hAnsi="Palatino Linotype" w:cs="Palatino Linotype"/>
          <w:bCs/>
          <w:sz w:val="22"/>
          <w:szCs w:val="22"/>
        </w:rPr>
        <w:t>la parte</w:t>
      </w:r>
      <w:r w:rsidRPr="00BB7CE8">
        <w:rPr>
          <w:rFonts w:ascii="Palatino Linotype" w:eastAsia="Palatino Linotype" w:hAnsi="Palatino Linotype" w:cs="Palatino Linotype"/>
          <w:b/>
          <w:sz w:val="22"/>
          <w:szCs w:val="22"/>
        </w:rPr>
        <w:t xml:space="preserve">  Recurrente</w:t>
      </w:r>
      <w:r w:rsidRPr="00BB7CE8">
        <w:rPr>
          <w:rFonts w:ascii="Palatino Linotype" w:eastAsia="Palatino Linotype" w:hAnsi="Palatino Linotype" w:cs="Palatino Linotype"/>
          <w:sz w:val="22"/>
          <w:szCs w:val="22"/>
        </w:rPr>
        <w:t xml:space="preserve"> acude por la información, el </w:t>
      </w:r>
      <w:r w:rsidRPr="00BB7CE8">
        <w:rPr>
          <w:rFonts w:ascii="Palatino Linotype" w:eastAsia="Palatino Linotype" w:hAnsi="Palatino Linotype" w:cs="Palatino Linotype"/>
          <w:b/>
          <w:sz w:val="22"/>
          <w:szCs w:val="22"/>
        </w:rPr>
        <w:t>Sujeto Obligado</w:t>
      </w:r>
      <w:r w:rsidRPr="00BB7CE8">
        <w:rPr>
          <w:rFonts w:ascii="Palatino Linotype" w:eastAsia="Palatino Linotype" w:hAnsi="Palatino Linotype" w:cs="Palatino Linotype"/>
          <w:sz w:val="22"/>
          <w:szCs w:val="22"/>
        </w:rPr>
        <w:t xml:space="preserve"> levantará un acta de hechos misma que debe ser remitida a este Instituto, por conducto de la </w:t>
      </w:r>
      <w:r w:rsidRPr="00BB7CE8">
        <w:rPr>
          <w:rFonts w:ascii="Palatino Linotype" w:eastAsia="Palatino Linotype" w:hAnsi="Palatino Linotype" w:cs="Palatino Linotype"/>
          <w:b/>
          <w:sz w:val="22"/>
          <w:szCs w:val="22"/>
        </w:rPr>
        <w:t>Secretaría Técnica del Pleno</w:t>
      </w:r>
      <w:r w:rsidRPr="00BB7CE8">
        <w:rPr>
          <w:rFonts w:ascii="Palatino Linotype" w:eastAsia="Palatino Linotype" w:hAnsi="Palatino Linotype" w:cs="Palatino Linotype"/>
          <w:sz w:val="22"/>
          <w:szCs w:val="22"/>
        </w:rPr>
        <w:t xml:space="preserve">, junto con el acuse de recibo de la información del Particular; sin embargo, si una vez fenecido el plazo, no acudiera por los documentos ordenados, el </w:t>
      </w:r>
      <w:r w:rsidRPr="00BB7CE8">
        <w:rPr>
          <w:rFonts w:ascii="Palatino Linotype" w:eastAsia="Palatino Linotype" w:hAnsi="Palatino Linotype" w:cs="Palatino Linotype"/>
          <w:b/>
          <w:sz w:val="22"/>
          <w:szCs w:val="22"/>
        </w:rPr>
        <w:t>Sujeto Obligado</w:t>
      </w:r>
      <w:r w:rsidRPr="00BB7CE8">
        <w:rPr>
          <w:rFonts w:ascii="Palatino Linotype" w:eastAsia="Palatino Linotype" w:hAnsi="Palatino Linotype" w:cs="Palatino Linotype"/>
          <w:sz w:val="22"/>
          <w:szCs w:val="22"/>
        </w:rPr>
        <w:t>, mediante acuerdo dará por concluida la solicitud y podrá, de ser el caso, realizar la destrucción del material en el que se reprodujo, situación que también deberá informar a este Instituto, por el mismo conducto.</w:t>
      </w:r>
    </w:p>
    <w:p w14:paraId="65CB3873" w14:textId="77777777" w:rsidR="000B431C" w:rsidRPr="00BB7CE8" w:rsidRDefault="000B431C" w:rsidP="000B431C">
      <w:pPr>
        <w:spacing w:line="360" w:lineRule="auto"/>
        <w:jc w:val="both"/>
        <w:rPr>
          <w:rFonts w:ascii="Palatino Linotype" w:eastAsia="Palatino Linotype" w:hAnsi="Palatino Linotype" w:cs="Palatino Linotype"/>
          <w:sz w:val="22"/>
          <w:szCs w:val="22"/>
        </w:rPr>
      </w:pPr>
    </w:p>
    <w:p w14:paraId="1D9B1E33" w14:textId="7AAD1433" w:rsidR="000B431C" w:rsidRPr="00BB7CE8" w:rsidRDefault="000B431C" w:rsidP="000B431C">
      <w:pPr>
        <w:spacing w:line="360" w:lineRule="auto"/>
        <w:ind w:right="49"/>
        <w:jc w:val="both"/>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sz w:val="22"/>
          <w:szCs w:val="22"/>
        </w:rPr>
        <w:t xml:space="preserve">En consecuencia, se determina que los agravios hechos valer por el Solicitante devienen parcialmente </w:t>
      </w:r>
      <w:r w:rsidRPr="00BB7CE8">
        <w:rPr>
          <w:rFonts w:ascii="Palatino Linotype" w:eastAsia="Palatino Linotype" w:hAnsi="Palatino Linotype" w:cs="Palatino Linotype"/>
          <w:bCs/>
          <w:sz w:val="22"/>
          <w:szCs w:val="22"/>
        </w:rPr>
        <w:t xml:space="preserve">fundados </w:t>
      </w:r>
      <w:r w:rsidRPr="00BB7CE8">
        <w:rPr>
          <w:rFonts w:ascii="Palatino Linotype" w:eastAsia="Palatino Linotype" w:hAnsi="Palatino Linotype" w:cs="Palatino Linotype"/>
          <w:sz w:val="22"/>
          <w:szCs w:val="22"/>
        </w:rPr>
        <w:t xml:space="preserve">y, en consecuencia, se </w:t>
      </w:r>
      <w:r w:rsidRPr="00BB7CE8">
        <w:rPr>
          <w:rFonts w:ascii="Palatino Linotype" w:eastAsia="Palatino Linotype" w:hAnsi="Palatino Linotype" w:cs="Palatino Linotype"/>
          <w:b/>
          <w:sz w:val="22"/>
          <w:szCs w:val="22"/>
        </w:rPr>
        <w:t xml:space="preserve">Modifica </w:t>
      </w:r>
      <w:r w:rsidRPr="00BB7CE8">
        <w:rPr>
          <w:rFonts w:ascii="Palatino Linotype" w:eastAsia="Palatino Linotype" w:hAnsi="Palatino Linotype" w:cs="Palatino Linotype"/>
          <w:sz w:val="22"/>
          <w:szCs w:val="22"/>
        </w:rPr>
        <w:t xml:space="preserve">la respuesta del Sujeto Obligado y, se le </w:t>
      </w:r>
      <w:r w:rsidRPr="00BB7CE8">
        <w:rPr>
          <w:rFonts w:ascii="Palatino Linotype" w:eastAsia="Palatino Linotype" w:hAnsi="Palatino Linotype" w:cs="Palatino Linotype"/>
          <w:b/>
          <w:sz w:val="22"/>
          <w:szCs w:val="22"/>
        </w:rPr>
        <w:t xml:space="preserve">ordena </w:t>
      </w:r>
      <w:r w:rsidRPr="00BB7CE8">
        <w:rPr>
          <w:rFonts w:ascii="Palatino Linotype" w:eastAsia="Palatino Linotype" w:hAnsi="Palatino Linotype" w:cs="Palatino Linotype"/>
          <w:sz w:val="22"/>
          <w:szCs w:val="22"/>
        </w:rPr>
        <w:t xml:space="preserve">a efecto de que ponga a disposición, en todas las modalidades que permita la documentación solicitada, tales como, vínculo electrónico, correo electrónico, disco compacto, dispositivo de almacenamiento, consulta directa, copias simples o certificadas, con posibilidad de entrega en la Unidad de Transparencia o a domicilio por correo certificado, previo a pago de los derechos correspondientes, en versión pública; los </w:t>
      </w:r>
      <w:r w:rsidRPr="00BB7CE8">
        <w:rPr>
          <w:rFonts w:ascii="Palatino Linotype" w:eastAsia="Palatino Linotype" w:hAnsi="Palatino Linotype" w:cs="Palatino Linotype"/>
          <w:b/>
          <w:bCs/>
          <w:sz w:val="22"/>
          <w:szCs w:val="22"/>
        </w:rPr>
        <w:t>Comprobantes de todos los pagos realizados a personas físicas y morales por la tesorería municipal de 1 de septiembre al 15 de octubre de 2025.</w:t>
      </w:r>
    </w:p>
    <w:p w14:paraId="0278AC49" w14:textId="77777777" w:rsidR="00187475" w:rsidRPr="00BB7CE8" w:rsidRDefault="00187475" w:rsidP="000B431C">
      <w:pPr>
        <w:spacing w:line="360" w:lineRule="auto"/>
        <w:ind w:right="49"/>
        <w:jc w:val="both"/>
        <w:rPr>
          <w:rFonts w:ascii="Palatino Linotype" w:eastAsia="Palatino Linotype" w:hAnsi="Palatino Linotype" w:cs="Palatino Linotype"/>
          <w:sz w:val="22"/>
          <w:szCs w:val="22"/>
        </w:rPr>
      </w:pPr>
    </w:p>
    <w:p w14:paraId="7FA4D55A" w14:textId="77777777" w:rsidR="000B431C" w:rsidRPr="00BB7CE8" w:rsidRDefault="000B431C" w:rsidP="000B431C">
      <w:pPr>
        <w:spacing w:line="360" w:lineRule="auto"/>
        <w:ind w:right="49"/>
        <w:jc w:val="both"/>
        <w:rPr>
          <w:rFonts w:ascii="Palatino Linotype" w:eastAsia="Palatino Linotype" w:hAnsi="Palatino Linotype" w:cs="Palatino Linotype"/>
          <w:iCs/>
          <w:sz w:val="22"/>
          <w:szCs w:val="22"/>
        </w:rPr>
      </w:pPr>
      <w:r w:rsidRPr="00BB7CE8">
        <w:rPr>
          <w:rFonts w:ascii="Palatino Linotype" w:eastAsia="Palatino Linotype" w:hAnsi="Palatino Linotype" w:cs="Palatino Linotype"/>
          <w:iCs/>
          <w:sz w:val="22"/>
          <w:szCs w:val="22"/>
        </w:rPr>
        <w:t>De ser el caso, deberá emitir el Acuerdo del Comité de Transparencia en términos de la Ley de Transparencia y Acceso a la Información Pública del Estado de México y Municipios, en el que funde y motive las razones sobre los datos que se supriman o eliminen y se ponga a disposición de la parte Recurrente.</w:t>
      </w:r>
    </w:p>
    <w:p w14:paraId="7199D700" w14:textId="77777777" w:rsidR="000B431C" w:rsidRPr="00BB7CE8" w:rsidRDefault="000B431C" w:rsidP="000B431C">
      <w:pPr>
        <w:spacing w:line="360" w:lineRule="auto"/>
        <w:ind w:right="49"/>
        <w:jc w:val="both"/>
        <w:rPr>
          <w:rFonts w:ascii="Palatino Linotype" w:eastAsia="Palatino Linotype" w:hAnsi="Palatino Linotype" w:cs="Palatino Linotype"/>
          <w:iCs/>
          <w:sz w:val="22"/>
          <w:szCs w:val="22"/>
        </w:rPr>
      </w:pPr>
    </w:p>
    <w:p w14:paraId="35DA1E33" w14:textId="77777777" w:rsidR="000B431C" w:rsidRPr="00BB7CE8" w:rsidRDefault="000B431C" w:rsidP="000B431C">
      <w:pPr>
        <w:spacing w:line="360" w:lineRule="auto"/>
        <w:ind w:right="49"/>
        <w:jc w:val="both"/>
        <w:rPr>
          <w:rFonts w:ascii="Palatino Linotype" w:eastAsia="Palatino Linotype" w:hAnsi="Palatino Linotype" w:cs="Palatino Linotype"/>
          <w:iCs/>
          <w:sz w:val="22"/>
          <w:szCs w:val="22"/>
        </w:rPr>
      </w:pPr>
      <w:r w:rsidRPr="00BB7CE8">
        <w:rPr>
          <w:rFonts w:ascii="Palatino Linotype" w:eastAsia="Palatino Linotype" w:hAnsi="Palatino Linotype" w:cs="Palatino Linotype"/>
          <w:iCs/>
          <w:sz w:val="22"/>
          <w:szCs w:val="22"/>
        </w:rPr>
        <w:t>Para tal situación, a través del Sistema de Acceso a la Información Mexiquense (SAIMEX), deberá indicar el procedimiento que tendrá que seguir el Particular, para acceder a la documentación, es decir, los pasos para realizar el pago de derechos, en caso de proceder, y la manera de obtener la información como domicilio de la Unidad de Transparencia, días y horarios de atención en términos del artículo 166 de la Ley de Transparencia y Acceso a la Información Pública del Estado de México y Municipios, así como el nombre del servidor público que le atenderá. Además, deberá señalarle que en caso de que la parte</w:t>
      </w:r>
      <w:r w:rsidRPr="00BB7CE8">
        <w:rPr>
          <w:rFonts w:ascii="Palatino Linotype" w:eastAsia="Palatino Linotype" w:hAnsi="Palatino Linotype" w:cs="Palatino Linotype"/>
          <w:b/>
          <w:iCs/>
          <w:sz w:val="22"/>
          <w:szCs w:val="22"/>
        </w:rPr>
        <w:t xml:space="preserve"> Recurrente</w:t>
      </w:r>
      <w:r w:rsidRPr="00BB7CE8">
        <w:rPr>
          <w:rFonts w:ascii="Palatino Linotype" w:eastAsia="Palatino Linotype" w:hAnsi="Palatino Linotype" w:cs="Palatino Linotype"/>
          <w:iCs/>
          <w:sz w:val="22"/>
          <w:szCs w:val="22"/>
        </w:rPr>
        <w:t xml:space="preserve"> proporcione el dispositivo electrónico y acuda por la información a la Unidad de Transparencia, la entrega de la información, será sin costo.</w:t>
      </w:r>
    </w:p>
    <w:p w14:paraId="55B05539" w14:textId="77777777" w:rsidR="00A40B65" w:rsidRPr="00BB7CE8" w:rsidRDefault="00A40B65">
      <w:pPr>
        <w:spacing w:line="360" w:lineRule="auto"/>
        <w:jc w:val="both"/>
        <w:rPr>
          <w:rFonts w:ascii="Palatino Linotype" w:eastAsia="Palatino Linotype" w:hAnsi="Palatino Linotype" w:cs="Palatino Linotype"/>
          <w:b/>
          <w:bCs/>
          <w:sz w:val="22"/>
          <w:szCs w:val="22"/>
        </w:rPr>
      </w:pPr>
    </w:p>
    <w:p w14:paraId="68C2441F"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bCs/>
          <w:sz w:val="22"/>
          <w:szCs w:val="22"/>
        </w:rPr>
        <w:t xml:space="preserve">Quinto. Versión Pública. </w:t>
      </w:r>
      <w:r w:rsidRPr="00BB7CE8">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7FBC3FFC"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73EFA7DF"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w:t>
      </w:r>
    </w:p>
    <w:p w14:paraId="4C08037B"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6A7A6E0E" w14:textId="77777777" w:rsidR="00A40B65" w:rsidRPr="00BB7CE8" w:rsidRDefault="00E5237A">
      <w:pPr>
        <w:spacing w:line="360" w:lineRule="auto"/>
        <w:ind w:right="50"/>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Lo anterior, de conformidad con lo que señalan los artículos 3 fracciones IX, XX, XXI y XLV, 91, 132 fracciones II y III, y 143 de la Ley de Transparencia y Acceso a la Información Pública del Estado de México y Municipios que establecen:</w:t>
      </w:r>
    </w:p>
    <w:p w14:paraId="75DD1042" w14:textId="77777777" w:rsidR="00A40B65" w:rsidRPr="00BB7CE8" w:rsidRDefault="00A40B65">
      <w:pPr>
        <w:spacing w:line="360" w:lineRule="auto"/>
        <w:ind w:right="50"/>
        <w:jc w:val="both"/>
        <w:rPr>
          <w:rFonts w:ascii="Palatino Linotype" w:eastAsia="Palatino Linotype" w:hAnsi="Palatino Linotype" w:cs="Palatino Linotype"/>
          <w:sz w:val="22"/>
          <w:szCs w:val="22"/>
        </w:rPr>
      </w:pPr>
    </w:p>
    <w:p w14:paraId="3CC5B9E0"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r w:rsidRPr="00BB7CE8">
        <w:rPr>
          <w:rFonts w:ascii="Palatino Linotype" w:eastAsia="Palatino Linotype" w:hAnsi="Palatino Linotype" w:cs="Palatino Linotype"/>
          <w:b/>
          <w:bCs/>
          <w:i/>
          <w:iCs/>
          <w:sz w:val="22"/>
          <w:szCs w:val="22"/>
        </w:rPr>
        <w:t>Artículo 3.</w:t>
      </w:r>
      <w:r w:rsidRPr="00BB7CE8">
        <w:rPr>
          <w:rFonts w:ascii="Palatino Linotype" w:eastAsia="Palatino Linotype" w:hAnsi="Palatino Linotype" w:cs="Palatino Linotype"/>
          <w:i/>
          <w:iCs/>
          <w:sz w:val="22"/>
          <w:szCs w:val="22"/>
        </w:rPr>
        <w:t xml:space="preserve"> Para los efectos de la presente Ley se entenderá por:</w:t>
      </w:r>
    </w:p>
    <w:p w14:paraId="087890A2"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p>
    <w:p w14:paraId="14514A8E"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IX. Datos personales: La información concerniente a una persona, identificada o identificable según lo dispuesto por la Ley de Protección de Datos Personales del Estado de México; </w:t>
      </w:r>
    </w:p>
    <w:p w14:paraId="0DA5E9CE"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XX. Información clasificada: Aquella considerada por la presente Ley como reservada o confidencial;</w:t>
      </w:r>
    </w:p>
    <w:p w14:paraId="31072A80"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AF63FD9"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XLV. Versión pública: Documento en el que se elimine, suprime o borra la información clasificada como reservada o confidencial para permitir su acceso.</w:t>
      </w:r>
    </w:p>
    <w:p w14:paraId="53FC4F62"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p>
    <w:p w14:paraId="117E3D7E"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Artículo 91.</w:t>
      </w:r>
      <w:r w:rsidRPr="00BB7CE8">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p>
    <w:p w14:paraId="3309CAEA"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Artículo 132.</w:t>
      </w:r>
      <w:r w:rsidRPr="00BB7CE8">
        <w:rPr>
          <w:rFonts w:ascii="Palatino Linotype" w:eastAsia="Palatino Linotype" w:hAnsi="Palatino Linotype" w:cs="Palatino Linotype"/>
          <w:i/>
          <w:iCs/>
          <w:sz w:val="22"/>
          <w:szCs w:val="22"/>
        </w:rPr>
        <w:t xml:space="preserve"> La clasificación de la información se llevará a cabo en el momento en que:</w:t>
      </w:r>
    </w:p>
    <w:p w14:paraId="19BA3912" w14:textId="77777777" w:rsidR="00A40B65" w:rsidRPr="00BB7CE8" w:rsidRDefault="00E5237A">
      <w:pPr>
        <w:tabs>
          <w:tab w:val="left" w:pos="1134"/>
        </w:tabs>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 Se reciba una solicitud de acceso a la información;</w:t>
      </w:r>
    </w:p>
    <w:p w14:paraId="182C14A6" w14:textId="77777777" w:rsidR="00A40B65" w:rsidRPr="00BB7CE8" w:rsidRDefault="00E5237A">
      <w:pPr>
        <w:tabs>
          <w:tab w:val="left" w:pos="1134"/>
        </w:tabs>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II. Se determine mediante resolución de autoridad competente; o</w:t>
      </w:r>
    </w:p>
    <w:p w14:paraId="6E20E51D" w14:textId="77777777" w:rsidR="00A40B65" w:rsidRPr="00BB7CE8" w:rsidRDefault="00E5237A">
      <w:pPr>
        <w:tabs>
          <w:tab w:val="left" w:pos="1134"/>
        </w:tabs>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III. Se generen versiones públicas para dar cumplimiento a las obligaciones de transparencia previstas en esta Ley.</w:t>
      </w:r>
    </w:p>
    <w:p w14:paraId="7F028E4E"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p>
    <w:p w14:paraId="201A4172"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Artículo 143</w:t>
      </w:r>
      <w:r w:rsidRPr="00BB7CE8">
        <w:rPr>
          <w:rFonts w:ascii="Palatino Linotype" w:eastAsia="Palatino Linotype" w:hAnsi="Palatino Linotype" w:cs="Palatino Linotype"/>
          <w:i/>
          <w:iCs/>
          <w:sz w:val="22"/>
          <w:szCs w:val="22"/>
        </w:rPr>
        <w:t>. Para los efectos de esta Ley se considera información confidencial, la clasificada como tal, de manera permanente, por su naturaleza, cuando:</w:t>
      </w:r>
    </w:p>
    <w:p w14:paraId="2A4D76AD"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 Se refiera a la información privada y los datos personales concernientes a una persona física o jurídico colectiva identificada o identificable;</w:t>
      </w:r>
    </w:p>
    <w:p w14:paraId="78CE9087"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278B8866"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III. La que presenten los particulares a los sujetos obligados, de conformidad con lo dispuesto por las leyes o los tratados internacionales.</w:t>
      </w:r>
    </w:p>
    <w:p w14:paraId="2EFC868D"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28C28C5E"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4A8FAE04" w14:textId="77777777" w:rsidR="00A40B65" w:rsidRPr="00BB7CE8" w:rsidRDefault="00A40B65">
      <w:pPr>
        <w:spacing w:line="360" w:lineRule="auto"/>
        <w:ind w:left="567" w:right="616"/>
        <w:jc w:val="both"/>
        <w:rPr>
          <w:rFonts w:ascii="Palatino Linotype" w:eastAsia="Palatino Linotype" w:hAnsi="Palatino Linotype" w:cs="Palatino Linotype"/>
          <w:i/>
          <w:iCs/>
          <w:sz w:val="22"/>
          <w:szCs w:val="22"/>
        </w:rPr>
      </w:pPr>
    </w:p>
    <w:p w14:paraId="0513AE51"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F130B40" w14:textId="77777777" w:rsidR="00A40B65" w:rsidRPr="00BB7CE8" w:rsidRDefault="00A40B65">
      <w:pPr>
        <w:jc w:val="both"/>
        <w:rPr>
          <w:rFonts w:ascii="Palatino Linotype" w:eastAsia="Palatino Linotype" w:hAnsi="Palatino Linotype" w:cs="Palatino Linotype"/>
          <w:sz w:val="22"/>
          <w:szCs w:val="22"/>
        </w:rPr>
      </w:pPr>
    </w:p>
    <w:p w14:paraId="78A38E6F"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señalan las formalidades que deberá llevar el acuerdo de clasificación que deberá emitir el Sujeto Obligado, siendo estas las siguientes:</w:t>
      </w:r>
    </w:p>
    <w:p w14:paraId="359C1FA7"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41770FBA"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 “</w:t>
      </w:r>
      <w:r w:rsidRPr="00BB7CE8">
        <w:rPr>
          <w:rFonts w:ascii="Palatino Linotype" w:eastAsia="Palatino Linotype" w:hAnsi="Palatino Linotype" w:cs="Palatino Linotype"/>
          <w:b/>
          <w:bCs/>
          <w:i/>
          <w:iCs/>
          <w:sz w:val="22"/>
          <w:szCs w:val="22"/>
        </w:rPr>
        <w:t>Quincuagésimo</w:t>
      </w:r>
      <w:r w:rsidRPr="00BB7CE8">
        <w:rPr>
          <w:rFonts w:ascii="Palatino Linotype" w:eastAsia="Palatino Linotype" w:hAnsi="Palatino Linotype" w:cs="Palatino Linotype"/>
          <w:i/>
          <w:iCs/>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FA3260B"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Quincuagésimo primero.</w:t>
      </w:r>
      <w:r w:rsidRPr="00BB7CE8">
        <w:rPr>
          <w:rFonts w:ascii="Palatino Linotype" w:eastAsia="Palatino Linotype" w:hAnsi="Palatino Linotype" w:cs="Palatino Linotype"/>
          <w:i/>
          <w:iCs/>
          <w:sz w:val="22"/>
          <w:szCs w:val="22"/>
        </w:rPr>
        <w:t xml:space="preserve"> Toda acta del Comité de Transparencia deberá contener: </w:t>
      </w:r>
    </w:p>
    <w:p w14:paraId="00F734D0"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I. El número de sesión y fecha; </w:t>
      </w:r>
    </w:p>
    <w:p w14:paraId="26B1C79C"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II. El nombre del área que solicitó la clasificación de información; </w:t>
      </w:r>
    </w:p>
    <w:p w14:paraId="0D43806C"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III. La fundamentación legal y motivación correspondiente; </w:t>
      </w:r>
    </w:p>
    <w:p w14:paraId="71A2588E"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IV. La resolución o resoluciones aprobadas; y </w:t>
      </w:r>
    </w:p>
    <w:p w14:paraId="7C2C334F"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V. La rúbrica o firma digital de cada integrante del Comité de Transparencia. </w:t>
      </w:r>
    </w:p>
    <w:p w14:paraId="46B95F8D"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509375D2"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 Los motivos y razonamientos que sustenten la confirmación o modificación de la prueba de daño;</w:t>
      </w:r>
    </w:p>
    <w:p w14:paraId="441BCBB6"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II. Descripción de las partes o secciones reservadas, en caso de clasificación parcial; </w:t>
      </w:r>
    </w:p>
    <w:p w14:paraId="7962D776"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III. El periodo por el que mantendrá su clasificación y fecha de expiración; y </w:t>
      </w:r>
    </w:p>
    <w:p w14:paraId="5FF0BB9B"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IV. El nombre del titular y área encargada de realizar la versión pública del documento, en su caso. </w:t>
      </w:r>
    </w:p>
    <w:p w14:paraId="315A1F2C"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696AAA1B"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3C0CC6D1"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Quincuagésimo segundo.</w:t>
      </w:r>
      <w:r w:rsidRPr="00BB7CE8">
        <w:rPr>
          <w:rFonts w:ascii="Palatino Linotype" w:eastAsia="Palatino Linotype" w:hAnsi="Palatino Linotype" w:cs="Palatino Linotype"/>
          <w:i/>
          <w:iCs/>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w:t>
      </w:r>
      <w:proofErr w:type="spellStart"/>
      <w:r w:rsidRPr="00BB7CE8">
        <w:rPr>
          <w:rFonts w:ascii="Palatino Linotype" w:eastAsia="Palatino Linotype" w:hAnsi="Palatino Linotype" w:cs="Palatino Linotype"/>
          <w:i/>
          <w:iCs/>
          <w:sz w:val="22"/>
          <w:szCs w:val="22"/>
        </w:rPr>
        <w:t>sobreposición</w:t>
      </w:r>
      <w:proofErr w:type="spellEnd"/>
      <w:r w:rsidRPr="00BB7CE8">
        <w:rPr>
          <w:rFonts w:ascii="Palatino Linotype" w:eastAsia="Palatino Linotype" w:hAnsi="Palatino Linotype" w:cs="Palatino Linotype"/>
          <w:i/>
          <w:iCs/>
          <w:sz w:val="22"/>
          <w:szCs w:val="22"/>
        </w:rPr>
        <w:t xml:space="preserve"> de contenido distinto al autorizado por el Comité.</w:t>
      </w:r>
    </w:p>
    <w:p w14:paraId="5134272D"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58CFCEB9"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 Fijar la fecha en que se elaboró la versión pública y la fecha en la cual el Comité de Transparencia confirmó dicha versión;</w:t>
      </w:r>
    </w:p>
    <w:p w14:paraId="373A8632"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II. Señalar dentro del documento el tipo de información confidencial que fue testada en cada caso específico, de conformidad con el lineamiento trigésimo octavo; y</w:t>
      </w:r>
    </w:p>
    <w:p w14:paraId="5B3AF0B9"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III. Señalar las personas o instancias autorizadas a acceder a la información clasificada.</w:t>
      </w:r>
    </w:p>
    <w:p w14:paraId="7F31CAC3"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343C87B6"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112F281D"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De igual forma, deberá observar los Lineamientos Quincuagésimo cuarto, Quincuagésimo quinto, Quincuagésimo séptimo y Quincuagésimo octavo, establecen lo siguiente:</w:t>
      </w:r>
    </w:p>
    <w:p w14:paraId="59228F97"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1DEB7065" w14:textId="77777777" w:rsidR="00A40B65" w:rsidRPr="00BB7CE8" w:rsidRDefault="00E5237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r w:rsidRPr="00BB7CE8">
        <w:rPr>
          <w:rFonts w:ascii="Palatino Linotype" w:eastAsia="Palatino Linotype" w:hAnsi="Palatino Linotype" w:cs="Palatino Linotype"/>
          <w:b/>
          <w:bCs/>
          <w:i/>
          <w:iCs/>
          <w:sz w:val="22"/>
          <w:szCs w:val="22"/>
        </w:rPr>
        <w:t>Quincuagésimo cuarto.</w:t>
      </w:r>
      <w:r w:rsidRPr="00BB7CE8">
        <w:rPr>
          <w:rFonts w:ascii="Palatino Linotype" w:eastAsia="Palatino Linotype" w:hAnsi="Palatino Linotype" w:cs="Palatino Linotype"/>
          <w:i/>
          <w:iCs/>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6C4392AE"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Quincuagésimo quinto.</w:t>
      </w:r>
      <w:r w:rsidRPr="00BB7CE8">
        <w:rPr>
          <w:rFonts w:ascii="Palatino Linotype" w:eastAsia="Palatino Linotype" w:hAnsi="Palatino Linotype" w:cs="Palatino Linotype"/>
          <w:i/>
          <w:iCs/>
          <w:sz w:val="22"/>
          <w:szCs w:val="22"/>
        </w:rPr>
        <w:t xml:space="preserve"> Cada área del sujeto obligado podrá designar formalmente a una o más personas como responsables del </w:t>
      </w:r>
      <w:proofErr w:type="spellStart"/>
      <w:r w:rsidRPr="00BB7CE8">
        <w:rPr>
          <w:rFonts w:ascii="Palatino Linotype" w:eastAsia="Palatino Linotype" w:hAnsi="Palatino Linotype" w:cs="Palatino Linotype"/>
          <w:i/>
          <w:iCs/>
          <w:sz w:val="22"/>
          <w:szCs w:val="22"/>
        </w:rPr>
        <w:t>testado</w:t>
      </w:r>
      <w:proofErr w:type="spellEnd"/>
      <w:r w:rsidRPr="00BB7CE8">
        <w:rPr>
          <w:rFonts w:ascii="Palatino Linotype" w:eastAsia="Palatino Linotype" w:hAnsi="Palatino Linotype" w:cs="Palatino Linotype"/>
          <w:i/>
          <w:iCs/>
          <w:sz w:val="22"/>
          <w:szCs w:val="22"/>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75EFBB1"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w:t>
      </w:r>
    </w:p>
    <w:p w14:paraId="11EAB774"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b/>
          <w:bCs/>
          <w:i/>
          <w:iCs/>
          <w:sz w:val="22"/>
          <w:szCs w:val="22"/>
        </w:rPr>
        <w:t>Quincuagésimo séptimo.</w:t>
      </w:r>
      <w:r w:rsidRPr="00BB7CE8">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748CA43F"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I. La relativa a las Obligaciones de Transparencia que contempla el Título V de la Ley General y las demás disposiciones legales aplicables; </w:t>
      </w:r>
    </w:p>
    <w:p w14:paraId="5285ED30"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II. El nombre de los integrantes de los sujetos obligados en los documentos, y sus firmas autógrafas o digitales, cuando sean utilizados en el ejercicio de las facultades conferidas para el desempeño del servicio público, y</w:t>
      </w:r>
    </w:p>
    <w:p w14:paraId="76E91E47"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83B93CF"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50A25C5E" w14:textId="77777777" w:rsidR="00A40B65" w:rsidRPr="00BB7CE8" w:rsidRDefault="00E5237A">
      <w:pPr>
        <w:ind w:left="567" w:right="616"/>
        <w:jc w:val="both"/>
        <w:rPr>
          <w:rFonts w:ascii="Palatino Linotype" w:eastAsia="Palatino Linotype" w:hAnsi="Palatino Linotype" w:cs="Palatino Linotype"/>
          <w:i/>
          <w:iCs/>
          <w:sz w:val="22"/>
          <w:szCs w:val="22"/>
        </w:rPr>
      </w:pPr>
      <w:r w:rsidRPr="00BB7CE8">
        <w:rPr>
          <w:rFonts w:ascii="Palatino Linotype" w:eastAsia="Palatino Linotype" w:hAnsi="Palatino Linotype" w:cs="Palatino Linotype"/>
          <w:i/>
          <w:iCs/>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14:paraId="7FBE58C3"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44603025" w14:textId="77777777"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3923C64C"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2C7B16B2" w14:textId="4684D198"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Es así como, en mérito de lo expuesto en líneas anteriores, resultan fundadas las razones o motivos de inconformidad hechos valer por la parte </w:t>
      </w:r>
      <w:r w:rsidRPr="00BB7CE8">
        <w:rPr>
          <w:rFonts w:ascii="Palatino Linotype" w:eastAsia="Palatino Linotype" w:hAnsi="Palatino Linotype" w:cs="Palatino Linotype"/>
          <w:b/>
          <w:bCs/>
          <w:sz w:val="22"/>
          <w:szCs w:val="22"/>
        </w:rPr>
        <w:t>RECURRENTE</w:t>
      </w:r>
      <w:r w:rsidRPr="00BB7CE8">
        <w:rPr>
          <w:rFonts w:ascii="Palatino Linotype" w:eastAsia="Palatino Linotype" w:hAnsi="Palatino Linotype" w:cs="Palatino Linotype"/>
          <w:sz w:val="22"/>
          <w:szCs w:val="22"/>
        </w:rPr>
        <w:t xml:space="preserve"> dentro del recurso de revisión </w:t>
      </w:r>
      <w:r w:rsidR="00047831" w:rsidRPr="00BB7CE8">
        <w:rPr>
          <w:rFonts w:ascii="Palatino Linotype" w:eastAsia="Palatino Linotype" w:hAnsi="Palatino Linotype" w:cs="Palatino Linotype"/>
          <w:b/>
          <w:bCs/>
          <w:sz w:val="22"/>
          <w:szCs w:val="22"/>
        </w:rPr>
        <w:t>12289/INFOEM/IP/RR/2025</w:t>
      </w:r>
      <w:r w:rsidRPr="00BB7CE8">
        <w:rPr>
          <w:rFonts w:ascii="Palatino Linotype" w:eastAsia="Palatino Linotype" w:hAnsi="Palatino Linotype" w:cs="Palatino Linotype"/>
          <w:sz w:val="22"/>
          <w:szCs w:val="22"/>
        </w:rPr>
        <w:t xml:space="preserve">; por ello, y con fundamento en la fracción III del numeral 186 de la Ley de Transparencia y Acceso a la Información Pública del Estado de México y Municipios, por lo que se </w:t>
      </w:r>
      <w:r w:rsidR="000B431C" w:rsidRPr="00BB7CE8">
        <w:rPr>
          <w:rFonts w:ascii="Palatino Linotype" w:eastAsia="Palatino Linotype" w:hAnsi="Palatino Linotype" w:cs="Palatino Linotype"/>
          <w:b/>
          <w:sz w:val="22"/>
          <w:szCs w:val="22"/>
        </w:rPr>
        <w:t>MODIFICA</w:t>
      </w:r>
      <w:r w:rsidRPr="00BB7CE8">
        <w:rPr>
          <w:rFonts w:ascii="Palatino Linotype" w:eastAsia="Palatino Linotype" w:hAnsi="Palatino Linotype" w:cs="Palatino Linotype"/>
          <w:b/>
          <w:bCs/>
          <w:sz w:val="22"/>
          <w:szCs w:val="22"/>
        </w:rPr>
        <w:t xml:space="preserve"> </w:t>
      </w:r>
      <w:proofErr w:type="gramStart"/>
      <w:r w:rsidRPr="00BB7CE8">
        <w:rPr>
          <w:rFonts w:ascii="Palatino Linotype" w:eastAsia="Palatino Linotype" w:hAnsi="Palatino Linotype" w:cs="Palatino Linotype"/>
          <w:sz w:val="22"/>
          <w:szCs w:val="22"/>
        </w:rPr>
        <w:t>las respuesta</w:t>
      </w:r>
      <w:proofErr w:type="gramEnd"/>
      <w:r w:rsidRPr="00BB7CE8">
        <w:rPr>
          <w:rFonts w:ascii="Palatino Linotype" w:eastAsia="Palatino Linotype" w:hAnsi="Palatino Linotype" w:cs="Palatino Linotype"/>
          <w:sz w:val="22"/>
          <w:szCs w:val="22"/>
        </w:rPr>
        <w:t xml:space="preserve"> del </w:t>
      </w:r>
      <w:r w:rsidRPr="00BB7CE8">
        <w:rPr>
          <w:rFonts w:ascii="Palatino Linotype" w:eastAsia="Palatino Linotype" w:hAnsi="Palatino Linotype" w:cs="Palatino Linotype"/>
          <w:b/>
          <w:bCs/>
          <w:sz w:val="22"/>
          <w:szCs w:val="22"/>
        </w:rPr>
        <w:t xml:space="preserve">SUJETO OBLIGADO </w:t>
      </w:r>
      <w:r w:rsidRPr="00BB7CE8">
        <w:rPr>
          <w:rFonts w:ascii="Palatino Linotype" w:eastAsia="Palatino Linotype" w:hAnsi="Palatino Linotype" w:cs="Palatino Linotype"/>
          <w:sz w:val="22"/>
          <w:szCs w:val="22"/>
        </w:rPr>
        <w:t xml:space="preserve">a la solicitud de información </w:t>
      </w:r>
      <w:r w:rsidR="00047831" w:rsidRPr="00BB7CE8">
        <w:rPr>
          <w:rFonts w:ascii="Palatino Linotype" w:eastAsia="Palatino Linotype" w:hAnsi="Palatino Linotype" w:cs="Palatino Linotype"/>
          <w:b/>
          <w:bCs/>
          <w:sz w:val="22"/>
          <w:szCs w:val="22"/>
        </w:rPr>
        <w:t>01484/CUAUTIZC/IP/2025</w:t>
      </w:r>
      <w:r w:rsidRPr="00BB7CE8">
        <w:rPr>
          <w:rFonts w:ascii="Palatino Linotype" w:eastAsia="Palatino Linotype" w:hAnsi="Palatino Linotype" w:cs="Palatino Linotype"/>
          <w:b/>
          <w:bCs/>
          <w:sz w:val="22"/>
          <w:szCs w:val="22"/>
        </w:rPr>
        <w:t>.</w:t>
      </w:r>
      <w:r w:rsidRPr="00BB7CE8">
        <w:rPr>
          <w:rFonts w:ascii="Palatino Linotype" w:eastAsia="Palatino Linotype" w:hAnsi="Palatino Linotype" w:cs="Palatino Linotype"/>
          <w:sz w:val="22"/>
          <w:szCs w:val="22"/>
        </w:rPr>
        <w:t xml:space="preserve">  </w:t>
      </w:r>
    </w:p>
    <w:p w14:paraId="09227047"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0939FD75" w14:textId="77777777" w:rsidR="00A40B65" w:rsidRPr="00BB7CE8" w:rsidRDefault="00E5237A">
      <w:pPr>
        <w:spacing w:line="360" w:lineRule="auto"/>
        <w:ind w:right="49"/>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Así, con fundamento en lo prescrito en los artículos 5 párrafos trigésimo noveno, cuadragésimo y cuadragésimo primero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de Transparencia y Acceso a la Información Pública del Estado de México y Municipios, este Pleno:</w:t>
      </w:r>
    </w:p>
    <w:p w14:paraId="10BD24AF"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4335035F" w14:textId="77777777" w:rsidR="00A40B65" w:rsidRPr="00BB7CE8" w:rsidRDefault="00E5237A">
      <w:pPr>
        <w:spacing w:line="360" w:lineRule="auto"/>
        <w:ind w:right="49"/>
        <w:jc w:val="center"/>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b/>
          <w:bCs/>
          <w:sz w:val="22"/>
          <w:szCs w:val="22"/>
        </w:rPr>
        <w:t>III.</w:t>
      </w:r>
      <w:r w:rsidRPr="00BB7CE8">
        <w:rPr>
          <w:rFonts w:ascii="Palatino Linotype" w:eastAsia="Palatino Linotype" w:hAnsi="Palatino Linotype" w:cs="Palatino Linotype"/>
          <w:b/>
          <w:bCs/>
          <w:sz w:val="22"/>
          <w:szCs w:val="22"/>
        </w:rPr>
        <w:tab/>
        <w:t>R E S U E L V E:</w:t>
      </w:r>
    </w:p>
    <w:p w14:paraId="1B5A4C5B" w14:textId="7D148155" w:rsidR="00CF02CD" w:rsidRPr="00BB7CE8" w:rsidRDefault="00CF02CD" w:rsidP="00CF02CD">
      <w:pPr>
        <w:spacing w:before="240" w:after="240" w:line="360" w:lineRule="auto"/>
        <w:jc w:val="both"/>
        <w:rPr>
          <w:rFonts w:ascii="Palatino Linotype" w:eastAsia="Palatino Linotype" w:hAnsi="Palatino Linotype" w:cs="Palatino Linotype"/>
          <w:b/>
          <w:sz w:val="22"/>
          <w:szCs w:val="22"/>
        </w:rPr>
      </w:pPr>
      <w:r w:rsidRPr="00BB7CE8">
        <w:rPr>
          <w:rFonts w:ascii="Palatino Linotype" w:eastAsia="Palatino Linotype" w:hAnsi="Palatino Linotype" w:cs="Palatino Linotype"/>
          <w:b/>
          <w:sz w:val="22"/>
          <w:szCs w:val="22"/>
        </w:rPr>
        <w:t xml:space="preserve">Primero. </w:t>
      </w:r>
      <w:r w:rsidRPr="00BB7CE8">
        <w:rPr>
          <w:rFonts w:ascii="Palatino Linotype" w:eastAsia="Palatino Linotype" w:hAnsi="Palatino Linotype" w:cs="Palatino Linotype"/>
          <w:sz w:val="22"/>
          <w:szCs w:val="22"/>
        </w:rPr>
        <w:t>Resultan</w:t>
      </w:r>
      <w:r w:rsidRPr="00BB7CE8">
        <w:rPr>
          <w:rFonts w:ascii="Palatino Linotype" w:eastAsia="Palatino Linotype" w:hAnsi="Palatino Linotype" w:cs="Palatino Linotype"/>
          <w:b/>
          <w:sz w:val="22"/>
          <w:szCs w:val="22"/>
        </w:rPr>
        <w:t xml:space="preserve"> fundados </w:t>
      </w:r>
      <w:r w:rsidRPr="00BB7CE8">
        <w:rPr>
          <w:rFonts w:ascii="Palatino Linotype" w:eastAsia="Palatino Linotype" w:hAnsi="Palatino Linotype" w:cs="Palatino Linotype"/>
          <w:sz w:val="22"/>
          <w:szCs w:val="22"/>
        </w:rPr>
        <w:t xml:space="preserve">los motivos de inconformidad hechos valer por </w:t>
      </w:r>
      <w:r w:rsidRPr="00BB7CE8">
        <w:rPr>
          <w:rFonts w:ascii="Palatino Linotype" w:eastAsia="Palatino Linotype" w:hAnsi="Palatino Linotype" w:cs="Palatino Linotype"/>
          <w:b/>
          <w:sz w:val="22"/>
          <w:szCs w:val="22"/>
        </w:rPr>
        <w:t>la parte Recurrente</w:t>
      </w:r>
      <w:r w:rsidRPr="00BB7CE8">
        <w:rPr>
          <w:rFonts w:ascii="Palatino Linotype" w:eastAsia="Palatino Linotype" w:hAnsi="Palatino Linotype" w:cs="Palatino Linotype"/>
          <w:sz w:val="22"/>
          <w:szCs w:val="22"/>
        </w:rPr>
        <w:t xml:space="preserve"> en el Recurso de Revisión</w:t>
      </w:r>
      <w:r w:rsidRPr="00BB7CE8">
        <w:rPr>
          <w:rFonts w:ascii="Palatino Linotype" w:eastAsia="Palatino Linotype" w:hAnsi="Palatino Linotype" w:cs="Palatino Linotype"/>
          <w:b/>
          <w:sz w:val="22"/>
          <w:szCs w:val="22"/>
        </w:rPr>
        <w:t xml:space="preserve"> 12289/INFOEM/IP/RR/2025, </w:t>
      </w:r>
      <w:r w:rsidRPr="00BB7CE8">
        <w:rPr>
          <w:rFonts w:ascii="Palatino Linotype" w:eastAsia="Palatino Linotype" w:hAnsi="Palatino Linotype" w:cs="Palatino Linotype"/>
          <w:sz w:val="22"/>
          <w:szCs w:val="22"/>
        </w:rPr>
        <w:t>por lo que</w:t>
      </w:r>
      <w:r w:rsidRPr="00BB7CE8">
        <w:rPr>
          <w:rFonts w:ascii="Palatino Linotype" w:eastAsia="Palatino Linotype" w:hAnsi="Palatino Linotype" w:cs="Palatino Linotype"/>
          <w:b/>
          <w:sz w:val="22"/>
          <w:szCs w:val="22"/>
        </w:rPr>
        <w:t xml:space="preserve">, en términos del Considerando Cuarto </w:t>
      </w:r>
      <w:r w:rsidRPr="00BB7CE8">
        <w:rPr>
          <w:rFonts w:ascii="Palatino Linotype" w:eastAsia="Palatino Linotype" w:hAnsi="Palatino Linotype" w:cs="Palatino Linotype"/>
          <w:sz w:val="22"/>
          <w:szCs w:val="22"/>
        </w:rPr>
        <w:t>de la presente resolución</w:t>
      </w:r>
      <w:r w:rsidRPr="00BB7CE8">
        <w:rPr>
          <w:rFonts w:ascii="Palatino Linotype" w:eastAsia="Palatino Linotype" w:hAnsi="Palatino Linotype" w:cs="Palatino Linotype"/>
          <w:b/>
          <w:sz w:val="22"/>
          <w:szCs w:val="22"/>
        </w:rPr>
        <w:t xml:space="preserve">, se </w:t>
      </w:r>
      <w:r w:rsidR="000B431C" w:rsidRPr="00BB7CE8">
        <w:rPr>
          <w:rFonts w:ascii="Palatino Linotype" w:eastAsia="Palatino Linotype" w:hAnsi="Palatino Linotype" w:cs="Palatino Linotype"/>
          <w:b/>
          <w:sz w:val="22"/>
          <w:szCs w:val="22"/>
        </w:rPr>
        <w:t>MODIFICA</w:t>
      </w:r>
      <w:r w:rsidRPr="00BB7CE8">
        <w:rPr>
          <w:rFonts w:ascii="Palatino Linotype" w:eastAsia="Palatino Linotype" w:hAnsi="Palatino Linotype" w:cs="Palatino Linotype"/>
          <w:b/>
          <w:sz w:val="22"/>
          <w:szCs w:val="22"/>
        </w:rPr>
        <w:t xml:space="preserve"> l</w:t>
      </w:r>
      <w:r w:rsidRPr="00BB7CE8">
        <w:rPr>
          <w:rFonts w:ascii="Palatino Linotype" w:eastAsia="Palatino Linotype" w:hAnsi="Palatino Linotype" w:cs="Palatino Linotype"/>
          <w:sz w:val="22"/>
          <w:szCs w:val="22"/>
        </w:rPr>
        <w:t>a respuesta del</w:t>
      </w:r>
      <w:r w:rsidRPr="00BB7CE8">
        <w:rPr>
          <w:rFonts w:ascii="Palatino Linotype" w:eastAsia="Palatino Linotype" w:hAnsi="Palatino Linotype" w:cs="Palatino Linotype"/>
          <w:b/>
          <w:sz w:val="22"/>
          <w:szCs w:val="22"/>
        </w:rPr>
        <w:t xml:space="preserve"> Sujeto Obligado.</w:t>
      </w:r>
    </w:p>
    <w:p w14:paraId="72301141" w14:textId="0DC51C1D" w:rsidR="00CF02CD" w:rsidRPr="00BB7CE8" w:rsidRDefault="00CF02CD" w:rsidP="00CF02CD">
      <w:pPr>
        <w:spacing w:before="240" w:after="240" w:line="360" w:lineRule="auto"/>
        <w:jc w:val="both"/>
        <w:rPr>
          <w:rFonts w:ascii="Palatino Linotype" w:eastAsia="Palatino Linotype" w:hAnsi="Palatino Linotype" w:cs="Palatino Linotype"/>
          <w:b/>
          <w:sz w:val="22"/>
          <w:szCs w:val="22"/>
        </w:rPr>
      </w:pPr>
      <w:bookmarkStart w:id="9" w:name="_heading=h.j3ppyxwlb1s2" w:colFirst="0" w:colLast="0"/>
      <w:bookmarkEnd w:id="9"/>
      <w:r w:rsidRPr="00BB7CE8">
        <w:rPr>
          <w:rFonts w:ascii="Palatino Linotype" w:eastAsia="Palatino Linotype" w:hAnsi="Palatino Linotype" w:cs="Palatino Linotype"/>
          <w:b/>
          <w:sz w:val="22"/>
          <w:szCs w:val="22"/>
        </w:rPr>
        <w:t xml:space="preserve">Segundo. Se Ordena al Sujeto Obligado </w:t>
      </w:r>
      <w:proofErr w:type="gramStart"/>
      <w:r w:rsidRPr="00BB7CE8">
        <w:rPr>
          <w:rFonts w:ascii="Palatino Linotype" w:eastAsia="Palatino Linotype" w:hAnsi="Palatino Linotype" w:cs="Palatino Linotype"/>
          <w:sz w:val="22"/>
          <w:szCs w:val="22"/>
        </w:rPr>
        <w:t>que</w:t>
      </w:r>
      <w:proofErr w:type="gramEnd"/>
      <w:r w:rsidRPr="00BB7CE8">
        <w:rPr>
          <w:rFonts w:ascii="Palatino Linotype" w:eastAsia="Palatino Linotype" w:hAnsi="Palatino Linotype" w:cs="Palatino Linotype"/>
          <w:sz w:val="22"/>
          <w:szCs w:val="22"/>
        </w:rPr>
        <w:t xml:space="preserve"> en términos de los</w:t>
      </w:r>
      <w:r w:rsidRPr="00BB7CE8">
        <w:rPr>
          <w:rFonts w:ascii="Palatino Linotype" w:eastAsia="Palatino Linotype" w:hAnsi="Palatino Linotype" w:cs="Palatino Linotype"/>
          <w:b/>
          <w:sz w:val="22"/>
          <w:szCs w:val="22"/>
        </w:rPr>
        <w:t xml:space="preserve"> Considerandos Cuarto y Quinto </w:t>
      </w:r>
      <w:r w:rsidRPr="00BB7CE8">
        <w:rPr>
          <w:rFonts w:ascii="Palatino Linotype" w:eastAsia="Palatino Linotype" w:hAnsi="Palatino Linotype" w:cs="Palatino Linotype"/>
          <w:sz w:val="22"/>
          <w:szCs w:val="22"/>
        </w:rPr>
        <w:t xml:space="preserve">de esta resolución, </w:t>
      </w:r>
      <w:r w:rsidR="000B431C" w:rsidRPr="00BB7CE8">
        <w:rPr>
          <w:rFonts w:ascii="Palatino Linotype" w:eastAsia="Palatino Linotype" w:hAnsi="Palatino Linotype" w:cs="Palatino Linotype"/>
          <w:sz w:val="22"/>
          <w:szCs w:val="22"/>
        </w:rPr>
        <w:t>ponga a disposición, en todas las modalidades que permita la documentación solicitada, tales como, vínculo electrónico, disco compacto, dispositivo de almacenamiento, consulta directa, copias simples o certificadas, con posibilidad de entrega en la Unidad de Transparencia o a domicilio por correo certificado, previo a pago de los derechos correspondientes, en versión pública lo siguiente</w:t>
      </w:r>
      <w:r w:rsidRPr="00BB7CE8">
        <w:rPr>
          <w:rFonts w:ascii="Palatino Linotype" w:eastAsia="Palatino Linotype" w:hAnsi="Palatino Linotype" w:cs="Palatino Linotype"/>
          <w:sz w:val="22"/>
          <w:szCs w:val="22"/>
        </w:rPr>
        <w:t>:</w:t>
      </w:r>
    </w:p>
    <w:p w14:paraId="3912CE6B" w14:textId="47222431" w:rsidR="00CF02CD" w:rsidRPr="00BB7CE8" w:rsidRDefault="00CF02CD" w:rsidP="00CF02CD">
      <w:pPr>
        <w:pStyle w:val="Prrafodelista"/>
        <w:numPr>
          <w:ilvl w:val="0"/>
          <w:numId w:val="7"/>
        </w:numPr>
        <w:spacing w:line="360" w:lineRule="auto"/>
        <w:jc w:val="both"/>
        <w:rPr>
          <w:rFonts w:ascii="Palatino Linotype" w:eastAsia="Palatino Linotype" w:hAnsi="Palatino Linotype" w:cs="Palatino Linotype"/>
          <w:b/>
          <w:bCs/>
          <w:sz w:val="22"/>
          <w:szCs w:val="22"/>
        </w:rPr>
      </w:pPr>
      <w:r w:rsidRPr="00BB7CE8">
        <w:rPr>
          <w:rFonts w:ascii="Palatino Linotype" w:eastAsia="Palatino Linotype" w:hAnsi="Palatino Linotype" w:cs="Palatino Linotype"/>
          <w:b/>
          <w:bCs/>
          <w:sz w:val="22"/>
          <w:szCs w:val="22"/>
        </w:rPr>
        <w:t>Comprobantes de todos los pagos realizados a personas físicas y morales por la tesorería municipal de 1 de septiembre al 15 de octubre de 2025.</w:t>
      </w:r>
    </w:p>
    <w:p w14:paraId="2185B69D" w14:textId="77777777" w:rsidR="00CF02CD" w:rsidRPr="00BB7CE8" w:rsidRDefault="00CF02CD" w:rsidP="00CF02CD">
      <w:pPr>
        <w:spacing w:line="360" w:lineRule="auto"/>
        <w:jc w:val="both"/>
        <w:rPr>
          <w:rFonts w:ascii="Palatino Linotype" w:eastAsia="Palatino Linotype" w:hAnsi="Palatino Linotype" w:cs="Palatino Linotype"/>
          <w:b/>
          <w:sz w:val="22"/>
          <w:szCs w:val="22"/>
        </w:rPr>
      </w:pPr>
    </w:p>
    <w:p w14:paraId="35F0CA14" w14:textId="77777777" w:rsidR="000B431C" w:rsidRPr="00BB7CE8" w:rsidRDefault="00CF02CD" w:rsidP="000B431C">
      <w:pPr>
        <w:pBdr>
          <w:top w:val="nil"/>
          <w:left w:val="nil"/>
          <w:bottom w:val="nil"/>
          <w:right w:val="nil"/>
          <w:between w:val="nil"/>
        </w:pBdr>
        <w:spacing w:line="360" w:lineRule="auto"/>
        <w:ind w:left="284" w:right="560"/>
        <w:jc w:val="both"/>
        <w:rPr>
          <w:rFonts w:ascii="Palatino Linotype" w:eastAsia="Palatino Linotype" w:hAnsi="Palatino Linotype" w:cs="Palatino Linotype"/>
          <w:i/>
          <w:sz w:val="22"/>
          <w:szCs w:val="22"/>
        </w:rPr>
      </w:pPr>
      <w:r w:rsidRPr="00BB7CE8">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la parte Recurrente. </w:t>
      </w:r>
    </w:p>
    <w:p w14:paraId="1DBAFDAF" w14:textId="77777777" w:rsidR="000B431C" w:rsidRPr="00BB7CE8" w:rsidRDefault="000B431C" w:rsidP="000B431C">
      <w:pPr>
        <w:pBdr>
          <w:top w:val="nil"/>
          <w:left w:val="nil"/>
          <w:bottom w:val="nil"/>
          <w:right w:val="nil"/>
          <w:between w:val="nil"/>
        </w:pBdr>
        <w:spacing w:line="360" w:lineRule="auto"/>
        <w:ind w:left="284" w:right="560"/>
        <w:jc w:val="both"/>
        <w:rPr>
          <w:rFonts w:ascii="Palatino Linotype" w:eastAsia="Palatino Linotype" w:hAnsi="Palatino Linotype" w:cs="Palatino Linotype"/>
          <w:i/>
          <w:sz w:val="22"/>
          <w:szCs w:val="22"/>
        </w:rPr>
      </w:pPr>
    </w:p>
    <w:p w14:paraId="4B0A7569" w14:textId="29A2E0B1" w:rsidR="000B431C" w:rsidRPr="00BB7CE8" w:rsidRDefault="000B431C" w:rsidP="00CF02CD">
      <w:pPr>
        <w:pBdr>
          <w:top w:val="nil"/>
          <w:left w:val="nil"/>
          <w:bottom w:val="nil"/>
          <w:right w:val="nil"/>
          <w:between w:val="nil"/>
        </w:pBdr>
        <w:spacing w:line="360" w:lineRule="auto"/>
        <w:ind w:left="284" w:right="560"/>
        <w:jc w:val="both"/>
        <w:rPr>
          <w:rFonts w:ascii="Palatino Linotype" w:eastAsia="Palatino Linotype" w:hAnsi="Palatino Linotype" w:cs="Palatino Linotype"/>
          <w:i/>
          <w:sz w:val="22"/>
          <w:szCs w:val="22"/>
        </w:rPr>
      </w:pPr>
      <w:r w:rsidRPr="00BB7CE8">
        <w:rPr>
          <w:rFonts w:ascii="Palatino Linotype" w:eastAsia="Palatino Linotype" w:hAnsi="Palatino Linotype" w:cs="Palatino Linotype"/>
          <w:i/>
          <w:sz w:val="22"/>
          <w:szCs w:val="22"/>
        </w:rPr>
        <w:t>Para tal situación, a través del Sistema de Acceso a la Información Mexiquense (SAIMEX), deberá indicar el procedimiento que tendrá que seguir el Particular, para acceder a la documentación, es decir, los pasos para realizar el pago de derechos, en caso de proceder, y la manera de obtener la información como domicilio de la Unidad de Transparencia, días y horarios de atención en términos del artículo 166 de</w:t>
      </w:r>
      <w:r w:rsidRPr="00BB7CE8">
        <w:rPr>
          <w:rFonts w:ascii="Palatino Linotype" w:eastAsia="Palatino Linotype" w:hAnsi="Palatino Linotype" w:cs="Palatino Linotype"/>
          <w:sz w:val="22"/>
          <w:szCs w:val="22"/>
        </w:rPr>
        <w:t xml:space="preserve"> la </w:t>
      </w:r>
      <w:r w:rsidRPr="00BB7CE8">
        <w:rPr>
          <w:rFonts w:ascii="Palatino Linotype" w:eastAsia="Palatino Linotype" w:hAnsi="Palatino Linotype" w:cs="Palatino Linotype"/>
          <w:i/>
          <w:sz w:val="22"/>
          <w:szCs w:val="22"/>
        </w:rPr>
        <w:t xml:space="preserve">Ley de Transparencia y Acceso a la Información Pública del Estado de México y Municipios, así como el nombre del servidor público que le atenderá. Además, deberá señalarle que en caso de que </w:t>
      </w:r>
      <w:r w:rsidRPr="00BB7CE8">
        <w:rPr>
          <w:rFonts w:ascii="Palatino Linotype" w:eastAsia="Palatino Linotype" w:hAnsi="Palatino Linotype" w:cs="Palatino Linotype"/>
          <w:bCs/>
          <w:i/>
          <w:sz w:val="22"/>
          <w:szCs w:val="22"/>
        </w:rPr>
        <w:t>la parte</w:t>
      </w:r>
      <w:r w:rsidRPr="00BB7CE8">
        <w:rPr>
          <w:rFonts w:ascii="Palatino Linotype" w:eastAsia="Palatino Linotype" w:hAnsi="Palatino Linotype" w:cs="Palatino Linotype"/>
          <w:b/>
          <w:i/>
          <w:sz w:val="22"/>
          <w:szCs w:val="22"/>
        </w:rPr>
        <w:t xml:space="preserve"> Recurrente</w:t>
      </w:r>
      <w:r w:rsidRPr="00BB7CE8">
        <w:rPr>
          <w:rFonts w:ascii="Palatino Linotype" w:eastAsia="Palatino Linotype" w:hAnsi="Palatino Linotype" w:cs="Palatino Linotype"/>
          <w:i/>
          <w:sz w:val="22"/>
          <w:szCs w:val="22"/>
        </w:rPr>
        <w:t xml:space="preserve"> proporcione el dispositivo electrónico y acuda por la información a la Unidad de Transparencia, la entrega de la información, será sin costo.</w:t>
      </w:r>
    </w:p>
    <w:p w14:paraId="2F475CD6" w14:textId="77777777" w:rsidR="00CF02CD" w:rsidRPr="00BB7CE8" w:rsidRDefault="00CF02CD" w:rsidP="00CF02CD">
      <w:pPr>
        <w:spacing w:before="240" w:after="240"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sz w:val="22"/>
          <w:szCs w:val="22"/>
        </w:rPr>
        <w:t xml:space="preserve">Tercero.  Notifíquese vía SAIMEX, </w:t>
      </w:r>
      <w:r w:rsidRPr="00BB7CE8">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FC1417A" w14:textId="77777777" w:rsidR="00CF02CD" w:rsidRPr="00BB7CE8" w:rsidRDefault="00CF02CD" w:rsidP="00CF02CD">
      <w:pPr>
        <w:spacing w:before="240" w:after="240"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sz w:val="22"/>
          <w:szCs w:val="22"/>
        </w:rPr>
        <w:t xml:space="preserve">Cuarto. </w:t>
      </w:r>
      <w:r w:rsidRPr="00BB7CE8">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BB7CE8">
        <w:rPr>
          <w:rFonts w:ascii="Palatino Linotype" w:eastAsia="Palatino Linotype" w:hAnsi="Palatino Linotype" w:cs="Palatino Linotype"/>
          <w:b/>
          <w:sz w:val="22"/>
          <w:szCs w:val="22"/>
        </w:rPr>
        <w:t>Sujeto Obligado</w:t>
      </w:r>
      <w:r w:rsidRPr="00BB7CE8">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13F9C6F4" w14:textId="77777777" w:rsidR="00CF02CD" w:rsidRPr="00BB7CE8" w:rsidRDefault="00CF02CD" w:rsidP="00CF02CD">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b/>
          <w:sz w:val="22"/>
          <w:szCs w:val="22"/>
        </w:rPr>
        <w:t xml:space="preserve">Quinto. Notifíquese vía SAIMEX, </w:t>
      </w:r>
      <w:r w:rsidRPr="00BB7CE8">
        <w:rPr>
          <w:rFonts w:ascii="Palatino Linotype" w:eastAsia="Palatino Linotype" w:hAnsi="Palatino Linotype" w:cs="Palatino Linotype"/>
          <w:sz w:val="22"/>
          <w:szCs w:val="22"/>
        </w:rPr>
        <w:t>a</w:t>
      </w:r>
      <w:r w:rsidRPr="00BB7CE8">
        <w:rPr>
          <w:rFonts w:ascii="Palatino Linotype" w:eastAsia="Palatino Linotype" w:hAnsi="Palatino Linotype" w:cs="Palatino Linotype"/>
          <w:b/>
          <w:sz w:val="22"/>
          <w:szCs w:val="22"/>
        </w:rPr>
        <w:t xml:space="preserve"> la parte Recurrente</w:t>
      </w:r>
      <w:r w:rsidRPr="00BB7CE8">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w:t>
      </w:r>
    </w:p>
    <w:p w14:paraId="627F5890" w14:textId="77777777" w:rsidR="00A40B65" w:rsidRPr="00BB7CE8" w:rsidRDefault="00A40B65">
      <w:pPr>
        <w:spacing w:line="360" w:lineRule="auto"/>
        <w:ind w:right="49"/>
        <w:jc w:val="both"/>
        <w:rPr>
          <w:rFonts w:ascii="Palatino Linotype" w:eastAsia="Palatino Linotype" w:hAnsi="Palatino Linotype" w:cs="Palatino Linotype"/>
          <w:sz w:val="22"/>
          <w:szCs w:val="22"/>
        </w:rPr>
      </w:pPr>
    </w:p>
    <w:p w14:paraId="4A758792" w14:textId="2BFB9668" w:rsidR="00A40B65" w:rsidRPr="00BB7CE8" w:rsidRDefault="00E5237A">
      <w:pPr>
        <w:spacing w:line="360" w:lineRule="auto"/>
        <w:jc w:val="both"/>
        <w:rPr>
          <w:rFonts w:ascii="Palatino Linotype" w:eastAsia="Palatino Linotype" w:hAnsi="Palatino Linotype" w:cs="Palatino Linotype"/>
          <w:sz w:val="22"/>
          <w:szCs w:val="22"/>
        </w:rPr>
      </w:pPr>
      <w:r w:rsidRPr="00BB7CE8">
        <w:rPr>
          <w:rFonts w:ascii="Palatino Linotype" w:eastAsia="Palatino Linotype" w:hAnsi="Palatino Linotype" w:cs="Palatino Linotype"/>
          <w:sz w:val="22"/>
          <w:szCs w:val="22"/>
        </w:rPr>
        <w:t xml:space="preserve">ASÍ LO APROBÓ POR </w:t>
      </w:r>
      <w:r w:rsidR="00BE2F87" w:rsidRPr="00BB7CE8">
        <w:rPr>
          <w:rFonts w:ascii="Palatino Linotype" w:eastAsia="Palatino Linotype" w:hAnsi="Palatino Linotype" w:cs="Palatino Linotype"/>
          <w:sz w:val="22"/>
          <w:szCs w:val="22"/>
        </w:rPr>
        <w:t>UNANIMIDAD</w:t>
      </w:r>
      <w:r w:rsidRPr="00BB7CE8">
        <w:rPr>
          <w:rFonts w:ascii="Palatino Linotype" w:eastAsia="Palatino Linotype" w:hAnsi="Palatino Linotype" w:cs="Palatino Linotype"/>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Y GUADALUPE RAMÍREZ PEÑA; EN LA </w:t>
      </w:r>
      <w:r w:rsidR="00BE2F87" w:rsidRPr="00BB7CE8">
        <w:rPr>
          <w:rFonts w:ascii="Palatino Linotype" w:eastAsia="Palatino Linotype" w:hAnsi="Palatino Linotype" w:cs="Palatino Linotype"/>
          <w:sz w:val="22"/>
          <w:szCs w:val="22"/>
        </w:rPr>
        <w:t>OCTAVA</w:t>
      </w:r>
      <w:r w:rsidRPr="00BB7CE8">
        <w:rPr>
          <w:rFonts w:ascii="Palatino Linotype" w:eastAsia="Palatino Linotype" w:hAnsi="Palatino Linotype" w:cs="Palatino Linotype"/>
          <w:sz w:val="22"/>
          <w:szCs w:val="22"/>
        </w:rPr>
        <w:t xml:space="preserve"> SESIÓN ORDINARIA CELEBRADA EL </w:t>
      </w:r>
      <w:r w:rsidR="00BE2F87" w:rsidRPr="00BB7CE8">
        <w:rPr>
          <w:rFonts w:ascii="Palatino Linotype" w:eastAsia="Palatino Linotype" w:hAnsi="Palatino Linotype" w:cs="Palatino Linotype"/>
          <w:sz w:val="22"/>
          <w:szCs w:val="22"/>
        </w:rPr>
        <w:t>CINCO DE MARZO</w:t>
      </w:r>
      <w:r w:rsidRPr="00BB7CE8">
        <w:rPr>
          <w:rFonts w:ascii="Palatino Linotype" w:eastAsia="Palatino Linotype" w:hAnsi="Palatino Linotype" w:cs="Palatino Linotype"/>
          <w:sz w:val="22"/>
          <w:szCs w:val="22"/>
        </w:rPr>
        <w:t xml:space="preserve"> DE DOS MIL VEINTISÉIS, ANTE EL SECRETARIO TÉCNICO DEL PLENO ALEXIS TAPIA RAMÍREZ.</w:t>
      </w:r>
    </w:p>
    <w:p w14:paraId="19DEBE2A" w14:textId="77777777" w:rsidR="00A40B65" w:rsidRPr="00BB7CE8" w:rsidRDefault="00A40B65">
      <w:pPr>
        <w:spacing w:line="360" w:lineRule="auto"/>
        <w:ind w:right="141"/>
        <w:jc w:val="both"/>
        <w:rPr>
          <w:rFonts w:ascii="Palatino Linotype" w:eastAsia="Palatino Linotype" w:hAnsi="Palatino Linotype" w:cs="Palatino Linotype"/>
          <w:sz w:val="22"/>
          <w:szCs w:val="22"/>
        </w:rPr>
      </w:pPr>
    </w:p>
    <w:p w14:paraId="113207BC" w14:textId="77777777" w:rsidR="00A40B65" w:rsidRPr="00BB7CE8" w:rsidRDefault="00A40B65">
      <w:pPr>
        <w:spacing w:line="360" w:lineRule="auto"/>
        <w:ind w:right="141"/>
        <w:jc w:val="both"/>
        <w:rPr>
          <w:rFonts w:ascii="Palatino Linotype" w:eastAsia="Palatino Linotype" w:hAnsi="Palatino Linotype" w:cs="Palatino Linotype"/>
          <w:sz w:val="22"/>
          <w:szCs w:val="22"/>
        </w:rPr>
      </w:pPr>
    </w:p>
    <w:p w14:paraId="475F6CCC" w14:textId="77777777" w:rsidR="00A40B65" w:rsidRPr="00BB7CE8" w:rsidRDefault="00A40B65">
      <w:pPr>
        <w:spacing w:line="360" w:lineRule="auto"/>
        <w:ind w:right="141"/>
        <w:jc w:val="both"/>
        <w:rPr>
          <w:rFonts w:ascii="Palatino Linotype" w:eastAsia="Palatino Linotype" w:hAnsi="Palatino Linotype" w:cs="Palatino Linotype"/>
          <w:sz w:val="22"/>
          <w:szCs w:val="22"/>
        </w:rPr>
      </w:pPr>
    </w:p>
    <w:p w14:paraId="32DD9C1C" w14:textId="77777777" w:rsidR="00A40B65" w:rsidRPr="00BB7CE8" w:rsidRDefault="00A40B65">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b/>
          <w:bCs/>
          <w:sz w:val="22"/>
          <w:szCs w:val="22"/>
        </w:rPr>
      </w:pPr>
    </w:p>
    <w:p w14:paraId="7ABABB61" w14:textId="77777777" w:rsidR="00A40B65" w:rsidRPr="00BB7CE8" w:rsidRDefault="00A40B65">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b/>
          <w:bCs/>
          <w:sz w:val="22"/>
          <w:szCs w:val="22"/>
        </w:rPr>
      </w:pPr>
    </w:p>
    <w:p w14:paraId="68B376F1"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47E6DB62" w14:textId="77777777" w:rsidR="00A40B65" w:rsidRPr="00BB7CE8" w:rsidRDefault="00A40B65">
      <w:pPr>
        <w:spacing w:line="360" w:lineRule="auto"/>
        <w:jc w:val="both"/>
        <w:rPr>
          <w:rFonts w:ascii="Palatino Linotype" w:eastAsia="Palatino Linotype" w:hAnsi="Palatino Linotype" w:cs="Palatino Linotype"/>
          <w:b/>
          <w:bCs/>
          <w:sz w:val="22"/>
          <w:szCs w:val="22"/>
        </w:rPr>
      </w:pPr>
    </w:p>
    <w:p w14:paraId="7E7B24A7" w14:textId="77777777" w:rsidR="00A40B65" w:rsidRPr="00BB7CE8" w:rsidRDefault="00A40B65">
      <w:pPr>
        <w:spacing w:line="360" w:lineRule="auto"/>
        <w:jc w:val="both"/>
        <w:rPr>
          <w:rFonts w:ascii="Palatino Linotype" w:eastAsia="Palatino Linotype" w:hAnsi="Palatino Linotype" w:cs="Palatino Linotype"/>
          <w:b/>
          <w:bCs/>
          <w:sz w:val="22"/>
          <w:szCs w:val="22"/>
        </w:rPr>
      </w:pPr>
    </w:p>
    <w:p w14:paraId="553A03A4" w14:textId="77777777" w:rsidR="00A40B65" w:rsidRPr="00BB7CE8" w:rsidRDefault="00A40B65">
      <w:pPr>
        <w:spacing w:line="360" w:lineRule="auto"/>
        <w:jc w:val="both"/>
        <w:rPr>
          <w:rFonts w:ascii="Palatino Linotype" w:eastAsia="Palatino Linotype" w:hAnsi="Palatino Linotype" w:cs="Palatino Linotype"/>
          <w:b/>
          <w:bCs/>
          <w:sz w:val="22"/>
          <w:szCs w:val="22"/>
        </w:rPr>
      </w:pPr>
    </w:p>
    <w:p w14:paraId="2DAA96DA"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0469EEBC"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6EF844FC"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457B7B92"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2D406BD4"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1B756B0D"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02988CB2"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315A3A45"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6D7A25FC"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021018E1"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3E972B9B"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4870B82C"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275638D1" w14:textId="77777777" w:rsidR="00A40B65" w:rsidRPr="00BB7CE8" w:rsidRDefault="00A40B65">
      <w:pPr>
        <w:spacing w:line="360" w:lineRule="auto"/>
        <w:jc w:val="both"/>
        <w:rPr>
          <w:rFonts w:ascii="Palatino Linotype" w:eastAsia="Palatino Linotype" w:hAnsi="Palatino Linotype" w:cs="Palatino Linotype"/>
          <w:sz w:val="22"/>
          <w:szCs w:val="22"/>
        </w:rPr>
      </w:pPr>
    </w:p>
    <w:p w14:paraId="31CE72AF" w14:textId="77777777" w:rsidR="00A40B65" w:rsidRPr="00BB7CE8" w:rsidRDefault="00A40B65">
      <w:pPr>
        <w:spacing w:line="360" w:lineRule="auto"/>
        <w:jc w:val="both"/>
        <w:rPr>
          <w:rFonts w:ascii="Palatino Linotype" w:eastAsia="Palatino Linotype" w:hAnsi="Palatino Linotype" w:cs="Palatino Linotype"/>
          <w:sz w:val="22"/>
          <w:szCs w:val="22"/>
        </w:rPr>
      </w:pPr>
    </w:p>
    <w:sectPr w:rsidR="00A40B65" w:rsidRPr="00BB7CE8">
      <w:headerReference w:type="default" r:id="rId15"/>
      <w:footerReference w:type="default" r:id="rId16"/>
      <w:headerReference w:type="first" r:id="rId17"/>
      <w:footerReference w:type="first" r:id="rId18"/>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B8AA5" w14:textId="77777777" w:rsidR="005534CA" w:rsidRDefault="005534CA">
      <w:r>
        <w:separator/>
      </w:r>
    </w:p>
  </w:endnote>
  <w:endnote w:type="continuationSeparator" w:id="0">
    <w:p w14:paraId="6358959E" w14:textId="77777777" w:rsidR="005534CA" w:rsidRDefault="0055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embedRegular r:id="rId1" w:fontKey="{90C63B1A-4379-45C0-BF32-EC7736B99413}"/>
    <w:embedBold r:id="rId2" w:fontKey="{805BC2B9-9C05-46CB-9589-8C4663F491CC}"/>
    <w:embedItalic r:id="rId3" w:fontKey="{5225FADA-6C34-4FAA-8E02-076B42D0CC31}"/>
    <w:embedBoldItalic r:id="rId4" w:fontKey="{E66D89FA-75F7-4831-ADE5-753A6B276513}"/>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1649F9C6-DCDB-4267-9EF3-CF965C57AC1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1B0D3219-04C1-439E-9678-206D693CA67A}"/>
    <w:embedBold r:id="rId7" w:fontKey="{9C897340-7F2E-4F83-AFA2-D279B45E62AF}"/>
  </w:font>
  <w:font w:name="Cambria">
    <w:panose1 w:val="02040503050406030204"/>
    <w:charset w:val="00"/>
    <w:family w:val="roman"/>
    <w:pitch w:val="variable"/>
    <w:sig w:usb0="E00006FF" w:usb1="420024FF" w:usb2="02000000" w:usb3="00000000" w:csb0="0000019F" w:csb1="00000000"/>
    <w:embedRegular r:id="rId8" w:fontKey="{334FADD7-021A-478E-8437-8B674DFB5150}"/>
    <w:embedBold r:id="rId9" w:fontKey="{E4150889-8DE8-4ADD-9CF2-7E506EB95C21}"/>
    <w:embedBoldItalic r:id="rId10" w:fontKey="{1527BE76-FFFB-4B39-A995-B83CC54EC7EA}"/>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230C5BF9-2C79-4D76-9D95-AAE72249D0C3}"/>
  </w:font>
  <w:font w:name="Georgia">
    <w:panose1 w:val="02040502050405020303"/>
    <w:charset w:val="00"/>
    <w:family w:val="roman"/>
    <w:pitch w:val="variable"/>
    <w:sig w:usb0="00000287" w:usb1="00000000" w:usb2="00000000" w:usb3="00000000" w:csb0="0000009F" w:csb1="00000000"/>
    <w:embedItalic r:id="rId12" w:fontKey="{E1D0146F-703A-4337-9C79-851AEE59EB6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31E73" w14:textId="2A4C0895" w:rsidR="00A40B65" w:rsidRDefault="00E5237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704963">
      <w:rPr>
        <w:rFonts w:ascii="Palatino Linotype" w:eastAsia="Palatino Linotype" w:hAnsi="Palatino Linotype" w:cs="Palatino Linotype"/>
        <w:b/>
        <w:bCs/>
        <w:noProof/>
        <w:color w:val="000000"/>
        <w:sz w:val="20"/>
        <w:szCs w:val="20"/>
      </w:rPr>
      <w:t>5</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704963">
      <w:rPr>
        <w:rFonts w:ascii="Palatino Linotype" w:eastAsia="Palatino Linotype" w:hAnsi="Palatino Linotype" w:cs="Palatino Linotype"/>
        <w:b/>
        <w:bCs/>
        <w:noProof/>
        <w:color w:val="000000"/>
        <w:sz w:val="20"/>
        <w:szCs w:val="20"/>
      </w:rPr>
      <w:t>35</w:t>
    </w:r>
    <w:r>
      <w:rPr>
        <w:rFonts w:ascii="Palatino Linotype" w:eastAsia="Palatino Linotype" w:hAnsi="Palatino Linotype" w:cs="Palatino Linotype"/>
        <w:b/>
        <w:bCs/>
        <w:color w:val="000000"/>
        <w:sz w:val="20"/>
        <w:szCs w:val="20"/>
      </w:rPr>
      <w:fldChar w:fldCharType="end"/>
    </w:r>
  </w:p>
  <w:p w14:paraId="5E2413E4" w14:textId="77777777" w:rsidR="00A40B65" w:rsidRDefault="00A40B65">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0D19C" w14:textId="24E603BE" w:rsidR="00A40B65" w:rsidRDefault="00E5237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704963">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704963">
      <w:rPr>
        <w:rFonts w:ascii="Palatino Linotype" w:eastAsia="Palatino Linotype" w:hAnsi="Palatino Linotype" w:cs="Palatino Linotype"/>
        <w:b/>
        <w:bCs/>
        <w:noProof/>
        <w:color w:val="000000"/>
        <w:sz w:val="20"/>
        <w:szCs w:val="20"/>
      </w:rPr>
      <w:t>35</w:t>
    </w:r>
    <w:r>
      <w:rPr>
        <w:rFonts w:ascii="Palatino Linotype" w:eastAsia="Palatino Linotype" w:hAnsi="Palatino Linotype" w:cs="Palatino Linotype"/>
        <w:b/>
        <w:bCs/>
        <w:color w:val="000000"/>
        <w:sz w:val="20"/>
        <w:szCs w:val="20"/>
      </w:rPr>
      <w:fldChar w:fldCharType="end"/>
    </w:r>
  </w:p>
  <w:p w14:paraId="6F66233D" w14:textId="77777777" w:rsidR="00A40B65" w:rsidRDefault="00A40B65">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32755" w14:textId="77777777" w:rsidR="005534CA" w:rsidRDefault="005534CA">
      <w:r>
        <w:separator/>
      </w:r>
    </w:p>
  </w:footnote>
  <w:footnote w:type="continuationSeparator" w:id="0">
    <w:p w14:paraId="587E82AC" w14:textId="77777777" w:rsidR="005534CA" w:rsidRDefault="005534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A17F0" w14:textId="77777777" w:rsidR="00A40B65" w:rsidRDefault="00E5237A">
    <w:pPr>
      <w:rPr>
        <w:rFonts w:ascii="Cambria" w:eastAsia="Cambria" w:hAnsi="Cambria" w:cs="Cambria"/>
        <w:color w:val="000000"/>
      </w:rPr>
    </w:pPr>
    <w:r>
      <w:rPr>
        <w:noProof/>
        <w:lang w:val="es-MX" w:eastAsia="es-MX"/>
      </w:rPr>
      <w:drawing>
        <wp:anchor distT="0" distB="0" distL="0" distR="0" simplePos="0" relativeHeight="251658240" behindDoc="1" locked="0" layoutInCell="1" hidden="0" allowOverlap="1" wp14:anchorId="4B085D79" wp14:editId="1AF6BB82">
          <wp:simplePos x="0" y="0"/>
          <wp:positionH relativeFrom="column">
            <wp:posOffset>-1080130</wp:posOffset>
          </wp:positionH>
          <wp:positionV relativeFrom="paragraph">
            <wp:posOffset>-488272</wp:posOffset>
          </wp:positionV>
          <wp:extent cx="7809865" cy="10165715"/>
          <wp:effectExtent l="0" t="0" r="0" b="0"/>
          <wp:wrapNone/>
          <wp:docPr id="20832964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c"/>
      <w:tblW w:w="5811" w:type="dxa"/>
      <w:tblInd w:w="3261" w:type="dxa"/>
      <w:tblLayout w:type="fixed"/>
      <w:tblLook w:val="0400" w:firstRow="0" w:lastRow="0" w:firstColumn="0" w:lastColumn="0" w:noHBand="0" w:noVBand="1"/>
    </w:tblPr>
    <w:tblGrid>
      <w:gridCol w:w="2489"/>
      <w:gridCol w:w="3322"/>
    </w:tblGrid>
    <w:tr w:rsidR="00A40B65" w14:paraId="236E8DE8" w14:textId="77777777">
      <w:tc>
        <w:tcPr>
          <w:tcW w:w="2489" w:type="dxa"/>
          <w:shd w:val="clear" w:color="auto" w:fill="auto"/>
        </w:tcPr>
        <w:p w14:paraId="04D550AC" w14:textId="77777777" w:rsidR="00A40B65" w:rsidRDefault="00E5237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322" w:type="dxa"/>
          <w:shd w:val="clear" w:color="auto" w:fill="auto"/>
          <w:vAlign w:val="center"/>
        </w:tcPr>
        <w:p w14:paraId="06847AFA" w14:textId="2315D3DC" w:rsidR="00A40B65" w:rsidRDefault="00047831">
          <w:pPr>
            <w:ind w:left="-53"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12289/INFOEM/IP/RR/2025</w:t>
          </w:r>
        </w:p>
      </w:tc>
    </w:tr>
    <w:tr w:rsidR="00A40B65" w14:paraId="66B01075" w14:textId="77777777">
      <w:trPr>
        <w:trHeight w:val="228"/>
      </w:trPr>
      <w:tc>
        <w:tcPr>
          <w:tcW w:w="2489" w:type="dxa"/>
          <w:shd w:val="clear" w:color="auto" w:fill="auto"/>
          <w:vAlign w:val="center"/>
        </w:tcPr>
        <w:p w14:paraId="6346C2E3" w14:textId="77777777" w:rsidR="00A40B65" w:rsidRDefault="00E5237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p w14:paraId="2CAF74DA" w14:textId="77777777" w:rsidR="00A40B65" w:rsidRDefault="00A40B65">
          <w:pPr>
            <w:rPr>
              <w:rFonts w:ascii="Palatino Linotype" w:eastAsia="Palatino Linotype" w:hAnsi="Palatino Linotype" w:cs="Palatino Linotype"/>
              <w:b/>
              <w:bCs/>
              <w:sz w:val="22"/>
              <w:szCs w:val="22"/>
            </w:rPr>
          </w:pPr>
        </w:p>
      </w:tc>
      <w:tc>
        <w:tcPr>
          <w:tcW w:w="3322" w:type="dxa"/>
          <w:shd w:val="clear" w:color="auto" w:fill="auto"/>
          <w:vAlign w:val="center"/>
        </w:tcPr>
        <w:p w14:paraId="6222A8BC" w14:textId="26CE8C39" w:rsidR="00A40B65" w:rsidRDefault="00E5237A">
          <w:pPr>
            <w:ind w:left="-45" w:right="310"/>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Ayuntamiento de </w:t>
          </w:r>
          <w:r w:rsidR="00047831">
            <w:rPr>
              <w:rFonts w:ascii="Palatino Linotype" w:eastAsia="Palatino Linotype" w:hAnsi="Palatino Linotype" w:cs="Palatino Linotype"/>
              <w:b/>
              <w:bCs/>
              <w:sz w:val="22"/>
              <w:szCs w:val="22"/>
            </w:rPr>
            <w:t>Cuautitlán Izcalli</w:t>
          </w:r>
        </w:p>
      </w:tc>
    </w:tr>
    <w:tr w:rsidR="00A40B65" w14:paraId="13BF9093" w14:textId="77777777">
      <w:tc>
        <w:tcPr>
          <w:tcW w:w="2489" w:type="dxa"/>
          <w:shd w:val="clear" w:color="auto" w:fill="auto"/>
          <w:vAlign w:val="center"/>
        </w:tcPr>
        <w:p w14:paraId="0B744262" w14:textId="77777777" w:rsidR="00A40B65" w:rsidRDefault="00E5237A">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322" w:type="dxa"/>
          <w:shd w:val="clear" w:color="auto" w:fill="auto"/>
          <w:vAlign w:val="center"/>
        </w:tcPr>
        <w:p w14:paraId="06234FF8" w14:textId="77777777" w:rsidR="00A40B65" w:rsidRDefault="00E5237A">
          <w:pPr>
            <w:ind w:left="-53"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371A02B6" w14:textId="77777777" w:rsidR="00A40B65" w:rsidRDefault="00E5237A">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8C681" w14:textId="77777777" w:rsidR="00A40B65" w:rsidRDefault="00E5237A">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lang w:val="es-MX" w:eastAsia="es-MX"/>
      </w:rPr>
      <w:drawing>
        <wp:anchor distT="0" distB="0" distL="0" distR="0" simplePos="0" relativeHeight="251659264" behindDoc="1" locked="0" layoutInCell="1" hidden="0" allowOverlap="1" wp14:anchorId="068427D2" wp14:editId="16F8629B">
          <wp:simplePos x="0" y="0"/>
          <wp:positionH relativeFrom="column">
            <wp:posOffset>-708024</wp:posOffset>
          </wp:positionH>
          <wp:positionV relativeFrom="paragraph">
            <wp:posOffset>-160019</wp:posOffset>
          </wp:positionV>
          <wp:extent cx="7809865" cy="10165715"/>
          <wp:effectExtent l="0" t="0" r="0" b="0"/>
          <wp:wrapNone/>
          <wp:docPr id="20832964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d"/>
      <w:tblW w:w="6095" w:type="dxa"/>
      <w:tblInd w:w="3261" w:type="dxa"/>
      <w:tblLayout w:type="fixed"/>
      <w:tblLook w:val="0400" w:firstRow="0" w:lastRow="0" w:firstColumn="0" w:lastColumn="0" w:noHBand="0" w:noVBand="1"/>
    </w:tblPr>
    <w:tblGrid>
      <w:gridCol w:w="2489"/>
      <w:gridCol w:w="3606"/>
    </w:tblGrid>
    <w:tr w:rsidR="00A40B65" w14:paraId="36449BF7" w14:textId="77777777">
      <w:tc>
        <w:tcPr>
          <w:tcW w:w="2489" w:type="dxa"/>
          <w:shd w:val="clear" w:color="auto" w:fill="auto"/>
        </w:tcPr>
        <w:p w14:paraId="41441762" w14:textId="77777777" w:rsidR="00A40B65" w:rsidRDefault="00E5237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606" w:type="dxa"/>
          <w:shd w:val="clear" w:color="auto" w:fill="auto"/>
          <w:vAlign w:val="center"/>
        </w:tcPr>
        <w:p w14:paraId="6C41E03E" w14:textId="73BA5400" w:rsidR="00A40B65" w:rsidRDefault="00047831">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12289</w:t>
          </w:r>
          <w:r w:rsidR="00E5237A">
            <w:rPr>
              <w:rFonts w:ascii="Palatino Linotype" w:eastAsia="Palatino Linotype" w:hAnsi="Palatino Linotype" w:cs="Palatino Linotype"/>
              <w:b/>
              <w:bCs/>
              <w:sz w:val="22"/>
              <w:szCs w:val="22"/>
            </w:rPr>
            <w:t>/INFOEM/IP/RR/2025</w:t>
          </w:r>
        </w:p>
      </w:tc>
    </w:tr>
    <w:tr w:rsidR="00A40B65" w14:paraId="707A2949" w14:textId="77777777">
      <w:tc>
        <w:tcPr>
          <w:tcW w:w="2489" w:type="dxa"/>
          <w:shd w:val="clear" w:color="auto" w:fill="auto"/>
        </w:tcPr>
        <w:p w14:paraId="01202CB9" w14:textId="77777777" w:rsidR="00A40B65" w:rsidRDefault="00E5237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3606" w:type="dxa"/>
          <w:shd w:val="clear" w:color="auto" w:fill="auto"/>
          <w:vAlign w:val="center"/>
        </w:tcPr>
        <w:p w14:paraId="4A606E74" w14:textId="6DFF480B" w:rsidR="00A40B65" w:rsidRDefault="00704963">
          <w:pPr>
            <w:ind w:right="175"/>
            <w:jc w:val="both"/>
            <w:rPr>
              <w:rFonts w:ascii="Palatino Linotype" w:eastAsia="Palatino Linotype" w:hAnsi="Palatino Linotype" w:cs="Palatino Linotype"/>
              <w:b/>
              <w:bCs/>
              <w:sz w:val="22"/>
              <w:szCs w:val="22"/>
            </w:rPr>
          </w:pPr>
          <w:r w:rsidRPr="00704963">
            <w:rPr>
              <w:rFonts w:ascii="Palatino Linotype" w:eastAsia="Palatino Linotype" w:hAnsi="Palatino Linotype" w:cs="Palatino Linotype"/>
              <w:b/>
              <w:bCs/>
              <w:sz w:val="22"/>
              <w:szCs w:val="22"/>
            </w:rPr>
            <w:t>XXXXX XXXXXX XXXXXXXX</w:t>
          </w:r>
        </w:p>
      </w:tc>
    </w:tr>
    <w:tr w:rsidR="00A40B65" w14:paraId="4913DBBA" w14:textId="77777777">
      <w:trPr>
        <w:trHeight w:val="228"/>
      </w:trPr>
      <w:tc>
        <w:tcPr>
          <w:tcW w:w="2489" w:type="dxa"/>
          <w:shd w:val="clear" w:color="auto" w:fill="auto"/>
          <w:vAlign w:val="center"/>
        </w:tcPr>
        <w:p w14:paraId="198ED653" w14:textId="77777777" w:rsidR="00A40B65" w:rsidRDefault="00E5237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p w14:paraId="17C0EAEC" w14:textId="77777777" w:rsidR="00A40B65" w:rsidRDefault="00A40B65">
          <w:pPr>
            <w:rPr>
              <w:rFonts w:ascii="Palatino Linotype" w:eastAsia="Palatino Linotype" w:hAnsi="Palatino Linotype" w:cs="Palatino Linotype"/>
              <w:b/>
              <w:bCs/>
              <w:sz w:val="22"/>
              <w:szCs w:val="22"/>
            </w:rPr>
          </w:pPr>
        </w:p>
      </w:tc>
      <w:tc>
        <w:tcPr>
          <w:tcW w:w="3606" w:type="dxa"/>
          <w:shd w:val="clear" w:color="auto" w:fill="auto"/>
          <w:vAlign w:val="center"/>
        </w:tcPr>
        <w:p w14:paraId="5F011F1F" w14:textId="64FFB83B" w:rsidR="00A40B65" w:rsidRDefault="00047831">
          <w:pPr>
            <w:ind w:right="-398"/>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Cuautitlán Izcalli</w:t>
          </w:r>
        </w:p>
      </w:tc>
    </w:tr>
    <w:tr w:rsidR="00A40B65" w14:paraId="4E957B74" w14:textId="77777777">
      <w:tc>
        <w:tcPr>
          <w:tcW w:w="2489" w:type="dxa"/>
          <w:shd w:val="clear" w:color="auto" w:fill="auto"/>
          <w:vAlign w:val="center"/>
        </w:tcPr>
        <w:p w14:paraId="19E144E4" w14:textId="77777777" w:rsidR="00A40B65" w:rsidRDefault="00E5237A">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606" w:type="dxa"/>
          <w:shd w:val="clear" w:color="auto" w:fill="auto"/>
          <w:vAlign w:val="center"/>
        </w:tcPr>
        <w:p w14:paraId="721C9BE4" w14:textId="77777777" w:rsidR="00A40B65" w:rsidRDefault="00E5237A">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57ADF41F" w14:textId="77777777" w:rsidR="00A40B65" w:rsidRDefault="00A40B6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62DED"/>
    <w:multiLevelType w:val="multilevel"/>
    <w:tmpl w:val="138EB258"/>
    <w:lvl w:ilvl="0">
      <w:numFmt w:val="bullet"/>
      <w:lvlText w:val="•"/>
      <w:lvlJc w:val="left"/>
      <w:pPr>
        <w:ind w:left="1080" w:hanging="72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D000DD"/>
    <w:multiLevelType w:val="multilevel"/>
    <w:tmpl w:val="94D080E2"/>
    <w:lvl w:ilvl="0">
      <w:start w:val="1"/>
      <w:numFmt w:val="decimal"/>
      <w:pStyle w:val="Listaconvietas3"/>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9839A6"/>
    <w:multiLevelType w:val="multilevel"/>
    <w:tmpl w:val="C9626B4A"/>
    <w:lvl w:ilvl="0">
      <w:start w:val="3"/>
      <w:numFmt w:val="bullet"/>
      <w:lvlText w:val="-"/>
      <w:lvlJc w:val="left"/>
      <w:pPr>
        <w:ind w:left="720" w:hanging="360"/>
      </w:pPr>
      <w:rPr>
        <w:rFonts w:ascii="Palatino Linotype" w:eastAsia="Palatino Linotype" w:hAnsi="Palatino Linotype" w:cs="Palatino Linotype"/>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F05287"/>
    <w:multiLevelType w:val="hybridMultilevel"/>
    <w:tmpl w:val="883039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9630FD7"/>
    <w:multiLevelType w:val="hybridMultilevel"/>
    <w:tmpl w:val="A45A8B3A"/>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 w15:restartNumberingAfterBreak="0">
    <w:nsid w:val="609635C7"/>
    <w:multiLevelType w:val="multilevel"/>
    <w:tmpl w:val="B46E75BA"/>
    <w:lvl w:ilvl="0">
      <w:start w:val="6"/>
      <w:numFmt w:val="bullet"/>
      <w:pStyle w:val="Listaconvietas"/>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A4E74F6"/>
    <w:multiLevelType w:val="multilevel"/>
    <w:tmpl w:val="C9EE6550"/>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
  </w:num>
  <w:num w:numId="2">
    <w:abstractNumId w:val="1"/>
  </w:num>
  <w:num w:numId="3">
    <w:abstractNumId w:val="5"/>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B65"/>
    <w:rsid w:val="00047831"/>
    <w:rsid w:val="0004797C"/>
    <w:rsid w:val="00073B5A"/>
    <w:rsid w:val="000B431C"/>
    <w:rsid w:val="00146772"/>
    <w:rsid w:val="00187475"/>
    <w:rsid w:val="002E1E38"/>
    <w:rsid w:val="00312907"/>
    <w:rsid w:val="00446785"/>
    <w:rsid w:val="0053666C"/>
    <w:rsid w:val="005534CA"/>
    <w:rsid w:val="00572508"/>
    <w:rsid w:val="00653AB3"/>
    <w:rsid w:val="00704963"/>
    <w:rsid w:val="007340EF"/>
    <w:rsid w:val="00775CAA"/>
    <w:rsid w:val="007B3FB3"/>
    <w:rsid w:val="00830B53"/>
    <w:rsid w:val="00875930"/>
    <w:rsid w:val="0089635B"/>
    <w:rsid w:val="00A40B65"/>
    <w:rsid w:val="00A60E3D"/>
    <w:rsid w:val="00AD771B"/>
    <w:rsid w:val="00B21D68"/>
    <w:rsid w:val="00BA1529"/>
    <w:rsid w:val="00BB7CE8"/>
    <w:rsid w:val="00BE2F87"/>
    <w:rsid w:val="00CA47B7"/>
    <w:rsid w:val="00CF02CD"/>
    <w:rsid w:val="00D11DFE"/>
    <w:rsid w:val="00D327B4"/>
    <w:rsid w:val="00D63D0D"/>
    <w:rsid w:val="00D7213E"/>
    <w:rsid w:val="00E523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0BB7D"/>
  <w15:docId w15:val="{3EF83DD2-12A1-4B64-B442-C0003A136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529"/>
    <w:rPr>
      <w:lang w:val="es-ES" w:eastAsia="es-ES_tradnl"/>
    </w:rPr>
  </w:style>
  <w:style w:type="paragraph" w:styleId="Ttulo1">
    <w:name w:val="heading 1"/>
    <w:basedOn w:val="Normal"/>
    <w:next w:val="Normal"/>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a">
    <w:basedOn w:val="TableNormala"/>
    <w:tblPr>
      <w:tblStyleRowBandSize w:val="1"/>
      <w:tblStyleColBandSize w:val="1"/>
      <w:tblCellMar>
        <w:left w:w="115" w:type="dxa"/>
        <w:right w:w="115" w:type="dxa"/>
      </w:tblCellMar>
    </w:tblPr>
  </w:style>
  <w:style w:type="table" w:customStyle="1" w:styleId="a0">
    <w:basedOn w:val="TableNormala"/>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806B5C"/>
    <w:rPr>
      <w:vertAlign w:val="superscript"/>
    </w:rPr>
  </w:style>
  <w:style w:type="table" w:customStyle="1" w:styleId="a1">
    <w:basedOn w:val="TableNormala"/>
    <w:tblPr>
      <w:tblStyleRowBandSize w:val="1"/>
      <w:tblStyleColBandSize w:val="1"/>
      <w:tblCellMar>
        <w:left w:w="115" w:type="dxa"/>
        <w:right w:w="115" w:type="dxa"/>
      </w:tblCellMar>
    </w:tblPr>
  </w:style>
  <w:style w:type="table" w:customStyle="1" w:styleId="a2">
    <w:basedOn w:val="TableNormala"/>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9"/>
    <w:tblPr>
      <w:tblStyleRowBandSize w:val="1"/>
      <w:tblStyleColBandSize w:val="1"/>
      <w:tblCellMar>
        <w:left w:w="115" w:type="dxa"/>
        <w:right w:w="115" w:type="dxa"/>
      </w:tblCellMar>
    </w:tblPr>
  </w:style>
  <w:style w:type="table" w:customStyle="1" w:styleId="a4">
    <w:basedOn w:val="TableNormal9"/>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2"/>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INAI"/>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INAI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8"/>
    <w:tblPr>
      <w:tblStyleRowBandSize w:val="1"/>
      <w:tblStyleColBandSize w:val="1"/>
      <w:tblCellMar>
        <w:left w:w="108" w:type="dxa"/>
        <w:right w:w="108" w:type="dxa"/>
      </w:tblCellMar>
    </w:tblPr>
  </w:style>
  <w:style w:type="table" w:customStyle="1" w:styleId="a6">
    <w:basedOn w:val="TableNormal8"/>
    <w:tblPr>
      <w:tblStyleRowBandSize w:val="1"/>
      <w:tblStyleColBandSize w:val="1"/>
      <w:tblCellMar>
        <w:left w:w="108" w:type="dxa"/>
        <w:right w:w="108" w:type="dxa"/>
      </w:tblCellMar>
    </w:tblPr>
  </w:style>
  <w:style w:type="table" w:customStyle="1" w:styleId="a7">
    <w:basedOn w:val="TableNormal8"/>
    <w:tblPr>
      <w:tblStyleRowBandSize w:val="1"/>
      <w:tblStyleColBandSize w:val="1"/>
      <w:tblCellMar>
        <w:left w:w="108" w:type="dxa"/>
        <w:right w:w="108" w:type="dxa"/>
      </w:tblCellMar>
    </w:tblPr>
  </w:style>
  <w:style w:type="table" w:customStyle="1" w:styleId="a8">
    <w:basedOn w:val="TableNormal8"/>
    <w:tblPr>
      <w:tblStyleRowBandSize w:val="1"/>
      <w:tblStyleColBandSize w:val="1"/>
      <w:tblCellMar>
        <w:left w:w="108" w:type="dxa"/>
        <w:right w:w="108" w:type="dxa"/>
      </w:tblCellMar>
    </w:tblPr>
  </w:style>
  <w:style w:type="table" w:customStyle="1" w:styleId="a9">
    <w:basedOn w:val="TableNormal8"/>
    <w:tblPr>
      <w:tblStyleRowBandSize w:val="1"/>
      <w:tblStyleColBandSize w:val="1"/>
      <w:tblCellMar>
        <w:left w:w="108" w:type="dxa"/>
        <w:right w:w="108" w:type="dxa"/>
      </w:tblCellMar>
    </w:tblPr>
  </w:style>
  <w:style w:type="table" w:customStyle="1" w:styleId="aa">
    <w:basedOn w:val="TableNormal8"/>
    <w:tblPr>
      <w:tblStyleRowBandSize w:val="1"/>
      <w:tblStyleColBandSize w:val="1"/>
      <w:tblCellMar>
        <w:left w:w="115" w:type="dxa"/>
        <w:right w:w="115" w:type="dxa"/>
      </w:tblCellMar>
    </w:tblPr>
  </w:style>
  <w:style w:type="table" w:customStyle="1" w:styleId="ab">
    <w:basedOn w:val="TableNormal8"/>
    <w:tblPr>
      <w:tblStyleRowBandSize w:val="1"/>
      <w:tblStyleColBandSize w:val="1"/>
      <w:tblCellMar>
        <w:left w:w="115" w:type="dxa"/>
        <w:right w:w="115" w:type="dxa"/>
      </w:tblCellMar>
    </w:tblPr>
  </w:style>
  <w:style w:type="table" w:customStyle="1" w:styleId="ac">
    <w:basedOn w:val="TableNormal7"/>
    <w:tblPr>
      <w:tblStyleRowBandSize w:val="1"/>
      <w:tblStyleColBandSize w:val="1"/>
      <w:tblCellMar>
        <w:left w:w="108" w:type="dxa"/>
        <w:right w:w="108" w:type="dxa"/>
      </w:tblCellMar>
    </w:tblPr>
  </w:style>
  <w:style w:type="table" w:customStyle="1" w:styleId="ad">
    <w:basedOn w:val="TableNormal7"/>
    <w:tblPr>
      <w:tblStyleRowBandSize w:val="1"/>
      <w:tblStyleColBandSize w:val="1"/>
      <w:tblCellMar>
        <w:left w:w="115" w:type="dxa"/>
        <w:right w:w="115" w:type="dxa"/>
      </w:tblCellMar>
    </w:tblPr>
  </w:style>
  <w:style w:type="table" w:customStyle="1" w:styleId="ae">
    <w:basedOn w:val="TableNormal7"/>
    <w:tblPr>
      <w:tblStyleRowBandSize w:val="1"/>
      <w:tblStyleColBandSize w:val="1"/>
      <w:tblCellMar>
        <w:left w:w="115" w:type="dxa"/>
        <w:right w:w="115" w:type="dxa"/>
      </w:tblCellMar>
    </w:tblPr>
  </w:style>
  <w:style w:type="table" w:customStyle="1" w:styleId="af">
    <w:basedOn w:val="TableNormal6"/>
    <w:tblPr>
      <w:tblStyleRowBandSize w:val="1"/>
      <w:tblStyleColBandSize w:val="1"/>
      <w:tblCellMar>
        <w:left w:w="115" w:type="dxa"/>
        <w:right w:w="115" w:type="dxa"/>
      </w:tblCellMar>
    </w:tblPr>
  </w:style>
  <w:style w:type="table" w:customStyle="1" w:styleId="af0">
    <w:basedOn w:val="TableNormal6"/>
    <w:tblPr>
      <w:tblStyleRowBandSize w:val="1"/>
      <w:tblStyleColBandSize w:val="1"/>
      <w:tblCellMar>
        <w:left w:w="115" w:type="dxa"/>
        <w:right w:w="115" w:type="dxa"/>
      </w:tblCellMar>
    </w:tblPr>
  </w:style>
  <w:style w:type="table" w:customStyle="1" w:styleId="af1">
    <w:basedOn w:val="TableNormal6"/>
    <w:tblPr>
      <w:tblStyleRowBandSize w:val="1"/>
      <w:tblStyleColBandSize w:val="1"/>
      <w:tblCellMar>
        <w:left w:w="115" w:type="dxa"/>
        <w:right w:w="115" w:type="dxa"/>
      </w:tblCellMar>
    </w:tblPr>
  </w:style>
  <w:style w:type="table" w:customStyle="1" w:styleId="af2">
    <w:basedOn w:val="TableNormal5"/>
    <w:tblPr>
      <w:tblStyleRowBandSize w:val="1"/>
      <w:tblStyleColBandSize w:val="1"/>
      <w:tblCellMar>
        <w:left w:w="115" w:type="dxa"/>
        <w:right w:w="115" w:type="dxa"/>
      </w:tblCellMar>
    </w:tblPr>
  </w:style>
  <w:style w:type="table" w:customStyle="1" w:styleId="af3">
    <w:basedOn w:val="TableNormal5"/>
    <w:tblPr>
      <w:tblStyleRowBandSize w:val="1"/>
      <w:tblStyleColBandSize w:val="1"/>
      <w:tblCellMar>
        <w:left w:w="115" w:type="dxa"/>
        <w:right w:w="115" w:type="dxa"/>
      </w:tblCellMar>
    </w:tblPr>
  </w:style>
  <w:style w:type="table" w:customStyle="1" w:styleId="af4">
    <w:basedOn w:val="TableNormal4"/>
    <w:tblPr>
      <w:tblStyleRowBandSize w:val="1"/>
      <w:tblStyleColBandSize w:val="1"/>
      <w:tblCellMar>
        <w:left w:w="115" w:type="dxa"/>
        <w:right w:w="115" w:type="dxa"/>
      </w:tblCellMar>
    </w:tblPr>
  </w:style>
  <w:style w:type="table" w:customStyle="1" w:styleId="af5">
    <w:basedOn w:val="TableNormal4"/>
    <w:tblPr>
      <w:tblStyleRowBandSize w:val="1"/>
      <w:tblStyleColBandSize w:val="1"/>
      <w:tblCellMar>
        <w:left w:w="115" w:type="dxa"/>
        <w:right w:w="115" w:type="dxa"/>
      </w:tblCellMar>
    </w:tblPr>
  </w:style>
  <w:style w:type="paragraph" w:styleId="Listaconvietas">
    <w:name w:val="List Bullet"/>
    <w:basedOn w:val="Normal"/>
    <w:uiPriority w:val="99"/>
    <w:unhideWhenUsed/>
    <w:rsid w:val="00CA1155"/>
    <w:pPr>
      <w:numPr>
        <w:numId w:val="3"/>
      </w:numPr>
      <w:contextualSpacing/>
    </w:pPr>
    <w:rPr>
      <w:lang w:eastAsia="es-ES"/>
    </w:r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40729">
      <w:bodyDiv w:val="1"/>
      <w:marLeft w:val="0"/>
      <w:marRight w:val="0"/>
      <w:marTop w:val="0"/>
      <w:marBottom w:val="0"/>
      <w:divBdr>
        <w:top w:val="none" w:sz="0" w:space="0" w:color="auto"/>
        <w:left w:val="none" w:sz="0" w:space="0" w:color="auto"/>
        <w:bottom w:val="none" w:sz="0" w:space="0" w:color="auto"/>
        <w:right w:val="none" w:sz="0" w:space="0" w:color="auto"/>
      </w:divBdr>
    </w:div>
    <w:div w:id="71902432">
      <w:bodyDiv w:val="1"/>
      <w:marLeft w:val="0"/>
      <w:marRight w:val="0"/>
      <w:marTop w:val="0"/>
      <w:marBottom w:val="0"/>
      <w:divBdr>
        <w:top w:val="none" w:sz="0" w:space="0" w:color="auto"/>
        <w:left w:val="none" w:sz="0" w:space="0" w:color="auto"/>
        <w:bottom w:val="none" w:sz="0" w:space="0" w:color="auto"/>
        <w:right w:val="none" w:sz="0" w:space="0" w:color="auto"/>
      </w:divBdr>
    </w:div>
    <w:div w:id="1342008322">
      <w:bodyDiv w:val="1"/>
      <w:marLeft w:val="0"/>
      <w:marRight w:val="0"/>
      <w:marTop w:val="0"/>
      <w:marBottom w:val="0"/>
      <w:divBdr>
        <w:top w:val="none" w:sz="0" w:space="0" w:color="auto"/>
        <w:left w:val="none" w:sz="0" w:space="0" w:color="auto"/>
        <w:bottom w:val="none" w:sz="0" w:space="0" w:color="auto"/>
        <w:right w:val="none" w:sz="0" w:space="0" w:color="auto"/>
      </w:divBdr>
    </w:div>
    <w:div w:id="1534079017">
      <w:bodyDiv w:val="1"/>
      <w:marLeft w:val="0"/>
      <w:marRight w:val="0"/>
      <w:marTop w:val="0"/>
      <w:marBottom w:val="0"/>
      <w:divBdr>
        <w:top w:val="none" w:sz="0" w:space="0" w:color="auto"/>
        <w:left w:val="none" w:sz="0" w:space="0" w:color="auto"/>
        <w:bottom w:val="none" w:sz="0" w:space="0" w:color="auto"/>
        <w:right w:val="none" w:sz="0" w:space="0" w:color="auto"/>
      </w:divBdr>
    </w:div>
    <w:div w:id="1631394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98749.page"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aimex.org.mx/saimex/solicitud/downloadAttach/2601097.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aimex.org.mx/saimex/solicitud/downloadAttach/2601096.page" TargetMode="Externa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WMe4RpA+PPdrAHwU17AncvOZdQ==">CgMxLjAyCWguNGQzNG9nODIIaC5namRneHMyCWguM2R5NnZrbTIJaC4zMGowemxsMgloLjJzOGV5bzEyCGgudHlqY3d0MgloLjN6bnlzaDcyDmgub3h6OTJ3MmFnemRnOAByITE3TjRSTG9nMnVWaGVOck93bFd4Z2tfVk9WYU9CUXJDYw==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8504</Words>
  <Characters>46775</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cp:lastPrinted>2026-01-16T17:02:00Z</cp:lastPrinted>
  <dcterms:created xsi:type="dcterms:W3CDTF">2026-04-07T18:41:00Z</dcterms:created>
  <dcterms:modified xsi:type="dcterms:W3CDTF">2026-04-07T18:41:00Z</dcterms:modified>
</cp:coreProperties>
</file>