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2A93B" w14:textId="00BA3F01" w:rsidR="00694AA0" w:rsidRPr="00995FA7" w:rsidRDefault="005B22BA">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Resolución del Pleno del Instituto de Transparencia, Acceso a la Información Pública y Protección de Datos Personales del Estado de México y Municipios, con domicilio en Metepec, Estado de México, a</w:t>
      </w:r>
      <w:r w:rsidR="00E66DA2" w:rsidRPr="00995FA7">
        <w:rPr>
          <w:rFonts w:ascii="Palatino Linotype" w:eastAsia="Palatino Linotype" w:hAnsi="Palatino Linotype" w:cs="Palatino Linotype"/>
          <w:sz w:val="22"/>
          <w:szCs w:val="22"/>
        </w:rPr>
        <w:t xml:space="preserve"> </w:t>
      </w:r>
      <w:r w:rsidR="00FD6C42" w:rsidRPr="00995FA7">
        <w:rPr>
          <w:rFonts w:ascii="Palatino Linotype" w:eastAsia="Palatino Linotype" w:hAnsi="Palatino Linotype" w:cs="Palatino Linotype"/>
          <w:sz w:val="22"/>
          <w:szCs w:val="22"/>
        </w:rPr>
        <w:t>veinti</w:t>
      </w:r>
      <w:r w:rsidR="0017533C" w:rsidRPr="00995FA7">
        <w:rPr>
          <w:rFonts w:ascii="Palatino Linotype" w:eastAsia="Palatino Linotype" w:hAnsi="Palatino Linotype" w:cs="Palatino Linotype"/>
          <w:sz w:val="22"/>
          <w:szCs w:val="22"/>
        </w:rPr>
        <w:t>cuatro</w:t>
      </w:r>
      <w:r w:rsidR="00D163EF" w:rsidRPr="00995FA7">
        <w:rPr>
          <w:rFonts w:ascii="Palatino Linotype" w:eastAsia="Palatino Linotype" w:hAnsi="Palatino Linotype" w:cs="Palatino Linotype"/>
          <w:sz w:val="22"/>
          <w:szCs w:val="22"/>
        </w:rPr>
        <w:t xml:space="preserve"> de septiembre</w:t>
      </w:r>
      <w:r w:rsidR="00067351" w:rsidRPr="00995FA7">
        <w:rPr>
          <w:rFonts w:ascii="Palatino Linotype" w:eastAsia="Palatino Linotype" w:hAnsi="Palatino Linotype" w:cs="Palatino Linotype"/>
          <w:sz w:val="22"/>
          <w:szCs w:val="22"/>
        </w:rPr>
        <w:t xml:space="preserve"> </w:t>
      </w:r>
      <w:r w:rsidRPr="00995FA7">
        <w:rPr>
          <w:rFonts w:ascii="Palatino Linotype" w:eastAsia="Palatino Linotype" w:hAnsi="Palatino Linotype" w:cs="Palatino Linotype"/>
          <w:sz w:val="22"/>
          <w:szCs w:val="22"/>
        </w:rPr>
        <w:t xml:space="preserve">de dos mil </w:t>
      </w:r>
      <w:r w:rsidR="00382740" w:rsidRPr="00995FA7">
        <w:rPr>
          <w:rFonts w:ascii="Palatino Linotype" w:eastAsia="Palatino Linotype" w:hAnsi="Palatino Linotype" w:cs="Palatino Linotype"/>
          <w:sz w:val="22"/>
          <w:szCs w:val="22"/>
        </w:rPr>
        <w:t>veintiséis</w:t>
      </w:r>
      <w:r w:rsidRPr="00995FA7">
        <w:rPr>
          <w:rFonts w:ascii="Palatino Linotype" w:eastAsia="Palatino Linotype" w:hAnsi="Palatino Linotype" w:cs="Palatino Linotype"/>
          <w:sz w:val="22"/>
          <w:szCs w:val="22"/>
        </w:rPr>
        <w:t xml:space="preserve">. </w:t>
      </w:r>
    </w:p>
    <w:p w14:paraId="32D33C57" w14:textId="23A7BFA3" w:rsidR="00694AA0" w:rsidRPr="00995FA7" w:rsidRDefault="005B22BA">
      <w:pPr>
        <w:tabs>
          <w:tab w:val="left" w:pos="5812"/>
        </w:tabs>
        <w:spacing w:before="240" w:after="240" w:line="360" w:lineRule="auto"/>
        <w:jc w:val="both"/>
        <w:rPr>
          <w:rFonts w:ascii="Palatino Linotype" w:eastAsia="Palatino Linotype" w:hAnsi="Palatino Linotype" w:cs="Palatino Linotype"/>
          <w:sz w:val="22"/>
          <w:szCs w:val="22"/>
        </w:rPr>
      </w:pPr>
      <w:bookmarkStart w:id="0" w:name="_heading=h.daj3j2xo6q66" w:colFirst="0" w:colLast="0"/>
      <w:bookmarkEnd w:id="0"/>
      <w:r w:rsidRPr="00995FA7">
        <w:rPr>
          <w:rFonts w:ascii="Palatino Linotype" w:eastAsia="Palatino Linotype" w:hAnsi="Palatino Linotype" w:cs="Palatino Linotype"/>
          <w:b/>
          <w:sz w:val="22"/>
          <w:szCs w:val="22"/>
        </w:rPr>
        <w:t>VISTO</w:t>
      </w:r>
      <w:r w:rsidRPr="00995FA7">
        <w:rPr>
          <w:rFonts w:ascii="Palatino Linotype" w:eastAsia="Palatino Linotype" w:hAnsi="Palatino Linotype" w:cs="Palatino Linotype"/>
          <w:sz w:val="22"/>
          <w:szCs w:val="22"/>
        </w:rPr>
        <w:t xml:space="preserve"> el expediente formado con motivo del recurso de revisión </w:t>
      </w:r>
      <w:r w:rsidR="00387693" w:rsidRPr="00995FA7">
        <w:rPr>
          <w:rFonts w:ascii="Palatino Linotype" w:eastAsia="Palatino Linotype" w:hAnsi="Palatino Linotype" w:cs="Palatino Linotype"/>
          <w:b/>
          <w:sz w:val="22"/>
          <w:szCs w:val="22"/>
        </w:rPr>
        <w:t>0</w:t>
      </w:r>
      <w:r w:rsidR="00D163EF" w:rsidRPr="00995FA7">
        <w:rPr>
          <w:rFonts w:ascii="Palatino Linotype" w:eastAsia="Palatino Linotype" w:hAnsi="Palatino Linotype" w:cs="Palatino Linotype"/>
          <w:b/>
          <w:sz w:val="22"/>
          <w:szCs w:val="22"/>
        </w:rPr>
        <w:t>75</w:t>
      </w:r>
      <w:r w:rsidR="00FD6C42" w:rsidRPr="00995FA7">
        <w:rPr>
          <w:rFonts w:ascii="Palatino Linotype" w:eastAsia="Palatino Linotype" w:hAnsi="Palatino Linotype" w:cs="Palatino Linotype"/>
          <w:b/>
          <w:sz w:val="22"/>
          <w:szCs w:val="22"/>
        </w:rPr>
        <w:t>69</w:t>
      </w:r>
      <w:r w:rsidR="00644C86" w:rsidRPr="00995FA7">
        <w:rPr>
          <w:rFonts w:ascii="Palatino Linotype" w:eastAsia="Palatino Linotype" w:hAnsi="Palatino Linotype" w:cs="Palatino Linotype"/>
          <w:b/>
          <w:sz w:val="22"/>
          <w:szCs w:val="22"/>
        </w:rPr>
        <w:t>/INFOEM/IP/RR/202</w:t>
      </w:r>
      <w:r w:rsidR="00067351" w:rsidRPr="00995FA7">
        <w:rPr>
          <w:rFonts w:ascii="Palatino Linotype" w:eastAsia="Palatino Linotype" w:hAnsi="Palatino Linotype" w:cs="Palatino Linotype"/>
          <w:b/>
          <w:sz w:val="22"/>
          <w:szCs w:val="22"/>
        </w:rPr>
        <w:t>6</w:t>
      </w:r>
      <w:r w:rsidRPr="00995FA7">
        <w:rPr>
          <w:rFonts w:ascii="Palatino Linotype" w:eastAsia="Palatino Linotype" w:hAnsi="Palatino Linotype" w:cs="Palatino Linotype"/>
          <w:sz w:val="22"/>
          <w:szCs w:val="22"/>
        </w:rPr>
        <w:t>, interpuesto por</w:t>
      </w:r>
      <w:r w:rsidR="00067351" w:rsidRPr="00995FA7">
        <w:rPr>
          <w:rFonts w:ascii="Palatino Linotype" w:eastAsia="Palatino Linotype" w:hAnsi="Palatino Linotype" w:cs="Palatino Linotype"/>
          <w:sz w:val="22"/>
          <w:szCs w:val="22"/>
        </w:rPr>
        <w:t xml:space="preserve"> </w:t>
      </w:r>
      <w:r w:rsidR="00D64F72" w:rsidRPr="00D64F72">
        <w:rPr>
          <w:rFonts w:ascii="Palatino Linotype" w:eastAsia="Palatino Linotype" w:hAnsi="Palatino Linotype" w:cs="Palatino Linotype"/>
          <w:b/>
          <w:sz w:val="22"/>
          <w:szCs w:val="22"/>
        </w:rPr>
        <w:t>XXXXXX XXXX XXXXXX</w:t>
      </w:r>
      <w:r w:rsidR="001A3D4C" w:rsidRPr="00D64F72">
        <w:rPr>
          <w:rFonts w:ascii="Palatino Linotype" w:eastAsia="Palatino Linotype" w:hAnsi="Palatino Linotype" w:cs="Palatino Linotype"/>
          <w:b/>
          <w:sz w:val="22"/>
          <w:szCs w:val="22"/>
        </w:rPr>
        <w:t>,</w:t>
      </w:r>
      <w:r w:rsidRPr="00995FA7">
        <w:rPr>
          <w:rFonts w:ascii="Palatino Linotype" w:eastAsia="Palatino Linotype" w:hAnsi="Palatino Linotype" w:cs="Palatino Linotype"/>
          <w:sz w:val="22"/>
          <w:szCs w:val="22"/>
        </w:rPr>
        <w:t xml:space="preserve"> en lo sucesivo</w:t>
      </w:r>
      <w:r w:rsidRPr="00995FA7">
        <w:rPr>
          <w:rFonts w:ascii="Palatino Linotype" w:eastAsia="Palatino Linotype" w:hAnsi="Palatino Linotype" w:cs="Palatino Linotype"/>
          <w:b/>
          <w:sz w:val="22"/>
          <w:szCs w:val="22"/>
        </w:rPr>
        <w:t xml:space="preserve"> </w:t>
      </w:r>
      <w:r w:rsidRPr="00995FA7">
        <w:rPr>
          <w:rFonts w:ascii="Palatino Linotype" w:eastAsia="Palatino Linotype" w:hAnsi="Palatino Linotype" w:cs="Palatino Linotype"/>
          <w:sz w:val="22"/>
          <w:szCs w:val="22"/>
        </w:rPr>
        <w:t xml:space="preserve">la parte </w:t>
      </w:r>
      <w:r w:rsidRPr="00995FA7">
        <w:rPr>
          <w:rFonts w:ascii="Palatino Linotype" w:eastAsia="Palatino Linotype" w:hAnsi="Palatino Linotype" w:cs="Palatino Linotype"/>
          <w:b/>
          <w:sz w:val="22"/>
          <w:szCs w:val="22"/>
        </w:rPr>
        <w:t>Recurrente,</w:t>
      </w:r>
      <w:r w:rsidRPr="00995FA7">
        <w:rPr>
          <w:rFonts w:ascii="Palatino Linotype" w:eastAsia="Palatino Linotype" w:hAnsi="Palatino Linotype" w:cs="Palatino Linotype"/>
          <w:sz w:val="22"/>
          <w:szCs w:val="22"/>
        </w:rPr>
        <w:t xml:space="preserve"> en contra de la respuesta a la solicitud de información con número de folio</w:t>
      </w:r>
      <w:r w:rsidRPr="00995FA7">
        <w:rPr>
          <w:rFonts w:ascii="Palatino Linotype" w:eastAsia="Palatino Linotype" w:hAnsi="Palatino Linotype" w:cs="Palatino Linotype"/>
          <w:b/>
          <w:sz w:val="22"/>
          <w:szCs w:val="22"/>
        </w:rPr>
        <w:t xml:space="preserve"> </w:t>
      </w:r>
      <w:r w:rsidR="00FD6C42" w:rsidRPr="00995FA7">
        <w:rPr>
          <w:rFonts w:ascii="Palatino Linotype" w:eastAsia="Palatino Linotype" w:hAnsi="Palatino Linotype" w:cs="Palatino Linotype"/>
          <w:b/>
          <w:sz w:val="22"/>
          <w:szCs w:val="22"/>
        </w:rPr>
        <w:t>00719/JUCHITE/IP/2026</w:t>
      </w:r>
      <w:r w:rsidRPr="00995FA7">
        <w:rPr>
          <w:rFonts w:ascii="Palatino Linotype" w:eastAsia="Palatino Linotype" w:hAnsi="Palatino Linotype" w:cs="Palatino Linotype"/>
          <w:b/>
          <w:sz w:val="22"/>
          <w:szCs w:val="22"/>
        </w:rPr>
        <w:t xml:space="preserve">, </w:t>
      </w:r>
      <w:r w:rsidRPr="00995FA7">
        <w:rPr>
          <w:rFonts w:ascii="Palatino Linotype" w:eastAsia="Palatino Linotype" w:hAnsi="Palatino Linotype" w:cs="Palatino Linotype"/>
          <w:sz w:val="22"/>
          <w:szCs w:val="22"/>
        </w:rPr>
        <w:t xml:space="preserve">por parte del </w:t>
      </w:r>
      <w:r w:rsidR="00FD6C42" w:rsidRPr="00995FA7">
        <w:rPr>
          <w:rFonts w:ascii="Palatino Linotype" w:eastAsia="Palatino Linotype" w:hAnsi="Palatino Linotype" w:cs="Palatino Linotype"/>
          <w:b/>
          <w:bCs/>
          <w:sz w:val="22"/>
          <w:szCs w:val="22"/>
        </w:rPr>
        <w:t>Ayuntamiento de Juchitepec</w:t>
      </w:r>
      <w:r w:rsidRPr="00995FA7">
        <w:rPr>
          <w:rFonts w:ascii="Palatino Linotype" w:eastAsia="Palatino Linotype" w:hAnsi="Palatino Linotype" w:cs="Palatino Linotype"/>
          <w:b/>
          <w:sz w:val="22"/>
          <w:szCs w:val="22"/>
        </w:rPr>
        <w:t xml:space="preserve">, </w:t>
      </w:r>
      <w:r w:rsidRPr="00995FA7">
        <w:rPr>
          <w:rFonts w:ascii="Palatino Linotype" w:eastAsia="Palatino Linotype" w:hAnsi="Palatino Linotype" w:cs="Palatino Linotype"/>
          <w:sz w:val="22"/>
          <w:szCs w:val="22"/>
        </w:rPr>
        <w:t xml:space="preserve">en lo sucesivo el </w:t>
      </w:r>
      <w:r w:rsidRPr="00995FA7">
        <w:rPr>
          <w:rFonts w:ascii="Palatino Linotype" w:eastAsia="Palatino Linotype" w:hAnsi="Palatino Linotype" w:cs="Palatino Linotype"/>
          <w:b/>
          <w:sz w:val="22"/>
          <w:szCs w:val="22"/>
        </w:rPr>
        <w:t xml:space="preserve">Sujeto Obligado, </w:t>
      </w:r>
      <w:r w:rsidRPr="00995FA7">
        <w:rPr>
          <w:rFonts w:ascii="Palatino Linotype" w:eastAsia="Palatino Linotype" w:hAnsi="Palatino Linotype" w:cs="Palatino Linotype"/>
          <w:sz w:val="22"/>
          <w:szCs w:val="22"/>
        </w:rPr>
        <w:t xml:space="preserve">se procede a dictar la presente resolución con base en los siguientes: </w:t>
      </w:r>
    </w:p>
    <w:p w14:paraId="6CBEA268" w14:textId="77777777" w:rsidR="00694AA0" w:rsidRPr="00995FA7" w:rsidRDefault="005B22BA">
      <w:pPr>
        <w:spacing w:before="240" w:after="240" w:line="360" w:lineRule="auto"/>
        <w:jc w:val="center"/>
        <w:rPr>
          <w:rFonts w:ascii="Palatino Linotype" w:eastAsia="Palatino Linotype" w:hAnsi="Palatino Linotype" w:cs="Palatino Linotype"/>
          <w:b/>
          <w:sz w:val="22"/>
          <w:szCs w:val="22"/>
        </w:rPr>
      </w:pPr>
      <w:r w:rsidRPr="00995FA7">
        <w:rPr>
          <w:rFonts w:ascii="Palatino Linotype" w:eastAsia="Palatino Linotype" w:hAnsi="Palatino Linotype" w:cs="Palatino Linotype"/>
          <w:b/>
          <w:sz w:val="22"/>
          <w:szCs w:val="22"/>
        </w:rPr>
        <w:t>I. A N T E C E D E N T E S</w:t>
      </w:r>
    </w:p>
    <w:p w14:paraId="68695096" w14:textId="058E80F2" w:rsidR="00694AA0" w:rsidRPr="00995FA7" w:rsidRDefault="005B22BA">
      <w:pPr>
        <w:spacing w:before="240" w:after="240" w:line="360" w:lineRule="auto"/>
        <w:jc w:val="both"/>
        <w:rPr>
          <w:rFonts w:ascii="Palatino Linotype" w:eastAsia="Palatino Linotype" w:hAnsi="Palatino Linotype" w:cs="Palatino Linotype"/>
          <w:sz w:val="22"/>
          <w:szCs w:val="22"/>
        </w:rPr>
      </w:pPr>
      <w:bookmarkStart w:id="1" w:name="_heading=h.gjdgxs" w:colFirst="0" w:colLast="0"/>
      <w:bookmarkEnd w:id="1"/>
      <w:r w:rsidRPr="00995FA7">
        <w:rPr>
          <w:rFonts w:ascii="Palatino Linotype" w:eastAsia="Palatino Linotype" w:hAnsi="Palatino Linotype" w:cs="Palatino Linotype"/>
          <w:b/>
          <w:sz w:val="22"/>
          <w:szCs w:val="22"/>
        </w:rPr>
        <w:t>1. Solicitud de acceso a la información.</w:t>
      </w:r>
      <w:r w:rsidRPr="00995FA7">
        <w:rPr>
          <w:rFonts w:ascii="Palatino Linotype" w:eastAsia="Palatino Linotype" w:hAnsi="Palatino Linotype" w:cs="Palatino Linotype"/>
          <w:sz w:val="22"/>
          <w:szCs w:val="22"/>
        </w:rPr>
        <w:t xml:space="preserve"> El </w:t>
      </w:r>
      <w:r w:rsidR="00FD6C42" w:rsidRPr="00995FA7">
        <w:rPr>
          <w:rFonts w:ascii="Palatino Linotype" w:eastAsia="Palatino Linotype" w:hAnsi="Palatino Linotype" w:cs="Palatino Linotype"/>
          <w:b/>
          <w:sz w:val="22"/>
          <w:szCs w:val="22"/>
        </w:rPr>
        <w:t xml:space="preserve">diecisiete de </w:t>
      </w:r>
      <w:r w:rsidR="00D163EF" w:rsidRPr="00995FA7">
        <w:rPr>
          <w:rFonts w:ascii="Palatino Linotype" w:eastAsia="Palatino Linotype" w:hAnsi="Palatino Linotype" w:cs="Palatino Linotype"/>
          <w:b/>
          <w:sz w:val="22"/>
          <w:szCs w:val="22"/>
        </w:rPr>
        <w:t>ju</w:t>
      </w:r>
      <w:r w:rsidR="00FD6C42" w:rsidRPr="00995FA7">
        <w:rPr>
          <w:rFonts w:ascii="Palatino Linotype" w:eastAsia="Palatino Linotype" w:hAnsi="Palatino Linotype" w:cs="Palatino Linotype"/>
          <w:b/>
          <w:sz w:val="22"/>
          <w:szCs w:val="22"/>
        </w:rPr>
        <w:t>n</w:t>
      </w:r>
      <w:r w:rsidR="00D163EF" w:rsidRPr="00995FA7">
        <w:rPr>
          <w:rFonts w:ascii="Palatino Linotype" w:eastAsia="Palatino Linotype" w:hAnsi="Palatino Linotype" w:cs="Palatino Linotype"/>
          <w:b/>
          <w:sz w:val="22"/>
          <w:szCs w:val="22"/>
        </w:rPr>
        <w:t xml:space="preserve">io </w:t>
      </w:r>
      <w:r w:rsidR="00067351" w:rsidRPr="00995FA7">
        <w:rPr>
          <w:rFonts w:ascii="Palatino Linotype" w:eastAsia="Palatino Linotype" w:hAnsi="Palatino Linotype" w:cs="Palatino Linotype"/>
          <w:b/>
          <w:sz w:val="22"/>
          <w:szCs w:val="22"/>
        </w:rPr>
        <w:t>de</w:t>
      </w:r>
      <w:r w:rsidRPr="00995FA7">
        <w:rPr>
          <w:rFonts w:ascii="Palatino Linotype" w:eastAsia="Palatino Linotype" w:hAnsi="Palatino Linotype" w:cs="Palatino Linotype"/>
          <w:b/>
          <w:sz w:val="22"/>
          <w:szCs w:val="22"/>
        </w:rPr>
        <w:t xml:space="preserve"> dos mil veinti</w:t>
      </w:r>
      <w:r w:rsidR="00067351" w:rsidRPr="00995FA7">
        <w:rPr>
          <w:rFonts w:ascii="Palatino Linotype" w:eastAsia="Palatino Linotype" w:hAnsi="Palatino Linotype" w:cs="Palatino Linotype"/>
          <w:b/>
          <w:sz w:val="22"/>
          <w:szCs w:val="22"/>
        </w:rPr>
        <w:t>séis</w:t>
      </w:r>
      <w:r w:rsidRPr="00995FA7">
        <w:rPr>
          <w:rFonts w:ascii="Palatino Linotype" w:eastAsia="Palatino Linotype" w:hAnsi="Palatino Linotype" w:cs="Palatino Linotype"/>
          <w:b/>
          <w:sz w:val="22"/>
          <w:szCs w:val="22"/>
        </w:rPr>
        <w:t>,</w:t>
      </w:r>
      <w:r w:rsidRPr="00995FA7">
        <w:rPr>
          <w:rFonts w:ascii="Palatino Linotype" w:eastAsia="Palatino Linotype" w:hAnsi="Palatino Linotype" w:cs="Palatino Linotype"/>
          <w:sz w:val="22"/>
          <w:szCs w:val="22"/>
        </w:rPr>
        <w:t xml:space="preserve"> la parte </w:t>
      </w:r>
      <w:r w:rsidRPr="00995FA7">
        <w:rPr>
          <w:rFonts w:ascii="Palatino Linotype" w:eastAsia="Palatino Linotype" w:hAnsi="Palatino Linotype" w:cs="Palatino Linotype"/>
          <w:b/>
          <w:sz w:val="22"/>
          <w:szCs w:val="22"/>
        </w:rPr>
        <w:t xml:space="preserve">Recurrente </w:t>
      </w:r>
      <w:r w:rsidR="007D6158" w:rsidRPr="00995FA7">
        <w:rPr>
          <w:rFonts w:ascii="Palatino Linotype" w:eastAsia="Palatino Linotype" w:hAnsi="Palatino Linotype" w:cs="Palatino Linotype"/>
          <w:sz w:val="22"/>
          <w:szCs w:val="22"/>
        </w:rPr>
        <w:t xml:space="preserve">presentó la solicitud de acceso a la información pública ante el </w:t>
      </w:r>
      <w:r w:rsidR="007D6158" w:rsidRPr="00995FA7">
        <w:rPr>
          <w:rFonts w:ascii="Palatino Linotype" w:eastAsia="Palatino Linotype" w:hAnsi="Palatino Linotype" w:cs="Palatino Linotype"/>
          <w:b/>
          <w:sz w:val="22"/>
          <w:szCs w:val="22"/>
        </w:rPr>
        <w:t>Sujeto Obligado</w:t>
      </w:r>
      <w:r w:rsidR="007D6158" w:rsidRPr="00995FA7">
        <w:rPr>
          <w:rFonts w:ascii="Palatino Linotype" w:eastAsia="Palatino Linotype" w:hAnsi="Palatino Linotype" w:cs="Palatino Linotype"/>
          <w:sz w:val="22"/>
          <w:szCs w:val="22"/>
        </w:rPr>
        <w:t xml:space="preserve">, a través del Sistema de Acceso a la Información Mexiquense, en lo subsecuente el </w:t>
      </w:r>
      <w:r w:rsidR="007D6158" w:rsidRPr="00995FA7">
        <w:rPr>
          <w:rFonts w:ascii="Palatino Linotype" w:eastAsia="Palatino Linotype" w:hAnsi="Palatino Linotype" w:cs="Palatino Linotype"/>
          <w:b/>
          <w:sz w:val="22"/>
          <w:szCs w:val="22"/>
        </w:rPr>
        <w:t>SAIMEX,</w:t>
      </w:r>
      <w:r w:rsidR="00FD6C42" w:rsidRPr="00995FA7">
        <w:rPr>
          <w:rFonts w:ascii="Palatino Linotype" w:eastAsia="Palatino Linotype" w:hAnsi="Palatino Linotype" w:cs="Palatino Linotype"/>
          <w:b/>
          <w:sz w:val="22"/>
          <w:szCs w:val="22"/>
        </w:rPr>
        <w:t xml:space="preserve"> </w:t>
      </w:r>
      <w:r w:rsidRPr="00995FA7">
        <w:rPr>
          <w:rFonts w:ascii="Palatino Linotype" w:eastAsia="Palatino Linotype" w:hAnsi="Palatino Linotype" w:cs="Palatino Linotype"/>
          <w:sz w:val="22"/>
          <w:szCs w:val="22"/>
        </w:rPr>
        <w:t>mediante la cual requirió lo siguiente:</w:t>
      </w:r>
    </w:p>
    <w:p w14:paraId="2B457E68" w14:textId="539702E4" w:rsidR="00694AA0" w:rsidRPr="00995FA7" w:rsidRDefault="005B22BA" w:rsidP="00D15C4F">
      <w:pPr>
        <w:spacing w:before="120" w:after="120"/>
        <w:ind w:left="851" w:right="902"/>
        <w:jc w:val="both"/>
        <w:rPr>
          <w:rFonts w:ascii="Palatino Linotype" w:eastAsia="Palatino Linotype" w:hAnsi="Palatino Linotype" w:cs="Palatino Linotype"/>
          <w:b/>
          <w:i/>
          <w:sz w:val="22"/>
          <w:szCs w:val="22"/>
        </w:rPr>
      </w:pPr>
      <w:r w:rsidRPr="00995FA7">
        <w:rPr>
          <w:rFonts w:ascii="Palatino Linotype" w:eastAsia="Palatino Linotype" w:hAnsi="Palatino Linotype" w:cs="Palatino Linotype"/>
          <w:i/>
          <w:sz w:val="22"/>
          <w:szCs w:val="22"/>
        </w:rPr>
        <w:t xml:space="preserve"> “</w:t>
      </w:r>
      <w:r w:rsidR="00FD6C42" w:rsidRPr="00995FA7">
        <w:rPr>
          <w:rFonts w:ascii="Palatino Linotype" w:eastAsia="Palatino Linotype" w:hAnsi="Palatino Linotype" w:cs="Palatino Linotype"/>
          <w:i/>
          <w:sz w:val="22"/>
          <w:szCs w:val="22"/>
        </w:rPr>
        <w:t>SOLICITO A LA CONTRALORA MUNICIPAL LA DOCUMENTAL QUE SEÑALE LA VIGILANCIA REALIZADA PARA QUE LOS ingresos municipales se enteren a la tesorería municipal conforme a los procedimientos contables y disposiciones legales aplicables; especialmente lo referente a la totalidad de los ingresos recaudados por el panteon Colinas del Mayorazgo y Jardines de la Quietud, lo recaudado por concepto de recaudacion de derechos referentes a tianguis, carnavales, fiestas patronales, ventas de juguetes, dia de muertos, licencias de funcionamiento de enerod e 2025 a la fecha</w:t>
      </w:r>
      <w:r w:rsidRPr="00995FA7">
        <w:rPr>
          <w:rFonts w:ascii="Palatino Linotype" w:eastAsia="Palatino Linotype" w:hAnsi="Palatino Linotype" w:cs="Palatino Linotype"/>
          <w:b/>
          <w:i/>
          <w:sz w:val="22"/>
          <w:szCs w:val="22"/>
        </w:rPr>
        <w:t>”</w:t>
      </w:r>
      <w:r w:rsidRPr="00995FA7">
        <w:rPr>
          <w:rFonts w:ascii="Palatino Linotype" w:eastAsia="Palatino Linotype" w:hAnsi="Palatino Linotype" w:cs="Palatino Linotype"/>
          <w:i/>
          <w:sz w:val="22"/>
          <w:szCs w:val="22"/>
        </w:rPr>
        <w:t xml:space="preserve"> (sic) </w:t>
      </w:r>
    </w:p>
    <w:p w14:paraId="00632FFF" w14:textId="77777777" w:rsidR="007D6158" w:rsidRPr="00995FA7" w:rsidRDefault="007D6158" w:rsidP="007D6158">
      <w:pPr>
        <w:spacing w:before="240" w:after="240" w:line="360" w:lineRule="auto"/>
        <w:jc w:val="both"/>
        <w:rPr>
          <w:rFonts w:ascii="Palatino Linotype" w:eastAsia="Palatino Linotype" w:hAnsi="Palatino Linotype" w:cs="Palatino Linotype"/>
          <w:b/>
          <w:sz w:val="22"/>
          <w:szCs w:val="22"/>
        </w:rPr>
      </w:pPr>
      <w:r w:rsidRPr="00995FA7">
        <w:rPr>
          <w:rFonts w:ascii="Palatino Linotype" w:eastAsia="Palatino Linotype" w:hAnsi="Palatino Linotype" w:cs="Palatino Linotype"/>
          <w:b/>
          <w:sz w:val="22"/>
          <w:szCs w:val="22"/>
        </w:rPr>
        <w:t xml:space="preserve">Modalidad de Entrega: </w:t>
      </w:r>
      <w:r w:rsidRPr="00995FA7">
        <w:rPr>
          <w:rFonts w:ascii="Palatino Linotype" w:eastAsia="Palatino Linotype" w:hAnsi="Palatino Linotype" w:cs="Palatino Linotype"/>
          <w:sz w:val="22"/>
          <w:szCs w:val="22"/>
        </w:rPr>
        <w:t>a través del</w:t>
      </w:r>
      <w:r w:rsidRPr="00995FA7">
        <w:rPr>
          <w:rFonts w:ascii="Palatino Linotype" w:eastAsia="Palatino Linotype" w:hAnsi="Palatino Linotype" w:cs="Palatino Linotype"/>
          <w:b/>
          <w:sz w:val="22"/>
          <w:szCs w:val="22"/>
        </w:rPr>
        <w:t xml:space="preserve"> SAIMEX.</w:t>
      </w:r>
    </w:p>
    <w:p w14:paraId="29E0D58E" w14:textId="7066DC5C" w:rsidR="00FD6C42" w:rsidRPr="00995FA7" w:rsidRDefault="005B22BA" w:rsidP="00FD6C42">
      <w:pPr>
        <w:pBdr>
          <w:top w:val="nil"/>
          <w:left w:val="nil"/>
          <w:bottom w:val="nil"/>
          <w:right w:val="nil"/>
          <w:between w:val="nil"/>
        </w:pBdr>
        <w:tabs>
          <w:tab w:val="left" w:pos="142"/>
          <w:tab w:val="left" w:pos="284"/>
        </w:tabs>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b/>
          <w:sz w:val="22"/>
          <w:szCs w:val="22"/>
        </w:rPr>
        <w:lastRenderedPageBreak/>
        <w:t xml:space="preserve">2. </w:t>
      </w:r>
      <w:r w:rsidR="00FD6C42" w:rsidRPr="00995FA7">
        <w:rPr>
          <w:rFonts w:ascii="Palatino Linotype" w:eastAsia="Palatino Linotype" w:hAnsi="Palatino Linotype" w:cs="Palatino Linotype"/>
          <w:b/>
          <w:sz w:val="22"/>
          <w:szCs w:val="22"/>
        </w:rPr>
        <w:t xml:space="preserve">Prórroga. </w:t>
      </w:r>
      <w:r w:rsidR="00FD6C42" w:rsidRPr="00995FA7">
        <w:rPr>
          <w:rFonts w:ascii="Palatino Linotype" w:eastAsia="Palatino Linotype" w:hAnsi="Palatino Linotype" w:cs="Palatino Linotype"/>
          <w:sz w:val="22"/>
          <w:szCs w:val="22"/>
        </w:rPr>
        <w:t xml:space="preserve">El </w:t>
      </w:r>
      <w:r w:rsidR="00FD6C42" w:rsidRPr="00995FA7">
        <w:rPr>
          <w:rFonts w:ascii="Palatino Linotype" w:eastAsia="Palatino Linotype" w:hAnsi="Palatino Linotype" w:cs="Palatino Linotype"/>
          <w:b/>
          <w:bCs/>
          <w:sz w:val="22"/>
          <w:szCs w:val="22"/>
        </w:rPr>
        <w:t>ocho de julio de dos mil veintiséis</w:t>
      </w:r>
      <w:r w:rsidR="00FD6C42" w:rsidRPr="00995FA7">
        <w:rPr>
          <w:rFonts w:ascii="Palatino Linotype" w:eastAsia="Palatino Linotype" w:hAnsi="Palatino Linotype" w:cs="Palatino Linotype"/>
          <w:sz w:val="22"/>
          <w:szCs w:val="22"/>
        </w:rPr>
        <w:t>, el Sujeto Obligado solicitó una prórroga</w:t>
      </w:r>
      <w:r w:rsidR="00FD6C42" w:rsidRPr="00995FA7">
        <w:rPr>
          <w:rFonts w:ascii="Palatino Linotype" w:eastAsia="Palatino Linotype" w:hAnsi="Palatino Linotype" w:cs="Palatino Linotype"/>
          <w:b/>
          <w:bCs/>
          <w:sz w:val="22"/>
          <w:szCs w:val="22"/>
        </w:rPr>
        <w:t xml:space="preserve"> </w:t>
      </w:r>
      <w:r w:rsidR="00FD6C42" w:rsidRPr="00995FA7">
        <w:rPr>
          <w:rFonts w:ascii="Palatino Linotype" w:eastAsia="Palatino Linotype" w:hAnsi="Palatino Linotype" w:cs="Palatino Linotype"/>
          <w:sz w:val="22"/>
          <w:szCs w:val="22"/>
        </w:rPr>
        <w:t>para dar respuesta a la solicitud, en los siguientes términos:</w:t>
      </w:r>
    </w:p>
    <w:p w14:paraId="4CC34907" w14:textId="77777777" w:rsidR="00FD6C42" w:rsidRPr="00995FA7" w:rsidRDefault="00FD6C42" w:rsidP="00FD6C42">
      <w:pPr>
        <w:pBdr>
          <w:top w:val="nil"/>
          <w:left w:val="nil"/>
          <w:bottom w:val="nil"/>
          <w:right w:val="nil"/>
          <w:between w:val="nil"/>
        </w:pBdr>
        <w:tabs>
          <w:tab w:val="left" w:pos="142"/>
          <w:tab w:val="left" w:pos="284"/>
        </w:tabs>
        <w:spacing w:before="120" w:after="120"/>
        <w:ind w:left="851" w:right="902"/>
        <w:jc w:val="both"/>
        <w:rPr>
          <w:rFonts w:ascii="Palatino Linotype" w:eastAsia="Palatino Linotype" w:hAnsi="Palatino Linotype" w:cs="Palatino Linotype"/>
          <w:i/>
          <w:iCs/>
          <w:sz w:val="22"/>
          <w:szCs w:val="22"/>
        </w:rPr>
      </w:pPr>
      <w:r w:rsidRPr="00995FA7">
        <w:rPr>
          <w:rFonts w:ascii="Palatino Linotype" w:eastAsia="Palatino Linotype" w:hAnsi="Palatino Linotype" w:cs="Palatino Linotype"/>
          <w:i/>
          <w:iCs/>
          <w:sz w:val="22"/>
          <w:szCs w:val="22"/>
        </w:rPr>
        <w:t>“Con fundamento en el artículo 163 de la Ley de Transparencia y Acceso a la Información Pública del Estado de México y Municipios, se le hace de su conocimiento que el plazo de 15 días hábiles para atender su solicitud de información ha sido prorrogado por 7 días en virtud de las siguientes razones:</w:t>
      </w:r>
    </w:p>
    <w:p w14:paraId="316D7A42" w14:textId="7AD56E13" w:rsidR="00FD6C42" w:rsidRPr="00995FA7" w:rsidRDefault="00FD6C42" w:rsidP="00FD6C42">
      <w:pPr>
        <w:pBdr>
          <w:top w:val="nil"/>
          <w:left w:val="nil"/>
          <w:bottom w:val="nil"/>
          <w:right w:val="nil"/>
          <w:between w:val="nil"/>
        </w:pBdr>
        <w:tabs>
          <w:tab w:val="left" w:pos="142"/>
          <w:tab w:val="left" w:pos="284"/>
        </w:tabs>
        <w:spacing w:before="120" w:after="120"/>
        <w:ind w:left="851" w:right="902"/>
        <w:jc w:val="both"/>
        <w:rPr>
          <w:rFonts w:ascii="Palatino Linotype" w:eastAsia="Palatino Linotype" w:hAnsi="Palatino Linotype" w:cs="Palatino Linotype"/>
          <w:i/>
          <w:iCs/>
          <w:sz w:val="22"/>
          <w:szCs w:val="22"/>
        </w:rPr>
      </w:pPr>
      <w:r w:rsidRPr="00995FA7">
        <w:rPr>
          <w:rFonts w:ascii="Palatino Linotype" w:eastAsia="Palatino Linotype" w:hAnsi="Palatino Linotype" w:cs="Palatino Linotype"/>
          <w:i/>
          <w:iCs/>
          <w:sz w:val="22"/>
          <w:szCs w:val="22"/>
        </w:rPr>
        <w:t>Se aprueba prorroga al SPH Sheila Zuleyma Ibarra Godinez.” (sic)</w:t>
      </w:r>
    </w:p>
    <w:p w14:paraId="4FF80F5E" w14:textId="77777777" w:rsidR="00FD6C42" w:rsidRPr="00995FA7" w:rsidRDefault="00FD6C42" w:rsidP="00FD6C42">
      <w:pPr>
        <w:spacing w:before="240" w:after="240" w:line="360" w:lineRule="auto"/>
        <w:ind w:right="51"/>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De esta manera, como refiere el </w:t>
      </w:r>
      <w:r w:rsidRPr="00995FA7">
        <w:rPr>
          <w:rFonts w:ascii="Palatino Linotype" w:eastAsia="Palatino Linotype" w:hAnsi="Palatino Linotype" w:cs="Palatino Linotype"/>
          <w:b/>
          <w:bCs/>
          <w:sz w:val="22"/>
          <w:szCs w:val="22"/>
        </w:rPr>
        <w:t>Sujeto Obligado</w:t>
      </w:r>
      <w:r w:rsidRPr="00995FA7">
        <w:rPr>
          <w:rFonts w:ascii="Palatino Linotype" w:eastAsia="Palatino Linotype" w:hAnsi="Palatino Linotype" w:cs="Palatino Linotype"/>
          <w:sz w:val="22"/>
          <w:szCs w:val="22"/>
        </w:rPr>
        <w:t xml:space="preserve"> la Ley de Transparencia y Acceso a la Información Pública del Estado de México y Municipios, contempla la potestad de ampliar el plazo hasta por siete días, en términos del párrafo segundo del artículo 163 de la Ley de Transparencia y Acceso a la Información Pública del Estado de México y Municipios, siempre y cuando existan razones fundadas y motivadas para hacerlo, y que estas sean aprobadas por el Comité de Transparencia, mediante la emisión de una resolución; en el caso particular que nos ocupa y derivado de las constancias que obran en el expediente, se advierte que </w:t>
      </w:r>
      <w:r w:rsidRPr="00995FA7">
        <w:rPr>
          <w:rFonts w:ascii="Palatino Linotype" w:eastAsia="Palatino Linotype" w:hAnsi="Palatino Linotype" w:cs="Palatino Linotype"/>
          <w:b/>
          <w:bCs/>
          <w:sz w:val="22"/>
          <w:szCs w:val="22"/>
        </w:rPr>
        <w:t>NO se observaron las formalidades que establece la Ley de la materia</w:t>
      </w:r>
      <w:r w:rsidRPr="00995FA7">
        <w:rPr>
          <w:rFonts w:ascii="Palatino Linotype" w:eastAsia="Palatino Linotype" w:hAnsi="Palatino Linotype" w:cs="Palatino Linotype"/>
          <w:sz w:val="22"/>
          <w:szCs w:val="22"/>
        </w:rPr>
        <w:t>, pues no se adjuntó el Acta que contiene el Acuerdo del Comité de Transparencia de dicho ente público, mediante el cual se aprobara la ampliación del plazo para dar atención a la solicitud de información.</w:t>
      </w:r>
    </w:p>
    <w:p w14:paraId="7686068F" w14:textId="573CABD9" w:rsidR="00694AA0" w:rsidRPr="00995FA7" w:rsidRDefault="00FD6C42">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b/>
          <w:sz w:val="22"/>
          <w:szCs w:val="22"/>
        </w:rPr>
        <w:t xml:space="preserve">3. </w:t>
      </w:r>
      <w:r w:rsidR="005B22BA" w:rsidRPr="00995FA7">
        <w:rPr>
          <w:rFonts w:ascii="Palatino Linotype" w:eastAsia="Palatino Linotype" w:hAnsi="Palatino Linotype" w:cs="Palatino Linotype"/>
          <w:b/>
          <w:sz w:val="22"/>
          <w:szCs w:val="22"/>
        </w:rPr>
        <w:t xml:space="preserve">Respuesta. </w:t>
      </w:r>
      <w:r w:rsidR="004A5926" w:rsidRPr="00995FA7">
        <w:rPr>
          <w:rFonts w:ascii="Palatino Linotype" w:eastAsia="Palatino Linotype" w:hAnsi="Palatino Linotype" w:cs="Palatino Linotype"/>
          <w:sz w:val="22"/>
          <w:szCs w:val="22"/>
        </w:rPr>
        <w:t xml:space="preserve">El </w:t>
      </w:r>
      <w:r w:rsidR="001765BE" w:rsidRPr="00995FA7">
        <w:rPr>
          <w:rFonts w:ascii="Palatino Linotype" w:eastAsia="Palatino Linotype" w:hAnsi="Palatino Linotype" w:cs="Palatino Linotype"/>
          <w:b/>
          <w:sz w:val="22"/>
          <w:szCs w:val="22"/>
        </w:rPr>
        <w:t>veinti</w:t>
      </w:r>
      <w:r w:rsidRPr="00995FA7">
        <w:rPr>
          <w:rFonts w:ascii="Palatino Linotype" w:eastAsia="Palatino Linotype" w:hAnsi="Palatino Linotype" w:cs="Palatino Linotype"/>
          <w:b/>
          <w:sz w:val="22"/>
          <w:szCs w:val="22"/>
        </w:rPr>
        <w:t>ocho</w:t>
      </w:r>
      <w:r w:rsidR="001765BE" w:rsidRPr="00995FA7">
        <w:rPr>
          <w:rFonts w:ascii="Palatino Linotype" w:eastAsia="Palatino Linotype" w:hAnsi="Palatino Linotype" w:cs="Palatino Linotype"/>
          <w:b/>
          <w:sz w:val="22"/>
          <w:szCs w:val="22"/>
        </w:rPr>
        <w:t xml:space="preserve"> de julio</w:t>
      </w:r>
      <w:r w:rsidR="00067351" w:rsidRPr="00995FA7">
        <w:rPr>
          <w:rFonts w:ascii="Palatino Linotype" w:eastAsia="Palatino Linotype" w:hAnsi="Palatino Linotype" w:cs="Palatino Linotype"/>
          <w:b/>
          <w:sz w:val="22"/>
          <w:szCs w:val="22"/>
        </w:rPr>
        <w:t xml:space="preserve"> de dos mil veintiséis</w:t>
      </w:r>
      <w:r w:rsidR="005B22BA" w:rsidRPr="00995FA7">
        <w:rPr>
          <w:rFonts w:ascii="Palatino Linotype" w:eastAsia="Palatino Linotype" w:hAnsi="Palatino Linotype" w:cs="Palatino Linotype"/>
          <w:b/>
          <w:sz w:val="22"/>
          <w:szCs w:val="22"/>
        </w:rPr>
        <w:t>,</w:t>
      </w:r>
      <w:r w:rsidR="005B22BA" w:rsidRPr="00995FA7">
        <w:rPr>
          <w:rFonts w:ascii="Palatino Linotype" w:eastAsia="Palatino Linotype" w:hAnsi="Palatino Linotype" w:cs="Palatino Linotype"/>
          <w:sz w:val="22"/>
          <w:szCs w:val="22"/>
        </w:rPr>
        <w:t xml:space="preserve"> el </w:t>
      </w:r>
      <w:r w:rsidR="005B22BA" w:rsidRPr="00995FA7">
        <w:rPr>
          <w:rFonts w:ascii="Palatino Linotype" w:eastAsia="Palatino Linotype" w:hAnsi="Palatino Linotype" w:cs="Palatino Linotype"/>
          <w:b/>
          <w:sz w:val="22"/>
          <w:szCs w:val="22"/>
        </w:rPr>
        <w:t xml:space="preserve">Sujeto Obligado </w:t>
      </w:r>
      <w:r w:rsidR="005B22BA" w:rsidRPr="00995FA7">
        <w:rPr>
          <w:rFonts w:ascii="Palatino Linotype" w:eastAsia="Palatino Linotype" w:hAnsi="Palatino Linotype" w:cs="Palatino Linotype"/>
          <w:sz w:val="22"/>
          <w:szCs w:val="22"/>
        </w:rPr>
        <w:t xml:space="preserve">envió su respuesta a la solicitud de acceso a la información a través del SAIMEX, sustancialmente en los términos siguientes:   </w:t>
      </w:r>
    </w:p>
    <w:p w14:paraId="0EB69FD4" w14:textId="39EA2B1C" w:rsidR="00694AA0" w:rsidRPr="00995FA7" w:rsidRDefault="005B22BA">
      <w:pPr>
        <w:spacing w:before="240" w:after="24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r w:rsidR="00FD6C42" w:rsidRPr="00995FA7">
        <w:rPr>
          <w:rFonts w:ascii="Palatino Linotype" w:eastAsia="Palatino Linotype" w:hAnsi="Palatino Linotype" w:cs="Palatino Linotype"/>
          <w:i/>
          <w:sz w:val="22"/>
          <w:szCs w:val="22"/>
        </w:rPr>
        <w:t xml:space="preserve">Por medio del presente reciba un cordial saludo, y al mismo tiempo, me refiero al oficio TRANSPARENCIA/JUCHI/0666/2026, relacionado con la solicitud de información realizada mediante el Sistema de Acceso a la Información Pública del Estado de México y Municipios (SAIMEX), con número de folio 00719/JUCHITE/IP/2026. La generación, resguardo y administración de la documentación relativa a la recaudación de ingresos municipales corresponde a la Tesorería Municipal y a las áreas administrativas recaudadoras, en el ámbito </w:t>
      </w:r>
      <w:r w:rsidR="00FD6C42" w:rsidRPr="00995FA7">
        <w:rPr>
          <w:rFonts w:ascii="Palatino Linotype" w:eastAsia="Palatino Linotype" w:hAnsi="Palatino Linotype" w:cs="Palatino Linotype"/>
          <w:i/>
          <w:sz w:val="22"/>
          <w:szCs w:val="22"/>
        </w:rPr>
        <w:lastRenderedPageBreak/>
        <w:t>de sus respectivas atribuciones, siendo asi que esta área no es competente para generar, resguardar o proporcionar la totalidad de la documentación relativa a los ingresos recaudados por los conceptos señalados, por lo que, de conformidad con el ámbito de competencias establecido en la normatividad aplicable, dicha información deberá solicitarse a la dependencia responsable de su integración. Lo anterior con fundamento en lo establecido por los artículos 1, 14, 16 y 115 de la Constitución Política de los Estados Unidos Mexicanos; artículos 112, 113, 122, 129 y 130 de la Constitución Política del Estado Libre y Soberano de México; artículos 110 y 112 de la Ley Orgánica Municipal del Estado de México; artículos 95, 99 Ley de Responsabilidades Administrativas del Estado de México y Municipios; artículo 37 del Bando Municipal de Juchitepec 2026. Sin otro particular, reitero la disposición de este Órgano Interno de Control para colaborar en el cumplimiento de las obligaciones en materia de transparencia. Se remite, la presente para los efectos legales</w:t>
      </w:r>
      <w:r w:rsidR="001765BE" w:rsidRPr="00995FA7">
        <w:rPr>
          <w:rFonts w:ascii="Palatino Linotype" w:eastAsia="Palatino Linotype" w:hAnsi="Palatino Linotype" w:cs="Palatino Linotype"/>
          <w:i/>
          <w:sz w:val="22"/>
          <w:szCs w:val="22"/>
        </w:rPr>
        <w:t>.</w:t>
      </w:r>
      <w:r w:rsidRPr="00995FA7">
        <w:rPr>
          <w:rFonts w:ascii="Palatino Linotype" w:eastAsia="Palatino Linotype" w:hAnsi="Palatino Linotype" w:cs="Palatino Linotype"/>
          <w:i/>
          <w:sz w:val="22"/>
          <w:szCs w:val="22"/>
        </w:rPr>
        <w:t>..” (sic)</w:t>
      </w:r>
    </w:p>
    <w:p w14:paraId="5F735353" w14:textId="2FB7F4F6" w:rsidR="00D571DC" w:rsidRPr="00995FA7" w:rsidRDefault="00FD6C42">
      <w:pPr>
        <w:spacing w:before="240" w:after="240" w:line="360" w:lineRule="auto"/>
        <w:ind w:right="49"/>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b/>
          <w:sz w:val="22"/>
          <w:szCs w:val="22"/>
        </w:rPr>
        <w:t>4</w:t>
      </w:r>
      <w:r w:rsidR="005B22BA" w:rsidRPr="00995FA7">
        <w:rPr>
          <w:rFonts w:ascii="Palatino Linotype" w:eastAsia="Palatino Linotype" w:hAnsi="Palatino Linotype" w:cs="Palatino Linotype"/>
          <w:b/>
          <w:sz w:val="22"/>
          <w:szCs w:val="22"/>
        </w:rPr>
        <w:t xml:space="preserve">. Interposición del recurso de revisión. </w:t>
      </w:r>
      <w:r w:rsidR="005B22BA" w:rsidRPr="00995FA7">
        <w:rPr>
          <w:rFonts w:ascii="Palatino Linotype" w:eastAsia="Palatino Linotype" w:hAnsi="Palatino Linotype" w:cs="Palatino Linotype"/>
          <w:sz w:val="22"/>
          <w:szCs w:val="22"/>
        </w:rPr>
        <w:t xml:space="preserve">Inconforme con los términos de la respuesta emitida por parte del </w:t>
      </w:r>
      <w:r w:rsidR="005B22BA" w:rsidRPr="00995FA7">
        <w:rPr>
          <w:rFonts w:ascii="Palatino Linotype" w:eastAsia="Palatino Linotype" w:hAnsi="Palatino Linotype" w:cs="Palatino Linotype"/>
          <w:b/>
          <w:sz w:val="22"/>
          <w:szCs w:val="22"/>
        </w:rPr>
        <w:t>Sujeto Obligado</w:t>
      </w:r>
      <w:r w:rsidR="005B22BA" w:rsidRPr="00995FA7">
        <w:rPr>
          <w:rFonts w:ascii="Palatino Linotype" w:eastAsia="Palatino Linotype" w:hAnsi="Palatino Linotype" w:cs="Palatino Linotype"/>
          <w:sz w:val="22"/>
          <w:szCs w:val="22"/>
        </w:rPr>
        <w:t xml:space="preserve">, el </w:t>
      </w:r>
      <w:r w:rsidRPr="00995FA7">
        <w:rPr>
          <w:rFonts w:ascii="Palatino Linotype" w:eastAsia="Palatino Linotype" w:hAnsi="Palatino Linotype" w:cs="Palatino Linotype"/>
          <w:b/>
          <w:sz w:val="22"/>
          <w:szCs w:val="22"/>
        </w:rPr>
        <w:t>cinco</w:t>
      </w:r>
      <w:r w:rsidR="00B94ABF" w:rsidRPr="00995FA7">
        <w:rPr>
          <w:rFonts w:ascii="Palatino Linotype" w:eastAsia="Palatino Linotype" w:hAnsi="Palatino Linotype" w:cs="Palatino Linotype"/>
          <w:b/>
          <w:sz w:val="22"/>
          <w:szCs w:val="22"/>
        </w:rPr>
        <w:t xml:space="preserve"> de agosto</w:t>
      </w:r>
      <w:r w:rsidR="00067351" w:rsidRPr="00995FA7">
        <w:rPr>
          <w:rFonts w:ascii="Palatino Linotype" w:eastAsia="Palatino Linotype" w:hAnsi="Palatino Linotype" w:cs="Palatino Linotype"/>
          <w:b/>
          <w:sz w:val="22"/>
          <w:szCs w:val="22"/>
        </w:rPr>
        <w:t xml:space="preserve"> de dos mil veintiséis</w:t>
      </w:r>
      <w:r w:rsidR="005B22BA" w:rsidRPr="00995FA7">
        <w:rPr>
          <w:rFonts w:ascii="Palatino Linotype" w:eastAsia="Palatino Linotype" w:hAnsi="Palatino Linotype" w:cs="Palatino Linotype"/>
          <w:b/>
          <w:sz w:val="22"/>
          <w:szCs w:val="22"/>
        </w:rPr>
        <w:t>,</w:t>
      </w:r>
      <w:r w:rsidR="005B22BA" w:rsidRPr="00995FA7">
        <w:rPr>
          <w:rFonts w:ascii="Palatino Linotype" w:eastAsia="Palatino Linotype" w:hAnsi="Palatino Linotype" w:cs="Palatino Linotype"/>
          <w:sz w:val="22"/>
          <w:szCs w:val="22"/>
        </w:rPr>
        <w:t xml:space="preserve"> la parte </w:t>
      </w:r>
      <w:r w:rsidR="005B22BA" w:rsidRPr="00995FA7">
        <w:rPr>
          <w:rFonts w:ascii="Palatino Linotype" w:eastAsia="Palatino Linotype" w:hAnsi="Palatino Linotype" w:cs="Palatino Linotype"/>
          <w:b/>
          <w:sz w:val="22"/>
          <w:szCs w:val="22"/>
        </w:rPr>
        <w:t>Recurrente</w:t>
      </w:r>
      <w:r w:rsidR="005B22BA" w:rsidRPr="00995FA7">
        <w:rPr>
          <w:rFonts w:ascii="Palatino Linotype" w:eastAsia="Palatino Linotype" w:hAnsi="Palatino Linotype" w:cs="Palatino Linotype"/>
          <w:sz w:val="22"/>
          <w:szCs w:val="22"/>
        </w:rPr>
        <w:t xml:space="preserve"> interpuso el recurso de revisión a través de </w:t>
      </w:r>
      <w:r w:rsidR="005B22BA" w:rsidRPr="00995FA7">
        <w:rPr>
          <w:rFonts w:ascii="Palatino Linotype" w:eastAsia="Palatino Linotype" w:hAnsi="Palatino Linotype" w:cs="Palatino Linotype"/>
          <w:b/>
          <w:sz w:val="22"/>
          <w:szCs w:val="22"/>
        </w:rPr>
        <w:t xml:space="preserve">SAIMEX, </w:t>
      </w:r>
      <w:r w:rsidR="00134B5D" w:rsidRPr="00995FA7">
        <w:rPr>
          <w:rFonts w:ascii="Palatino Linotype" w:eastAsia="Palatino Linotype" w:hAnsi="Palatino Linotype" w:cs="Palatino Linotype"/>
          <w:sz w:val="22"/>
          <w:szCs w:val="22"/>
        </w:rPr>
        <w:t xml:space="preserve">sin embargo, al corresponder con un día inhábil, se tuvo por presentado el </w:t>
      </w:r>
      <w:r w:rsidR="001765BE" w:rsidRPr="00995FA7">
        <w:rPr>
          <w:rFonts w:ascii="Palatino Linotype" w:eastAsia="Palatino Linotype" w:hAnsi="Palatino Linotype" w:cs="Palatino Linotype"/>
          <w:b/>
          <w:sz w:val="22"/>
          <w:szCs w:val="22"/>
        </w:rPr>
        <w:t>seis de agosto</w:t>
      </w:r>
      <w:r w:rsidR="00134B5D" w:rsidRPr="00995FA7">
        <w:rPr>
          <w:rFonts w:ascii="Palatino Linotype" w:eastAsia="Palatino Linotype" w:hAnsi="Palatino Linotype" w:cs="Palatino Linotype"/>
          <w:b/>
          <w:sz w:val="22"/>
          <w:szCs w:val="22"/>
        </w:rPr>
        <w:t xml:space="preserve"> de dos mil veintiséis</w:t>
      </w:r>
      <w:r w:rsidR="00134B5D" w:rsidRPr="00995FA7">
        <w:rPr>
          <w:rFonts w:ascii="Palatino Linotype" w:eastAsia="Palatino Linotype" w:hAnsi="Palatino Linotype" w:cs="Palatino Linotype"/>
          <w:sz w:val="22"/>
          <w:szCs w:val="22"/>
        </w:rPr>
        <w:t xml:space="preserve"> </w:t>
      </w:r>
      <w:r w:rsidR="005B22BA" w:rsidRPr="00995FA7">
        <w:rPr>
          <w:rFonts w:ascii="Palatino Linotype" w:eastAsia="Palatino Linotype" w:hAnsi="Palatino Linotype" w:cs="Palatino Linotype"/>
          <w:sz w:val="22"/>
          <w:szCs w:val="22"/>
        </w:rPr>
        <w:t>en donde se manifestó de la siguiente manera:</w:t>
      </w:r>
    </w:p>
    <w:p w14:paraId="7C2BF786" w14:textId="77777777" w:rsidR="00694AA0" w:rsidRPr="00995FA7" w:rsidRDefault="005B22BA">
      <w:pPr>
        <w:spacing w:before="240" w:after="240" w:line="360" w:lineRule="auto"/>
        <w:ind w:right="49"/>
        <w:jc w:val="both"/>
        <w:rPr>
          <w:rFonts w:ascii="Palatino Linotype" w:eastAsia="Palatino Linotype" w:hAnsi="Palatino Linotype" w:cs="Palatino Linotype"/>
          <w:b/>
          <w:sz w:val="22"/>
          <w:szCs w:val="22"/>
        </w:rPr>
      </w:pPr>
      <w:r w:rsidRPr="00995FA7">
        <w:rPr>
          <w:rFonts w:ascii="Palatino Linotype" w:eastAsia="Palatino Linotype" w:hAnsi="Palatino Linotype" w:cs="Palatino Linotype"/>
          <w:b/>
          <w:sz w:val="22"/>
          <w:szCs w:val="22"/>
        </w:rPr>
        <w:t xml:space="preserve">Acto impugnado: </w:t>
      </w:r>
    </w:p>
    <w:p w14:paraId="3DC3BF9F" w14:textId="165DA027" w:rsidR="00694AA0" w:rsidRPr="00995FA7" w:rsidRDefault="005B22BA" w:rsidP="00F25291">
      <w:pPr>
        <w:ind w:left="851" w:right="900"/>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r w:rsidR="00FD6C42" w:rsidRPr="00995FA7">
        <w:rPr>
          <w:rFonts w:ascii="Palatino Linotype" w:eastAsia="Palatino Linotype" w:hAnsi="Palatino Linotype" w:cs="Palatino Linotype"/>
          <w:i/>
          <w:sz w:val="22"/>
          <w:szCs w:val="22"/>
        </w:rPr>
        <w:t>DE ACURDO A LA LEY ORGANICA MUNICIPAL DEL ESTADO DE MEXICO LA INFORMACION SOLICITADA ES GENERADA POR LA CONTRALORIA POR LO QUE LA RESPUESTA CARECE DE FUNDAMEHTACION Y MOTIVACION VIOLANDO ASI MI DERECHO HUMANO DE ACCESO A LA INFORMACION PUBLICA</w:t>
      </w:r>
      <w:r w:rsidRPr="00995FA7">
        <w:rPr>
          <w:rFonts w:ascii="Palatino Linotype" w:eastAsia="Palatino Linotype" w:hAnsi="Palatino Linotype" w:cs="Palatino Linotype"/>
          <w:i/>
          <w:sz w:val="22"/>
          <w:szCs w:val="22"/>
        </w:rPr>
        <w:t>” (sic)</w:t>
      </w:r>
    </w:p>
    <w:p w14:paraId="367E1F4A" w14:textId="77777777" w:rsidR="006262EB" w:rsidRPr="00995FA7" w:rsidRDefault="006262EB" w:rsidP="009C1FBD">
      <w:pPr>
        <w:ind w:left="851" w:right="900"/>
        <w:rPr>
          <w:rFonts w:ascii="Palatino Linotype" w:eastAsia="Palatino Linotype" w:hAnsi="Palatino Linotype" w:cs="Palatino Linotype"/>
          <w:i/>
          <w:sz w:val="22"/>
          <w:szCs w:val="22"/>
        </w:rPr>
      </w:pPr>
    </w:p>
    <w:p w14:paraId="199B1EFD" w14:textId="77777777" w:rsidR="00694AA0" w:rsidRPr="00995FA7" w:rsidRDefault="005B22BA">
      <w:pPr>
        <w:spacing w:line="360" w:lineRule="auto"/>
        <w:jc w:val="both"/>
        <w:rPr>
          <w:rFonts w:ascii="Palatino Linotype" w:eastAsia="Palatino Linotype" w:hAnsi="Palatino Linotype" w:cs="Palatino Linotype"/>
          <w:sz w:val="22"/>
          <w:szCs w:val="22"/>
        </w:rPr>
      </w:pPr>
      <w:bookmarkStart w:id="2" w:name="_heading=h.30j0zll" w:colFirst="0" w:colLast="0"/>
      <w:bookmarkEnd w:id="2"/>
      <w:r w:rsidRPr="00995FA7">
        <w:rPr>
          <w:rFonts w:ascii="Palatino Linotype" w:eastAsia="Palatino Linotype" w:hAnsi="Palatino Linotype" w:cs="Palatino Linotype"/>
          <w:b/>
          <w:sz w:val="22"/>
          <w:szCs w:val="22"/>
        </w:rPr>
        <w:t>Y, Razones o motivos de inconformidad</w:t>
      </w:r>
      <w:r w:rsidRPr="00995FA7">
        <w:rPr>
          <w:rFonts w:ascii="Palatino Linotype" w:eastAsia="Palatino Linotype" w:hAnsi="Palatino Linotype" w:cs="Palatino Linotype"/>
          <w:sz w:val="22"/>
          <w:szCs w:val="22"/>
        </w:rPr>
        <w:t>:</w:t>
      </w:r>
    </w:p>
    <w:p w14:paraId="6F009CC9" w14:textId="2A7B19FA" w:rsidR="00694AA0" w:rsidRPr="00995FA7" w:rsidRDefault="005B22BA">
      <w:pPr>
        <w:tabs>
          <w:tab w:val="left" w:pos="2745"/>
        </w:tabs>
        <w:spacing w:before="240" w:after="240"/>
        <w:ind w:left="851" w:right="900"/>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r w:rsidR="00FD6C42" w:rsidRPr="00995FA7">
        <w:rPr>
          <w:rFonts w:ascii="Palatino Linotype" w:eastAsia="Palatino Linotype" w:hAnsi="Palatino Linotype" w:cs="Palatino Linotype"/>
          <w:i/>
          <w:sz w:val="22"/>
          <w:szCs w:val="22"/>
        </w:rPr>
        <w:t>DE ACURDO A LA LEY ORGANICA MUNICIPAL DEL ESTADO DE MEXICO LA INFORMACION SOLICITADA ES GENERADA POR LA CONTRALORIA POR LO QUE LA RESPUESTA CARECE DE FUNDAMEHTACION Y MOTIVACION VIOLANDO ASI MI DERECHO HUMANO DE ACCESO A LA INFORMACION PUBLICA</w:t>
      </w:r>
      <w:r w:rsidR="00D74224"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i/>
          <w:sz w:val="22"/>
          <w:szCs w:val="22"/>
        </w:rPr>
        <w:t>(sic)</w:t>
      </w:r>
    </w:p>
    <w:p w14:paraId="058BB2CD" w14:textId="54A2D602" w:rsidR="00694AA0" w:rsidRPr="00995FA7" w:rsidRDefault="00FD6C42">
      <w:pPr>
        <w:spacing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b/>
          <w:sz w:val="22"/>
          <w:szCs w:val="22"/>
        </w:rPr>
        <w:t>5</w:t>
      </w:r>
      <w:r w:rsidR="005B22BA" w:rsidRPr="00995FA7">
        <w:rPr>
          <w:rFonts w:ascii="Palatino Linotype" w:eastAsia="Palatino Linotype" w:hAnsi="Palatino Linotype" w:cs="Palatino Linotype"/>
          <w:b/>
          <w:sz w:val="22"/>
          <w:szCs w:val="22"/>
        </w:rPr>
        <w:t xml:space="preserve">. Turno. </w:t>
      </w:r>
      <w:r w:rsidR="005B22BA" w:rsidRPr="00995FA7">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R="005B22BA" w:rsidRPr="00995FA7">
        <w:rPr>
          <w:rFonts w:ascii="Palatino Linotype" w:eastAsia="Palatino Linotype" w:hAnsi="Palatino Linotype" w:cs="Palatino Linotype"/>
          <w:b/>
          <w:sz w:val="22"/>
          <w:szCs w:val="22"/>
        </w:rPr>
        <w:t xml:space="preserve">Guadalupe Ramírez Peña, </w:t>
      </w:r>
      <w:r w:rsidR="005B22BA" w:rsidRPr="00995FA7">
        <w:rPr>
          <w:rFonts w:ascii="Palatino Linotype" w:eastAsia="Palatino Linotype" w:hAnsi="Palatino Linotype" w:cs="Palatino Linotype"/>
          <w:sz w:val="22"/>
          <w:szCs w:val="22"/>
        </w:rPr>
        <w:t>a efecto de que analizara sobre su admisión o su desechamiento.</w:t>
      </w:r>
    </w:p>
    <w:p w14:paraId="5B57059D" w14:textId="48F350D8" w:rsidR="00694AA0" w:rsidRPr="00995FA7" w:rsidRDefault="00FD6C42">
      <w:pPr>
        <w:spacing w:before="240" w:after="240" w:line="360" w:lineRule="auto"/>
        <w:jc w:val="both"/>
        <w:rPr>
          <w:rFonts w:ascii="Palatino Linotype" w:eastAsia="Palatino Linotype" w:hAnsi="Palatino Linotype" w:cs="Palatino Linotype"/>
          <w:b/>
          <w:sz w:val="22"/>
          <w:szCs w:val="22"/>
        </w:rPr>
      </w:pPr>
      <w:r w:rsidRPr="00995FA7">
        <w:rPr>
          <w:rFonts w:ascii="Palatino Linotype" w:eastAsia="Palatino Linotype" w:hAnsi="Palatino Linotype" w:cs="Palatino Linotype"/>
          <w:b/>
          <w:sz w:val="22"/>
          <w:szCs w:val="22"/>
        </w:rPr>
        <w:t>6</w:t>
      </w:r>
      <w:r w:rsidR="005B22BA" w:rsidRPr="00995FA7">
        <w:rPr>
          <w:rFonts w:ascii="Palatino Linotype" w:eastAsia="Palatino Linotype" w:hAnsi="Palatino Linotype" w:cs="Palatino Linotype"/>
          <w:b/>
          <w:sz w:val="22"/>
          <w:szCs w:val="22"/>
        </w:rPr>
        <w:t>. Admisión del Recurso de revisión.</w:t>
      </w:r>
      <w:r w:rsidR="005B22BA" w:rsidRPr="00995FA7">
        <w:rPr>
          <w:rFonts w:ascii="Palatino Linotype" w:eastAsia="Palatino Linotype" w:hAnsi="Palatino Linotype" w:cs="Palatino Linotype"/>
          <w:sz w:val="22"/>
          <w:szCs w:val="22"/>
        </w:rPr>
        <w:t xml:space="preserve"> El</w:t>
      </w:r>
      <w:r w:rsidR="005B22BA" w:rsidRPr="00995FA7">
        <w:rPr>
          <w:rFonts w:ascii="Palatino Linotype" w:eastAsia="Palatino Linotype" w:hAnsi="Palatino Linotype" w:cs="Palatino Linotype"/>
          <w:b/>
          <w:sz w:val="22"/>
          <w:szCs w:val="22"/>
        </w:rPr>
        <w:t xml:space="preserve"> </w:t>
      </w:r>
      <w:r w:rsidR="001765BE" w:rsidRPr="00995FA7">
        <w:rPr>
          <w:rFonts w:ascii="Palatino Linotype" w:eastAsia="Palatino Linotype" w:hAnsi="Palatino Linotype" w:cs="Palatino Linotype"/>
          <w:b/>
          <w:sz w:val="22"/>
          <w:szCs w:val="22"/>
        </w:rPr>
        <w:t>s</w:t>
      </w:r>
      <w:r w:rsidRPr="00995FA7">
        <w:rPr>
          <w:rFonts w:ascii="Palatino Linotype" w:eastAsia="Palatino Linotype" w:hAnsi="Palatino Linotype" w:cs="Palatino Linotype"/>
          <w:b/>
          <w:sz w:val="22"/>
          <w:szCs w:val="22"/>
        </w:rPr>
        <w:t>eis</w:t>
      </w:r>
      <w:r w:rsidR="001765BE" w:rsidRPr="00995FA7">
        <w:rPr>
          <w:rFonts w:ascii="Palatino Linotype" w:eastAsia="Palatino Linotype" w:hAnsi="Palatino Linotype" w:cs="Palatino Linotype"/>
          <w:b/>
          <w:sz w:val="22"/>
          <w:szCs w:val="22"/>
        </w:rPr>
        <w:t xml:space="preserve"> de agosto</w:t>
      </w:r>
      <w:r w:rsidR="00067351" w:rsidRPr="00995FA7">
        <w:rPr>
          <w:rFonts w:ascii="Palatino Linotype" w:eastAsia="Palatino Linotype" w:hAnsi="Palatino Linotype" w:cs="Palatino Linotype"/>
          <w:b/>
          <w:sz w:val="22"/>
          <w:szCs w:val="22"/>
        </w:rPr>
        <w:t xml:space="preserve"> de dos mil veintiséis</w:t>
      </w:r>
      <w:r w:rsidR="005B22BA" w:rsidRPr="00995FA7">
        <w:rPr>
          <w:rFonts w:ascii="Palatino Linotype" w:eastAsia="Palatino Linotype" w:hAnsi="Palatino Linotype" w:cs="Palatino Linotype"/>
          <w:b/>
          <w:sz w:val="22"/>
          <w:szCs w:val="22"/>
        </w:rPr>
        <w:t xml:space="preserve">, </w:t>
      </w:r>
      <w:r w:rsidR="005B22BA" w:rsidRPr="00995FA7">
        <w:rPr>
          <w:rFonts w:ascii="Palatino Linotype" w:eastAsia="Palatino Linotype" w:hAnsi="Palatino Linotype" w:cs="Palatino Linotype"/>
          <w:sz w:val="22"/>
          <w:szCs w:val="22"/>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R="005B22BA" w:rsidRPr="00995FA7">
        <w:rPr>
          <w:rFonts w:ascii="Palatino Linotype" w:eastAsia="Palatino Linotype" w:hAnsi="Palatino Linotype" w:cs="Palatino Linotype"/>
          <w:b/>
          <w:sz w:val="22"/>
          <w:szCs w:val="22"/>
        </w:rPr>
        <w:t xml:space="preserve">Sujeto Obligado </w:t>
      </w:r>
      <w:r w:rsidR="005B22BA" w:rsidRPr="00995FA7">
        <w:rPr>
          <w:rFonts w:ascii="Palatino Linotype" w:eastAsia="Palatino Linotype" w:hAnsi="Palatino Linotype" w:cs="Palatino Linotype"/>
          <w:sz w:val="22"/>
          <w:szCs w:val="22"/>
        </w:rPr>
        <w:t>presentara su informe justificado.</w:t>
      </w:r>
    </w:p>
    <w:p w14:paraId="49FAA2AE" w14:textId="66391E14" w:rsidR="000C2B68" w:rsidRPr="00995FA7" w:rsidRDefault="00FD6C42" w:rsidP="00F23997">
      <w:pPr>
        <w:widowControl w:val="0"/>
        <w:spacing w:before="240" w:after="240" w:line="360" w:lineRule="auto"/>
        <w:ind w:right="51"/>
        <w:jc w:val="both"/>
        <w:rPr>
          <w:rFonts w:ascii="Palatino Linotype" w:eastAsia="Palatino Linotype" w:hAnsi="Palatino Linotype" w:cs="Palatino Linotype"/>
          <w:sz w:val="22"/>
          <w:szCs w:val="22"/>
        </w:rPr>
      </w:pPr>
      <w:bookmarkStart w:id="3" w:name="_heading=h.2s8eyo1" w:colFirst="0" w:colLast="0"/>
      <w:bookmarkEnd w:id="3"/>
      <w:r w:rsidRPr="00995FA7">
        <w:rPr>
          <w:rFonts w:ascii="Palatino Linotype" w:eastAsia="Palatino Linotype" w:hAnsi="Palatino Linotype" w:cs="Palatino Linotype"/>
          <w:b/>
          <w:sz w:val="22"/>
          <w:szCs w:val="22"/>
        </w:rPr>
        <w:t>7</w:t>
      </w:r>
      <w:r w:rsidR="005B22BA" w:rsidRPr="00995FA7">
        <w:rPr>
          <w:rFonts w:ascii="Palatino Linotype" w:eastAsia="Palatino Linotype" w:hAnsi="Palatino Linotype" w:cs="Palatino Linotype"/>
          <w:b/>
          <w:sz w:val="22"/>
          <w:szCs w:val="22"/>
        </w:rPr>
        <w:t>. Manifestaciones</w:t>
      </w:r>
      <w:r w:rsidR="005B22BA" w:rsidRPr="00995FA7">
        <w:rPr>
          <w:rFonts w:ascii="Palatino Linotype" w:eastAsia="Palatino Linotype" w:hAnsi="Palatino Linotype" w:cs="Palatino Linotype"/>
          <w:sz w:val="22"/>
          <w:szCs w:val="22"/>
        </w:rPr>
        <w:t xml:space="preserve">. </w:t>
      </w:r>
      <w:r w:rsidR="00A86DAA" w:rsidRPr="00995FA7">
        <w:rPr>
          <w:rFonts w:ascii="Palatino Linotype" w:eastAsia="Palatino Linotype" w:hAnsi="Palatino Linotype" w:cs="Palatino Linotype"/>
          <w:sz w:val="22"/>
          <w:szCs w:val="22"/>
        </w:rPr>
        <w:t xml:space="preserve">De constancias del expediente electrónico del SAIMEX, se observa que el </w:t>
      </w:r>
      <w:r w:rsidR="00A86DAA" w:rsidRPr="00995FA7">
        <w:rPr>
          <w:rFonts w:ascii="Palatino Linotype" w:eastAsia="Palatino Linotype" w:hAnsi="Palatino Linotype" w:cs="Palatino Linotype"/>
          <w:b/>
          <w:sz w:val="22"/>
          <w:szCs w:val="22"/>
        </w:rPr>
        <w:t>Sujeto Obligado</w:t>
      </w:r>
      <w:r w:rsidR="00A86DAA" w:rsidRPr="00995FA7">
        <w:rPr>
          <w:rFonts w:ascii="Palatino Linotype" w:eastAsia="Palatino Linotype" w:hAnsi="Palatino Linotype" w:cs="Palatino Linotype"/>
          <w:sz w:val="22"/>
          <w:szCs w:val="22"/>
        </w:rPr>
        <w:t xml:space="preserve"> fue omiso en rendir su informe justificado; así como, la parte </w:t>
      </w:r>
      <w:r w:rsidR="00A86DAA" w:rsidRPr="00995FA7">
        <w:rPr>
          <w:rFonts w:ascii="Palatino Linotype" w:eastAsia="Palatino Linotype" w:hAnsi="Palatino Linotype" w:cs="Palatino Linotype"/>
          <w:b/>
          <w:sz w:val="22"/>
          <w:szCs w:val="22"/>
        </w:rPr>
        <w:t xml:space="preserve">Recurrente </w:t>
      </w:r>
      <w:r w:rsidR="00A86DAA" w:rsidRPr="00995FA7">
        <w:rPr>
          <w:rFonts w:ascii="Palatino Linotype" w:eastAsia="Palatino Linotype" w:hAnsi="Palatino Linotype" w:cs="Palatino Linotype"/>
          <w:sz w:val="22"/>
          <w:szCs w:val="22"/>
        </w:rPr>
        <w:t>fue omisa en hacer valer manifestaciones o rendir alegatos que conforme a derecho resultaran procedentes, como se muestra:</w:t>
      </w:r>
    </w:p>
    <w:p w14:paraId="45F94057" w14:textId="219CE3C7" w:rsidR="00A86DAA" w:rsidRPr="00995FA7" w:rsidRDefault="00A86DAA" w:rsidP="00F23997">
      <w:pPr>
        <w:widowControl w:val="0"/>
        <w:spacing w:before="240" w:after="240" w:line="360" w:lineRule="auto"/>
        <w:ind w:right="51"/>
        <w:jc w:val="both"/>
        <w:rPr>
          <w:rFonts w:ascii="Palatino Linotype" w:eastAsia="Palatino Linotype" w:hAnsi="Palatino Linotype" w:cs="Palatino Linotype"/>
          <w:sz w:val="22"/>
          <w:szCs w:val="22"/>
        </w:rPr>
      </w:pPr>
      <w:r w:rsidRPr="00995FA7">
        <w:rPr>
          <w:noProof/>
          <w:sz w:val="22"/>
          <w:szCs w:val="22"/>
        </w:rPr>
        <w:drawing>
          <wp:inline distT="0" distB="0" distL="0" distR="0" wp14:anchorId="1ADB0ADC" wp14:editId="02418CE8">
            <wp:extent cx="5612130" cy="1581150"/>
            <wp:effectExtent l="0" t="0" r="7620" b="0"/>
            <wp:docPr id="3863254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325498" name=""/>
                    <pic:cNvPicPr/>
                  </pic:nvPicPr>
                  <pic:blipFill rotWithShape="1">
                    <a:blip r:embed="rId9"/>
                    <a:srcRect b="3376"/>
                    <a:stretch>
                      <a:fillRect/>
                    </a:stretch>
                  </pic:blipFill>
                  <pic:spPr bwMode="auto">
                    <a:xfrm>
                      <a:off x="0" y="0"/>
                      <a:ext cx="5612130" cy="1581150"/>
                    </a:xfrm>
                    <a:prstGeom prst="rect">
                      <a:avLst/>
                    </a:prstGeom>
                    <a:ln>
                      <a:noFill/>
                    </a:ln>
                    <a:extLst>
                      <a:ext uri="{53640926-AAD7-44D8-BBD7-CCE9431645EC}">
                        <a14:shadowObscured xmlns:a14="http://schemas.microsoft.com/office/drawing/2010/main"/>
                      </a:ext>
                    </a:extLst>
                  </pic:spPr>
                </pic:pic>
              </a:graphicData>
            </a:graphic>
          </wp:inline>
        </w:drawing>
      </w:r>
    </w:p>
    <w:p w14:paraId="33B88E38" w14:textId="14E5C5DE" w:rsidR="007458B0" w:rsidRPr="00995FA7" w:rsidRDefault="00F23997" w:rsidP="007458B0">
      <w:pPr>
        <w:widowControl w:val="0"/>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b/>
          <w:sz w:val="22"/>
          <w:szCs w:val="22"/>
        </w:rPr>
        <w:t>8</w:t>
      </w:r>
      <w:r w:rsidR="007458B0" w:rsidRPr="00995FA7">
        <w:rPr>
          <w:rFonts w:ascii="Palatino Linotype" w:eastAsia="Palatino Linotype" w:hAnsi="Palatino Linotype" w:cs="Palatino Linotype"/>
          <w:b/>
          <w:sz w:val="22"/>
          <w:szCs w:val="22"/>
        </w:rPr>
        <w:t xml:space="preserve">. Cierre de instrucción. </w:t>
      </w:r>
      <w:r w:rsidR="007458B0" w:rsidRPr="00995FA7">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el </w:t>
      </w:r>
      <w:r w:rsidRPr="00995FA7">
        <w:rPr>
          <w:rFonts w:ascii="Palatino Linotype" w:eastAsia="Palatino Linotype" w:hAnsi="Palatino Linotype" w:cs="Palatino Linotype"/>
          <w:b/>
          <w:sz w:val="22"/>
          <w:szCs w:val="22"/>
        </w:rPr>
        <w:t>diecisiete</w:t>
      </w:r>
      <w:r w:rsidR="00124402" w:rsidRPr="00995FA7">
        <w:rPr>
          <w:rFonts w:ascii="Palatino Linotype" w:eastAsia="Palatino Linotype" w:hAnsi="Palatino Linotype" w:cs="Palatino Linotype"/>
          <w:b/>
          <w:sz w:val="22"/>
          <w:szCs w:val="22"/>
        </w:rPr>
        <w:t xml:space="preserve"> de septiembre</w:t>
      </w:r>
      <w:r w:rsidR="00E2646E" w:rsidRPr="00995FA7">
        <w:rPr>
          <w:rFonts w:ascii="Palatino Linotype" w:eastAsia="Palatino Linotype" w:hAnsi="Palatino Linotype" w:cs="Palatino Linotype"/>
          <w:b/>
          <w:sz w:val="22"/>
          <w:szCs w:val="22"/>
        </w:rPr>
        <w:t xml:space="preserve"> </w:t>
      </w:r>
      <w:r w:rsidR="000C2B68" w:rsidRPr="00995FA7">
        <w:rPr>
          <w:rFonts w:ascii="Palatino Linotype" w:eastAsia="Palatino Linotype" w:hAnsi="Palatino Linotype" w:cs="Palatino Linotype"/>
          <w:b/>
          <w:sz w:val="22"/>
          <w:szCs w:val="22"/>
        </w:rPr>
        <w:t>de dos mil veintiséis</w:t>
      </w:r>
      <w:r w:rsidR="007458B0" w:rsidRPr="00995FA7">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3632DFE2" w14:textId="77777777" w:rsidR="00694AA0" w:rsidRPr="00995FA7" w:rsidRDefault="005B22BA">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58C3A9B5" w14:textId="77777777" w:rsidR="00694AA0" w:rsidRPr="00995FA7" w:rsidRDefault="005B22BA">
      <w:pPr>
        <w:widowControl w:val="0"/>
        <w:spacing w:before="240" w:after="240" w:line="360" w:lineRule="auto"/>
        <w:jc w:val="center"/>
        <w:rPr>
          <w:rFonts w:ascii="Palatino Linotype" w:eastAsia="Palatino Linotype" w:hAnsi="Palatino Linotype" w:cs="Palatino Linotype"/>
          <w:b/>
          <w:sz w:val="22"/>
          <w:szCs w:val="22"/>
        </w:rPr>
      </w:pPr>
      <w:r w:rsidRPr="00995FA7">
        <w:rPr>
          <w:rFonts w:ascii="Palatino Linotype" w:eastAsia="Palatino Linotype" w:hAnsi="Palatino Linotype" w:cs="Palatino Linotype"/>
          <w:b/>
          <w:sz w:val="22"/>
          <w:szCs w:val="22"/>
        </w:rPr>
        <w:t>II. C O N S I D E R A N D O S</w:t>
      </w:r>
    </w:p>
    <w:p w14:paraId="65525EF7" w14:textId="60C8B49A" w:rsidR="00694AA0" w:rsidRPr="00995FA7" w:rsidRDefault="005B22BA">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b/>
          <w:sz w:val="22"/>
          <w:szCs w:val="22"/>
        </w:rPr>
        <w:t>Primero. Competencia.</w:t>
      </w:r>
      <w:r w:rsidRPr="00995FA7">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w:t>
      </w:r>
      <w:bookmarkStart w:id="4" w:name="_GoBack"/>
      <w:bookmarkEnd w:id="4"/>
      <w:r w:rsidRPr="00995FA7">
        <w:rPr>
          <w:rFonts w:ascii="Palatino Linotype" w:eastAsia="Palatino Linotype" w:hAnsi="Palatino Linotype" w:cs="Palatino Linotype"/>
          <w:sz w:val="22"/>
          <w:szCs w:val="22"/>
        </w:rPr>
        <w:t xml:space="preserve">ipios, es competente para conocer y resolver el presente recurso de revisión interpuesto por la parte recurrente, conforme a lo dispuesto en los artículos 6, apartado A de la Constitución Política de los Estados Unidos Mexicanos; 5 párrafos cuadragésimo </w:t>
      </w:r>
      <w:r w:rsidR="008E0B27" w:rsidRPr="00995FA7">
        <w:rPr>
          <w:rFonts w:ascii="Palatino Linotype" w:eastAsia="Palatino Linotype" w:hAnsi="Palatino Linotype" w:cs="Palatino Linotype"/>
          <w:sz w:val="22"/>
          <w:szCs w:val="22"/>
        </w:rPr>
        <w:t>cuarto, cuadragésimo quinto y cuadragésimo sexto</w:t>
      </w:r>
      <w:r w:rsidRPr="00995FA7">
        <w:rPr>
          <w:rFonts w:ascii="Palatino Linotype" w:eastAsia="Palatino Linotype" w:hAnsi="Palatino Linotype" w:cs="Palatino Linotype"/>
          <w:sz w:val="22"/>
          <w:szCs w:val="22"/>
        </w:rPr>
        <w:t xml:space="preserve">, fracciones IV y V de la Constitución Política del Estado Libre y Soberano de México; </w:t>
      </w:r>
      <w:r w:rsidR="00BE3EF4" w:rsidRPr="00995FA7">
        <w:rPr>
          <w:rFonts w:ascii="Palatino Linotype" w:eastAsia="Palatino Linotype" w:hAnsi="Palatino Linotype" w:cs="Palatino Linotype"/>
          <w:sz w:val="22"/>
          <w:szCs w:val="22"/>
        </w:rPr>
        <w:t xml:space="preserve">transitorio Cuarto del Decreto número 198 de la “LXII” Legislatura del Estado de México; </w:t>
      </w:r>
      <w:r w:rsidRPr="00995FA7">
        <w:rPr>
          <w:rFonts w:ascii="Palatino Linotype" w:eastAsia="Palatino Linotype" w:hAnsi="Palatino Linotype" w:cs="Palatino Linotype"/>
          <w:sz w:val="22"/>
          <w:szCs w:val="22"/>
        </w:rPr>
        <w:t>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24121E3F" w14:textId="77777777" w:rsidR="00694AA0" w:rsidRPr="00995FA7" w:rsidRDefault="005B22BA">
      <w:pPr>
        <w:spacing w:before="240" w:after="240" w:line="360" w:lineRule="auto"/>
        <w:jc w:val="both"/>
        <w:rPr>
          <w:rFonts w:ascii="Palatino Linotype" w:eastAsia="Palatino Linotype" w:hAnsi="Palatino Linotype" w:cs="Palatino Linotype"/>
          <w:sz w:val="22"/>
          <w:szCs w:val="22"/>
        </w:rPr>
      </w:pPr>
      <w:bookmarkStart w:id="5" w:name="_heading=h.tyjcwt" w:colFirst="0" w:colLast="0"/>
      <w:bookmarkEnd w:id="5"/>
      <w:r w:rsidRPr="00995FA7">
        <w:rPr>
          <w:rFonts w:ascii="Palatino Linotype" w:eastAsia="Palatino Linotype" w:hAnsi="Palatino Linotype" w:cs="Palatino Linotype"/>
          <w:b/>
          <w:sz w:val="22"/>
          <w:szCs w:val="22"/>
        </w:rPr>
        <w:t>Segundo. Oportunidad y Procedibilidad del Recurso de Revisión</w:t>
      </w:r>
      <w:r w:rsidRPr="00995FA7">
        <w:rPr>
          <w:rFonts w:ascii="Palatino Linotype" w:eastAsia="Palatino Linotype" w:hAnsi="Palatino Linotype" w:cs="Palatino Linotype"/>
          <w:sz w:val="22"/>
          <w:szCs w:val="22"/>
        </w:rPr>
        <w:t>.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661F1BAB" w14:textId="43B70A03" w:rsidR="00694AA0" w:rsidRPr="00995FA7" w:rsidRDefault="005B22BA">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El recurso de revisión fue interpuesto dentro del plazo de quince días hábiles, previsto en el artículo 178 de la Ley de Transparencia y Acceso a la Información Pública del Estado de México y Municipios, toda vez que el </w:t>
      </w:r>
      <w:r w:rsidRPr="00995FA7">
        <w:rPr>
          <w:rFonts w:ascii="Palatino Linotype" w:eastAsia="Palatino Linotype" w:hAnsi="Palatino Linotype" w:cs="Palatino Linotype"/>
          <w:b/>
          <w:sz w:val="22"/>
          <w:szCs w:val="22"/>
        </w:rPr>
        <w:t xml:space="preserve">Sujeto Obligado </w:t>
      </w:r>
      <w:r w:rsidRPr="00995FA7">
        <w:rPr>
          <w:rFonts w:ascii="Palatino Linotype" w:eastAsia="Palatino Linotype" w:hAnsi="Palatino Linotype" w:cs="Palatino Linotype"/>
          <w:sz w:val="22"/>
          <w:szCs w:val="22"/>
        </w:rPr>
        <w:t xml:space="preserve">remitió la respuesta a la solicitud de información el día </w:t>
      </w:r>
      <w:r w:rsidR="00124402" w:rsidRPr="00995FA7">
        <w:rPr>
          <w:rFonts w:ascii="Palatino Linotype" w:eastAsia="Palatino Linotype" w:hAnsi="Palatino Linotype" w:cs="Palatino Linotype"/>
          <w:b/>
          <w:sz w:val="22"/>
          <w:szCs w:val="22"/>
        </w:rPr>
        <w:t>veinti</w:t>
      </w:r>
      <w:r w:rsidR="00910810" w:rsidRPr="00995FA7">
        <w:rPr>
          <w:rFonts w:ascii="Palatino Linotype" w:eastAsia="Palatino Linotype" w:hAnsi="Palatino Linotype" w:cs="Palatino Linotype"/>
          <w:b/>
          <w:sz w:val="22"/>
          <w:szCs w:val="22"/>
        </w:rPr>
        <w:t>ocho</w:t>
      </w:r>
      <w:r w:rsidR="00124402" w:rsidRPr="00995FA7">
        <w:rPr>
          <w:rFonts w:ascii="Palatino Linotype" w:eastAsia="Palatino Linotype" w:hAnsi="Palatino Linotype" w:cs="Palatino Linotype"/>
          <w:b/>
          <w:sz w:val="22"/>
          <w:szCs w:val="22"/>
        </w:rPr>
        <w:t xml:space="preserve"> de julio</w:t>
      </w:r>
      <w:r w:rsidR="00ED34E8" w:rsidRPr="00995FA7">
        <w:rPr>
          <w:rFonts w:ascii="Palatino Linotype" w:eastAsia="Palatino Linotype" w:hAnsi="Palatino Linotype" w:cs="Palatino Linotype"/>
          <w:b/>
          <w:sz w:val="22"/>
          <w:szCs w:val="22"/>
        </w:rPr>
        <w:t xml:space="preserve"> </w:t>
      </w:r>
      <w:r w:rsidR="000C2B68" w:rsidRPr="00995FA7">
        <w:rPr>
          <w:rFonts w:ascii="Palatino Linotype" w:eastAsia="Palatino Linotype" w:hAnsi="Palatino Linotype" w:cs="Palatino Linotype"/>
          <w:b/>
          <w:sz w:val="22"/>
          <w:szCs w:val="22"/>
        </w:rPr>
        <w:t>de dos mil veintiséis</w:t>
      </w:r>
      <w:r w:rsidRPr="00995FA7">
        <w:rPr>
          <w:rFonts w:ascii="Palatino Linotype" w:eastAsia="Palatino Linotype" w:hAnsi="Palatino Linotype" w:cs="Palatino Linotype"/>
          <w:b/>
          <w:sz w:val="22"/>
          <w:szCs w:val="22"/>
        </w:rPr>
        <w:t xml:space="preserve">, </w:t>
      </w:r>
      <w:r w:rsidRPr="00995FA7">
        <w:rPr>
          <w:rFonts w:ascii="Palatino Linotype" w:eastAsia="Palatino Linotype" w:hAnsi="Palatino Linotype" w:cs="Palatino Linotype"/>
          <w:sz w:val="22"/>
          <w:szCs w:val="22"/>
        </w:rPr>
        <w:t xml:space="preserve">mientras que el recurso de revisión interpuesto por la parte </w:t>
      </w:r>
      <w:r w:rsidRPr="00995FA7">
        <w:rPr>
          <w:rFonts w:ascii="Palatino Linotype" w:eastAsia="Palatino Linotype" w:hAnsi="Palatino Linotype" w:cs="Palatino Linotype"/>
          <w:b/>
          <w:sz w:val="22"/>
          <w:szCs w:val="22"/>
        </w:rPr>
        <w:t xml:space="preserve">Recurrente, </w:t>
      </w:r>
      <w:r w:rsidRPr="00995FA7">
        <w:rPr>
          <w:rFonts w:ascii="Palatino Linotype" w:eastAsia="Palatino Linotype" w:hAnsi="Palatino Linotype" w:cs="Palatino Linotype"/>
          <w:sz w:val="22"/>
          <w:szCs w:val="22"/>
        </w:rPr>
        <w:t>se tuvo por presentado el día</w:t>
      </w:r>
      <w:r w:rsidRPr="00995FA7">
        <w:rPr>
          <w:rFonts w:ascii="Palatino Linotype" w:eastAsia="Palatino Linotype" w:hAnsi="Palatino Linotype" w:cs="Palatino Linotype"/>
          <w:b/>
          <w:sz w:val="22"/>
          <w:szCs w:val="22"/>
        </w:rPr>
        <w:t xml:space="preserve"> </w:t>
      </w:r>
      <w:r w:rsidR="00910810" w:rsidRPr="00995FA7">
        <w:rPr>
          <w:rFonts w:ascii="Palatino Linotype" w:eastAsia="Palatino Linotype" w:hAnsi="Palatino Linotype" w:cs="Palatino Linotype"/>
          <w:b/>
          <w:sz w:val="22"/>
          <w:szCs w:val="22"/>
        </w:rPr>
        <w:t>cinco</w:t>
      </w:r>
      <w:r w:rsidR="00124402" w:rsidRPr="00995FA7">
        <w:rPr>
          <w:rFonts w:ascii="Palatino Linotype" w:eastAsia="Palatino Linotype" w:hAnsi="Palatino Linotype" w:cs="Palatino Linotype"/>
          <w:b/>
          <w:sz w:val="22"/>
          <w:szCs w:val="22"/>
        </w:rPr>
        <w:t xml:space="preserve"> de agosto</w:t>
      </w:r>
      <w:r w:rsidR="000C2B68" w:rsidRPr="00995FA7">
        <w:rPr>
          <w:rFonts w:ascii="Palatino Linotype" w:eastAsia="Palatino Linotype" w:hAnsi="Palatino Linotype" w:cs="Palatino Linotype"/>
          <w:b/>
          <w:sz w:val="22"/>
          <w:szCs w:val="22"/>
        </w:rPr>
        <w:t xml:space="preserve"> de dos mil veintiséis</w:t>
      </w:r>
      <w:r w:rsidRPr="00995FA7">
        <w:rPr>
          <w:rFonts w:ascii="Palatino Linotype" w:eastAsia="Palatino Linotype" w:hAnsi="Palatino Linotype" w:cs="Palatino Linotype"/>
          <w:b/>
          <w:sz w:val="22"/>
          <w:szCs w:val="22"/>
        </w:rPr>
        <w:t xml:space="preserve">, </w:t>
      </w:r>
      <w:r w:rsidRPr="00995FA7">
        <w:rPr>
          <w:rFonts w:ascii="Palatino Linotype" w:eastAsia="Palatino Linotype" w:hAnsi="Palatino Linotype" w:cs="Palatino Linotype"/>
          <w:sz w:val="22"/>
          <w:szCs w:val="22"/>
        </w:rPr>
        <w:t xml:space="preserve">esto es, </w:t>
      </w:r>
      <w:r w:rsidR="009B338B" w:rsidRPr="00995FA7">
        <w:rPr>
          <w:rFonts w:ascii="Palatino Linotype" w:eastAsia="Palatino Linotype" w:hAnsi="Palatino Linotype" w:cs="Palatino Linotype"/>
          <w:sz w:val="22"/>
          <w:szCs w:val="22"/>
        </w:rPr>
        <w:t xml:space="preserve">al </w:t>
      </w:r>
      <w:r w:rsidR="00910810" w:rsidRPr="00995FA7">
        <w:rPr>
          <w:rFonts w:ascii="Palatino Linotype" w:eastAsia="Palatino Linotype" w:hAnsi="Palatino Linotype" w:cs="Palatino Linotype"/>
          <w:sz w:val="22"/>
          <w:szCs w:val="22"/>
        </w:rPr>
        <w:t>tercer</w:t>
      </w:r>
      <w:r w:rsidR="009B338B" w:rsidRPr="00995FA7">
        <w:rPr>
          <w:rFonts w:ascii="Palatino Linotype" w:eastAsia="Palatino Linotype" w:hAnsi="Palatino Linotype" w:cs="Palatino Linotype"/>
          <w:sz w:val="22"/>
          <w:szCs w:val="22"/>
        </w:rPr>
        <w:t xml:space="preserve"> día hábil posterior </w:t>
      </w:r>
      <w:r w:rsidR="000C2B68" w:rsidRPr="00995FA7">
        <w:rPr>
          <w:rFonts w:ascii="Palatino Linotype" w:eastAsia="Palatino Linotype" w:hAnsi="Palatino Linotype" w:cs="Palatino Linotype"/>
          <w:sz w:val="22"/>
          <w:szCs w:val="22"/>
        </w:rPr>
        <w:t xml:space="preserve">en el que </w:t>
      </w:r>
      <w:r w:rsidRPr="00995FA7">
        <w:rPr>
          <w:rFonts w:ascii="Palatino Linotype" w:eastAsia="Palatino Linotype" w:hAnsi="Palatino Linotype" w:cs="Palatino Linotype"/>
          <w:sz w:val="22"/>
          <w:szCs w:val="22"/>
        </w:rPr>
        <w:t>tuvo conocimiento de la respuesta impugnada. En este sentido, se concluye que el presente recurso de revisión se encuentra dentro de los márgenes temporales previstos en las disposiciones legales referidas.</w:t>
      </w:r>
    </w:p>
    <w:p w14:paraId="26E12126" w14:textId="77777777" w:rsidR="00DF0A5C" w:rsidRPr="00995FA7" w:rsidRDefault="00DF0A5C" w:rsidP="00DF0A5C">
      <w:pPr>
        <w:tabs>
          <w:tab w:val="left" w:pos="7938"/>
        </w:tabs>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Al mismo tiempo, por cuanto hace a la procedibilidad del recurso de revisión, una vez realizado el análisis del formato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SAIMEX.</w:t>
      </w:r>
    </w:p>
    <w:p w14:paraId="2DB43ED9" w14:textId="2F7D0432" w:rsidR="006E155A" w:rsidRPr="00995FA7" w:rsidRDefault="005B22BA" w:rsidP="006E155A">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Finalmente, se advierte que resulta procedente la interposición del recurso, según lo manifestado por la parte </w:t>
      </w:r>
      <w:r w:rsidRPr="00995FA7">
        <w:rPr>
          <w:rFonts w:ascii="Palatino Linotype" w:eastAsia="Palatino Linotype" w:hAnsi="Palatino Linotype" w:cs="Palatino Linotype"/>
          <w:b/>
          <w:sz w:val="22"/>
          <w:szCs w:val="22"/>
        </w:rPr>
        <w:t>Recurrente</w:t>
      </w:r>
      <w:r w:rsidRPr="00995FA7">
        <w:rPr>
          <w:rFonts w:ascii="Palatino Linotype" w:eastAsia="Palatino Linotype" w:hAnsi="Palatino Linotype" w:cs="Palatino Linotype"/>
          <w:sz w:val="22"/>
          <w:szCs w:val="22"/>
        </w:rPr>
        <w:t xml:space="preserve"> en sus motivos de inconformidad, de acuerdo al artículo 179, </w:t>
      </w:r>
      <w:r w:rsidR="00C00558" w:rsidRPr="00995FA7">
        <w:rPr>
          <w:rFonts w:ascii="Palatino Linotype" w:eastAsia="Palatino Linotype" w:hAnsi="Palatino Linotype" w:cs="Palatino Linotype"/>
          <w:sz w:val="22"/>
          <w:szCs w:val="22"/>
        </w:rPr>
        <w:t>f</w:t>
      </w:r>
      <w:r w:rsidR="00A521AD" w:rsidRPr="00995FA7">
        <w:rPr>
          <w:rFonts w:ascii="Palatino Linotype" w:eastAsia="Palatino Linotype" w:hAnsi="Palatino Linotype" w:cs="Palatino Linotype"/>
          <w:sz w:val="22"/>
          <w:szCs w:val="22"/>
        </w:rPr>
        <w:t>racci</w:t>
      </w:r>
      <w:r w:rsidR="00C3371F" w:rsidRPr="00995FA7">
        <w:rPr>
          <w:rFonts w:ascii="Palatino Linotype" w:eastAsia="Palatino Linotype" w:hAnsi="Palatino Linotype" w:cs="Palatino Linotype"/>
          <w:sz w:val="22"/>
          <w:szCs w:val="22"/>
        </w:rPr>
        <w:t>ón</w:t>
      </w:r>
      <w:r w:rsidR="0049433B" w:rsidRPr="00995FA7">
        <w:rPr>
          <w:rFonts w:ascii="Palatino Linotype" w:eastAsia="Palatino Linotype" w:hAnsi="Palatino Linotype" w:cs="Palatino Linotype"/>
          <w:sz w:val="22"/>
          <w:szCs w:val="22"/>
        </w:rPr>
        <w:t xml:space="preserve"> </w:t>
      </w:r>
      <w:r w:rsidR="00DF0A5C" w:rsidRPr="00995FA7">
        <w:rPr>
          <w:rFonts w:ascii="Palatino Linotype" w:eastAsia="Palatino Linotype" w:hAnsi="Palatino Linotype" w:cs="Palatino Linotype"/>
          <w:sz w:val="22"/>
          <w:szCs w:val="22"/>
        </w:rPr>
        <w:t>I</w:t>
      </w:r>
      <w:r w:rsidR="00200EBD" w:rsidRPr="00995FA7">
        <w:rPr>
          <w:rFonts w:ascii="Palatino Linotype" w:eastAsia="Palatino Linotype" w:hAnsi="Palatino Linotype" w:cs="Palatino Linotype"/>
          <w:sz w:val="22"/>
          <w:szCs w:val="22"/>
        </w:rPr>
        <w:t xml:space="preserve"> </w:t>
      </w:r>
      <w:r w:rsidR="006E155A" w:rsidRPr="00995FA7">
        <w:rPr>
          <w:rFonts w:ascii="Palatino Linotype" w:eastAsia="Palatino Linotype" w:hAnsi="Palatino Linotype" w:cs="Palatino Linotype"/>
          <w:sz w:val="22"/>
          <w:szCs w:val="22"/>
        </w:rPr>
        <w:t>del ordenamiento legal citado, que a la letra dice: </w:t>
      </w:r>
    </w:p>
    <w:p w14:paraId="609BC029" w14:textId="58365DC8" w:rsidR="00561AA1" w:rsidRPr="00995FA7" w:rsidRDefault="006E155A" w:rsidP="00DF0A5C">
      <w:pPr>
        <w:tabs>
          <w:tab w:val="left" w:pos="7938"/>
        </w:tabs>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r w:rsidRPr="00995FA7">
        <w:rPr>
          <w:rFonts w:ascii="Palatino Linotype" w:eastAsia="Palatino Linotype" w:hAnsi="Palatino Linotype" w:cs="Palatino Linotype"/>
          <w:b/>
          <w:i/>
          <w:sz w:val="22"/>
          <w:szCs w:val="22"/>
        </w:rPr>
        <w:t>Artículo 179.</w:t>
      </w:r>
      <w:r w:rsidRPr="00995FA7">
        <w:rPr>
          <w:rFonts w:ascii="Palatino Linotype" w:eastAsia="Palatino Linotype" w:hAnsi="Palatino Linotype" w:cs="Palatino Linotype"/>
          <w:i/>
          <w:sz w:val="22"/>
          <w:szCs w:val="22"/>
        </w:rPr>
        <w:t xml:space="preserve"> El recurso de revisión es un medio de protección que la Ley otorga a los particulares, para hacer valer su derecho de acceso a la información pública, y procederá en contra de las siguientes causas:</w:t>
      </w:r>
    </w:p>
    <w:p w14:paraId="57894972" w14:textId="788F6CE6" w:rsidR="006E155A" w:rsidRPr="00995FA7" w:rsidRDefault="00DF0A5C" w:rsidP="00C3371F">
      <w:pPr>
        <w:tabs>
          <w:tab w:val="left" w:pos="7938"/>
        </w:tabs>
        <w:spacing w:before="120" w:after="120"/>
        <w:ind w:left="851" w:right="900"/>
        <w:jc w:val="both"/>
        <w:rPr>
          <w:rFonts w:ascii="Palatino Linotype" w:hAnsi="Palatino Linotype"/>
          <w:i/>
          <w:sz w:val="22"/>
          <w:szCs w:val="22"/>
        </w:rPr>
      </w:pPr>
      <w:r w:rsidRPr="00995FA7">
        <w:rPr>
          <w:rFonts w:ascii="Palatino Linotype" w:eastAsia="Palatino Linotype" w:hAnsi="Palatino Linotype" w:cs="Palatino Linotype"/>
          <w:b/>
          <w:bCs/>
          <w:i/>
          <w:sz w:val="22"/>
          <w:szCs w:val="22"/>
        </w:rPr>
        <w:t>I</w:t>
      </w:r>
      <w:r w:rsidRPr="00995FA7">
        <w:rPr>
          <w:rFonts w:ascii="Palatino Linotype" w:eastAsia="Palatino Linotype" w:hAnsi="Palatino Linotype" w:cs="Palatino Linotype"/>
          <w:i/>
          <w:sz w:val="22"/>
          <w:szCs w:val="22"/>
        </w:rPr>
        <w:t>. La negativa a la información solicitada;</w:t>
      </w:r>
      <w:r w:rsidR="006E155A" w:rsidRPr="00995FA7">
        <w:rPr>
          <w:rFonts w:ascii="Palatino Linotype" w:eastAsia="Palatino Linotype" w:hAnsi="Palatino Linotype" w:cs="Palatino Linotype"/>
          <w:i/>
          <w:sz w:val="22"/>
          <w:szCs w:val="22"/>
        </w:rPr>
        <w:t>”</w:t>
      </w:r>
    </w:p>
    <w:p w14:paraId="39CCBD5E" w14:textId="77777777" w:rsidR="003A0D6F" w:rsidRPr="00995FA7" w:rsidRDefault="003A0D6F" w:rsidP="003A0D6F">
      <w:pPr>
        <w:spacing w:before="240" w:after="240" w:line="360" w:lineRule="auto"/>
        <w:jc w:val="both"/>
        <w:rPr>
          <w:rFonts w:ascii="Palatino Linotype" w:eastAsia="Palatino Linotype" w:hAnsi="Palatino Linotype" w:cs="Palatino Linotype"/>
          <w:b/>
          <w:sz w:val="22"/>
          <w:szCs w:val="22"/>
        </w:rPr>
      </w:pPr>
      <w:r w:rsidRPr="00995FA7">
        <w:rPr>
          <w:rFonts w:ascii="Palatino Linotype" w:eastAsia="Palatino Linotype" w:hAnsi="Palatino Linotype" w:cs="Palatino Linotype"/>
          <w:b/>
          <w:sz w:val="22"/>
          <w:szCs w:val="22"/>
        </w:rPr>
        <w:t xml:space="preserve">Tercero. Materia de la revisión. </w:t>
      </w:r>
      <w:r w:rsidRPr="00995FA7">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995FA7">
        <w:rPr>
          <w:rFonts w:ascii="Palatino Linotype" w:eastAsia="Palatino Linotype" w:hAnsi="Palatino Linotype" w:cs="Palatino Linotype"/>
          <w:b/>
          <w:sz w:val="22"/>
          <w:szCs w:val="22"/>
        </w:rPr>
        <w:t xml:space="preserve">verificar si la información proporcionada por el Sujeto Obligado es adecuada y suficiente para satisfacer el derecho de acceso a la información pública </w:t>
      </w:r>
      <w:r w:rsidRPr="00995FA7">
        <w:rPr>
          <w:rFonts w:ascii="Palatino Linotype" w:eastAsia="Palatino Linotype" w:hAnsi="Palatino Linotype" w:cs="Palatino Linotype"/>
          <w:sz w:val="22"/>
          <w:szCs w:val="22"/>
        </w:rPr>
        <w:t xml:space="preserve">de la parte </w:t>
      </w:r>
      <w:r w:rsidRPr="00995FA7">
        <w:rPr>
          <w:rFonts w:ascii="Palatino Linotype" w:eastAsia="Palatino Linotype" w:hAnsi="Palatino Linotype" w:cs="Palatino Linotype"/>
          <w:b/>
          <w:sz w:val="22"/>
          <w:szCs w:val="22"/>
        </w:rPr>
        <w:t>Recurrente</w:t>
      </w:r>
      <w:r w:rsidRPr="00995FA7">
        <w:rPr>
          <w:rFonts w:ascii="Palatino Linotype" w:eastAsia="Palatino Linotype" w:hAnsi="Palatino Linotype" w:cs="Palatino Linotype"/>
          <w:sz w:val="22"/>
          <w:szCs w:val="22"/>
        </w:rPr>
        <w:t>, o en su defecto, en caso de ser procedente, ordenar la entrega de información.</w:t>
      </w:r>
    </w:p>
    <w:p w14:paraId="7E89A413" w14:textId="77777777" w:rsidR="003A0D6F" w:rsidRPr="00995FA7" w:rsidRDefault="003A0D6F" w:rsidP="003A0D6F">
      <w:pPr>
        <w:spacing w:before="240" w:after="240" w:line="360" w:lineRule="auto"/>
        <w:jc w:val="both"/>
        <w:rPr>
          <w:rFonts w:ascii="Palatino Linotype" w:eastAsia="Palatino Linotype" w:hAnsi="Palatino Linotype" w:cs="Palatino Linotype"/>
          <w:sz w:val="22"/>
          <w:szCs w:val="22"/>
        </w:rPr>
      </w:pPr>
      <w:bookmarkStart w:id="6" w:name="_heading=h.2et92p0" w:colFirst="0" w:colLast="0"/>
      <w:bookmarkEnd w:id="6"/>
      <w:r w:rsidRPr="00995FA7">
        <w:rPr>
          <w:rFonts w:ascii="Palatino Linotype" w:eastAsia="Palatino Linotype" w:hAnsi="Palatino Linotype" w:cs="Palatino Linotype"/>
          <w:b/>
          <w:sz w:val="22"/>
          <w:szCs w:val="22"/>
        </w:rPr>
        <w:t xml:space="preserve">Cuarto. Estudio del asunto. </w:t>
      </w:r>
      <w:r w:rsidRPr="00995FA7">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01686072"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r w:rsidRPr="00995FA7">
        <w:rPr>
          <w:rFonts w:ascii="Palatino Linotype" w:eastAsia="Palatino Linotype" w:hAnsi="Palatino Linotype" w:cs="Palatino Linotype"/>
          <w:b/>
          <w:i/>
          <w:sz w:val="22"/>
          <w:szCs w:val="22"/>
        </w:rPr>
        <w:t>Artículo 4</w:t>
      </w:r>
      <w:r w:rsidRPr="00995FA7">
        <w:rPr>
          <w:rFonts w:ascii="Palatino Linotype" w:eastAsia="Palatino Linotype" w:hAnsi="Palatino Linotype" w:cs="Palatino Linotype"/>
          <w:i/>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1C48AC7D"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Toda la información generada, obtenida, adquirida, transformada, administrada o en posesión de los sujetos obligados es pública y accesible de manera permanente a cualquier persona</w:t>
      </w:r>
      <w:r w:rsidRPr="00995FA7">
        <w:rPr>
          <w:rFonts w:ascii="Palatino Linotype" w:eastAsia="Palatino Linotype" w:hAnsi="Palatino Linotype" w:cs="Palatino Linotype"/>
          <w:i/>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2B0DFE4C"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Los sujetos obligados deben poner en práctica, políticas y programas de acceso a la información que se apeguen a criterios de publicidad, veracidad, oportunidad, precisión y suficiencia en beneficio de los solicitantes</w:t>
      </w:r>
      <w:r w:rsidRPr="00995FA7">
        <w:rPr>
          <w:rFonts w:ascii="Palatino Linotype" w:eastAsia="Palatino Linotype" w:hAnsi="Palatino Linotype" w:cs="Palatino Linotype"/>
          <w:i/>
          <w:sz w:val="22"/>
          <w:szCs w:val="22"/>
        </w:rPr>
        <w:t>.”</w:t>
      </w:r>
    </w:p>
    <w:p w14:paraId="52E16224" w14:textId="77777777" w:rsidR="003A0D6F" w:rsidRPr="00995FA7" w:rsidRDefault="003A0D6F" w:rsidP="003A0D6F">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2B7EEDF0"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“Artículo 12.-</w:t>
      </w:r>
      <w:r w:rsidRPr="00995FA7">
        <w:rPr>
          <w:rFonts w:ascii="Palatino Linotype" w:eastAsia="Palatino Linotype" w:hAnsi="Palatino Linotype" w:cs="Palatino Linotype"/>
          <w:i/>
          <w:sz w:val="22"/>
          <w:szCs w:val="22"/>
        </w:rPr>
        <w:t xml:space="preserve"> Quienes generen, recopilen, administren, manejen, procesen, archiven o conserven información pública serán responsables de la misma en los términos de las disposiciones jurídicas aplicables. </w:t>
      </w:r>
    </w:p>
    <w:p w14:paraId="3F7ACCBB"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Los sujetos obligados sólo proporcionarán la información pública que se les requiera y que obre en sus archivos y en el estado en que ésta se encuentre</w:t>
      </w: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La obligación de proporcionar información no comprende el procesamiento de la misma, ni el presentarla conforme al interés del solicitante; no estarán obligados a generarla, resumirla, efectuar cálculos o practicar investigaciones.”</w:t>
      </w:r>
    </w:p>
    <w:p w14:paraId="650CF2C7" w14:textId="77777777" w:rsidR="003A0D6F" w:rsidRPr="00995FA7" w:rsidRDefault="003A0D6F" w:rsidP="003A0D6F">
      <w:pPr>
        <w:spacing w:before="240" w:after="240" w:line="360" w:lineRule="auto"/>
        <w:ind w:right="-93"/>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14:paraId="3CCABC1F" w14:textId="77777777" w:rsidR="003A0D6F" w:rsidRPr="00995FA7" w:rsidRDefault="003A0D6F" w:rsidP="003A0D6F">
      <w:pPr>
        <w:spacing w:before="240" w:after="240" w:line="360" w:lineRule="auto"/>
        <w:jc w:val="both"/>
        <w:rPr>
          <w:rFonts w:ascii="Palatino Linotype" w:eastAsia="Palatino Linotype" w:hAnsi="Palatino Linotype" w:cs="Palatino Linotype"/>
          <w:b/>
          <w:sz w:val="22"/>
          <w:szCs w:val="22"/>
        </w:rPr>
      </w:pPr>
      <w:r w:rsidRPr="00995FA7">
        <w:rPr>
          <w:rFonts w:ascii="Palatino Linotype" w:eastAsia="Palatino Linotype" w:hAnsi="Palatino Linotype" w:cs="Palatino Linotype"/>
          <w:sz w:val="22"/>
          <w:szCs w:val="22"/>
        </w:rPr>
        <w:t>Sirve de apoyo a lo anterior, el criterio orientador con clave de control SO/003/2017, emitido por el entonces Instituto Nacional de Transparencia, Acceso a la Información y Protección de Datos Personales, que por rubro y texto, dispone lo siguiente:</w:t>
      </w:r>
      <w:r w:rsidRPr="00995FA7">
        <w:rPr>
          <w:rFonts w:ascii="Palatino Linotype" w:eastAsia="Palatino Linotype" w:hAnsi="Palatino Linotype" w:cs="Palatino Linotype"/>
          <w:b/>
          <w:sz w:val="22"/>
          <w:szCs w:val="22"/>
        </w:rPr>
        <w:t xml:space="preserve"> </w:t>
      </w:r>
    </w:p>
    <w:p w14:paraId="489FC674" w14:textId="77777777" w:rsidR="003A0D6F" w:rsidRPr="00995FA7" w:rsidRDefault="003A0D6F" w:rsidP="003A0D6F">
      <w:pPr>
        <w:spacing w:before="120" w:after="120"/>
        <w:ind w:left="1134"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No existe obligación de elaborar documentos ad hoc para atender las solicitudes de acceso a la información.</w:t>
      </w:r>
      <w:r w:rsidRPr="00995FA7">
        <w:rPr>
          <w:rFonts w:ascii="Palatino Linotype" w:eastAsia="Palatino Linotype" w:hAnsi="Palatino Linotype" w:cs="Palatino Linotype"/>
          <w:i/>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348D3E23" w14:textId="77777777" w:rsidR="003A0D6F" w:rsidRPr="00995FA7" w:rsidRDefault="003A0D6F" w:rsidP="003A0D6F">
      <w:pPr>
        <w:spacing w:before="120" w:after="12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29959112" w14:textId="77777777" w:rsidR="003A0D6F" w:rsidRPr="00995FA7" w:rsidRDefault="003A0D6F" w:rsidP="003A0D6F">
      <w:pPr>
        <w:spacing w:before="120" w:after="12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69EB1689"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r w:rsidRPr="00995FA7">
        <w:rPr>
          <w:rFonts w:ascii="Palatino Linotype" w:eastAsia="Palatino Linotype" w:hAnsi="Palatino Linotype" w:cs="Palatino Linotype"/>
          <w:b/>
          <w:i/>
          <w:sz w:val="22"/>
          <w:szCs w:val="22"/>
        </w:rPr>
        <w:t xml:space="preserve">Artículo 3. </w:t>
      </w:r>
      <w:r w:rsidRPr="00995FA7">
        <w:rPr>
          <w:rFonts w:ascii="Palatino Linotype" w:eastAsia="Palatino Linotype" w:hAnsi="Palatino Linotype" w:cs="Palatino Linotype"/>
          <w:i/>
          <w:sz w:val="22"/>
          <w:szCs w:val="22"/>
        </w:rPr>
        <w:t>Para los efectos de la presente Ley se entenderá por:</w:t>
      </w:r>
    </w:p>
    <w:p w14:paraId="7ACC6C0B"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p>
    <w:p w14:paraId="0F59DFE1"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XI. Documento:</w:t>
      </w:r>
      <w:r w:rsidRPr="00995FA7">
        <w:rPr>
          <w:rFonts w:ascii="Palatino Linotype" w:eastAsia="Palatino Linotype" w:hAnsi="Palatino Linotype" w:cs="Palatino Linotype"/>
          <w:i/>
          <w:sz w:val="22"/>
          <w:szCs w:val="22"/>
        </w:rPr>
        <w:t xml:space="preserve"> Los expedientes, reportes, estudios, actas</w:t>
      </w:r>
      <w:r w:rsidRPr="00995FA7">
        <w:rPr>
          <w:rFonts w:ascii="Palatino Linotype" w:eastAsia="Palatino Linotype" w:hAnsi="Palatino Linotype" w:cs="Palatino Linotype"/>
          <w:b/>
          <w:i/>
          <w:sz w:val="22"/>
          <w:szCs w:val="22"/>
        </w:rPr>
        <w:t>,</w:t>
      </w:r>
      <w:r w:rsidRPr="00995FA7">
        <w:rPr>
          <w:rFonts w:ascii="Palatino Linotype" w:eastAsia="Palatino Linotype" w:hAnsi="Palatino Linotype" w:cs="Palatino Linotype"/>
          <w:i/>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05EE7436" w14:textId="77777777" w:rsidR="003A0D6F" w:rsidRPr="00995FA7" w:rsidRDefault="003A0D6F" w:rsidP="003A0D6F">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27ECFB4F"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sz w:val="22"/>
          <w:szCs w:val="22"/>
        </w:rPr>
        <w:t>“</w:t>
      </w:r>
      <w:r w:rsidRPr="00995FA7">
        <w:rPr>
          <w:rFonts w:ascii="Palatino Linotype" w:eastAsia="Palatino Linotype" w:hAnsi="Palatino Linotype" w:cs="Palatino Linotype"/>
          <w:b/>
          <w:i/>
          <w:sz w:val="22"/>
          <w:szCs w:val="22"/>
        </w:rPr>
        <w:t>INFORMACIÓN PÚBLICA, CONCEPTO DE, EN MATERIA DE TRANSPARENCIA. INTERPRETACIÓN SISTEMÁTICA DE LOS ARTÍCULOS 2°, FRACCIÓN V, XV, Y XVI, 3°, 4°, 11 Y 41.</w:t>
      </w:r>
      <w:r w:rsidRPr="00995FA7">
        <w:rPr>
          <w:rFonts w:ascii="Palatino Linotype" w:eastAsia="Palatino Linotype" w:hAnsi="Palatino Linotype" w:cs="Palatino Linotype"/>
          <w:i/>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4971C84F"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En consecuencia el acceso a la información se refiere a que se cumplan cualquiera de los siguientes tres supuestos:</w:t>
      </w:r>
    </w:p>
    <w:p w14:paraId="2D1E6AE6"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1) Que se trate de información registrada en cualquier soporte documental, que en ejercicio de las atribuciones conferidas, sea generada por los Sujetos Obligados;</w:t>
      </w:r>
    </w:p>
    <w:p w14:paraId="02F7B820"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2) Que se trate de información registrada en cualquier soporte documental, que en ejercicio de las atribuciones conferidas, sea administrada por los Sujetos Obligados, y</w:t>
      </w:r>
    </w:p>
    <w:p w14:paraId="745F4A6F" w14:textId="77777777" w:rsidR="003A0D6F" w:rsidRPr="00995FA7" w:rsidRDefault="003A0D6F" w:rsidP="003A0D6F">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3) Que se trate de información registrada en cualquier soporte documental, que en ejercicio de las atribuciones conferidas, se encuentre en posesión de los Sujetos Obligados.”</w:t>
      </w:r>
    </w:p>
    <w:p w14:paraId="06B787FB" w14:textId="77777777" w:rsidR="003A0D6F" w:rsidRPr="00995FA7" w:rsidRDefault="003A0D6F" w:rsidP="003A0D6F">
      <w:pPr>
        <w:spacing w:before="240" w:after="240" w:line="360" w:lineRule="auto"/>
        <w:ind w:right="51"/>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49E851C5" w14:textId="77777777" w:rsidR="003A0D6F" w:rsidRPr="00995FA7" w:rsidRDefault="003A0D6F" w:rsidP="003A0D6F">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En el mismo tenor, los artículos 6, apartado A, fracción I, de la Constitución Política de los Estados Unidos Mexicanos y 5, párrafo cuadragésimo sexto,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14:paraId="7095C522" w14:textId="77777777" w:rsidR="003A0D6F" w:rsidRPr="00995FA7" w:rsidRDefault="003A0D6F" w:rsidP="003A0D6F">
      <w:pPr>
        <w:spacing w:before="240" w:after="240" w:line="360" w:lineRule="auto"/>
        <w:ind w:right="51"/>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Ahora bien, del análisis de la solicitud de información, motivo del recurso de revisión que ahora se resuelve, se advierte que la parte </w:t>
      </w:r>
      <w:r w:rsidRPr="00995FA7">
        <w:rPr>
          <w:rFonts w:ascii="Palatino Linotype" w:eastAsia="Palatino Linotype" w:hAnsi="Palatino Linotype" w:cs="Palatino Linotype"/>
          <w:b/>
          <w:sz w:val="22"/>
          <w:szCs w:val="22"/>
        </w:rPr>
        <w:t>Recurrente</w:t>
      </w:r>
      <w:r w:rsidRPr="00995FA7">
        <w:rPr>
          <w:rFonts w:ascii="Palatino Linotype" w:eastAsia="Palatino Linotype" w:hAnsi="Palatino Linotype" w:cs="Palatino Linotype"/>
          <w:sz w:val="22"/>
          <w:szCs w:val="22"/>
        </w:rPr>
        <w:t xml:space="preserve"> requirió al </w:t>
      </w:r>
      <w:r w:rsidRPr="00995FA7">
        <w:rPr>
          <w:rFonts w:ascii="Palatino Linotype" w:eastAsia="Palatino Linotype" w:hAnsi="Palatino Linotype" w:cs="Palatino Linotype"/>
          <w:b/>
          <w:sz w:val="22"/>
          <w:szCs w:val="22"/>
        </w:rPr>
        <w:t xml:space="preserve">Sujeto Obligado </w:t>
      </w:r>
      <w:r w:rsidRPr="00995FA7">
        <w:rPr>
          <w:rFonts w:ascii="Palatino Linotype" w:eastAsia="Palatino Linotype" w:hAnsi="Palatino Linotype" w:cs="Palatino Linotype"/>
          <w:sz w:val="22"/>
          <w:szCs w:val="22"/>
        </w:rPr>
        <w:t>le proporcione, información consistente en lo siguiente:</w:t>
      </w:r>
    </w:p>
    <w:p w14:paraId="00DEEB36" w14:textId="10623FC0" w:rsidR="00D2038C" w:rsidRPr="00995FA7" w:rsidRDefault="00CC4509" w:rsidP="00D2038C">
      <w:pPr>
        <w:spacing w:before="240" w:after="240" w:line="360" w:lineRule="auto"/>
        <w:ind w:left="284" w:right="49"/>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1. </w:t>
      </w:r>
      <w:r w:rsidR="00150D4C" w:rsidRPr="00995FA7">
        <w:rPr>
          <w:rFonts w:ascii="Palatino Linotype" w:eastAsia="Palatino Linotype" w:hAnsi="Palatino Linotype" w:cs="Palatino Linotype"/>
          <w:sz w:val="22"/>
          <w:szCs w:val="22"/>
        </w:rPr>
        <w:t>La documental que señale la vigilancia realizada por la Contralora Municipal para que los ingresos municipales se enteren a la Tesorería Municipal conforme a los procedimientos contables y disposiciones legales aplicables, especialmente, lo referente a la totalidad de los ingresos recaudados por el Panteón Colinas del Mayorazgo y Jardines de la Quietud, lo recaudado por concepto de recaudación de derechos referentes a tianguis, carnavales, fiestas patronales, ventas de juguetes, día de muertos, licencias de funcionamiento, del uno de enero de dos mil veinticinco al diecisiete de junio de dos mil veintis</w:t>
      </w:r>
      <w:r w:rsidR="004104CB" w:rsidRPr="00995FA7">
        <w:rPr>
          <w:rFonts w:ascii="Palatino Linotype" w:eastAsia="Palatino Linotype" w:hAnsi="Palatino Linotype" w:cs="Palatino Linotype"/>
          <w:sz w:val="22"/>
          <w:szCs w:val="22"/>
        </w:rPr>
        <w:t>é</w:t>
      </w:r>
      <w:r w:rsidR="00150D4C" w:rsidRPr="00995FA7">
        <w:rPr>
          <w:rFonts w:ascii="Palatino Linotype" w:eastAsia="Palatino Linotype" w:hAnsi="Palatino Linotype" w:cs="Palatino Linotype"/>
          <w:sz w:val="22"/>
          <w:szCs w:val="22"/>
        </w:rPr>
        <w:t>is.</w:t>
      </w:r>
    </w:p>
    <w:p w14:paraId="42E511E3" w14:textId="29BAC493" w:rsidR="004104CB" w:rsidRPr="00995FA7" w:rsidRDefault="00E84E47" w:rsidP="00FD5CF8">
      <w:pPr>
        <w:spacing w:before="240" w:after="240" w:line="360" w:lineRule="auto"/>
        <w:ind w:right="49"/>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En respuesta, la </w:t>
      </w:r>
      <w:r w:rsidR="00F844C6" w:rsidRPr="00995FA7">
        <w:rPr>
          <w:rFonts w:ascii="Palatino Linotype" w:eastAsia="Palatino Linotype" w:hAnsi="Palatino Linotype" w:cs="Palatino Linotype"/>
          <w:sz w:val="22"/>
          <w:szCs w:val="22"/>
        </w:rPr>
        <w:t xml:space="preserve">Unidad de Transparencia </w:t>
      </w:r>
      <w:r w:rsidR="00894A8C" w:rsidRPr="00995FA7">
        <w:rPr>
          <w:rFonts w:ascii="Palatino Linotype" w:eastAsia="Palatino Linotype" w:hAnsi="Palatino Linotype" w:cs="Palatino Linotype"/>
          <w:sz w:val="22"/>
          <w:szCs w:val="22"/>
        </w:rPr>
        <w:t xml:space="preserve">notificó a la persona solicitante la respuesta proporcionada por </w:t>
      </w:r>
      <w:r w:rsidR="004104CB" w:rsidRPr="00995FA7">
        <w:rPr>
          <w:rFonts w:ascii="Palatino Linotype" w:eastAsia="Palatino Linotype" w:hAnsi="Palatino Linotype" w:cs="Palatino Linotype"/>
          <w:sz w:val="22"/>
          <w:szCs w:val="22"/>
        </w:rPr>
        <w:t>el Órgano Interno de Control, cuya persona servidora pública habilitada refirió que la generación, resguardo y administración de la documentación relativa a la recaudación de ingresos municipales corresponde a la Tesorería Municipal y a las áreas administrativas recaudadoras en el ámbito de sus respectivas atribuciones, por lo que el Órgano Interno de Control no es competente para generar, resguardar o proporcionar la totalidad de la documentación relativa a los ingresos recaudados por los conceptos señalados, y sugirió que dicha información se solicitara a la dependencia responsable de su integración de conformidad con el ámbito de competencias establecido en la normatividad aplicable.</w:t>
      </w:r>
    </w:p>
    <w:p w14:paraId="02F36611" w14:textId="2CBE7BBE" w:rsidR="004104CB" w:rsidRPr="00995FA7" w:rsidRDefault="004104CB" w:rsidP="00FD5CF8">
      <w:pPr>
        <w:spacing w:before="240" w:after="240" w:line="360" w:lineRule="auto"/>
        <w:ind w:right="49"/>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Al no estar conforme con los términos de la respuesta proporcionada, la parte </w:t>
      </w:r>
      <w:r w:rsidRPr="00995FA7">
        <w:rPr>
          <w:rFonts w:ascii="Palatino Linotype" w:eastAsia="Palatino Linotype" w:hAnsi="Palatino Linotype" w:cs="Palatino Linotype"/>
          <w:b/>
          <w:bCs/>
          <w:sz w:val="22"/>
          <w:szCs w:val="22"/>
        </w:rPr>
        <w:t xml:space="preserve">Recurrente </w:t>
      </w:r>
      <w:r w:rsidRPr="00995FA7">
        <w:rPr>
          <w:rFonts w:ascii="Palatino Linotype" w:eastAsia="Palatino Linotype" w:hAnsi="Palatino Linotype" w:cs="Palatino Linotype"/>
          <w:sz w:val="22"/>
          <w:szCs w:val="22"/>
        </w:rPr>
        <w:t>interpuso el recurso de revisión que nos ocupa, donde señaló, como motivo de inconformidad, que esta carecía de fundamentación y motivación, en virtud de que la información solicitada es generada por la Contraloría de acuerdo con la Ley Orgánica Municipal del Estado de México.</w:t>
      </w:r>
    </w:p>
    <w:p w14:paraId="37E4405B" w14:textId="77777777" w:rsidR="004104CB" w:rsidRPr="00995FA7" w:rsidRDefault="004104CB" w:rsidP="004104CB">
      <w:pPr>
        <w:spacing w:before="240" w:after="240" w:line="360" w:lineRule="auto"/>
        <w:ind w:right="49"/>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En la etapa de manifestaciones el </w:t>
      </w:r>
      <w:r w:rsidRPr="00995FA7">
        <w:rPr>
          <w:rFonts w:ascii="Palatino Linotype" w:eastAsia="Palatino Linotype" w:hAnsi="Palatino Linotype" w:cs="Palatino Linotype"/>
          <w:b/>
          <w:bCs/>
          <w:sz w:val="22"/>
          <w:szCs w:val="22"/>
        </w:rPr>
        <w:t xml:space="preserve">Sujeto Obligado </w:t>
      </w:r>
      <w:r w:rsidRPr="00995FA7">
        <w:rPr>
          <w:rFonts w:ascii="Palatino Linotype" w:eastAsia="Palatino Linotype" w:hAnsi="Palatino Linotype" w:cs="Palatino Linotype"/>
          <w:sz w:val="22"/>
          <w:szCs w:val="22"/>
        </w:rPr>
        <w:t xml:space="preserve">fue omiso en rendir su informe justificado, y la parte </w:t>
      </w:r>
      <w:r w:rsidRPr="00995FA7">
        <w:rPr>
          <w:rFonts w:ascii="Palatino Linotype" w:eastAsia="Palatino Linotype" w:hAnsi="Palatino Linotype" w:cs="Palatino Linotype"/>
          <w:b/>
          <w:bCs/>
          <w:sz w:val="22"/>
          <w:szCs w:val="22"/>
        </w:rPr>
        <w:t xml:space="preserve">Recurrente </w:t>
      </w:r>
      <w:r w:rsidRPr="00995FA7">
        <w:rPr>
          <w:rFonts w:ascii="Palatino Linotype" w:eastAsia="Palatino Linotype" w:hAnsi="Palatino Linotype" w:cs="Palatino Linotype"/>
          <w:sz w:val="22"/>
          <w:szCs w:val="22"/>
        </w:rPr>
        <w:t>fue omisa en hacer valer manifestaciones o rendir alegatos que conforme a derecho resultaran procedentes, por lo tanto, se tiene por precluido su derecho.</w:t>
      </w:r>
    </w:p>
    <w:p w14:paraId="0ABE5316" w14:textId="77777777" w:rsidR="005303C3" w:rsidRPr="00995FA7" w:rsidRDefault="005303C3" w:rsidP="005303C3">
      <w:pPr>
        <w:spacing w:before="280" w:after="28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Una vez establecidas las posturas de las partes, se procede al análisis del requerimiento de información combatido, así como la información proporcionada por el </w:t>
      </w:r>
      <w:r w:rsidRPr="00995FA7">
        <w:rPr>
          <w:rFonts w:ascii="Palatino Linotype" w:eastAsia="Palatino Linotype" w:hAnsi="Palatino Linotype" w:cs="Palatino Linotype"/>
          <w:b/>
          <w:sz w:val="22"/>
          <w:szCs w:val="22"/>
        </w:rPr>
        <w:t xml:space="preserve">Sujeto Obligado, </w:t>
      </w:r>
      <w:r w:rsidRPr="00995FA7">
        <w:rPr>
          <w:rFonts w:ascii="Palatino Linotype" w:eastAsia="Palatino Linotype" w:hAnsi="Palatino Linotype" w:cs="Palatino Linotype"/>
          <w:sz w:val="22"/>
          <w:szCs w:val="22"/>
        </w:rPr>
        <w:t xml:space="preserve">en contraposición con el motivo de inconformidad alegado por la parte </w:t>
      </w:r>
      <w:r w:rsidRPr="00995FA7">
        <w:rPr>
          <w:rFonts w:ascii="Palatino Linotype" w:eastAsia="Palatino Linotype" w:hAnsi="Palatino Linotype" w:cs="Palatino Linotype"/>
          <w:b/>
          <w:sz w:val="22"/>
          <w:szCs w:val="22"/>
        </w:rPr>
        <w:t xml:space="preserve">Recurrente, </w:t>
      </w:r>
      <w:r w:rsidRPr="00995FA7">
        <w:rPr>
          <w:rFonts w:ascii="Palatino Linotype" w:eastAsia="Palatino Linotype" w:hAnsi="Palatino Linotype" w:cs="Palatino Linotype"/>
          <w:sz w:val="22"/>
          <w:szCs w:val="22"/>
        </w:rPr>
        <w:t>con la finalidad de determinar si el Derecho de acceso de esta se satisfizo, o en su defecto, señalar los documentos que en el ejercicio de sus atribuciones pudo haber generado, y que, de manera enunciativa más no limitativa, pudieran colmar dicho derecho, en caso de ser procedente.</w:t>
      </w:r>
    </w:p>
    <w:p w14:paraId="42866B7A" w14:textId="06A5251B" w:rsidR="00E31B44" w:rsidRPr="00995FA7" w:rsidRDefault="00E31B44" w:rsidP="00E31B44">
      <w:pPr>
        <w:spacing w:before="280" w:after="28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En esta línea de pensamiento, derivado del análisis de las constancias que obran en el expediente electrónico en el que se actúa, se advirtió que la Unidad de Transparencia turnó la solicitud de información al Órgano Interno de Control Municipal como la dependencia responsable para conocer de la información que es del interés de la persona solicitante, por lo tanto, se cumplió el procedimiento de búsqueda establecido en los artículos 151, 159, 160, 162, 163, 164, 165 y 166, de la Ley de Transparencia y Acceso a la Información Pública del Estado de México y Municipio, el cual se constituye como la garantía primaria del derecho humano de acceso a la información pública, el cual se rige por los principios de simplicidad, rapidez, gratuidad del procedimiento, auxilio y orientación a las personas solicitantes con el fin de otorgar la protección más amplia de este derecho.</w:t>
      </w:r>
    </w:p>
    <w:p w14:paraId="1DFDA76D" w14:textId="582CF529" w:rsidR="00E31B44" w:rsidRPr="00995FA7" w:rsidRDefault="00E31B44" w:rsidP="00E31B44">
      <w:pPr>
        <w:spacing w:before="280" w:after="28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Lo anterior se afirma así, toda vez que de conformidad con el artículo 112</w:t>
      </w:r>
      <w:r w:rsidR="0051763F" w:rsidRPr="00995FA7">
        <w:rPr>
          <w:rFonts w:ascii="Palatino Linotype" w:eastAsia="Palatino Linotype" w:hAnsi="Palatino Linotype" w:cs="Palatino Linotype"/>
          <w:sz w:val="22"/>
          <w:szCs w:val="22"/>
        </w:rPr>
        <w:t xml:space="preserve">, fracción XIV </w:t>
      </w:r>
      <w:r w:rsidRPr="00995FA7">
        <w:rPr>
          <w:rFonts w:ascii="Palatino Linotype" w:eastAsia="Palatino Linotype" w:hAnsi="Palatino Linotype" w:cs="Palatino Linotype"/>
          <w:sz w:val="22"/>
          <w:szCs w:val="22"/>
        </w:rPr>
        <w:t>de la Ley Orgánica Municipal, el Órgano Interno de Control Municipal está facultado para vigilar que los ingresos municipales se enteren a la tesorería municipal conforme a los procedimientos contables y disposiciones legales aplicables, como se lee en seguida:</w:t>
      </w:r>
    </w:p>
    <w:p w14:paraId="6C0615BB" w14:textId="61794CDF" w:rsidR="00E31B44" w:rsidRPr="00995FA7" w:rsidRDefault="00E31B44" w:rsidP="00E31B44">
      <w:pPr>
        <w:spacing w:before="120" w:after="120"/>
        <w:ind w:left="851" w:right="902"/>
        <w:jc w:val="both"/>
        <w:rPr>
          <w:rFonts w:ascii="Palatino Linotype" w:eastAsia="Palatino Linotype" w:hAnsi="Palatino Linotype" w:cs="Palatino Linotype"/>
          <w:i/>
          <w:iCs/>
          <w:sz w:val="22"/>
          <w:szCs w:val="22"/>
        </w:rPr>
      </w:pPr>
      <w:r w:rsidRPr="00995FA7">
        <w:rPr>
          <w:rFonts w:ascii="Palatino Linotype" w:eastAsia="Palatino Linotype" w:hAnsi="Palatino Linotype" w:cs="Palatino Linotype"/>
          <w:i/>
          <w:iCs/>
          <w:sz w:val="22"/>
          <w:szCs w:val="22"/>
        </w:rPr>
        <w:t xml:space="preserve"> “</w:t>
      </w:r>
      <w:r w:rsidRPr="00995FA7">
        <w:rPr>
          <w:rFonts w:ascii="Palatino Linotype" w:eastAsia="Palatino Linotype" w:hAnsi="Palatino Linotype" w:cs="Palatino Linotype"/>
          <w:b/>
          <w:bCs/>
          <w:i/>
          <w:iCs/>
          <w:sz w:val="22"/>
          <w:szCs w:val="22"/>
        </w:rPr>
        <w:t>Artículo 112</w:t>
      </w:r>
      <w:r w:rsidRPr="00995FA7">
        <w:rPr>
          <w:rFonts w:ascii="Palatino Linotype" w:eastAsia="Palatino Linotype" w:hAnsi="Palatino Linotype" w:cs="Palatino Linotype"/>
          <w:i/>
          <w:iCs/>
          <w:sz w:val="22"/>
          <w:szCs w:val="22"/>
        </w:rPr>
        <w:t>. El órgano interno de control municipal tendrá a su cargo las funciones siguientes:</w:t>
      </w:r>
    </w:p>
    <w:p w14:paraId="3D036783" w14:textId="58A52CE4" w:rsidR="00E31B44" w:rsidRPr="00995FA7" w:rsidRDefault="00E31B44" w:rsidP="00E31B44">
      <w:pPr>
        <w:spacing w:before="120" w:after="120"/>
        <w:ind w:left="851" w:right="902"/>
        <w:jc w:val="both"/>
        <w:rPr>
          <w:rFonts w:ascii="Palatino Linotype" w:eastAsia="Palatino Linotype" w:hAnsi="Palatino Linotype" w:cs="Palatino Linotype"/>
          <w:i/>
          <w:iCs/>
          <w:sz w:val="22"/>
          <w:szCs w:val="22"/>
        </w:rPr>
      </w:pPr>
      <w:r w:rsidRPr="00995FA7">
        <w:rPr>
          <w:rFonts w:ascii="Palatino Linotype" w:eastAsia="Palatino Linotype" w:hAnsi="Palatino Linotype" w:cs="Palatino Linotype"/>
          <w:i/>
          <w:iCs/>
          <w:sz w:val="22"/>
          <w:szCs w:val="22"/>
        </w:rPr>
        <w:t>...</w:t>
      </w:r>
    </w:p>
    <w:p w14:paraId="0B674133" w14:textId="4266534E" w:rsidR="00E31B44" w:rsidRPr="00995FA7" w:rsidRDefault="00E31B44" w:rsidP="00E31B44">
      <w:pPr>
        <w:spacing w:before="120" w:after="120"/>
        <w:ind w:left="851" w:right="902"/>
        <w:jc w:val="both"/>
        <w:rPr>
          <w:rFonts w:ascii="Palatino Linotype" w:eastAsia="Palatino Linotype" w:hAnsi="Palatino Linotype" w:cs="Palatino Linotype"/>
          <w:i/>
          <w:iCs/>
          <w:sz w:val="22"/>
          <w:szCs w:val="22"/>
        </w:rPr>
      </w:pPr>
      <w:r w:rsidRPr="00995FA7">
        <w:rPr>
          <w:rFonts w:ascii="Palatino Linotype" w:eastAsia="Palatino Linotype" w:hAnsi="Palatino Linotype" w:cs="Palatino Linotype"/>
          <w:b/>
          <w:bCs/>
          <w:i/>
          <w:iCs/>
          <w:sz w:val="22"/>
          <w:szCs w:val="22"/>
        </w:rPr>
        <w:t>XIV</w:t>
      </w:r>
      <w:r w:rsidRPr="00995FA7">
        <w:rPr>
          <w:rFonts w:ascii="Palatino Linotype" w:eastAsia="Palatino Linotype" w:hAnsi="Palatino Linotype" w:cs="Palatino Linotype"/>
          <w:i/>
          <w:iCs/>
          <w:sz w:val="22"/>
          <w:szCs w:val="22"/>
        </w:rPr>
        <w:t>. Vigilar que los ingresos municipales se enteren a la tesorería municipal conforme a los procedimientos contables y disposiciones legales aplicables;”</w:t>
      </w:r>
    </w:p>
    <w:p w14:paraId="413107D8" w14:textId="41987759" w:rsidR="001D10CC" w:rsidRPr="00995FA7" w:rsidRDefault="00E31B44" w:rsidP="00E31B44">
      <w:pPr>
        <w:spacing w:before="280" w:after="28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No obstante, la persona servidora pública encaminó su respuesta a la recaudación de los ingresos municipales, </w:t>
      </w:r>
      <w:r w:rsidR="001D10CC" w:rsidRPr="00995FA7">
        <w:rPr>
          <w:rFonts w:ascii="Palatino Linotype" w:eastAsia="Palatino Linotype" w:hAnsi="Palatino Linotype" w:cs="Palatino Linotype"/>
          <w:sz w:val="22"/>
          <w:szCs w:val="22"/>
        </w:rPr>
        <w:t>que</w:t>
      </w:r>
      <w:r w:rsidRPr="00995FA7">
        <w:rPr>
          <w:rFonts w:ascii="Palatino Linotype" w:eastAsia="Palatino Linotype" w:hAnsi="Palatino Linotype" w:cs="Palatino Linotype"/>
          <w:sz w:val="22"/>
          <w:szCs w:val="22"/>
        </w:rPr>
        <w:t xml:space="preserve"> es </w:t>
      </w:r>
      <w:r w:rsidR="001D10CC" w:rsidRPr="00995FA7">
        <w:rPr>
          <w:rFonts w:ascii="Palatino Linotype" w:eastAsia="Palatino Linotype" w:hAnsi="Palatino Linotype" w:cs="Palatino Linotype"/>
          <w:sz w:val="22"/>
          <w:szCs w:val="22"/>
        </w:rPr>
        <w:t xml:space="preserve">una </w:t>
      </w:r>
      <w:r w:rsidRPr="00995FA7">
        <w:rPr>
          <w:rFonts w:ascii="Palatino Linotype" w:eastAsia="Palatino Linotype" w:hAnsi="Palatino Linotype" w:cs="Palatino Linotype"/>
          <w:sz w:val="22"/>
          <w:szCs w:val="22"/>
        </w:rPr>
        <w:t>atribución</w:t>
      </w:r>
      <w:r w:rsidR="001D10CC" w:rsidRPr="00995FA7">
        <w:rPr>
          <w:rFonts w:ascii="Palatino Linotype" w:eastAsia="Palatino Linotype" w:hAnsi="Palatino Linotype" w:cs="Palatino Linotype"/>
          <w:sz w:val="22"/>
          <w:szCs w:val="22"/>
        </w:rPr>
        <w:t xml:space="preserve"> que se le confiere exclusivamente a</w:t>
      </w:r>
      <w:r w:rsidRPr="00995FA7">
        <w:rPr>
          <w:rFonts w:ascii="Palatino Linotype" w:eastAsia="Palatino Linotype" w:hAnsi="Palatino Linotype" w:cs="Palatino Linotype"/>
          <w:sz w:val="22"/>
          <w:szCs w:val="22"/>
        </w:rPr>
        <w:t xml:space="preserve"> la Tesorería Municipal y </w:t>
      </w:r>
      <w:r w:rsidR="001D10CC" w:rsidRPr="00995FA7">
        <w:rPr>
          <w:rFonts w:ascii="Palatino Linotype" w:eastAsia="Palatino Linotype" w:hAnsi="Palatino Linotype" w:cs="Palatino Linotype"/>
          <w:sz w:val="22"/>
          <w:szCs w:val="22"/>
        </w:rPr>
        <w:t>a</w:t>
      </w:r>
      <w:r w:rsidRPr="00995FA7">
        <w:rPr>
          <w:rFonts w:ascii="Palatino Linotype" w:eastAsia="Palatino Linotype" w:hAnsi="Palatino Linotype" w:cs="Palatino Linotype"/>
          <w:sz w:val="22"/>
          <w:szCs w:val="22"/>
        </w:rPr>
        <w:t xml:space="preserve"> las áreas administrativas recaudadoras, lo cual no corresponde con lo solicitado</w:t>
      </w:r>
      <w:r w:rsidR="001D10CC" w:rsidRPr="00995FA7">
        <w:rPr>
          <w:rFonts w:ascii="Palatino Linotype" w:eastAsia="Palatino Linotype" w:hAnsi="Palatino Linotype" w:cs="Palatino Linotype"/>
          <w:sz w:val="22"/>
          <w:szCs w:val="22"/>
        </w:rPr>
        <w:t>, por consiguiente, la respuesta proporcionada no agotó los principios de congruencia y exhaustividad.</w:t>
      </w:r>
    </w:p>
    <w:p w14:paraId="123562D1" w14:textId="77777777" w:rsidR="0051763F" w:rsidRPr="00995FA7" w:rsidRDefault="0051763F" w:rsidP="0051763F">
      <w:pPr>
        <w:spacing w:before="240" w:after="240" w:line="360" w:lineRule="auto"/>
        <w:jc w:val="both"/>
        <w:rPr>
          <w:rFonts w:ascii="Palatino Linotype" w:eastAsia="Calibri" w:hAnsi="Palatino Linotype"/>
          <w:sz w:val="22"/>
          <w:szCs w:val="22"/>
          <w:lang w:eastAsia="en-US"/>
        </w:rPr>
      </w:pPr>
      <w:r w:rsidRPr="00995FA7">
        <w:rPr>
          <w:rFonts w:ascii="Palatino Linotype" w:eastAsia="Calibri" w:hAnsi="Palatino Linotype"/>
          <w:sz w:val="22"/>
          <w:szCs w:val="22"/>
          <w:lang w:eastAsia="en-US"/>
        </w:rPr>
        <w:t>Sobre el tema, el artículo 1.8, fracción XIII, del Código Administrativo del Estado de México, establece que para que tenga validez, todo acto administrativo deberá resolver todos los puntos propuestos por los interesados.</w:t>
      </w:r>
    </w:p>
    <w:p w14:paraId="251CA386" w14:textId="77777777" w:rsidR="0051763F" w:rsidRPr="00995FA7" w:rsidRDefault="0051763F" w:rsidP="0051763F">
      <w:pPr>
        <w:spacing w:before="240" w:after="240" w:line="360" w:lineRule="auto"/>
        <w:jc w:val="both"/>
        <w:rPr>
          <w:rFonts w:ascii="Palatino Linotype" w:eastAsia="Calibri" w:hAnsi="Palatino Linotype"/>
          <w:sz w:val="22"/>
          <w:szCs w:val="22"/>
          <w:lang w:eastAsia="en-US"/>
        </w:rPr>
      </w:pPr>
      <w:r w:rsidRPr="00995FA7">
        <w:rPr>
          <w:rFonts w:ascii="Palatino Linotype" w:eastAsia="Calibri" w:hAnsi="Palatino Linotype"/>
          <w:sz w:val="22"/>
          <w:szCs w:val="22"/>
          <w:lang w:eastAsia="en-US"/>
        </w:rPr>
        <w:t xml:space="preserve">Situación que se robustece, con el Criterio orientador, con clave de control SO/002/2017, emitido por el entonces Instituto Nacional de Transparencia, Acceso a la Información y Protección de Datos Personales, el cual establece que todo acto administrativo debe apegarse a los </w:t>
      </w:r>
      <w:r w:rsidRPr="00995FA7">
        <w:rPr>
          <w:rFonts w:ascii="Palatino Linotype" w:eastAsia="Calibri" w:hAnsi="Palatino Linotype"/>
          <w:b/>
          <w:bCs/>
          <w:sz w:val="22"/>
          <w:szCs w:val="22"/>
          <w:lang w:eastAsia="en-US"/>
        </w:rPr>
        <w:t>principios de congruencia y exhaustividad,</w:t>
      </w:r>
      <w:r w:rsidRPr="00995FA7">
        <w:rPr>
          <w:rFonts w:ascii="Palatino Linotype" w:eastAsia="Calibri" w:hAnsi="Palatino Linotype"/>
          <w:sz w:val="22"/>
          <w:szCs w:val="22"/>
          <w:lang w:eastAsia="en-US"/>
        </w:rPr>
        <w:t xml:space="preserve"> entendiendo por estos que se pronuncie expresamente sobre cada uno de los puntos requeridos, lo cual en materia de transparencia y acceso a la información pública se traduce en que, las respuestas que emitan los Sujetos Obligados, deben guardar una relación lógica con lo solicitado, analizando y decidiendo –de marea íntegra- sobre todos los puntos requeridos, a fin de satisfacer la solicitud correspondiente:</w:t>
      </w:r>
    </w:p>
    <w:p w14:paraId="56BA1CFA" w14:textId="77777777" w:rsidR="0051763F" w:rsidRPr="00995FA7" w:rsidRDefault="0051763F" w:rsidP="0051763F">
      <w:pPr>
        <w:pStyle w:val="Prrafodelista"/>
        <w:ind w:left="851" w:right="851"/>
        <w:jc w:val="both"/>
        <w:rPr>
          <w:rFonts w:ascii="Palatino Linotype" w:hAnsi="Palatino Linotype" w:cs="Arial"/>
          <w:i/>
          <w:sz w:val="22"/>
          <w:szCs w:val="22"/>
        </w:rPr>
      </w:pPr>
      <w:r w:rsidRPr="00995FA7">
        <w:rPr>
          <w:rFonts w:ascii="Palatino Linotype" w:hAnsi="Palatino Linotype" w:cs="Arial"/>
          <w:b/>
          <w:i/>
          <w:sz w:val="22"/>
          <w:szCs w:val="22"/>
        </w:rPr>
        <w:t xml:space="preserve"> “Congruencia y exhaustividad. Sus alcances para garantizar el derecho de acceso a la información. </w:t>
      </w:r>
      <w:r w:rsidRPr="00995FA7">
        <w:rPr>
          <w:rFonts w:ascii="Palatino Linotype" w:hAnsi="Palatino Linotype" w:cs="Arial"/>
          <w:i/>
          <w:sz w:val="22"/>
          <w:szCs w:val="22"/>
        </w:rPr>
        <w:t xml:space="preserve">De conformidad con el artículo </w:t>
      </w:r>
      <w:r w:rsidRPr="00995FA7">
        <w:rPr>
          <w:rFonts w:ascii="Palatino Linotype" w:hAnsi="Palatino Linotype"/>
          <w:i/>
          <w:sz w:val="22"/>
          <w:szCs w:val="22"/>
          <w:lang w:val="es-ES_tradnl"/>
        </w:rPr>
        <w:t>3 de la Ley Federal de Procedimiento Administrativo</w:t>
      </w:r>
      <w:r w:rsidRPr="00995FA7">
        <w:rPr>
          <w:rFonts w:ascii="Palatino Linotype" w:hAnsi="Palatino Linotype" w:cs="Arial"/>
          <w:i/>
          <w:sz w:val="22"/>
          <w:szCs w:val="22"/>
        </w:rPr>
        <w:t xml:space="preserve">, de aplicación supletoria a la Ley Federal de Transparencia y Acceso a la Información Pública, en términos de su artículo 7; todo acto administrativo debe cumplir con los principios de congruencia y exhaustividad. Para el efectivo ejercicio del derecho de acceso a la información, </w:t>
      </w:r>
      <w:r w:rsidRPr="00995FA7">
        <w:rPr>
          <w:rFonts w:ascii="Palatino Linotype" w:hAnsi="Palatino Linotype" w:cs="Arial"/>
          <w:b/>
          <w:i/>
          <w:sz w:val="22"/>
          <w:szCs w:val="22"/>
        </w:rPr>
        <w:t>la congruencia implica que exista concordancia entre el requerimiento formulado por el particular y la respuesta proporcionada por el sujeto obligado</w:t>
      </w:r>
      <w:r w:rsidRPr="00995FA7">
        <w:rPr>
          <w:rFonts w:ascii="Palatino Linotype" w:hAnsi="Palatino Linotype" w:cs="Arial"/>
          <w:i/>
          <w:sz w:val="22"/>
          <w:szCs w:val="22"/>
        </w:rPr>
        <w:t xml:space="preserve">; mientras que </w:t>
      </w:r>
      <w:r w:rsidRPr="00995FA7">
        <w:rPr>
          <w:rFonts w:ascii="Palatino Linotype" w:hAnsi="Palatino Linotype" w:cs="Arial"/>
          <w:b/>
          <w:i/>
          <w:sz w:val="22"/>
          <w:szCs w:val="22"/>
        </w:rPr>
        <w:t>la exhaustividad significa que dicha respuesta se refiera expresamente a cada uno de los puntos solicitados</w:t>
      </w:r>
      <w:r w:rsidRPr="00995FA7">
        <w:rPr>
          <w:rFonts w:ascii="Palatino Linotype" w:hAnsi="Palatino Linotype" w:cs="Arial"/>
          <w:i/>
          <w:sz w:val="22"/>
          <w:szCs w:val="22"/>
        </w:rPr>
        <w:t>. Por lo anterior, los sujetos obligados cumplirán con los principios de congruencia y exhaustividad, cuando las respuestas que emitan guarden una relación lógica con lo solicitado y atiendan de manera puntual y expresa, cada uno de los contenidos de información.”</w:t>
      </w:r>
    </w:p>
    <w:p w14:paraId="53FE912A" w14:textId="11EE38A9" w:rsidR="0051763F" w:rsidRPr="00995FA7" w:rsidRDefault="0051763F" w:rsidP="0051763F">
      <w:pPr>
        <w:spacing w:before="240" w:after="240" w:line="360" w:lineRule="auto"/>
        <w:jc w:val="both"/>
        <w:rPr>
          <w:rFonts w:ascii="Palatino Linotype" w:eastAsia="Palatino Linotype" w:hAnsi="Palatino Linotype" w:cs="Palatino Linotype"/>
          <w:sz w:val="22"/>
          <w:szCs w:val="22"/>
        </w:rPr>
      </w:pPr>
      <w:r w:rsidRPr="00995FA7">
        <w:rPr>
          <w:rFonts w:ascii="Palatino Linotype" w:hAnsi="Palatino Linotype"/>
          <w:sz w:val="22"/>
          <w:szCs w:val="22"/>
        </w:rPr>
        <w:t xml:space="preserve">Por lo anterior, este Organismo Garante, con la finalidad de garantizar el derecho humano de acceso a la información de la parte </w:t>
      </w:r>
      <w:r w:rsidRPr="00995FA7">
        <w:rPr>
          <w:rFonts w:ascii="Palatino Linotype" w:hAnsi="Palatino Linotype"/>
          <w:b/>
          <w:sz w:val="22"/>
          <w:szCs w:val="22"/>
        </w:rPr>
        <w:t>Recurrente,</w:t>
      </w:r>
      <w:r w:rsidRPr="00995FA7">
        <w:rPr>
          <w:rFonts w:ascii="Palatino Linotype" w:hAnsi="Palatino Linotype"/>
          <w:sz w:val="22"/>
          <w:szCs w:val="22"/>
        </w:rPr>
        <w:t xml:space="preserve"> </w:t>
      </w:r>
      <w:r w:rsidRPr="00995FA7">
        <w:rPr>
          <w:rFonts w:ascii="Palatino Linotype" w:eastAsia="Palatino Linotype" w:hAnsi="Palatino Linotype" w:cs="Palatino Linotype"/>
          <w:sz w:val="22"/>
          <w:szCs w:val="22"/>
        </w:rPr>
        <w:t xml:space="preserve">y a fin de reparar el agravio causado ante la omisión en que incurriera el </w:t>
      </w:r>
      <w:r w:rsidRPr="00995FA7">
        <w:rPr>
          <w:rFonts w:ascii="Palatino Linotype" w:eastAsia="Palatino Linotype" w:hAnsi="Palatino Linotype" w:cs="Palatino Linotype"/>
          <w:b/>
          <w:sz w:val="22"/>
          <w:szCs w:val="22"/>
        </w:rPr>
        <w:t>Sujeto Obligado</w:t>
      </w:r>
      <w:r w:rsidRPr="00995FA7">
        <w:rPr>
          <w:rFonts w:ascii="Palatino Linotype" w:eastAsia="Palatino Linotype" w:hAnsi="Palatino Linotype" w:cs="Palatino Linotype"/>
          <w:sz w:val="22"/>
          <w:szCs w:val="22"/>
        </w:rPr>
        <w:t>, ya que, como se señaló, su respuesta careció de los principios de congruencia y exhaustividad, al no pronunciarse de manera particular sobre la materia de la solicitud, se estima procedente ordenar que, previa búsqueda exhaustiva y razonable en los archivos del Órgano Interno de Control, haga entrega del soporte documental que de cuenta del cumplimiento de la atribución establecida en el artículo 112, fracción XIV de la Ley Orgánica Municipal, del uno de enero de dos mil veinticinco al diecisiete de junio de dos mil veintiséis, al mayor grado de desagregación posible, toda vez que la normativa no establece que dicha atribución deba cumplirse al grado de detalle que la persona solicitante requiere.</w:t>
      </w:r>
    </w:p>
    <w:p w14:paraId="17AC65C0" w14:textId="28073FDD" w:rsidR="00500679" w:rsidRPr="00995FA7" w:rsidRDefault="0051763F" w:rsidP="00500679">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Asimismo, no obsta mencionar que </w:t>
      </w:r>
      <w:r w:rsidR="00500679" w:rsidRPr="00995FA7">
        <w:rPr>
          <w:rFonts w:ascii="Palatino Linotype" w:eastAsia="Palatino Linotype" w:hAnsi="Palatino Linotype" w:cs="Palatino Linotype"/>
          <w:sz w:val="22"/>
          <w:szCs w:val="22"/>
        </w:rPr>
        <w:t>los Sujetos Obligados se encuentran constreñidos a documentar todo acto que derive del ejercicio de sus facultades, competencias o funciones considerando su eventual publicación, en términos de los artículos 18 y 24 fracción XXII de la Ley de la Materia, que a la letra señalan lo siguiente:</w:t>
      </w:r>
    </w:p>
    <w:p w14:paraId="4BC8256E" w14:textId="77777777" w:rsidR="00500679" w:rsidRPr="00995FA7" w:rsidRDefault="00500679" w:rsidP="00500679">
      <w:pPr>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r w:rsidRPr="00995FA7">
        <w:rPr>
          <w:rFonts w:ascii="Palatino Linotype" w:eastAsia="Palatino Linotype" w:hAnsi="Palatino Linotype" w:cs="Palatino Linotype"/>
          <w:b/>
          <w:i/>
          <w:sz w:val="22"/>
          <w:szCs w:val="22"/>
        </w:rPr>
        <w:t>Artículo 18.</w:t>
      </w:r>
      <w:r w:rsidRPr="00995FA7">
        <w:rPr>
          <w:rFonts w:ascii="Palatino Linotype" w:eastAsia="Palatino Linotype" w:hAnsi="Palatino Linotype" w:cs="Palatino Linotype"/>
          <w:i/>
          <w:sz w:val="22"/>
          <w:szCs w:val="22"/>
        </w:rPr>
        <w:t xml:space="preserve"> Los sujetos obligados </w:t>
      </w:r>
      <w:r w:rsidRPr="00995FA7">
        <w:rPr>
          <w:rFonts w:ascii="Palatino Linotype" w:eastAsia="Palatino Linotype" w:hAnsi="Palatino Linotype" w:cs="Palatino Linotype"/>
          <w:b/>
          <w:i/>
          <w:sz w:val="22"/>
          <w:szCs w:val="22"/>
        </w:rPr>
        <w:t>deberán documentar todo acto</w:t>
      </w: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que derive del ejercicio de sus facultades, competencias o funciones</w:t>
      </w:r>
      <w:r w:rsidRPr="00995FA7">
        <w:rPr>
          <w:rFonts w:ascii="Palatino Linotype" w:eastAsia="Palatino Linotype" w:hAnsi="Palatino Linotype" w:cs="Palatino Linotype"/>
          <w:i/>
          <w:sz w:val="22"/>
          <w:szCs w:val="22"/>
        </w:rPr>
        <w:t>, considerando desde su origen la eventual publicidad y reutilización de la información que generen.</w:t>
      </w:r>
    </w:p>
    <w:p w14:paraId="5850CD05" w14:textId="77777777" w:rsidR="00500679" w:rsidRPr="00995FA7" w:rsidRDefault="00500679" w:rsidP="00500679">
      <w:pPr>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p>
    <w:p w14:paraId="2ED60D69" w14:textId="77777777" w:rsidR="00500679" w:rsidRPr="00995FA7" w:rsidRDefault="00500679" w:rsidP="00500679">
      <w:pPr>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Artículo 24.</w:t>
      </w:r>
      <w:r w:rsidRPr="00995FA7">
        <w:rPr>
          <w:rFonts w:ascii="Palatino Linotype" w:eastAsia="Palatino Linotype" w:hAnsi="Palatino Linotype" w:cs="Palatino Linotype"/>
          <w:i/>
          <w:sz w:val="22"/>
          <w:szCs w:val="22"/>
        </w:rPr>
        <w:t xml:space="preserve"> Para el cumplimiento de los objetivos de esta Ley</w:t>
      </w:r>
      <w:r w:rsidRPr="00995FA7">
        <w:rPr>
          <w:rFonts w:ascii="Palatino Linotype" w:eastAsia="Palatino Linotype" w:hAnsi="Palatino Linotype" w:cs="Palatino Linotype"/>
          <w:b/>
          <w:i/>
          <w:sz w:val="22"/>
          <w:szCs w:val="22"/>
        </w:rPr>
        <w:t>, los sujetos obligados deberán cumplir con las siguientes obligaciones</w:t>
      </w:r>
      <w:r w:rsidRPr="00995FA7">
        <w:rPr>
          <w:rFonts w:ascii="Palatino Linotype" w:eastAsia="Palatino Linotype" w:hAnsi="Palatino Linotype" w:cs="Palatino Linotype"/>
          <w:i/>
          <w:sz w:val="22"/>
          <w:szCs w:val="22"/>
        </w:rPr>
        <w:t>, según corresponda, de acuerdo a su naturaleza:</w:t>
      </w:r>
    </w:p>
    <w:p w14:paraId="64CD51C1" w14:textId="77777777" w:rsidR="00500679" w:rsidRPr="00995FA7" w:rsidRDefault="00500679" w:rsidP="00500679">
      <w:pPr>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p>
    <w:p w14:paraId="33C6466F" w14:textId="77777777" w:rsidR="00500679" w:rsidRPr="00995FA7" w:rsidRDefault="00500679" w:rsidP="00500679">
      <w:pPr>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XXII.</w:t>
      </w: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Documentar todo acto que derive del ejercicio de sus facultades, competencias o funciones</w:t>
      </w:r>
      <w:r w:rsidRPr="00995FA7">
        <w:rPr>
          <w:rFonts w:ascii="Palatino Linotype" w:eastAsia="Palatino Linotype" w:hAnsi="Palatino Linotype" w:cs="Palatino Linotype"/>
          <w:i/>
          <w:sz w:val="22"/>
          <w:szCs w:val="22"/>
        </w:rPr>
        <w:t xml:space="preserve"> y abstenerse de destruirlos u ocultarlos, dentro de los que destacan los procesos deliberativos y de decisión definitiva;”</w:t>
      </w:r>
    </w:p>
    <w:p w14:paraId="50D33FE1" w14:textId="51FA51EF" w:rsidR="00A50A76" w:rsidRPr="00995FA7" w:rsidRDefault="00500679" w:rsidP="00500679">
      <w:pPr>
        <w:spacing w:before="280" w:after="28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Por consiguiente, se estima dable ordenar la entrega del soporte documental donde conste</w:t>
      </w:r>
      <w:r w:rsidR="000E6475" w:rsidRPr="00995FA7">
        <w:rPr>
          <w:rFonts w:ascii="Palatino Linotype" w:eastAsia="Palatino Linotype" w:hAnsi="Palatino Linotype" w:cs="Palatino Linotype"/>
          <w:sz w:val="22"/>
          <w:szCs w:val="22"/>
        </w:rPr>
        <w:t xml:space="preserve"> el monto de los derechos</w:t>
      </w:r>
      <w:r w:rsidR="00A50A76" w:rsidRPr="00995FA7">
        <w:rPr>
          <w:rFonts w:ascii="Palatino Linotype" w:eastAsia="Palatino Linotype" w:hAnsi="Palatino Linotype" w:cs="Palatino Linotype"/>
          <w:sz w:val="22"/>
          <w:szCs w:val="22"/>
        </w:rPr>
        <w:t xml:space="preserve"> aplicables para la instalación de un puesto en un tianguis, vigente al cuatro de julio de dos mil veintiséis.</w:t>
      </w:r>
    </w:p>
    <w:p w14:paraId="2AA35A68" w14:textId="3E11504A" w:rsidR="00A50A76" w:rsidRPr="00995FA7" w:rsidRDefault="00A50A76" w:rsidP="00A50A76">
      <w:pPr>
        <w:spacing w:before="280" w:after="28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De lo hasta aquí expuesto, se concluye que los motivos de inconformidad de la parte </w:t>
      </w:r>
      <w:r w:rsidRPr="00995FA7">
        <w:rPr>
          <w:rFonts w:ascii="Palatino Linotype" w:eastAsia="Palatino Linotype" w:hAnsi="Palatino Linotype" w:cs="Palatino Linotype"/>
          <w:b/>
          <w:bCs/>
          <w:sz w:val="22"/>
          <w:szCs w:val="22"/>
        </w:rPr>
        <w:t xml:space="preserve">Recurrente </w:t>
      </w:r>
      <w:r w:rsidRPr="00995FA7">
        <w:rPr>
          <w:rFonts w:ascii="Palatino Linotype" w:eastAsia="Palatino Linotype" w:hAnsi="Palatino Linotype" w:cs="Palatino Linotype"/>
          <w:sz w:val="22"/>
          <w:szCs w:val="22"/>
        </w:rPr>
        <w:t>devienen fundados, siendo procedente</w:t>
      </w:r>
      <w:r w:rsidR="0051763F" w:rsidRPr="00995FA7">
        <w:rPr>
          <w:rFonts w:ascii="Palatino Linotype" w:eastAsia="Palatino Linotype" w:hAnsi="Palatino Linotype" w:cs="Palatino Linotype"/>
          <w:sz w:val="22"/>
          <w:szCs w:val="22"/>
        </w:rPr>
        <w:t xml:space="preserve"> </w:t>
      </w:r>
      <w:r w:rsidR="0051763F" w:rsidRPr="00995FA7">
        <w:rPr>
          <w:rFonts w:ascii="Palatino Linotype" w:eastAsia="Palatino Linotype" w:hAnsi="Palatino Linotype" w:cs="Palatino Linotype"/>
          <w:i/>
          <w:iCs/>
          <w:sz w:val="22"/>
          <w:szCs w:val="22"/>
        </w:rPr>
        <w:t>Revocar</w:t>
      </w:r>
      <w:r w:rsidRPr="00995FA7">
        <w:rPr>
          <w:rFonts w:ascii="Palatino Linotype" w:eastAsia="Palatino Linotype" w:hAnsi="Palatino Linotype" w:cs="Palatino Linotype"/>
          <w:i/>
          <w:iCs/>
          <w:sz w:val="22"/>
          <w:szCs w:val="22"/>
        </w:rPr>
        <w:t xml:space="preserve"> </w:t>
      </w:r>
      <w:r w:rsidRPr="00995FA7">
        <w:rPr>
          <w:rFonts w:ascii="Palatino Linotype" w:eastAsia="Palatino Linotype" w:hAnsi="Palatino Linotype" w:cs="Palatino Linotype"/>
          <w:sz w:val="22"/>
          <w:szCs w:val="22"/>
        </w:rPr>
        <w:t xml:space="preserve">la respuesta proporcionada por el </w:t>
      </w:r>
      <w:r w:rsidRPr="00995FA7">
        <w:rPr>
          <w:rFonts w:ascii="Palatino Linotype" w:eastAsia="Palatino Linotype" w:hAnsi="Palatino Linotype" w:cs="Palatino Linotype"/>
          <w:b/>
          <w:bCs/>
          <w:sz w:val="22"/>
          <w:szCs w:val="22"/>
        </w:rPr>
        <w:t xml:space="preserve">Sujeto Obligado </w:t>
      </w:r>
      <w:r w:rsidRPr="00995FA7">
        <w:rPr>
          <w:rFonts w:ascii="Palatino Linotype" w:eastAsia="Palatino Linotype" w:hAnsi="Palatino Linotype" w:cs="Palatino Linotype"/>
          <w:sz w:val="22"/>
          <w:szCs w:val="22"/>
        </w:rPr>
        <w:t>en términos del artículo 186 fracción III de la Ley de Transparencia y Acceso a la Información Pública del Estado de México y Municipios.</w:t>
      </w:r>
    </w:p>
    <w:p w14:paraId="7A88755A" w14:textId="77777777" w:rsidR="00367483" w:rsidRPr="00995FA7" w:rsidRDefault="00367483" w:rsidP="00367483">
      <w:pPr>
        <w:spacing w:before="240" w:after="240" w:line="360" w:lineRule="auto"/>
        <w:ind w:right="51"/>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b/>
          <w:sz w:val="22"/>
          <w:szCs w:val="22"/>
        </w:rPr>
        <w:t xml:space="preserve">Quinto. Versión Pública. </w:t>
      </w:r>
      <w:r w:rsidRPr="00995FA7">
        <w:rPr>
          <w:rFonts w:ascii="Palatino Linotype" w:eastAsia="Palatino Linotype" w:hAnsi="Palatino Linotype" w:cs="Palatino Linotype"/>
          <w:sz w:val="22"/>
          <w:szCs w:val="22"/>
        </w:rPr>
        <w:t>Como fue debidamente apuntado, el </w:t>
      </w:r>
      <w:r w:rsidRPr="00995FA7">
        <w:rPr>
          <w:rFonts w:ascii="Palatino Linotype" w:eastAsia="Palatino Linotype" w:hAnsi="Palatino Linotype" w:cs="Palatino Linotype"/>
          <w:b/>
          <w:sz w:val="22"/>
          <w:szCs w:val="22"/>
        </w:rPr>
        <w:t>Sujeto Obligado</w:t>
      </w:r>
      <w:r w:rsidRPr="00995FA7">
        <w:rPr>
          <w:rFonts w:ascii="Palatino Linotype" w:eastAsia="Palatino Linotype" w:hAnsi="Palatino Linotype" w:cs="Palatino Linotype"/>
          <w:sz w:val="22"/>
          <w:szCs w:val="22"/>
        </w:rPr>
        <w:t> debe satisfacer la solicitud de acceso a la información; sin embargo, dada la naturaleza de la información de la cual se ordena su entrega, deberá hacerse en versión pública, toda vez que en los documentos que se ordenan, existe la posibilidad de que obren datos que son considerados confidenciales, cuyo acceso debe ser restringido que deben testarse al momento de la versión pública, atento a lo siguiente:</w:t>
      </w:r>
    </w:p>
    <w:p w14:paraId="600AF880" w14:textId="77777777" w:rsidR="00367483" w:rsidRPr="00995FA7" w:rsidRDefault="00367483" w:rsidP="00367483">
      <w:pPr>
        <w:spacing w:before="240" w:after="240" w:line="360" w:lineRule="auto"/>
        <w:ind w:right="49"/>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El derecho de acceso a la información pública tiene como limitante el respeto a la intimidad y a la vida privada de las personas, es por ello que este Instituto debe cuidar que los datos personales que obren en poder de los Sujetos Obligados sean protegidos y únicamente se den a conocer aquéllos que garanticen la rendición de cuentas y la transparencia en el ejercicio de las atribuciones que tienen conferidas.</w:t>
      </w:r>
    </w:p>
    <w:p w14:paraId="1FEC3B9D" w14:textId="77777777" w:rsidR="00367483" w:rsidRPr="00995FA7" w:rsidRDefault="00367483" w:rsidP="00367483">
      <w:pPr>
        <w:spacing w:before="240" w:after="240" w:line="360" w:lineRule="auto"/>
        <w:ind w:right="49"/>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De este modo, en armonía entre los principios constitucionales de máxima publicidad y de protección de datos personales, la ley permite la elaboración de versiones públicas en las que se suprima aquella información relacionada con la vida privada de las personas.</w:t>
      </w:r>
    </w:p>
    <w:p w14:paraId="44B7CC34" w14:textId="77777777" w:rsidR="00367483" w:rsidRPr="00995FA7" w:rsidRDefault="00367483" w:rsidP="00367483">
      <w:pPr>
        <w:spacing w:before="240" w:after="240" w:line="360" w:lineRule="auto"/>
        <w:ind w:right="49"/>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Al respecto, los artículos 3, fracciones IX, XX, XXI, XXXII, XLV; 6, 91, 132, 137, 143, fracción I, de la Ley de Transparencia y Acceso a la Información Pública del Estado de México y Municipios establecen:</w:t>
      </w:r>
    </w:p>
    <w:p w14:paraId="5A21BC62"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sz w:val="22"/>
          <w:szCs w:val="22"/>
        </w:rPr>
        <w:t> </w:t>
      </w:r>
      <w:r w:rsidRPr="00995FA7">
        <w:rPr>
          <w:rFonts w:ascii="Palatino Linotype" w:eastAsia="Palatino Linotype" w:hAnsi="Palatino Linotype" w:cs="Palatino Linotype"/>
          <w:i/>
          <w:sz w:val="22"/>
          <w:szCs w:val="22"/>
        </w:rPr>
        <w:t>“</w:t>
      </w:r>
      <w:r w:rsidRPr="00995FA7">
        <w:rPr>
          <w:rFonts w:ascii="Palatino Linotype" w:eastAsia="Palatino Linotype" w:hAnsi="Palatino Linotype" w:cs="Palatino Linotype"/>
          <w:b/>
          <w:i/>
          <w:sz w:val="22"/>
          <w:szCs w:val="22"/>
        </w:rPr>
        <w:t>Artículo 3.</w:t>
      </w:r>
      <w:r w:rsidRPr="00995FA7">
        <w:rPr>
          <w:rFonts w:ascii="Palatino Linotype" w:eastAsia="Palatino Linotype" w:hAnsi="Palatino Linotype" w:cs="Palatino Linotype"/>
          <w:i/>
          <w:sz w:val="22"/>
          <w:szCs w:val="22"/>
        </w:rPr>
        <w:t xml:space="preserve"> Para los efectos de la presente Ley se entenderá por:</w:t>
      </w:r>
    </w:p>
    <w:p w14:paraId="5B44DF1B" w14:textId="77777777" w:rsidR="00367483" w:rsidRPr="00995FA7" w:rsidRDefault="00367483" w:rsidP="00367483">
      <w:pPr>
        <w:tabs>
          <w:tab w:val="left" w:pos="1276"/>
        </w:tabs>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p>
    <w:p w14:paraId="7C2FF109" w14:textId="77777777" w:rsidR="00367483" w:rsidRPr="00995FA7" w:rsidRDefault="00367483" w:rsidP="00367483">
      <w:pPr>
        <w:tabs>
          <w:tab w:val="left" w:pos="1276"/>
        </w:tabs>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IX. Datos personales</w:t>
      </w:r>
      <w:r w:rsidRPr="00995FA7">
        <w:rPr>
          <w:rFonts w:ascii="Palatino Linotype" w:eastAsia="Palatino Linotype" w:hAnsi="Palatino Linotype" w:cs="Palatino Linotype"/>
          <w:i/>
          <w:sz w:val="22"/>
          <w:szCs w:val="22"/>
        </w:rPr>
        <w:t>: La información concerniente a una persona, identificada o identificable según lo dispuesto por la Ley de Protección de Datos Personales del Estado de México;</w:t>
      </w:r>
    </w:p>
    <w:p w14:paraId="563EEB7E" w14:textId="77777777" w:rsidR="00367483" w:rsidRPr="00995FA7" w:rsidRDefault="00367483" w:rsidP="00367483">
      <w:pPr>
        <w:tabs>
          <w:tab w:val="left" w:pos="1276"/>
        </w:tabs>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p>
    <w:p w14:paraId="46DD191D" w14:textId="77777777" w:rsidR="00367483" w:rsidRPr="00995FA7" w:rsidRDefault="00367483" w:rsidP="00367483">
      <w:pPr>
        <w:tabs>
          <w:tab w:val="left" w:pos="1276"/>
        </w:tabs>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XX. Información clasificada</w:t>
      </w:r>
      <w:r w:rsidRPr="00995FA7">
        <w:rPr>
          <w:rFonts w:ascii="Palatino Linotype" w:eastAsia="Palatino Linotype" w:hAnsi="Palatino Linotype" w:cs="Palatino Linotype"/>
          <w:i/>
          <w:sz w:val="22"/>
          <w:szCs w:val="22"/>
        </w:rPr>
        <w:t>: Aquella considerada por la presente Ley como reservada o confidencial;</w:t>
      </w:r>
    </w:p>
    <w:p w14:paraId="2B194D4C" w14:textId="77777777" w:rsidR="00367483" w:rsidRPr="00995FA7" w:rsidRDefault="00367483" w:rsidP="00367483">
      <w:pPr>
        <w:tabs>
          <w:tab w:val="left" w:pos="1276"/>
        </w:tabs>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XXI. Información confidencial</w:t>
      </w:r>
      <w:r w:rsidRPr="00995FA7">
        <w:rPr>
          <w:rFonts w:ascii="Palatino Linotype" w:eastAsia="Palatino Linotype" w:hAnsi="Palatino Linotype" w:cs="Palatino Linotype"/>
          <w:i/>
          <w:sz w:val="22"/>
          <w:szCs w:val="22"/>
        </w:rPr>
        <w:t>: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04B71556" w14:textId="77777777" w:rsidR="00367483" w:rsidRPr="00995FA7" w:rsidRDefault="00367483" w:rsidP="00367483">
      <w:pPr>
        <w:tabs>
          <w:tab w:val="left" w:pos="1276"/>
        </w:tabs>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p>
    <w:p w14:paraId="7EBA249C" w14:textId="77777777" w:rsidR="00367483" w:rsidRPr="00995FA7" w:rsidRDefault="00367483" w:rsidP="00367483">
      <w:pPr>
        <w:tabs>
          <w:tab w:val="left" w:pos="1276"/>
        </w:tabs>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XXXII. Protección de Datos Personales</w:t>
      </w:r>
      <w:r w:rsidRPr="00995FA7">
        <w:rPr>
          <w:rFonts w:ascii="Palatino Linotype" w:eastAsia="Palatino Linotype" w:hAnsi="Palatino Linotype" w:cs="Palatino Linotype"/>
          <w:i/>
          <w:sz w:val="22"/>
          <w:szCs w:val="22"/>
        </w:rPr>
        <w:t>: Derecho humano que tutela la privacidad de datos personales en poder de los sujetos obligados y sujetos particulares;</w:t>
      </w:r>
    </w:p>
    <w:p w14:paraId="461B607E" w14:textId="77777777" w:rsidR="00367483" w:rsidRPr="00995FA7" w:rsidRDefault="00367483" w:rsidP="00367483">
      <w:pPr>
        <w:tabs>
          <w:tab w:val="left" w:pos="1276"/>
        </w:tabs>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p>
    <w:p w14:paraId="2351AA4D" w14:textId="77777777" w:rsidR="00367483" w:rsidRPr="00995FA7" w:rsidRDefault="00367483" w:rsidP="00367483">
      <w:pPr>
        <w:tabs>
          <w:tab w:val="left" w:pos="1276"/>
        </w:tabs>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XLV. Versión pública</w:t>
      </w:r>
      <w:r w:rsidRPr="00995FA7">
        <w:rPr>
          <w:rFonts w:ascii="Palatino Linotype" w:eastAsia="Palatino Linotype" w:hAnsi="Palatino Linotype" w:cs="Palatino Linotype"/>
          <w:i/>
          <w:sz w:val="22"/>
          <w:szCs w:val="22"/>
        </w:rPr>
        <w:t>: Documento en el que se elimine, suprime o borra la información clasificada como reservada o confidencial para permitir su acceso.</w:t>
      </w:r>
    </w:p>
    <w:p w14:paraId="0EFF0E5D"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 Artículo 6</w:t>
      </w:r>
      <w:r w:rsidRPr="00995FA7">
        <w:rPr>
          <w:rFonts w:ascii="Palatino Linotype" w:eastAsia="Palatino Linotype" w:hAnsi="Palatino Linotype" w:cs="Palatino Linotype"/>
          <w:i/>
          <w:sz w:val="22"/>
          <w:szCs w:val="22"/>
        </w:rPr>
        <w:t>. Los datos personales son irrenunciables, intransferibles e indelegables, por lo que los sujetos obligados no deberán proporcionar o hacer pública la información que contenga, con excepción de aquellos casos en que deban hacerlo en observancia de las disposiciones aplicables. En el caso de los derechos de acceso, rectificación, cancelación u oposición; los principios, procedimientos, medidas de seguridad en el tratamiento y demás disposiciones en materia de datos personales, se deberá estar a lo dispuesto en las leyes de la materia.</w:t>
      </w:r>
    </w:p>
    <w:p w14:paraId="69D6B6B6"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p>
    <w:p w14:paraId="6D2C5568"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Artículo 91.</w:t>
      </w:r>
      <w:r w:rsidRPr="00995FA7">
        <w:rPr>
          <w:rFonts w:ascii="Palatino Linotype" w:eastAsia="Palatino Linotype" w:hAnsi="Palatino Linotype" w:cs="Palatino Linotype"/>
          <w:i/>
          <w:sz w:val="22"/>
          <w:szCs w:val="22"/>
        </w:rPr>
        <w:t xml:space="preserve"> El acceso a la información pública será restringido excepcionalmente, cuando ésta sea clasificada como reservada o confidencial.</w:t>
      </w:r>
      <w:r w:rsidRPr="00995FA7">
        <w:rPr>
          <w:rFonts w:ascii="Palatino Linotype" w:eastAsia="Palatino Linotype" w:hAnsi="Palatino Linotype" w:cs="Palatino Linotype"/>
          <w:i/>
          <w:sz w:val="22"/>
          <w:szCs w:val="22"/>
        </w:rPr>
        <w:br/>
        <w:t>…</w:t>
      </w:r>
    </w:p>
    <w:p w14:paraId="58D56932"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Artículo 132.</w:t>
      </w:r>
      <w:r w:rsidRPr="00995FA7">
        <w:rPr>
          <w:rFonts w:ascii="Palatino Linotype" w:eastAsia="Palatino Linotype" w:hAnsi="Palatino Linotype" w:cs="Palatino Linotype"/>
          <w:i/>
          <w:sz w:val="22"/>
          <w:szCs w:val="22"/>
        </w:rPr>
        <w:t xml:space="preserve"> La clasificación de la información se llevará a cabo en el momento en que:</w:t>
      </w:r>
    </w:p>
    <w:p w14:paraId="0E318B18"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w:t>
      </w:r>
      <w:r w:rsidRPr="00995FA7">
        <w:rPr>
          <w:rFonts w:ascii="Palatino Linotype" w:eastAsia="Palatino Linotype" w:hAnsi="Palatino Linotype" w:cs="Palatino Linotype"/>
          <w:i/>
          <w:sz w:val="22"/>
          <w:szCs w:val="22"/>
        </w:rPr>
        <w:t>. Se reciba una solicitud de acceso a la información;</w:t>
      </w:r>
    </w:p>
    <w:p w14:paraId="1DB1C8B9"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w:t>
      </w:r>
      <w:r w:rsidRPr="00995FA7">
        <w:rPr>
          <w:rFonts w:ascii="Palatino Linotype" w:eastAsia="Palatino Linotype" w:hAnsi="Palatino Linotype" w:cs="Palatino Linotype"/>
          <w:i/>
          <w:sz w:val="22"/>
          <w:szCs w:val="22"/>
        </w:rPr>
        <w:t xml:space="preserve"> Se determine mediante resolución de autoridad competente; o</w:t>
      </w:r>
    </w:p>
    <w:p w14:paraId="486E331A"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III.</w:t>
      </w:r>
      <w:r w:rsidRPr="00995FA7">
        <w:rPr>
          <w:rFonts w:ascii="Palatino Linotype" w:eastAsia="Palatino Linotype" w:hAnsi="Palatino Linotype" w:cs="Palatino Linotype"/>
          <w:i/>
          <w:sz w:val="22"/>
          <w:szCs w:val="22"/>
        </w:rPr>
        <w:t xml:space="preserve"> Se generen versiones públicas para dar cumplimiento a las obligaciones de transparencia previstas en esta Ley.</w:t>
      </w:r>
    </w:p>
    <w:p w14:paraId="46AB5ABD"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w:t>
      </w:r>
    </w:p>
    <w:p w14:paraId="36C4ECE3"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Artículo 137.</w:t>
      </w:r>
      <w:r w:rsidRPr="00995FA7">
        <w:rPr>
          <w:rFonts w:ascii="Palatino Linotype" w:eastAsia="Palatino Linotype" w:hAnsi="Palatino Linotype" w:cs="Palatino Linotype"/>
          <w:i/>
          <w:sz w:val="22"/>
          <w:szCs w:val="22"/>
        </w:rPr>
        <w:t xml:space="preserve">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3BC08D58"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 Artículo 143.</w:t>
      </w:r>
      <w:r w:rsidRPr="00995FA7">
        <w:rPr>
          <w:rFonts w:ascii="Palatino Linotype" w:eastAsia="Palatino Linotype" w:hAnsi="Palatino Linotype" w:cs="Palatino Linotype"/>
          <w:i/>
          <w:sz w:val="22"/>
          <w:szCs w:val="22"/>
        </w:rPr>
        <w:t xml:space="preserve"> Para los efectos de esta Ley se considera información confidencial, la clasificada como tal, de manera permanente, por su naturaleza, cuando:</w:t>
      </w:r>
    </w:p>
    <w:p w14:paraId="64FB2A61"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w:t>
      </w:r>
      <w:r w:rsidRPr="00995FA7">
        <w:rPr>
          <w:rFonts w:ascii="Palatino Linotype" w:eastAsia="Palatino Linotype" w:hAnsi="Palatino Linotype" w:cs="Palatino Linotype"/>
          <w:i/>
          <w:sz w:val="22"/>
          <w:szCs w:val="22"/>
        </w:rPr>
        <w:t xml:space="preserve"> Se refiera a la información privada y los datos personales concernientes a una persona física o jurídico colectiva identificada o identificable...”</w:t>
      </w:r>
    </w:p>
    <w:p w14:paraId="1295BB09" w14:textId="77777777" w:rsidR="00367483" w:rsidRPr="00995FA7" w:rsidRDefault="00367483" w:rsidP="00367483">
      <w:pPr>
        <w:spacing w:before="240" w:after="240" w:line="360" w:lineRule="auto"/>
        <w:ind w:right="50"/>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995FA7">
        <w:rPr>
          <w:rFonts w:ascii="Palatino Linotype" w:eastAsia="Palatino Linotype" w:hAnsi="Palatino Linotype" w:cs="Palatino Linotype"/>
          <w:b/>
          <w:sz w:val="22"/>
          <w:szCs w:val="22"/>
        </w:rPr>
        <w:t>Sujeto Obligado</w:t>
      </w:r>
      <w:r w:rsidRPr="00995FA7">
        <w:rPr>
          <w:rFonts w:ascii="Palatino Linotype" w:eastAsia="Palatino Linotype" w:hAnsi="Palatino Linotype" w:cs="Palatino Linotype"/>
          <w:sz w:val="22"/>
          <w:szCs w:val="22"/>
        </w:rPr>
        <w:t xml:space="preserve"> deberá proceder a testar los datos personales que se encuentre contenidos en los documentos a entregar para satisfacer el derecho de acceso a la información pública de la parte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los que señala la fracción XII del artículo 4 de la Ley de Protección de Datos Personales en posesión de Sujeto Obligados del Estado de México.</w:t>
      </w:r>
    </w:p>
    <w:p w14:paraId="1534FC0C" w14:textId="77777777" w:rsidR="00367483" w:rsidRPr="00995FA7" w:rsidRDefault="00367483" w:rsidP="00367483">
      <w:pPr>
        <w:spacing w:before="240" w:after="240" w:line="360" w:lineRule="auto"/>
        <w:ind w:right="50"/>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Datos que deberá clasificar como confidenciales por tratarse precisamente de información privada, puesto que los datos personales son irrenunciables, intransferibles e indelegables y los Sujetos Obligados no deberán hacer entrega de los mismos a personas ajenas a su titular.</w:t>
      </w:r>
    </w:p>
    <w:p w14:paraId="2CB61F8B" w14:textId="77777777" w:rsidR="00367483" w:rsidRPr="00995FA7" w:rsidRDefault="00367483" w:rsidP="00367483">
      <w:pPr>
        <w:spacing w:before="240" w:after="240" w:line="360" w:lineRule="auto"/>
        <w:ind w:right="50"/>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En tal contexto, es de señalar que la clasificación de la información no opera con la simple supresión de datos que se haga en los documentos de que se trate o con la simple decisión que tome el Servidor Público Habilitado o el Responsable de la Unidad de Transparencia del Sujeto Obligado, sino que ello deberá realizarse en términos de lo que disponen los artículos 49 fracción VIII, 53, fracción X y 59, fracción V, de la Ley en consulta, cuyo sentido literal es el siguiente:</w:t>
      </w:r>
    </w:p>
    <w:p w14:paraId="61E4E066"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“Artículo 49.</w:t>
      </w: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Los Comités de Transparencia</w:t>
      </w:r>
      <w:r w:rsidRPr="00995FA7">
        <w:rPr>
          <w:rFonts w:ascii="Palatino Linotype" w:eastAsia="Palatino Linotype" w:hAnsi="Palatino Linotype" w:cs="Palatino Linotype"/>
          <w:i/>
          <w:sz w:val="22"/>
          <w:szCs w:val="22"/>
        </w:rPr>
        <w:t xml:space="preserve"> tendrán las siguientes atribuciones:</w:t>
      </w:r>
    </w:p>
    <w:p w14:paraId="24819F25"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VIII. Aprobar, modificar o revocar la clasificación de la información</w:t>
      </w:r>
      <w:r w:rsidRPr="00995FA7">
        <w:rPr>
          <w:rFonts w:ascii="Palatino Linotype" w:eastAsia="Palatino Linotype" w:hAnsi="Palatino Linotype" w:cs="Palatino Linotype"/>
          <w:i/>
          <w:sz w:val="22"/>
          <w:szCs w:val="22"/>
        </w:rPr>
        <w:t>…”</w:t>
      </w:r>
    </w:p>
    <w:p w14:paraId="1BC30C1C"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r w:rsidRPr="00995FA7">
        <w:rPr>
          <w:rFonts w:ascii="Palatino Linotype" w:eastAsia="Palatino Linotype" w:hAnsi="Palatino Linotype" w:cs="Palatino Linotype"/>
          <w:b/>
          <w:i/>
          <w:sz w:val="22"/>
          <w:szCs w:val="22"/>
        </w:rPr>
        <w:t>Artículo 53.</w:t>
      </w:r>
      <w:r w:rsidRPr="00995FA7">
        <w:rPr>
          <w:rFonts w:ascii="Palatino Linotype" w:eastAsia="Palatino Linotype" w:hAnsi="Palatino Linotype" w:cs="Palatino Linotype"/>
          <w:i/>
          <w:sz w:val="22"/>
          <w:szCs w:val="22"/>
        </w:rPr>
        <w:t xml:space="preserve"> Las </w:t>
      </w:r>
      <w:r w:rsidRPr="00995FA7">
        <w:rPr>
          <w:rFonts w:ascii="Palatino Linotype" w:eastAsia="Palatino Linotype" w:hAnsi="Palatino Linotype" w:cs="Palatino Linotype"/>
          <w:b/>
          <w:i/>
          <w:sz w:val="22"/>
          <w:szCs w:val="22"/>
        </w:rPr>
        <w:t>Unidades de Transparencia</w:t>
      </w:r>
      <w:r w:rsidRPr="00995FA7">
        <w:rPr>
          <w:rFonts w:ascii="Palatino Linotype" w:eastAsia="Palatino Linotype" w:hAnsi="Palatino Linotype" w:cs="Palatino Linotype"/>
          <w:i/>
          <w:sz w:val="22"/>
          <w:szCs w:val="22"/>
        </w:rPr>
        <w:t xml:space="preserve"> tendrán las siguientes </w:t>
      </w:r>
      <w:r w:rsidRPr="00995FA7">
        <w:rPr>
          <w:rFonts w:ascii="Palatino Linotype" w:eastAsia="Palatino Linotype" w:hAnsi="Palatino Linotype" w:cs="Palatino Linotype"/>
          <w:b/>
          <w:i/>
          <w:sz w:val="22"/>
          <w:szCs w:val="22"/>
        </w:rPr>
        <w:t>funciones</w:t>
      </w:r>
      <w:r w:rsidRPr="00995FA7">
        <w:rPr>
          <w:rFonts w:ascii="Palatino Linotype" w:eastAsia="Palatino Linotype" w:hAnsi="Palatino Linotype" w:cs="Palatino Linotype"/>
          <w:i/>
          <w:sz w:val="22"/>
          <w:szCs w:val="22"/>
        </w:rPr>
        <w:t>:</w:t>
      </w:r>
    </w:p>
    <w:p w14:paraId="24B45475"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X. Presentar ante el Comité, el proyecto de clasificación de información</w:t>
      </w:r>
      <w:r w:rsidRPr="00995FA7">
        <w:rPr>
          <w:rFonts w:ascii="Palatino Linotype" w:eastAsia="Palatino Linotype" w:hAnsi="Palatino Linotype" w:cs="Palatino Linotype"/>
          <w:i/>
          <w:sz w:val="22"/>
          <w:szCs w:val="22"/>
        </w:rPr>
        <w:t xml:space="preserve">…” </w:t>
      </w:r>
    </w:p>
    <w:p w14:paraId="3518CE84"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“Artículo 59.</w:t>
      </w:r>
      <w:r w:rsidRPr="00995FA7">
        <w:rPr>
          <w:rFonts w:ascii="Palatino Linotype" w:eastAsia="Palatino Linotype" w:hAnsi="Palatino Linotype" w:cs="Palatino Linotype"/>
          <w:i/>
          <w:sz w:val="22"/>
          <w:szCs w:val="22"/>
        </w:rPr>
        <w:t xml:space="preserve"> Los </w:t>
      </w:r>
      <w:r w:rsidRPr="00995FA7">
        <w:rPr>
          <w:rFonts w:ascii="Palatino Linotype" w:eastAsia="Palatino Linotype" w:hAnsi="Palatino Linotype" w:cs="Palatino Linotype"/>
          <w:b/>
          <w:i/>
          <w:sz w:val="22"/>
          <w:szCs w:val="22"/>
        </w:rPr>
        <w:t>servidores públicos habilitados</w:t>
      </w:r>
      <w:r w:rsidRPr="00995FA7">
        <w:rPr>
          <w:rFonts w:ascii="Palatino Linotype" w:eastAsia="Palatino Linotype" w:hAnsi="Palatino Linotype" w:cs="Palatino Linotype"/>
          <w:i/>
          <w:sz w:val="22"/>
          <w:szCs w:val="22"/>
        </w:rPr>
        <w:t xml:space="preserve"> tendrán las </w:t>
      </w:r>
      <w:r w:rsidRPr="00995FA7">
        <w:rPr>
          <w:rFonts w:ascii="Palatino Linotype" w:eastAsia="Palatino Linotype" w:hAnsi="Palatino Linotype" w:cs="Palatino Linotype"/>
          <w:b/>
          <w:i/>
          <w:sz w:val="22"/>
          <w:szCs w:val="22"/>
        </w:rPr>
        <w:t>funciones</w:t>
      </w:r>
      <w:r w:rsidRPr="00995FA7">
        <w:rPr>
          <w:rFonts w:ascii="Palatino Linotype" w:eastAsia="Palatino Linotype" w:hAnsi="Palatino Linotype" w:cs="Palatino Linotype"/>
          <w:i/>
          <w:sz w:val="22"/>
          <w:szCs w:val="22"/>
        </w:rPr>
        <w:t xml:space="preserve"> siguientes:</w:t>
      </w:r>
    </w:p>
    <w:p w14:paraId="13B778C5"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V. Integrar y presentar al responsable de la Unidad de Transparencia la propuesta de clasificación de información</w:t>
      </w:r>
      <w:r w:rsidRPr="00995FA7">
        <w:rPr>
          <w:rFonts w:ascii="Palatino Linotype" w:eastAsia="Palatino Linotype" w:hAnsi="Palatino Linotype" w:cs="Palatino Linotype"/>
          <w:i/>
          <w:sz w:val="22"/>
          <w:szCs w:val="22"/>
        </w:rPr>
        <w:t>, la cual tendrá los fundamentos y argumentos en que se basa dicha propuesta…”</w:t>
      </w:r>
    </w:p>
    <w:p w14:paraId="00A0D6BE" w14:textId="77777777" w:rsidR="00367483" w:rsidRPr="00995FA7" w:rsidRDefault="00367483" w:rsidP="00367483">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Denotándose de dichos elementos normativos que el determinar la clasificación de la información es un trabajo en conjunto tanto de los Servidores Públicos Habilitados, de las Unidades de Transparencia y del Comité de Transparencia del Sujeto Obligado,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355ADAD7" w14:textId="77777777" w:rsidR="00367483" w:rsidRPr="00995FA7" w:rsidRDefault="00367483" w:rsidP="00367483">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Para lo cual, a su vez en el caso de información de carácter confidencial, se debe atender a lo que señala el artículo 149 de la Ley de Transparencia Local vigente, que se lee como sigue:</w:t>
      </w:r>
    </w:p>
    <w:p w14:paraId="798A3D33"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r w:rsidRPr="00995FA7">
        <w:rPr>
          <w:rFonts w:ascii="Palatino Linotype" w:eastAsia="Palatino Linotype" w:hAnsi="Palatino Linotype" w:cs="Palatino Linotype"/>
          <w:b/>
          <w:i/>
          <w:sz w:val="22"/>
          <w:szCs w:val="22"/>
        </w:rPr>
        <w:t>Artículo 149.</w:t>
      </w:r>
      <w:r w:rsidRPr="00995FA7">
        <w:rPr>
          <w:rFonts w:ascii="Palatino Linotype" w:eastAsia="Palatino Linotype" w:hAnsi="Palatino Linotype" w:cs="Palatino Linotype"/>
          <w:i/>
          <w:sz w:val="22"/>
          <w:szCs w:val="22"/>
        </w:rPr>
        <w:t xml:space="preserve"> El </w:t>
      </w:r>
      <w:r w:rsidRPr="00995FA7">
        <w:rPr>
          <w:rFonts w:ascii="Palatino Linotype" w:eastAsia="Palatino Linotype" w:hAnsi="Palatino Linotype" w:cs="Palatino Linotype"/>
          <w:b/>
          <w:i/>
          <w:sz w:val="22"/>
          <w:szCs w:val="22"/>
        </w:rPr>
        <w:t>acuerdo que clasifique la información como confidencial</w:t>
      </w:r>
      <w:r w:rsidRPr="00995FA7">
        <w:rPr>
          <w:rFonts w:ascii="Palatino Linotype" w:eastAsia="Palatino Linotype" w:hAnsi="Palatino Linotype" w:cs="Palatino Linotype"/>
          <w:i/>
          <w:sz w:val="22"/>
          <w:szCs w:val="22"/>
        </w:rPr>
        <w:t xml:space="preserve"> deberá contener un razonamiento lógico en el que demuestre que la información se encuentra en alguna o algunas de las hipótesis previstas en la presente Ley.” </w:t>
      </w:r>
    </w:p>
    <w:p w14:paraId="475AC3BA" w14:textId="77777777" w:rsidR="00367483" w:rsidRPr="00995FA7" w:rsidRDefault="00367483" w:rsidP="00367483">
      <w:pPr>
        <w:spacing w:before="240" w:after="240" w:line="360" w:lineRule="auto"/>
        <w:ind w:right="51"/>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Es decir, el </w:t>
      </w:r>
      <w:r w:rsidRPr="00995FA7">
        <w:rPr>
          <w:rFonts w:ascii="Palatino Linotype" w:eastAsia="Palatino Linotype" w:hAnsi="Palatino Linotype" w:cs="Palatino Linotype"/>
          <w:b/>
          <w:sz w:val="22"/>
          <w:szCs w:val="22"/>
        </w:rPr>
        <w:t>Sujeto Obligado</w:t>
      </w:r>
      <w:r w:rsidRPr="00995FA7">
        <w:rPr>
          <w:rFonts w:ascii="Palatino Linotype" w:eastAsia="Palatino Linotype" w:hAnsi="Palatino Linotype" w:cs="Palatino Linotype"/>
          <w:sz w:val="22"/>
          <w:szCs w:val="22"/>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persona solicitante.</w:t>
      </w:r>
    </w:p>
    <w:p w14:paraId="001391EA" w14:textId="77777777" w:rsidR="00367483" w:rsidRPr="00995FA7" w:rsidRDefault="00367483" w:rsidP="00367483">
      <w:pPr>
        <w:spacing w:before="240" w:after="240" w:line="360" w:lineRule="auto"/>
        <w:ind w:right="49"/>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Atento a lo anterior, cabe señalar que el Comité de Transparencia del </w:t>
      </w:r>
      <w:r w:rsidRPr="00995FA7">
        <w:rPr>
          <w:rFonts w:ascii="Palatino Linotype" w:eastAsia="Palatino Linotype" w:hAnsi="Palatino Linotype" w:cs="Palatino Linotype"/>
          <w:b/>
          <w:sz w:val="22"/>
          <w:szCs w:val="22"/>
        </w:rPr>
        <w:t>Sujeto Obligado</w:t>
      </w:r>
      <w:r w:rsidRPr="00995FA7">
        <w:rPr>
          <w:rFonts w:ascii="Palatino Linotype" w:eastAsia="Palatino Linotype" w:hAnsi="Palatino Linotype" w:cs="Palatino Linotype"/>
          <w:sz w:val="22"/>
          <w:szCs w:val="22"/>
        </w:rPr>
        <w:t>, deberá emitir el acuerdo de clasificación de información debidamente fundado y motivado, en términos los Lineamientos Segundo, fracción XVIII, y del Cuarto al Décimo Primero de los “Lineamientos Generales en materia de Clasificación y Desclasificación de la Información, así como para la elaboración de Versiones Públicas”, que literalmente expresan:</w:t>
      </w:r>
    </w:p>
    <w:p w14:paraId="09D15B3C"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Segundo.-</w:t>
      </w:r>
      <w:r w:rsidRPr="00995FA7">
        <w:rPr>
          <w:rFonts w:ascii="Palatino Linotype" w:eastAsia="Palatino Linotype" w:hAnsi="Palatino Linotype" w:cs="Palatino Linotype"/>
          <w:i/>
          <w:sz w:val="22"/>
          <w:szCs w:val="22"/>
        </w:rPr>
        <w:t xml:space="preserve"> Para efectos de los presentes Lineamientos Generales, se entenderá por:</w:t>
      </w:r>
    </w:p>
    <w:p w14:paraId="3FA5BA21"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XVIII.</w:t>
      </w: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Versión pública:</w:t>
      </w:r>
      <w:r w:rsidRPr="00995FA7">
        <w:rPr>
          <w:rFonts w:ascii="Palatino Linotype" w:eastAsia="Palatino Linotype" w:hAnsi="Palatino Linotype" w:cs="Palatino Linotype"/>
          <w:i/>
          <w:sz w:val="22"/>
          <w:szCs w:val="22"/>
        </w:rPr>
        <w:t xml:space="preserve"> El documento a partir del que se otorga acceso a la información, en el que se testan partes o secciones clasificadas, indicando el contenido de éstas de manera genérica, </w:t>
      </w:r>
      <w:r w:rsidRPr="00995FA7">
        <w:rPr>
          <w:rFonts w:ascii="Palatino Linotype" w:eastAsia="Palatino Linotype" w:hAnsi="Palatino Linotype" w:cs="Palatino Linotype"/>
          <w:b/>
          <w:i/>
          <w:sz w:val="22"/>
          <w:szCs w:val="22"/>
        </w:rPr>
        <w:t>fundando y motivando la</w:t>
      </w: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reserva o confidencialidad</w:t>
      </w:r>
      <w:r w:rsidRPr="00995FA7">
        <w:rPr>
          <w:rFonts w:ascii="Palatino Linotype" w:eastAsia="Palatino Linotype" w:hAnsi="Palatino Linotype" w:cs="Palatino Linotype"/>
          <w:i/>
          <w:sz w:val="22"/>
          <w:szCs w:val="22"/>
        </w:rPr>
        <w:t>, a través de la resolución que para tal efecto emita el Comité de Transparencia.</w:t>
      </w:r>
    </w:p>
    <w:p w14:paraId="53E2675C"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b/>
          <w:i/>
          <w:sz w:val="22"/>
          <w:szCs w:val="22"/>
        </w:rPr>
      </w:pPr>
      <w:r w:rsidRPr="00995FA7">
        <w:rPr>
          <w:rFonts w:ascii="Palatino Linotype" w:eastAsia="Palatino Linotype" w:hAnsi="Palatino Linotype" w:cs="Palatino Linotype"/>
          <w:b/>
          <w:i/>
          <w:sz w:val="22"/>
          <w:szCs w:val="22"/>
        </w:rPr>
        <w:t>...</w:t>
      </w:r>
    </w:p>
    <w:p w14:paraId="2FA42737"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Cuarto.</w:t>
      </w: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Para clasificar la información como</w:t>
      </w: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reservada o</w:t>
      </w:r>
      <w:r w:rsidRPr="00995FA7">
        <w:rPr>
          <w:rFonts w:ascii="Palatino Linotype" w:eastAsia="Palatino Linotype" w:hAnsi="Palatino Linotype" w:cs="Palatino Linotype"/>
          <w:i/>
          <w:sz w:val="22"/>
          <w:szCs w:val="22"/>
        </w:rPr>
        <w:t xml:space="preserve"> </w:t>
      </w:r>
      <w:r w:rsidRPr="00995FA7">
        <w:rPr>
          <w:rFonts w:ascii="Palatino Linotype" w:eastAsia="Palatino Linotype" w:hAnsi="Palatino Linotype" w:cs="Palatino Linotype"/>
          <w:b/>
          <w:i/>
          <w:sz w:val="22"/>
          <w:szCs w:val="22"/>
        </w:rPr>
        <w:t>confidencial, de manera total o parcial, el titular del área del sujeto obligado deberá atender lo dispuesto por el Título Sexto de la Ley General</w:t>
      </w:r>
      <w:r w:rsidRPr="00995FA7">
        <w:rPr>
          <w:rFonts w:ascii="Palatino Linotype" w:eastAsia="Palatino Linotype" w:hAnsi="Palatino Linotype" w:cs="Palatino Linotype"/>
          <w:i/>
          <w:sz w:val="22"/>
          <w:szCs w:val="22"/>
        </w:rPr>
        <w:t>, en relación con las disposiciones contenidas en los presentes lineamientos, así como en aquellas disposiciones legales aplicables a la materia en el ámbito de sus respectivas competencias, en tanto estas últimas no contravengan lo dispuesto en la Ley General.</w:t>
      </w:r>
    </w:p>
    <w:p w14:paraId="478126F2"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Los sujetos obligados deberán aplicar, de manera estricta, las excepciones al derecho de acceso a la información y sólo podrán invocarlas cuando acrediten su procedencia.</w:t>
      </w:r>
    </w:p>
    <w:p w14:paraId="40BFF412"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Quinto.</w:t>
      </w:r>
      <w:r w:rsidRPr="00995FA7">
        <w:rPr>
          <w:rFonts w:ascii="Palatino Linotype" w:eastAsia="Palatino Linotype" w:hAnsi="Palatino Linotype" w:cs="Palatino Linotype"/>
          <w:i/>
          <w:sz w:val="22"/>
          <w:szCs w:val="22"/>
        </w:rPr>
        <w:t xml:space="preserve"> La carga de la prueba para justificar toda negativa de acceso a la información, por actualizarse cualquiera de los supuestos de clasificación previstos en la Ley General, la Ley Federal y leyes estatales, corresponderá a los sujetos obligados, por lo que deberán fundar y motivar debidamente la clasificación de la información ante una solicitud de acceso o al momento en que generen versiones públicas para dar cumplimiento a las obligaciones de transparencia, observando lo dispuesto en la Ley General y las demás disposiciones aplicables en la materia.</w:t>
      </w:r>
    </w:p>
    <w:p w14:paraId="1F032E6F"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Sexto.</w:t>
      </w:r>
      <w:r w:rsidRPr="00995FA7">
        <w:rPr>
          <w:rFonts w:ascii="Palatino Linotype" w:eastAsia="Palatino Linotype" w:hAnsi="Palatino Linotype" w:cs="Palatino Linotype"/>
          <w:i/>
          <w:sz w:val="22"/>
          <w:szCs w:val="22"/>
        </w:rPr>
        <w:t xml:space="preserve"> Se deroga.</w:t>
      </w:r>
    </w:p>
    <w:p w14:paraId="58190E45"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Séptimo.</w:t>
      </w:r>
      <w:r w:rsidRPr="00995FA7">
        <w:rPr>
          <w:rFonts w:ascii="Palatino Linotype" w:eastAsia="Palatino Linotype" w:hAnsi="Palatino Linotype" w:cs="Palatino Linotype"/>
          <w:i/>
          <w:sz w:val="22"/>
          <w:szCs w:val="22"/>
        </w:rPr>
        <w:t xml:space="preserve"> La clasificación de la información se llevará a cabo en el momento en que:</w:t>
      </w:r>
    </w:p>
    <w:p w14:paraId="544564E0"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w:t>
      </w:r>
      <w:r w:rsidRPr="00995FA7">
        <w:rPr>
          <w:rFonts w:ascii="Palatino Linotype" w:eastAsia="Palatino Linotype" w:hAnsi="Palatino Linotype" w:cs="Palatino Linotype"/>
          <w:i/>
          <w:sz w:val="22"/>
          <w:szCs w:val="22"/>
        </w:rPr>
        <w:t xml:space="preserve"> Se reciba una solicitud de acceso a la información;</w:t>
      </w:r>
    </w:p>
    <w:p w14:paraId="053BD03A"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w:t>
      </w:r>
      <w:r w:rsidRPr="00995FA7">
        <w:rPr>
          <w:rFonts w:ascii="Palatino Linotype" w:eastAsia="Palatino Linotype" w:hAnsi="Palatino Linotype" w:cs="Palatino Linotype"/>
          <w:i/>
          <w:sz w:val="22"/>
          <w:szCs w:val="22"/>
        </w:rPr>
        <w:t xml:space="preserve"> Se determine mediante resolución del Comité de Transparencia, el órgano garante competente, o en cumplimiento a una sentencia del Poder Judicial; o</w:t>
      </w:r>
    </w:p>
    <w:p w14:paraId="62AFF54B"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III.</w:t>
      </w:r>
      <w:r w:rsidRPr="00995FA7">
        <w:rPr>
          <w:rFonts w:ascii="Palatino Linotype" w:eastAsia="Palatino Linotype" w:hAnsi="Palatino Linotype" w:cs="Palatino Linotype"/>
          <w:i/>
          <w:sz w:val="22"/>
          <w:szCs w:val="22"/>
        </w:rPr>
        <w:t xml:space="preserve"> Se generen versiones públicas para dar cumplimiento a las obligaciones de transparencia previstas en la Ley General, la Ley Federal y las correspondientes de las entidades federativas.</w:t>
      </w:r>
    </w:p>
    <w:p w14:paraId="13622F3E"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Los titulares de las áreas deberán revisar la clasificación al momento de la recepción de una solicitud de acceso, para verificar</w:t>
      </w:r>
      <w:r w:rsidRPr="00995FA7">
        <w:rPr>
          <w:rFonts w:ascii="Palatino Linotype" w:eastAsia="Palatino Linotype" w:hAnsi="Palatino Linotype" w:cs="Palatino Linotype"/>
          <w:sz w:val="22"/>
          <w:szCs w:val="22"/>
        </w:rPr>
        <w:t xml:space="preserve">, </w:t>
      </w:r>
      <w:r w:rsidRPr="00995FA7">
        <w:rPr>
          <w:rFonts w:ascii="Palatino Linotype" w:eastAsia="Palatino Linotype" w:hAnsi="Palatino Linotype" w:cs="Palatino Linotype"/>
          <w:i/>
          <w:sz w:val="22"/>
          <w:szCs w:val="22"/>
        </w:rPr>
        <w:t>conforme a su naturaleza, si encuadra en una causal de reserva o de confidencialidad.</w:t>
      </w:r>
    </w:p>
    <w:p w14:paraId="38BB0DB4"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Octavo.</w:t>
      </w:r>
      <w:r w:rsidRPr="00995FA7">
        <w:rPr>
          <w:rFonts w:ascii="Palatino Linotype" w:eastAsia="Palatino Linotype" w:hAnsi="Palatino Linotype" w:cs="Palatino Linotype"/>
          <w:i/>
          <w:sz w:val="22"/>
          <w:szCs w:val="22"/>
        </w:rPr>
        <w:t xml:space="preserve"> Para fundar la clasificación de la información se debe señalar el artículo, fracción, inciso, párrafo o numeral de la ley o tratado internacional suscrito por el Estado mexicano que expresamente le otorga el carácter de reservada o confidencial.</w:t>
      </w:r>
    </w:p>
    <w:p w14:paraId="7B09845C"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Para motivar la clasificación se deberán señalar las razones o circunstancias especiales que lo llevaron a concluir que el caso particular se ajusta al supuesto previsto por la norma legal invocada como fundamento.</w:t>
      </w:r>
    </w:p>
    <w:p w14:paraId="3727B2AF"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En caso de referirse a información reservada, la motivación de la clasificación deberá comprender el análisis de la prueba de daño a que hace referencia el artículo 104 de la Ley General, en relación con el artículo trigésimo tercero de los presentes lineamientos, así como las circunstancias que justifican el establecimiento de determinado plazo de reserva.</w:t>
      </w:r>
    </w:p>
    <w:p w14:paraId="08FEC7C2"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Noveno.</w:t>
      </w:r>
      <w:r w:rsidRPr="00995FA7">
        <w:rPr>
          <w:rFonts w:ascii="Palatino Linotype" w:eastAsia="Palatino Linotype" w:hAnsi="Palatino Linotype" w:cs="Palatino Linotype"/>
          <w:i/>
          <w:sz w:val="22"/>
          <w:szCs w:val="22"/>
        </w:rPr>
        <w:t xml:space="preserve"> En los casos en que se solicite un documento o expediente que contenga partes o secciones clasificadas, los titulares de las áreas deberán elaborar una versión pública fundando y motivando la clasificación de las partes o secciones que se testen, siguiendo los procedimientos establecidos en el Capítulo IX de los presentes lineamientos.</w:t>
      </w:r>
    </w:p>
    <w:p w14:paraId="31420B55"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Décimo.</w:t>
      </w:r>
      <w:r w:rsidRPr="00995FA7">
        <w:rPr>
          <w:rFonts w:ascii="Palatino Linotype" w:eastAsia="Palatino Linotype" w:hAnsi="Palatino Linotype" w:cs="Palatino Linotype"/>
          <w:i/>
          <w:sz w:val="22"/>
          <w:szCs w:val="22"/>
        </w:rPr>
        <w:t xml:space="preserve"> Los titulares de las áreas, deberán tener conocimiento y llevar un registro del personal que, por la naturaleza de sus atribuciones, tenga acceso a los documentos clasificados. Asimismo, deberán asegurarse de que dicho personal cuente con los conocimientos técnicos y legales que le permitan manejar adecuadamente la información clasificada, en los términos de la Ley General de Archivos, Lineamientos para la Organización y Conservación de Archivos y demás normatividad aplicable.</w:t>
      </w:r>
    </w:p>
    <w:p w14:paraId="4DB99C03"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En ausencia de los titulares de las áreas, la información será clasificada o desclasificada por la persona que lo supla, en términos de la normativa que rija la actuación del sujeto obligado.</w:t>
      </w:r>
    </w:p>
    <w:p w14:paraId="64A2FAA6" w14:textId="77777777" w:rsidR="00367483" w:rsidRPr="00995FA7" w:rsidRDefault="00367483" w:rsidP="00367483">
      <w:pPr>
        <w:tabs>
          <w:tab w:val="left" w:pos="8222"/>
        </w:tabs>
        <w:spacing w:before="120" w:after="120"/>
        <w:ind w:left="851" w:right="1134"/>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Décimo primero.</w:t>
      </w:r>
      <w:r w:rsidRPr="00995FA7">
        <w:rPr>
          <w:rFonts w:ascii="Palatino Linotype" w:eastAsia="Palatino Linotype" w:hAnsi="Palatino Linotype" w:cs="Palatino Linotype"/>
          <w:i/>
          <w:sz w:val="22"/>
          <w:szCs w:val="22"/>
        </w:rPr>
        <w:t xml:space="preserve"> En el intercambio de información entre sujetos obligados para el ejercicio de sus atribuciones, los documentos que se encuentren clasificados deberán llevar la leyenda correspondiente de conformidad con lo dispuesto en el Capítulo VIII de los presentes lineamientos.” </w:t>
      </w:r>
    </w:p>
    <w:p w14:paraId="5B76B128" w14:textId="77777777" w:rsidR="00367483" w:rsidRPr="00995FA7" w:rsidRDefault="00367483" w:rsidP="00367483">
      <w:pPr>
        <w:pBdr>
          <w:top w:val="nil"/>
          <w:left w:val="nil"/>
          <w:bottom w:val="nil"/>
          <w:right w:val="nil"/>
          <w:between w:val="nil"/>
        </w:pBdr>
        <w:spacing w:before="240" w:after="240" w:line="360" w:lineRule="auto"/>
        <w:ind w:right="51"/>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Asimismo, respecto a las formalidades que deberá llevar el acuerdo de clasificación que deberá emitir el </w:t>
      </w:r>
      <w:r w:rsidRPr="00995FA7">
        <w:rPr>
          <w:rFonts w:ascii="Palatino Linotype" w:eastAsia="Palatino Linotype" w:hAnsi="Palatino Linotype" w:cs="Palatino Linotype"/>
          <w:b/>
          <w:sz w:val="22"/>
          <w:szCs w:val="22"/>
        </w:rPr>
        <w:t>Sujeto Obligado</w:t>
      </w:r>
      <w:r w:rsidRPr="00995FA7">
        <w:rPr>
          <w:rFonts w:ascii="Palatino Linotype" w:eastAsia="Palatino Linotype" w:hAnsi="Palatino Linotype" w:cs="Palatino Linotype"/>
          <w:sz w:val="22"/>
          <w:szCs w:val="22"/>
        </w:rPr>
        <w:t xml:space="preserve"> a través de su Comité de Transparencia, los Lineamientos Quincuagésimo y Quincuagésimo primero de los Lineamientos Generales en Materia de Clasificación y Desclasificación de la Información, así como para la Elaboración de Versiones Públicas señalan lo siguiente:</w:t>
      </w:r>
    </w:p>
    <w:p w14:paraId="73773939"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 xml:space="preserve"> “Quincuagésimo. </w:t>
      </w:r>
      <w:r w:rsidRPr="00995FA7">
        <w:rPr>
          <w:rFonts w:ascii="Palatino Linotype" w:eastAsia="Palatino Linotype" w:hAnsi="Palatino Linotype" w:cs="Palatino Linotype"/>
          <w:i/>
          <w:sz w:val="22"/>
          <w:szCs w:val="22"/>
        </w:rPr>
        <w:t xml:space="preserve">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3FDB3CEA"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 xml:space="preserve">Quincuagésimo primero. </w:t>
      </w:r>
      <w:r w:rsidRPr="00995FA7">
        <w:rPr>
          <w:rFonts w:ascii="Palatino Linotype" w:eastAsia="Palatino Linotype" w:hAnsi="Palatino Linotype" w:cs="Palatino Linotype"/>
          <w:i/>
          <w:sz w:val="22"/>
          <w:szCs w:val="22"/>
        </w:rPr>
        <w:t xml:space="preserve">Toda acta del Comité de Transparencia deberá contener: </w:t>
      </w:r>
    </w:p>
    <w:p w14:paraId="58BCA490"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w:t>
      </w:r>
      <w:r w:rsidRPr="00995FA7">
        <w:rPr>
          <w:rFonts w:ascii="Palatino Linotype" w:eastAsia="Palatino Linotype" w:hAnsi="Palatino Linotype" w:cs="Palatino Linotype"/>
          <w:i/>
          <w:sz w:val="22"/>
          <w:szCs w:val="22"/>
        </w:rPr>
        <w:t xml:space="preserve"> El número de sesión y fecha; </w:t>
      </w:r>
    </w:p>
    <w:p w14:paraId="5802140F"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w:t>
      </w:r>
      <w:r w:rsidRPr="00995FA7">
        <w:rPr>
          <w:rFonts w:ascii="Palatino Linotype" w:eastAsia="Palatino Linotype" w:hAnsi="Palatino Linotype" w:cs="Palatino Linotype"/>
          <w:i/>
          <w:sz w:val="22"/>
          <w:szCs w:val="22"/>
        </w:rPr>
        <w:t xml:space="preserve">. El nombre del área que solicitó la clasificación de información; </w:t>
      </w:r>
    </w:p>
    <w:p w14:paraId="62C864EE"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III</w:t>
      </w:r>
      <w:r w:rsidRPr="00995FA7">
        <w:rPr>
          <w:rFonts w:ascii="Palatino Linotype" w:eastAsia="Palatino Linotype" w:hAnsi="Palatino Linotype" w:cs="Palatino Linotype"/>
          <w:i/>
          <w:sz w:val="22"/>
          <w:szCs w:val="22"/>
        </w:rPr>
        <w:t xml:space="preserve">. La fundamentación legal y motivación correspondiente; </w:t>
      </w:r>
    </w:p>
    <w:p w14:paraId="3CD4E45D"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IV</w:t>
      </w:r>
      <w:r w:rsidRPr="00995FA7">
        <w:rPr>
          <w:rFonts w:ascii="Palatino Linotype" w:eastAsia="Palatino Linotype" w:hAnsi="Palatino Linotype" w:cs="Palatino Linotype"/>
          <w:i/>
          <w:sz w:val="22"/>
          <w:szCs w:val="22"/>
        </w:rPr>
        <w:t xml:space="preserve">. La resolución o resoluciones aprobadas; y </w:t>
      </w:r>
    </w:p>
    <w:p w14:paraId="4E499ED3"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V</w:t>
      </w:r>
      <w:r w:rsidRPr="00995FA7">
        <w:rPr>
          <w:rFonts w:ascii="Palatino Linotype" w:eastAsia="Palatino Linotype" w:hAnsi="Palatino Linotype" w:cs="Palatino Linotype"/>
          <w:i/>
          <w:sz w:val="22"/>
          <w:szCs w:val="22"/>
        </w:rPr>
        <w:t xml:space="preserve">. La rúbrica o firma digital de cada integrante del Comité de Transparencia. </w:t>
      </w:r>
    </w:p>
    <w:p w14:paraId="795ED2B9"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 xml:space="preserve">Las resoluciones del Comité en las que se haya determinado confirmar o modificar la clasificación de información pública como reservada, deberán incluir, cuando menos: </w:t>
      </w:r>
    </w:p>
    <w:p w14:paraId="45C70DC0"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w:t>
      </w:r>
      <w:r w:rsidRPr="00995FA7">
        <w:rPr>
          <w:rFonts w:ascii="Palatino Linotype" w:eastAsia="Palatino Linotype" w:hAnsi="Palatino Linotype" w:cs="Palatino Linotype"/>
          <w:i/>
          <w:sz w:val="22"/>
          <w:szCs w:val="22"/>
        </w:rPr>
        <w:t xml:space="preserve"> Los motivos y razonamientos que sustenten la confirmación o modificación de la prueba de daño;</w:t>
      </w:r>
    </w:p>
    <w:p w14:paraId="0067530C"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b/>
          <w:i/>
          <w:sz w:val="22"/>
          <w:szCs w:val="22"/>
        </w:rPr>
      </w:pPr>
      <w:r w:rsidRPr="00995FA7">
        <w:rPr>
          <w:rFonts w:ascii="Palatino Linotype" w:eastAsia="Palatino Linotype" w:hAnsi="Palatino Linotype" w:cs="Palatino Linotype"/>
          <w:b/>
          <w:i/>
          <w:sz w:val="22"/>
          <w:szCs w:val="22"/>
        </w:rPr>
        <w:t>II</w:t>
      </w:r>
      <w:r w:rsidRPr="00995FA7">
        <w:rPr>
          <w:rFonts w:ascii="Palatino Linotype" w:eastAsia="Palatino Linotype" w:hAnsi="Palatino Linotype" w:cs="Palatino Linotype"/>
          <w:i/>
          <w:sz w:val="22"/>
          <w:szCs w:val="22"/>
        </w:rPr>
        <w:t>. Descripción de las partes o secciones reservadas, en caso de clasificación parcial</w:t>
      </w:r>
      <w:r w:rsidRPr="00995FA7">
        <w:rPr>
          <w:rFonts w:ascii="Palatino Linotype" w:eastAsia="Palatino Linotype" w:hAnsi="Palatino Linotype" w:cs="Palatino Linotype"/>
          <w:b/>
          <w:i/>
          <w:sz w:val="22"/>
          <w:szCs w:val="22"/>
        </w:rPr>
        <w:t xml:space="preserve">; </w:t>
      </w:r>
    </w:p>
    <w:p w14:paraId="16E9B41A"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III.</w:t>
      </w:r>
      <w:r w:rsidRPr="00995FA7">
        <w:rPr>
          <w:rFonts w:ascii="Palatino Linotype" w:eastAsia="Palatino Linotype" w:hAnsi="Palatino Linotype" w:cs="Palatino Linotype"/>
          <w:i/>
          <w:sz w:val="22"/>
          <w:szCs w:val="22"/>
        </w:rPr>
        <w:t xml:space="preserve"> El periodo por el que mantendrá su clasificación y fecha de expiración; y </w:t>
      </w:r>
    </w:p>
    <w:p w14:paraId="1EAEFA87"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IV.</w:t>
      </w:r>
      <w:r w:rsidRPr="00995FA7">
        <w:rPr>
          <w:rFonts w:ascii="Palatino Linotype" w:eastAsia="Palatino Linotype" w:hAnsi="Palatino Linotype" w:cs="Palatino Linotype"/>
          <w:i/>
          <w:sz w:val="22"/>
          <w:szCs w:val="22"/>
        </w:rPr>
        <w:t xml:space="preserve"> El nombre del titular y área encargada de realizar la versión pública del documento, en su caso. </w:t>
      </w:r>
    </w:p>
    <w:p w14:paraId="39CDCDEA"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 xml:space="preserve">En los casos en que se clasifique la información como reservada siempre se entregará o anexará la prueba de daño con la respuesta al solicitante. </w:t>
      </w:r>
    </w:p>
    <w:p w14:paraId="276150E4" w14:textId="77777777" w:rsidR="00367483" w:rsidRPr="00995FA7" w:rsidRDefault="00367483" w:rsidP="00367483">
      <w:pPr>
        <w:pBdr>
          <w:top w:val="nil"/>
          <w:left w:val="nil"/>
          <w:bottom w:val="nil"/>
          <w:right w:val="nil"/>
          <w:between w:val="nil"/>
        </w:pBd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14:paraId="5B690E39" w14:textId="77777777" w:rsidR="00367483" w:rsidRPr="00995FA7" w:rsidRDefault="00367483" w:rsidP="00367483">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Para la elaboración de las versiones públicas, además, se deberán observar las formalidades establecidas en los Lineamientos Quincuagésimo segundo, Quincuagésimo cuarto, Quincuagésimo quinto, Quincuagésimo séptimo y Quincuagésimo octavo, que establecen lo siguiente:</w:t>
      </w:r>
    </w:p>
    <w:p w14:paraId="685380EA" w14:textId="77777777" w:rsidR="00367483" w:rsidRPr="00995FA7" w:rsidRDefault="00367483" w:rsidP="00367483">
      <w:pPr>
        <w:spacing w:before="120" w:after="120"/>
        <w:ind w:left="851" w:right="900"/>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r w:rsidRPr="00995FA7">
        <w:rPr>
          <w:rFonts w:ascii="Palatino Linotype" w:eastAsia="Palatino Linotype" w:hAnsi="Palatino Linotype" w:cs="Palatino Linotype"/>
          <w:b/>
          <w:i/>
          <w:sz w:val="22"/>
          <w:szCs w:val="22"/>
        </w:rPr>
        <w:t>Quincuagésimo segundo</w:t>
      </w:r>
      <w:r w:rsidRPr="00995FA7">
        <w:rPr>
          <w:rFonts w:ascii="Palatino Linotype" w:eastAsia="Palatino Linotype" w:hAnsi="Palatino Linotype" w:cs="Palatino Linotype"/>
          <w:i/>
          <w:sz w:val="22"/>
          <w:szCs w:val="22"/>
        </w:rPr>
        <w:t>. 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66857389" w14:textId="77777777" w:rsidR="00367483" w:rsidRPr="00995FA7" w:rsidRDefault="00367483" w:rsidP="00367483">
      <w:pPr>
        <w:spacing w:before="120" w:after="120"/>
        <w:ind w:left="851" w:right="900"/>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 xml:space="preserve">En el caso específico de la clasificación y elaboración de versiones públicas de documentos que contengan información confidencial, las áreas de los sujetos obligados deberán: </w:t>
      </w:r>
    </w:p>
    <w:p w14:paraId="28AE4981" w14:textId="77777777" w:rsidR="00367483" w:rsidRPr="00995FA7" w:rsidRDefault="00367483" w:rsidP="00367483">
      <w:pPr>
        <w:spacing w:before="120" w:after="120"/>
        <w:ind w:left="851" w:right="900"/>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w:t>
      </w:r>
      <w:r w:rsidRPr="00995FA7">
        <w:rPr>
          <w:rFonts w:ascii="Palatino Linotype" w:eastAsia="Palatino Linotype" w:hAnsi="Palatino Linotype" w:cs="Palatino Linotype"/>
          <w:i/>
          <w:sz w:val="22"/>
          <w:szCs w:val="22"/>
        </w:rPr>
        <w:t xml:space="preserve"> Fijar la fecha en que se elaboró la versión pública y la fecha en la cual el Comité de Transparencia confirmó dicha versión;</w:t>
      </w:r>
    </w:p>
    <w:p w14:paraId="4146A192" w14:textId="77777777" w:rsidR="00367483" w:rsidRPr="00995FA7" w:rsidRDefault="00367483" w:rsidP="00367483">
      <w:pPr>
        <w:spacing w:before="120" w:after="120"/>
        <w:ind w:left="851" w:right="900"/>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w:t>
      </w:r>
      <w:r w:rsidRPr="00995FA7">
        <w:rPr>
          <w:rFonts w:ascii="Palatino Linotype" w:eastAsia="Palatino Linotype" w:hAnsi="Palatino Linotype" w:cs="Palatino Linotype"/>
          <w:i/>
          <w:sz w:val="22"/>
          <w:szCs w:val="22"/>
        </w:rPr>
        <w:t xml:space="preserve"> Señalar dentro del documento el tipo de información confidencial que fue testada en cada caso específico, de conformidad con el lineamiento trigésimo octavo; y</w:t>
      </w:r>
    </w:p>
    <w:p w14:paraId="4DB1315C" w14:textId="77777777" w:rsidR="00367483" w:rsidRPr="00995FA7" w:rsidRDefault="00367483" w:rsidP="00367483">
      <w:pPr>
        <w:spacing w:before="120" w:after="120"/>
        <w:ind w:left="851" w:right="900"/>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III.</w:t>
      </w:r>
      <w:r w:rsidRPr="00995FA7">
        <w:rPr>
          <w:rFonts w:ascii="Palatino Linotype" w:eastAsia="Palatino Linotype" w:hAnsi="Palatino Linotype" w:cs="Palatino Linotype"/>
          <w:i/>
          <w:sz w:val="22"/>
          <w:szCs w:val="22"/>
        </w:rPr>
        <w:t xml:space="preserve"> Señalar las personas o instancias autorizadas a acceder a la información clasificada.</w:t>
      </w:r>
    </w:p>
    <w:p w14:paraId="21BF6FAA" w14:textId="77777777" w:rsidR="00367483" w:rsidRPr="00995FA7" w:rsidRDefault="00367483" w:rsidP="00367483">
      <w:pPr>
        <w:spacing w:before="120" w:after="120"/>
        <w:ind w:left="851" w:right="900"/>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En los documentos de difusión electrónica, señalar en la primera hoja y en el nombre del archivo, que la versión pública corresponde a un documento que contiene información confidencial.”</w:t>
      </w:r>
    </w:p>
    <w:p w14:paraId="482B8D0C" w14:textId="77777777" w:rsidR="00367483" w:rsidRPr="00995FA7" w:rsidRDefault="00367483" w:rsidP="00367483">
      <w:pPr>
        <w:pBdr>
          <w:top w:val="nil"/>
          <w:left w:val="nil"/>
          <w:bottom w:val="nil"/>
          <w:right w:val="nil"/>
          <w:between w:val="nil"/>
        </w:pBdr>
        <w:spacing w:before="120" w:after="120"/>
        <w:ind w:left="851" w:right="900"/>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w:t>
      </w:r>
    </w:p>
    <w:p w14:paraId="49CED95B" w14:textId="77777777" w:rsidR="00367483" w:rsidRPr="00995FA7" w:rsidRDefault="00367483" w:rsidP="00367483">
      <w:pPr>
        <w:pBdr>
          <w:top w:val="nil"/>
          <w:left w:val="nil"/>
          <w:bottom w:val="nil"/>
          <w:right w:val="nil"/>
          <w:between w:val="nil"/>
        </w:pBdr>
        <w:spacing w:before="120" w:after="120"/>
        <w:ind w:left="851" w:right="900"/>
        <w:jc w:val="both"/>
        <w:rPr>
          <w:rFonts w:ascii="Palatino Linotype" w:eastAsia="Palatino Linotype" w:hAnsi="Palatino Linotype" w:cs="Palatino Linotype"/>
          <w:b/>
          <w:i/>
          <w:sz w:val="22"/>
          <w:szCs w:val="22"/>
        </w:rPr>
      </w:pPr>
      <w:r w:rsidRPr="00995FA7">
        <w:rPr>
          <w:rFonts w:ascii="Palatino Linotype" w:eastAsia="Palatino Linotype" w:hAnsi="Palatino Linotype" w:cs="Palatino Linotype"/>
          <w:b/>
          <w:i/>
          <w:sz w:val="22"/>
          <w:szCs w:val="22"/>
        </w:rPr>
        <w:t xml:space="preserve">Quincuagésimo cuarto. </w:t>
      </w:r>
      <w:r w:rsidRPr="00995FA7">
        <w:rPr>
          <w:rFonts w:ascii="Palatino Linotype" w:eastAsia="Palatino Linotype" w:hAnsi="Palatino Linotype" w:cs="Palatino Linotype"/>
          <w:i/>
          <w:sz w:val="22"/>
          <w:szCs w:val="22"/>
        </w:rPr>
        <w:t>Cuando el Comité de Transparencia confirme la clasificación de documentos reservados y/o confidenciales, sea total o parcialmente; se deberá anexar al expediente la resolución que determinó la clasificación o, en su defecto, identificar en la carátula del expediente del cual formen parte, la fecha y sesión del Comité de Transparencia en la que se confirmó dicha clasificación.</w:t>
      </w:r>
      <w:r w:rsidRPr="00995FA7">
        <w:rPr>
          <w:rFonts w:ascii="Palatino Linotype" w:eastAsia="Palatino Linotype" w:hAnsi="Palatino Linotype" w:cs="Palatino Linotype"/>
          <w:b/>
          <w:i/>
          <w:sz w:val="22"/>
          <w:szCs w:val="22"/>
        </w:rPr>
        <w:t xml:space="preserve"> </w:t>
      </w:r>
    </w:p>
    <w:p w14:paraId="1F75434A"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 xml:space="preserve">Quincuagésimo quinto. </w:t>
      </w:r>
      <w:r w:rsidRPr="00995FA7">
        <w:rPr>
          <w:rFonts w:ascii="Palatino Linotype" w:eastAsia="Palatino Linotype" w:hAnsi="Palatino Linotype" w:cs="Palatino Linotype"/>
          <w:i/>
          <w:sz w:val="22"/>
          <w:szCs w:val="22"/>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w:t>
      </w:r>
    </w:p>
    <w:p w14:paraId="70A32F71" w14:textId="77777777" w:rsidR="00367483" w:rsidRPr="00995FA7" w:rsidRDefault="00367483" w:rsidP="00367483">
      <w:pPr>
        <w:spacing w:before="120" w:after="120"/>
        <w:ind w:left="851" w:right="902"/>
        <w:jc w:val="both"/>
        <w:rPr>
          <w:rFonts w:ascii="Palatino Linotype" w:eastAsia="Palatino Linotype" w:hAnsi="Palatino Linotype" w:cs="Palatino Linotype"/>
          <w:b/>
          <w:i/>
          <w:sz w:val="22"/>
          <w:szCs w:val="22"/>
        </w:rPr>
      </w:pPr>
      <w:r w:rsidRPr="00995FA7">
        <w:rPr>
          <w:rFonts w:ascii="Palatino Linotype" w:eastAsia="Palatino Linotype" w:hAnsi="Palatino Linotype" w:cs="Palatino Linotype"/>
          <w:b/>
          <w:i/>
          <w:sz w:val="22"/>
          <w:szCs w:val="22"/>
        </w:rPr>
        <w:t>...</w:t>
      </w:r>
    </w:p>
    <w:p w14:paraId="3F5FFFC8"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Quincuagésimo séptimo</w:t>
      </w:r>
      <w:r w:rsidRPr="00995FA7">
        <w:rPr>
          <w:rFonts w:ascii="Palatino Linotype" w:eastAsia="Palatino Linotype" w:hAnsi="Palatino Linotype" w:cs="Palatino Linotype"/>
          <w:i/>
          <w:sz w:val="22"/>
          <w:szCs w:val="22"/>
        </w:rPr>
        <w:t xml:space="preserve">. Se considera, en principio, como información pública y no podrá omitirse de las versiones públicas la siguiente: </w:t>
      </w:r>
    </w:p>
    <w:p w14:paraId="60E46DB3"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w:t>
      </w:r>
      <w:r w:rsidRPr="00995FA7">
        <w:rPr>
          <w:rFonts w:ascii="Palatino Linotype" w:eastAsia="Palatino Linotype" w:hAnsi="Palatino Linotype" w:cs="Palatino Linotype"/>
          <w:i/>
          <w:sz w:val="22"/>
          <w:szCs w:val="22"/>
        </w:rPr>
        <w:t xml:space="preserve">. La relativa a las Obligaciones de Transparencia que contempla el Título V de la Ley General y las demás disposiciones legales aplicables; </w:t>
      </w:r>
    </w:p>
    <w:p w14:paraId="36516842"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w:t>
      </w:r>
      <w:r w:rsidRPr="00995FA7">
        <w:rPr>
          <w:rFonts w:ascii="Palatino Linotype" w:eastAsia="Palatino Linotype" w:hAnsi="Palatino Linotype" w:cs="Palatino Linotype"/>
          <w:i/>
          <w:sz w:val="22"/>
          <w:szCs w:val="22"/>
        </w:rPr>
        <w:t xml:space="preserve"> El nombre de los integrantes de los sujetos obligados en los documentos, y sus firmas autógrafas o digitales, cuando sean utilizados en el ejercicio de las facultades conferidas para el desempeño del servicio público, y</w:t>
      </w:r>
    </w:p>
    <w:p w14:paraId="6C198BF5"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III</w:t>
      </w:r>
      <w:r w:rsidRPr="00995FA7">
        <w:rPr>
          <w:rFonts w:ascii="Palatino Linotype" w:eastAsia="Palatino Linotype" w:hAnsi="Palatino Linotype" w:cs="Palatino Linotype"/>
          <w:i/>
          <w:sz w:val="22"/>
          <w:szCs w:val="22"/>
        </w:rPr>
        <w:t xml:space="preserve">. La información que documente decisiones y los actos de autoridad concluidos de los sujetos obligados, así como el ejercicio de las facultades o actividades de los servidores públicos, de manera que se pueda valorar el desempeño de los mismos. </w:t>
      </w:r>
    </w:p>
    <w:p w14:paraId="2B1B29FF"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i/>
          <w:sz w:val="22"/>
          <w:szCs w:val="22"/>
        </w:rPr>
        <w:t xml:space="preserve">Lo anterior, siempre y cuando no se acredite alguna causal de clasificación, prevista en las leyes o en los tratados internacionales suscritas por el Estado mexicano.  </w:t>
      </w:r>
    </w:p>
    <w:p w14:paraId="4C26D601" w14:textId="77777777" w:rsidR="00367483" w:rsidRPr="00995FA7" w:rsidRDefault="00367483" w:rsidP="00367483">
      <w:pPr>
        <w:spacing w:before="120" w:after="120"/>
        <w:ind w:left="851" w:right="902"/>
        <w:jc w:val="both"/>
        <w:rPr>
          <w:rFonts w:ascii="Palatino Linotype" w:eastAsia="Palatino Linotype" w:hAnsi="Palatino Linotype" w:cs="Palatino Linotype"/>
          <w:i/>
          <w:sz w:val="22"/>
          <w:szCs w:val="22"/>
        </w:rPr>
      </w:pPr>
      <w:r w:rsidRPr="00995FA7">
        <w:rPr>
          <w:rFonts w:ascii="Palatino Linotype" w:eastAsia="Palatino Linotype" w:hAnsi="Palatino Linotype" w:cs="Palatino Linotype"/>
          <w:b/>
          <w:i/>
          <w:sz w:val="22"/>
          <w:szCs w:val="22"/>
        </w:rPr>
        <w:t>Quincuagésimo octavo</w:t>
      </w:r>
      <w:r w:rsidRPr="00995FA7">
        <w:rPr>
          <w:rFonts w:ascii="Palatino Linotype" w:eastAsia="Palatino Linotype" w:hAnsi="Palatino Linotype" w:cs="Palatino Linotype"/>
          <w:i/>
          <w:sz w:val="22"/>
          <w:szCs w:val="22"/>
        </w:rPr>
        <w:t>. Los sujetos obligados garantizarán que los sistemas o medios empleados para eliminar la información en las versiones públicas sean irreversibles, de tal forma que no permitan su recuperación o la visualización de la misma.”</w:t>
      </w:r>
    </w:p>
    <w:p w14:paraId="4368008A" w14:textId="77777777" w:rsidR="00331A87" w:rsidRPr="00995FA7" w:rsidRDefault="00331A87" w:rsidP="00331A87">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Así, con fundamento en lo prescrito en los artículos 5 párrafos cuadragésimo cuarto, cuadragésimo quinto cuadragésimo sexto, de la Constitución Política del Estado Libre y Soberano de México; Transitorio Cuarto, párrafo segundo del Decreto número 198 de la “LXII” Legislatura del Estado de México; 2, fracción II; 29, 36 fracciones I y II; 176, 178, 181, 185 y 186 fracción II de la Ley de Transparencia y Acceso a la Información Pública del Estado de México y Municipios, este Pleno:</w:t>
      </w:r>
    </w:p>
    <w:p w14:paraId="554A2692" w14:textId="77777777" w:rsidR="004F7BF1" w:rsidRPr="00995FA7" w:rsidRDefault="004F7BF1" w:rsidP="004F7BF1">
      <w:pPr>
        <w:pBdr>
          <w:top w:val="nil"/>
          <w:left w:val="nil"/>
          <w:bottom w:val="nil"/>
          <w:right w:val="nil"/>
          <w:between w:val="nil"/>
        </w:pBdr>
        <w:spacing w:before="240" w:after="240" w:line="360" w:lineRule="auto"/>
        <w:jc w:val="center"/>
        <w:rPr>
          <w:rFonts w:ascii="Palatino Linotype" w:eastAsia="Palatino Linotype" w:hAnsi="Palatino Linotype" w:cs="Palatino Linotype"/>
          <w:b/>
          <w:sz w:val="22"/>
          <w:szCs w:val="22"/>
        </w:rPr>
      </w:pPr>
      <w:r w:rsidRPr="00995FA7">
        <w:rPr>
          <w:rFonts w:ascii="Palatino Linotype" w:eastAsia="Palatino Linotype" w:hAnsi="Palatino Linotype" w:cs="Palatino Linotype"/>
          <w:b/>
          <w:sz w:val="22"/>
          <w:szCs w:val="22"/>
        </w:rPr>
        <w:t>III. R E S U E L V E</w:t>
      </w:r>
    </w:p>
    <w:p w14:paraId="18B68C2D" w14:textId="3A93B4AB" w:rsidR="004F7BF1" w:rsidRPr="00995FA7" w:rsidRDefault="004F7BF1" w:rsidP="004F7BF1">
      <w:pPr>
        <w:spacing w:before="240" w:after="240" w:line="360" w:lineRule="auto"/>
        <w:jc w:val="both"/>
        <w:rPr>
          <w:rFonts w:ascii="Palatino Linotype" w:eastAsia="Palatino Linotype" w:hAnsi="Palatino Linotype" w:cs="Palatino Linotype"/>
          <w:sz w:val="22"/>
          <w:szCs w:val="22"/>
        </w:rPr>
      </w:pPr>
      <w:bookmarkStart w:id="7" w:name="_heading=h.26in1rg" w:colFirst="0" w:colLast="0"/>
      <w:bookmarkStart w:id="8" w:name="_heading=h.lnxbz9" w:colFirst="0" w:colLast="0"/>
      <w:bookmarkEnd w:id="7"/>
      <w:bookmarkEnd w:id="8"/>
      <w:r w:rsidRPr="00995FA7">
        <w:rPr>
          <w:rFonts w:ascii="Palatino Linotype" w:eastAsia="Palatino Linotype" w:hAnsi="Palatino Linotype" w:cs="Palatino Linotype"/>
          <w:b/>
          <w:sz w:val="22"/>
          <w:szCs w:val="22"/>
        </w:rPr>
        <w:t xml:space="preserve">Primero. </w:t>
      </w:r>
      <w:r w:rsidRPr="00995FA7">
        <w:rPr>
          <w:rFonts w:ascii="Palatino Linotype" w:eastAsia="Palatino Linotype" w:hAnsi="Palatino Linotype" w:cs="Palatino Linotype"/>
          <w:sz w:val="22"/>
          <w:szCs w:val="22"/>
        </w:rPr>
        <w:t>Resultan</w:t>
      </w:r>
      <w:r w:rsidRPr="00995FA7">
        <w:rPr>
          <w:rFonts w:ascii="Palatino Linotype" w:eastAsia="Palatino Linotype" w:hAnsi="Palatino Linotype" w:cs="Palatino Linotype"/>
          <w:b/>
          <w:sz w:val="22"/>
          <w:szCs w:val="22"/>
        </w:rPr>
        <w:t xml:space="preserve"> fundadas</w:t>
      </w:r>
      <w:r w:rsidRPr="00995FA7">
        <w:rPr>
          <w:rFonts w:ascii="Palatino Linotype" w:eastAsia="Palatino Linotype" w:hAnsi="Palatino Linotype" w:cs="Palatino Linotype"/>
          <w:sz w:val="22"/>
          <w:szCs w:val="22"/>
        </w:rPr>
        <w:t xml:space="preserve"> las razones o motivos de inconformidad hechos valer por la parte</w:t>
      </w:r>
      <w:r w:rsidRPr="00995FA7">
        <w:rPr>
          <w:rFonts w:ascii="Palatino Linotype" w:eastAsia="Palatino Linotype" w:hAnsi="Palatino Linotype" w:cs="Palatino Linotype"/>
          <w:b/>
          <w:sz w:val="22"/>
          <w:szCs w:val="22"/>
        </w:rPr>
        <w:t xml:space="preserve"> Recurrente</w:t>
      </w:r>
      <w:r w:rsidRPr="00995FA7">
        <w:rPr>
          <w:rFonts w:ascii="Palatino Linotype" w:eastAsia="Palatino Linotype" w:hAnsi="Palatino Linotype" w:cs="Palatino Linotype"/>
          <w:sz w:val="22"/>
          <w:szCs w:val="22"/>
        </w:rPr>
        <w:t xml:space="preserve"> en el recurso de revisión </w:t>
      </w:r>
      <w:r w:rsidRPr="00995FA7">
        <w:rPr>
          <w:rFonts w:ascii="Palatino Linotype" w:eastAsia="Palatino Linotype" w:hAnsi="Palatino Linotype" w:cs="Palatino Linotype"/>
          <w:b/>
          <w:sz w:val="22"/>
          <w:szCs w:val="22"/>
        </w:rPr>
        <w:t>0</w:t>
      </w:r>
      <w:r w:rsidR="00A50A76" w:rsidRPr="00995FA7">
        <w:rPr>
          <w:rFonts w:ascii="Palatino Linotype" w:eastAsia="Palatino Linotype" w:hAnsi="Palatino Linotype" w:cs="Palatino Linotype"/>
          <w:b/>
          <w:sz w:val="22"/>
          <w:szCs w:val="22"/>
        </w:rPr>
        <w:t>75</w:t>
      </w:r>
      <w:r w:rsidR="00367483" w:rsidRPr="00995FA7">
        <w:rPr>
          <w:rFonts w:ascii="Palatino Linotype" w:eastAsia="Palatino Linotype" w:hAnsi="Palatino Linotype" w:cs="Palatino Linotype"/>
          <w:b/>
          <w:sz w:val="22"/>
          <w:szCs w:val="22"/>
        </w:rPr>
        <w:t>69</w:t>
      </w:r>
      <w:r w:rsidRPr="00995FA7">
        <w:rPr>
          <w:rFonts w:ascii="Palatino Linotype" w:eastAsia="Palatino Linotype" w:hAnsi="Palatino Linotype" w:cs="Palatino Linotype"/>
          <w:b/>
          <w:sz w:val="22"/>
          <w:szCs w:val="22"/>
        </w:rPr>
        <w:t>/INFOEM/IP/RR/2026</w:t>
      </w:r>
      <w:r w:rsidRPr="00995FA7">
        <w:rPr>
          <w:rFonts w:ascii="Palatino Linotype" w:eastAsia="Palatino Linotype" w:hAnsi="Palatino Linotype" w:cs="Palatino Linotype"/>
          <w:sz w:val="22"/>
          <w:szCs w:val="22"/>
        </w:rPr>
        <w:t xml:space="preserve">; por lo que, en términos del </w:t>
      </w:r>
      <w:r w:rsidRPr="00995FA7">
        <w:rPr>
          <w:rFonts w:ascii="Palatino Linotype" w:eastAsia="Palatino Linotype" w:hAnsi="Palatino Linotype" w:cs="Palatino Linotype"/>
          <w:b/>
          <w:sz w:val="22"/>
          <w:szCs w:val="22"/>
        </w:rPr>
        <w:t>Considerando</w:t>
      </w:r>
      <w:r w:rsidRPr="00995FA7">
        <w:rPr>
          <w:rFonts w:ascii="Palatino Linotype" w:eastAsia="Palatino Linotype" w:hAnsi="Palatino Linotype" w:cs="Palatino Linotype"/>
          <w:sz w:val="22"/>
          <w:szCs w:val="22"/>
        </w:rPr>
        <w:t xml:space="preserve"> </w:t>
      </w:r>
      <w:r w:rsidRPr="00995FA7">
        <w:rPr>
          <w:rFonts w:ascii="Palatino Linotype" w:eastAsia="Palatino Linotype" w:hAnsi="Palatino Linotype" w:cs="Palatino Linotype"/>
          <w:b/>
          <w:sz w:val="22"/>
          <w:szCs w:val="22"/>
        </w:rPr>
        <w:t xml:space="preserve">Cuarto </w:t>
      </w:r>
      <w:r w:rsidRPr="00995FA7">
        <w:rPr>
          <w:rFonts w:ascii="Palatino Linotype" w:eastAsia="Palatino Linotype" w:hAnsi="Palatino Linotype" w:cs="Palatino Linotype"/>
          <w:sz w:val="22"/>
          <w:szCs w:val="22"/>
        </w:rPr>
        <w:t xml:space="preserve">de esta resolución, se </w:t>
      </w:r>
      <w:r w:rsidR="00367483" w:rsidRPr="00995FA7">
        <w:rPr>
          <w:rFonts w:ascii="Palatino Linotype" w:eastAsia="Palatino Linotype" w:hAnsi="Palatino Linotype" w:cs="Palatino Linotype"/>
          <w:b/>
          <w:sz w:val="22"/>
          <w:szCs w:val="22"/>
        </w:rPr>
        <w:t>Revo</w:t>
      </w:r>
      <w:r w:rsidRPr="00995FA7">
        <w:rPr>
          <w:rFonts w:ascii="Palatino Linotype" w:eastAsia="Palatino Linotype" w:hAnsi="Palatino Linotype" w:cs="Palatino Linotype"/>
          <w:b/>
          <w:sz w:val="22"/>
          <w:szCs w:val="22"/>
        </w:rPr>
        <w:t xml:space="preserve">ca </w:t>
      </w:r>
      <w:r w:rsidRPr="00995FA7">
        <w:rPr>
          <w:rFonts w:ascii="Palatino Linotype" w:eastAsia="Palatino Linotype" w:hAnsi="Palatino Linotype" w:cs="Palatino Linotype"/>
          <w:sz w:val="22"/>
          <w:szCs w:val="22"/>
        </w:rPr>
        <w:t xml:space="preserve">la respuesta emitida por el </w:t>
      </w:r>
      <w:r w:rsidRPr="00995FA7">
        <w:rPr>
          <w:rFonts w:ascii="Palatino Linotype" w:eastAsia="Palatino Linotype" w:hAnsi="Palatino Linotype" w:cs="Palatino Linotype"/>
          <w:b/>
          <w:sz w:val="22"/>
          <w:szCs w:val="22"/>
        </w:rPr>
        <w:t xml:space="preserve">Sujeto Obligado. </w:t>
      </w:r>
    </w:p>
    <w:p w14:paraId="2E2C6BB9" w14:textId="04FA3BED" w:rsidR="004F7BF1" w:rsidRPr="00995FA7" w:rsidRDefault="004F7BF1" w:rsidP="004F7BF1">
      <w:pPr>
        <w:spacing w:before="240" w:after="240" w:line="360" w:lineRule="auto"/>
        <w:ind w:right="49"/>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b/>
          <w:sz w:val="22"/>
          <w:szCs w:val="22"/>
        </w:rPr>
        <w:t xml:space="preserve">Segundo. </w:t>
      </w:r>
      <w:r w:rsidRPr="00995FA7">
        <w:rPr>
          <w:rFonts w:ascii="Palatino Linotype" w:eastAsia="Palatino Linotype" w:hAnsi="Palatino Linotype" w:cs="Palatino Linotype"/>
          <w:sz w:val="22"/>
          <w:szCs w:val="22"/>
        </w:rPr>
        <w:t xml:space="preserve">Se </w:t>
      </w:r>
      <w:r w:rsidRPr="00995FA7">
        <w:rPr>
          <w:rFonts w:ascii="Palatino Linotype" w:eastAsia="Palatino Linotype" w:hAnsi="Palatino Linotype" w:cs="Palatino Linotype"/>
          <w:b/>
          <w:sz w:val="22"/>
          <w:szCs w:val="22"/>
        </w:rPr>
        <w:t>Ordena</w:t>
      </w:r>
      <w:r w:rsidRPr="00995FA7">
        <w:rPr>
          <w:rFonts w:ascii="Palatino Linotype" w:eastAsia="Palatino Linotype" w:hAnsi="Palatino Linotype" w:cs="Palatino Linotype"/>
          <w:sz w:val="22"/>
          <w:szCs w:val="22"/>
        </w:rPr>
        <w:t xml:space="preserve"> al </w:t>
      </w:r>
      <w:r w:rsidRPr="00995FA7">
        <w:rPr>
          <w:rFonts w:ascii="Palatino Linotype" w:eastAsia="Palatino Linotype" w:hAnsi="Palatino Linotype" w:cs="Palatino Linotype"/>
          <w:b/>
          <w:sz w:val="22"/>
          <w:szCs w:val="22"/>
        </w:rPr>
        <w:t>Sujeto Obligado</w:t>
      </w:r>
      <w:r w:rsidRPr="00995FA7">
        <w:rPr>
          <w:rFonts w:ascii="Palatino Linotype" w:eastAsia="Palatino Linotype" w:hAnsi="Palatino Linotype" w:cs="Palatino Linotype"/>
          <w:sz w:val="22"/>
          <w:szCs w:val="22"/>
        </w:rPr>
        <w:t>, en términos de</w:t>
      </w:r>
      <w:r w:rsidR="00367483" w:rsidRPr="00995FA7">
        <w:rPr>
          <w:rFonts w:ascii="Palatino Linotype" w:eastAsia="Palatino Linotype" w:hAnsi="Palatino Linotype" w:cs="Palatino Linotype"/>
          <w:sz w:val="22"/>
          <w:szCs w:val="22"/>
        </w:rPr>
        <w:t xml:space="preserve"> </w:t>
      </w:r>
      <w:r w:rsidR="00A50A76" w:rsidRPr="00995FA7">
        <w:rPr>
          <w:rFonts w:ascii="Palatino Linotype" w:eastAsia="Palatino Linotype" w:hAnsi="Palatino Linotype" w:cs="Palatino Linotype"/>
          <w:sz w:val="22"/>
          <w:szCs w:val="22"/>
        </w:rPr>
        <w:t>l</w:t>
      </w:r>
      <w:r w:rsidR="00367483" w:rsidRPr="00995FA7">
        <w:rPr>
          <w:rFonts w:ascii="Palatino Linotype" w:eastAsia="Palatino Linotype" w:hAnsi="Palatino Linotype" w:cs="Palatino Linotype"/>
          <w:sz w:val="22"/>
          <w:szCs w:val="22"/>
        </w:rPr>
        <w:t>os</w:t>
      </w:r>
      <w:r w:rsidRPr="00995FA7">
        <w:rPr>
          <w:rFonts w:ascii="Palatino Linotype" w:eastAsia="Palatino Linotype" w:hAnsi="Palatino Linotype" w:cs="Palatino Linotype"/>
          <w:sz w:val="22"/>
          <w:szCs w:val="22"/>
        </w:rPr>
        <w:t xml:space="preserve"> Considerando</w:t>
      </w:r>
      <w:r w:rsidR="00367483" w:rsidRPr="00995FA7">
        <w:rPr>
          <w:rFonts w:ascii="Palatino Linotype" w:eastAsia="Palatino Linotype" w:hAnsi="Palatino Linotype" w:cs="Palatino Linotype"/>
          <w:sz w:val="22"/>
          <w:szCs w:val="22"/>
        </w:rPr>
        <w:t>s</w:t>
      </w:r>
      <w:r w:rsidR="00A50A76" w:rsidRPr="00995FA7">
        <w:rPr>
          <w:rFonts w:ascii="Palatino Linotype" w:eastAsia="Palatino Linotype" w:hAnsi="Palatino Linotype" w:cs="Palatino Linotype"/>
          <w:sz w:val="22"/>
          <w:szCs w:val="22"/>
        </w:rPr>
        <w:t xml:space="preserve"> </w:t>
      </w:r>
      <w:r w:rsidRPr="00995FA7">
        <w:rPr>
          <w:rFonts w:ascii="Palatino Linotype" w:eastAsia="Palatino Linotype" w:hAnsi="Palatino Linotype" w:cs="Palatino Linotype"/>
          <w:b/>
          <w:sz w:val="22"/>
          <w:szCs w:val="22"/>
        </w:rPr>
        <w:t>Cuarto</w:t>
      </w:r>
      <w:r w:rsidR="00A50A76" w:rsidRPr="00995FA7">
        <w:rPr>
          <w:rFonts w:ascii="Palatino Linotype" w:eastAsia="Palatino Linotype" w:hAnsi="Palatino Linotype" w:cs="Palatino Linotype"/>
          <w:b/>
          <w:sz w:val="22"/>
          <w:szCs w:val="22"/>
        </w:rPr>
        <w:t xml:space="preserve"> </w:t>
      </w:r>
      <w:r w:rsidR="00367483" w:rsidRPr="00995FA7">
        <w:rPr>
          <w:rFonts w:ascii="Palatino Linotype" w:eastAsia="Palatino Linotype" w:hAnsi="Palatino Linotype" w:cs="Palatino Linotype"/>
          <w:bCs/>
          <w:sz w:val="22"/>
          <w:szCs w:val="22"/>
        </w:rPr>
        <w:t xml:space="preserve">y </w:t>
      </w:r>
      <w:r w:rsidR="00367483" w:rsidRPr="00995FA7">
        <w:rPr>
          <w:rFonts w:ascii="Palatino Linotype" w:eastAsia="Palatino Linotype" w:hAnsi="Palatino Linotype" w:cs="Palatino Linotype"/>
          <w:b/>
          <w:sz w:val="22"/>
          <w:szCs w:val="22"/>
        </w:rPr>
        <w:t>Quinto</w:t>
      </w:r>
      <w:r w:rsidR="00367483" w:rsidRPr="00995FA7">
        <w:rPr>
          <w:rFonts w:ascii="Palatino Linotype" w:eastAsia="Palatino Linotype" w:hAnsi="Palatino Linotype" w:cs="Palatino Linotype"/>
          <w:bCs/>
          <w:sz w:val="22"/>
          <w:szCs w:val="22"/>
        </w:rPr>
        <w:t xml:space="preserve"> </w:t>
      </w:r>
      <w:r w:rsidRPr="00995FA7">
        <w:rPr>
          <w:rFonts w:ascii="Palatino Linotype" w:eastAsia="Palatino Linotype" w:hAnsi="Palatino Linotype" w:cs="Palatino Linotype"/>
          <w:sz w:val="22"/>
          <w:szCs w:val="22"/>
        </w:rPr>
        <w:t xml:space="preserve">de esta resolución, haga entrega, vía </w:t>
      </w:r>
      <w:r w:rsidRPr="00995FA7">
        <w:rPr>
          <w:rFonts w:ascii="Palatino Linotype" w:eastAsia="Palatino Linotype" w:hAnsi="Palatino Linotype" w:cs="Palatino Linotype"/>
          <w:bCs/>
          <w:sz w:val="22"/>
          <w:szCs w:val="22"/>
        </w:rPr>
        <w:t>SAIMEX</w:t>
      </w:r>
      <w:r w:rsidRPr="00995FA7">
        <w:rPr>
          <w:rFonts w:ascii="Palatino Linotype" w:eastAsia="Palatino Linotype" w:hAnsi="Palatino Linotype" w:cs="Palatino Linotype"/>
          <w:sz w:val="22"/>
          <w:szCs w:val="22"/>
        </w:rPr>
        <w:t xml:space="preserve">, previa búsqueda exhaustiva y razonable, </w:t>
      </w:r>
      <w:r w:rsidR="00367483" w:rsidRPr="00995FA7">
        <w:rPr>
          <w:rFonts w:ascii="Palatino Linotype" w:eastAsia="Palatino Linotype" w:hAnsi="Palatino Linotype" w:cs="Palatino Linotype"/>
          <w:sz w:val="22"/>
          <w:szCs w:val="22"/>
        </w:rPr>
        <w:t xml:space="preserve">en versión pública de ser necesario, </w:t>
      </w:r>
      <w:r w:rsidRPr="00995FA7">
        <w:rPr>
          <w:rFonts w:ascii="Palatino Linotype" w:eastAsia="Palatino Linotype" w:hAnsi="Palatino Linotype" w:cs="Palatino Linotype"/>
          <w:sz w:val="22"/>
          <w:szCs w:val="22"/>
        </w:rPr>
        <w:t>de lo siguiente:</w:t>
      </w:r>
    </w:p>
    <w:p w14:paraId="59001391" w14:textId="3937ED0F" w:rsidR="00367483" w:rsidRPr="00995FA7" w:rsidRDefault="00367483" w:rsidP="00367483">
      <w:pPr>
        <w:spacing w:before="240" w:after="240" w:line="360" w:lineRule="auto"/>
        <w:ind w:left="284"/>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1. El o los documentos que den cuenta del cumplimiento la atribución establecida en el artículo 112, fracción XIV de la Ley Orgánica Municipal</w:t>
      </w:r>
      <w:r w:rsidR="003D66CB" w:rsidRPr="00995FA7">
        <w:rPr>
          <w:rFonts w:ascii="Palatino Linotype" w:eastAsia="Palatino Linotype" w:hAnsi="Palatino Linotype" w:cs="Palatino Linotype"/>
          <w:sz w:val="22"/>
          <w:szCs w:val="22"/>
        </w:rPr>
        <w:t xml:space="preserve"> del Estado de México</w:t>
      </w:r>
      <w:r w:rsidRPr="00995FA7">
        <w:rPr>
          <w:rFonts w:ascii="Palatino Linotype" w:eastAsia="Palatino Linotype" w:hAnsi="Palatino Linotype" w:cs="Palatino Linotype"/>
          <w:sz w:val="22"/>
          <w:szCs w:val="22"/>
        </w:rPr>
        <w:t>,</w:t>
      </w:r>
      <w:r w:rsidR="003D66CB" w:rsidRPr="00995FA7">
        <w:rPr>
          <w:rFonts w:ascii="Palatino Linotype" w:eastAsia="Palatino Linotype" w:hAnsi="Palatino Linotype" w:cs="Palatino Linotype"/>
          <w:sz w:val="22"/>
          <w:szCs w:val="22"/>
        </w:rPr>
        <w:t xml:space="preserve"> por parte del Órgano Interno de Control, en el periodo comprendido</w:t>
      </w:r>
      <w:r w:rsidRPr="00995FA7">
        <w:rPr>
          <w:rFonts w:ascii="Palatino Linotype" w:eastAsia="Palatino Linotype" w:hAnsi="Palatino Linotype" w:cs="Palatino Linotype"/>
          <w:sz w:val="22"/>
          <w:szCs w:val="22"/>
        </w:rPr>
        <w:t xml:space="preserve"> del uno de enero de dos mil veinticinco al diecisiete de junio de dos mil veintiséis, al mayor grado de desagregación posible.</w:t>
      </w:r>
    </w:p>
    <w:p w14:paraId="5DE5EE9E" w14:textId="72FB784A" w:rsidR="00367483" w:rsidRPr="00995FA7" w:rsidRDefault="00367483" w:rsidP="00367483">
      <w:pPr>
        <w:spacing w:before="240" w:after="240"/>
        <w:ind w:left="284"/>
        <w:jc w:val="both"/>
        <w:rPr>
          <w:rFonts w:ascii="Palatino Linotype" w:eastAsia="Palatino Linotype" w:hAnsi="Palatino Linotype" w:cs="Palatino Linotype"/>
          <w:b/>
          <w:sz w:val="22"/>
          <w:szCs w:val="22"/>
        </w:rPr>
      </w:pPr>
      <w:r w:rsidRPr="00995FA7">
        <w:rPr>
          <w:rFonts w:ascii="Palatino Linotype" w:eastAsia="Palatino Linotype" w:hAnsi="Palatino Linotype" w:cs="Palatino Linotype"/>
          <w:i/>
          <w:iCs/>
          <w:sz w:val="20"/>
          <w:szCs w:val="20"/>
        </w:rPr>
        <w:t xml:space="preserve">Para la entrega de información en versión pública, se deberá emitir el Acuerdo del Comité de Transparencia de acuerdo con la Ley de Transparencia y Acceso a la Información Pública del Estado de México y Municipios, en el que funde y motive las razones sobre los datos que se supriman o eliminen en el soporte documental que se ordena, mismo que también hará de conocimiento de la parte </w:t>
      </w:r>
      <w:r w:rsidRPr="00995FA7">
        <w:rPr>
          <w:rFonts w:ascii="Palatino Linotype" w:eastAsia="Palatino Linotype" w:hAnsi="Palatino Linotype" w:cs="Palatino Linotype"/>
          <w:b/>
          <w:bCs/>
          <w:i/>
          <w:iCs/>
          <w:sz w:val="20"/>
          <w:szCs w:val="20"/>
        </w:rPr>
        <w:t>Recurrente</w:t>
      </w:r>
    </w:p>
    <w:p w14:paraId="06B199A1" w14:textId="6D1BC874" w:rsidR="004F7BF1" w:rsidRPr="00995FA7" w:rsidRDefault="004F7BF1" w:rsidP="004F7BF1">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b/>
          <w:sz w:val="22"/>
          <w:szCs w:val="22"/>
        </w:rPr>
        <w:t xml:space="preserve">Tercero. Notifíquese, </w:t>
      </w:r>
      <w:r w:rsidRPr="00995FA7">
        <w:rPr>
          <w:rFonts w:ascii="Palatino Linotype" w:eastAsia="Palatino Linotype" w:hAnsi="Palatino Linotype" w:cs="Palatino Linotype"/>
          <w:sz w:val="22"/>
          <w:szCs w:val="22"/>
        </w:rPr>
        <w:t xml:space="preserve">vía </w:t>
      </w:r>
      <w:r w:rsidRPr="00995FA7">
        <w:rPr>
          <w:rFonts w:ascii="Palatino Linotype" w:eastAsia="Palatino Linotype" w:hAnsi="Palatino Linotype" w:cs="Palatino Linotype"/>
          <w:b/>
          <w:sz w:val="22"/>
          <w:szCs w:val="22"/>
        </w:rPr>
        <w:t>SAIMEX</w:t>
      </w:r>
      <w:r w:rsidRPr="00995FA7">
        <w:rPr>
          <w:rFonts w:ascii="Palatino Linotype" w:eastAsia="Palatino Linotype" w:hAnsi="Palatino Linotype" w:cs="Palatino Linotype"/>
          <w:sz w:val="22"/>
          <w:szCs w:val="22"/>
        </w:rPr>
        <w:t xml:space="preserve">, al Titular de la Unidad de Transparencia del </w:t>
      </w:r>
      <w:r w:rsidRPr="00995FA7">
        <w:rPr>
          <w:rFonts w:ascii="Palatino Linotype" w:eastAsia="Palatino Linotype" w:hAnsi="Palatino Linotype" w:cs="Palatino Linotype"/>
          <w:b/>
          <w:sz w:val="22"/>
          <w:szCs w:val="22"/>
        </w:rPr>
        <w:t>Sujeto Obligado,</w:t>
      </w:r>
      <w:r w:rsidRPr="00995FA7">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65F6930" w14:textId="77777777" w:rsidR="004F7BF1" w:rsidRPr="00995FA7" w:rsidRDefault="004F7BF1" w:rsidP="004F7BF1">
      <w:pPr>
        <w:spacing w:before="240" w:after="240" w:line="360" w:lineRule="auto"/>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 xml:space="preserve">De conformidad con el artículo 198 de la Ley de Transparencia y Acceso a la Información Pública del Estado de México y Municipios, de considerarlo procedente, el </w:t>
      </w:r>
      <w:r w:rsidRPr="00995FA7">
        <w:rPr>
          <w:rFonts w:ascii="Palatino Linotype" w:eastAsia="Palatino Linotype" w:hAnsi="Palatino Linotype" w:cs="Palatino Linotype"/>
          <w:b/>
          <w:sz w:val="22"/>
          <w:szCs w:val="22"/>
        </w:rPr>
        <w:t>Sujeto Obligado</w:t>
      </w:r>
      <w:r w:rsidRPr="00995FA7">
        <w:rPr>
          <w:rFonts w:ascii="Palatino Linotype" w:eastAsia="Palatino Linotype" w:hAnsi="Palatino Linotype" w:cs="Palatino Linotype"/>
          <w:sz w:val="22"/>
          <w:szCs w:val="22"/>
        </w:rPr>
        <w:t xml:space="preserve"> de manera fundada y motivada, podrá solicitar una ampliación de plazo para el cumplimiento de la presente resolución.</w:t>
      </w:r>
    </w:p>
    <w:p w14:paraId="75533D03" w14:textId="77777777" w:rsidR="004F7BF1" w:rsidRPr="00995FA7" w:rsidRDefault="004F7BF1" w:rsidP="004F7BF1">
      <w:pPr>
        <w:spacing w:before="240" w:after="240" w:line="360" w:lineRule="auto"/>
        <w:jc w:val="both"/>
        <w:rPr>
          <w:rFonts w:ascii="Palatino Linotype" w:eastAsia="Palatino Linotype" w:hAnsi="Palatino Linotype" w:cs="Palatino Linotype"/>
          <w:sz w:val="22"/>
          <w:szCs w:val="22"/>
        </w:rPr>
      </w:pPr>
      <w:bookmarkStart w:id="9" w:name="_heading=h.17dp8vu" w:colFirst="0" w:colLast="0"/>
      <w:bookmarkEnd w:id="9"/>
      <w:r w:rsidRPr="00995FA7">
        <w:rPr>
          <w:rFonts w:ascii="Palatino Linotype" w:eastAsia="Palatino Linotype" w:hAnsi="Palatino Linotype" w:cs="Palatino Linotype"/>
          <w:b/>
          <w:sz w:val="22"/>
          <w:szCs w:val="22"/>
        </w:rPr>
        <w:t xml:space="preserve">Cuarto.  Notifíquese, </w:t>
      </w:r>
      <w:r w:rsidRPr="00995FA7">
        <w:rPr>
          <w:rFonts w:ascii="Palatino Linotype" w:eastAsia="Palatino Linotype" w:hAnsi="Palatino Linotype" w:cs="Palatino Linotype"/>
          <w:sz w:val="22"/>
          <w:szCs w:val="22"/>
        </w:rPr>
        <w:t xml:space="preserve">vía </w:t>
      </w:r>
      <w:r w:rsidRPr="00995FA7">
        <w:rPr>
          <w:rFonts w:ascii="Palatino Linotype" w:eastAsia="Palatino Linotype" w:hAnsi="Palatino Linotype" w:cs="Palatino Linotype"/>
          <w:b/>
          <w:sz w:val="22"/>
          <w:szCs w:val="22"/>
        </w:rPr>
        <w:t>SAIMEX</w:t>
      </w:r>
      <w:r w:rsidRPr="00995FA7">
        <w:rPr>
          <w:rFonts w:ascii="Palatino Linotype" w:eastAsia="Palatino Linotype" w:hAnsi="Palatino Linotype" w:cs="Palatino Linotype"/>
          <w:sz w:val="22"/>
          <w:szCs w:val="22"/>
        </w:rPr>
        <w:t xml:space="preserve">, a la parte </w:t>
      </w:r>
      <w:r w:rsidRPr="00995FA7">
        <w:rPr>
          <w:rFonts w:ascii="Palatino Linotype" w:eastAsia="Palatino Linotype" w:hAnsi="Palatino Linotype" w:cs="Palatino Linotype"/>
          <w:b/>
          <w:sz w:val="22"/>
          <w:szCs w:val="22"/>
        </w:rPr>
        <w:t>Recurrente</w:t>
      </w:r>
      <w:r w:rsidRPr="00995FA7">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7C146F11" w14:textId="235D9ABD" w:rsidR="00694AA0" w:rsidRPr="0017533C" w:rsidRDefault="005B22BA">
      <w:pPr>
        <w:tabs>
          <w:tab w:val="left" w:pos="8647"/>
        </w:tabs>
        <w:spacing w:before="240" w:after="240" w:line="360" w:lineRule="auto"/>
        <w:ind w:right="51"/>
        <w:jc w:val="both"/>
        <w:rPr>
          <w:rFonts w:ascii="Palatino Linotype" w:eastAsia="Palatino Linotype" w:hAnsi="Palatino Linotype" w:cs="Palatino Linotype"/>
          <w:sz w:val="22"/>
          <w:szCs w:val="22"/>
        </w:rPr>
      </w:pPr>
      <w:r w:rsidRPr="00995FA7">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w:t>
      </w:r>
      <w:r w:rsidR="00FC4683" w:rsidRPr="00995FA7">
        <w:rPr>
          <w:rFonts w:ascii="Palatino Linotype" w:eastAsia="Palatino Linotype" w:hAnsi="Palatino Linotype" w:cs="Palatino Linotype"/>
          <w:sz w:val="22"/>
          <w:szCs w:val="22"/>
        </w:rPr>
        <w:t xml:space="preserve">EÑA, EN LA </w:t>
      </w:r>
      <w:r w:rsidR="00D163EF" w:rsidRPr="00995FA7">
        <w:rPr>
          <w:rFonts w:ascii="Palatino Linotype" w:eastAsia="Palatino Linotype" w:hAnsi="Palatino Linotype" w:cs="Palatino Linotype"/>
          <w:sz w:val="22"/>
          <w:szCs w:val="22"/>
        </w:rPr>
        <w:t>TRIGÉSIMA</w:t>
      </w:r>
      <w:r w:rsidR="00367483" w:rsidRPr="00995FA7">
        <w:rPr>
          <w:rFonts w:ascii="Palatino Linotype" w:eastAsia="Palatino Linotype" w:hAnsi="Palatino Linotype" w:cs="Palatino Linotype"/>
          <w:sz w:val="22"/>
          <w:szCs w:val="22"/>
        </w:rPr>
        <w:t xml:space="preserve"> CUARTA</w:t>
      </w:r>
      <w:r w:rsidR="00387693" w:rsidRPr="00995FA7">
        <w:rPr>
          <w:rFonts w:ascii="Palatino Linotype" w:eastAsia="Palatino Linotype" w:hAnsi="Palatino Linotype" w:cs="Palatino Linotype"/>
          <w:sz w:val="22"/>
          <w:szCs w:val="22"/>
        </w:rPr>
        <w:t xml:space="preserve"> </w:t>
      </w:r>
      <w:r w:rsidRPr="00995FA7">
        <w:rPr>
          <w:rFonts w:ascii="Palatino Linotype" w:eastAsia="Palatino Linotype" w:hAnsi="Palatino Linotype" w:cs="Palatino Linotype"/>
          <w:sz w:val="22"/>
          <w:szCs w:val="22"/>
        </w:rPr>
        <w:t>SESIÓN ORDINARIA CELEBRADA EL</w:t>
      </w:r>
      <w:r w:rsidR="00E66DA2" w:rsidRPr="00995FA7">
        <w:rPr>
          <w:rFonts w:ascii="Palatino Linotype" w:eastAsia="Palatino Linotype" w:hAnsi="Palatino Linotype" w:cs="Palatino Linotype"/>
          <w:sz w:val="22"/>
          <w:szCs w:val="22"/>
        </w:rPr>
        <w:t xml:space="preserve"> </w:t>
      </w:r>
      <w:r w:rsidR="00367483" w:rsidRPr="00995FA7">
        <w:rPr>
          <w:rFonts w:ascii="Palatino Linotype" w:eastAsia="Palatino Linotype" w:hAnsi="Palatino Linotype" w:cs="Palatino Linotype"/>
          <w:sz w:val="22"/>
          <w:szCs w:val="22"/>
        </w:rPr>
        <w:t>VEINTI</w:t>
      </w:r>
      <w:r w:rsidR="0017533C" w:rsidRPr="00995FA7">
        <w:rPr>
          <w:rFonts w:ascii="Palatino Linotype" w:eastAsia="Palatino Linotype" w:hAnsi="Palatino Linotype" w:cs="Palatino Linotype"/>
          <w:sz w:val="22"/>
          <w:szCs w:val="22"/>
        </w:rPr>
        <w:t>CUATRO</w:t>
      </w:r>
      <w:r w:rsidR="00D163EF" w:rsidRPr="00995FA7">
        <w:rPr>
          <w:rFonts w:ascii="Palatino Linotype" w:eastAsia="Palatino Linotype" w:hAnsi="Palatino Linotype" w:cs="Palatino Linotype"/>
          <w:sz w:val="22"/>
          <w:szCs w:val="22"/>
        </w:rPr>
        <w:t xml:space="preserve"> DE SEPTIEMBRE</w:t>
      </w:r>
      <w:r w:rsidR="00387693" w:rsidRPr="00995FA7">
        <w:rPr>
          <w:rFonts w:ascii="Palatino Linotype" w:eastAsia="Palatino Linotype" w:hAnsi="Palatino Linotype" w:cs="Palatino Linotype"/>
          <w:sz w:val="22"/>
          <w:szCs w:val="22"/>
        </w:rPr>
        <w:t xml:space="preserve"> </w:t>
      </w:r>
      <w:r w:rsidRPr="00995FA7">
        <w:rPr>
          <w:rFonts w:ascii="Palatino Linotype" w:eastAsia="Palatino Linotype" w:hAnsi="Palatino Linotype" w:cs="Palatino Linotype"/>
          <w:sz w:val="22"/>
          <w:szCs w:val="22"/>
        </w:rPr>
        <w:t>DE DOS MIL VEINTI</w:t>
      </w:r>
      <w:r w:rsidR="00382740" w:rsidRPr="00995FA7">
        <w:rPr>
          <w:rFonts w:ascii="Palatino Linotype" w:eastAsia="Palatino Linotype" w:hAnsi="Palatino Linotype" w:cs="Palatino Linotype"/>
          <w:sz w:val="22"/>
          <w:szCs w:val="22"/>
        </w:rPr>
        <w:t>SÉIS</w:t>
      </w:r>
      <w:r w:rsidRPr="00995FA7">
        <w:rPr>
          <w:rFonts w:ascii="Palatino Linotype" w:eastAsia="Palatino Linotype" w:hAnsi="Palatino Linotype" w:cs="Palatino Linotype"/>
          <w:sz w:val="22"/>
          <w:szCs w:val="22"/>
        </w:rPr>
        <w:t>, ANTE EL SECRETARIO TÉCNICO DEL PLENO ALEXIS TAPIA RAMÍREZ.</w:t>
      </w:r>
    </w:p>
    <w:p w14:paraId="36F5D5CA"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10176E8B" w14:textId="77777777" w:rsidR="00694AA0" w:rsidRPr="0017533C" w:rsidRDefault="00694AA0">
      <w:pPr>
        <w:spacing w:line="360" w:lineRule="auto"/>
        <w:jc w:val="center"/>
        <w:rPr>
          <w:rFonts w:ascii="Palatino Linotype" w:eastAsia="Palatino Linotype" w:hAnsi="Palatino Linotype" w:cs="Palatino Linotype"/>
          <w:sz w:val="22"/>
          <w:szCs w:val="22"/>
        </w:rPr>
      </w:pPr>
    </w:p>
    <w:p w14:paraId="6DF87AE6"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708FB06E"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537054EF"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17774119"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5509219D"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5A5B7374"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016906CE"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3536C243"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10C74B60"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48A36858"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3FE6DE95"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16F5DDC9"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714A31D2"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46664245"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5C092A01"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669D5981"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3D7F8E58"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61848FB2" w14:textId="77777777" w:rsidR="00694AA0" w:rsidRPr="0017533C" w:rsidRDefault="00694AA0">
      <w:pPr>
        <w:spacing w:line="360" w:lineRule="auto"/>
        <w:jc w:val="both"/>
        <w:rPr>
          <w:rFonts w:ascii="Palatino Linotype" w:eastAsia="Palatino Linotype" w:hAnsi="Palatino Linotype" w:cs="Palatino Linotype"/>
          <w:sz w:val="22"/>
          <w:szCs w:val="22"/>
        </w:rPr>
      </w:pPr>
    </w:p>
    <w:p w14:paraId="5684A0AB" w14:textId="51443F49" w:rsidR="006F3A18" w:rsidRPr="0017533C" w:rsidRDefault="006F3A18">
      <w:pPr>
        <w:spacing w:line="360" w:lineRule="auto"/>
        <w:jc w:val="both"/>
        <w:rPr>
          <w:rFonts w:ascii="Palatino Linotype" w:eastAsia="Palatino Linotype" w:hAnsi="Palatino Linotype" w:cs="Palatino Linotype"/>
          <w:sz w:val="22"/>
          <w:szCs w:val="22"/>
        </w:rPr>
      </w:pPr>
    </w:p>
    <w:p w14:paraId="5B98A2B3" w14:textId="77777777" w:rsidR="00C1140A" w:rsidRPr="0017533C" w:rsidRDefault="00C1140A">
      <w:pPr>
        <w:spacing w:line="360" w:lineRule="auto"/>
        <w:jc w:val="both"/>
        <w:rPr>
          <w:rFonts w:ascii="Palatino Linotype" w:eastAsia="Palatino Linotype" w:hAnsi="Palatino Linotype" w:cs="Palatino Linotype"/>
          <w:sz w:val="22"/>
          <w:szCs w:val="22"/>
        </w:rPr>
      </w:pPr>
    </w:p>
    <w:p w14:paraId="700A6F79" w14:textId="77777777" w:rsidR="00C8211D" w:rsidRPr="0017533C" w:rsidRDefault="00C8211D">
      <w:pPr>
        <w:spacing w:line="360" w:lineRule="auto"/>
        <w:jc w:val="both"/>
        <w:rPr>
          <w:rFonts w:ascii="Palatino Linotype" w:eastAsia="Palatino Linotype" w:hAnsi="Palatino Linotype" w:cs="Palatino Linotype"/>
          <w:sz w:val="22"/>
          <w:szCs w:val="22"/>
        </w:rPr>
      </w:pPr>
    </w:p>
    <w:sectPr w:rsidR="00C8211D" w:rsidRPr="0017533C">
      <w:headerReference w:type="default" r:id="rId10"/>
      <w:footerReference w:type="default" r:id="rId11"/>
      <w:headerReference w:type="first" r:id="rId12"/>
      <w:footerReference w:type="first" r:id="rId13"/>
      <w:pgSz w:w="12240" w:h="15840"/>
      <w:pgMar w:top="1985" w:right="1701"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788811" w14:textId="77777777" w:rsidR="0006614C" w:rsidRDefault="0006614C">
      <w:r>
        <w:separator/>
      </w:r>
    </w:p>
  </w:endnote>
  <w:endnote w:type="continuationSeparator" w:id="0">
    <w:p w14:paraId="72476776" w14:textId="77777777" w:rsidR="0006614C" w:rsidRDefault="00066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DFD7A" w14:textId="42FFF5EF" w:rsidR="00AA7B67" w:rsidRDefault="00AA7B67">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D64F72">
      <w:rPr>
        <w:rFonts w:ascii="Palatino Linotype" w:eastAsia="Palatino Linotype" w:hAnsi="Palatino Linotype" w:cs="Palatino Linotype"/>
        <w:b/>
        <w:noProof/>
        <w:color w:val="000000"/>
        <w:sz w:val="20"/>
        <w:szCs w:val="20"/>
      </w:rPr>
      <w:t>5</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D64F72">
      <w:rPr>
        <w:rFonts w:ascii="Palatino Linotype" w:eastAsia="Palatino Linotype" w:hAnsi="Palatino Linotype" w:cs="Palatino Linotype"/>
        <w:b/>
        <w:noProof/>
        <w:color w:val="000000"/>
        <w:sz w:val="20"/>
        <w:szCs w:val="20"/>
      </w:rPr>
      <w:t>27</w:t>
    </w:r>
    <w:r>
      <w:rPr>
        <w:rFonts w:ascii="Palatino Linotype" w:eastAsia="Palatino Linotype" w:hAnsi="Palatino Linotype" w:cs="Palatino Linotype"/>
        <w:b/>
        <w:color w:val="000000"/>
        <w:sz w:val="20"/>
        <w:szCs w:val="20"/>
      </w:rPr>
      <w:fldChar w:fldCharType="end"/>
    </w:r>
  </w:p>
  <w:p w14:paraId="01320A57" w14:textId="77777777" w:rsidR="00AA7B67" w:rsidRDefault="00AA7B67">
    <w:pPr>
      <w:pBdr>
        <w:top w:val="nil"/>
        <w:left w:val="nil"/>
        <w:bottom w:val="nil"/>
        <w:right w:val="nil"/>
        <w:between w:val="nil"/>
      </w:pBdr>
      <w:tabs>
        <w:tab w:val="center" w:pos="4252"/>
        <w:tab w:val="right" w:pos="8504"/>
      </w:tabs>
      <w:ind w:firstLine="708"/>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5D5DD" w14:textId="27DCFAD3" w:rsidR="00AA7B67" w:rsidRDefault="00AA7B67">
    <w:pPr>
      <w:pBdr>
        <w:top w:val="nil"/>
        <w:left w:val="nil"/>
        <w:bottom w:val="nil"/>
        <w:right w:val="nil"/>
        <w:between w:val="nil"/>
      </w:pBdr>
      <w:tabs>
        <w:tab w:val="center" w:pos="4252"/>
        <w:tab w:val="right" w:pos="8504"/>
      </w:tabs>
      <w:jc w:val="right"/>
      <w:rPr>
        <w:rFonts w:ascii="Palatino Linotype" w:eastAsia="Palatino Linotype" w:hAnsi="Palatino Linotype" w:cs="Palatino Linotype"/>
        <w:color w:val="000000"/>
        <w:sz w:val="20"/>
        <w:szCs w:val="20"/>
      </w:rPr>
    </w:pPr>
    <w:r>
      <w:rPr>
        <w:rFonts w:ascii="Palatino Linotype" w:eastAsia="Palatino Linotype" w:hAnsi="Palatino Linotype" w:cs="Palatino Linotype"/>
        <w:b/>
        <w:color w:val="000000"/>
        <w:sz w:val="20"/>
        <w:szCs w:val="20"/>
      </w:rPr>
      <w:t xml:space="preserve">Página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PAGE</w:instrText>
    </w:r>
    <w:r>
      <w:rPr>
        <w:rFonts w:ascii="Palatino Linotype" w:eastAsia="Palatino Linotype" w:hAnsi="Palatino Linotype" w:cs="Palatino Linotype"/>
        <w:b/>
        <w:color w:val="000000"/>
        <w:sz w:val="20"/>
        <w:szCs w:val="20"/>
      </w:rPr>
      <w:fldChar w:fldCharType="separate"/>
    </w:r>
    <w:r w:rsidR="00D64F72">
      <w:rPr>
        <w:rFonts w:ascii="Palatino Linotype" w:eastAsia="Palatino Linotype" w:hAnsi="Palatino Linotype" w:cs="Palatino Linotype"/>
        <w:b/>
        <w:noProof/>
        <w:color w:val="000000"/>
        <w:sz w:val="20"/>
        <w:szCs w:val="20"/>
      </w:rPr>
      <w:t>1</w:t>
    </w:r>
    <w:r>
      <w:rPr>
        <w:rFonts w:ascii="Palatino Linotype" w:eastAsia="Palatino Linotype" w:hAnsi="Palatino Linotype" w:cs="Palatino Linotype"/>
        <w:b/>
        <w:color w:val="000000"/>
        <w:sz w:val="20"/>
        <w:szCs w:val="20"/>
      </w:rPr>
      <w:fldChar w:fldCharType="end"/>
    </w:r>
    <w:r>
      <w:rPr>
        <w:rFonts w:ascii="Palatino Linotype" w:eastAsia="Palatino Linotype" w:hAnsi="Palatino Linotype" w:cs="Palatino Linotype"/>
        <w:color w:val="000000"/>
        <w:sz w:val="20"/>
        <w:szCs w:val="20"/>
      </w:rPr>
      <w:t xml:space="preserve"> de </w:t>
    </w:r>
    <w:r>
      <w:rPr>
        <w:rFonts w:ascii="Palatino Linotype" w:eastAsia="Palatino Linotype" w:hAnsi="Palatino Linotype" w:cs="Palatino Linotype"/>
        <w:b/>
        <w:color w:val="000000"/>
        <w:sz w:val="20"/>
        <w:szCs w:val="20"/>
      </w:rPr>
      <w:fldChar w:fldCharType="begin"/>
    </w:r>
    <w:r>
      <w:rPr>
        <w:rFonts w:ascii="Palatino Linotype" w:eastAsia="Palatino Linotype" w:hAnsi="Palatino Linotype" w:cs="Palatino Linotype"/>
        <w:b/>
        <w:color w:val="000000"/>
        <w:sz w:val="20"/>
        <w:szCs w:val="20"/>
      </w:rPr>
      <w:instrText>NUMPAGES</w:instrText>
    </w:r>
    <w:r>
      <w:rPr>
        <w:rFonts w:ascii="Palatino Linotype" w:eastAsia="Palatino Linotype" w:hAnsi="Palatino Linotype" w:cs="Palatino Linotype"/>
        <w:b/>
        <w:color w:val="000000"/>
        <w:sz w:val="20"/>
        <w:szCs w:val="20"/>
      </w:rPr>
      <w:fldChar w:fldCharType="separate"/>
    </w:r>
    <w:r w:rsidR="00D64F72">
      <w:rPr>
        <w:rFonts w:ascii="Palatino Linotype" w:eastAsia="Palatino Linotype" w:hAnsi="Palatino Linotype" w:cs="Palatino Linotype"/>
        <w:b/>
        <w:noProof/>
        <w:color w:val="000000"/>
        <w:sz w:val="20"/>
        <w:szCs w:val="20"/>
      </w:rPr>
      <w:t>27</w:t>
    </w:r>
    <w:r>
      <w:rPr>
        <w:rFonts w:ascii="Palatino Linotype" w:eastAsia="Palatino Linotype" w:hAnsi="Palatino Linotype" w:cs="Palatino Linotype"/>
        <w:b/>
        <w:color w:val="000000"/>
        <w:sz w:val="20"/>
        <w:szCs w:val="20"/>
      </w:rPr>
      <w:fldChar w:fldCharType="end"/>
    </w:r>
  </w:p>
  <w:p w14:paraId="71AA7E10" w14:textId="77777777" w:rsidR="00AA7B67" w:rsidRDefault="00AA7B67">
    <w:pPr>
      <w:pBdr>
        <w:top w:val="nil"/>
        <w:left w:val="nil"/>
        <w:bottom w:val="nil"/>
        <w:right w:val="nil"/>
        <w:between w:val="nil"/>
      </w:pBdr>
      <w:tabs>
        <w:tab w:val="center" w:pos="4252"/>
        <w:tab w:val="right" w:pos="8504"/>
      </w:tabs>
      <w:rPr>
        <w:rFonts w:ascii="Cambria" w:eastAsia="Cambria" w:hAnsi="Cambria" w:cs="Cambria"/>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E67DA" w14:textId="77777777" w:rsidR="0006614C" w:rsidRDefault="0006614C">
      <w:r>
        <w:separator/>
      </w:r>
    </w:p>
  </w:footnote>
  <w:footnote w:type="continuationSeparator" w:id="0">
    <w:p w14:paraId="76F1973F" w14:textId="77777777" w:rsidR="0006614C" w:rsidRDefault="000661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CA67F7" w14:textId="77777777" w:rsidR="00AA7B67" w:rsidRDefault="00AA7B67">
    <w:pPr>
      <w:rPr>
        <w:rFonts w:ascii="Cambria" w:eastAsia="Cambria" w:hAnsi="Cambria" w:cs="Cambria"/>
        <w:color w:val="000000"/>
      </w:rPr>
    </w:pPr>
    <w:r>
      <w:rPr>
        <w:noProof/>
      </w:rPr>
      <w:drawing>
        <wp:anchor distT="0" distB="0" distL="0" distR="0" simplePos="0" relativeHeight="251658240" behindDoc="1" locked="0" layoutInCell="1" hidden="0" allowOverlap="1" wp14:anchorId="737B4D0F" wp14:editId="5C481CA0">
          <wp:simplePos x="0" y="0"/>
          <wp:positionH relativeFrom="column">
            <wp:posOffset>-1080090</wp:posOffset>
          </wp:positionH>
          <wp:positionV relativeFrom="paragraph">
            <wp:posOffset>-488261</wp:posOffset>
          </wp:positionV>
          <wp:extent cx="7809865" cy="10165715"/>
          <wp:effectExtent l="0" t="0" r="0" b="0"/>
          <wp:wrapNone/>
          <wp:docPr id="195208253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2"/>
      <w:tblW w:w="5953" w:type="dxa"/>
      <w:tblInd w:w="3261" w:type="dxa"/>
      <w:tblLayout w:type="fixed"/>
      <w:tblLook w:val="0400" w:firstRow="0" w:lastRow="0" w:firstColumn="0" w:lastColumn="0" w:noHBand="0" w:noVBand="1"/>
    </w:tblPr>
    <w:tblGrid>
      <w:gridCol w:w="2489"/>
      <w:gridCol w:w="3464"/>
    </w:tblGrid>
    <w:tr w:rsidR="00AA7B67" w14:paraId="0791587B" w14:textId="77777777">
      <w:tc>
        <w:tcPr>
          <w:tcW w:w="2489" w:type="dxa"/>
        </w:tcPr>
        <w:p w14:paraId="5B034C04" w14:textId="77777777" w:rsidR="00AA7B67" w:rsidRDefault="00AA7B67">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288814C3" w14:textId="4ED6B264" w:rsidR="00AA7B67" w:rsidRDefault="00AA7B67" w:rsidP="008B29B1">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w:t>
          </w:r>
          <w:r w:rsidR="00D163EF">
            <w:rPr>
              <w:rFonts w:ascii="Palatino Linotype" w:eastAsia="Palatino Linotype" w:hAnsi="Palatino Linotype" w:cs="Palatino Linotype"/>
              <w:b/>
              <w:sz w:val="22"/>
              <w:szCs w:val="22"/>
            </w:rPr>
            <w:t>75</w:t>
          </w:r>
          <w:r w:rsidR="00FD6C42">
            <w:rPr>
              <w:rFonts w:ascii="Palatino Linotype" w:eastAsia="Palatino Linotype" w:hAnsi="Palatino Linotype" w:cs="Palatino Linotype"/>
              <w:b/>
              <w:sz w:val="22"/>
              <w:szCs w:val="22"/>
            </w:rPr>
            <w:t>69</w:t>
          </w:r>
          <w:r>
            <w:rPr>
              <w:rFonts w:ascii="Palatino Linotype" w:eastAsia="Palatino Linotype" w:hAnsi="Palatino Linotype" w:cs="Palatino Linotype"/>
              <w:b/>
              <w:sz w:val="22"/>
              <w:szCs w:val="22"/>
            </w:rPr>
            <w:t>/INFOEM/IP/RR/2026</w:t>
          </w:r>
        </w:p>
      </w:tc>
    </w:tr>
    <w:tr w:rsidR="00AA7B67" w14:paraId="704D61F0" w14:textId="77777777">
      <w:trPr>
        <w:trHeight w:val="228"/>
      </w:trPr>
      <w:tc>
        <w:tcPr>
          <w:tcW w:w="2489" w:type="dxa"/>
          <w:vAlign w:val="center"/>
        </w:tcPr>
        <w:p w14:paraId="6DFC1FC7" w14:textId="77777777" w:rsidR="00AA7B67" w:rsidRDefault="00AA7B67">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7C5BFEDD" w14:textId="0A409C0D" w:rsidR="00AA7B67" w:rsidRDefault="00FD6C42">
          <w:pPr>
            <w:ind w:left="-45" w:right="176"/>
            <w:jc w:val="both"/>
            <w:rPr>
              <w:rFonts w:ascii="Palatino Linotype" w:eastAsia="Palatino Linotype" w:hAnsi="Palatino Linotype" w:cs="Palatino Linotype"/>
              <w:b/>
              <w:sz w:val="22"/>
              <w:szCs w:val="22"/>
            </w:rPr>
          </w:pPr>
          <w:r w:rsidRPr="00FD6C42">
            <w:rPr>
              <w:rFonts w:ascii="Palatino Linotype" w:eastAsia="Palatino Linotype" w:hAnsi="Palatino Linotype" w:cs="Palatino Linotype"/>
              <w:b/>
              <w:sz w:val="22"/>
              <w:szCs w:val="22"/>
            </w:rPr>
            <w:t>Ayuntamiento de Juchitepec</w:t>
          </w:r>
        </w:p>
      </w:tc>
    </w:tr>
    <w:tr w:rsidR="00AA7B67" w14:paraId="2B5F7CE9" w14:textId="77777777">
      <w:tc>
        <w:tcPr>
          <w:tcW w:w="2489" w:type="dxa"/>
          <w:vAlign w:val="center"/>
        </w:tcPr>
        <w:p w14:paraId="63B3258D" w14:textId="77777777" w:rsidR="00AA7B67" w:rsidRDefault="00AA7B67">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6AB48BAE" w14:textId="77777777" w:rsidR="00AA7B67" w:rsidRDefault="00AA7B67">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0947C34D" w14:textId="77777777" w:rsidR="00AA7B67" w:rsidRDefault="00AA7B67">
    <w:pPr>
      <w:rPr>
        <w:rFonts w:ascii="Cambria" w:eastAsia="Cambria" w:hAnsi="Cambria" w:cs="Cambria"/>
        <w:color w:val="000000"/>
      </w:rPr>
    </w:pPr>
    <w:r>
      <w:rPr>
        <w:rFonts w:ascii="Cambria" w:eastAsia="Cambria" w:hAnsi="Cambria" w:cs="Cambria"/>
        <w:color w:val="000000"/>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D0846" w14:textId="77777777" w:rsidR="00AA7B67" w:rsidRDefault="00AA7B67">
    <w:pPr>
      <w:widowControl w:val="0"/>
      <w:pBdr>
        <w:top w:val="nil"/>
        <w:left w:val="nil"/>
        <w:bottom w:val="nil"/>
        <w:right w:val="nil"/>
        <w:between w:val="nil"/>
      </w:pBdr>
      <w:spacing w:line="276" w:lineRule="auto"/>
      <w:rPr>
        <w:rFonts w:ascii="Palatino Linotype" w:eastAsia="Palatino Linotype" w:hAnsi="Palatino Linotype" w:cs="Palatino Linotype"/>
        <w:color w:val="000000"/>
        <w:sz w:val="16"/>
        <w:szCs w:val="16"/>
      </w:rPr>
    </w:pPr>
    <w:r>
      <w:rPr>
        <w:noProof/>
      </w:rPr>
      <w:drawing>
        <wp:anchor distT="0" distB="0" distL="0" distR="0" simplePos="0" relativeHeight="251659264" behindDoc="1" locked="0" layoutInCell="1" hidden="0" allowOverlap="1" wp14:anchorId="557F20C8" wp14:editId="7DFE190E">
          <wp:simplePos x="0" y="0"/>
          <wp:positionH relativeFrom="page">
            <wp:align>left</wp:align>
          </wp:positionH>
          <wp:positionV relativeFrom="paragraph">
            <wp:posOffset>-369891</wp:posOffset>
          </wp:positionV>
          <wp:extent cx="7809865" cy="10165715"/>
          <wp:effectExtent l="0" t="0" r="635" b="6985"/>
          <wp:wrapNone/>
          <wp:docPr id="19520825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1"/>
      <w:tblW w:w="5953" w:type="dxa"/>
      <w:tblInd w:w="3261" w:type="dxa"/>
      <w:tblLayout w:type="fixed"/>
      <w:tblLook w:val="0400" w:firstRow="0" w:lastRow="0" w:firstColumn="0" w:lastColumn="0" w:noHBand="0" w:noVBand="1"/>
    </w:tblPr>
    <w:tblGrid>
      <w:gridCol w:w="2489"/>
      <w:gridCol w:w="3464"/>
    </w:tblGrid>
    <w:tr w:rsidR="00AA7B67" w14:paraId="71B7394D" w14:textId="77777777">
      <w:tc>
        <w:tcPr>
          <w:tcW w:w="2489" w:type="dxa"/>
        </w:tcPr>
        <w:p w14:paraId="6F6314B5" w14:textId="77777777" w:rsidR="00AA7B67" w:rsidRDefault="00AA7B67">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Recurso de Revisión:</w:t>
          </w:r>
        </w:p>
      </w:tc>
      <w:tc>
        <w:tcPr>
          <w:tcW w:w="3464" w:type="dxa"/>
          <w:vAlign w:val="center"/>
        </w:tcPr>
        <w:p w14:paraId="471E5532" w14:textId="48D94E44" w:rsidR="00AA7B67" w:rsidRDefault="00AA7B67" w:rsidP="00387693">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0</w:t>
          </w:r>
          <w:r w:rsidR="00D163EF">
            <w:rPr>
              <w:rFonts w:ascii="Palatino Linotype" w:eastAsia="Palatino Linotype" w:hAnsi="Palatino Linotype" w:cs="Palatino Linotype"/>
              <w:b/>
              <w:sz w:val="22"/>
              <w:szCs w:val="22"/>
            </w:rPr>
            <w:t>75</w:t>
          </w:r>
          <w:r w:rsidR="00FD6C42">
            <w:rPr>
              <w:rFonts w:ascii="Palatino Linotype" w:eastAsia="Palatino Linotype" w:hAnsi="Palatino Linotype" w:cs="Palatino Linotype"/>
              <w:b/>
              <w:sz w:val="22"/>
              <w:szCs w:val="22"/>
            </w:rPr>
            <w:t>69</w:t>
          </w:r>
          <w:r>
            <w:rPr>
              <w:rFonts w:ascii="Palatino Linotype" w:eastAsia="Palatino Linotype" w:hAnsi="Palatino Linotype" w:cs="Palatino Linotype"/>
              <w:b/>
              <w:sz w:val="22"/>
              <w:szCs w:val="22"/>
            </w:rPr>
            <w:t>/INFOEM/IP/RR/2026</w:t>
          </w:r>
        </w:p>
      </w:tc>
    </w:tr>
    <w:tr w:rsidR="00AA7B67" w14:paraId="4854212C" w14:textId="77777777">
      <w:tc>
        <w:tcPr>
          <w:tcW w:w="2489" w:type="dxa"/>
        </w:tcPr>
        <w:p w14:paraId="1D1E2C85" w14:textId="77777777" w:rsidR="00AA7B67" w:rsidRDefault="00AA7B67">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Recurrente</w:t>
          </w:r>
        </w:p>
      </w:tc>
      <w:tc>
        <w:tcPr>
          <w:tcW w:w="3464" w:type="dxa"/>
          <w:vAlign w:val="center"/>
        </w:tcPr>
        <w:p w14:paraId="299EB360" w14:textId="27E38B9F" w:rsidR="00AA7B67" w:rsidRPr="00E66354" w:rsidRDefault="00D64F72" w:rsidP="00D64F72">
          <w:pPr>
            <w:ind w:right="175"/>
            <w:jc w:val="both"/>
            <w:rPr>
              <w:rFonts w:ascii="Palatino Linotype" w:eastAsia="Palatino Linotype" w:hAnsi="Palatino Linotype" w:cs="Palatino Linotype"/>
              <w:b/>
              <w:sz w:val="22"/>
              <w:szCs w:val="22"/>
              <w:highlight w:val="yellow"/>
            </w:rPr>
          </w:pPr>
          <w:r w:rsidRPr="00D64F72">
            <w:rPr>
              <w:rFonts w:ascii="Palatino Linotype" w:eastAsia="Palatino Linotype" w:hAnsi="Palatino Linotype" w:cs="Palatino Linotype"/>
              <w:b/>
              <w:sz w:val="22"/>
              <w:szCs w:val="22"/>
            </w:rPr>
            <w:t xml:space="preserve">XXXXXX XXXX XXXXXX </w:t>
          </w:r>
        </w:p>
      </w:tc>
    </w:tr>
    <w:tr w:rsidR="00AA7B67" w14:paraId="082218B4" w14:textId="77777777">
      <w:trPr>
        <w:trHeight w:val="228"/>
      </w:trPr>
      <w:tc>
        <w:tcPr>
          <w:tcW w:w="2489" w:type="dxa"/>
          <w:vAlign w:val="center"/>
        </w:tcPr>
        <w:p w14:paraId="5E8970C5" w14:textId="77777777" w:rsidR="00AA7B67" w:rsidRDefault="00AA7B67">
          <w:pPr>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Sujeto Obligado:</w:t>
          </w:r>
        </w:p>
      </w:tc>
      <w:tc>
        <w:tcPr>
          <w:tcW w:w="3464" w:type="dxa"/>
          <w:vAlign w:val="center"/>
        </w:tcPr>
        <w:p w14:paraId="59B822F6" w14:textId="6867FADF" w:rsidR="00AA7B67" w:rsidRDefault="00FD6C42">
          <w:pPr>
            <w:ind w:left="-45" w:right="176"/>
            <w:jc w:val="both"/>
            <w:rPr>
              <w:rFonts w:ascii="Palatino Linotype" w:eastAsia="Palatino Linotype" w:hAnsi="Palatino Linotype" w:cs="Palatino Linotype"/>
              <w:b/>
              <w:sz w:val="22"/>
              <w:szCs w:val="22"/>
            </w:rPr>
          </w:pPr>
          <w:r w:rsidRPr="00FD6C42">
            <w:rPr>
              <w:rFonts w:ascii="Palatino Linotype" w:eastAsia="Palatino Linotype" w:hAnsi="Palatino Linotype" w:cs="Palatino Linotype"/>
              <w:b/>
              <w:sz w:val="22"/>
              <w:szCs w:val="22"/>
            </w:rPr>
            <w:t>Ayuntamiento de Juchitepec</w:t>
          </w:r>
        </w:p>
      </w:tc>
    </w:tr>
    <w:tr w:rsidR="00AA7B67" w14:paraId="10C74DEA" w14:textId="77777777">
      <w:tc>
        <w:tcPr>
          <w:tcW w:w="2489" w:type="dxa"/>
          <w:vAlign w:val="center"/>
        </w:tcPr>
        <w:p w14:paraId="1F1A62FF" w14:textId="77777777" w:rsidR="00AA7B67" w:rsidRDefault="00AA7B67">
          <w:pPr>
            <w:ind w:right="-108"/>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Comisionada ponente:</w:t>
          </w:r>
        </w:p>
      </w:tc>
      <w:tc>
        <w:tcPr>
          <w:tcW w:w="3464" w:type="dxa"/>
          <w:vAlign w:val="center"/>
        </w:tcPr>
        <w:p w14:paraId="52548D8D" w14:textId="77777777" w:rsidR="00AA7B67" w:rsidRDefault="00AA7B67">
          <w:pPr>
            <w:ind w:right="175"/>
            <w:jc w:val="both"/>
            <w:rPr>
              <w:rFonts w:ascii="Palatino Linotype" w:eastAsia="Palatino Linotype" w:hAnsi="Palatino Linotype" w:cs="Palatino Linotype"/>
              <w:b/>
              <w:sz w:val="22"/>
              <w:szCs w:val="22"/>
            </w:rPr>
          </w:pPr>
          <w:r>
            <w:rPr>
              <w:rFonts w:ascii="Palatino Linotype" w:eastAsia="Palatino Linotype" w:hAnsi="Palatino Linotype" w:cs="Palatino Linotype"/>
              <w:b/>
              <w:sz w:val="22"/>
              <w:szCs w:val="22"/>
            </w:rPr>
            <w:t>Guadalupe Ramírez Peña</w:t>
          </w:r>
        </w:p>
      </w:tc>
    </w:tr>
  </w:tbl>
  <w:p w14:paraId="4904CEDE" w14:textId="77777777" w:rsidR="00AA7B67" w:rsidRDefault="00AA7B67"/>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D5FA81C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BD6295C"/>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5565543"/>
    <w:multiLevelType w:val="multilevel"/>
    <w:tmpl w:val="41889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079D8"/>
    <w:multiLevelType w:val="multilevel"/>
    <w:tmpl w:val="3196C92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15:restartNumberingAfterBreak="0">
    <w:nsid w:val="195329F5"/>
    <w:multiLevelType w:val="multilevel"/>
    <w:tmpl w:val="A6488AC6"/>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15:restartNumberingAfterBreak="0">
    <w:nsid w:val="202B4D73"/>
    <w:multiLevelType w:val="multilevel"/>
    <w:tmpl w:val="17600E4A"/>
    <w:lvl w:ilvl="0">
      <w:start w:val="2"/>
      <w:numFmt w:val="bullet"/>
      <w:lvlText w:val="●"/>
      <w:lvlJc w:val="left"/>
      <w:pPr>
        <w:ind w:left="360" w:hanging="360"/>
      </w:pPr>
      <w:rPr>
        <w:rFonts w:ascii="Noto Sans Symbols" w:eastAsia="Noto Sans Symbols" w:hAnsi="Noto Sans Symbols" w:cs="Noto Sans Symbols"/>
        <w:b/>
        <w:i w:val="0"/>
        <w:color w:val="0D0D0D"/>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25C81A7C"/>
    <w:multiLevelType w:val="multilevel"/>
    <w:tmpl w:val="99D404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AD620B6"/>
    <w:multiLevelType w:val="multilevel"/>
    <w:tmpl w:val="49443A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3B8F169B"/>
    <w:multiLevelType w:val="multilevel"/>
    <w:tmpl w:val="E67CC3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1D25AD0"/>
    <w:multiLevelType w:val="hybridMultilevel"/>
    <w:tmpl w:val="9B3E43EC"/>
    <w:lvl w:ilvl="0" w:tplc="2F461F4A">
      <w:start w:val="1"/>
      <w:numFmt w:val="decimal"/>
      <w:lvlText w:val="%1."/>
      <w:lvlJc w:val="left"/>
      <w:pPr>
        <w:ind w:left="644" w:hanging="360"/>
      </w:pPr>
      <w:rPr>
        <w:rFonts w:hint="default"/>
        <w:b w:val="0"/>
        <w:bCs/>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0" w15:restartNumberingAfterBreak="0">
    <w:nsid w:val="467007CA"/>
    <w:multiLevelType w:val="multilevel"/>
    <w:tmpl w:val="E646CB28"/>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8D6097B"/>
    <w:multiLevelType w:val="multilevel"/>
    <w:tmpl w:val="DF6CAD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A3E71D2"/>
    <w:multiLevelType w:val="multilevel"/>
    <w:tmpl w:val="CEC050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4AFD7DB1"/>
    <w:multiLevelType w:val="hybridMultilevel"/>
    <w:tmpl w:val="43C092DA"/>
    <w:lvl w:ilvl="0" w:tplc="33EA14B8">
      <w:start w:val="1"/>
      <w:numFmt w:val="decimal"/>
      <w:lvlText w:val="%1."/>
      <w:lvlJc w:val="left"/>
      <w:pPr>
        <w:ind w:left="644" w:hanging="360"/>
      </w:pPr>
      <w:rPr>
        <w:rFonts w:hint="default"/>
        <w:i w:val="0"/>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14" w15:restartNumberingAfterBreak="0">
    <w:nsid w:val="4B5D6649"/>
    <w:multiLevelType w:val="hybridMultilevel"/>
    <w:tmpl w:val="E6E47A4A"/>
    <w:lvl w:ilvl="0" w:tplc="B880B31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ECA6C08"/>
    <w:multiLevelType w:val="multilevel"/>
    <w:tmpl w:val="77045766"/>
    <w:lvl w:ilvl="0">
      <w:start w:val="1"/>
      <w:numFmt w:val="decimal"/>
      <w:pStyle w:val="Listaconvietas3"/>
      <w:lvlText w:val="%1."/>
      <w:lvlJc w:val="left"/>
      <w:pPr>
        <w:ind w:left="644" w:hanging="359"/>
      </w:pPr>
      <w:rPr>
        <w:b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6" w15:restartNumberingAfterBreak="0">
    <w:nsid w:val="620930DE"/>
    <w:multiLevelType w:val="multilevel"/>
    <w:tmpl w:val="07B63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0CC0097"/>
    <w:multiLevelType w:val="hybridMultilevel"/>
    <w:tmpl w:val="112625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BD4592D"/>
    <w:multiLevelType w:val="multilevel"/>
    <w:tmpl w:val="BB5AFA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ED3330D"/>
    <w:multiLevelType w:val="multilevel"/>
    <w:tmpl w:val="7CAE87EE"/>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15"/>
  </w:num>
  <w:num w:numId="2">
    <w:abstractNumId w:val="3"/>
  </w:num>
  <w:num w:numId="3">
    <w:abstractNumId w:val="16"/>
  </w:num>
  <w:num w:numId="4">
    <w:abstractNumId w:val="6"/>
  </w:num>
  <w:num w:numId="5">
    <w:abstractNumId w:val="9"/>
  </w:num>
  <w:num w:numId="6">
    <w:abstractNumId w:val="1"/>
  </w:num>
  <w:num w:numId="7">
    <w:abstractNumId w:val="0"/>
  </w:num>
  <w:num w:numId="8">
    <w:abstractNumId w:val="11"/>
  </w:num>
  <w:num w:numId="9">
    <w:abstractNumId w:val="5"/>
  </w:num>
  <w:num w:numId="10">
    <w:abstractNumId w:val="7"/>
  </w:num>
  <w:num w:numId="11">
    <w:abstractNumId w:val="12"/>
  </w:num>
  <w:num w:numId="12">
    <w:abstractNumId w:val="17"/>
  </w:num>
  <w:num w:numId="13">
    <w:abstractNumId w:val="4"/>
  </w:num>
  <w:num w:numId="14">
    <w:abstractNumId w:val="18"/>
  </w:num>
  <w:num w:numId="15">
    <w:abstractNumId w:val="2"/>
  </w:num>
  <w:num w:numId="16">
    <w:abstractNumId w:val="19"/>
  </w:num>
  <w:num w:numId="17">
    <w:abstractNumId w:val="14"/>
  </w:num>
  <w:num w:numId="18">
    <w:abstractNumId w:val="8"/>
  </w:num>
  <w:num w:numId="19">
    <w:abstractNumId w:val="10"/>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AA0"/>
    <w:rsid w:val="000024A8"/>
    <w:rsid w:val="00004D58"/>
    <w:rsid w:val="000064B5"/>
    <w:rsid w:val="00011EDD"/>
    <w:rsid w:val="00012101"/>
    <w:rsid w:val="0001493C"/>
    <w:rsid w:val="000206D1"/>
    <w:rsid w:val="00025977"/>
    <w:rsid w:val="00026924"/>
    <w:rsid w:val="000308A5"/>
    <w:rsid w:val="000309D9"/>
    <w:rsid w:val="0003226E"/>
    <w:rsid w:val="00032DF7"/>
    <w:rsid w:val="00034BC5"/>
    <w:rsid w:val="00037481"/>
    <w:rsid w:val="000419D8"/>
    <w:rsid w:val="00052702"/>
    <w:rsid w:val="00052F49"/>
    <w:rsid w:val="000555B5"/>
    <w:rsid w:val="00055DAC"/>
    <w:rsid w:val="000560F8"/>
    <w:rsid w:val="000652D4"/>
    <w:rsid w:val="000653F9"/>
    <w:rsid w:val="000655B9"/>
    <w:rsid w:val="0006614C"/>
    <w:rsid w:val="000661FA"/>
    <w:rsid w:val="00067351"/>
    <w:rsid w:val="0006748F"/>
    <w:rsid w:val="00074A51"/>
    <w:rsid w:val="000778D1"/>
    <w:rsid w:val="00080547"/>
    <w:rsid w:val="00080C9F"/>
    <w:rsid w:val="00082344"/>
    <w:rsid w:val="00082BC4"/>
    <w:rsid w:val="000844C8"/>
    <w:rsid w:val="0008515D"/>
    <w:rsid w:val="00090C8E"/>
    <w:rsid w:val="00094877"/>
    <w:rsid w:val="000967F1"/>
    <w:rsid w:val="000A1B06"/>
    <w:rsid w:val="000A330F"/>
    <w:rsid w:val="000A4D58"/>
    <w:rsid w:val="000A73DA"/>
    <w:rsid w:val="000A7B03"/>
    <w:rsid w:val="000A7BE7"/>
    <w:rsid w:val="000B0896"/>
    <w:rsid w:val="000B0B75"/>
    <w:rsid w:val="000B3BB5"/>
    <w:rsid w:val="000C1C49"/>
    <w:rsid w:val="000C2B68"/>
    <w:rsid w:val="000C3127"/>
    <w:rsid w:val="000D0779"/>
    <w:rsid w:val="000D2AFA"/>
    <w:rsid w:val="000D66CA"/>
    <w:rsid w:val="000D757F"/>
    <w:rsid w:val="000E065C"/>
    <w:rsid w:val="000E290B"/>
    <w:rsid w:val="000E2AAF"/>
    <w:rsid w:val="000E4283"/>
    <w:rsid w:val="000E6475"/>
    <w:rsid w:val="000F2854"/>
    <w:rsid w:val="000F2C48"/>
    <w:rsid w:val="000F4585"/>
    <w:rsid w:val="000F4D3D"/>
    <w:rsid w:val="000F4DED"/>
    <w:rsid w:val="000F65ED"/>
    <w:rsid w:val="000F71DC"/>
    <w:rsid w:val="000F7A1C"/>
    <w:rsid w:val="00100890"/>
    <w:rsid w:val="00102489"/>
    <w:rsid w:val="00102AAC"/>
    <w:rsid w:val="00102F12"/>
    <w:rsid w:val="001035B5"/>
    <w:rsid w:val="0010427E"/>
    <w:rsid w:val="0010443E"/>
    <w:rsid w:val="00115A65"/>
    <w:rsid w:val="00116312"/>
    <w:rsid w:val="0011644B"/>
    <w:rsid w:val="00120198"/>
    <w:rsid w:val="001206D7"/>
    <w:rsid w:val="001225FB"/>
    <w:rsid w:val="00122CF7"/>
    <w:rsid w:val="00124402"/>
    <w:rsid w:val="00124E71"/>
    <w:rsid w:val="0012634B"/>
    <w:rsid w:val="001309F0"/>
    <w:rsid w:val="001322B9"/>
    <w:rsid w:val="00132D33"/>
    <w:rsid w:val="00133291"/>
    <w:rsid w:val="00134B5D"/>
    <w:rsid w:val="00134ECF"/>
    <w:rsid w:val="001361C4"/>
    <w:rsid w:val="00142C8A"/>
    <w:rsid w:val="00143423"/>
    <w:rsid w:val="0014347D"/>
    <w:rsid w:val="00143A14"/>
    <w:rsid w:val="001440AD"/>
    <w:rsid w:val="001452C0"/>
    <w:rsid w:val="00150D4C"/>
    <w:rsid w:val="00150E6D"/>
    <w:rsid w:val="00153A03"/>
    <w:rsid w:val="00156057"/>
    <w:rsid w:val="00157D6E"/>
    <w:rsid w:val="00160734"/>
    <w:rsid w:val="0016401F"/>
    <w:rsid w:val="001650AB"/>
    <w:rsid w:val="001651DB"/>
    <w:rsid w:val="001706FD"/>
    <w:rsid w:val="00171978"/>
    <w:rsid w:val="00171EC8"/>
    <w:rsid w:val="0017533C"/>
    <w:rsid w:val="00175D7C"/>
    <w:rsid w:val="001765BE"/>
    <w:rsid w:val="00176DB0"/>
    <w:rsid w:val="00180E53"/>
    <w:rsid w:val="001813EF"/>
    <w:rsid w:val="00181750"/>
    <w:rsid w:val="0018290D"/>
    <w:rsid w:val="00183D44"/>
    <w:rsid w:val="0018603F"/>
    <w:rsid w:val="00187914"/>
    <w:rsid w:val="00187FCA"/>
    <w:rsid w:val="001912AE"/>
    <w:rsid w:val="00193278"/>
    <w:rsid w:val="0019636D"/>
    <w:rsid w:val="001A0778"/>
    <w:rsid w:val="001A32EE"/>
    <w:rsid w:val="001A3D4C"/>
    <w:rsid w:val="001A67BA"/>
    <w:rsid w:val="001B415E"/>
    <w:rsid w:val="001B5E9D"/>
    <w:rsid w:val="001B6B47"/>
    <w:rsid w:val="001C10CB"/>
    <w:rsid w:val="001C2313"/>
    <w:rsid w:val="001D10CC"/>
    <w:rsid w:val="001D1E76"/>
    <w:rsid w:val="001D2D68"/>
    <w:rsid w:val="001D5EA4"/>
    <w:rsid w:val="001D7D79"/>
    <w:rsid w:val="001E1623"/>
    <w:rsid w:val="001E2666"/>
    <w:rsid w:val="001E2752"/>
    <w:rsid w:val="001E4554"/>
    <w:rsid w:val="001F28C8"/>
    <w:rsid w:val="001F3BA6"/>
    <w:rsid w:val="001F4FD3"/>
    <w:rsid w:val="001F64E8"/>
    <w:rsid w:val="001F7F14"/>
    <w:rsid w:val="0020097E"/>
    <w:rsid w:val="00200EBD"/>
    <w:rsid w:val="002056F0"/>
    <w:rsid w:val="0020700A"/>
    <w:rsid w:val="0021130D"/>
    <w:rsid w:val="002128C3"/>
    <w:rsid w:val="00213AC2"/>
    <w:rsid w:val="00213EC3"/>
    <w:rsid w:val="00220FE4"/>
    <w:rsid w:val="00223511"/>
    <w:rsid w:val="00224FE9"/>
    <w:rsid w:val="00225E6F"/>
    <w:rsid w:val="0023072C"/>
    <w:rsid w:val="0023184C"/>
    <w:rsid w:val="00231963"/>
    <w:rsid w:val="0023374C"/>
    <w:rsid w:val="002341CA"/>
    <w:rsid w:val="002361D4"/>
    <w:rsid w:val="00236512"/>
    <w:rsid w:val="0024570E"/>
    <w:rsid w:val="00253ED3"/>
    <w:rsid w:val="0025447F"/>
    <w:rsid w:val="00254E7F"/>
    <w:rsid w:val="00262068"/>
    <w:rsid w:val="0026210D"/>
    <w:rsid w:val="00262320"/>
    <w:rsid w:val="00264911"/>
    <w:rsid w:val="0026546D"/>
    <w:rsid w:val="00265B55"/>
    <w:rsid w:val="00271BB8"/>
    <w:rsid w:val="002725BF"/>
    <w:rsid w:val="00273787"/>
    <w:rsid w:val="002825BA"/>
    <w:rsid w:val="00285347"/>
    <w:rsid w:val="0028645D"/>
    <w:rsid w:val="00287959"/>
    <w:rsid w:val="002951FD"/>
    <w:rsid w:val="002A00F2"/>
    <w:rsid w:val="002A6516"/>
    <w:rsid w:val="002A6FD5"/>
    <w:rsid w:val="002A7199"/>
    <w:rsid w:val="002B045F"/>
    <w:rsid w:val="002B2BAF"/>
    <w:rsid w:val="002B2F3E"/>
    <w:rsid w:val="002B4B3D"/>
    <w:rsid w:val="002B604F"/>
    <w:rsid w:val="002B7A69"/>
    <w:rsid w:val="002B7ACF"/>
    <w:rsid w:val="002C42D1"/>
    <w:rsid w:val="002C5F3C"/>
    <w:rsid w:val="002C703F"/>
    <w:rsid w:val="002D1187"/>
    <w:rsid w:val="002E146F"/>
    <w:rsid w:val="002E322B"/>
    <w:rsid w:val="002E3BDE"/>
    <w:rsid w:val="002E3E87"/>
    <w:rsid w:val="002E461D"/>
    <w:rsid w:val="002F1127"/>
    <w:rsid w:val="0030276A"/>
    <w:rsid w:val="00304358"/>
    <w:rsid w:val="0030662C"/>
    <w:rsid w:val="00313CA2"/>
    <w:rsid w:val="00320983"/>
    <w:rsid w:val="00323056"/>
    <w:rsid w:val="00330224"/>
    <w:rsid w:val="00331A87"/>
    <w:rsid w:val="0033200D"/>
    <w:rsid w:val="003325DF"/>
    <w:rsid w:val="00332F69"/>
    <w:rsid w:val="00333A54"/>
    <w:rsid w:val="0034602C"/>
    <w:rsid w:val="0034618D"/>
    <w:rsid w:val="00346F0D"/>
    <w:rsid w:val="00347688"/>
    <w:rsid w:val="003523B6"/>
    <w:rsid w:val="0035251B"/>
    <w:rsid w:val="00352A09"/>
    <w:rsid w:val="00360A21"/>
    <w:rsid w:val="0036325A"/>
    <w:rsid w:val="00365022"/>
    <w:rsid w:val="00367429"/>
    <w:rsid w:val="00367483"/>
    <w:rsid w:val="003739EE"/>
    <w:rsid w:val="00375184"/>
    <w:rsid w:val="003779F8"/>
    <w:rsid w:val="00382740"/>
    <w:rsid w:val="0038287E"/>
    <w:rsid w:val="00382908"/>
    <w:rsid w:val="00382B7F"/>
    <w:rsid w:val="00383985"/>
    <w:rsid w:val="00383A75"/>
    <w:rsid w:val="0038463F"/>
    <w:rsid w:val="00386EDA"/>
    <w:rsid w:val="00387693"/>
    <w:rsid w:val="00390109"/>
    <w:rsid w:val="00391F52"/>
    <w:rsid w:val="00391F5D"/>
    <w:rsid w:val="00397531"/>
    <w:rsid w:val="00397DDF"/>
    <w:rsid w:val="003A0D6F"/>
    <w:rsid w:val="003A2BE9"/>
    <w:rsid w:val="003A6C1E"/>
    <w:rsid w:val="003B39BA"/>
    <w:rsid w:val="003B589D"/>
    <w:rsid w:val="003B5E1E"/>
    <w:rsid w:val="003C0FC7"/>
    <w:rsid w:val="003C46C2"/>
    <w:rsid w:val="003C6617"/>
    <w:rsid w:val="003C7B76"/>
    <w:rsid w:val="003D4C05"/>
    <w:rsid w:val="003D61F9"/>
    <w:rsid w:val="003D6643"/>
    <w:rsid w:val="003D66CB"/>
    <w:rsid w:val="003E3995"/>
    <w:rsid w:val="003E481D"/>
    <w:rsid w:val="003F3603"/>
    <w:rsid w:val="003F3C79"/>
    <w:rsid w:val="003F50C0"/>
    <w:rsid w:val="003F5559"/>
    <w:rsid w:val="003F6652"/>
    <w:rsid w:val="0040045C"/>
    <w:rsid w:val="0040067E"/>
    <w:rsid w:val="00401D4B"/>
    <w:rsid w:val="00403F03"/>
    <w:rsid w:val="004104CB"/>
    <w:rsid w:val="00412F49"/>
    <w:rsid w:val="0041378C"/>
    <w:rsid w:val="00420290"/>
    <w:rsid w:val="00420C30"/>
    <w:rsid w:val="00424DFD"/>
    <w:rsid w:val="00430882"/>
    <w:rsid w:val="00430DB6"/>
    <w:rsid w:val="00431976"/>
    <w:rsid w:val="00434592"/>
    <w:rsid w:val="00435111"/>
    <w:rsid w:val="00441164"/>
    <w:rsid w:val="004431D2"/>
    <w:rsid w:val="004439F2"/>
    <w:rsid w:val="004448F7"/>
    <w:rsid w:val="00450E3A"/>
    <w:rsid w:val="00455D25"/>
    <w:rsid w:val="00457843"/>
    <w:rsid w:val="00460C75"/>
    <w:rsid w:val="00463FB8"/>
    <w:rsid w:val="00464290"/>
    <w:rsid w:val="00467F25"/>
    <w:rsid w:val="00471407"/>
    <w:rsid w:val="004730D4"/>
    <w:rsid w:val="004732FA"/>
    <w:rsid w:val="00473806"/>
    <w:rsid w:val="00476E4A"/>
    <w:rsid w:val="004770A3"/>
    <w:rsid w:val="004802E9"/>
    <w:rsid w:val="00483311"/>
    <w:rsid w:val="00483CA6"/>
    <w:rsid w:val="004852EA"/>
    <w:rsid w:val="00485D01"/>
    <w:rsid w:val="00490112"/>
    <w:rsid w:val="0049433B"/>
    <w:rsid w:val="00494CB2"/>
    <w:rsid w:val="004962AD"/>
    <w:rsid w:val="004A13F9"/>
    <w:rsid w:val="004A30AD"/>
    <w:rsid w:val="004A5926"/>
    <w:rsid w:val="004A6693"/>
    <w:rsid w:val="004B0BBC"/>
    <w:rsid w:val="004B35BD"/>
    <w:rsid w:val="004B68AF"/>
    <w:rsid w:val="004C49B8"/>
    <w:rsid w:val="004D0484"/>
    <w:rsid w:val="004D23F6"/>
    <w:rsid w:val="004D3EB9"/>
    <w:rsid w:val="004D6C3D"/>
    <w:rsid w:val="004D73B7"/>
    <w:rsid w:val="004D7DF2"/>
    <w:rsid w:val="004E1DF4"/>
    <w:rsid w:val="004E7391"/>
    <w:rsid w:val="004F1364"/>
    <w:rsid w:val="004F28E7"/>
    <w:rsid w:val="004F74FF"/>
    <w:rsid w:val="004F7BF1"/>
    <w:rsid w:val="00500679"/>
    <w:rsid w:val="00500DA9"/>
    <w:rsid w:val="00503F99"/>
    <w:rsid w:val="00504175"/>
    <w:rsid w:val="00504FA2"/>
    <w:rsid w:val="0050510A"/>
    <w:rsid w:val="00510048"/>
    <w:rsid w:val="0051150E"/>
    <w:rsid w:val="0051378C"/>
    <w:rsid w:val="00515185"/>
    <w:rsid w:val="005160F3"/>
    <w:rsid w:val="0051666B"/>
    <w:rsid w:val="0051763F"/>
    <w:rsid w:val="005262EA"/>
    <w:rsid w:val="005303C3"/>
    <w:rsid w:val="00530D60"/>
    <w:rsid w:val="00533E33"/>
    <w:rsid w:val="00535FC8"/>
    <w:rsid w:val="00541317"/>
    <w:rsid w:val="005414BE"/>
    <w:rsid w:val="00544E94"/>
    <w:rsid w:val="005453CD"/>
    <w:rsid w:val="00546E25"/>
    <w:rsid w:val="005475B9"/>
    <w:rsid w:val="00547E14"/>
    <w:rsid w:val="00552496"/>
    <w:rsid w:val="00554822"/>
    <w:rsid w:val="0055518E"/>
    <w:rsid w:val="005568B8"/>
    <w:rsid w:val="00561AA1"/>
    <w:rsid w:val="00571B42"/>
    <w:rsid w:val="005732B7"/>
    <w:rsid w:val="00574CB0"/>
    <w:rsid w:val="00574FB2"/>
    <w:rsid w:val="005771D4"/>
    <w:rsid w:val="005810A6"/>
    <w:rsid w:val="0058459E"/>
    <w:rsid w:val="005A0ACE"/>
    <w:rsid w:val="005A390C"/>
    <w:rsid w:val="005B22BA"/>
    <w:rsid w:val="005B2E1B"/>
    <w:rsid w:val="005B4AB4"/>
    <w:rsid w:val="005C0836"/>
    <w:rsid w:val="005C0C18"/>
    <w:rsid w:val="005C240D"/>
    <w:rsid w:val="005C382B"/>
    <w:rsid w:val="005C5ECD"/>
    <w:rsid w:val="005C66EA"/>
    <w:rsid w:val="005C71F4"/>
    <w:rsid w:val="005D0FA8"/>
    <w:rsid w:val="005D1B14"/>
    <w:rsid w:val="005D59EB"/>
    <w:rsid w:val="005D6619"/>
    <w:rsid w:val="005E3109"/>
    <w:rsid w:val="005F4F51"/>
    <w:rsid w:val="005F5109"/>
    <w:rsid w:val="005F5AAF"/>
    <w:rsid w:val="005F5FA2"/>
    <w:rsid w:val="00601597"/>
    <w:rsid w:val="006015C6"/>
    <w:rsid w:val="00602A62"/>
    <w:rsid w:val="0061041C"/>
    <w:rsid w:val="00610DDC"/>
    <w:rsid w:val="0061199A"/>
    <w:rsid w:val="00614232"/>
    <w:rsid w:val="006241FB"/>
    <w:rsid w:val="006262EB"/>
    <w:rsid w:val="00627316"/>
    <w:rsid w:val="00627673"/>
    <w:rsid w:val="00630F9F"/>
    <w:rsid w:val="00637CF4"/>
    <w:rsid w:val="00641BF3"/>
    <w:rsid w:val="00644C86"/>
    <w:rsid w:val="006464CB"/>
    <w:rsid w:val="00655EF3"/>
    <w:rsid w:val="00656C91"/>
    <w:rsid w:val="00656E59"/>
    <w:rsid w:val="00663D56"/>
    <w:rsid w:val="006760EF"/>
    <w:rsid w:val="00680895"/>
    <w:rsid w:val="006819F0"/>
    <w:rsid w:val="006823DB"/>
    <w:rsid w:val="006833D4"/>
    <w:rsid w:val="00692C23"/>
    <w:rsid w:val="00694AA0"/>
    <w:rsid w:val="00695C11"/>
    <w:rsid w:val="006A0D3C"/>
    <w:rsid w:val="006A1F43"/>
    <w:rsid w:val="006A2376"/>
    <w:rsid w:val="006A2500"/>
    <w:rsid w:val="006A35B9"/>
    <w:rsid w:val="006A424F"/>
    <w:rsid w:val="006A4E8B"/>
    <w:rsid w:val="006B1360"/>
    <w:rsid w:val="006B339F"/>
    <w:rsid w:val="006B429A"/>
    <w:rsid w:val="006B4AEC"/>
    <w:rsid w:val="006B5B5A"/>
    <w:rsid w:val="006C0563"/>
    <w:rsid w:val="006C1064"/>
    <w:rsid w:val="006C53E3"/>
    <w:rsid w:val="006C7CC7"/>
    <w:rsid w:val="006D2EFA"/>
    <w:rsid w:val="006E155A"/>
    <w:rsid w:val="006E15E3"/>
    <w:rsid w:val="006E22E1"/>
    <w:rsid w:val="006F0386"/>
    <w:rsid w:val="006F3A18"/>
    <w:rsid w:val="006F4589"/>
    <w:rsid w:val="006F5A94"/>
    <w:rsid w:val="006F76B7"/>
    <w:rsid w:val="00702E1B"/>
    <w:rsid w:val="007048DE"/>
    <w:rsid w:val="007049C9"/>
    <w:rsid w:val="0070776B"/>
    <w:rsid w:val="0071256D"/>
    <w:rsid w:val="007161DC"/>
    <w:rsid w:val="007165D6"/>
    <w:rsid w:val="00721597"/>
    <w:rsid w:val="0072757A"/>
    <w:rsid w:val="00727F38"/>
    <w:rsid w:val="007304EC"/>
    <w:rsid w:val="00731EF3"/>
    <w:rsid w:val="007333D5"/>
    <w:rsid w:val="007347D2"/>
    <w:rsid w:val="0074045F"/>
    <w:rsid w:val="00740E3F"/>
    <w:rsid w:val="00743B58"/>
    <w:rsid w:val="00743D96"/>
    <w:rsid w:val="007458B0"/>
    <w:rsid w:val="00746A44"/>
    <w:rsid w:val="00751011"/>
    <w:rsid w:val="0075371C"/>
    <w:rsid w:val="007540CF"/>
    <w:rsid w:val="0075679E"/>
    <w:rsid w:val="00760B02"/>
    <w:rsid w:val="00761396"/>
    <w:rsid w:val="0076259D"/>
    <w:rsid w:val="0076423F"/>
    <w:rsid w:val="007643E2"/>
    <w:rsid w:val="00766F3A"/>
    <w:rsid w:val="0077158A"/>
    <w:rsid w:val="00771F7F"/>
    <w:rsid w:val="00777F2D"/>
    <w:rsid w:val="007805F2"/>
    <w:rsid w:val="00781694"/>
    <w:rsid w:val="00781DA7"/>
    <w:rsid w:val="007855CE"/>
    <w:rsid w:val="00786A85"/>
    <w:rsid w:val="00786ABA"/>
    <w:rsid w:val="00786E97"/>
    <w:rsid w:val="00790D70"/>
    <w:rsid w:val="007927CF"/>
    <w:rsid w:val="0079456E"/>
    <w:rsid w:val="007A29DA"/>
    <w:rsid w:val="007A3A27"/>
    <w:rsid w:val="007A53F6"/>
    <w:rsid w:val="007A6C82"/>
    <w:rsid w:val="007A6E2C"/>
    <w:rsid w:val="007B0AC5"/>
    <w:rsid w:val="007B1117"/>
    <w:rsid w:val="007B3781"/>
    <w:rsid w:val="007C0E72"/>
    <w:rsid w:val="007D00F0"/>
    <w:rsid w:val="007D0435"/>
    <w:rsid w:val="007D0E13"/>
    <w:rsid w:val="007D5593"/>
    <w:rsid w:val="007D6158"/>
    <w:rsid w:val="007E38E2"/>
    <w:rsid w:val="007E3B6A"/>
    <w:rsid w:val="007F113B"/>
    <w:rsid w:val="007F66F5"/>
    <w:rsid w:val="0080115E"/>
    <w:rsid w:val="00802635"/>
    <w:rsid w:val="0080393C"/>
    <w:rsid w:val="0080595B"/>
    <w:rsid w:val="00805F3C"/>
    <w:rsid w:val="008107E2"/>
    <w:rsid w:val="00814A5A"/>
    <w:rsid w:val="0081640B"/>
    <w:rsid w:val="00816B9D"/>
    <w:rsid w:val="008203FD"/>
    <w:rsid w:val="0082048C"/>
    <w:rsid w:val="00820E38"/>
    <w:rsid w:val="0082626C"/>
    <w:rsid w:val="00830AED"/>
    <w:rsid w:val="00831C7F"/>
    <w:rsid w:val="00832336"/>
    <w:rsid w:val="00837E5E"/>
    <w:rsid w:val="00842531"/>
    <w:rsid w:val="0084340C"/>
    <w:rsid w:val="0084377E"/>
    <w:rsid w:val="00851B06"/>
    <w:rsid w:val="00854416"/>
    <w:rsid w:val="00854E5C"/>
    <w:rsid w:val="008573A2"/>
    <w:rsid w:val="00857C0C"/>
    <w:rsid w:val="00867295"/>
    <w:rsid w:val="00870252"/>
    <w:rsid w:val="00881DD2"/>
    <w:rsid w:val="008823E0"/>
    <w:rsid w:val="00882DDC"/>
    <w:rsid w:val="00883836"/>
    <w:rsid w:val="00883EFB"/>
    <w:rsid w:val="0088463F"/>
    <w:rsid w:val="00885F07"/>
    <w:rsid w:val="00887BE0"/>
    <w:rsid w:val="008914DE"/>
    <w:rsid w:val="00893A31"/>
    <w:rsid w:val="00894A8C"/>
    <w:rsid w:val="00896B25"/>
    <w:rsid w:val="00897BD0"/>
    <w:rsid w:val="008A165D"/>
    <w:rsid w:val="008A2915"/>
    <w:rsid w:val="008A4625"/>
    <w:rsid w:val="008A4B43"/>
    <w:rsid w:val="008A71D4"/>
    <w:rsid w:val="008B29B1"/>
    <w:rsid w:val="008B3A1B"/>
    <w:rsid w:val="008B474D"/>
    <w:rsid w:val="008B57AD"/>
    <w:rsid w:val="008B5F54"/>
    <w:rsid w:val="008B7DA1"/>
    <w:rsid w:val="008C2928"/>
    <w:rsid w:val="008C7E00"/>
    <w:rsid w:val="008D0989"/>
    <w:rsid w:val="008D45F0"/>
    <w:rsid w:val="008D4E23"/>
    <w:rsid w:val="008D6C8F"/>
    <w:rsid w:val="008E0B27"/>
    <w:rsid w:val="008E1CAA"/>
    <w:rsid w:val="008E266B"/>
    <w:rsid w:val="008E26F9"/>
    <w:rsid w:val="008F077F"/>
    <w:rsid w:val="008F2537"/>
    <w:rsid w:val="008F421B"/>
    <w:rsid w:val="008F501F"/>
    <w:rsid w:val="008F5E0C"/>
    <w:rsid w:val="008F6E01"/>
    <w:rsid w:val="008F7C04"/>
    <w:rsid w:val="0090386C"/>
    <w:rsid w:val="009068AC"/>
    <w:rsid w:val="00907832"/>
    <w:rsid w:val="00907CDD"/>
    <w:rsid w:val="00910810"/>
    <w:rsid w:val="00911AB2"/>
    <w:rsid w:val="00921685"/>
    <w:rsid w:val="00924016"/>
    <w:rsid w:val="0093285E"/>
    <w:rsid w:val="00934778"/>
    <w:rsid w:val="0093581E"/>
    <w:rsid w:val="00937F28"/>
    <w:rsid w:val="00944EEA"/>
    <w:rsid w:val="009452CA"/>
    <w:rsid w:val="009454C1"/>
    <w:rsid w:val="00947504"/>
    <w:rsid w:val="00947607"/>
    <w:rsid w:val="009502ED"/>
    <w:rsid w:val="0095061F"/>
    <w:rsid w:val="00950E4F"/>
    <w:rsid w:val="00954B57"/>
    <w:rsid w:val="00960511"/>
    <w:rsid w:val="00960DF1"/>
    <w:rsid w:val="00963D80"/>
    <w:rsid w:val="00964B06"/>
    <w:rsid w:val="009659E6"/>
    <w:rsid w:val="00967C99"/>
    <w:rsid w:val="009711CB"/>
    <w:rsid w:val="0097667F"/>
    <w:rsid w:val="00977C10"/>
    <w:rsid w:val="00980D6F"/>
    <w:rsid w:val="00980D84"/>
    <w:rsid w:val="0098166B"/>
    <w:rsid w:val="009844BB"/>
    <w:rsid w:val="009911DC"/>
    <w:rsid w:val="00993B95"/>
    <w:rsid w:val="009952D9"/>
    <w:rsid w:val="00995FA7"/>
    <w:rsid w:val="009A3A3C"/>
    <w:rsid w:val="009A3E3A"/>
    <w:rsid w:val="009A3E5F"/>
    <w:rsid w:val="009A4F22"/>
    <w:rsid w:val="009A6189"/>
    <w:rsid w:val="009A724E"/>
    <w:rsid w:val="009B1A71"/>
    <w:rsid w:val="009B338B"/>
    <w:rsid w:val="009B4ADD"/>
    <w:rsid w:val="009B6B82"/>
    <w:rsid w:val="009C1FBD"/>
    <w:rsid w:val="009D082C"/>
    <w:rsid w:val="009D0D80"/>
    <w:rsid w:val="009D42B1"/>
    <w:rsid w:val="009D73E1"/>
    <w:rsid w:val="009E1382"/>
    <w:rsid w:val="009E1822"/>
    <w:rsid w:val="009E663F"/>
    <w:rsid w:val="009F4157"/>
    <w:rsid w:val="009F5343"/>
    <w:rsid w:val="009F561E"/>
    <w:rsid w:val="009F6237"/>
    <w:rsid w:val="009F7CB0"/>
    <w:rsid w:val="00A00781"/>
    <w:rsid w:val="00A03417"/>
    <w:rsid w:val="00A11C10"/>
    <w:rsid w:val="00A12096"/>
    <w:rsid w:val="00A15BBA"/>
    <w:rsid w:val="00A16791"/>
    <w:rsid w:val="00A17271"/>
    <w:rsid w:val="00A17609"/>
    <w:rsid w:val="00A201DA"/>
    <w:rsid w:val="00A20BCE"/>
    <w:rsid w:val="00A21D3A"/>
    <w:rsid w:val="00A26EFD"/>
    <w:rsid w:val="00A2767F"/>
    <w:rsid w:val="00A30507"/>
    <w:rsid w:val="00A30DF1"/>
    <w:rsid w:val="00A317B8"/>
    <w:rsid w:val="00A32C8A"/>
    <w:rsid w:val="00A34546"/>
    <w:rsid w:val="00A361B9"/>
    <w:rsid w:val="00A37B88"/>
    <w:rsid w:val="00A40950"/>
    <w:rsid w:val="00A42932"/>
    <w:rsid w:val="00A442A0"/>
    <w:rsid w:val="00A50A76"/>
    <w:rsid w:val="00A521AD"/>
    <w:rsid w:val="00A52B1B"/>
    <w:rsid w:val="00A57A19"/>
    <w:rsid w:val="00A618B3"/>
    <w:rsid w:val="00A63282"/>
    <w:rsid w:val="00A648E5"/>
    <w:rsid w:val="00A666B7"/>
    <w:rsid w:val="00A73534"/>
    <w:rsid w:val="00A755DC"/>
    <w:rsid w:val="00A80177"/>
    <w:rsid w:val="00A8074A"/>
    <w:rsid w:val="00A80760"/>
    <w:rsid w:val="00A84826"/>
    <w:rsid w:val="00A84CE0"/>
    <w:rsid w:val="00A86DAA"/>
    <w:rsid w:val="00A8727F"/>
    <w:rsid w:val="00A91EFC"/>
    <w:rsid w:val="00A9302F"/>
    <w:rsid w:val="00AA16A9"/>
    <w:rsid w:val="00AA57D1"/>
    <w:rsid w:val="00AA5812"/>
    <w:rsid w:val="00AA7B67"/>
    <w:rsid w:val="00AB180E"/>
    <w:rsid w:val="00AC01DB"/>
    <w:rsid w:val="00AC2143"/>
    <w:rsid w:val="00AC581C"/>
    <w:rsid w:val="00AC6033"/>
    <w:rsid w:val="00AC638F"/>
    <w:rsid w:val="00AD444D"/>
    <w:rsid w:val="00AD547B"/>
    <w:rsid w:val="00AD69DE"/>
    <w:rsid w:val="00AD7617"/>
    <w:rsid w:val="00AE52C6"/>
    <w:rsid w:val="00AE791E"/>
    <w:rsid w:val="00AE7A45"/>
    <w:rsid w:val="00AF363C"/>
    <w:rsid w:val="00B00861"/>
    <w:rsid w:val="00B017F0"/>
    <w:rsid w:val="00B02CAB"/>
    <w:rsid w:val="00B039D1"/>
    <w:rsid w:val="00B04225"/>
    <w:rsid w:val="00B04701"/>
    <w:rsid w:val="00B04E6A"/>
    <w:rsid w:val="00B06597"/>
    <w:rsid w:val="00B101D9"/>
    <w:rsid w:val="00B106F0"/>
    <w:rsid w:val="00B10771"/>
    <w:rsid w:val="00B128EA"/>
    <w:rsid w:val="00B12F75"/>
    <w:rsid w:val="00B14870"/>
    <w:rsid w:val="00B14A23"/>
    <w:rsid w:val="00B20EF2"/>
    <w:rsid w:val="00B221EC"/>
    <w:rsid w:val="00B277F2"/>
    <w:rsid w:val="00B30784"/>
    <w:rsid w:val="00B31501"/>
    <w:rsid w:val="00B3392A"/>
    <w:rsid w:val="00B34E8D"/>
    <w:rsid w:val="00B437A7"/>
    <w:rsid w:val="00B5122B"/>
    <w:rsid w:val="00B5180F"/>
    <w:rsid w:val="00B555D2"/>
    <w:rsid w:val="00B623F2"/>
    <w:rsid w:val="00B653DB"/>
    <w:rsid w:val="00B66A28"/>
    <w:rsid w:val="00B70221"/>
    <w:rsid w:val="00B748A2"/>
    <w:rsid w:val="00B82287"/>
    <w:rsid w:val="00B822AB"/>
    <w:rsid w:val="00B853F2"/>
    <w:rsid w:val="00B86CD7"/>
    <w:rsid w:val="00B90F26"/>
    <w:rsid w:val="00B910BD"/>
    <w:rsid w:val="00B919FC"/>
    <w:rsid w:val="00B94ABF"/>
    <w:rsid w:val="00B97B43"/>
    <w:rsid w:val="00BA10C9"/>
    <w:rsid w:val="00BA3B7B"/>
    <w:rsid w:val="00BA72EB"/>
    <w:rsid w:val="00BB06F6"/>
    <w:rsid w:val="00BB3036"/>
    <w:rsid w:val="00BB3325"/>
    <w:rsid w:val="00BB403F"/>
    <w:rsid w:val="00BB495C"/>
    <w:rsid w:val="00BC0309"/>
    <w:rsid w:val="00BD020A"/>
    <w:rsid w:val="00BD3F8D"/>
    <w:rsid w:val="00BD504B"/>
    <w:rsid w:val="00BD66A4"/>
    <w:rsid w:val="00BE3CF9"/>
    <w:rsid w:val="00BE3EF4"/>
    <w:rsid w:val="00BF23F0"/>
    <w:rsid w:val="00BF2B46"/>
    <w:rsid w:val="00C00558"/>
    <w:rsid w:val="00C015F7"/>
    <w:rsid w:val="00C01C2E"/>
    <w:rsid w:val="00C022D6"/>
    <w:rsid w:val="00C062E4"/>
    <w:rsid w:val="00C06E0A"/>
    <w:rsid w:val="00C10893"/>
    <w:rsid w:val="00C1117A"/>
    <w:rsid w:val="00C1140A"/>
    <w:rsid w:val="00C1289E"/>
    <w:rsid w:val="00C15F66"/>
    <w:rsid w:val="00C17A6C"/>
    <w:rsid w:val="00C203BF"/>
    <w:rsid w:val="00C20CE6"/>
    <w:rsid w:val="00C2186A"/>
    <w:rsid w:val="00C24F74"/>
    <w:rsid w:val="00C314BD"/>
    <w:rsid w:val="00C3371F"/>
    <w:rsid w:val="00C37F2C"/>
    <w:rsid w:val="00C4381F"/>
    <w:rsid w:val="00C438D0"/>
    <w:rsid w:val="00C46E38"/>
    <w:rsid w:val="00C505A8"/>
    <w:rsid w:val="00C531D8"/>
    <w:rsid w:val="00C5376A"/>
    <w:rsid w:val="00C56BC5"/>
    <w:rsid w:val="00C62663"/>
    <w:rsid w:val="00C77BAB"/>
    <w:rsid w:val="00C8211D"/>
    <w:rsid w:val="00C83CCB"/>
    <w:rsid w:val="00C85C03"/>
    <w:rsid w:val="00C90819"/>
    <w:rsid w:val="00C92979"/>
    <w:rsid w:val="00C95F85"/>
    <w:rsid w:val="00C97F6E"/>
    <w:rsid w:val="00CA0E3E"/>
    <w:rsid w:val="00CA1A20"/>
    <w:rsid w:val="00CA3B77"/>
    <w:rsid w:val="00CB19B5"/>
    <w:rsid w:val="00CB469A"/>
    <w:rsid w:val="00CC319E"/>
    <w:rsid w:val="00CC3687"/>
    <w:rsid w:val="00CC4509"/>
    <w:rsid w:val="00CC69D1"/>
    <w:rsid w:val="00CD210A"/>
    <w:rsid w:val="00CD2C55"/>
    <w:rsid w:val="00CD2E1D"/>
    <w:rsid w:val="00CD2F0E"/>
    <w:rsid w:val="00CD31F2"/>
    <w:rsid w:val="00CE7F47"/>
    <w:rsid w:val="00D00DEE"/>
    <w:rsid w:val="00D02838"/>
    <w:rsid w:val="00D03150"/>
    <w:rsid w:val="00D035B4"/>
    <w:rsid w:val="00D067D1"/>
    <w:rsid w:val="00D1493B"/>
    <w:rsid w:val="00D14F7F"/>
    <w:rsid w:val="00D15C4F"/>
    <w:rsid w:val="00D163EF"/>
    <w:rsid w:val="00D17528"/>
    <w:rsid w:val="00D17A09"/>
    <w:rsid w:val="00D2038C"/>
    <w:rsid w:val="00D20444"/>
    <w:rsid w:val="00D24078"/>
    <w:rsid w:val="00D258B6"/>
    <w:rsid w:val="00D3616F"/>
    <w:rsid w:val="00D36C2A"/>
    <w:rsid w:val="00D3786D"/>
    <w:rsid w:val="00D40765"/>
    <w:rsid w:val="00D46BA0"/>
    <w:rsid w:val="00D46D1C"/>
    <w:rsid w:val="00D472E8"/>
    <w:rsid w:val="00D47470"/>
    <w:rsid w:val="00D53CC1"/>
    <w:rsid w:val="00D55778"/>
    <w:rsid w:val="00D571DC"/>
    <w:rsid w:val="00D57575"/>
    <w:rsid w:val="00D60D79"/>
    <w:rsid w:val="00D64F72"/>
    <w:rsid w:val="00D71F7C"/>
    <w:rsid w:val="00D73A90"/>
    <w:rsid w:val="00D74224"/>
    <w:rsid w:val="00D76018"/>
    <w:rsid w:val="00D77B2F"/>
    <w:rsid w:val="00D77EC0"/>
    <w:rsid w:val="00D80AEE"/>
    <w:rsid w:val="00D86C32"/>
    <w:rsid w:val="00D926EE"/>
    <w:rsid w:val="00D93A7B"/>
    <w:rsid w:val="00D976CB"/>
    <w:rsid w:val="00DA3C43"/>
    <w:rsid w:val="00DB12FF"/>
    <w:rsid w:val="00DB3F19"/>
    <w:rsid w:val="00DB513A"/>
    <w:rsid w:val="00DB5736"/>
    <w:rsid w:val="00DB7FBB"/>
    <w:rsid w:val="00DC03E2"/>
    <w:rsid w:val="00DC1F5B"/>
    <w:rsid w:val="00DC4990"/>
    <w:rsid w:val="00DD1E25"/>
    <w:rsid w:val="00DD4B76"/>
    <w:rsid w:val="00DD4CBD"/>
    <w:rsid w:val="00DE2382"/>
    <w:rsid w:val="00DE2765"/>
    <w:rsid w:val="00DE5ADE"/>
    <w:rsid w:val="00DF0A5C"/>
    <w:rsid w:val="00DF17EB"/>
    <w:rsid w:val="00DF403C"/>
    <w:rsid w:val="00DF478E"/>
    <w:rsid w:val="00E00E1B"/>
    <w:rsid w:val="00E01AFC"/>
    <w:rsid w:val="00E03ABC"/>
    <w:rsid w:val="00E04FEE"/>
    <w:rsid w:val="00E07A72"/>
    <w:rsid w:val="00E1082D"/>
    <w:rsid w:val="00E16633"/>
    <w:rsid w:val="00E2140A"/>
    <w:rsid w:val="00E23D61"/>
    <w:rsid w:val="00E24D85"/>
    <w:rsid w:val="00E2646E"/>
    <w:rsid w:val="00E307A0"/>
    <w:rsid w:val="00E311B5"/>
    <w:rsid w:val="00E314E3"/>
    <w:rsid w:val="00E31B44"/>
    <w:rsid w:val="00E40785"/>
    <w:rsid w:val="00E417D0"/>
    <w:rsid w:val="00E4266F"/>
    <w:rsid w:val="00E4388D"/>
    <w:rsid w:val="00E43918"/>
    <w:rsid w:val="00E44511"/>
    <w:rsid w:val="00E44E94"/>
    <w:rsid w:val="00E45187"/>
    <w:rsid w:val="00E46253"/>
    <w:rsid w:val="00E463A2"/>
    <w:rsid w:val="00E516E2"/>
    <w:rsid w:val="00E545C2"/>
    <w:rsid w:val="00E56B57"/>
    <w:rsid w:val="00E5787A"/>
    <w:rsid w:val="00E61764"/>
    <w:rsid w:val="00E61814"/>
    <w:rsid w:val="00E66354"/>
    <w:rsid w:val="00E66DA2"/>
    <w:rsid w:val="00E670ED"/>
    <w:rsid w:val="00E71C2F"/>
    <w:rsid w:val="00E767E7"/>
    <w:rsid w:val="00E768F3"/>
    <w:rsid w:val="00E80376"/>
    <w:rsid w:val="00E81721"/>
    <w:rsid w:val="00E84CB1"/>
    <w:rsid w:val="00E84E47"/>
    <w:rsid w:val="00E85FB2"/>
    <w:rsid w:val="00E91C46"/>
    <w:rsid w:val="00E92C81"/>
    <w:rsid w:val="00E93B86"/>
    <w:rsid w:val="00E944B9"/>
    <w:rsid w:val="00E94EF9"/>
    <w:rsid w:val="00EA2309"/>
    <w:rsid w:val="00EA40BA"/>
    <w:rsid w:val="00EA5A9A"/>
    <w:rsid w:val="00EA5CD6"/>
    <w:rsid w:val="00EA6CC7"/>
    <w:rsid w:val="00EB032A"/>
    <w:rsid w:val="00EB5EF4"/>
    <w:rsid w:val="00EB6F38"/>
    <w:rsid w:val="00EC00F9"/>
    <w:rsid w:val="00EC3811"/>
    <w:rsid w:val="00EC6393"/>
    <w:rsid w:val="00ED09D2"/>
    <w:rsid w:val="00ED34E8"/>
    <w:rsid w:val="00ED39E8"/>
    <w:rsid w:val="00ED661A"/>
    <w:rsid w:val="00ED6C6E"/>
    <w:rsid w:val="00EE042E"/>
    <w:rsid w:val="00EE2377"/>
    <w:rsid w:val="00EE28E4"/>
    <w:rsid w:val="00EE67A9"/>
    <w:rsid w:val="00EF14B6"/>
    <w:rsid w:val="00EF2A18"/>
    <w:rsid w:val="00EF5D8A"/>
    <w:rsid w:val="00EF6444"/>
    <w:rsid w:val="00F02A5B"/>
    <w:rsid w:val="00F06F3B"/>
    <w:rsid w:val="00F11B01"/>
    <w:rsid w:val="00F1200E"/>
    <w:rsid w:val="00F136A4"/>
    <w:rsid w:val="00F1393C"/>
    <w:rsid w:val="00F13C63"/>
    <w:rsid w:val="00F16B97"/>
    <w:rsid w:val="00F20BEB"/>
    <w:rsid w:val="00F212D2"/>
    <w:rsid w:val="00F21D6B"/>
    <w:rsid w:val="00F221D2"/>
    <w:rsid w:val="00F231B8"/>
    <w:rsid w:val="00F2377F"/>
    <w:rsid w:val="00F23792"/>
    <w:rsid w:val="00F23997"/>
    <w:rsid w:val="00F25291"/>
    <w:rsid w:val="00F25B82"/>
    <w:rsid w:val="00F25CB7"/>
    <w:rsid w:val="00F25E2D"/>
    <w:rsid w:val="00F30612"/>
    <w:rsid w:val="00F30EE8"/>
    <w:rsid w:val="00F3126A"/>
    <w:rsid w:val="00F33904"/>
    <w:rsid w:val="00F33D9D"/>
    <w:rsid w:val="00F344A2"/>
    <w:rsid w:val="00F34BCC"/>
    <w:rsid w:val="00F3705C"/>
    <w:rsid w:val="00F3756A"/>
    <w:rsid w:val="00F40A78"/>
    <w:rsid w:val="00F449BD"/>
    <w:rsid w:val="00F50F75"/>
    <w:rsid w:val="00F531F6"/>
    <w:rsid w:val="00F539C1"/>
    <w:rsid w:val="00F55A0F"/>
    <w:rsid w:val="00F5701B"/>
    <w:rsid w:val="00F570F7"/>
    <w:rsid w:val="00F601B3"/>
    <w:rsid w:val="00F62323"/>
    <w:rsid w:val="00F62348"/>
    <w:rsid w:val="00F62898"/>
    <w:rsid w:val="00F66328"/>
    <w:rsid w:val="00F70807"/>
    <w:rsid w:val="00F730DC"/>
    <w:rsid w:val="00F749C0"/>
    <w:rsid w:val="00F74D28"/>
    <w:rsid w:val="00F809E5"/>
    <w:rsid w:val="00F827DF"/>
    <w:rsid w:val="00F844C6"/>
    <w:rsid w:val="00F8506A"/>
    <w:rsid w:val="00F90070"/>
    <w:rsid w:val="00F91BC2"/>
    <w:rsid w:val="00F95385"/>
    <w:rsid w:val="00F96B54"/>
    <w:rsid w:val="00F97716"/>
    <w:rsid w:val="00FA0237"/>
    <w:rsid w:val="00FA2A3A"/>
    <w:rsid w:val="00FA376E"/>
    <w:rsid w:val="00FA3C9A"/>
    <w:rsid w:val="00FA55F6"/>
    <w:rsid w:val="00FA646B"/>
    <w:rsid w:val="00FB0090"/>
    <w:rsid w:val="00FB2F84"/>
    <w:rsid w:val="00FB7DF7"/>
    <w:rsid w:val="00FC1CC5"/>
    <w:rsid w:val="00FC30CF"/>
    <w:rsid w:val="00FC3482"/>
    <w:rsid w:val="00FC36ED"/>
    <w:rsid w:val="00FC3BE5"/>
    <w:rsid w:val="00FC4683"/>
    <w:rsid w:val="00FC54A4"/>
    <w:rsid w:val="00FC74CC"/>
    <w:rsid w:val="00FD1D03"/>
    <w:rsid w:val="00FD3909"/>
    <w:rsid w:val="00FD5CF8"/>
    <w:rsid w:val="00FD6C42"/>
    <w:rsid w:val="00FE251A"/>
    <w:rsid w:val="00FE3915"/>
    <w:rsid w:val="00FE75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76C3C"/>
  <w15:docId w15:val="{4E3D6FF7-1FD1-4EA6-BDE9-C4C1B2598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240"/>
      <w:outlineLvl w:val="0"/>
    </w:pPr>
    <w:rPr>
      <w:rFonts w:ascii="Calibri" w:eastAsia="Calibri" w:hAnsi="Calibri" w:cs="Calibri"/>
      <w:color w:val="366091"/>
      <w:sz w:val="32"/>
      <w:szCs w:val="32"/>
    </w:rPr>
  </w:style>
  <w:style w:type="paragraph" w:styleId="Ttulo2">
    <w:name w:val="heading 2"/>
    <w:basedOn w:val="Normal"/>
    <w:next w:val="Normal"/>
    <w:uiPriority w:val="9"/>
    <w:unhideWhenUsed/>
    <w:qFormat/>
    <w:pPr>
      <w:keepNext/>
      <w:keepLines/>
      <w:spacing w:before="40"/>
      <w:outlineLvl w:val="1"/>
    </w:pPr>
    <w:rPr>
      <w:rFonts w:ascii="Calibri" w:eastAsia="Calibri" w:hAnsi="Calibri" w:cs="Calibri"/>
      <w:color w:val="366091"/>
      <w:sz w:val="26"/>
      <w:szCs w:val="26"/>
    </w:rPr>
  </w:style>
  <w:style w:type="paragraph" w:styleId="Ttulo3">
    <w:name w:val="heading 3"/>
    <w:basedOn w:val="Normal"/>
    <w:next w:val="Normal"/>
    <w:uiPriority w:val="9"/>
    <w:semiHidden/>
    <w:unhideWhenUsed/>
    <w:qFormat/>
    <w:pPr>
      <w:keepNext/>
      <w:spacing w:before="240" w:after="60"/>
      <w:ind w:left="2160" w:hanging="720"/>
      <w:outlineLvl w:val="2"/>
    </w:pPr>
    <w:rPr>
      <w:rFonts w:ascii="Calibri" w:eastAsia="Calibri" w:hAnsi="Calibri" w:cs="Calibri"/>
      <w:b/>
      <w:sz w:val="26"/>
      <w:szCs w:val="26"/>
    </w:rPr>
  </w:style>
  <w:style w:type="paragraph" w:styleId="Ttulo4">
    <w:name w:val="heading 4"/>
    <w:basedOn w:val="Normal"/>
    <w:next w:val="Normal"/>
    <w:uiPriority w:val="9"/>
    <w:semiHidden/>
    <w:unhideWhenUsed/>
    <w:qFormat/>
    <w:pPr>
      <w:keepNext/>
      <w:spacing w:before="240" w:after="60"/>
      <w:ind w:left="2880" w:hanging="720"/>
      <w:outlineLvl w:val="3"/>
    </w:pPr>
    <w:rPr>
      <w:rFonts w:ascii="Cambria" w:eastAsia="Cambria" w:hAnsi="Cambria" w:cs="Cambria"/>
      <w:b/>
      <w:sz w:val="28"/>
      <w:szCs w:val="28"/>
    </w:rPr>
  </w:style>
  <w:style w:type="paragraph" w:styleId="Ttulo5">
    <w:name w:val="heading 5"/>
    <w:basedOn w:val="Normal"/>
    <w:next w:val="Normal"/>
    <w:uiPriority w:val="9"/>
    <w:semiHidden/>
    <w:unhideWhenUsed/>
    <w:qFormat/>
    <w:pPr>
      <w:spacing w:before="240" w:after="60"/>
      <w:ind w:left="3600" w:hanging="720"/>
      <w:outlineLvl w:val="4"/>
    </w:pPr>
    <w:rPr>
      <w:rFonts w:ascii="Cambria" w:eastAsia="Cambria" w:hAnsi="Cambria" w:cs="Cambria"/>
      <w:b/>
      <w:i/>
      <w:sz w:val="26"/>
      <w:szCs w:val="26"/>
    </w:rPr>
  </w:style>
  <w:style w:type="paragraph" w:styleId="Ttulo6">
    <w:name w:val="heading 6"/>
    <w:basedOn w:val="Normal"/>
    <w:next w:val="Normal"/>
    <w:uiPriority w:val="9"/>
    <w:semiHidden/>
    <w:unhideWhenUsed/>
    <w:qFormat/>
    <w:pPr>
      <w:spacing w:before="240" w:after="60"/>
      <w:ind w:left="4320" w:hanging="720"/>
      <w:outlineLvl w:val="5"/>
    </w:pPr>
    <w:rPr>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3">
    <w:name w:val="TableNormal3"/>
    <w:tblPr>
      <w:tblCellMar>
        <w:top w:w="0" w:type="dxa"/>
        <w:left w:w="0" w:type="dxa"/>
        <w:bottom w:w="0" w:type="dxa"/>
        <w:right w:w="0" w:type="dxa"/>
      </w:tblCellMar>
    </w:tblPr>
  </w:style>
  <w:style w:type="table" w:customStyle="1" w:styleId="TableNormal2">
    <w:name w:val="TableNormal2"/>
    <w:tblPr>
      <w:tblCellMar>
        <w:top w:w="0" w:type="dxa"/>
        <w:left w:w="0" w:type="dxa"/>
        <w:bottom w:w="0" w:type="dxa"/>
        <w:right w:w="0" w:type="dxa"/>
      </w:tblCellMar>
    </w:tblPr>
  </w:style>
  <w:style w:type="table" w:customStyle="1" w:styleId="TableNormal1">
    <w:name w:val="TableNormal1"/>
    <w:tblPr>
      <w:tblCellMar>
        <w:top w:w="0" w:type="dxa"/>
        <w:left w:w="0" w:type="dxa"/>
        <w:bottom w:w="0" w:type="dxa"/>
        <w:right w:w="0" w:type="dxa"/>
      </w:tblCellMar>
    </w:tblPr>
  </w:style>
  <w:style w:type="table" w:customStyle="1" w:styleId="TableNormal0">
    <w:name w:val="Table Normal"/>
    <w:tblPr>
      <w:tblCellMar>
        <w:top w:w="0" w:type="dxa"/>
        <w:left w:w="0" w:type="dxa"/>
        <w:bottom w:w="0" w:type="dxa"/>
        <w:right w:w="0" w:type="dxa"/>
      </w:tblCellMar>
    </w:tblPr>
  </w:style>
  <w:style w:type="table" w:customStyle="1" w:styleId="TableNormal15">
    <w:name w:val="Table Normal15"/>
    <w:tblPr>
      <w:tblCellMar>
        <w:top w:w="0" w:type="dxa"/>
        <w:left w:w="0" w:type="dxa"/>
        <w:bottom w:w="0" w:type="dxa"/>
        <w:right w:w="0" w:type="dxa"/>
      </w:tblCellMar>
    </w:tblPr>
  </w:style>
  <w:style w:type="table" w:customStyle="1" w:styleId="TableNormal14">
    <w:name w:val="Table Normal14"/>
    <w:tblPr>
      <w:tblCellMar>
        <w:top w:w="0" w:type="dxa"/>
        <w:left w:w="0" w:type="dxa"/>
        <w:bottom w:w="0" w:type="dxa"/>
        <w:right w:w="0" w:type="dxa"/>
      </w:tblCellMar>
    </w:tblPr>
  </w:style>
  <w:style w:type="table" w:customStyle="1" w:styleId="TableNormal13">
    <w:name w:val="Table Normal13"/>
    <w:tblPr>
      <w:tblCellMar>
        <w:top w:w="0" w:type="dxa"/>
        <w:left w:w="0" w:type="dxa"/>
        <w:bottom w:w="0" w:type="dxa"/>
        <w:right w:w="0" w:type="dxa"/>
      </w:tblCellMar>
    </w:tblPr>
  </w:style>
  <w:style w:type="table" w:customStyle="1" w:styleId="TableNormal12">
    <w:name w:val="Table Normal12"/>
    <w:tblPr>
      <w:tblCellMar>
        <w:top w:w="0" w:type="dxa"/>
        <w:left w:w="0" w:type="dxa"/>
        <w:bottom w:w="0" w:type="dxa"/>
        <w:right w:w="0" w:type="dxa"/>
      </w:tblCellMar>
    </w:tblPr>
  </w:style>
  <w:style w:type="table" w:customStyle="1" w:styleId="TableNormal11">
    <w:name w:val="Table Normal11"/>
    <w:tblPr>
      <w:tblCellMar>
        <w:top w:w="0" w:type="dxa"/>
        <w:left w:w="0" w:type="dxa"/>
        <w:bottom w:w="0" w:type="dxa"/>
        <w:right w:w="0" w:type="dxa"/>
      </w:tblCellMar>
    </w:tblPr>
  </w:style>
  <w:style w:type="table" w:customStyle="1" w:styleId="TableNormal10">
    <w:name w:val="Table Normal10"/>
    <w:tblPr>
      <w:tblCellMar>
        <w:top w:w="0" w:type="dxa"/>
        <w:left w:w="0" w:type="dxa"/>
        <w:bottom w:w="0" w:type="dxa"/>
        <w:right w:w="0" w:type="dxa"/>
      </w:tblCellMar>
    </w:tblPr>
  </w:style>
  <w:style w:type="table" w:customStyle="1" w:styleId="TableNormal9">
    <w:name w:val="Table Normal9"/>
    <w:tblPr>
      <w:tblCellMar>
        <w:top w:w="0" w:type="dxa"/>
        <w:left w:w="0" w:type="dxa"/>
        <w:bottom w:w="0" w:type="dxa"/>
        <w:right w:w="0" w:type="dxa"/>
      </w:tblCellMar>
    </w:tblPr>
  </w:style>
  <w:style w:type="table" w:customStyle="1" w:styleId="TableNormal8">
    <w:name w:val="Table Normal8"/>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0">
    <w:name w:val="Table Normal3"/>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6">
    <w:name w:val="Table Normal1"/>
    <w:tblPr>
      <w:tblCellMar>
        <w:top w:w="0" w:type="dxa"/>
        <w:left w:w="0" w:type="dxa"/>
        <w:bottom w:w="0" w:type="dxa"/>
        <w:right w:w="0" w:type="dxa"/>
      </w:tblCellMar>
    </w:tblPr>
  </w:style>
  <w:style w:type="table" w:customStyle="1" w:styleId="47">
    <w:name w:val="47"/>
    <w:basedOn w:val="TableNormal16"/>
    <w:tblPr>
      <w:tblStyleRowBandSize w:val="1"/>
      <w:tblStyleColBandSize w:val="1"/>
      <w:tblCellMar>
        <w:left w:w="115" w:type="dxa"/>
        <w:right w:w="115" w:type="dxa"/>
      </w:tblCellMar>
    </w:tblPr>
  </w:style>
  <w:style w:type="table" w:customStyle="1" w:styleId="46">
    <w:name w:val="46"/>
    <w:basedOn w:val="TableNormal16"/>
    <w:tblPr>
      <w:tblStyleRowBandSize w:val="1"/>
      <w:tblStyleColBandSize w:val="1"/>
      <w:tblCellMar>
        <w:left w:w="115" w:type="dxa"/>
        <w:right w:w="115" w:type="dxa"/>
      </w:tblCellMar>
    </w:tblPr>
  </w:style>
  <w:style w:type="paragraph" w:styleId="Encabezado">
    <w:name w:val="header"/>
    <w:basedOn w:val="Normal"/>
    <w:link w:val="EncabezadoCar"/>
    <w:uiPriority w:val="99"/>
    <w:unhideWhenUsed/>
    <w:rsid w:val="000D197B"/>
    <w:pPr>
      <w:tabs>
        <w:tab w:val="center" w:pos="4419"/>
        <w:tab w:val="right" w:pos="8838"/>
      </w:tabs>
    </w:pPr>
  </w:style>
  <w:style w:type="character" w:customStyle="1" w:styleId="EncabezadoCar">
    <w:name w:val="Encabezado Car"/>
    <w:basedOn w:val="Fuentedeprrafopredeter"/>
    <w:link w:val="Encabezado"/>
    <w:uiPriority w:val="99"/>
    <w:rsid w:val="000D197B"/>
  </w:style>
  <w:style w:type="paragraph" w:styleId="Piedepgina">
    <w:name w:val="footer"/>
    <w:basedOn w:val="Normal"/>
    <w:link w:val="PiedepginaCar"/>
    <w:uiPriority w:val="99"/>
    <w:unhideWhenUsed/>
    <w:rsid w:val="000D197B"/>
    <w:pPr>
      <w:tabs>
        <w:tab w:val="center" w:pos="4419"/>
        <w:tab w:val="right" w:pos="8838"/>
      </w:tabs>
    </w:pPr>
  </w:style>
  <w:style w:type="character" w:customStyle="1" w:styleId="PiedepginaCar">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72"/>
    <w:qFormat/>
    <w:rsid w:val="00C43334"/>
    <w:pPr>
      <w:ind w:left="720"/>
      <w:contextualSpacing/>
    </w:pPr>
  </w:style>
  <w:style w:type="paragraph" w:styleId="NormalWeb">
    <w:name w:val="Normal (Web)"/>
    <w:basedOn w:val="Normal"/>
    <w:uiPriority w:val="99"/>
    <w:unhideWhenUsed/>
    <w:rsid w:val="00476335"/>
    <w:pPr>
      <w:spacing w:before="100" w:beforeAutospacing="1" w:after="100" w:after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806B5C"/>
    <w:rPr>
      <w:rFonts w:asciiTheme="minorHAnsi" w:eastAsiaTheme="minorHAnsi" w:hAnsiTheme="minorHAnsi" w:cstheme="minorBidi"/>
      <w:sz w:val="20"/>
      <w:szCs w:val="20"/>
      <w:lang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806B5C"/>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iPriority w:val="99"/>
    <w:unhideWhenUsed/>
    <w:qFormat/>
    <w:rsid w:val="00806B5C"/>
    <w:rPr>
      <w:vertAlign w:val="superscript"/>
    </w:rPr>
  </w:style>
  <w:style w:type="table" w:customStyle="1" w:styleId="45">
    <w:name w:val="45"/>
    <w:basedOn w:val="TableNormal16"/>
    <w:tblPr>
      <w:tblStyleRowBandSize w:val="1"/>
      <w:tblStyleColBandSize w:val="1"/>
      <w:tblCellMar>
        <w:left w:w="115" w:type="dxa"/>
        <w:right w:w="115" w:type="dxa"/>
      </w:tblCellMar>
    </w:tblPr>
  </w:style>
  <w:style w:type="table" w:customStyle="1" w:styleId="44">
    <w:name w:val="44"/>
    <w:basedOn w:val="TableNormal16"/>
    <w:tblPr>
      <w:tblStyleRowBandSize w:val="1"/>
      <w:tblStyleColBandSize w:val="1"/>
      <w:tblCellMar>
        <w:left w:w="115" w:type="dxa"/>
        <w:right w:w="115" w:type="dxa"/>
      </w:tblCellMar>
    </w:tblPr>
  </w:style>
  <w:style w:type="character" w:styleId="Hipervnculo">
    <w:name w:val="Hyperlink"/>
    <w:basedOn w:val="Fuentedeprrafopredeter"/>
    <w:uiPriority w:val="99"/>
    <w:unhideWhenUsed/>
    <w:rsid w:val="00504D6C"/>
    <w:rPr>
      <w:color w:val="0000FF" w:themeColor="hyperlink"/>
      <w:u w:val="single"/>
    </w:rPr>
  </w:style>
  <w:style w:type="character" w:styleId="Hipervnculovisitado">
    <w:name w:val="FollowedHyperlink"/>
    <w:basedOn w:val="Fuentedeprrafopredeter"/>
    <w:uiPriority w:val="99"/>
    <w:semiHidden/>
    <w:unhideWhenUsed/>
    <w:rsid w:val="00504D6C"/>
    <w:rPr>
      <w:color w:val="800080" w:themeColor="followedHyperlink"/>
      <w:u w:val="single"/>
    </w:rPr>
  </w:style>
  <w:style w:type="table" w:styleId="Tablaconcuadrcula">
    <w:name w:val="Table Grid"/>
    <w:basedOn w:val="Tablanormal"/>
    <w:uiPriority w:val="39"/>
    <w:rsid w:val="00134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43"/>
    <w:basedOn w:val="TableNormal20"/>
    <w:tblPr>
      <w:tblStyleRowBandSize w:val="1"/>
      <w:tblStyleColBandSize w:val="1"/>
      <w:tblCellMar>
        <w:left w:w="115" w:type="dxa"/>
        <w:right w:w="115" w:type="dxa"/>
      </w:tblCellMar>
    </w:tblPr>
  </w:style>
  <w:style w:type="table" w:customStyle="1" w:styleId="42">
    <w:name w:val="42"/>
    <w:basedOn w:val="TableNormal20"/>
    <w:tblPr>
      <w:tblStyleRowBandSize w:val="1"/>
      <w:tblStyleColBandSize w:val="1"/>
      <w:tblCellMar>
        <w:left w:w="115" w:type="dxa"/>
        <w:right w:w="115" w:type="dxa"/>
      </w:tblCellMar>
    </w:tblPr>
  </w:style>
  <w:style w:type="paragraph" w:styleId="Listaconvietas3">
    <w:name w:val="List Bullet 3"/>
    <w:basedOn w:val="Normal"/>
    <w:uiPriority w:val="99"/>
    <w:unhideWhenUsed/>
    <w:rsid w:val="005E017B"/>
    <w:pPr>
      <w:numPr>
        <w:numId w:val="1"/>
      </w:numPr>
      <w:contextualSpacing/>
    </w:pPr>
  </w:style>
  <w:style w:type="character" w:customStyle="1" w:styleId="yt-core-attributed-string--link-inherit-color">
    <w:name w:val="yt-core-attributed-string--link-inherit-color"/>
    <w:basedOn w:val="Fuentedeprrafopredeter"/>
    <w:rsid w:val="00EA0BEF"/>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72"/>
    <w:qFormat/>
    <w:locked/>
    <w:rsid w:val="00452086"/>
  </w:style>
  <w:style w:type="character" w:customStyle="1" w:styleId="Mencinsinresolver1">
    <w:name w:val="Mención sin resolver1"/>
    <w:basedOn w:val="Fuentedeprrafopredeter"/>
    <w:uiPriority w:val="99"/>
    <w:semiHidden/>
    <w:unhideWhenUsed/>
    <w:rsid w:val="00C64B15"/>
    <w:rPr>
      <w:color w:val="605E5C"/>
      <w:shd w:val="clear" w:color="auto" w:fill="E1DFDD"/>
    </w:rPr>
  </w:style>
  <w:style w:type="paragraph" w:customStyle="1" w:styleId="Default">
    <w:name w:val="Default"/>
    <w:rsid w:val="00B92077"/>
    <w:pPr>
      <w:autoSpaceDE w:val="0"/>
      <w:autoSpaceDN w:val="0"/>
      <w:adjustRightInd w:val="0"/>
    </w:pPr>
    <w:rPr>
      <w:rFonts w:ascii="Arial" w:hAnsi="Arial" w:cs="Arial"/>
      <w:color w:val="000000"/>
    </w:rPr>
  </w:style>
  <w:style w:type="character" w:customStyle="1" w:styleId="Mencinsinresolver2">
    <w:name w:val="Mención sin resolver2"/>
    <w:basedOn w:val="Fuentedeprrafopredeter"/>
    <w:uiPriority w:val="99"/>
    <w:semiHidden/>
    <w:unhideWhenUsed/>
    <w:rsid w:val="00251B93"/>
    <w:rPr>
      <w:color w:val="605E5C"/>
      <w:shd w:val="clear" w:color="auto" w:fill="E1DFDD"/>
    </w:rPr>
  </w:style>
  <w:style w:type="paragraph" w:styleId="Textodeglobo">
    <w:name w:val="Balloon Text"/>
    <w:basedOn w:val="Normal"/>
    <w:link w:val="TextodegloboCar"/>
    <w:uiPriority w:val="99"/>
    <w:semiHidden/>
    <w:unhideWhenUsed/>
    <w:rsid w:val="00DD0D6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0D64"/>
    <w:rPr>
      <w:rFonts w:ascii="Segoe UI" w:hAnsi="Segoe UI" w:cs="Segoe UI"/>
      <w:sz w:val="18"/>
      <w:szCs w:val="18"/>
    </w:rPr>
  </w:style>
  <w:style w:type="paragraph" w:styleId="Sinespaciado">
    <w:name w:val="No Spacing"/>
    <w:aliases w:val="Francesa"/>
    <w:link w:val="SinespaciadoCar"/>
    <w:uiPriority w:val="1"/>
    <w:qFormat/>
    <w:rsid w:val="000D0148"/>
    <w:rPr>
      <w:rFonts w:asciiTheme="minorHAnsi" w:eastAsiaTheme="minorHAnsi" w:hAnsiTheme="minorHAnsi" w:cstheme="minorBidi"/>
      <w:sz w:val="22"/>
      <w:szCs w:val="22"/>
      <w:lang w:eastAsia="en-US"/>
    </w:rPr>
  </w:style>
  <w:style w:type="character" w:customStyle="1" w:styleId="SinespaciadoCar">
    <w:name w:val="Sin espaciado Car"/>
    <w:aliases w:val="Francesa Car"/>
    <w:link w:val="Sinespaciado"/>
    <w:uiPriority w:val="1"/>
    <w:locked/>
    <w:rsid w:val="000D0148"/>
    <w:rPr>
      <w:rFonts w:asciiTheme="minorHAnsi" w:eastAsiaTheme="minorHAnsi" w:hAnsiTheme="minorHAnsi" w:cstheme="minorBidi"/>
      <w:sz w:val="22"/>
      <w:szCs w:val="22"/>
      <w:lang w:eastAsia="en-US"/>
    </w:rPr>
  </w:style>
  <w:style w:type="paragraph" w:customStyle="1" w:styleId="rtejustify">
    <w:name w:val="rtejustify"/>
    <w:basedOn w:val="Normal"/>
    <w:rsid w:val="00876EB7"/>
    <w:pPr>
      <w:spacing w:before="100" w:beforeAutospacing="1" w:after="100" w:afterAutospacing="1"/>
    </w:pPr>
  </w:style>
  <w:style w:type="table" w:customStyle="1" w:styleId="41">
    <w:name w:val="41"/>
    <w:basedOn w:val="TableNormal30"/>
    <w:tblPr>
      <w:tblStyleRowBandSize w:val="1"/>
      <w:tblStyleColBandSize w:val="1"/>
      <w:tblCellMar>
        <w:left w:w="108" w:type="dxa"/>
        <w:right w:w="108" w:type="dxa"/>
      </w:tblCellMar>
    </w:tblPr>
  </w:style>
  <w:style w:type="table" w:customStyle="1" w:styleId="40">
    <w:name w:val="40"/>
    <w:basedOn w:val="TableNormal30"/>
    <w:tblPr>
      <w:tblStyleRowBandSize w:val="1"/>
      <w:tblStyleColBandSize w:val="1"/>
      <w:tblCellMar>
        <w:left w:w="108" w:type="dxa"/>
        <w:right w:w="108" w:type="dxa"/>
      </w:tblCellMar>
    </w:tblPr>
  </w:style>
  <w:style w:type="table" w:customStyle="1" w:styleId="39">
    <w:name w:val="39"/>
    <w:basedOn w:val="TableNormal30"/>
    <w:tblPr>
      <w:tblStyleRowBandSize w:val="1"/>
      <w:tblStyleColBandSize w:val="1"/>
      <w:tblCellMar>
        <w:left w:w="108" w:type="dxa"/>
        <w:right w:w="108" w:type="dxa"/>
      </w:tblCellMar>
    </w:tblPr>
  </w:style>
  <w:style w:type="table" w:customStyle="1" w:styleId="38">
    <w:name w:val="38"/>
    <w:basedOn w:val="TableNormal30"/>
    <w:tblPr>
      <w:tblStyleRowBandSize w:val="1"/>
      <w:tblStyleColBandSize w:val="1"/>
      <w:tblCellMar>
        <w:left w:w="108" w:type="dxa"/>
        <w:right w:w="108" w:type="dxa"/>
      </w:tblCellMar>
    </w:tblPr>
  </w:style>
  <w:style w:type="table" w:customStyle="1" w:styleId="37">
    <w:name w:val="37"/>
    <w:basedOn w:val="TableNormal30"/>
    <w:tblPr>
      <w:tblStyleRowBandSize w:val="1"/>
      <w:tblStyleColBandSize w:val="1"/>
      <w:tblCellMar>
        <w:left w:w="108" w:type="dxa"/>
        <w:right w:w="108" w:type="dxa"/>
      </w:tblCellMar>
    </w:tblPr>
  </w:style>
  <w:style w:type="table" w:customStyle="1" w:styleId="36">
    <w:name w:val="36"/>
    <w:basedOn w:val="TableNormal30"/>
    <w:tblPr>
      <w:tblStyleRowBandSize w:val="1"/>
      <w:tblStyleColBandSize w:val="1"/>
      <w:tblCellMar>
        <w:left w:w="115" w:type="dxa"/>
        <w:right w:w="115" w:type="dxa"/>
      </w:tblCellMar>
    </w:tblPr>
  </w:style>
  <w:style w:type="table" w:customStyle="1" w:styleId="35">
    <w:name w:val="35"/>
    <w:basedOn w:val="TableNormal30"/>
    <w:tblPr>
      <w:tblStyleRowBandSize w:val="1"/>
      <w:tblStyleColBandSize w:val="1"/>
      <w:tblCellMar>
        <w:left w:w="115" w:type="dxa"/>
        <w:right w:w="115" w:type="dxa"/>
      </w:tblCellMar>
    </w:tblPr>
  </w:style>
  <w:style w:type="table" w:customStyle="1" w:styleId="34">
    <w:name w:val="34"/>
    <w:basedOn w:val="TableNormal4"/>
    <w:tblPr>
      <w:tblStyleRowBandSize w:val="1"/>
      <w:tblStyleColBandSize w:val="1"/>
      <w:tblCellMar>
        <w:left w:w="108" w:type="dxa"/>
        <w:right w:w="108" w:type="dxa"/>
      </w:tblCellMar>
    </w:tblPr>
  </w:style>
  <w:style w:type="table" w:customStyle="1" w:styleId="33">
    <w:name w:val="33"/>
    <w:basedOn w:val="TableNormal4"/>
    <w:tblPr>
      <w:tblStyleRowBandSize w:val="1"/>
      <w:tblStyleColBandSize w:val="1"/>
      <w:tblCellMar>
        <w:left w:w="115" w:type="dxa"/>
        <w:right w:w="115" w:type="dxa"/>
      </w:tblCellMar>
    </w:tblPr>
  </w:style>
  <w:style w:type="table" w:customStyle="1" w:styleId="32">
    <w:name w:val="32"/>
    <w:basedOn w:val="TableNormal4"/>
    <w:tblPr>
      <w:tblStyleRowBandSize w:val="1"/>
      <w:tblStyleColBandSize w:val="1"/>
      <w:tblCellMar>
        <w:left w:w="115" w:type="dxa"/>
        <w:right w:w="115" w:type="dxa"/>
      </w:tblCellMar>
    </w:tblPr>
  </w:style>
  <w:style w:type="table" w:customStyle="1" w:styleId="31">
    <w:name w:val="31"/>
    <w:basedOn w:val="TableNormal5"/>
    <w:tblPr>
      <w:tblStyleRowBandSize w:val="1"/>
      <w:tblStyleColBandSize w:val="1"/>
      <w:tblCellMar>
        <w:left w:w="115" w:type="dxa"/>
        <w:right w:w="115" w:type="dxa"/>
      </w:tblCellMar>
    </w:tblPr>
  </w:style>
  <w:style w:type="table" w:customStyle="1" w:styleId="30">
    <w:name w:val="30"/>
    <w:basedOn w:val="TableNormal5"/>
    <w:tblPr>
      <w:tblStyleRowBandSize w:val="1"/>
      <w:tblStyleColBandSize w:val="1"/>
      <w:tblCellMar>
        <w:left w:w="115" w:type="dxa"/>
        <w:right w:w="115" w:type="dxa"/>
      </w:tblCellMar>
    </w:tblPr>
  </w:style>
  <w:style w:type="table" w:customStyle="1" w:styleId="29">
    <w:name w:val="29"/>
    <w:basedOn w:val="TableNormal5"/>
    <w:tblPr>
      <w:tblStyleRowBandSize w:val="1"/>
      <w:tblStyleColBandSize w:val="1"/>
      <w:tblCellMar>
        <w:left w:w="115" w:type="dxa"/>
        <w:right w:w="115" w:type="dxa"/>
      </w:tblCellMar>
    </w:tblPr>
  </w:style>
  <w:style w:type="table" w:customStyle="1" w:styleId="28">
    <w:name w:val="28"/>
    <w:basedOn w:val="TableNormal6"/>
    <w:tblPr>
      <w:tblStyleRowBandSize w:val="1"/>
      <w:tblStyleColBandSize w:val="1"/>
      <w:tblCellMar>
        <w:left w:w="115" w:type="dxa"/>
        <w:right w:w="115" w:type="dxa"/>
      </w:tblCellMar>
    </w:tblPr>
  </w:style>
  <w:style w:type="table" w:customStyle="1" w:styleId="27">
    <w:name w:val="27"/>
    <w:basedOn w:val="TableNormal6"/>
    <w:tblPr>
      <w:tblStyleRowBandSize w:val="1"/>
      <w:tblStyleColBandSize w:val="1"/>
      <w:tblCellMar>
        <w:left w:w="115" w:type="dxa"/>
        <w:right w:w="115" w:type="dxa"/>
      </w:tblCellMar>
    </w:tblPr>
  </w:style>
  <w:style w:type="table" w:customStyle="1" w:styleId="26">
    <w:name w:val="26"/>
    <w:basedOn w:val="TableNormal7"/>
    <w:tblPr>
      <w:tblStyleRowBandSize w:val="1"/>
      <w:tblStyleColBandSize w:val="1"/>
      <w:tblCellMar>
        <w:left w:w="115" w:type="dxa"/>
        <w:right w:w="115" w:type="dxa"/>
      </w:tblCellMar>
    </w:tblPr>
  </w:style>
  <w:style w:type="table" w:customStyle="1" w:styleId="25">
    <w:name w:val="25"/>
    <w:basedOn w:val="TableNormal7"/>
    <w:tblPr>
      <w:tblStyleRowBandSize w:val="1"/>
      <w:tblStyleColBandSize w:val="1"/>
      <w:tblCellMar>
        <w:left w:w="115" w:type="dxa"/>
        <w:right w:w="115" w:type="dxa"/>
      </w:tblCellMar>
    </w:tblPr>
  </w:style>
  <w:style w:type="table" w:customStyle="1" w:styleId="24">
    <w:name w:val="24"/>
    <w:basedOn w:val="TableNormal8"/>
    <w:tblPr>
      <w:tblStyleRowBandSize w:val="1"/>
      <w:tblStyleColBandSize w:val="1"/>
      <w:tblCellMar>
        <w:left w:w="115" w:type="dxa"/>
        <w:right w:w="115" w:type="dxa"/>
      </w:tblCellMar>
    </w:tblPr>
  </w:style>
  <w:style w:type="table" w:customStyle="1" w:styleId="23">
    <w:name w:val="23"/>
    <w:basedOn w:val="TableNormal8"/>
    <w:tblPr>
      <w:tblStyleRowBandSize w:val="1"/>
      <w:tblStyleColBandSize w:val="1"/>
      <w:tblCellMar>
        <w:left w:w="115" w:type="dxa"/>
        <w:right w:w="115" w:type="dxa"/>
      </w:tblCellMar>
    </w:tblPr>
  </w:style>
  <w:style w:type="character" w:styleId="Textoennegrita">
    <w:name w:val="Strong"/>
    <w:basedOn w:val="Fuentedeprrafopredeter"/>
    <w:uiPriority w:val="22"/>
    <w:qFormat/>
    <w:rsid w:val="002C02D7"/>
    <w:rPr>
      <w:b/>
      <w:bCs/>
    </w:rPr>
  </w:style>
  <w:style w:type="character" w:customStyle="1" w:styleId="object">
    <w:name w:val="object"/>
    <w:basedOn w:val="Fuentedeprrafopredeter"/>
    <w:rsid w:val="002C02D7"/>
  </w:style>
  <w:style w:type="table" w:customStyle="1" w:styleId="22">
    <w:name w:val="22"/>
    <w:basedOn w:val="TableNormal9"/>
    <w:tblPr>
      <w:tblStyleRowBandSize w:val="1"/>
      <w:tblStyleColBandSize w:val="1"/>
      <w:tblCellMar>
        <w:left w:w="115" w:type="dxa"/>
        <w:right w:w="115" w:type="dxa"/>
      </w:tblCellMar>
    </w:tblPr>
  </w:style>
  <w:style w:type="table" w:customStyle="1" w:styleId="21">
    <w:name w:val="21"/>
    <w:basedOn w:val="TableNormal9"/>
    <w:tblPr>
      <w:tblStyleRowBandSize w:val="1"/>
      <w:tblStyleColBandSize w:val="1"/>
      <w:tblCellMar>
        <w:left w:w="115" w:type="dxa"/>
        <w:right w:w="115" w:type="dxa"/>
      </w:tblCellMar>
    </w:tblPr>
  </w:style>
  <w:style w:type="table" w:customStyle="1" w:styleId="20">
    <w:name w:val="20"/>
    <w:basedOn w:val="TableNormal10"/>
    <w:tblPr>
      <w:tblStyleRowBandSize w:val="1"/>
      <w:tblStyleColBandSize w:val="1"/>
      <w:tblCellMar>
        <w:left w:w="115" w:type="dxa"/>
        <w:right w:w="115" w:type="dxa"/>
      </w:tblCellMar>
    </w:tblPr>
  </w:style>
  <w:style w:type="table" w:customStyle="1" w:styleId="19">
    <w:name w:val="19"/>
    <w:basedOn w:val="TableNormal10"/>
    <w:tblPr>
      <w:tblStyleRowBandSize w:val="1"/>
      <w:tblStyleColBandSize w:val="1"/>
      <w:tblCellMar>
        <w:left w:w="115" w:type="dxa"/>
        <w:right w:w="115" w:type="dxa"/>
      </w:tblCellMar>
    </w:tblPr>
  </w:style>
  <w:style w:type="table" w:customStyle="1" w:styleId="18">
    <w:name w:val="18"/>
    <w:basedOn w:val="TableNormal11"/>
    <w:tblPr>
      <w:tblStyleRowBandSize w:val="1"/>
      <w:tblStyleColBandSize w:val="1"/>
      <w:tblCellMar>
        <w:left w:w="115" w:type="dxa"/>
        <w:right w:w="115" w:type="dxa"/>
      </w:tblCellMar>
    </w:tblPr>
  </w:style>
  <w:style w:type="table" w:customStyle="1" w:styleId="17">
    <w:name w:val="17"/>
    <w:basedOn w:val="TableNormal11"/>
    <w:tblPr>
      <w:tblStyleRowBandSize w:val="1"/>
      <w:tblStyleColBandSize w:val="1"/>
      <w:tblCellMar>
        <w:left w:w="115" w:type="dxa"/>
        <w:right w:w="115" w:type="dxa"/>
      </w:tblCellMar>
    </w:tblPr>
  </w:style>
  <w:style w:type="table" w:customStyle="1" w:styleId="16">
    <w:name w:val="16"/>
    <w:basedOn w:val="TableNormal12"/>
    <w:tblPr>
      <w:tblStyleRowBandSize w:val="1"/>
      <w:tblStyleColBandSize w:val="1"/>
      <w:tblCellMar>
        <w:left w:w="115" w:type="dxa"/>
        <w:right w:w="115" w:type="dxa"/>
      </w:tblCellMar>
    </w:tblPr>
  </w:style>
  <w:style w:type="table" w:customStyle="1" w:styleId="15">
    <w:name w:val="15"/>
    <w:basedOn w:val="TableNormal12"/>
    <w:tblPr>
      <w:tblStyleRowBandSize w:val="1"/>
      <w:tblStyleColBandSize w:val="1"/>
      <w:tblCellMar>
        <w:left w:w="115" w:type="dxa"/>
        <w:right w:w="115" w:type="dxa"/>
      </w:tblCellMar>
    </w:tblPr>
  </w:style>
  <w:style w:type="table" w:customStyle="1" w:styleId="14">
    <w:name w:val="14"/>
    <w:basedOn w:val="TableNormal13"/>
    <w:tblPr>
      <w:tblStyleRowBandSize w:val="1"/>
      <w:tblStyleColBandSize w:val="1"/>
      <w:tblCellMar>
        <w:left w:w="115" w:type="dxa"/>
        <w:right w:w="115" w:type="dxa"/>
      </w:tblCellMar>
    </w:tblPr>
  </w:style>
  <w:style w:type="table" w:customStyle="1" w:styleId="13">
    <w:name w:val="13"/>
    <w:basedOn w:val="TableNormal13"/>
    <w:tblPr>
      <w:tblStyleRowBandSize w:val="1"/>
      <w:tblStyleColBandSize w:val="1"/>
      <w:tblCellMar>
        <w:left w:w="115" w:type="dxa"/>
        <w:right w:w="115" w:type="dxa"/>
      </w:tblCellMar>
    </w:tblPr>
  </w:style>
  <w:style w:type="table" w:customStyle="1" w:styleId="12">
    <w:name w:val="12"/>
    <w:basedOn w:val="TableNormal14"/>
    <w:tblPr>
      <w:tblStyleRowBandSize w:val="1"/>
      <w:tblStyleColBandSize w:val="1"/>
      <w:tblCellMar>
        <w:left w:w="115" w:type="dxa"/>
        <w:right w:w="115" w:type="dxa"/>
      </w:tblCellMar>
    </w:tblPr>
  </w:style>
  <w:style w:type="table" w:customStyle="1" w:styleId="11">
    <w:name w:val="11"/>
    <w:basedOn w:val="TableNormal14"/>
    <w:tblPr>
      <w:tblStyleRowBandSize w:val="1"/>
      <w:tblStyleColBandSize w:val="1"/>
      <w:tblCellMar>
        <w:left w:w="115" w:type="dxa"/>
        <w:right w:w="115" w:type="dxa"/>
      </w:tblCellMar>
    </w:tblPr>
  </w:style>
  <w:style w:type="table" w:customStyle="1" w:styleId="10">
    <w:name w:val="10"/>
    <w:basedOn w:val="TableNormal15"/>
    <w:tblPr>
      <w:tblStyleRowBandSize w:val="1"/>
      <w:tblStyleColBandSize w:val="1"/>
      <w:tblCellMar>
        <w:left w:w="115" w:type="dxa"/>
        <w:right w:w="115" w:type="dxa"/>
      </w:tblCellMar>
    </w:tblPr>
  </w:style>
  <w:style w:type="table" w:customStyle="1" w:styleId="9">
    <w:name w:val="9"/>
    <w:basedOn w:val="TableNormal15"/>
    <w:tblPr>
      <w:tblStyleRowBandSize w:val="1"/>
      <w:tblStyleColBandSize w:val="1"/>
      <w:tblCellMar>
        <w:left w:w="115" w:type="dxa"/>
        <w:right w:w="115" w:type="dxa"/>
      </w:tblCellMar>
    </w:tblPr>
  </w:style>
  <w:style w:type="table" w:customStyle="1" w:styleId="8">
    <w:name w:val="8"/>
    <w:basedOn w:val="TableNormal0"/>
    <w:tblPr>
      <w:tblStyleRowBandSize w:val="1"/>
      <w:tblStyleColBandSize w:val="1"/>
      <w:tblCellMar>
        <w:left w:w="115" w:type="dxa"/>
        <w:right w:w="115" w:type="dxa"/>
      </w:tblCellMar>
    </w:tblPr>
  </w:style>
  <w:style w:type="table" w:customStyle="1" w:styleId="7">
    <w:name w:val="7"/>
    <w:basedOn w:val="TableNormal0"/>
    <w:tblPr>
      <w:tblStyleRowBandSize w:val="1"/>
      <w:tblStyleColBandSize w:val="1"/>
      <w:tblCellMar>
        <w:left w:w="115" w:type="dxa"/>
        <w:right w:w="115" w:type="dxa"/>
      </w:tblCellMar>
    </w:tblPr>
  </w:style>
  <w:style w:type="table" w:customStyle="1" w:styleId="6">
    <w:name w:val="6"/>
    <w:basedOn w:val="TableNormal1"/>
    <w:tblPr>
      <w:tblStyleRowBandSize w:val="1"/>
      <w:tblStyleColBandSize w:val="1"/>
      <w:tblCellMar>
        <w:left w:w="115" w:type="dxa"/>
        <w:right w:w="115" w:type="dxa"/>
      </w:tblCellMar>
    </w:tblPr>
  </w:style>
  <w:style w:type="table" w:customStyle="1" w:styleId="5">
    <w:name w:val="5"/>
    <w:basedOn w:val="TableNormal1"/>
    <w:tblPr>
      <w:tblStyleRowBandSize w:val="1"/>
      <w:tblStyleColBandSize w:val="1"/>
      <w:tblCellMar>
        <w:left w:w="115" w:type="dxa"/>
        <w:right w:w="115" w:type="dxa"/>
      </w:tblCellMar>
    </w:tblPr>
  </w:style>
  <w:style w:type="table" w:customStyle="1" w:styleId="4">
    <w:name w:val="4"/>
    <w:basedOn w:val="TableNormal2"/>
    <w:tblPr>
      <w:tblStyleRowBandSize w:val="1"/>
      <w:tblStyleColBandSize w:val="1"/>
      <w:tblCellMar>
        <w:left w:w="115" w:type="dxa"/>
        <w:right w:w="115" w:type="dxa"/>
      </w:tblCellMar>
    </w:tblPr>
  </w:style>
  <w:style w:type="table" w:customStyle="1" w:styleId="3">
    <w:name w:val="3"/>
    <w:basedOn w:val="TableNormal2"/>
    <w:tblPr>
      <w:tblStyleRowBandSize w:val="1"/>
      <w:tblStyleColBandSize w:val="1"/>
      <w:tblCellMar>
        <w:left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2">
    <w:name w:val="2"/>
    <w:basedOn w:val="TableNormal3"/>
    <w:tblPr>
      <w:tblStyleRowBandSize w:val="1"/>
      <w:tblStyleColBandSize w:val="1"/>
      <w:tblCellMar>
        <w:left w:w="115" w:type="dxa"/>
        <w:right w:w="115" w:type="dxa"/>
      </w:tblCellMar>
    </w:tblPr>
  </w:style>
  <w:style w:type="table" w:customStyle="1" w:styleId="1">
    <w:name w:val="1"/>
    <w:basedOn w:val="TableNormal3"/>
    <w:tblPr>
      <w:tblStyleRowBandSize w:val="1"/>
      <w:tblStyleColBandSize w:val="1"/>
      <w:tblCellMar>
        <w:left w:w="115" w:type="dxa"/>
        <w:right w:w="115" w:type="dxa"/>
      </w:tblCellMar>
    </w:tblPr>
  </w:style>
  <w:style w:type="paragraph" w:styleId="Lista">
    <w:name w:val="List"/>
    <w:basedOn w:val="Normal"/>
    <w:uiPriority w:val="99"/>
    <w:unhideWhenUsed/>
    <w:rsid w:val="0076259D"/>
    <w:pPr>
      <w:ind w:left="283" w:hanging="283"/>
      <w:contextualSpacing/>
    </w:pPr>
  </w:style>
  <w:style w:type="paragraph" w:styleId="Lista2">
    <w:name w:val="List 2"/>
    <w:basedOn w:val="Normal"/>
    <w:uiPriority w:val="99"/>
    <w:unhideWhenUsed/>
    <w:rsid w:val="0076259D"/>
    <w:pPr>
      <w:ind w:left="566" w:hanging="283"/>
      <w:contextualSpacing/>
    </w:pPr>
  </w:style>
  <w:style w:type="paragraph" w:styleId="Lista3">
    <w:name w:val="List 3"/>
    <w:basedOn w:val="Normal"/>
    <w:uiPriority w:val="99"/>
    <w:unhideWhenUsed/>
    <w:rsid w:val="0076259D"/>
    <w:pPr>
      <w:ind w:left="849" w:hanging="283"/>
      <w:contextualSpacing/>
    </w:pPr>
  </w:style>
  <w:style w:type="paragraph" w:styleId="Lista4">
    <w:name w:val="List 4"/>
    <w:basedOn w:val="Normal"/>
    <w:uiPriority w:val="99"/>
    <w:unhideWhenUsed/>
    <w:rsid w:val="0076259D"/>
    <w:pPr>
      <w:ind w:left="1132" w:hanging="283"/>
      <w:contextualSpacing/>
    </w:pPr>
  </w:style>
  <w:style w:type="paragraph" w:styleId="Lista5">
    <w:name w:val="List 5"/>
    <w:basedOn w:val="Normal"/>
    <w:uiPriority w:val="99"/>
    <w:unhideWhenUsed/>
    <w:rsid w:val="0076259D"/>
    <w:pPr>
      <w:ind w:left="1415" w:hanging="283"/>
      <w:contextualSpacing/>
    </w:pPr>
  </w:style>
  <w:style w:type="paragraph" w:styleId="Saludo">
    <w:name w:val="Salutation"/>
    <w:basedOn w:val="Normal"/>
    <w:next w:val="Normal"/>
    <w:link w:val="SaludoCar"/>
    <w:uiPriority w:val="99"/>
    <w:unhideWhenUsed/>
    <w:rsid w:val="0076259D"/>
  </w:style>
  <w:style w:type="character" w:customStyle="1" w:styleId="SaludoCar">
    <w:name w:val="Saludo Car"/>
    <w:basedOn w:val="Fuentedeprrafopredeter"/>
    <w:link w:val="Saludo"/>
    <w:uiPriority w:val="99"/>
    <w:rsid w:val="0076259D"/>
  </w:style>
  <w:style w:type="paragraph" w:styleId="Listaconvietas">
    <w:name w:val="List Bullet"/>
    <w:basedOn w:val="Normal"/>
    <w:uiPriority w:val="99"/>
    <w:unhideWhenUsed/>
    <w:rsid w:val="0076259D"/>
    <w:pPr>
      <w:numPr>
        <w:numId w:val="6"/>
      </w:numPr>
      <w:contextualSpacing/>
    </w:pPr>
  </w:style>
  <w:style w:type="paragraph" w:styleId="Listaconvietas2">
    <w:name w:val="List Bullet 2"/>
    <w:basedOn w:val="Normal"/>
    <w:uiPriority w:val="99"/>
    <w:unhideWhenUsed/>
    <w:rsid w:val="0076259D"/>
    <w:pPr>
      <w:numPr>
        <w:numId w:val="7"/>
      </w:numPr>
      <w:contextualSpacing/>
    </w:pPr>
  </w:style>
  <w:style w:type="paragraph" w:styleId="Continuarlista">
    <w:name w:val="List Continue"/>
    <w:basedOn w:val="Normal"/>
    <w:uiPriority w:val="99"/>
    <w:unhideWhenUsed/>
    <w:rsid w:val="0076259D"/>
    <w:pPr>
      <w:spacing w:after="120"/>
      <w:ind w:left="283"/>
      <w:contextualSpacing/>
    </w:pPr>
  </w:style>
  <w:style w:type="paragraph" w:styleId="Textoindependiente">
    <w:name w:val="Body Text"/>
    <w:basedOn w:val="Normal"/>
    <w:link w:val="TextoindependienteCar"/>
    <w:uiPriority w:val="99"/>
    <w:unhideWhenUsed/>
    <w:rsid w:val="0076259D"/>
    <w:pPr>
      <w:spacing w:after="120"/>
    </w:pPr>
  </w:style>
  <w:style w:type="character" w:customStyle="1" w:styleId="TextoindependienteCar">
    <w:name w:val="Texto independiente Car"/>
    <w:basedOn w:val="Fuentedeprrafopredeter"/>
    <w:link w:val="Textoindependiente"/>
    <w:uiPriority w:val="99"/>
    <w:rsid w:val="0076259D"/>
  </w:style>
  <w:style w:type="paragraph" w:styleId="Sangradetextonormal">
    <w:name w:val="Body Text Indent"/>
    <w:basedOn w:val="Normal"/>
    <w:link w:val="SangradetextonormalCar"/>
    <w:uiPriority w:val="99"/>
    <w:unhideWhenUsed/>
    <w:rsid w:val="0076259D"/>
    <w:pPr>
      <w:spacing w:after="120"/>
      <w:ind w:left="283"/>
    </w:pPr>
  </w:style>
  <w:style w:type="character" w:customStyle="1" w:styleId="SangradetextonormalCar">
    <w:name w:val="Sangría de texto normal Car"/>
    <w:basedOn w:val="Fuentedeprrafopredeter"/>
    <w:link w:val="Sangradetextonormal"/>
    <w:uiPriority w:val="99"/>
    <w:rsid w:val="0076259D"/>
  </w:style>
  <w:style w:type="paragraph" w:styleId="Textoindependienteprimerasangra2">
    <w:name w:val="Body Text First Indent 2"/>
    <w:basedOn w:val="Sangradetextonormal"/>
    <w:link w:val="Textoindependienteprimerasangra2Car"/>
    <w:uiPriority w:val="99"/>
    <w:unhideWhenUsed/>
    <w:rsid w:val="0076259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6259D"/>
  </w:style>
  <w:style w:type="character" w:customStyle="1" w:styleId="Mencinsinresolver3">
    <w:name w:val="Mención sin resolver3"/>
    <w:basedOn w:val="Fuentedeprrafopredeter"/>
    <w:uiPriority w:val="99"/>
    <w:semiHidden/>
    <w:unhideWhenUsed/>
    <w:rsid w:val="00C90819"/>
    <w:rPr>
      <w:color w:val="605E5C"/>
      <w:shd w:val="clear" w:color="auto" w:fill="E1DFDD"/>
    </w:rPr>
  </w:style>
  <w:style w:type="character" w:customStyle="1" w:styleId="Mencinsinresolver4">
    <w:name w:val="Mención sin resolver4"/>
    <w:basedOn w:val="Fuentedeprrafopredeter"/>
    <w:uiPriority w:val="99"/>
    <w:semiHidden/>
    <w:unhideWhenUsed/>
    <w:rsid w:val="002C42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063920">
      <w:bodyDiv w:val="1"/>
      <w:marLeft w:val="0"/>
      <w:marRight w:val="0"/>
      <w:marTop w:val="0"/>
      <w:marBottom w:val="0"/>
      <w:divBdr>
        <w:top w:val="none" w:sz="0" w:space="0" w:color="auto"/>
        <w:left w:val="none" w:sz="0" w:space="0" w:color="auto"/>
        <w:bottom w:val="none" w:sz="0" w:space="0" w:color="auto"/>
        <w:right w:val="none" w:sz="0" w:space="0" w:color="auto"/>
      </w:divBdr>
    </w:div>
    <w:div w:id="13280944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fUmA8CbdtqGPvZMvoJJm3uf21g==">CgMxLjAyCWguM3JkY3JqbjIOaC5kYWozajJ4bzZxNjYyCGguZ2pkZ3hzMgloLjNkeTZ2a20yCWguMzBqMHpsbDIJaC4yczhleW8xMghoLnR5amN3dDIJaC4yZXQ5MnAwMgloLjI2aW4xcmcyCWguMTdkcDh2dTIIaC5sbnhiejk4AHIhMUpERlNuZGw5LUV0aHkyYUNyYlJzTExMdi1WQTkzblFP</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B6A8A37-D077-410C-886E-4E4B88194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7994</Words>
  <Characters>43969</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Maricela Villagómez Martínez</cp:lastModifiedBy>
  <cp:revision>2</cp:revision>
  <cp:lastPrinted>2026-09-25T18:10:00Z</cp:lastPrinted>
  <dcterms:created xsi:type="dcterms:W3CDTF">2026-09-28T16:22:00Z</dcterms:created>
  <dcterms:modified xsi:type="dcterms:W3CDTF">2026-09-28T16:22:00Z</dcterms:modified>
</cp:coreProperties>
</file>