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FB8" w:rsidRPr="008B06FF" w:rsidRDefault="005F2828">
      <w:pPr>
        <w:tabs>
          <w:tab w:val="left" w:pos="0"/>
        </w:tabs>
        <w:spacing w:line="360" w:lineRule="auto"/>
        <w:jc w:val="both"/>
        <w:rPr>
          <w:rFonts w:ascii="Palatino Linotype" w:eastAsia="Palatino Linotype" w:hAnsi="Palatino Linotype" w:cs="Palatino Linotype"/>
          <w:b/>
        </w:rPr>
      </w:pPr>
      <w:bookmarkStart w:id="0" w:name="_heading=h.sre9h05q4v0b" w:colFirst="0" w:colLast="0"/>
      <w:bookmarkStart w:id="1" w:name="_GoBack"/>
      <w:bookmarkEnd w:id="0"/>
      <w:bookmarkEnd w:id="1"/>
      <w:r w:rsidRPr="008B06FF">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8B06FF">
        <w:rPr>
          <w:rFonts w:ascii="Palatino Linotype" w:eastAsia="Palatino Linotype" w:hAnsi="Palatino Linotype" w:cs="Palatino Linotype"/>
          <w:b/>
        </w:rPr>
        <w:t xml:space="preserve">de fecha </w:t>
      </w:r>
      <w:r w:rsidR="008E078B" w:rsidRPr="008B06FF">
        <w:rPr>
          <w:rFonts w:ascii="Palatino Linotype" w:eastAsia="Palatino Linotype" w:hAnsi="Palatino Linotype" w:cs="Palatino Linotype"/>
          <w:b/>
        </w:rPr>
        <w:t xml:space="preserve">veintidós </w:t>
      </w:r>
      <w:r w:rsidR="008B06FF" w:rsidRPr="008B06FF">
        <w:rPr>
          <w:rFonts w:ascii="Palatino Linotype" w:eastAsia="Palatino Linotype" w:hAnsi="Palatino Linotype" w:cs="Palatino Linotype"/>
          <w:b/>
        </w:rPr>
        <w:t xml:space="preserve">(22) </w:t>
      </w:r>
      <w:r w:rsidRPr="008B06FF">
        <w:rPr>
          <w:rFonts w:ascii="Palatino Linotype" w:eastAsia="Palatino Linotype" w:hAnsi="Palatino Linotype" w:cs="Palatino Linotype"/>
          <w:b/>
        </w:rPr>
        <w:t xml:space="preserve">de </w:t>
      </w:r>
      <w:r w:rsidR="0091665B" w:rsidRPr="008B06FF">
        <w:rPr>
          <w:rFonts w:ascii="Palatino Linotype" w:eastAsia="Palatino Linotype" w:hAnsi="Palatino Linotype" w:cs="Palatino Linotype"/>
          <w:b/>
        </w:rPr>
        <w:t xml:space="preserve">abril </w:t>
      </w:r>
      <w:r w:rsidRPr="008B06FF">
        <w:rPr>
          <w:rFonts w:ascii="Palatino Linotype" w:eastAsia="Palatino Linotype" w:hAnsi="Palatino Linotype" w:cs="Palatino Linotype"/>
          <w:b/>
        </w:rPr>
        <w:t xml:space="preserve">de dos mil </w:t>
      </w:r>
      <w:r w:rsidR="0091665B" w:rsidRPr="008B06FF">
        <w:rPr>
          <w:rFonts w:ascii="Palatino Linotype" w:eastAsia="Palatino Linotype" w:hAnsi="Palatino Linotype" w:cs="Palatino Linotype"/>
          <w:b/>
        </w:rPr>
        <w:t>veintiséis</w:t>
      </w:r>
      <w:r w:rsidRPr="008B06FF">
        <w:rPr>
          <w:rFonts w:ascii="Palatino Linotype" w:eastAsia="Palatino Linotype" w:hAnsi="Palatino Linotype" w:cs="Palatino Linotype"/>
          <w:b/>
        </w:rPr>
        <w:t>.</w:t>
      </w:r>
    </w:p>
    <w:p w:rsidR="00783FB8" w:rsidRPr="008B06FF" w:rsidRDefault="00783FB8">
      <w:pPr>
        <w:tabs>
          <w:tab w:val="left" w:pos="567"/>
        </w:tabs>
        <w:spacing w:line="360" w:lineRule="auto"/>
        <w:jc w:val="both"/>
        <w:rPr>
          <w:rFonts w:ascii="Palatino Linotype" w:eastAsia="Palatino Linotype" w:hAnsi="Palatino Linotype" w:cs="Palatino Linotype"/>
        </w:rPr>
      </w:pPr>
    </w:p>
    <w:p w:rsidR="00783FB8" w:rsidRPr="008B06FF" w:rsidRDefault="005F2828">
      <w:pPr>
        <w:spacing w:line="360" w:lineRule="auto"/>
        <w:jc w:val="both"/>
        <w:rPr>
          <w:rFonts w:ascii="Palatino Linotype" w:eastAsia="Palatino Linotype" w:hAnsi="Palatino Linotype" w:cs="Palatino Linotype"/>
        </w:rPr>
      </w:pPr>
      <w:bookmarkStart w:id="2" w:name="_heading=h.gjdgxs" w:colFirst="0" w:colLast="0"/>
      <w:bookmarkEnd w:id="2"/>
      <w:r w:rsidRPr="008B06FF">
        <w:rPr>
          <w:rFonts w:ascii="Palatino Linotype" w:eastAsia="Palatino Linotype" w:hAnsi="Palatino Linotype" w:cs="Palatino Linotype"/>
          <w:b/>
        </w:rPr>
        <w:t>VISTO</w:t>
      </w:r>
      <w:r w:rsidRPr="008B06FF">
        <w:rPr>
          <w:rFonts w:ascii="Palatino Linotype" w:eastAsia="Palatino Linotype" w:hAnsi="Palatino Linotype" w:cs="Palatino Linotype"/>
        </w:rPr>
        <w:t xml:space="preserve"> el expediente electrónico formado con motivo del recurso de revisión </w:t>
      </w:r>
      <w:r w:rsidR="0091665B" w:rsidRPr="008B06FF">
        <w:rPr>
          <w:rFonts w:ascii="Palatino Linotype" w:eastAsia="Palatino Linotype" w:hAnsi="Palatino Linotype" w:cs="Palatino Linotype"/>
          <w:b/>
        </w:rPr>
        <w:t>12758</w:t>
      </w:r>
      <w:r w:rsidRPr="008B06FF">
        <w:rPr>
          <w:rFonts w:ascii="Palatino Linotype" w:eastAsia="Palatino Linotype" w:hAnsi="Palatino Linotype" w:cs="Palatino Linotype"/>
          <w:b/>
        </w:rPr>
        <w:t>/INFOEM/IP/RR/202</w:t>
      </w:r>
      <w:r w:rsidR="00026373" w:rsidRPr="008B06FF">
        <w:rPr>
          <w:rFonts w:ascii="Palatino Linotype" w:eastAsia="Palatino Linotype" w:hAnsi="Palatino Linotype" w:cs="Palatino Linotype"/>
          <w:b/>
        </w:rPr>
        <w:t>5</w:t>
      </w:r>
      <w:r w:rsidRPr="008B06FF">
        <w:rPr>
          <w:rFonts w:ascii="Palatino Linotype" w:eastAsia="Palatino Linotype" w:hAnsi="Palatino Linotype" w:cs="Palatino Linotype"/>
        </w:rPr>
        <w:t>,</w:t>
      </w:r>
      <w:r w:rsidRPr="008B06FF">
        <w:rPr>
          <w:rFonts w:ascii="Palatino Linotype" w:eastAsia="Palatino Linotype" w:hAnsi="Palatino Linotype" w:cs="Palatino Linotype"/>
          <w:b/>
        </w:rPr>
        <w:t xml:space="preserve"> </w:t>
      </w:r>
      <w:r w:rsidRPr="008B06FF">
        <w:rPr>
          <w:rFonts w:ascii="Palatino Linotype" w:eastAsia="Palatino Linotype" w:hAnsi="Palatino Linotype" w:cs="Palatino Linotype"/>
        </w:rPr>
        <w:t xml:space="preserve">promovido por </w:t>
      </w:r>
      <w:r w:rsidR="00FB76CA">
        <w:rPr>
          <w:rFonts w:ascii="Palatino Linotype" w:eastAsia="Palatino Linotype" w:hAnsi="Palatino Linotype" w:cs="Palatino Linotype"/>
          <w:b/>
        </w:rPr>
        <w:t>XXXX</w:t>
      </w:r>
      <w:r w:rsidRPr="008B06FF">
        <w:rPr>
          <w:rFonts w:ascii="Palatino Linotype" w:eastAsia="Palatino Linotype" w:hAnsi="Palatino Linotype" w:cs="Palatino Linotype"/>
        </w:rPr>
        <w:t xml:space="preserve">, a quien en lo sucesivo se le identificará como </w:t>
      </w:r>
      <w:r w:rsidRPr="008B06FF">
        <w:rPr>
          <w:rFonts w:ascii="Palatino Linotype" w:eastAsia="Palatino Linotype" w:hAnsi="Palatino Linotype" w:cs="Palatino Linotype"/>
          <w:b/>
        </w:rPr>
        <w:t>EL RECURRENTE</w:t>
      </w:r>
      <w:r w:rsidRPr="008B06FF">
        <w:rPr>
          <w:rFonts w:ascii="Palatino Linotype" w:eastAsia="Palatino Linotype" w:hAnsi="Palatino Linotype" w:cs="Palatino Linotype"/>
        </w:rPr>
        <w:t xml:space="preserve">, en contra de la respuesta del </w:t>
      </w:r>
      <w:r w:rsidR="0091665B" w:rsidRPr="008B06FF">
        <w:rPr>
          <w:rFonts w:ascii="Palatino Linotype" w:eastAsia="Palatino Linotype" w:hAnsi="Palatino Linotype" w:cs="Palatino Linotype"/>
          <w:b/>
        </w:rPr>
        <w:t>Sistema Municipal para el Desarrollo Integral de la Familia de Zinacantepec</w:t>
      </w:r>
      <w:r w:rsidRPr="008B06FF">
        <w:rPr>
          <w:rFonts w:ascii="Palatino Linotype" w:eastAsia="Palatino Linotype" w:hAnsi="Palatino Linotype" w:cs="Palatino Linotype"/>
          <w:b/>
        </w:rPr>
        <w:t xml:space="preserve">, </w:t>
      </w:r>
      <w:r w:rsidRPr="008B06FF">
        <w:rPr>
          <w:rFonts w:ascii="Palatino Linotype" w:eastAsia="Palatino Linotype" w:hAnsi="Palatino Linotype" w:cs="Palatino Linotype"/>
        </w:rPr>
        <w:t>en adelante el</w:t>
      </w:r>
      <w:r w:rsidRPr="008B06FF">
        <w:rPr>
          <w:rFonts w:ascii="Palatino Linotype" w:eastAsia="Palatino Linotype" w:hAnsi="Palatino Linotype" w:cs="Palatino Linotype"/>
          <w:b/>
        </w:rPr>
        <w:t xml:space="preserve"> SUJETO OBLIGADO</w:t>
      </w:r>
      <w:r w:rsidRPr="008B06FF">
        <w:rPr>
          <w:rFonts w:ascii="Palatino Linotype" w:eastAsia="Palatino Linotype" w:hAnsi="Palatino Linotype" w:cs="Palatino Linotype"/>
        </w:rPr>
        <w:t>, se procede a dictar la presente resolución, con base en los siguientes:</w:t>
      </w:r>
    </w:p>
    <w:p w:rsidR="00783FB8" w:rsidRPr="008B06FF" w:rsidRDefault="00783FB8">
      <w:pPr>
        <w:spacing w:line="360" w:lineRule="auto"/>
        <w:jc w:val="both"/>
        <w:rPr>
          <w:rFonts w:ascii="Palatino Linotype" w:eastAsia="Palatino Linotype" w:hAnsi="Palatino Linotype" w:cs="Palatino Linotype"/>
        </w:rPr>
      </w:pPr>
    </w:p>
    <w:p w:rsidR="00783FB8" w:rsidRPr="008B06FF" w:rsidRDefault="005F2828">
      <w:pPr>
        <w:pStyle w:val="Ttulo1"/>
        <w:tabs>
          <w:tab w:val="left" w:pos="567"/>
        </w:tabs>
        <w:spacing w:before="0" w:line="360" w:lineRule="auto"/>
        <w:jc w:val="center"/>
        <w:rPr>
          <w:b w:val="0"/>
          <w:color w:val="000000"/>
          <w:szCs w:val="24"/>
        </w:rPr>
      </w:pPr>
      <w:bookmarkStart w:id="3" w:name="_heading=h.30j0zll" w:colFirst="0" w:colLast="0"/>
      <w:bookmarkEnd w:id="3"/>
      <w:r w:rsidRPr="008B06FF">
        <w:rPr>
          <w:color w:val="000000"/>
          <w:szCs w:val="24"/>
        </w:rPr>
        <w:t>A N T E C E D E N T E S</w:t>
      </w:r>
    </w:p>
    <w:p w:rsidR="00783FB8" w:rsidRPr="008B06FF" w:rsidRDefault="00783FB8">
      <w:pPr>
        <w:pStyle w:val="Ttulo1"/>
        <w:tabs>
          <w:tab w:val="left" w:pos="567"/>
        </w:tabs>
        <w:spacing w:before="0" w:line="360" w:lineRule="auto"/>
        <w:jc w:val="center"/>
        <w:rPr>
          <w:szCs w:val="24"/>
        </w:rPr>
      </w:pPr>
    </w:p>
    <w:p w:rsidR="00783FB8" w:rsidRPr="008B06FF" w:rsidRDefault="005F2828">
      <w:pPr>
        <w:numPr>
          <w:ilvl w:val="0"/>
          <w:numId w:val="6"/>
        </w:numPr>
        <w:pBdr>
          <w:top w:val="nil"/>
          <w:left w:val="nil"/>
          <w:bottom w:val="nil"/>
          <w:right w:val="nil"/>
          <w:between w:val="nil"/>
        </w:pBdr>
        <w:spacing w:line="360" w:lineRule="auto"/>
        <w:jc w:val="both"/>
        <w:rPr>
          <w:color w:val="000000"/>
        </w:rPr>
      </w:pPr>
      <w:r w:rsidRPr="008B06FF">
        <w:rPr>
          <w:rFonts w:ascii="Palatino Linotype" w:eastAsia="Palatino Linotype" w:hAnsi="Palatino Linotype" w:cs="Palatino Linotype"/>
          <w:color w:val="000000"/>
        </w:rPr>
        <w:t xml:space="preserve">El </w:t>
      </w:r>
      <w:r w:rsidR="0091665B" w:rsidRPr="008B06FF">
        <w:rPr>
          <w:rFonts w:ascii="Palatino Linotype" w:eastAsia="Palatino Linotype" w:hAnsi="Palatino Linotype" w:cs="Palatino Linotype"/>
          <w:b/>
          <w:color w:val="000000"/>
        </w:rPr>
        <w:t xml:space="preserve">catorce de octubre </w:t>
      </w:r>
      <w:r w:rsidR="00026373" w:rsidRPr="008B06FF">
        <w:rPr>
          <w:rFonts w:ascii="Palatino Linotype" w:eastAsia="Palatino Linotype" w:hAnsi="Palatino Linotype" w:cs="Palatino Linotype"/>
          <w:b/>
          <w:color w:val="000000"/>
        </w:rPr>
        <w:t>de dos mil veinticinco</w:t>
      </w:r>
      <w:r w:rsidRPr="008B06FF">
        <w:rPr>
          <w:rFonts w:ascii="Palatino Linotype" w:eastAsia="Palatino Linotype" w:hAnsi="Palatino Linotype" w:cs="Palatino Linotype"/>
          <w:b/>
          <w:color w:val="000000"/>
        </w:rPr>
        <w:t xml:space="preserve">, </w:t>
      </w:r>
      <w:r w:rsidRPr="008B06FF">
        <w:rPr>
          <w:rFonts w:ascii="Palatino Linotype" w:eastAsia="Palatino Linotype" w:hAnsi="Palatino Linotype" w:cs="Palatino Linotype"/>
          <w:color w:val="000000"/>
        </w:rPr>
        <w:t xml:space="preserve">se presentó ante el </w:t>
      </w:r>
      <w:r w:rsidRPr="008B06FF">
        <w:rPr>
          <w:rFonts w:ascii="Palatino Linotype" w:eastAsia="Palatino Linotype" w:hAnsi="Palatino Linotype" w:cs="Palatino Linotype"/>
          <w:b/>
          <w:color w:val="000000"/>
        </w:rPr>
        <w:t>SUJETO OBLIGADO</w:t>
      </w:r>
      <w:r w:rsidRPr="008B06FF">
        <w:rPr>
          <w:rFonts w:ascii="Palatino Linotype" w:eastAsia="Palatino Linotype" w:hAnsi="Palatino Linotype" w:cs="Palatino Linotype"/>
          <w:color w:val="000000"/>
        </w:rPr>
        <w:t xml:space="preserve"> vía SAIMEX, la solicitud de información pública registrada con el número</w:t>
      </w:r>
      <w:r w:rsidR="0091665B" w:rsidRPr="008B06FF">
        <w:rPr>
          <w:rFonts w:ascii="Palatino Linotype" w:eastAsia="Palatino Linotype" w:hAnsi="Palatino Linotype" w:cs="Palatino Linotype"/>
          <w:b/>
          <w:color w:val="000000"/>
        </w:rPr>
        <w:t xml:space="preserve"> 00058</w:t>
      </w:r>
      <w:r w:rsidRPr="008B06FF">
        <w:rPr>
          <w:rFonts w:ascii="Palatino Linotype" w:eastAsia="Palatino Linotype" w:hAnsi="Palatino Linotype" w:cs="Palatino Linotype"/>
          <w:b/>
          <w:color w:val="000000"/>
        </w:rPr>
        <w:t>/</w:t>
      </w:r>
      <w:r w:rsidR="0091665B" w:rsidRPr="008B06FF">
        <w:rPr>
          <w:rFonts w:ascii="Palatino Linotype" w:eastAsia="Palatino Linotype" w:hAnsi="Palatino Linotype" w:cs="Palatino Linotype"/>
          <w:b/>
          <w:color w:val="000000"/>
        </w:rPr>
        <w:t>DIFZINACAN</w:t>
      </w:r>
      <w:r w:rsidRPr="008B06FF">
        <w:rPr>
          <w:rFonts w:ascii="Palatino Linotype" w:eastAsia="Palatino Linotype" w:hAnsi="Palatino Linotype" w:cs="Palatino Linotype"/>
          <w:b/>
          <w:color w:val="000000"/>
        </w:rPr>
        <w:t>/IP/202</w:t>
      </w:r>
      <w:r w:rsidR="00026373" w:rsidRPr="008B06FF">
        <w:rPr>
          <w:rFonts w:ascii="Palatino Linotype" w:eastAsia="Palatino Linotype" w:hAnsi="Palatino Linotype" w:cs="Palatino Linotype"/>
          <w:b/>
          <w:color w:val="000000"/>
        </w:rPr>
        <w:t>5</w:t>
      </w:r>
      <w:r w:rsidRPr="008B06FF">
        <w:rPr>
          <w:rFonts w:ascii="Palatino Linotype" w:eastAsia="Palatino Linotype" w:hAnsi="Palatino Linotype" w:cs="Palatino Linotype"/>
          <w:b/>
          <w:color w:val="000000"/>
        </w:rPr>
        <w:t xml:space="preserve">; </w:t>
      </w:r>
      <w:r w:rsidRPr="008B06FF">
        <w:rPr>
          <w:rFonts w:ascii="Palatino Linotype" w:eastAsia="Palatino Linotype" w:hAnsi="Palatino Linotype" w:cs="Palatino Linotype"/>
          <w:color w:val="000000"/>
        </w:rPr>
        <w:t>mediante la cual se solicitó la siguiente información:</w:t>
      </w:r>
    </w:p>
    <w:p w:rsidR="00783FB8" w:rsidRPr="008B06FF" w:rsidRDefault="005F2828">
      <w:pPr>
        <w:pBdr>
          <w:top w:val="nil"/>
          <w:left w:val="nil"/>
          <w:bottom w:val="nil"/>
          <w:right w:val="nil"/>
          <w:between w:val="nil"/>
        </w:pBdr>
        <w:ind w:left="426" w:right="476"/>
        <w:jc w:val="both"/>
        <w:rPr>
          <w:rFonts w:ascii="Palatino Linotype" w:eastAsia="Palatino Linotype" w:hAnsi="Palatino Linotype" w:cs="Palatino Linotype"/>
          <w:i/>
          <w:color w:val="000000"/>
        </w:rPr>
      </w:pPr>
      <w:r w:rsidRPr="008B06FF">
        <w:rPr>
          <w:rFonts w:ascii="Palatino Linotype" w:eastAsia="Palatino Linotype" w:hAnsi="Palatino Linotype" w:cs="Palatino Linotype"/>
          <w:i/>
          <w:color w:val="000000"/>
        </w:rPr>
        <w:t>“</w:t>
      </w:r>
      <w:r w:rsidR="0091665B" w:rsidRPr="008B06FF">
        <w:rPr>
          <w:rFonts w:ascii="Palatino Linotype" w:eastAsia="Palatino Linotype" w:hAnsi="Palatino Linotype" w:cs="Palatino Linotype"/>
          <w:i/>
          <w:color w:val="000000"/>
        </w:rPr>
        <w:t xml:space="preserve">Conforme a mi derecho como ciudadano de estar informado a cerca del destino de los recursos públicos ejercidos en el dif de zinacantepec, solicito me proporcionen los expedientes del programa llamado nutriendo con amor que pertenecen a la colonia barrio del calvario, y barrio de la Veracru, en formato pdf, así como también la normatividad con la que se regula dicho programa.” </w:t>
      </w:r>
      <w:r w:rsidRPr="008B06FF">
        <w:rPr>
          <w:rFonts w:ascii="Palatino Linotype" w:eastAsia="Palatino Linotype" w:hAnsi="Palatino Linotype" w:cs="Palatino Linotype"/>
          <w:i/>
          <w:color w:val="000000"/>
        </w:rPr>
        <w:t>(Sic)</w:t>
      </w:r>
    </w:p>
    <w:p w:rsidR="00783FB8" w:rsidRDefault="00783FB8">
      <w:pPr>
        <w:pBdr>
          <w:top w:val="nil"/>
          <w:left w:val="nil"/>
          <w:bottom w:val="nil"/>
          <w:right w:val="nil"/>
          <w:between w:val="nil"/>
        </w:pBdr>
        <w:ind w:left="426" w:right="476"/>
        <w:jc w:val="both"/>
        <w:rPr>
          <w:rFonts w:ascii="Palatino Linotype" w:eastAsia="Palatino Linotype" w:hAnsi="Palatino Linotype" w:cs="Palatino Linotype"/>
          <w:color w:val="000000"/>
        </w:rPr>
      </w:pPr>
    </w:p>
    <w:p w:rsidR="008B06FF" w:rsidRPr="008B06FF" w:rsidRDefault="008B06FF">
      <w:pPr>
        <w:pBdr>
          <w:top w:val="nil"/>
          <w:left w:val="nil"/>
          <w:bottom w:val="nil"/>
          <w:right w:val="nil"/>
          <w:between w:val="nil"/>
        </w:pBdr>
        <w:ind w:left="426" w:right="476"/>
        <w:jc w:val="both"/>
        <w:rPr>
          <w:rFonts w:ascii="Palatino Linotype" w:eastAsia="Palatino Linotype" w:hAnsi="Palatino Linotype" w:cs="Palatino Linotype"/>
          <w:color w:val="000000"/>
        </w:rPr>
      </w:pPr>
    </w:p>
    <w:p w:rsidR="00783FB8" w:rsidRPr="008B06FF" w:rsidRDefault="005F2828">
      <w:pPr>
        <w:numPr>
          <w:ilvl w:val="0"/>
          <w:numId w:val="7"/>
        </w:numPr>
        <w:pBdr>
          <w:top w:val="nil"/>
          <w:left w:val="nil"/>
          <w:bottom w:val="nil"/>
          <w:right w:val="nil"/>
          <w:between w:val="nil"/>
        </w:pBdr>
        <w:ind w:left="851" w:right="34"/>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 xml:space="preserve">Se eligió como modalidad de entrega de la información: A través del </w:t>
      </w:r>
      <w:r w:rsidRPr="008B06FF">
        <w:rPr>
          <w:rFonts w:ascii="Palatino Linotype" w:eastAsia="Palatino Linotype" w:hAnsi="Palatino Linotype" w:cs="Palatino Linotype"/>
          <w:b/>
          <w:color w:val="000000"/>
        </w:rPr>
        <w:t>SAIMEX.</w:t>
      </w:r>
    </w:p>
    <w:p w:rsidR="0091665B" w:rsidRPr="008B06FF" w:rsidRDefault="0091665B" w:rsidP="0091665B">
      <w:pPr>
        <w:pBdr>
          <w:top w:val="nil"/>
          <w:left w:val="nil"/>
          <w:bottom w:val="nil"/>
          <w:right w:val="nil"/>
          <w:between w:val="nil"/>
        </w:pBdr>
        <w:ind w:left="851" w:right="34"/>
        <w:jc w:val="both"/>
        <w:rPr>
          <w:rFonts w:ascii="Palatino Linotype" w:eastAsia="Palatino Linotype" w:hAnsi="Palatino Linotype" w:cs="Palatino Linotype"/>
          <w:color w:val="000000"/>
        </w:rPr>
      </w:pPr>
    </w:p>
    <w:p w:rsidR="00783FB8" w:rsidRPr="008B06FF" w:rsidRDefault="005F2828">
      <w:pPr>
        <w:numPr>
          <w:ilvl w:val="0"/>
          <w:numId w:val="6"/>
        </w:numPr>
        <w:pBdr>
          <w:top w:val="nil"/>
          <w:left w:val="nil"/>
          <w:bottom w:val="nil"/>
          <w:right w:val="nil"/>
          <w:between w:val="nil"/>
        </w:pBdr>
        <w:tabs>
          <w:tab w:val="left" w:pos="0"/>
        </w:tabs>
        <w:spacing w:line="360" w:lineRule="auto"/>
        <w:ind w:right="51"/>
        <w:jc w:val="both"/>
        <w:rPr>
          <w:color w:val="000000"/>
        </w:rPr>
      </w:pPr>
      <w:r w:rsidRPr="008B06FF">
        <w:rPr>
          <w:rFonts w:ascii="Palatino Linotype" w:eastAsia="Palatino Linotype" w:hAnsi="Palatino Linotype" w:cs="Palatino Linotype"/>
          <w:color w:val="000000"/>
        </w:rPr>
        <w:lastRenderedPageBreak/>
        <w:t xml:space="preserve">El </w:t>
      </w:r>
      <w:r w:rsidRPr="008B06FF">
        <w:rPr>
          <w:rFonts w:ascii="Palatino Linotype" w:eastAsia="Palatino Linotype" w:hAnsi="Palatino Linotype" w:cs="Palatino Linotype"/>
          <w:b/>
          <w:color w:val="000000"/>
        </w:rPr>
        <w:t xml:space="preserve">cuatro de </w:t>
      </w:r>
      <w:r w:rsidR="0091665B" w:rsidRPr="008B06FF">
        <w:rPr>
          <w:rFonts w:ascii="Palatino Linotype" w:eastAsia="Palatino Linotype" w:hAnsi="Palatino Linotype" w:cs="Palatino Linotype"/>
          <w:b/>
          <w:color w:val="000000"/>
        </w:rPr>
        <w:t xml:space="preserve">noviembre </w:t>
      </w:r>
      <w:r w:rsidRPr="008B06FF">
        <w:rPr>
          <w:rFonts w:ascii="Palatino Linotype" w:eastAsia="Palatino Linotype" w:hAnsi="Palatino Linotype" w:cs="Palatino Linotype"/>
          <w:b/>
          <w:color w:val="000000"/>
        </w:rPr>
        <w:t>de dos mil veinticinco</w:t>
      </w:r>
      <w:r w:rsidRPr="008B06FF">
        <w:rPr>
          <w:rFonts w:ascii="Palatino Linotype" w:eastAsia="Palatino Linotype" w:hAnsi="Palatino Linotype" w:cs="Palatino Linotype"/>
          <w:color w:val="000000"/>
        </w:rPr>
        <w:t xml:space="preserve">, el </w:t>
      </w:r>
      <w:r w:rsidRPr="008B06FF">
        <w:rPr>
          <w:rFonts w:ascii="Palatino Linotype" w:eastAsia="Palatino Linotype" w:hAnsi="Palatino Linotype" w:cs="Palatino Linotype"/>
          <w:b/>
          <w:color w:val="000000"/>
        </w:rPr>
        <w:t>SUJETO OBLIGADO,</w:t>
      </w:r>
      <w:r w:rsidRPr="008B06FF">
        <w:rPr>
          <w:rFonts w:ascii="Palatino Linotype" w:eastAsia="Palatino Linotype" w:hAnsi="Palatino Linotype" w:cs="Palatino Linotype"/>
          <w:color w:val="000000"/>
        </w:rPr>
        <w:t xml:space="preserve"> </w:t>
      </w:r>
      <w:r w:rsidRPr="008B06FF">
        <w:rPr>
          <w:rFonts w:ascii="Palatino Linotype" w:eastAsia="Palatino Linotype" w:hAnsi="Palatino Linotype" w:cs="Palatino Linotype"/>
        </w:rPr>
        <w:t xml:space="preserve">dio respuesta a la solicitud de información </w:t>
      </w:r>
      <w:r w:rsidRPr="008B06FF">
        <w:rPr>
          <w:rFonts w:ascii="Palatino Linotype" w:eastAsia="Palatino Linotype" w:hAnsi="Palatino Linotype" w:cs="Palatino Linotype"/>
          <w:color w:val="000000"/>
        </w:rPr>
        <w:t>en el tenor siguiente:</w:t>
      </w:r>
    </w:p>
    <w:p w:rsidR="00783FB8" w:rsidRPr="008B06FF" w:rsidRDefault="00783FB8">
      <w:pPr>
        <w:tabs>
          <w:tab w:val="left" w:pos="284"/>
        </w:tabs>
        <w:ind w:left="284" w:right="425"/>
        <w:jc w:val="both"/>
        <w:rPr>
          <w:rFonts w:ascii="Palatino Linotype" w:eastAsia="Palatino Linotype" w:hAnsi="Palatino Linotype" w:cs="Palatino Linotype"/>
          <w:i/>
          <w:color w:val="000000"/>
        </w:rPr>
      </w:pPr>
    </w:p>
    <w:tbl>
      <w:tblPr>
        <w:tblStyle w:val="a0"/>
        <w:tblW w:w="10500" w:type="dxa"/>
        <w:jc w:val="center"/>
        <w:tblInd w:w="0" w:type="dxa"/>
        <w:tblLayout w:type="fixed"/>
        <w:tblLook w:val="0400" w:firstRow="0" w:lastRow="0" w:firstColumn="0" w:lastColumn="0" w:noHBand="0" w:noVBand="1"/>
      </w:tblPr>
      <w:tblGrid>
        <w:gridCol w:w="10500"/>
      </w:tblGrid>
      <w:tr w:rsidR="00783FB8" w:rsidRPr="008B06FF">
        <w:trPr>
          <w:trHeight w:val="739"/>
          <w:jc w:val="center"/>
        </w:trPr>
        <w:tc>
          <w:tcPr>
            <w:tcW w:w="10500" w:type="dxa"/>
            <w:vAlign w:val="center"/>
          </w:tcPr>
          <w:p w:rsidR="0091665B" w:rsidRPr="008B06FF" w:rsidRDefault="005F2828">
            <w:pPr>
              <w:ind w:left="1418" w:right="1569"/>
              <w:jc w:val="both"/>
              <w:rPr>
                <w:rFonts w:ascii="Palatino Linotype" w:eastAsia="Palatino Linotype" w:hAnsi="Palatino Linotype" w:cs="Palatino Linotype"/>
                <w:i/>
                <w:color w:val="000000"/>
              </w:rPr>
            </w:pPr>
            <w:r w:rsidRPr="008B06FF">
              <w:rPr>
                <w:rFonts w:ascii="Palatino Linotype" w:eastAsia="Palatino Linotype" w:hAnsi="Palatino Linotype" w:cs="Palatino Linotype"/>
                <w:i/>
                <w:color w:val="000000"/>
              </w:rPr>
              <w:t>“</w:t>
            </w:r>
            <w:r w:rsidR="0091665B" w:rsidRPr="008B06FF">
              <w:rPr>
                <w:rFonts w:ascii="Palatino Linotype" w:eastAsia="Palatino Linotype" w:hAnsi="Palatino Linotype" w:cs="Palatino Linotype"/>
                <w:i/>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91665B" w:rsidRPr="008B06FF" w:rsidRDefault="0091665B">
            <w:pPr>
              <w:ind w:left="1418" w:right="1569"/>
              <w:jc w:val="both"/>
              <w:rPr>
                <w:rFonts w:ascii="Palatino Linotype" w:eastAsia="Palatino Linotype" w:hAnsi="Palatino Linotype" w:cs="Palatino Linotype"/>
                <w:i/>
                <w:color w:val="000000"/>
              </w:rPr>
            </w:pPr>
          </w:p>
          <w:p w:rsidR="00783FB8" w:rsidRPr="008B06FF" w:rsidRDefault="0091665B">
            <w:pPr>
              <w:ind w:left="1418" w:right="1569"/>
              <w:jc w:val="both"/>
              <w:rPr>
                <w:rFonts w:ascii="Palatino Linotype" w:eastAsia="Palatino Linotype" w:hAnsi="Palatino Linotype" w:cs="Palatino Linotype"/>
                <w:i/>
                <w:color w:val="000000"/>
              </w:rPr>
            </w:pPr>
            <w:r w:rsidRPr="008B06FF">
              <w:rPr>
                <w:rFonts w:ascii="Palatino Linotype" w:eastAsia="Palatino Linotype" w:hAnsi="Palatino Linotype" w:cs="Palatino Linotype"/>
                <w:i/>
                <w:color w:val="000000"/>
              </w:rPr>
              <w:t>En respuesta a la solicitud recibida, nos permitimos hacer de su conocimiento que con fundamento en el artículo 53, Fracciones: II, V y VI de la Ley de Transparencia y Acceso a la Información Pública del Estado de México y Municipios, le contestamos que: En respuesta a la solicitud recibida, nos permitimos hacer de su conocimiento que con fundamento en el artículo 53, Fracciones: II, V y VI de la Ley de Transparencia y Acceso a la Información Pública del Estado de México y Municipios, le contestamos que: En cumplimiento a lo dispuesto en el articulo 53 fracción II, IV, V Y VI de la Ley de Transparencia y Acceso a la Información Publica del Estado de México y Municipios, adjunto a la presente se anexan los elementos necesarios para la atención de la solicitud interpuesta a este Sujeto Obligado.”</w:t>
            </w:r>
            <w:r w:rsidR="005F2828" w:rsidRPr="008B06FF">
              <w:rPr>
                <w:rFonts w:ascii="Palatino Linotype" w:eastAsia="Palatino Linotype" w:hAnsi="Palatino Linotype" w:cs="Palatino Linotype"/>
                <w:i/>
                <w:color w:val="000000"/>
              </w:rPr>
              <w:t>(sic)</w:t>
            </w:r>
          </w:p>
          <w:p w:rsidR="00783FB8" w:rsidRPr="008B06FF" w:rsidRDefault="00783FB8">
            <w:pPr>
              <w:ind w:left="1418" w:right="1569"/>
              <w:jc w:val="both"/>
            </w:pPr>
          </w:p>
        </w:tc>
      </w:tr>
    </w:tbl>
    <w:p w:rsidR="0091665B" w:rsidRPr="008B06FF" w:rsidRDefault="0091665B" w:rsidP="0091665B">
      <w:pPr>
        <w:pBdr>
          <w:top w:val="nil"/>
          <w:left w:val="nil"/>
          <w:bottom w:val="nil"/>
          <w:right w:val="nil"/>
          <w:between w:val="nil"/>
        </w:pBdr>
        <w:tabs>
          <w:tab w:val="left" w:pos="0"/>
        </w:tabs>
        <w:spacing w:line="360" w:lineRule="auto"/>
        <w:ind w:right="709"/>
        <w:jc w:val="both"/>
        <w:rPr>
          <w:rFonts w:ascii="Palatino Linotype" w:eastAsia="Palatino Linotype" w:hAnsi="Palatino Linotype" w:cs="Palatino Linotype"/>
          <w:color w:val="000000"/>
        </w:rPr>
      </w:pPr>
    </w:p>
    <w:p w:rsidR="0091665B" w:rsidRPr="008B06FF" w:rsidRDefault="0091665B" w:rsidP="0091665B">
      <w:pPr>
        <w:pBdr>
          <w:top w:val="nil"/>
          <w:left w:val="nil"/>
          <w:bottom w:val="nil"/>
          <w:right w:val="nil"/>
          <w:between w:val="nil"/>
        </w:pBdr>
        <w:tabs>
          <w:tab w:val="left" w:pos="0"/>
        </w:tabs>
        <w:spacing w:line="360" w:lineRule="auto"/>
        <w:ind w:right="709"/>
        <w:jc w:val="both"/>
        <w:rPr>
          <w:color w:val="000000"/>
        </w:rPr>
      </w:pPr>
      <w:r w:rsidRPr="008B06FF">
        <w:rPr>
          <w:rFonts w:ascii="Palatino Linotype" w:eastAsia="Palatino Linotype" w:hAnsi="Palatino Linotype" w:cs="Palatino Linotype"/>
          <w:color w:val="000000"/>
        </w:rPr>
        <w:t>Se adjuntaron</w:t>
      </w:r>
      <w:r w:rsidR="005F2828" w:rsidRPr="008B06FF">
        <w:rPr>
          <w:rFonts w:ascii="Palatino Linotype" w:eastAsia="Palatino Linotype" w:hAnsi="Palatino Linotype" w:cs="Palatino Linotype"/>
          <w:color w:val="000000"/>
        </w:rPr>
        <w:t xml:space="preserve"> </w:t>
      </w:r>
      <w:r w:rsidRPr="008B06FF">
        <w:rPr>
          <w:rFonts w:ascii="Palatino Linotype" w:eastAsia="Palatino Linotype" w:hAnsi="Palatino Linotype" w:cs="Palatino Linotype"/>
          <w:color w:val="000000"/>
        </w:rPr>
        <w:t xml:space="preserve">los </w:t>
      </w:r>
      <w:r w:rsidR="005F2828" w:rsidRPr="008B06FF">
        <w:rPr>
          <w:rFonts w:ascii="Palatino Linotype" w:eastAsia="Palatino Linotype" w:hAnsi="Palatino Linotype" w:cs="Palatino Linotype"/>
          <w:color w:val="000000"/>
        </w:rPr>
        <w:t>archivo</w:t>
      </w:r>
      <w:r w:rsidRPr="008B06FF">
        <w:rPr>
          <w:rFonts w:ascii="Palatino Linotype" w:eastAsia="Palatino Linotype" w:hAnsi="Palatino Linotype" w:cs="Palatino Linotype"/>
          <w:color w:val="000000"/>
        </w:rPr>
        <w:t>s</w:t>
      </w:r>
      <w:r w:rsidR="005F2828" w:rsidRPr="008B06FF">
        <w:rPr>
          <w:rFonts w:ascii="Palatino Linotype" w:eastAsia="Palatino Linotype" w:hAnsi="Palatino Linotype" w:cs="Palatino Linotype"/>
          <w:color w:val="000000"/>
        </w:rPr>
        <w:t xml:space="preserve"> electrónico</w:t>
      </w:r>
      <w:r w:rsidRPr="008B06FF">
        <w:rPr>
          <w:rFonts w:ascii="Palatino Linotype" w:eastAsia="Palatino Linotype" w:hAnsi="Palatino Linotype" w:cs="Palatino Linotype"/>
          <w:color w:val="000000"/>
        </w:rPr>
        <w:t>s</w:t>
      </w:r>
      <w:r w:rsidR="005F2828" w:rsidRPr="008B06FF">
        <w:rPr>
          <w:rFonts w:ascii="Palatino Linotype" w:eastAsia="Palatino Linotype" w:hAnsi="Palatino Linotype" w:cs="Palatino Linotype"/>
          <w:color w:val="000000"/>
        </w:rPr>
        <w:t xml:space="preserve"> denominado</w:t>
      </w:r>
      <w:r w:rsidRPr="008B06FF">
        <w:rPr>
          <w:rFonts w:ascii="Palatino Linotype" w:eastAsia="Palatino Linotype" w:hAnsi="Palatino Linotype" w:cs="Palatino Linotype"/>
          <w:color w:val="000000"/>
        </w:rPr>
        <w:t>s</w:t>
      </w:r>
      <w:r w:rsidR="005F2828" w:rsidRPr="008B06FF">
        <w:rPr>
          <w:rFonts w:ascii="Palatino Linotype" w:eastAsia="Palatino Linotype" w:hAnsi="Palatino Linotype" w:cs="Palatino Linotype"/>
          <w:color w:val="000000"/>
        </w:rPr>
        <w:t xml:space="preserve">: </w:t>
      </w:r>
    </w:p>
    <w:p w:rsidR="0091665B" w:rsidRPr="008B06FF" w:rsidRDefault="00954BEC">
      <w:pPr>
        <w:numPr>
          <w:ilvl w:val="0"/>
          <w:numId w:val="2"/>
        </w:numPr>
        <w:pBdr>
          <w:top w:val="nil"/>
          <w:left w:val="nil"/>
          <w:bottom w:val="nil"/>
          <w:right w:val="nil"/>
          <w:between w:val="nil"/>
        </w:pBdr>
        <w:tabs>
          <w:tab w:val="left" w:pos="0"/>
        </w:tabs>
        <w:spacing w:line="360" w:lineRule="auto"/>
        <w:ind w:right="709"/>
        <w:jc w:val="both"/>
        <w:rPr>
          <w:rFonts w:ascii="Palatino Linotype" w:eastAsia="Palatino Linotype" w:hAnsi="Palatino Linotype" w:cs="Palatino Linotype"/>
          <w:b/>
          <w:color w:val="000000"/>
        </w:rPr>
      </w:pPr>
      <w:hyperlink r:id="rId8" w:tgtFrame="_blank" w:history="1">
        <w:r w:rsidR="0091665B" w:rsidRPr="008B06FF">
          <w:rPr>
            <w:rFonts w:ascii="Palatino Linotype" w:eastAsia="Palatino Linotype" w:hAnsi="Palatino Linotype" w:cs="Palatino Linotype"/>
            <w:b/>
            <w:color w:val="000000"/>
          </w:rPr>
          <w:t>DECIMO PRIMERA SESION EXTRAORDINARIA DEL COMITE DE TRANSPARENCIA.pdf</w:t>
        </w:r>
      </w:hyperlink>
      <w:r w:rsidR="0091665B" w:rsidRPr="008B06FF">
        <w:rPr>
          <w:rFonts w:ascii="Palatino Linotype" w:eastAsia="Palatino Linotype" w:hAnsi="Palatino Linotype" w:cs="Palatino Linotype"/>
          <w:b/>
          <w:color w:val="000000"/>
        </w:rPr>
        <w:t xml:space="preserve">: </w:t>
      </w:r>
      <w:r w:rsidR="0091665B" w:rsidRPr="008B06FF">
        <w:rPr>
          <w:rFonts w:ascii="Palatino Linotype" w:eastAsia="Palatino Linotype" w:hAnsi="Palatino Linotype" w:cs="Palatino Linotype"/>
          <w:color w:val="000000"/>
        </w:rPr>
        <w:t>Acta de la Décima Segunda Sesión Extraordinaria del Comité de Transparencia del Sistema Municipal DIF de Zinacantepec, al cual le recayó el Acta-CT-SMDIFZ-SE-12-2025, de fecha veintidós de octubre de dos mil veinticinco, mediante el cual se analizó y aprobó el cambio de modalidad de entrega de la</w:t>
      </w:r>
      <w:r w:rsidR="00F2198E" w:rsidRPr="008B06FF">
        <w:rPr>
          <w:rFonts w:ascii="Palatino Linotype" w:eastAsia="Palatino Linotype" w:hAnsi="Palatino Linotype" w:cs="Palatino Linotype"/>
          <w:color w:val="000000"/>
        </w:rPr>
        <w:t xml:space="preserve"> información a consulta directa, toda vez que la elaboración de las versiones públicas exceden los recursos disponibles para tal </w:t>
      </w:r>
      <w:r w:rsidR="00F2198E" w:rsidRPr="008B06FF">
        <w:rPr>
          <w:rFonts w:ascii="Palatino Linotype" w:eastAsia="Palatino Linotype" w:hAnsi="Palatino Linotype" w:cs="Palatino Linotype"/>
          <w:color w:val="000000"/>
        </w:rPr>
        <w:lastRenderedPageBreak/>
        <w:t>efecto, toda vez que el volumen de la información con la que se pretende brindar respuesta consta de 644 expedientes dando un total de 5, 976 fojas.</w:t>
      </w:r>
    </w:p>
    <w:p w:rsidR="0091665B" w:rsidRPr="008B06FF" w:rsidRDefault="0091665B" w:rsidP="0091665B">
      <w:pPr>
        <w:pBdr>
          <w:top w:val="nil"/>
          <w:left w:val="nil"/>
          <w:bottom w:val="nil"/>
          <w:right w:val="nil"/>
          <w:between w:val="nil"/>
        </w:pBdr>
        <w:tabs>
          <w:tab w:val="left" w:pos="0"/>
        </w:tabs>
        <w:spacing w:line="360" w:lineRule="auto"/>
        <w:ind w:left="720" w:right="709"/>
        <w:jc w:val="both"/>
        <w:rPr>
          <w:rFonts w:ascii="Palatino Linotype" w:eastAsia="Palatino Linotype" w:hAnsi="Palatino Linotype" w:cs="Palatino Linotype"/>
          <w:b/>
          <w:color w:val="000000"/>
        </w:rPr>
      </w:pPr>
    </w:p>
    <w:p w:rsidR="0091665B" w:rsidRPr="008B06FF" w:rsidRDefault="00954BEC">
      <w:pPr>
        <w:numPr>
          <w:ilvl w:val="0"/>
          <w:numId w:val="2"/>
        </w:numPr>
        <w:pBdr>
          <w:top w:val="nil"/>
          <w:left w:val="nil"/>
          <w:bottom w:val="nil"/>
          <w:right w:val="nil"/>
          <w:between w:val="nil"/>
        </w:pBdr>
        <w:tabs>
          <w:tab w:val="left" w:pos="0"/>
        </w:tabs>
        <w:spacing w:line="360" w:lineRule="auto"/>
        <w:ind w:right="709"/>
        <w:jc w:val="both"/>
        <w:rPr>
          <w:rFonts w:ascii="Palatino Linotype" w:eastAsia="Palatino Linotype" w:hAnsi="Palatino Linotype" w:cs="Palatino Linotype"/>
          <w:b/>
          <w:color w:val="000000"/>
        </w:rPr>
      </w:pPr>
      <w:hyperlink r:id="rId9" w:tgtFrame="_blank" w:history="1">
        <w:r w:rsidR="0091665B" w:rsidRPr="008B06FF">
          <w:rPr>
            <w:rFonts w:ascii="Palatino Linotype" w:eastAsia="Palatino Linotype" w:hAnsi="Palatino Linotype" w:cs="Palatino Linotype"/>
            <w:b/>
            <w:color w:val="000000"/>
          </w:rPr>
          <w:t>Respuesta UIPPE 58-2025.pdf</w:t>
        </w:r>
      </w:hyperlink>
      <w:r w:rsidR="00F2198E" w:rsidRPr="008B06FF">
        <w:rPr>
          <w:rFonts w:ascii="Palatino Linotype" w:eastAsia="Palatino Linotype" w:hAnsi="Palatino Linotype" w:cs="Palatino Linotype"/>
          <w:b/>
          <w:color w:val="000000"/>
        </w:rPr>
        <w:t xml:space="preserve">: </w:t>
      </w:r>
      <w:r w:rsidR="00F2198E" w:rsidRPr="008B06FF">
        <w:rPr>
          <w:rFonts w:ascii="Palatino Linotype" w:eastAsia="Palatino Linotype" w:hAnsi="Palatino Linotype" w:cs="Palatino Linotype"/>
          <w:color w:val="000000"/>
        </w:rPr>
        <w:t xml:space="preserve">Oficio ZIN/UIPPET/SMDIFZ/321/2025, de fecha cuatro de noviembre de dos mil veinticinco, suscrito por el titular de la Unidad de Información, Planeación, Programación, Evaluación y Transparencia, a través del cual </w:t>
      </w:r>
      <w:r w:rsidR="00D61C93" w:rsidRPr="008B06FF">
        <w:rPr>
          <w:rFonts w:ascii="Palatino Linotype" w:eastAsia="Palatino Linotype" w:hAnsi="Palatino Linotype" w:cs="Palatino Linotype"/>
          <w:color w:val="000000"/>
        </w:rPr>
        <w:t>remite el Acta referida en el punto que antecede, donde además le precisan el procedimiento a seguir a fin de que le se apuesta a la vista la información requerida.</w:t>
      </w:r>
    </w:p>
    <w:p w:rsidR="00783FB8" w:rsidRPr="008B06FF" w:rsidRDefault="00783FB8"/>
    <w:p w:rsidR="00783FB8" w:rsidRPr="008B06FF" w:rsidRDefault="005F2828">
      <w:pPr>
        <w:numPr>
          <w:ilvl w:val="0"/>
          <w:numId w:val="6"/>
        </w:numPr>
        <w:pBdr>
          <w:top w:val="nil"/>
          <w:left w:val="nil"/>
          <w:bottom w:val="nil"/>
          <w:right w:val="nil"/>
          <w:between w:val="nil"/>
        </w:pBdr>
        <w:tabs>
          <w:tab w:val="left" w:pos="0"/>
        </w:tabs>
        <w:spacing w:line="360" w:lineRule="auto"/>
        <w:ind w:right="49"/>
        <w:jc w:val="both"/>
        <w:rPr>
          <w:color w:val="000000"/>
        </w:rPr>
      </w:pPr>
      <w:r w:rsidRPr="008B06FF">
        <w:rPr>
          <w:rFonts w:ascii="Palatino Linotype" w:eastAsia="Palatino Linotype" w:hAnsi="Palatino Linotype" w:cs="Palatino Linotype"/>
          <w:color w:val="000000"/>
        </w:rPr>
        <w:t xml:space="preserve">Inconforme con lo anterior, el </w:t>
      </w:r>
      <w:r w:rsidRPr="008B06FF">
        <w:rPr>
          <w:rFonts w:ascii="Palatino Linotype" w:eastAsia="Palatino Linotype" w:hAnsi="Palatino Linotype" w:cs="Palatino Linotype"/>
          <w:b/>
          <w:color w:val="000000"/>
        </w:rPr>
        <w:t>PARTICULAR</w:t>
      </w:r>
      <w:r w:rsidRPr="008B06FF">
        <w:rPr>
          <w:rFonts w:ascii="Palatino Linotype" w:eastAsia="Palatino Linotype" w:hAnsi="Palatino Linotype" w:cs="Palatino Linotype"/>
          <w:color w:val="000000"/>
        </w:rPr>
        <w:t xml:space="preserve"> en fecha </w:t>
      </w:r>
      <w:r w:rsidR="00CB570D" w:rsidRPr="008B06FF">
        <w:rPr>
          <w:rFonts w:ascii="Palatino Linotype" w:eastAsia="Palatino Linotype" w:hAnsi="Palatino Linotype" w:cs="Palatino Linotype"/>
          <w:b/>
          <w:color w:val="000000"/>
        </w:rPr>
        <w:t xml:space="preserve">cuatro de </w:t>
      </w:r>
      <w:r w:rsidR="00D61C93" w:rsidRPr="008B06FF">
        <w:rPr>
          <w:rFonts w:ascii="Palatino Linotype" w:eastAsia="Palatino Linotype" w:hAnsi="Palatino Linotype" w:cs="Palatino Linotype"/>
          <w:b/>
          <w:color w:val="000000"/>
        </w:rPr>
        <w:t xml:space="preserve">noviembre </w:t>
      </w:r>
      <w:r w:rsidR="00CB570D" w:rsidRPr="008B06FF">
        <w:rPr>
          <w:rFonts w:ascii="Palatino Linotype" w:eastAsia="Palatino Linotype" w:hAnsi="Palatino Linotype" w:cs="Palatino Linotype"/>
          <w:b/>
          <w:color w:val="000000"/>
        </w:rPr>
        <w:t>de dos mil veinticinco</w:t>
      </w:r>
      <w:r w:rsidRPr="008B06FF">
        <w:rPr>
          <w:rFonts w:ascii="Palatino Linotype" w:eastAsia="Palatino Linotype" w:hAnsi="Palatino Linotype" w:cs="Palatino Linotype"/>
          <w:b/>
          <w:color w:val="000000"/>
        </w:rPr>
        <w:t xml:space="preserve">, </w:t>
      </w:r>
      <w:r w:rsidRPr="008B06FF">
        <w:rPr>
          <w:rFonts w:ascii="Palatino Linotype" w:eastAsia="Palatino Linotype" w:hAnsi="Palatino Linotype" w:cs="Palatino Linotype"/>
          <w:color w:val="000000"/>
        </w:rPr>
        <w:t>interpuso el recurso de revisión en contra de la respuesta, manifestando las siguientes razones o motivos de inconformidad:</w:t>
      </w:r>
    </w:p>
    <w:p w:rsidR="008B06FF" w:rsidRPr="008B06FF" w:rsidRDefault="008B06FF" w:rsidP="008B06FF">
      <w:pPr>
        <w:pBdr>
          <w:top w:val="nil"/>
          <w:left w:val="nil"/>
          <w:bottom w:val="nil"/>
          <w:right w:val="nil"/>
          <w:between w:val="nil"/>
        </w:pBdr>
        <w:tabs>
          <w:tab w:val="left" w:pos="0"/>
        </w:tabs>
        <w:spacing w:line="360" w:lineRule="auto"/>
        <w:ind w:right="49"/>
        <w:jc w:val="both"/>
        <w:rPr>
          <w:color w:val="000000"/>
        </w:rPr>
      </w:pPr>
    </w:p>
    <w:p w:rsidR="00D61C93" w:rsidRPr="008B06FF" w:rsidRDefault="005F2828">
      <w:pPr>
        <w:numPr>
          <w:ilvl w:val="0"/>
          <w:numId w:val="7"/>
        </w:numPr>
        <w:pBdr>
          <w:top w:val="nil"/>
          <w:left w:val="nil"/>
          <w:bottom w:val="nil"/>
          <w:right w:val="nil"/>
          <w:between w:val="nil"/>
        </w:pBdr>
        <w:ind w:left="567"/>
        <w:jc w:val="both"/>
        <w:rPr>
          <w:rFonts w:ascii="Palatino Linotype" w:eastAsia="Palatino Linotype" w:hAnsi="Palatino Linotype" w:cs="Palatino Linotype"/>
          <w:b/>
          <w:i/>
          <w:color w:val="000000"/>
        </w:rPr>
      </w:pPr>
      <w:bookmarkStart w:id="4" w:name="_heading=h.1fob9te" w:colFirst="0" w:colLast="0"/>
      <w:bookmarkEnd w:id="4"/>
      <w:r w:rsidRPr="008B06FF">
        <w:rPr>
          <w:rFonts w:ascii="Palatino Linotype" w:eastAsia="Palatino Linotype" w:hAnsi="Palatino Linotype" w:cs="Palatino Linotype"/>
          <w:b/>
          <w:color w:val="000000"/>
        </w:rPr>
        <w:t>Acto impugnado</w:t>
      </w:r>
      <w:r w:rsidRPr="008B06FF">
        <w:rPr>
          <w:rFonts w:ascii="Palatino Linotype" w:eastAsia="Palatino Linotype" w:hAnsi="Palatino Linotype" w:cs="Palatino Linotype"/>
          <w:color w:val="000000"/>
        </w:rPr>
        <w:t xml:space="preserve">: </w:t>
      </w:r>
    </w:p>
    <w:p w:rsidR="00783FB8" w:rsidRPr="008B06FF" w:rsidRDefault="00FB76CA" w:rsidP="00D61C93">
      <w:pPr>
        <w:pBdr>
          <w:top w:val="nil"/>
          <w:left w:val="nil"/>
          <w:bottom w:val="nil"/>
          <w:right w:val="nil"/>
          <w:between w:val="nil"/>
        </w:pBdr>
        <w:ind w:left="207"/>
        <w:jc w:val="both"/>
        <w:rPr>
          <w:rFonts w:ascii="Palatino Linotype" w:eastAsia="Palatino Linotype" w:hAnsi="Palatino Linotype" w:cs="Palatino Linotype"/>
          <w:b/>
          <w:i/>
          <w:color w:val="000000"/>
        </w:rPr>
      </w:pPr>
      <w:r>
        <w:rPr>
          <w:rFonts w:ascii="Palatino Linotype" w:eastAsia="Palatino Linotype" w:hAnsi="Palatino Linotype" w:cs="Palatino Linotype"/>
          <w:i/>
          <w:color w:val="000000"/>
        </w:rPr>
        <w:t xml:space="preserve">     </w:t>
      </w:r>
      <w:r w:rsidR="005F2828" w:rsidRPr="008B06FF">
        <w:rPr>
          <w:rFonts w:ascii="Palatino Linotype" w:eastAsia="Palatino Linotype" w:hAnsi="Palatino Linotype" w:cs="Palatino Linotype"/>
          <w:i/>
          <w:color w:val="000000"/>
        </w:rPr>
        <w:t>“</w:t>
      </w:r>
      <w:r w:rsidR="00D61C93" w:rsidRPr="008B06FF">
        <w:rPr>
          <w:rFonts w:ascii="Palatino Linotype" w:eastAsia="Palatino Linotype" w:hAnsi="Palatino Linotype" w:cs="Palatino Linotype"/>
          <w:i/>
          <w:color w:val="000000"/>
        </w:rPr>
        <w:t>Se niega a entregar la información solicitada</w:t>
      </w:r>
      <w:r w:rsidR="005F2828" w:rsidRPr="008B06FF">
        <w:rPr>
          <w:rFonts w:ascii="Palatino Linotype" w:eastAsia="Palatino Linotype" w:hAnsi="Palatino Linotype" w:cs="Palatino Linotype"/>
          <w:i/>
          <w:color w:val="000000"/>
        </w:rPr>
        <w:t>”</w:t>
      </w:r>
      <w:r w:rsidR="00CB570D" w:rsidRPr="008B06FF">
        <w:rPr>
          <w:rFonts w:ascii="Palatino Linotype" w:eastAsia="Palatino Linotype" w:hAnsi="Palatino Linotype" w:cs="Palatino Linotype"/>
          <w:i/>
          <w:color w:val="000000"/>
        </w:rPr>
        <w:t xml:space="preserve"> (Sic.)</w:t>
      </w:r>
    </w:p>
    <w:p w:rsidR="00D61C93" w:rsidRPr="008B06FF" w:rsidRDefault="00D61C93" w:rsidP="00D61C93">
      <w:pPr>
        <w:pBdr>
          <w:top w:val="nil"/>
          <w:left w:val="nil"/>
          <w:bottom w:val="nil"/>
          <w:right w:val="nil"/>
          <w:between w:val="nil"/>
        </w:pBdr>
        <w:ind w:left="567"/>
        <w:jc w:val="both"/>
        <w:rPr>
          <w:rFonts w:ascii="Palatino Linotype" w:eastAsia="Palatino Linotype" w:hAnsi="Palatino Linotype" w:cs="Palatino Linotype"/>
          <w:b/>
          <w:i/>
          <w:color w:val="000000"/>
        </w:rPr>
      </w:pPr>
    </w:p>
    <w:p w:rsidR="00D61C93" w:rsidRPr="008B06FF" w:rsidRDefault="005F2828">
      <w:pPr>
        <w:numPr>
          <w:ilvl w:val="0"/>
          <w:numId w:val="7"/>
        </w:numPr>
        <w:pBdr>
          <w:top w:val="nil"/>
          <w:left w:val="nil"/>
          <w:bottom w:val="nil"/>
          <w:right w:val="nil"/>
          <w:between w:val="nil"/>
        </w:pBdr>
        <w:ind w:left="567"/>
        <w:jc w:val="both"/>
        <w:rPr>
          <w:rFonts w:ascii="Palatino Linotype" w:eastAsia="Palatino Linotype" w:hAnsi="Palatino Linotype" w:cs="Palatino Linotype"/>
          <w:i/>
          <w:color w:val="000000"/>
        </w:rPr>
      </w:pPr>
      <w:bookmarkStart w:id="5" w:name="_heading=h.3znysh7" w:colFirst="0" w:colLast="0"/>
      <w:bookmarkEnd w:id="5"/>
      <w:r w:rsidRPr="008B06FF">
        <w:rPr>
          <w:rFonts w:ascii="Palatino Linotype" w:eastAsia="Palatino Linotype" w:hAnsi="Palatino Linotype" w:cs="Palatino Linotype"/>
          <w:b/>
          <w:color w:val="000000"/>
        </w:rPr>
        <w:t xml:space="preserve">Razones o Motivos de inconformidad: </w:t>
      </w:r>
    </w:p>
    <w:p w:rsidR="00783FB8" w:rsidRPr="008B06FF" w:rsidRDefault="005F2828" w:rsidP="00D61C93">
      <w:pPr>
        <w:pBdr>
          <w:top w:val="nil"/>
          <w:left w:val="nil"/>
          <w:bottom w:val="nil"/>
          <w:right w:val="nil"/>
          <w:between w:val="nil"/>
        </w:pBdr>
        <w:ind w:left="567"/>
        <w:jc w:val="both"/>
        <w:rPr>
          <w:rFonts w:ascii="Palatino Linotype" w:eastAsia="Palatino Linotype" w:hAnsi="Palatino Linotype" w:cs="Palatino Linotype"/>
          <w:i/>
          <w:color w:val="000000"/>
        </w:rPr>
      </w:pPr>
      <w:r w:rsidRPr="008B06FF">
        <w:rPr>
          <w:rFonts w:ascii="Palatino Linotype" w:eastAsia="Palatino Linotype" w:hAnsi="Palatino Linotype" w:cs="Palatino Linotype"/>
          <w:i/>
          <w:color w:val="000000"/>
        </w:rPr>
        <w:t>“</w:t>
      </w:r>
      <w:r w:rsidR="00D61C93" w:rsidRPr="008B06FF">
        <w:rPr>
          <w:rFonts w:ascii="Palatino Linotype" w:eastAsia="Palatino Linotype" w:hAnsi="Palatino Linotype" w:cs="Palatino Linotype"/>
          <w:i/>
          <w:color w:val="000000"/>
        </w:rPr>
        <w:t>Se niega a entregar la información vía digital argumentando que la persona encargada no se encuentra en posibilidades de entregarla y pide un cambio de modalidad aun sabiendo que el total de los documentos no sobrepasa el volumen maximo para hacer dicho cambio por lo que solicito me sea entregada l información y aunado a eso se describan las actividades asígnalas al personal de dirección y el total de servidores adscritos a dicha área, lo anterior únicamente para verificar que realmente no se encuentra en posibilidades de entregarlo y descartar una negativa por parte del sujeto involucrado</w:t>
      </w:r>
      <w:r w:rsidRPr="008B06FF">
        <w:rPr>
          <w:rFonts w:ascii="Palatino Linotype" w:eastAsia="Palatino Linotype" w:hAnsi="Palatino Linotype" w:cs="Palatino Linotype"/>
          <w:i/>
          <w:color w:val="000000"/>
        </w:rPr>
        <w:t>.”</w:t>
      </w:r>
      <w:r w:rsidR="00CB570D" w:rsidRPr="008B06FF">
        <w:rPr>
          <w:rFonts w:ascii="Palatino Linotype" w:eastAsia="Palatino Linotype" w:hAnsi="Palatino Linotype" w:cs="Palatino Linotype"/>
          <w:i/>
          <w:color w:val="000000"/>
        </w:rPr>
        <w:t xml:space="preserve"> (Sic.)</w:t>
      </w:r>
    </w:p>
    <w:p w:rsidR="00783FB8" w:rsidRPr="008B06FF" w:rsidRDefault="00783FB8">
      <w:pPr>
        <w:spacing w:line="360" w:lineRule="auto"/>
        <w:rPr>
          <w:rFonts w:ascii="Palatino Linotype" w:eastAsia="Palatino Linotype" w:hAnsi="Palatino Linotype" w:cs="Palatino Linotype"/>
          <w:i/>
          <w:color w:val="000000"/>
        </w:rPr>
      </w:pPr>
    </w:p>
    <w:p w:rsidR="009C7600" w:rsidRPr="008B06FF" w:rsidRDefault="005F2828" w:rsidP="009C7600">
      <w:pPr>
        <w:numPr>
          <w:ilvl w:val="0"/>
          <w:numId w:val="6"/>
        </w:numPr>
        <w:pBdr>
          <w:top w:val="nil"/>
          <w:left w:val="nil"/>
          <w:bottom w:val="nil"/>
          <w:right w:val="nil"/>
          <w:between w:val="nil"/>
        </w:pBdr>
        <w:spacing w:line="360" w:lineRule="auto"/>
        <w:jc w:val="both"/>
        <w:rPr>
          <w:color w:val="000000"/>
        </w:rPr>
      </w:pPr>
      <w:r w:rsidRPr="008B06FF">
        <w:rPr>
          <w:rFonts w:ascii="Palatino Linotype" w:eastAsia="Palatino Linotype" w:hAnsi="Palatino Linotype" w:cs="Palatino Linotype"/>
          <w:color w:val="000000"/>
        </w:rPr>
        <w:lastRenderedPageBreak/>
        <w:t xml:space="preserve">La Comisionada Ponente con fundamento en lo dispuesto por el artículo 185 fracción II de la ley de la materia, a través del acuerdo de admisión </w:t>
      </w:r>
      <w:r w:rsidRPr="008B06FF">
        <w:rPr>
          <w:rFonts w:ascii="Palatino Linotype" w:eastAsia="Palatino Linotype" w:hAnsi="Palatino Linotype" w:cs="Palatino Linotype"/>
        </w:rPr>
        <w:t>notificado</w:t>
      </w:r>
      <w:r w:rsidRPr="008B06FF">
        <w:rPr>
          <w:rFonts w:ascii="Palatino Linotype" w:eastAsia="Palatino Linotype" w:hAnsi="Palatino Linotype" w:cs="Palatino Linotype"/>
          <w:color w:val="000000"/>
        </w:rPr>
        <w:t xml:space="preserve"> en fecha </w:t>
      </w:r>
      <w:r w:rsidR="00D61C93" w:rsidRPr="008B06FF">
        <w:rPr>
          <w:rFonts w:ascii="Palatino Linotype" w:eastAsia="Palatino Linotype" w:hAnsi="Palatino Linotype" w:cs="Palatino Linotype"/>
          <w:b/>
          <w:color w:val="000000"/>
        </w:rPr>
        <w:t xml:space="preserve">seis de noviembre </w:t>
      </w:r>
      <w:r w:rsidR="00CB570D" w:rsidRPr="008B06FF">
        <w:rPr>
          <w:rFonts w:ascii="Palatino Linotype" w:eastAsia="Palatino Linotype" w:hAnsi="Palatino Linotype" w:cs="Palatino Linotype"/>
          <w:b/>
          <w:color w:val="000000"/>
        </w:rPr>
        <w:t>de dos mil veinticinco</w:t>
      </w:r>
      <w:r w:rsidRPr="008B06FF">
        <w:rPr>
          <w:rFonts w:ascii="Palatino Linotype" w:eastAsia="Palatino Linotype" w:hAnsi="Palatino Linotype" w:cs="Palatino Linotype"/>
          <w:color w:val="000000"/>
        </w:rPr>
        <w:t xml:space="preserve">, puso a disposición de las partes el expediente electrónico vía </w:t>
      </w:r>
      <w:r w:rsidRPr="008B06FF">
        <w:rPr>
          <w:rFonts w:ascii="Palatino Linotype" w:eastAsia="Palatino Linotype" w:hAnsi="Palatino Linotype" w:cs="Palatino Linotype"/>
          <w:b/>
          <w:color w:val="000000"/>
        </w:rPr>
        <w:t xml:space="preserve">SAIMEX </w:t>
      </w:r>
      <w:r w:rsidRPr="008B06FF">
        <w:rPr>
          <w:rFonts w:ascii="Palatino Linotype" w:eastAsia="Palatino Linotype" w:hAnsi="Palatino Linotype" w:cs="Palatino Linotype"/>
          <w:color w:val="000000"/>
        </w:rPr>
        <w:t xml:space="preserve">a efecto de que en un plazo máximo de siete días </w:t>
      </w:r>
      <w:r w:rsidRPr="008B06FF">
        <w:rPr>
          <w:rFonts w:ascii="Palatino Linotype" w:eastAsia="Palatino Linotype" w:hAnsi="Palatino Linotype" w:cs="Palatino Linotype"/>
        </w:rPr>
        <w:t>manifestara</w:t>
      </w:r>
      <w:r w:rsidRPr="008B06FF">
        <w:rPr>
          <w:rFonts w:ascii="Palatino Linotype" w:eastAsia="Palatino Linotype" w:hAnsi="Palatino Linotype" w:cs="Palatino Linotype"/>
          <w:color w:val="000000"/>
        </w:rPr>
        <w:t xml:space="preserve"> lo que a su derecho conviniera, </w:t>
      </w:r>
      <w:r w:rsidRPr="008B06FF">
        <w:rPr>
          <w:rFonts w:ascii="Palatino Linotype" w:eastAsia="Palatino Linotype" w:hAnsi="Palatino Linotype" w:cs="Palatino Linotype"/>
        </w:rPr>
        <w:t>ofreciera</w:t>
      </w:r>
      <w:r w:rsidRPr="008B06FF">
        <w:rPr>
          <w:rFonts w:ascii="Palatino Linotype" w:eastAsia="Palatino Linotype" w:hAnsi="Palatino Linotype" w:cs="Palatino Linotype"/>
          <w:color w:val="000000"/>
        </w:rPr>
        <w:t xml:space="preserve"> pruebas y alegatos según corresponda a los casos concretos, y el </w:t>
      </w:r>
      <w:r w:rsidRPr="008B06FF">
        <w:rPr>
          <w:rFonts w:ascii="Palatino Linotype" w:eastAsia="Palatino Linotype" w:hAnsi="Palatino Linotype" w:cs="Palatino Linotype"/>
          <w:b/>
          <w:color w:val="000000"/>
        </w:rPr>
        <w:t>SUJETO OBLIGADO</w:t>
      </w:r>
      <w:r w:rsidRPr="008B06FF">
        <w:rPr>
          <w:rFonts w:ascii="Palatino Linotype" w:eastAsia="Palatino Linotype" w:hAnsi="Palatino Linotype" w:cs="Palatino Linotype"/>
          <w:color w:val="000000"/>
        </w:rPr>
        <w:t xml:space="preserve"> presentará el Informe Justificado procedente.</w:t>
      </w:r>
      <w:bookmarkStart w:id="6" w:name="_heading=h.2et92p0" w:colFirst="0" w:colLast="0"/>
      <w:bookmarkEnd w:id="6"/>
    </w:p>
    <w:p w:rsidR="009C7600" w:rsidRPr="008B06FF" w:rsidRDefault="009C7600" w:rsidP="009C7600">
      <w:pPr>
        <w:pBdr>
          <w:top w:val="nil"/>
          <w:left w:val="nil"/>
          <w:bottom w:val="nil"/>
          <w:right w:val="nil"/>
          <w:between w:val="nil"/>
        </w:pBdr>
        <w:spacing w:line="360" w:lineRule="auto"/>
        <w:jc w:val="both"/>
        <w:rPr>
          <w:color w:val="000000"/>
        </w:rPr>
      </w:pPr>
    </w:p>
    <w:p w:rsidR="009C7600" w:rsidRPr="008B06FF" w:rsidRDefault="009C7600" w:rsidP="009C7600">
      <w:pPr>
        <w:numPr>
          <w:ilvl w:val="0"/>
          <w:numId w:val="6"/>
        </w:numPr>
        <w:pBdr>
          <w:top w:val="nil"/>
          <w:left w:val="nil"/>
          <w:bottom w:val="nil"/>
          <w:right w:val="nil"/>
          <w:between w:val="nil"/>
        </w:pBdr>
        <w:spacing w:line="360" w:lineRule="auto"/>
        <w:jc w:val="both"/>
        <w:rPr>
          <w:color w:val="000000"/>
        </w:rPr>
      </w:pPr>
      <w:r w:rsidRPr="008B06FF">
        <w:rPr>
          <w:rFonts w:ascii="Palatino Linotype" w:eastAsia="Palatino Linotype" w:hAnsi="Palatino Linotype" w:cs="Palatino Linotype"/>
          <w:color w:val="000000"/>
        </w:rPr>
        <w:t>El c</w:t>
      </w:r>
      <w:r w:rsidRPr="008B06FF">
        <w:rPr>
          <w:rFonts w:ascii="Palatino Linotype" w:eastAsia="Palatino Linotype" w:hAnsi="Palatino Linotype" w:cs="Palatino Linotype"/>
          <w:b/>
          <w:color w:val="000000"/>
        </w:rPr>
        <w:t>atorce de noviembre de dos mil veinticinco</w:t>
      </w:r>
      <w:r w:rsidRPr="008B06FF">
        <w:rPr>
          <w:rFonts w:ascii="Palatino Linotype" w:eastAsia="Palatino Linotype" w:hAnsi="Palatino Linotype" w:cs="Palatino Linotype"/>
          <w:color w:val="000000"/>
        </w:rPr>
        <w:t xml:space="preserve">, el </w:t>
      </w:r>
      <w:r w:rsidRPr="008B06FF">
        <w:rPr>
          <w:rFonts w:ascii="Palatino Linotype" w:eastAsia="Palatino Linotype" w:hAnsi="Palatino Linotype" w:cs="Palatino Linotype"/>
          <w:b/>
          <w:color w:val="000000"/>
        </w:rPr>
        <w:t>SUJETO OBLIGADO</w:t>
      </w:r>
      <w:r w:rsidRPr="008B06FF">
        <w:rPr>
          <w:rFonts w:ascii="Palatino Linotype" w:eastAsia="Palatino Linotype" w:hAnsi="Palatino Linotype" w:cs="Palatino Linotype"/>
          <w:color w:val="000000"/>
        </w:rPr>
        <w:t xml:space="preserve"> rindió el </w:t>
      </w:r>
      <w:r w:rsidRPr="008B06FF">
        <w:rPr>
          <w:rFonts w:ascii="Palatino Linotype" w:eastAsia="Palatino Linotype" w:hAnsi="Palatino Linotype" w:cs="Palatino Linotype"/>
          <w:b/>
          <w:color w:val="000000"/>
        </w:rPr>
        <w:t>informe justificado</w:t>
      </w:r>
      <w:r w:rsidRPr="008B06FF">
        <w:rPr>
          <w:rFonts w:ascii="Palatino Linotype" w:eastAsia="Palatino Linotype" w:hAnsi="Palatino Linotype" w:cs="Palatino Linotype"/>
          <w:color w:val="000000"/>
        </w:rPr>
        <w:t xml:space="preserve"> correspondiente, por medio del archivo electrónico denominado </w:t>
      </w:r>
      <w:r w:rsidRPr="008B06FF">
        <w:rPr>
          <w:rFonts w:ascii="Palatino Linotype" w:eastAsia="Palatino Linotype" w:hAnsi="Palatino Linotype" w:cs="Palatino Linotype"/>
          <w:b/>
          <w:color w:val="000000"/>
        </w:rPr>
        <w:t>“Informe Justificado de la Solicitud 58.pdf”</w:t>
      </w:r>
      <w:r w:rsidRPr="008B06FF">
        <w:rPr>
          <w:rFonts w:ascii="Palatino Linotype" w:eastAsia="Palatino Linotype" w:hAnsi="Palatino Linotype" w:cs="Palatino Linotype"/>
          <w:color w:val="000000"/>
        </w:rPr>
        <w:t xml:space="preserve">; a través del cual, </w:t>
      </w:r>
      <w:r w:rsidRPr="008B06FF">
        <w:rPr>
          <w:rFonts w:ascii="Palatino Linotype" w:eastAsia="Palatino Linotype" w:hAnsi="Palatino Linotype" w:cs="Palatino Linotype"/>
          <w:b/>
          <w:color w:val="000000"/>
        </w:rPr>
        <w:t xml:space="preserve">ratificó la respuesta, </w:t>
      </w:r>
      <w:r w:rsidRPr="008B06FF">
        <w:rPr>
          <w:rFonts w:ascii="Palatino Linotype" w:eastAsia="Palatino Linotype" w:hAnsi="Palatino Linotype" w:cs="Palatino Linotype"/>
          <w:color w:val="000000"/>
        </w:rPr>
        <w:t>mismo que se puso a la vista del particular en catorce de abril de dos mil veintiséis.</w:t>
      </w:r>
    </w:p>
    <w:p w:rsidR="009C7600" w:rsidRPr="008B06FF" w:rsidRDefault="009C7600" w:rsidP="009C7600">
      <w:pPr>
        <w:pStyle w:val="Prrafodelista"/>
        <w:rPr>
          <w:rFonts w:ascii="Palatino Linotype" w:eastAsia="Palatino Linotype" w:hAnsi="Palatino Linotype" w:cs="Palatino Linotype"/>
          <w:color w:val="000000"/>
        </w:rPr>
      </w:pPr>
    </w:p>
    <w:p w:rsidR="009C7600" w:rsidRPr="008B06FF" w:rsidRDefault="009C7600" w:rsidP="009C7600">
      <w:pPr>
        <w:numPr>
          <w:ilvl w:val="0"/>
          <w:numId w:val="6"/>
        </w:numPr>
        <w:pBdr>
          <w:top w:val="nil"/>
          <w:left w:val="nil"/>
          <w:bottom w:val="nil"/>
          <w:right w:val="nil"/>
          <w:between w:val="nil"/>
        </w:pBdr>
        <w:spacing w:line="360" w:lineRule="auto"/>
        <w:jc w:val="both"/>
        <w:rPr>
          <w:color w:val="000000"/>
        </w:rPr>
      </w:pPr>
      <w:r w:rsidRPr="008B06FF">
        <w:rPr>
          <w:rFonts w:ascii="Palatino Linotype" w:eastAsia="Palatino Linotype" w:hAnsi="Palatino Linotype" w:cs="Palatino Linotype"/>
          <w:color w:val="000000"/>
        </w:rPr>
        <w:t xml:space="preserve">Por su parte, el </w:t>
      </w:r>
      <w:r w:rsidRPr="008B06FF">
        <w:rPr>
          <w:rFonts w:ascii="Palatino Linotype" w:eastAsia="Palatino Linotype" w:hAnsi="Palatino Linotype" w:cs="Palatino Linotype"/>
          <w:b/>
          <w:color w:val="000000"/>
        </w:rPr>
        <w:t>RECURRENTE</w:t>
      </w:r>
      <w:r w:rsidRPr="008B06FF">
        <w:rPr>
          <w:rFonts w:ascii="Palatino Linotype" w:eastAsia="Palatino Linotype" w:hAnsi="Palatino Linotype" w:cs="Palatino Linotype"/>
          <w:color w:val="000000"/>
        </w:rPr>
        <w:t xml:space="preserve"> no presentó pruebas o alegatos que a su derecho convinieran.</w:t>
      </w:r>
    </w:p>
    <w:p w:rsidR="007104B5" w:rsidRPr="008B06FF" w:rsidRDefault="007104B5" w:rsidP="007104B5">
      <w:pPr>
        <w:pStyle w:val="Prrafodelista"/>
        <w:rPr>
          <w:rFonts w:ascii="Palatino Linotype" w:eastAsia="MS Mincho" w:hAnsi="Palatino Linotype"/>
          <w:i/>
          <w:color w:val="000000"/>
        </w:rPr>
      </w:pPr>
    </w:p>
    <w:p w:rsidR="00783FB8" w:rsidRPr="008B06FF" w:rsidRDefault="005F2828">
      <w:pPr>
        <w:numPr>
          <w:ilvl w:val="0"/>
          <w:numId w:val="6"/>
        </w:numPr>
        <w:spacing w:line="360" w:lineRule="auto"/>
        <w:jc w:val="both"/>
      </w:pPr>
      <w:r w:rsidRPr="008B06FF">
        <w:rPr>
          <w:rFonts w:ascii="Palatino Linotype" w:eastAsia="Palatino Linotype" w:hAnsi="Palatino Linotype" w:cs="Palatino Linotype"/>
        </w:rPr>
        <w:t xml:space="preserve">El </w:t>
      </w:r>
      <w:r w:rsidR="007104B5" w:rsidRPr="008B06FF">
        <w:rPr>
          <w:rFonts w:ascii="Palatino Linotype" w:eastAsia="Palatino Linotype" w:hAnsi="Palatino Linotype" w:cs="Palatino Linotype"/>
          <w:b/>
        </w:rPr>
        <w:t>catorce</w:t>
      </w:r>
      <w:r w:rsidRPr="008B06FF">
        <w:rPr>
          <w:rFonts w:ascii="Palatino Linotype" w:eastAsia="Palatino Linotype" w:hAnsi="Palatino Linotype" w:cs="Palatino Linotype"/>
          <w:b/>
        </w:rPr>
        <w:t xml:space="preserve"> de </w:t>
      </w:r>
      <w:r w:rsidR="009C7600" w:rsidRPr="008B06FF">
        <w:rPr>
          <w:rFonts w:ascii="Palatino Linotype" w:eastAsia="Palatino Linotype" w:hAnsi="Palatino Linotype" w:cs="Palatino Linotype"/>
          <w:b/>
        </w:rPr>
        <w:t xml:space="preserve">abril </w:t>
      </w:r>
      <w:r w:rsidRPr="008B06FF">
        <w:rPr>
          <w:rFonts w:ascii="Palatino Linotype" w:eastAsia="Palatino Linotype" w:hAnsi="Palatino Linotype" w:cs="Palatino Linotype"/>
          <w:b/>
        </w:rPr>
        <w:t xml:space="preserve">de dos mil </w:t>
      </w:r>
      <w:r w:rsidR="009C7600" w:rsidRPr="008B06FF">
        <w:rPr>
          <w:rFonts w:ascii="Palatino Linotype" w:eastAsia="Palatino Linotype" w:hAnsi="Palatino Linotype" w:cs="Palatino Linotype"/>
          <w:b/>
        </w:rPr>
        <w:t>veintiséis</w:t>
      </w:r>
      <w:r w:rsidRPr="008B06FF">
        <w:rPr>
          <w:rFonts w:ascii="Palatino Linotype" w:eastAsia="Palatino Linotype" w:hAnsi="Palatino Linotype" w:cs="Palatino Linotype"/>
        </w:rPr>
        <w:t xml:space="preserve">, se notificó el acuerdo mediante el cual se aprobó la ampliación de plazo para emitir resolución. </w:t>
      </w:r>
    </w:p>
    <w:p w:rsidR="00783FB8" w:rsidRPr="008B06FF" w:rsidRDefault="00783FB8">
      <w:pPr>
        <w:spacing w:line="360" w:lineRule="auto"/>
        <w:jc w:val="both"/>
        <w:rPr>
          <w:rFonts w:ascii="Palatino Linotype" w:eastAsia="Palatino Linotype" w:hAnsi="Palatino Linotype" w:cs="Palatino Linotype"/>
        </w:rPr>
      </w:pPr>
    </w:p>
    <w:p w:rsidR="00783FB8" w:rsidRPr="008B06FF" w:rsidRDefault="005F2828">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8B06FF">
        <w:rPr>
          <w:rFonts w:ascii="Palatino Linotype" w:eastAsia="Palatino Linotype" w:hAnsi="Palatino Linotype" w:cs="Palatino Linotype"/>
          <w:color w:val="000000"/>
        </w:rPr>
        <w:t xml:space="preserve">Finalmente, mediante acuerdo de </w:t>
      </w:r>
      <w:r w:rsidR="009C7600" w:rsidRPr="008B06FF">
        <w:rPr>
          <w:rFonts w:ascii="Palatino Linotype" w:eastAsia="Palatino Linotype" w:hAnsi="Palatino Linotype" w:cs="Palatino Linotype"/>
          <w:b/>
          <w:color w:val="000000"/>
        </w:rPr>
        <w:t>veinte de abril de dos mil veintiséis</w:t>
      </w:r>
      <w:r w:rsidRPr="008B06FF">
        <w:rPr>
          <w:rFonts w:ascii="Palatino Linotype" w:eastAsia="Palatino Linotype" w:hAnsi="Palatino Linotype" w:cs="Palatino Linotype"/>
          <w:color w:val="000000"/>
        </w:rPr>
        <w:t>, se decretó el cierre de instrucción, por lo que no habiendo más que hacer constar, y----------------------------</w:t>
      </w:r>
    </w:p>
    <w:p w:rsidR="008B06FF" w:rsidRDefault="008B06FF" w:rsidP="008B06FF">
      <w:pPr>
        <w:pStyle w:val="Prrafodelista"/>
        <w:rPr>
          <w:rFonts w:ascii="Palatino Linotype" w:eastAsia="Palatino Linotype" w:hAnsi="Palatino Linotype" w:cs="Palatino Linotype"/>
          <w:b/>
          <w:color w:val="000000"/>
        </w:rPr>
      </w:pPr>
    </w:p>
    <w:p w:rsidR="008B06FF" w:rsidRPr="008B06FF" w:rsidRDefault="008B06FF" w:rsidP="008B06FF">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783FB8" w:rsidRPr="008B06FF" w:rsidRDefault="00783FB8">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783FB8" w:rsidRPr="008B06FF" w:rsidRDefault="005F2828">
      <w:pPr>
        <w:pStyle w:val="Ttulo1"/>
        <w:tabs>
          <w:tab w:val="left" w:pos="567"/>
        </w:tabs>
        <w:spacing w:before="0" w:line="360" w:lineRule="auto"/>
        <w:jc w:val="center"/>
        <w:rPr>
          <w:szCs w:val="24"/>
        </w:rPr>
      </w:pPr>
      <w:bookmarkStart w:id="7" w:name="_heading=h.tyjcwt" w:colFirst="0" w:colLast="0"/>
      <w:bookmarkEnd w:id="7"/>
      <w:r w:rsidRPr="008B06FF">
        <w:rPr>
          <w:szCs w:val="24"/>
        </w:rPr>
        <w:lastRenderedPageBreak/>
        <w:t>C O N S I D E R A N D O</w:t>
      </w:r>
    </w:p>
    <w:p w:rsidR="00783FB8" w:rsidRPr="008B06FF" w:rsidRDefault="00783FB8">
      <w:pPr>
        <w:spacing w:line="360" w:lineRule="auto"/>
        <w:rPr>
          <w:rFonts w:ascii="Palatino Linotype" w:eastAsia="Palatino Linotype" w:hAnsi="Palatino Linotype" w:cs="Palatino Linotype"/>
        </w:rPr>
      </w:pPr>
    </w:p>
    <w:p w:rsidR="00783FB8" w:rsidRPr="008B06FF" w:rsidRDefault="005F2828">
      <w:pPr>
        <w:pStyle w:val="Ttulo1"/>
        <w:tabs>
          <w:tab w:val="left" w:pos="567"/>
        </w:tabs>
        <w:spacing w:before="0" w:line="360" w:lineRule="auto"/>
        <w:rPr>
          <w:b w:val="0"/>
          <w:szCs w:val="24"/>
        </w:rPr>
      </w:pPr>
      <w:bookmarkStart w:id="8" w:name="_heading=h.3dy6vkm" w:colFirst="0" w:colLast="0"/>
      <w:bookmarkEnd w:id="8"/>
      <w:r w:rsidRPr="008B06FF">
        <w:rPr>
          <w:szCs w:val="24"/>
        </w:rPr>
        <w:t>PRIMERO. De la competencia</w:t>
      </w:r>
    </w:p>
    <w:p w:rsidR="00783FB8" w:rsidRPr="008B06FF" w:rsidRDefault="005F2828" w:rsidP="007104B5">
      <w:pPr>
        <w:numPr>
          <w:ilvl w:val="0"/>
          <w:numId w:val="6"/>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 xml:space="preserve"> </w:t>
      </w:r>
      <w:r w:rsidR="007104B5" w:rsidRPr="008B06FF">
        <w:rPr>
          <w:rFonts w:ascii="Palatino Linotype" w:hAnsi="Palatino Linotype"/>
          <w:color w:val="000000"/>
          <w:shd w:val="clear" w:color="auto" w:fill="FFFFFF"/>
        </w:rPr>
        <w:t>Este Instituto de Transparencia, Acceso a la Información Pública y Protección de Datos Personales del Estado de México y Municipios, es competente para conocer y resolver del presente recurso de conformidad con el artículo: 6, apartado A, fracción IV de la </w:t>
      </w:r>
      <w:r w:rsidR="007104B5" w:rsidRPr="008B06FF">
        <w:rPr>
          <w:rFonts w:ascii="Palatino Linotype" w:hAnsi="Palatino Linotype"/>
          <w:b/>
          <w:bCs/>
          <w:color w:val="000000"/>
          <w:shd w:val="clear" w:color="auto" w:fill="FFFFFF"/>
        </w:rPr>
        <w:t>Constitución Política de los Estados Unidos Mexicanos</w:t>
      </w:r>
      <w:r w:rsidR="007104B5" w:rsidRPr="008B06FF">
        <w:rPr>
          <w:rFonts w:ascii="Palatino Linotype" w:hAnsi="Palatino Linotype"/>
          <w:color w:val="000000"/>
          <w:shd w:val="clear" w:color="auto" w:fill="FFFFFF"/>
        </w:rPr>
        <w:t>; 5, párrafos trigésimo segundo, trigésimo tercero y trigésimo cuarto fracciones IV y V de la </w:t>
      </w:r>
      <w:r w:rsidR="007104B5" w:rsidRPr="008B06FF">
        <w:rPr>
          <w:rFonts w:ascii="Palatino Linotype" w:hAnsi="Palatino Linotype"/>
          <w:b/>
          <w:bCs/>
          <w:color w:val="000000"/>
          <w:shd w:val="clear" w:color="auto" w:fill="FFFFFF"/>
        </w:rPr>
        <w:t>Constitución Política del Estado Libre y Soberano de México</w:t>
      </w:r>
      <w:r w:rsidR="007104B5" w:rsidRPr="008B06FF">
        <w:rPr>
          <w:rFonts w:ascii="Palatino Linotype" w:hAnsi="Palatino Linotype"/>
          <w:color w:val="000000"/>
          <w:shd w:val="clear" w:color="auto" w:fill="FFFFFF"/>
        </w:rPr>
        <w:t>; artículos 1, 2 fracción II, 13, 29, 36 fracciones I y II, 176, 178, 179, 181 párrafo tercero y 185 de la </w:t>
      </w:r>
      <w:r w:rsidR="007104B5" w:rsidRPr="008B06FF">
        <w:rPr>
          <w:rFonts w:ascii="Palatino Linotype" w:hAnsi="Palatino Linotype"/>
          <w:b/>
          <w:bCs/>
          <w:color w:val="000000"/>
          <w:shd w:val="clear" w:color="auto" w:fill="FFFFFF"/>
        </w:rPr>
        <w:t>Ley de Transparencia y Acceso a la Información Pública del Estado de México y Municipios</w:t>
      </w:r>
      <w:r w:rsidR="007104B5" w:rsidRPr="008B06FF">
        <w:rPr>
          <w:rFonts w:ascii="Palatino Linotype" w:hAnsi="Palatino Linotype"/>
          <w:color w:val="000000"/>
          <w:shd w:val="clear" w:color="auto" w:fill="FFFFFF"/>
        </w:rPr>
        <w:t>; y 7, 9 fracciones I y XXIII, y 11 del </w:t>
      </w:r>
      <w:r w:rsidR="007104B5" w:rsidRPr="008B06FF">
        <w:rPr>
          <w:rFonts w:ascii="Palatino Linotype" w:hAnsi="Palatino Linotype"/>
          <w:b/>
          <w:bCs/>
          <w:color w:val="000000"/>
          <w:shd w:val="clear" w:color="auto" w:fill="FFFFFF"/>
        </w:rPr>
        <w:t>Reglamento Interior del Instituto de Transparencia, Acceso a la Información Pública y Protección de Datos Personales del Estado de México y Municipios</w:t>
      </w:r>
      <w:r w:rsidR="007104B5" w:rsidRPr="008B06FF">
        <w:rPr>
          <w:rFonts w:ascii="Palatino Linotype" w:hAnsi="Palatino Linotype"/>
          <w:color w:val="000000"/>
          <w:shd w:val="clear" w:color="auto" w:fill="FFFFFF"/>
        </w:rPr>
        <w:t>.</w:t>
      </w:r>
    </w:p>
    <w:p w:rsidR="007104B5" w:rsidRPr="008B06FF" w:rsidRDefault="007104B5" w:rsidP="007104B5">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783FB8" w:rsidRPr="008B06FF" w:rsidRDefault="005F2828">
      <w:pPr>
        <w:pStyle w:val="Ttulo2"/>
        <w:spacing w:before="0" w:line="360" w:lineRule="auto"/>
        <w:rPr>
          <w:color w:val="000000"/>
          <w:szCs w:val="24"/>
        </w:rPr>
      </w:pPr>
      <w:bookmarkStart w:id="9" w:name="_heading=h.1t3h5sf" w:colFirst="0" w:colLast="0"/>
      <w:bookmarkEnd w:id="9"/>
      <w:r w:rsidRPr="008B06FF">
        <w:rPr>
          <w:color w:val="000000"/>
          <w:szCs w:val="24"/>
        </w:rPr>
        <w:t>SEGUNDO. De la oportunidad y procedencia.</w:t>
      </w:r>
    </w:p>
    <w:p w:rsidR="00783FB8" w:rsidRPr="008B06FF" w:rsidRDefault="005F2828" w:rsidP="00CF6E66">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 xml:space="preserve"> El medio de impugnación fue presentado a través del </w:t>
      </w:r>
      <w:r w:rsidRPr="008B06FF">
        <w:rPr>
          <w:rFonts w:ascii="Palatino Linotype" w:eastAsia="Palatino Linotype" w:hAnsi="Palatino Linotype" w:cs="Palatino Linotype"/>
          <w:b/>
          <w:color w:val="000000"/>
        </w:rPr>
        <w:t>SAIMEX,</w:t>
      </w:r>
      <w:r w:rsidRPr="008B06FF">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8B06FF">
        <w:rPr>
          <w:rFonts w:ascii="Palatino Linotype" w:eastAsia="Palatino Linotype" w:hAnsi="Palatino Linotype" w:cs="Palatino Linotype"/>
          <w:b/>
          <w:color w:val="000000"/>
        </w:rPr>
        <w:t>SUJETO OBLIGADO</w:t>
      </w:r>
      <w:r w:rsidRPr="008B06FF">
        <w:rPr>
          <w:rFonts w:ascii="Palatino Linotype" w:eastAsia="Palatino Linotype" w:hAnsi="Palatino Linotype" w:cs="Palatino Linotype"/>
          <w:color w:val="000000"/>
        </w:rPr>
        <w:t xml:space="preserve"> entregó su respuesta el </w:t>
      </w:r>
      <w:r w:rsidR="007104B5" w:rsidRPr="008B06FF">
        <w:rPr>
          <w:rFonts w:ascii="Palatino Linotype" w:eastAsia="Palatino Linotype" w:hAnsi="Palatino Linotype" w:cs="Palatino Linotype"/>
          <w:b/>
          <w:color w:val="000000"/>
        </w:rPr>
        <w:t xml:space="preserve">cuatro de </w:t>
      </w:r>
      <w:r w:rsidR="009C7600" w:rsidRPr="008B06FF">
        <w:rPr>
          <w:rFonts w:ascii="Palatino Linotype" w:eastAsia="Palatino Linotype" w:hAnsi="Palatino Linotype" w:cs="Palatino Linotype"/>
          <w:b/>
          <w:color w:val="000000"/>
        </w:rPr>
        <w:t xml:space="preserve">noviembre </w:t>
      </w:r>
      <w:r w:rsidR="007104B5" w:rsidRPr="008B06FF">
        <w:rPr>
          <w:rFonts w:ascii="Palatino Linotype" w:eastAsia="Palatino Linotype" w:hAnsi="Palatino Linotype" w:cs="Palatino Linotype"/>
          <w:b/>
          <w:color w:val="000000"/>
        </w:rPr>
        <w:t>de dos mil veinticinco</w:t>
      </w:r>
      <w:r w:rsidRPr="008B06FF">
        <w:rPr>
          <w:rFonts w:ascii="Palatino Linotype" w:eastAsia="Palatino Linotype" w:hAnsi="Palatino Linotype" w:cs="Palatino Linotype"/>
          <w:color w:val="000000"/>
        </w:rPr>
        <w:t xml:space="preserve">, de tal forma que el plazo para interponer el recurso de revisión transcurrió del </w:t>
      </w:r>
      <w:r w:rsidR="007104B5" w:rsidRPr="008B06FF">
        <w:rPr>
          <w:rFonts w:ascii="Palatino Linotype" w:eastAsia="Palatino Linotype" w:hAnsi="Palatino Linotype" w:cs="Palatino Linotype"/>
          <w:b/>
          <w:color w:val="000000"/>
        </w:rPr>
        <w:t>cinco</w:t>
      </w:r>
      <w:r w:rsidR="00CF6E66" w:rsidRPr="008B06FF">
        <w:rPr>
          <w:rFonts w:ascii="Palatino Linotype" w:eastAsia="Palatino Linotype" w:hAnsi="Palatino Linotype" w:cs="Palatino Linotype"/>
          <w:b/>
          <w:color w:val="000000"/>
        </w:rPr>
        <w:t xml:space="preserve"> al </w:t>
      </w:r>
      <w:r w:rsidR="009C7600" w:rsidRPr="008B06FF">
        <w:rPr>
          <w:rFonts w:ascii="Palatino Linotype" w:eastAsia="Palatino Linotype" w:hAnsi="Palatino Linotype" w:cs="Palatino Linotype"/>
          <w:b/>
          <w:color w:val="000000"/>
        </w:rPr>
        <w:t>veintiséis de noviembre de dos mil veintiséis</w:t>
      </w:r>
      <w:r w:rsidRPr="008B06FF">
        <w:rPr>
          <w:rFonts w:ascii="Palatino Linotype" w:eastAsia="Palatino Linotype" w:hAnsi="Palatino Linotype" w:cs="Palatino Linotype"/>
          <w:color w:val="000000"/>
        </w:rPr>
        <w:t xml:space="preserve">; en consecuencia, el ahora </w:t>
      </w:r>
      <w:r w:rsidRPr="008B06FF">
        <w:rPr>
          <w:rFonts w:ascii="Palatino Linotype" w:eastAsia="Palatino Linotype" w:hAnsi="Palatino Linotype" w:cs="Palatino Linotype"/>
          <w:b/>
          <w:color w:val="000000"/>
        </w:rPr>
        <w:t>RECURRENTE</w:t>
      </w:r>
      <w:r w:rsidRPr="008B06FF">
        <w:rPr>
          <w:rFonts w:ascii="Palatino Linotype" w:eastAsia="Palatino Linotype" w:hAnsi="Palatino Linotype" w:cs="Palatino Linotype"/>
          <w:color w:val="000000"/>
        </w:rPr>
        <w:t xml:space="preserve"> presentó su inconformidad el </w:t>
      </w:r>
      <w:r w:rsidR="00CF6E66" w:rsidRPr="008B06FF">
        <w:rPr>
          <w:rFonts w:ascii="Palatino Linotype" w:eastAsia="Palatino Linotype" w:hAnsi="Palatino Linotype" w:cs="Palatino Linotype"/>
          <w:b/>
          <w:color w:val="000000"/>
        </w:rPr>
        <w:t xml:space="preserve">cuatro </w:t>
      </w:r>
      <w:r w:rsidRPr="008B06FF">
        <w:rPr>
          <w:rFonts w:ascii="Palatino Linotype" w:eastAsia="Palatino Linotype" w:hAnsi="Palatino Linotype" w:cs="Palatino Linotype"/>
          <w:b/>
          <w:color w:val="000000"/>
        </w:rPr>
        <w:t xml:space="preserve">de </w:t>
      </w:r>
      <w:r w:rsidR="009C7600" w:rsidRPr="008B06FF">
        <w:rPr>
          <w:rFonts w:ascii="Palatino Linotype" w:eastAsia="Palatino Linotype" w:hAnsi="Palatino Linotype" w:cs="Palatino Linotype"/>
          <w:b/>
          <w:color w:val="000000"/>
        </w:rPr>
        <w:t xml:space="preserve">noviembre </w:t>
      </w:r>
      <w:r w:rsidRPr="008B06FF">
        <w:rPr>
          <w:rFonts w:ascii="Palatino Linotype" w:eastAsia="Palatino Linotype" w:hAnsi="Palatino Linotype" w:cs="Palatino Linotype"/>
          <w:b/>
          <w:color w:val="000000"/>
        </w:rPr>
        <w:t xml:space="preserve">de dos mil </w:t>
      </w:r>
      <w:r w:rsidR="00CF6E66" w:rsidRPr="008B06FF">
        <w:rPr>
          <w:rFonts w:ascii="Palatino Linotype" w:eastAsia="Palatino Linotype" w:hAnsi="Palatino Linotype" w:cs="Palatino Linotype"/>
          <w:b/>
          <w:color w:val="000000"/>
        </w:rPr>
        <w:t>veinticinco</w:t>
      </w:r>
      <w:r w:rsidRPr="008B06FF">
        <w:rPr>
          <w:rFonts w:ascii="Palatino Linotype" w:eastAsia="Palatino Linotype" w:hAnsi="Palatino Linotype" w:cs="Palatino Linotype"/>
          <w:color w:val="000000"/>
        </w:rPr>
        <w:t>; por lo que se estima que la inconformidad se presentó dentro del lapso legalmente establecido para tal efecto.</w:t>
      </w:r>
    </w:p>
    <w:p w:rsidR="00CF6E66" w:rsidRPr="008B06FF" w:rsidRDefault="00CF6E66" w:rsidP="00CF6E66">
      <w:pPr>
        <w:numPr>
          <w:ilvl w:val="0"/>
          <w:numId w:val="6"/>
        </w:numPr>
        <w:spacing w:line="360" w:lineRule="auto"/>
        <w:contextualSpacing/>
        <w:jc w:val="both"/>
        <w:rPr>
          <w:rFonts w:ascii="Palatino Linotype" w:hAnsi="Palatino Linotype" w:cs="Arial"/>
        </w:rPr>
      </w:pPr>
      <w:r w:rsidRPr="008B06FF">
        <w:rPr>
          <w:rFonts w:ascii="Palatino Linotype" w:hAnsi="Palatino Linotype" w:cs="Arial"/>
        </w:rPr>
        <w:lastRenderedPageBreak/>
        <w:t>Al respecto resulta necesario precisar que cuando el medio de impugnación, se haya interpuesto antes que inicie el término para tal efecto, resulta insuficiente para tener por extemporáneo el recurso de revisión de mérito, toda vez que el precepto legal citado, sólo establece que este medio de defensa se ha de promover dentro de los quince días hábiles siguientes en que se tenga conocimiento de la respuesta impugnada; sin embargo, no prohíbe que el recurso de revisión, se presente el mismo día en que esta fue notificada. Por lo que es de señalar que en aras de privilegiar el derecho de acceso a la información se entra al estudio del presente recurso de revisión sin que la fecha en que se presentó afecte la resolución.</w:t>
      </w:r>
    </w:p>
    <w:p w:rsidR="00CF6E66" w:rsidRPr="008B06FF" w:rsidRDefault="00CF6E66" w:rsidP="00CF6E66">
      <w:pPr>
        <w:spacing w:line="360" w:lineRule="auto"/>
        <w:contextualSpacing/>
        <w:jc w:val="both"/>
        <w:rPr>
          <w:rFonts w:ascii="Palatino Linotype" w:eastAsiaTheme="minorEastAsia" w:hAnsi="Palatino Linotype"/>
          <w:lang w:eastAsia="es-ES"/>
        </w:rPr>
      </w:pPr>
    </w:p>
    <w:p w:rsidR="00CF6E66" w:rsidRPr="008B06FF" w:rsidRDefault="00CF6E66" w:rsidP="00CF6E66">
      <w:pPr>
        <w:numPr>
          <w:ilvl w:val="0"/>
          <w:numId w:val="6"/>
        </w:numPr>
        <w:spacing w:line="360" w:lineRule="auto"/>
        <w:contextualSpacing/>
        <w:jc w:val="both"/>
        <w:rPr>
          <w:rFonts w:ascii="Palatino Linotype" w:hAnsi="Palatino Linotype" w:cs="Arial"/>
          <w:bCs/>
          <w:color w:val="555555"/>
        </w:rPr>
      </w:pPr>
      <w:r w:rsidRPr="008B06FF">
        <w:rPr>
          <w:rFonts w:ascii="Palatino Linotype" w:hAnsi="Palatino Linotype" w:cs="Arial"/>
        </w:rPr>
        <w:t xml:space="preserve">Lo anterior se robustece con la jurisprudencia número 1a./J. 41/2015 (10a.), Décima época, sustentada por la Primera Sala de la Suprema Corte de Justicia de la Nación, visible en la página 569, libro 19, tomo I, de la Gaceta del Semanario Judicial de la Federación, del diecinueve de junio de 2015, cuyo rubro y texto disponen: </w:t>
      </w:r>
    </w:p>
    <w:p w:rsidR="00CF6E66" w:rsidRPr="008B06FF" w:rsidRDefault="00CF6E66" w:rsidP="00CF6E66">
      <w:pPr>
        <w:spacing w:line="360" w:lineRule="auto"/>
        <w:contextualSpacing/>
        <w:jc w:val="both"/>
        <w:rPr>
          <w:rFonts w:ascii="Palatino Linotype" w:eastAsiaTheme="minorEastAsia" w:hAnsi="Palatino Linotype"/>
          <w:lang w:eastAsia="es-ES"/>
        </w:rPr>
      </w:pPr>
    </w:p>
    <w:p w:rsidR="00CF6E66" w:rsidRPr="008B06FF" w:rsidRDefault="00CF6E66" w:rsidP="00CF6E66">
      <w:pPr>
        <w:ind w:left="567" w:right="539"/>
        <w:contextualSpacing/>
        <w:jc w:val="both"/>
        <w:rPr>
          <w:rFonts w:ascii="Palatino Linotype" w:hAnsi="Palatino Linotype" w:cs="Arial"/>
          <w:i/>
        </w:rPr>
      </w:pPr>
      <w:r w:rsidRPr="008B06FF">
        <w:rPr>
          <w:rFonts w:ascii="Palatino Linotype" w:hAnsi="Palatino Linotype" w:cs="Arial"/>
          <w:b/>
          <w:i/>
        </w:rPr>
        <w:t>“RECURSO DE RECLAMACIÓN. SU INTERPOSICIÓN NO ES EXTEMPORÁNEA SI SE REALIZA ANTES DE QUE INICIE EL PLAZO PARA HACERLO</w:t>
      </w:r>
      <w:r w:rsidRPr="008B06FF">
        <w:rPr>
          <w:rFonts w:ascii="Palatino Linotype" w:hAnsi="Palatino Linotype" w:cs="Arial"/>
          <w:i/>
        </w:rPr>
        <w:t>.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rsidR="00CF6E66" w:rsidRPr="008B06FF" w:rsidRDefault="00CF6E66" w:rsidP="00CF6E66">
      <w:pPr>
        <w:spacing w:line="360" w:lineRule="auto"/>
        <w:contextualSpacing/>
        <w:jc w:val="both"/>
        <w:rPr>
          <w:rFonts w:ascii="Palatino Linotype" w:eastAsiaTheme="minorEastAsia" w:hAnsi="Palatino Linotype"/>
          <w:lang w:eastAsia="es-ES"/>
        </w:rPr>
      </w:pPr>
    </w:p>
    <w:p w:rsidR="00CF6E66" w:rsidRPr="008B06FF" w:rsidRDefault="00CF6E66" w:rsidP="00CF6E66">
      <w:pPr>
        <w:numPr>
          <w:ilvl w:val="0"/>
          <w:numId w:val="6"/>
        </w:numPr>
        <w:spacing w:line="360" w:lineRule="auto"/>
        <w:contextualSpacing/>
        <w:jc w:val="both"/>
        <w:rPr>
          <w:rFonts w:ascii="Palatino Linotype" w:hAnsi="Palatino Linotype" w:cs="Arial"/>
          <w:i/>
        </w:rPr>
      </w:pPr>
      <w:r w:rsidRPr="008B06FF">
        <w:rPr>
          <w:rFonts w:ascii="Palatino Linotype" w:hAnsi="Palatino Linotype" w:cs="Arial"/>
        </w:rPr>
        <w:lastRenderedPageBreak/>
        <w:t>Esto</w:t>
      </w:r>
      <w:r w:rsidRPr="008B06FF">
        <w:rPr>
          <w:rFonts w:ascii="Palatino Linotype" w:hAnsi="Palatino Linotype" w:cstheme="minorBidi"/>
        </w:rPr>
        <w:t xml:space="preserve"> es así porque en primer lugar es necesario que </w:t>
      </w:r>
      <w:r w:rsidRPr="008B06FF">
        <w:rPr>
          <w:rFonts w:ascii="Palatino Linotype" w:hAnsi="Palatino Linotype" w:cstheme="minorBidi"/>
          <w:b/>
        </w:rPr>
        <w:t>EL RECURRENTE</w:t>
      </w:r>
      <w:r w:rsidRPr="008B06FF">
        <w:rPr>
          <w:rFonts w:ascii="Palatino Linotype" w:hAnsi="Palatino Linotype" w:cstheme="minorBidi"/>
        </w:rPr>
        <w:t xml:space="preserve"> conozca el acto que le provoca agravio y a partir de ahí formular su recurso de revisión </w:t>
      </w:r>
      <w:r w:rsidRPr="008B06FF">
        <w:rPr>
          <w:rFonts w:ascii="Palatino Linotype" w:hAnsi="Palatino Linotype" w:cs="Arial"/>
        </w:rPr>
        <w:t>señalando</w:t>
      </w:r>
      <w:r w:rsidRPr="008B06FF">
        <w:rPr>
          <w:rFonts w:ascii="Palatino Linotype" w:hAnsi="Palatino Linotype" w:cstheme="minorBidi"/>
        </w:rPr>
        <w:t xml:space="preserve"> </w:t>
      </w:r>
      <w:r w:rsidRPr="008B06FF">
        <w:rPr>
          <w:rFonts w:ascii="Palatino Linotype" w:hAnsi="Palatino Linotype" w:cs="Arial"/>
        </w:rPr>
        <w:t>tanto</w:t>
      </w:r>
      <w:r w:rsidRPr="008B06FF">
        <w:rPr>
          <w:rFonts w:ascii="Palatino Linotype" w:hAnsi="Palatino Linotype" w:cstheme="minorBidi"/>
        </w:rPr>
        <w:t xml:space="preserve"> el acto impugnado como el motivo de inconformidad. Y si bien la ley señala que el plazo corre un día después de haber sido notificada la respuesta, en nada se afecta al proceso que el mismo día de </w:t>
      </w:r>
      <w:r w:rsidRPr="008B06FF">
        <w:rPr>
          <w:rFonts w:ascii="Palatino Linotype" w:hAnsi="Palatino Linotype" w:cstheme="minorBidi"/>
          <w:b/>
        </w:rPr>
        <w:t>notificada EL RECURRENTE</w:t>
      </w:r>
      <w:r w:rsidRPr="008B06FF">
        <w:rPr>
          <w:rFonts w:ascii="Palatino Linotype" w:hAnsi="Palatino Linotype" w:cstheme="minorBidi"/>
        </w:rPr>
        <w:t xml:space="preserve"> actúe, ya que al contrario lo que demuestra es el interés del mismo para ejercer su derecho bajo el principio constitucional de justicia expedita.</w:t>
      </w:r>
    </w:p>
    <w:p w:rsidR="00CF6E66" w:rsidRPr="008B06FF" w:rsidRDefault="00CF6E66" w:rsidP="00CF6E66">
      <w:pPr>
        <w:spacing w:line="360" w:lineRule="auto"/>
        <w:contextualSpacing/>
        <w:jc w:val="both"/>
        <w:rPr>
          <w:rFonts w:ascii="Palatino Linotype" w:eastAsiaTheme="minorEastAsia" w:hAnsi="Palatino Linotype"/>
          <w:lang w:eastAsia="es-ES"/>
        </w:rPr>
      </w:pPr>
    </w:p>
    <w:p w:rsidR="00CF6E66" w:rsidRPr="008B06FF" w:rsidRDefault="00CF6E66" w:rsidP="00CF6E66">
      <w:pPr>
        <w:numPr>
          <w:ilvl w:val="0"/>
          <w:numId w:val="6"/>
        </w:numPr>
        <w:spacing w:line="360" w:lineRule="auto"/>
        <w:contextualSpacing/>
        <w:jc w:val="both"/>
        <w:rPr>
          <w:rFonts w:ascii="Palatino Linotype" w:hAnsi="Palatino Linotype" w:cs="Arial"/>
          <w:i/>
        </w:rPr>
      </w:pPr>
      <w:r w:rsidRPr="008B06FF">
        <w:rPr>
          <w:rFonts w:ascii="Palatino Linotype" w:hAnsi="Palatino Linotype" w:cstheme="minorBidi"/>
        </w:rPr>
        <w:t>Por lo que la presentación del recurso, el mismo día del conocimiento de la respuesta, -se insiste- no constituye un acto que altere el procedimiento, solo permite su gestión de manera rápida lo que no afecta ningún principio procesal y es protector del derecho de acceso a la justicia pronta y expedita.</w:t>
      </w:r>
    </w:p>
    <w:p w:rsidR="00CF6E66" w:rsidRPr="008B06FF" w:rsidRDefault="00CF6E66" w:rsidP="00CF6E66">
      <w:pPr>
        <w:pStyle w:val="Prrafodelista"/>
        <w:rPr>
          <w:rFonts w:ascii="Palatino Linotype" w:hAnsi="Palatino Linotype" w:cs="Arial"/>
          <w:i/>
        </w:rPr>
      </w:pPr>
    </w:p>
    <w:p w:rsidR="00CF6E66" w:rsidRPr="008B06FF" w:rsidRDefault="00CF6E66" w:rsidP="00CF6E66">
      <w:pPr>
        <w:numPr>
          <w:ilvl w:val="0"/>
          <w:numId w:val="6"/>
        </w:numPr>
        <w:spacing w:line="360" w:lineRule="auto"/>
        <w:contextualSpacing/>
        <w:jc w:val="both"/>
        <w:rPr>
          <w:rFonts w:ascii="Palatino Linotype" w:hAnsi="Palatino Linotype" w:cs="Arial"/>
          <w:i/>
        </w:rPr>
      </w:pPr>
      <w:r w:rsidRPr="008B06FF">
        <w:rPr>
          <w:rFonts w:ascii="Palatino Linotype" w:hAnsi="Palatino Linotype" w:cstheme="minorBidi"/>
        </w:rPr>
        <w:t xml:space="preserve">Por lo tanto, la interposición del recurso de revisión antes de que inicie el plazo para su presentación no es determinante para declararlo extemporáneo, siempre y cuando ello ocurra de manera posterior a que se ha notificado la respuesta del </w:t>
      </w:r>
      <w:r w:rsidRPr="008B06FF">
        <w:rPr>
          <w:rFonts w:ascii="Palatino Linotype" w:hAnsi="Palatino Linotype" w:cstheme="minorBidi"/>
          <w:b/>
        </w:rPr>
        <w:t>SUJETO OBLIGADO.</w:t>
      </w:r>
    </w:p>
    <w:p w:rsidR="00CF6E66" w:rsidRPr="008B06FF" w:rsidRDefault="00CF6E66" w:rsidP="00CF6E66">
      <w:pPr>
        <w:pStyle w:val="Prrafodelista"/>
        <w:rPr>
          <w:rFonts w:ascii="Palatino Linotype" w:hAnsi="Palatino Linotype" w:cs="Arial"/>
          <w:i/>
        </w:rPr>
      </w:pPr>
    </w:p>
    <w:p w:rsidR="00CF6E66" w:rsidRPr="008B06FF" w:rsidRDefault="00CF6E66" w:rsidP="00CF6E66">
      <w:pPr>
        <w:numPr>
          <w:ilvl w:val="0"/>
          <w:numId w:val="6"/>
        </w:numPr>
        <w:spacing w:line="360" w:lineRule="auto"/>
        <w:jc w:val="both"/>
        <w:rPr>
          <w:rFonts w:ascii="Palatino Linotype" w:eastAsia="Palatino Linotype" w:hAnsi="Palatino Linotype" w:cs="Palatino Linotype"/>
          <w:b/>
        </w:rPr>
      </w:pPr>
      <w:r w:rsidRPr="008B06FF">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783FB8" w:rsidRPr="008B06FF" w:rsidRDefault="00783FB8">
      <w:pPr>
        <w:spacing w:line="360" w:lineRule="auto"/>
        <w:rPr>
          <w:rFonts w:ascii="Palatino Linotype" w:eastAsia="Palatino Linotype" w:hAnsi="Palatino Linotype" w:cs="Palatino Linotype"/>
        </w:rPr>
      </w:pPr>
    </w:p>
    <w:p w:rsidR="00783FB8" w:rsidRPr="008B06FF" w:rsidRDefault="005F2828">
      <w:pPr>
        <w:pStyle w:val="Ttulo1"/>
        <w:spacing w:before="0" w:line="360" w:lineRule="auto"/>
        <w:rPr>
          <w:color w:val="000000"/>
          <w:szCs w:val="24"/>
        </w:rPr>
      </w:pPr>
      <w:r w:rsidRPr="008B06FF">
        <w:rPr>
          <w:color w:val="000000"/>
          <w:szCs w:val="24"/>
        </w:rPr>
        <w:lastRenderedPageBreak/>
        <w:t xml:space="preserve">TERCERO. Del planteamiento de la </w:t>
      </w:r>
      <w:r w:rsidRPr="008B06FF">
        <w:rPr>
          <w:i/>
          <w:color w:val="000000"/>
          <w:szCs w:val="24"/>
        </w:rPr>
        <w:t>Litis</w:t>
      </w:r>
      <w:r w:rsidRPr="008B06FF">
        <w:rPr>
          <w:color w:val="000000"/>
          <w:szCs w:val="24"/>
        </w:rPr>
        <w:t>.</w:t>
      </w:r>
    </w:p>
    <w:p w:rsidR="009C7600" w:rsidRPr="008B06FF" w:rsidRDefault="005F2828" w:rsidP="00CF6E66">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i/>
        </w:rPr>
      </w:pPr>
      <w:r w:rsidRPr="008B06FF">
        <w:rPr>
          <w:rFonts w:ascii="Palatino Linotype" w:eastAsia="Palatino Linotype" w:hAnsi="Palatino Linotype" w:cs="Palatino Linotype"/>
          <w:color w:val="000000"/>
        </w:rPr>
        <w:t xml:space="preserve">De las constancias </w:t>
      </w:r>
      <w:r w:rsidR="00CF6E66" w:rsidRPr="008B06FF">
        <w:rPr>
          <w:rFonts w:ascii="Palatino Linotype" w:eastAsia="Palatino Linotype" w:hAnsi="Palatino Linotype" w:cs="Palatino Linotype"/>
          <w:color w:val="000000"/>
        </w:rPr>
        <w:t xml:space="preserve">que integran el </w:t>
      </w:r>
      <w:r w:rsidRPr="008B06FF">
        <w:rPr>
          <w:rFonts w:ascii="Palatino Linotype" w:eastAsia="Palatino Linotype" w:hAnsi="Palatino Linotype" w:cs="Palatino Linotype"/>
          <w:color w:val="000000"/>
        </w:rPr>
        <w:t>expediente al ru</w:t>
      </w:r>
      <w:r w:rsidR="00CF6E66" w:rsidRPr="008B06FF">
        <w:rPr>
          <w:rFonts w:ascii="Palatino Linotype" w:eastAsia="Palatino Linotype" w:hAnsi="Palatino Linotype" w:cs="Palatino Linotype"/>
          <w:color w:val="000000"/>
        </w:rPr>
        <w:t>bro indicado, se desprende que el</w:t>
      </w:r>
      <w:r w:rsidRPr="008B06FF">
        <w:rPr>
          <w:rFonts w:ascii="Palatino Linotype" w:eastAsia="Palatino Linotype" w:hAnsi="Palatino Linotype" w:cs="Palatino Linotype"/>
          <w:color w:val="000000"/>
        </w:rPr>
        <w:t xml:space="preserve"> particular solicitó</w:t>
      </w:r>
      <w:r w:rsidR="009C7600" w:rsidRPr="008B06FF">
        <w:rPr>
          <w:rFonts w:ascii="Palatino Linotype" w:eastAsia="Palatino Linotype" w:hAnsi="Palatino Linotype" w:cs="Palatino Linotype"/>
          <w:color w:val="000000"/>
        </w:rPr>
        <w:t>:</w:t>
      </w:r>
    </w:p>
    <w:p w:rsidR="009C7600" w:rsidRPr="008B06FF" w:rsidRDefault="009C7600" w:rsidP="009C7600">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280124" w:rsidRPr="008B06FF" w:rsidRDefault="009C7600" w:rsidP="00280124">
      <w:pPr>
        <w:pStyle w:val="Prrafodelista"/>
        <w:numPr>
          <w:ilvl w:val="0"/>
          <w:numId w:val="22"/>
        </w:numPr>
        <w:jc w:val="both"/>
        <w:rPr>
          <w:rFonts w:ascii="Palatino Linotype" w:eastAsia="Palatino Linotype" w:hAnsi="Palatino Linotype" w:cs="Palatino Linotype"/>
          <w:b/>
          <w:color w:val="000000"/>
        </w:rPr>
      </w:pPr>
      <w:r w:rsidRPr="008B06FF">
        <w:rPr>
          <w:rFonts w:ascii="Palatino Linotype" w:eastAsia="Palatino Linotype" w:hAnsi="Palatino Linotype" w:cs="Palatino Linotype"/>
          <w:b/>
          <w:color w:val="000000"/>
        </w:rPr>
        <w:t>Los expedientes del programa denominado “Nutriendo con Amor”, pertenecientes a la colonia Barrio del Calvario, y Barrio de la Veracruz</w:t>
      </w:r>
      <w:r w:rsidR="00280124" w:rsidRPr="008B06FF">
        <w:rPr>
          <w:rFonts w:ascii="Palatino Linotype" w:eastAsia="Palatino Linotype" w:hAnsi="Palatino Linotype" w:cs="Palatino Linotype"/>
          <w:b/>
          <w:color w:val="000000"/>
        </w:rPr>
        <w:t>, en formato pdf</w:t>
      </w:r>
    </w:p>
    <w:p w:rsidR="00280124" w:rsidRPr="008B06FF" w:rsidRDefault="00280124" w:rsidP="00280124">
      <w:pPr>
        <w:pStyle w:val="Prrafodelista"/>
        <w:jc w:val="both"/>
        <w:rPr>
          <w:rFonts w:ascii="Palatino Linotype" w:eastAsia="Palatino Linotype" w:hAnsi="Palatino Linotype" w:cs="Palatino Linotype"/>
          <w:b/>
          <w:color w:val="000000"/>
        </w:rPr>
      </w:pPr>
    </w:p>
    <w:p w:rsidR="009C7600" w:rsidRPr="008B06FF" w:rsidRDefault="009C7600" w:rsidP="00280124">
      <w:pPr>
        <w:pStyle w:val="Prrafodelista"/>
        <w:numPr>
          <w:ilvl w:val="0"/>
          <w:numId w:val="22"/>
        </w:numPr>
        <w:jc w:val="both"/>
        <w:rPr>
          <w:rFonts w:ascii="Palatino Linotype" w:eastAsia="Palatino Linotype" w:hAnsi="Palatino Linotype" w:cs="Palatino Linotype"/>
          <w:b/>
          <w:color w:val="000000"/>
        </w:rPr>
      </w:pPr>
      <w:r w:rsidRPr="008B06FF">
        <w:rPr>
          <w:rFonts w:ascii="Palatino Linotype" w:eastAsia="Palatino Linotype" w:hAnsi="Palatino Linotype" w:cs="Palatino Linotype"/>
          <w:b/>
          <w:color w:val="000000"/>
        </w:rPr>
        <w:t>Normatividad con la que se regula dicho programa</w:t>
      </w:r>
    </w:p>
    <w:p w:rsidR="009C7600" w:rsidRPr="008B06FF" w:rsidRDefault="009C7600" w:rsidP="009C7600">
      <w:pPr>
        <w:pBdr>
          <w:top w:val="nil"/>
          <w:left w:val="nil"/>
          <w:bottom w:val="nil"/>
          <w:right w:val="nil"/>
          <w:between w:val="nil"/>
        </w:pBdr>
        <w:spacing w:line="360" w:lineRule="auto"/>
        <w:ind w:right="48"/>
        <w:jc w:val="both"/>
        <w:rPr>
          <w:rFonts w:ascii="Palatino Linotype" w:eastAsia="Palatino Linotype" w:hAnsi="Palatino Linotype" w:cs="Palatino Linotype"/>
          <w:b/>
          <w:i/>
        </w:rPr>
      </w:pPr>
    </w:p>
    <w:p w:rsidR="00280124" w:rsidRPr="008B06FF" w:rsidRDefault="005F2828">
      <w:pPr>
        <w:numPr>
          <w:ilvl w:val="0"/>
          <w:numId w:val="6"/>
        </w:num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 xml:space="preserve">En respuesta el </w:t>
      </w:r>
      <w:r w:rsidRPr="008B06FF">
        <w:rPr>
          <w:rFonts w:ascii="Palatino Linotype" w:eastAsia="Palatino Linotype" w:hAnsi="Palatino Linotype" w:cs="Palatino Linotype"/>
          <w:b/>
          <w:color w:val="000000"/>
        </w:rPr>
        <w:t>SUJETO OBLIGADO,</w:t>
      </w:r>
      <w:r w:rsidRPr="008B06FF">
        <w:rPr>
          <w:rFonts w:ascii="Palatino Linotype" w:eastAsia="Palatino Linotype" w:hAnsi="Palatino Linotype" w:cs="Palatino Linotype"/>
          <w:color w:val="000000"/>
        </w:rPr>
        <w:t xml:space="preserve"> ofreció cambio de modalidad, indicando </w:t>
      </w:r>
      <w:r w:rsidR="00CF6E66" w:rsidRPr="008B06FF">
        <w:rPr>
          <w:rFonts w:ascii="Palatino Linotype" w:eastAsia="Palatino Linotype" w:hAnsi="Palatino Linotype" w:cs="Palatino Linotype"/>
          <w:color w:val="000000"/>
        </w:rPr>
        <w:t>que</w:t>
      </w:r>
      <w:r w:rsidR="00280124" w:rsidRPr="008B06FF">
        <w:rPr>
          <w:rFonts w:ascii="Palatino Linotype" w:eastAsia="Palatino Linotype" w:hAnsi="Palatino Linotype" w:cs="Palatino Linotype"/>
          <w:color w:val="000000"/>
        </w:rPr>
        <w:t xml:space="preserve"> el volumen de información sobrepasa las capacidades humanas, toda vez que la </w:t>
      </w:r>
      <w:r w:rsidR="00894605" w:rsidRPr="008B06FF">
        <w:rPr>
          <w:rFonts w:ascii="Palatino Linotype" w:eastAsia="Palatino Linotype" w:hAnsi="Palatino Linotype" w:cs="Palatino Linotype"/>
          <w:color w:val="000000"/>
        </w:rPr>
        <w:t>elaboración</w:t>
      </w:r>
      <w:r w:rsidR="00280124" w:rsidRPr="008B06FF">
        <w:rPr>
          <w:rFonts w:ascii="Palatino Linotype" w:eastAsia="Palatino Linotype" w:hAnsi="Palatino Linotype" w:cs="Palatino Linotype"/>
          <w:color w:val="000000"/>
        </w:rPr>
        <w:t xml:space="preserve"> de las versiones públicas </w:t>
      </w:r>
      <w:r w:rsidR="00894605" w:rsidRPr="008B06FF">
        <w:rPr>
          <w:rFonts w:ascii="Palatino Linotype" w:eastAsia="Palatino Linotype" w:hAnsi="Palatino Linotype" w:cs="Palatino Linotype"/>
          <w:color w:val="000000"/>
        </w:rPr>
        <w:t xml:space="preserve">exceden los recursos disponibles, ya que la información con la que pretende dar respuesta a la solicitud del particular, consta de 644 expedientes, dando un total de 5, 976 fojas. </w:t>
      </w:r>
    </w:p>
    <w:p w:rsidR="00CF6E66" w:rsidRPr="008B06FF" w:rsidRDefault="00CF6E66" w:rsidP="002474B8">
      <w:p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p>
    <w:p w:rsidR="00783FB8" w:rsidRPr="008B06FF" w:rsidRDefault="005F2828">
      <w:pPr>
        <w:numPr>
          <w:ilvl w:val="0"/>
          <w:numId w:val="6"/>
        </w:num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 xml:space="preserve">Inconforme con la respuesta proporcionada, el </w:t>
      </w:r>
      <w:r w:rsidRPr="008B06FF">
        <w:rPr>
          <w:rFonts w:ascii="Palatino Linotype" w:eastAsia="Palatino Linotype" w:hAnsi="Palatino Linotype" w:cs="Palatino Linotype"/>
          <w:b/>
          <w:color w:val="000000"/>
        </w:rPr>
        <w:t xml:space="preserve">RECURRENTE </w:t>
      </w:r>
      <w:r w:rsidRPr="008B06FF">
        <w:rPr>
          <w:rFonts w:ascii="Palatino Linotype" w:eastAsia="Palatino Linotype" w:hAnsi="Palatino Linotype" w:cs="Palatino Linotype"/>
          <w:color w:val="000000"/>
        </w:rPr>
        <w:t xml:space="preserve">interpuso recurso de revisión arguyendo </w:t>
      </w:r>
      <w:r w:rsidRPr="008B06FF">
        <w:rPr>
          <w:rFonts w:ascii="Palatino Linotype" w:eastAsia="Palatino Linotype" w:hAnsi="Palatino Linotype" w:cs="Palatino Linotype"/>
          <w:i/>
          <w:color w:val="000000"/>
        </w:rPr>
        <w:t xml:space="preserve">grosso modo </w:t>
      </w:r>
      <w:r w:rsidR="00894605" w:rsidRPr="008B06FF">
        <w:rPr>
          <w:rFonts w:ascii="Palatino Linotype" w:eastAsia="Palatino Linotype" w:hAnsi="Palatino Linotype" w:cs="Palatino Linotype"/>
          <w:color w:val="000000"/>
        </w:rPr>
        <w:t>la negativa a la información solicitada.</w:t>
      </w:r>
    </w:p>
    <w:p w:rsidR="00783FB8" w:rsidRPr="008B06FF" w:rsidRDefault="00783FB8">
      <w:pPr>
        <w:pBdr>
          <w:top w:val="nil"/>
          <w:left w:val="nil"/>
          <w:bottom w:val="nil"/>
          <w:right w:val="nil"/>
          <w:between w:val="nil"/>
        </w:pBdr>
        <w:ind w:left="567"/>
        <w:jc w:val="both"/>
        <w:rPr>
          <w:rFonts w:ascii="Palatino Linotype" w:eastAsia="Palatino Linotype" w:hAnsi="Palatino Linotype" w:cs="Palatino Linotype"/>
          <w:color w:val="000000"/>
        </w:rPr>
      </w:pPr>
    </w:p>
    <w:p w:rsidR="00783FB8" w:rsidRPr="008B06FF" w:rsidRDefault="005F2828" w:rsidP="00894605">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r w:rsidRPr="008B06FF">
        <w:rPr>
          <w:rFonts w:ascii="Palatino Linotype" w:eastAsia="Palatino Linotype" w:hAnsi="Palatino Linotype" w:cs="Palatino Linotype"/>
          <w:color w:val="000000"/>
        </w:rPr>
        <w:t xml:space="preserve">En dichas condiciones, la </w:t>
      </w:r>
      <w:r w:rsidRPr="008B06FF">
        <w:rPr>
          <w:rFonts w:ascii="Palatino Linotype" w:eastAsia="Palatino Linotype" w:hAnsi="Palatino Linotype" w:cs="Palatino Linotype"/>
          <w:i/>
          <w:color w:val="000000"/>
        </w:rPr>
        <w:t>Litis</w:t>
      </w:r>
      <w:r w:rsidRPr="008B06FF">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00894605" w:rsidRPr="008B06FF">
        <w:rPr>
          <w:rFonts w:ascii="Palatino Linotype" w:eastAsia="Palatino Linotype" w:hAnsi="Palatino Linotype" w:cs="Palatino Linotype"/>
          <w:b/>
          <w:color w:val="000000"/>
        </w:rPr>
        <w:t xml:space="preserve">fracción </w:t>
      </w:r>
      <w:r w:rsidRPr="008B06FF">
        <w:rPr>
          <w:rFonts w:ascii="Palatino Linotype" w:eastAsia="Palatino Linotype" w:hAnsi="Palatino Linotype" w:cs="Palatino Linotype"/>
          <w:b/>
          <w:color w:val="000000"/>
        </w:rPr>
        <w:t xml:space="preserve">I </w:t>
      </w:r>
      <w:r w:rsidRPr="008B06FF">
        <w:rPr>
          <w:rFonts w:ascii="Palatino Linotype" w:eastAsia="Palatino Linotype" w:hAnsi="Palatino Linotype" w:cs="Palatino Linotype"/>
          <w:color w:val="000000"/>
        </w:rPr>
        <w:t>de la Ley</w:t>
      </w:r>
      <w:r w:rsidRPr="008B06FF">
        <w:rPr>
          <w:rFonts w:ascii="Palatino Linotype" w:eastAsia="Palatino Linotype" w:hAnsi="Palatino Linotype" w:cs="Palatino Linotype"/>
          <w:b/>
          <w:color w:val="000000"/>
        </w:rPr>
        <w:t xml:space="preserve"> de Transparencia y Acceso a la Información Pública del Estado de </w:t>
      </w:r>
      <w:r w:rsidRPr="008B06FF">
        <w:rPr>
          <w:rFonts w:ascii="Palatino Linotype" w:eastAsia="Palatino Linotype" w:hAnsi="Palatino Linotype" w:cs="Palatino Linotype"/>
          <w:color w:val="000000"/>
        </w:rPr>
        <w:t>México</w:t>
      </w:r>
      <w:r w:rsidRPr="008B06FF">
        <w:rPr>
          <w:rFonts w:ascii="Palatino Linotype" w:eastAsia="Palatino Linotype" w:hAnsi="Palatino Linotype" w:cs="Palatino Linotype"/>
          <w:b/>
          <w:color w:val="000000"/>
        </w:rPr>
        <w:t xml:space="preserve"> y Municipios</w:t>
      </w:r>
      <w:r w:rsidRPr="008B06FF">
        <w:rPr>
          <w:rFonts w:ascii="Palatino Linotype" w:eastAsia="Palatino Linotype" w:hAnsi="Palatino Linotype" w:cs="Palatino Linotype"/>
          <w:color w:val="000000"/>
        </w:rPr>
        <w:t xml:space="preserve">; fracción que determina la hipótesis jurídica relativa a la </w:t>
      </w:r>
      <w:r w:rsidR="00894605" w:rsidRPr="008B06FF">
        <w:rPr>
          <w:rFonts w:ascii="Palatino Linotype" w:eastAsia="Palatino Linotype" w:hAnsi="Palatino Linotype" w:cs="Palatino Linotype"/>
          <w:b/>
          <w:color w:val="000000"/>
        </w:rPr>
        <w:t>negativa a la información solicitada</w:t>
      </w:r>
      <w:r w:rsidRPr="008B06FF">
        <w:rPr>
          <w:rFonts w:ascii="Palatino Linotype" w:eastAsia="Palatino Linotype" w:hAnsi="Palatino Linotype" w:cs="Palatino Linotype"/>
          <w:color w:val="000000"/>
        </w:rPr>
        <w:t xml:space="preserve"> por el </w:t>
      </w:r>
      <w:r w:rsidRPr="008B06FF">
        <w:rPr>
          <w:rFonts w:ascii="Palatino Linotype" w:eastAsia="Palatino Linotype" w:hAnsi="Palatino Linotype" w:cs="Palatino Linotype"/>
          <w:b/>
          <w:color w:val="000000"/>
        </w:rPr>
        <w:t>SUJETO OBLIGADO</w:t>
      </w:r>
      <w:r w:rsidRPr="008B06FF">
        <w:rPr>
          <w:rFonts w:ascii="Palatino Linotype" w:eastAsia="Palatino Linotype" w:hAnsi="Palatino Linotype" w:cs="Palatino Linotype"/>
          <w:color w:val="000000"/>
        </w:rPr>
        <w:t xml:space="preserve">; contexto del cual se dolió </w:t>
      </w:r>
      <w:r w:rsidRPr="008B06FF">
        <w:rPr>
          <w:rFonts w:ascii="Palatino Linotype" w:eastAsia="Palatino Linotype" w:hAnsi="Palatino Linotype" w:cs="Palatino Linotype"/>
          <w:b/>
          <w:color w:val="000000"/>
        </w:rPr>
        <w:t xml:space="preserve">EL RECURRENTE </w:t>
      </w:r>
      <w:r w:rsidRPr="008B06FF">
        <w:rPr>
          <w:rFonts w:ascii="Palatino Linotype" w:eastAsia="Palatino Linotype" w:hAnsi="Palatino Linotype" w:cs="Palatino Linotype"/>
          <w:color w:val="000000"/>
        </w:rPr>
        <w:t>al momento de interponer su inconformidad.</w:t>
      </w:r>
    </w:p>
    <w:p w:rsidR="00783FB8" w:rsidRPr="008B06FF" w:rsidRDefault="00783FB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83FB8" w:rsidRPr="008B06FF"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lastRenderedPageBreak/>
        <w:t xml:space="preserve">De modo tal que el presente recurso de revisión se abocara en determinar si el </w:t>
      </w:r>
      <w:r w:rsidRPr="008B06FF">
        <w:rPr>
          <w:rFonts w:ascii="Palatino Linotype" w:eastAsia="Palatino Linotype" w:hAnsi="Palatino Linotype" w:cs="Palatino Linotype"/>
          <w:b/>
          <w:color w:val="000000"/>
        </w:rPr>
        <w:t>SUJETO OBLIGADO</w:t>
      </w:r>
      <w:r w:rsidRPr="008B06FF">
        <w:rPr>
          <w:rFonts w:ascii="Palatino Linotype" w:eastAsia="Palatino Linotype" w:hAnsi="Palatino Linotype" w:cs="Palatino Linotype"/>
          <w:color w:val="000000"/>
        </w:rPr>
        <w:t xml:space="preserve"> con su respuesta ciertamente actualizan las causales de procedencia</w:t>
      </w:r>
      <w:r w:rsidRPr="008B06FF">
        <w:rPr>
          <w:rFonts w:ascii="Palatino Linotype" w:eastAsia="Palatino Linotype" w:hAnsi="Palatino Linotype" w:cs="Palatino Linotype"/>
          <w:b/>
          <w:color w:val="000000"/>
        </w:rPr>
        <w:t xml:space="preserve"> </w:t>
      </w:r>
      <w:r w:rsidRPr="008B06FF">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783FB8" w:rsidRPr="008B06FF" w:rsidRDefault="00783FB8">
      <w:pPr>
        <w:pBdr>
          <w:top w:val="nil"/>
          <w:left w:val="nil"/>
          <w:bottom w:val="nil"/>
          <w:right w:val="nil"/>
          <w:between w:val="nil"/>
        </w:pBdr>
        <w:ind w:left="708"/>
        <w:rPr>
          <w:rFonts w:ascii="Palatino Linotype" w:eastAsia="Palatino Linotype" w:hAnsi="Palatino Linotype" w:cs="Palatino Linotype"/>
          <w:color w:val="000000"/>
        </w:rPr>
      </w:pPr>
    </w:p>
    <w:p w:rsidR="00783FB8" w:rsidRPr="008B06FF" w:rsidRDefault="005F2828">
      <w:pPr>
        <w:pStyle w:val="Ttulo1"/>
        <w:spacing w:before="0" w:line="360" w:lineRule="auto"/>
        <w:rPr>
          <w:b w:val="0"/>
          <w:color w:val="000000"/>
          <w:szCs w:val="24"/>
        </w:rPr>
      </w:pPr>
      <w:r w:rsidRPr="008B06FF">
        <w:rPr>
          <w:color w:val="000000"/>
          <w:szCs w:val="24"/>
        </w:rPr>
        <w:t>CUARTO. Del estudio y resolución del asunto.</w:t>
      </w:r>
    </w:p>
    <w:p w:rsidR="00783FB8" w:rsidRPr="008B06FF"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 xml:space="preserve">Acotada la </w:t>
      </w:r>
      <w:r w:rsidRPr="008B06FF">
        <w:rPr>
          <w:rFonts w:ascii="Palatino Linotype" w:eastAsia="Palatino Linotype" w:hAnsi="Palatino Linotype" w:cs="Palatino Linotype"/>
          <w:i/>
          <w:color w:val="000000"/>
        </w:rPr>
        <w:t>Litis</w:t>
      </w:r>
      <w:r w:rsidRPr="008B06FF">
        <w:rPr>
          <w:rFonts w:ascii="Palatino Linotype" w:eastAsia="Palatino Linotype" w:hAnsi="Palatino Linotype" w:cs="Palatino Linotype"/>
          <w:color w:val="000000"/>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783FB8" w:rsidRPr="008B06FF" w:rsidRDefault="00783FB8">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783FB8"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 xml:space="preserve">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w:t>
      </w:r>
      <w:r w:rsidRPr="008B06FF">
        <w:rPr>
          <w:rFonts w:ascii="Palatino Linotype" w:eastAsia="Palatino Linotype" w:hAnsi="Palatino Linotype" w:cs="Palatino Linotype"/>
          <w:color w:val="000000"/>
        </w:rPr>
        <w:lastRenderedPageBreak/>
        <w:t>así como la información referente a la intimidad de la vida privada y la imagen de las personas, con las excepciones que establezca la ley reglamentaria.</w:t>
      </w:r>
    </w:p>
    <w:p w:rsidR="008B06FF" w:rsidRPr="008B06FF" w:rsidRDefault="008B06FF" w:rsidP="008B06FF">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783FB8" w:rsidRPr="008B06FF"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783FB8" w:rsidRPr="008B06FF" w:rsidRDefault="00783FB8">
      <w:pPr>
        <w:pBdr>
          <w:top w:val="nil"/>
          <w:left w:val="nil"/>
          <w:bottom w:val="nil"/>
          <w:right w:val="nil"/>
          <w:between w:val="nil"/>
        </w:pBdr>
        <w:spacing w:line="360" w:lineRule="auto"/>
        <w:ind w:left="708"/>
        <w:rPr>
          <w:rFonts w:ascii="Palatino Linotype" w:eastAsia="Palatino Linotype" w:hAnsi="Palatino Linotype" w:cs="Palatino Linotype"/>
          <w:color w:val="000000"/>
        </w:rPr>
      </w:pPr>
    </w:p>
    <w:p w:rsidR="00783FB8" w:rsidRPr="008B06FF"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783FB8" w:rsidRPr="008B06FF" w:rsidRDefault="00783FB8">
      <w:pPr>
        <w:spacing w:line="360" w:lineRule="auto"/>
        <w:rPr>
          <w:rFonts w:ascii="Palatino Linotype" w:eastAsia="Palatino Linotype" w:hAnsi="Palatino Linotype" w:cs="Palatino Linotype"/>
        </w:rPr>
      </w:pPr>
    </w:p>
    <w:p w:rsidR="00783FB8" w:rsidRPr="008B06FF" w:rsidRDefault="005F2828">
      <w:pPr>
        <w:numPr>
          <w:ilvl w:val="0"/>
          <w:numId w:val="5"/>
        </w:numPr>
        <w:pBdr>
          <w:top w:val="nil"/>
          <w:left w:val="nil"/>
          <w:bottom w:val="nil"/>
          <w:right w:val="nil"/>
          <w:between w:val="nil"/>
        </w:pBdr>
        <w:spacing w:line="360" w:lineRule="auto"/>
        <w:ind w:right="757"/>
        <w:jc w:val="both"/>
        <w:rPr>
          <w:rFonts w:ascii="Palatino Linotype" w:eastAsia="Palatino Linotype" w:hAnsi="Palatino Linotype" w:cs="Palatino Linotype"/>
          <w:b/>
          <w:color w:val="000000"/>
        </w:rPr>
      </w:pPr>
      <w:r w:rsidRPr="008B06FF">
        <w:rPr>
          <w:rFonts w:ascii="Palatino Linotype" w:eastAsia="Palatino Linotype" w:hAnsi="Palatino Linotype" w:cs="Palatino Linotype"/>
          <w:b/>
          <w:color w:val="000000"/>
        </w:rPr>
        <w:t>Estudio de fondo</w:t>
      </w:r>
    </w:p>
    <w:p w:rsidR="00894605" w:rsidRPr="008B06FF"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 xml:space="preserve">Acotada la </w:t>
      </w:r>
      <w:r w:rsidRPr="008B06FF">
        <w:rPr>
          <w:rFonts w:ascii="Palatino Linotype" w:eastAsia="Palatino Linotype" w:hAnsi="Palatino Linotype" w:cs="Palatino Linotype"/>
          <w:i/>
          <w:color w:val="000000"/>
        </w:rPr>
        <w:t>Litis</w:t>
      </w:r>
      <w:r w:rsidRPr="008B06FF">
        <w:rPr>
          <w:rFonts w:ascii="Palatino Linotype" w:eastAsia="Palatino Linotype" w:hAnsi="Palatino Linotype" w:cs="Palatino Linotype"/>
          <w:color w:val="000000"/>
        </w:rPr>
        <w:t xml:space="preserve"> del presente asunto, es de recordar que la respuesta versó en realizar un cambio de modalidad de entrega de la información a consulta directa, </w:t>
      </w:r>
      <w:r w:rsidR="00894605" w:rsidRPr="008B06FF">
        <w:rPr>
          <w:rFonts w:ascii="Palatino Linotype" w:eastAsia="Palatino Linotype" w:hAnsi="Palatino Linotype" w:cs="Palatino Linotype"/>
          <w:color w:val="000000"/>
        </w:rPr>
        <w:t xml:space="preserve">adjuntando el Acta de la Décima Segunda Sesión Extraordinaria del Comité de Transparencia del sistema Municipal DIF de Zinacantepec, mediante el cual se analiza y aprueba el cambio de modalidad, arguyendo la imposibilidad humana para generar la versión pública, toda vez </w:t>
      </w:r>
      <w:r w:rsidR="00894605" w:rsidRPr="008B06FF">
        <w:rPr>
          <w:rFonts w:ascii="Palatino Linotype" w:eastAsia="Palatino Linotype" w:hAnsi="Palatino Linotype" w:cs="Palatino Linotype"/>
          <w:color w:val="000000"/>
        </w:rPr>
        <w:lastRenderedPageBreak/>
        <w:t>que la información que pretende entregar consta de 644 expedientes, dando un total de 6 ,976 fojas.</w:t>
      </w:r>
    </w:p>
    <w:p w:rsidR="00783FB8" w:rsidRPr="008B06FF" w:rsidRDefault="00783FB8">
      <w:pPr>
        <w:spacing w:line="360" w:lineRule="auto"/>
        <w:ind w:right="48"/>
        <w:jc w:val="both"/>
        <w:rPr>
          <w:rFonts w:ascii="Palatino Linotype" w:eastAsia="Palatino Linotype" w:hAnsi="Palatino Linotype" w:cs="Palatino Linotype"/>
          <w:color w:val="000000"/>
        </w:rPr>
      </w:pPr>
    </w:p>
    <w:p w:rsidR="00783FB8" w:rsidRPr="008B06FF"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 xml:space="preserve">Primeramente resulta necesario referir que, el </w:t>
      </w:r>
      <w:r w:rsidRPr="008B06FF">
        <w:rPr>
          <w:rFonts w:ascii="Palatino Linotype" w:eastAsia="Palatino Linotype" w:hAnsi="Palatino Linotype" w:cs="Palatino Linotype"/>
          <w:b/>
          <w:color w:val="000000"/>
        </w:rPr>
        <w:t>SUJETO OBLIGADO</w:t>
      </w:r>
      <w:r w:rsidRPr="008B06FF">
        <w:rPr>
          <w:rFonts w:ascii="Palatino Linotype" w:eastAsia="Palatino Linotype" w:hAnsi="Palatino Linotype" w:cs="Palatino Linotype"/>
          <w:color w:val="000000"/>
        </w:rPr>
        <w:t xml:space="preserve"> asume de manera expresa que genera, posee y administra lo solicitado, tan es así que refiere que dicha documentación sobrepasa </w:t>
      </w:r>
      <w:r w:rsidR="00894605" w:rsidRPr="008B06FF">
        <w:rPr>
          <w:rFonts w:ascii="Palatino Linotype" w:eastAsia="Palatino Linotype" w:hAnsi="Palatino Linotype" w:cs="Palatino Linotype"/>
          <w:color w:val="000000"/>
        </w:rPr>
        <w:t>sus capacidades humanas</w:t>
      </w:r>
      <w:r w:rsidRPr="008B06FF">
        <w:rPr>
          <w:rFonts w:ascii="Palatino Linotype" w:eastAsia="Palatino Linotype" w:hAnsi="Palatino Linotype" w:cs="Palatino Linotype"/>
          <w:color w:val="000000"/>
        </w:rPr>
        <w:t>, por lo que ofrece al particular que la consulta sea directa con las formalidades que ya han sido precisadas en líneas anteriores.</w:t>
      </w:r>
    </w:p>
    <w:p w:rsidR="00783FB8" w:rsidRPr="008B06FF" w:rsidRDefault="00783FB8">
      <w:pPr>
        <w:pBdr>
          <w:top w:val="nil"/>
          <w:left w:val="nil"/>
          <w:bottom w:val="nil"/>
          <w:right w:val="nil"/>
          <w:between w:val="nil"/>
        </w:pBdr>
        <w:ind w:left="720"/>
        <w:rPr>
          <w:rFonts w:ascii="Palatino Linotype" w:eastAsia="Palatino Linotype" w:hAnsi="Palatino Linotype" w:cs="Palatino Linotype"/>
          <w:color w:val="000000"/>
        </w:rPr>
      </w:pPr>
    </w:p>
    <w:p w:rsidR="00386B99" w:rsidRPr="008B06FF"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 xml:space="preserve">Al respecto es de suma importancia aclarar que el </w:t>
      </w:r>
      <w:r w:rsidR="00894605" w:rsidRPr="008B06FF">
        <w:rPr>
          <w:rFonts w:ascii="Palatino Linotype" w:eastAsia="Palatino Linotype" w:hAnsi="Palatino Linotype" w:cs="Palatino Linotype"/>
          <w:b/>
          <w:color w:val="000000"/>
        </w:rPr>
        <w:t>SUJE</w:t>
      </w:r>
      <w:r w:rsidRPr="008B06FF">
        <w:rPr>
          <w:rFonts w:ascii="Palatino Linotype" w:eastAsia="Palatino Linotype" w:hAnsi="Palatino Linotype" w:cs="Palatino Linotype"/>
          <w:b/>
          <w:color w:val="000000"/>
        </w:rPr>
        <w:t>TO OBLIGADO</w:t>
      </w:r>
      <w:r w:rsidRPr="008B06FF">
        <w:rPr>
          <w:rFonts w:ascii="Palatino Linotype" w:eastAsia="Palatino Linotype" w:hAnsi="Palatino Linotype" w:cs="Palatino Linotype"/>
          <w:color w:val="000000"/>
        </w:rPr>
        <w:t xml:space="preserve">, señaló </w:t>
      </w:r>
      <w:r w:rsidR="00EA62BC" w:rsidRPr="008B06FF">
        <w:rPr>
          <w:rFonts w:ascii="Palatino Linotype" w:eastAsia="Palatino Linotype" w:hAnsi="Palatino Linotype" w:cs="Palatino Linotype"/>
          <w:color w:val="000000"/>
        </w:rPr>
        <w:t xml:space="preserve">que el particular podría acudir a </w:t>
      </w:r>
      <w:r w:rsidRPr="008B06FF">
        <w:rPr>
          <w:rFonts w:ascii="Palatino Linotype" w:eastAsia="Palatino Linotype" w:hAnsi="Palatino Linotype" w:cs="Palatino Linotype"/>
          <w:color w:val="000000"/>
        </w:rPr>
        <w:t xml:space="preserve">la consulta directa </w:t>
      </w:r>
      <w:r w:rsidR="002474B8" w:rsidRPr="008B06FF">
        <w:rPr>
          <w:rFonts w:ascii="Palatino Linotype" w:eastAsia="Palatino Linotype" w:hAnsi="Palatino Linotype" w:cs="Palatino Linotype"/>
          <w:color w:val="000000"/>
        </w:rPr>
        <w:t xml:space="preserve">de la </w:t>
      </w:r>
      <w:r w:rsidR="00386B99" w:rsidRPr="008B06FF">
        <w:rPr>
          <w:rFonts w:ascii="Palatino Linotype" w:eastAsia="Palatino Linotype" w:hAnsi="Palatino Linotype" w:cs="Palatino Linotype"/>
          <w:color w:val="000000"/>
        </w:rPr>
        <w:t>información solicitada, en el domicilio que ocupan las oficinas del Sistema Municipal para el Desarrollo Integral de la Familia de Zinacantepec, proporcionan</w:t>
      </w:r>
      <w:r w:rsidR="00364A3C" w:rsidRPr="008B06FF">
        <w:rPr>
          <w:rFonts w:ascii="Palatino Linotype" w:eastAsia="Palatino Linotype" w:hAnsi="Palatino Linotype" w:cs="Palatino Linotype"/>
          <w:color w:val="000000"/>
        </w:rPr>
        <w:t>do el domicilio, horario de atención y procedimiento a seguir para la consulta.</w:t>
      </w:r>
    </w:p>
    <w:p w:rsidR="00386B99" w:rsidRPr="008B06FF" w:rsidRDefault="00386B99" w:rsidP="00386B99">
      <w:pPr>
        <w:pStyle w:val="Prrafodelista"/>
        <w:rPr>
          <w:rFonts w:ascii="Palatino Linotype" w:eastAsia="Palatino Linotype" w:hAnsi="Palatino Linotype" w:cs="Palatino Linotype"/>
          <w:color w:val="000000"/>
        </w:rPr>
      </w:pPr>
    </w:p>
    <w:p w:rsidR="00783FB8" w:rsidRPr="008B06FF"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 xml:space="preserve">Aclarado lo anterior, un segundo aspecto que resulta importante establecer, es que debido a que el mismo </w:t>
      </w:r>
      <w:r w:rsidRPr="008B06FF">
        <w:rPr>
          <w:rFonts w:ascii="Palatino Linotype" w:eastAsia="Palatino Linotype" w:hAnsi="Palatino Linotype" w:cs="Palatino Linotype"/>
          <w:b/>
          <w:color w:val="000000"/>
        </w:rPr>
        <w:t>SUJETO OBLIGADO</w:t>
      </w:r>
      <w:r w:rsidRPr="008B06FF">
        <w:rPr>
          <w:rFonts w:ascii="Palatino Linotype" w:eastAsia="Palatino Linotype" w:hAnsi="Palatino Linotype" w:cs="Palatino Linotype"/>
          <w:color w:val="000000"/>
        </w:rPr>
        <w:t xml:space="preserve"> admite ser poseedor de la información, no es necesario estudiar si este es competente para conocer y en su caso dar respuesta a las solicitudes, pues al manifestar que pone a disposición la información en consulta directa, este reconoce contar con la misma. </w:t>
      </w:r>
    </w:p>
    <w:p w:rsidR="00783FB8" w:rsidRPr="008B06FF" w:rsidRDefault="00783FB8">
      <w:pPr>
        <w:pBdr>
          <w:top w:val="nil"/>
          <w:left w:val="nil"/>
          <w:bottom w:val="nil"/>
          <w:right w:val="nil"/>
          <w:between w:val="nil"/>
        </w:pBdr>
        <w:ind w:left="720"/>
        <w:rPr>
          <w:rFonts w:ascii="Palatino Linotype" w:eastAsia="Palatino Linotype" w:hAnsi="Palatino Linotype" w:cs="Palatino Linotype"/>
          <w:color w:val="000000"/>
        </w:rPr>
      </w:pPr>
    </w:p>
    <w:p w:rsidR="00783FB8" w:rsidRPr="008B06FF"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 xml:space="preserve">En efecto, el hecho de que </w:t>
      </w:r>
      <w:r w:rsidRPr="008B06FF">
        <w:rPr>
          <w:rFonts w:ascii="Palatino Linotype" w:eastAsia="Palatino Linotype" w:hAnsi="Palatino Linotype" w:cs="Palatino Linotype"/>
          <w:b/>
          <w:color w:val="000000"/>
        </w:rPr>
        <w:t>EL SUJETO OBLIGADO</w:t>
      </w:r>
      <w:r w:rsidRPr="008B06FF">
        <w:rPr>
          <w:rFonts w:ascii="Palatino Linotype" w:eastAsia="Palatino Linotype" w:hAnsi="Palatino Linotype" w:cs="Palatino Linotype"/>
          <w:color w:val="000000"/>
        </w:rPr>
        <w:t xml:space="preserve"> se haya pronunciado respecto de la información requerida por </w:t>
      </w:r>
      <w:r w:rsidRPr="008B06FF">
        <w:rPr>
          <w:rFonts w:ascii="Palatino Linotype" w:eastAsia="Palatino Linotype" w:hAnsi="Palatino Linotype" w:cs="Palatino Linotype"/>
          <w:b/>
          <w:color w:val="000000"/>
        </w:rPr>
        <w:t>EL RECURRENTE</w:t>
      </w:r>
      <w:r w:rsidRPr="008B06FF">
        <w:rPr>
          <w:rFonts w:ascii="Palatino Linotype" w:eastAsia="Palatino Linotype" w:hAnsi="Palatino Linotype" w:cs="Palatino Linotype"/>
          <w:color w:val="000000"/>
        </w:rPr>
        <w:t xml:space="preserve">, acepta que genera, posee y administra dicha información, en ejercicio de sus funciones de derecho público, motivo por el cual se </w:t>
      </w:r>
      <w:r w:rsidRPr="008B06FF">
        <w:rPr>
          <w:rFonts w:ascii="Palatino Linotype" w:eastAsia="Palatino Linotype" w:hAnsi="Palatino Linotype" w:cs="Palatino Linotype"/>
          <w:color w:val="000000"/>
        </w:rPr>
        <w:lastRenderedPageBreak/>
        <w:t>actualiza el supuesto jurídico, previsto en el artículo 12 de la Ley de Transparencia y Acceso a la Información Pública del Estado de México y Municipios.</w:t>
      </w:r>
    </w:p>
    <w:p w:rsidR="00783FB8" w:rsidRPr="008B06FF" w:rsidRDefault="00783FB8">
      <w:pPr>
        <w:pBdr>
          <w:top w:val="nil"/>
          <w:left w:val="nil"/>
          <w:bottom w:val="nil"/>
          <w:right w:val="nil"/>
          <w:between w:val="nil"/>
        </w:pBdr>
        <w:ind w:left="720"/>
        <w:rPr>
          <w:rFonts w:ascii="Palatino Linotype" w:eastAsia="Palatino Linotype" w:hAnsi="Palatino Linotype" w:cs="Palatino Linotype"/>
          <w:color w:val="000000"/>
        </w:rPr>
      </w:pPr>
    </w:p>
    <w:p w:rsidR="00783FB8" w:rsidRPr="008B06FF"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En atención a ello es importante invocar el contenido del artículo 12 antes mencionado así como el 4 de la Ley de Transparencia y Acceso a la Información Pública del Estado de México y Municipios, mismos que son del tenor siguiente:</w:t>
      </w:r>
    </w:p>
    <w:p w:rsidR="00783FB8" w:rsidRPr="008B06FF" w:rsidRDefault="00783FB8">
      <w:pPr>
        <w:spacing w:line="360" w:lineRule="auto"/>
        <w:ind w:right="48"/>
        <w:jc w:val="both"/>
        <w:rPr>
          <w:rFonts w:ascii="Palatino Linotype" w:eastAsia="Palatino Linotype" w:hAnsi="Palatino Linotype" w:cs="Palatino Linotype"/>
          <w:color w:val="000000"/>
        </w:rPr>
      </w:pPr>
    </w:p>
    <w:p w:rsidR="00783FB8" w:rsidRPr="008B06FF" w:rsidRDefault="005F2828">
      <w:pPr>
        <w:spacing w:line="360" w:lineRule="auto"/>
        <w:ind w:left="567" w:right="709"/>
        <w:jc w:val="both"/>
        <w:rPr>
          <w:rFonts w:ascii="Palatino Linotype" w:eastAsia="Palatino Linotype" w:hAnsi="Palatino Linotype" w:cs="Palatino Linotype"/>
        </w:rPr>
      </w:pPr>
      <w:r w:rsidRPr="008B06FF">
        <w:rPr>
          <w:rFonts w:ascii="Palatino Linotype" w:eastAsia="Palatino Linotype" w:hAnsi="Palatino Linotype" w:cs="Palatino Linotype"/>
          <w:i/>
        </w:rPr>
        <w:t>“</w:t>
      </w:r>
      <w:r w:rsidRPr="008B06FF">
        <w:rPr>
          <w:rFonts w:ascii="Palatino Linotype" w:eastAsia="Palatino Linotype" w:hAnsi="Palatino Linotype" w:cs="Palatino Linotype"/>
          <w:b/>
          <w:i/>
        </w:rPr>
        <w:t>Artículo 4.</w:t>
      </w:r>
      <w:r w:rsidRPr="008B06FF">
        <w:rPr>
          <w:rFonts w:ascii="Palatino Linotype" w:eastAsia="Palatino Linotype" w:hAnsi="Palatino Linotype" w:cs="Palatino Linotype"/>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783FB8" w:rsidRPr="008B06FF" w:rsidRDefault="005F2828">
      <w:pPr>
        <w:spacing w:line="360" w:lineRule="auto"/>
        <w:ind w:left="567" w:right="709"/>
        <w:jc w:val="both"/>
        <w:rPr>
          <w:rFonts w:ascii="Palatino Linotype" w:eastAsia="Palatino Linotype" w:hAnsi="Palatino Linotype" w:cs="Palatino Linotype"/>
        </w:rPr>
      </w:pPr>
      <w:r w:rsidRPr="008B06FF">
        <w:rPr>
          <w:rFonts w:ascii="Palatino Linotype" w:eastAsia="Palatino Linotype" w:hAnsi="Palatino Linotype" w:cs="Palatino Linotype"/>
          <w:b/>
          <w:i/>
        </w:rPr>
        <w:t>Toda la información generada, obtenida, adquirida, transformada, administrada o en posesión de los sujetos obligados es pública y accesible de manera permanente a cualquier persona</w:t>
      </w:r>
      <w:r w:rsidRPr="008B06FF">
        <w:rPr>
          <w:rFonts w:ascii="Palatino Linotype" w:eastAsia="Palatino Linotype" w:hAnsi="Palatino Linotype" w:cs="Palatino Linotype"/>
          <w:i/>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783FB8" w:rsidRPr="008B06FF" w:rsidRDefault="005F2828">
      <w:pPr>
        <w:spacing w:line="360" w:lineRule="auto"/>
        <w:ind w:left="567" w:right="709"/>
        <w:jc w:val="both"/>
        <w:rPr>
          <w:rFonts w:ascii="Palatino Linotype" w:eastAsia="Palatino Linotype" w:hAnsi="Palatino Linotype" w:cs="Palatino Linotype"/>
        </w:rPr>
      </w:pPr>
      <w:r w:rsidRPr="008B06FF">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w:t>
      </w:r>
    </w:p>
    <w:p w:rsidR="00783FB8" w:rsidRPr="008B06FF" w:rsidRDefault="00783FB8">
      <w:pPr>
        <w:spacing w:line="360" w:lineRule="auto"/>
        <w:ind w:left="567" w:right="709"/>
        <w:rPr>
          <w:rFonts w:ascii="Palatino Linotype" w:eastAsia="Palatino Linotype" w:hAnsi="Palatino Linotype" w:cs="Palatino Linotype"/>
        </w:rPr>
      </w:pPr>
    </w:p>
    <w:p w:rsidR="00783FB8" w:rsidRPr="008B06FF" w:rsidRDefault="005F2828">
      <w:pPr>
        <w:spacing w:line="360" w:lineRule="auto"/>
        <w:ind w:left="567" w:right="709"/>
        <w:jc w:val="both"/>
        <w:rPr>
          <w:rFonts w:ascii="Palatino Linotype" w:eastAsia="Palatino Linotype" w:hAnsi="Palatino Linotype" w:cs="Palatino Linotype"/>
        </w:rPr>
      </w:pPr>
      <w:r w:rsidRPr="008B06FF">
        <w:rPr>
          <w:rFonts w:ascii="Palatino Linotype" w:eastAsia="Palatino Linotype" w:hAnsi="Palatino Linotype" w:cs="Palatino Linotype"/>
          <w:b/>
          <w:i/>
        </w:rPr>
        <w:lastRenderedPageBreak/>
        <w:t>Artículo 12.</w:t>
      </w:r>
      <w:r w:rsidRPr="008B06FF">
        <w:rPr>
          <w:rFonts w:ascii="Palatino Linotype" w:eastAsia="Palatino Linotype" w:hAnsi="Palatino Linotype" w:cs="Palatino Linotype"/>
          <w:i/>
        </w:rPr>
        <w:t xml:space="preserve"> Quienes generen, recopilen, administren, manejen, procesen, archiven o conserven información pública serán responsables de la misma en los términos de las disposiciones jurídicas aplicables.</w:t>
      </w:r>
    </w:p>
    <w:p w:rsidR="00783FB8" w:rsidRPr="008B06FF" w:rsidRDefault="005F2828">
      <w:pPr>
        <w:spacing w:line="360" w:lineRule="auto"/>
        <w:ind w:left="567" w:right="709"/>
        <w:jc w:val="both"/>
        <w:rPr>
          <w:rFonts w:ascii="Palatino Linotype" w:eastAsia="Palatino Linotype" w:hAnsi="Palatino Linotype" w:cs="Palatino Linotype"/>
        </w:rPr>
      </w:pPr>
      <w:r w:rsidRPr="008B06FF">
        <w:rPr>
          <w:rFonts w:ascii="Palatino Linotype" w:eastAsia="Palatino Linotype" w:hAnsi="Palatino Linotype" w:cs="Palatino Linotype"/>
          <w:b/>
          <w:i/>
        </w:rPr>
        <w:t>Los sujetos obligados sólo proporcionarán la información pública que se les requiera y que obre en sus archivos y en el estado en que ésta se encuentre.</w:t>
      </w:r>
      <w:r w:rsidRPr="008B06FF">
        <w:rPr>
          <w:rFonts w:ascii="Palatino Linotype" w:eastAsia="Palatino Linotype" w:hAnsi="Palatino Linotype" w:cs="Palatino Linotype"/>
          <w:i/>
        </w:rPr>
        <w:t xml:space="preserve"> La obligación de proporcionar información no comprende el procesamiento de la misma, ni el presentarla conforme al interés del solicitante; no estarán obligados a generarla, resumirla, efectuar cálculos o practicar investigaciones.” </w:t>
      </w:r>
    </w:p>
    <w:p w:rsidR="00783FB8" w:rsidRPr="008B06FF" w:rsidRDefault="005F2828">
      <w:pPr>
        <w:spacing w:line="360" w:lineRule="auto"/>
        <w:ind w:left="567" w:right="709"/>
        <w:jc w:val="both"/>
        <w:rPr>
          <w:rFonts w:ascii="Palatino Linotype" w:eastAsia="Palatino Linotype" w:hAnsi="Palatino Linotype" w:cs="Palatino Linotype"/>
        </w:rPr>
      </w:pPr>
      <w:r w:rsidRPr="008B06FF">
        <w:rPr>
          <w:rFonts w:ascii="Palatino Linotype" w:eastAsia="Palatino Linotype" w:hAnsi="Palatino Linotype" w:cs="Palatino Linotype"/>
        </w:rPr>
        <w:t>(Énfasis añadido)</w:t>
      </w:r>
    </w:p>
    <w:p w:rsidR="00783FB8" w:rsidRPr="008B06FF" w:rsidRDefault="00783FB8">
      <w:pPr>
        <w:spacing w:line="360" w:lineRule="auto"/>
        <w:ind w:left="851" w:right="901"/>
        <w:jc w:val="both"/>
        <w:rPr>
          <w:rFonts w:ascii="Palatino Linotype" w:eastAsia="Palatino Linotype" w:hAnsi="Palatino Linotype" w:cs="Palatino Linotype"/>
        </w:rPr>
      </w:pPr>
    </w:p>
    <w:p w:rsidR="00AE61F0" w:rsidRPr="008B06FF" w:rsidRDefault="00F75B09" w:rsidP="00AE61F0">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En ese sentido, </w:t>
      </w:r>
      <w:r w:rsidR="00CC26E8" w:rsidRPr="008B06FF">
        <w:rPr>
          <w:rFonts w:ascii="Palatino Linotype" w:eastAsia="Palatino Linotype" w:hAnsi="Palatino Linotype" w:cs="Palatino Linotype"/>
        </w:rPr>
        <w:t>es de recalcar que el particular requirió los expedientes del Programa “Nutriendo con Amor”, otorgados a habitantes de las Colonia</w:t>
      </w:r>
      <w:r w:rsidR="00AE61F0" w:rsidRPr="008B06FF">
        <w:rPr>
          <w:rFonts w:ascii="Palatino Linotype" w:eastAsia="Palatino Linotype" w:hAnsi="Palatino Linotype" w:cs="Palatino Linotype"/>
        </w:rPr>
        <w:t>s</w:t>
      </w:r>
      <w:r w:rsidR="00CC26E8" w:rsidRPr="008B06FF">
        <w:rPr>
          <w:rFonts w:ascii="Palatino Linotype" w:eastAsia="Palatino Linotype" w:hAnsi="Palatino Linotype" w:cs="Palatino Linotype"/>
        </w:rPr>
        <w:t xml:space="preserve"> Barrio del Cal</w:t>
      </w:r>
      <w:r w:rsidR="00AE61F0" w:rsidRPr="008B06FF">
        <w:rPr>
          <w:rFonts w:ascii="Palatino Linotype" w:eastAsia="Palatino Linotype" w:hAnsi="Palatino Linotype" w:cs="Palatino Linotype"/>
        </w:rPr>
        <w:t>vario y Barrio de la Veracruz, al respecto se señala que el programa consiste en la Alimentación y Nutrición Familiar, a fin de disminuir carencias alimentarias y fortalecer la nutrición familiar</w:t>
      </w:r>
      <w:r w:rsidR="00CC3DFD" w:rsidRPr="008B06FF">
        <w:rPr>
          <w:rFonts w:ascii="Palatino Linotype" w:eastAsia="Palatino Linotype" w:hAnsi="Palatino Linotype" w:cs="Palatino Linotype"/>
        </w:rPr>
        <w:t xml:space="preserve"> a través de cuatro proyectos denominados:</w:t>
      </w:r>
    </w:p>
    <w:p w:rsidR="00CC3DFD" w:rsidRPr="008B06FF" w:rsidRDefault="00CC3DFD" w:rsidP="00CC3DFD">
      <w:pPr>
        <w:spacing w:line="360" w:lineRule="auto"/>
        <w:jc w:val="both"/>
        <w:rPr>
          <w:rFonts w:ascii="Palatino Linotype" w:eastAsia="Palatino Linotype" w:hAnsi="Palatino Linotype" w:cs="Palatino Linotype"/>
        </w:rPr>
      </w:pPr>
    </w:p>
    <w:p w:rsidR="00CC3DFD" w:rsidRPr="008B06FF" w:rsidRDefault="00CC3DFD" w:rsidP="00CC3DFD">
      <w:pPr>
        <w:pStyle w:val="Prrafodelista"/>
        <w:numPr>
          <w:ilvl w:val="0"/>
          <w:numId w:val="23"/>
        </w:numPr>
        <w:spacing w:line="360" w:lineRule="auto"/>
        <w:jc w:val="both"/>
        <w:rPr>
          <w:rFonts w:ascii="Palatino Linotype" w:eastAsia="Palatino Linotype" w:hAnsi="Palatino Linotype" w:cs="Palatino Linotype"/>
          <w:b/>
        </w:rPr>
      </w:pPr>
      <w:r w:rsidRPr="008B06FF">
        <w:rPr>
          <w:rFonts w:ascii="Palatino Linotype" w:eastAsia="Palatino Linotype" w:hAnsi="Palatino Linotype" w:cs="Palatino Linotype"/>
          <w:b/>
        </w:rPr>
        <w:t xml:space="preserve">Nutriendo futuros: </w:t>
      </w:r>
      <w:r w:rsidRPr="008B06FF">
        <w:rPr>
          <w:rFonts w:ascii="Palatino Linotype" w:eastAsia="Palatino Linotype" w:hAnsi="Palatino Linotype" w:cs="Palatino Linotype"/>
        </w:rPr>
        <w:t>Programas alimentarios enfocados en niñas, niños, mujeres embarazadas y familias vulnerables, los cuales se complementan con platicas de educación nutricional</w:t>
      </w:r>
      <w:r w:rsidRPr="008B06FF">
        <w:rPr>
          <w:rFonts w:ascii="Palatino Linotype" w:eastAsia="Palatino Linotype" w:hAnsi="Palatino Linotype" w:cs="Palatino Linotype"/>
          <w:b/>
        </w:rPr>
        <w:t xml:space="preserve"> </w:t>
      </w:r>
    </w:p>
    <w:p w:rsidR="00CC3DFD" w:rsidRPr="008B06FF" w:rsidRDefault="00CC3DFD" w:rsidP="00CC3DFD">
      <w:pPr>
        <w:pStyle w:val="Prrafodelista"/>
        <w:numPr>
          <w:ilvl w:val="0"/>
          <w:numId w:val="23"/>
        </w:numPr>
        <w:spacing w:line="360" w:lineRule="auto"/>
        <w:jc w:val="both"/>
        <w:rPr>
          <w:rFonts w:ascii="Palatino Linotype" w:eastAsia="Palatino Linotype" w:hAnsi="Palatino Linotype" w:cs="Palatino Linotype"/>
          <w:b/>
        </w:rPr>
      </w:pPr>
      <w:r w:rsidRPr="008B06FF">
        <w:rPr>
          <w:rFonts w:ascii="Palatino Linotype" w:eastAsia="Palatino Linotype" w:hAnsi="Palatino Linotype" w:cs="Palatino Linotype"/>
          <w:b/>
        </w:rPr>
        <w:t xml:space="preserve">Desayunos Escolares: </w:t>
      </w:r>
      <w:r w:rsidRPr="008B06FF">
        <w:rPr>
          <w:rFonts w:ascii="Palatino Linotype" w:eastAsia="Palatino Linotype" w:hAnsi="Palatino Linotype" w:cs="Palatino Linotype"/>
        </w:rPr>
        <w:t>Proporcionan alimentos fríos y calientes a diversas escuelas públicas a fin de</w:t>
      </w:r>
      <w:r w:rsidR="00EE4090" w:rsidRPr="008B06FF">
        <w:rPr>
          <w:rFonts w:ascii="Palatino Linotype" w:eastAsia="Palatino Linotype" w:hAnsi="Palatino Linotype" w:cs="Palatino Linotype"/>
        </w:rPr>
        <w:t xml:space="preserve"> </w:t>
      </w:r>
      <w:r w:rsidRPr="008B06FF">
        <w:rPr>
          <w:rFonts w:ascii="Palatino Linotype" w:eastAsia="Palatino Linotype" w:hAnsi="Palatino Linotype" w:cs="Palatino Linotype"/>
        </w:rPr>
        <w:t xml:space="preserve">mejorar el rendimiento académico y al mismo tiempo disminuir la </w:t>
      </w:r>
      <w:r w:rsidR="00EE4090" w:rsidRPr="008B06FF">
        <w:rPr>
          <w:rFonts w:ascii="Palatino Linotype" w:eastAsia="Palatino Linotype" w:hAnsi="Palatino Linotype" w:cs="Palatino Linotype"/>
        </w:rPr>
        <w:t>desnutrición infantil.</w:t>
      </w:r>
      <w:r w:rsidRPr="008B06FF">
        <w:rPr>
          <w:rFonts w:ascii="Palatino Linotype" w:eastAsia="Palatino Linotype" w:hAnsi="Palatino Linotype" w:cs="Palatino Linotype"/>
          <w:b/>
        </w:rPr>
        <w:t xml:space="preserve"> </w:t>
      </w:r>
    </w:p>
    <w:p w:rsidR="00EE4090" w:rsidRPr="008B06FF" w:rsidRDefault="00CC3DFD" w:rsidP="00EE4090">
      <w:pPr>
        <w:pStyle w:val="Prrafodelista"/>
        <w:numPr>
          <w:ilvl w:val="0"/>
          <w:numId w:val="23"/>
        </w:numPr>
        <w:spacing w:line="360" w:lineRule="auto"/>
        <w:jc w:val="both"/>
        <w:rPr>
          <w:rFonts w:ascii="Palatino Linotype" w:eastAsia="Palatino Linotype" w:hAnsi="Palatino Linotype" w:cs="Palatino Linotype"/>
          <w:b/>
        </w:rPr>
      </w:pPr>
      <w:r w:rsidRPr="008B06FF">
        <w:rPr>
          <w:rFonts w:ascii="Palatino Linotype" w:eastAsia="Palatino Linotype" w:hAnsi="Palatino Linotype" w:cs="Palatino Linotype"/>
          <w:b/>
        </w:rPr>
        <w:lastRenderedPageBreak/>
        <w:t>Huertos Familiares</w:t>
      </w:r>
      <w:r w:rsidR="00EE4090" w:rsidRPr="008B06FF">
        <w:rPr>
          <w:rFonts w:ascii="Palatino Linotype" w:eastAsia="Palatino Linotype" w:hAnsi="Palatino Linotype" w:cs="Palatino Linotype"/>
          <w:b/>
        </w:rPr>
        <w:t xml:space="preserve">: </w:t>
      </w:r>
      <w:r w:rsidR="00EE4090" w:rsidRPr="008B06FF">
        <w:rPr>
          <w:rFonts w:ascii="Palatino Linotype" w:eastAsia="Palatino Linotype" w:hAnsi="Palatino Linotype" w:cs="Palatino Linotype"/>
        </w:rPr>
        <w:t>Consiste en enseñar a los beneficiarios a cultivas sus propios alimentos, por lo que les brinda capacitación para crear sus huertos.</w:t>
      </w:r>
    </w:p>
    <w:p w:rsidR="00CC3DFD" w:rsidRPr="008B06FF" w:rsidRDefault="00CC3DFD" w:rsidP="00CC3DFD">
      <w:pPr>
        <w:pStyle w:val="Prrafodelista"/>
        <w:numPr>
          <w:ilvl w:val="0"/>
          <w:numId w:val="23"/>
        </w:numPr>
        <w:spacing w:line="360" w:lineRule="auto"/>
        <w:jc w:val="both"/>
        <w:rPr>
          <w:rFonts w:ascii="Palatino Linotype" w:eastAsia="Palatino Linotype" w:hAnsi="Palatino Linotype" w:cs="Palatino Linotype"/>
          <w:b/>
        </w:rPr>
      </w:pPr>
      <w:r w:rsidRPr="008B06FF">
        <w:rPr>
          <w:rFonts w:ascii="Palatino Linotype" w:eastAsia="Palatino Linotype" w:hAnsi="Palatino Linotype" w:cs="Palatino Linotype"/>
          <w:b/>
        </w:rPr>
        <w:t xml:space="preserve">Platicas Nutricionales </w:t>
      </w:r>
      <w:r w:rsidR="00EE4090" w:rsidRPr="008B06FF">
        <w:rPr>
          <w:rFonts w:ascii="Palatino Linotype" w:eastAsia="Palatino Linotype" w:hAnsi="Palatino Linotype" w:cs="Palatino Linotype"/>
          <w:b/>
        </w:rPr>
        <w:t xml:space="preserve">: </w:t>
      </w:r>
      <w:r w:rsidR="00EE4090" w:rsidRPr="008B06FF">
        <w:rPr>
          <w:rFonts w:ascii="Palatino Linotype" w:eastAsia="Palatino Linotype" w:hAnsi="Palatino Linotype" w:cs="Palatino Linotype"/>
        </w:rPr>
        <w:t>consiste en la visita domiciliaria</w:t>
      </w:r>
      <w:r w:rsidR="00EE4090" w:rsidRPr="008B06FF">
        <w:rPr>
          <w:rFonts w:ascii="Palatino Linotype" w:eastAsia="Palatino Linotype" w:hAnsi="Palatino Linotype" w:cs="Palatino Linotype"/>
          <w:b/>
        </w:rPr>
        <w:t xml:space="preserve"> </w:t>
      </w:r>
      <w:r w:rsidR="00EE4090" w:rsidRPr="008B06FF">
        <w:rPr>
          <w:rFonts w:ascii="Palatino Linotype" w:eastAsia="Palatino Linotype" w:hAnsi="Palatino Linotype" w:cs="Palatino Linotype"/>
        </w:rPr>
        <w:t>de nutriólogos a fin de compartirles hábitos saludables</w:t>
      </w:r>
      <w:r w:rsidR="00EE4090" w:rsidRPr="008B06FF">
        <w:rPr>
          <w:rFonts w:ascii="Palatino Linotype" w:eastAsia="Palatino Linotype" w:hAnsi="Palatino Linotype" w:cs="Palatino Linotype"/>
          <w:b/>
        </w:rPr>
        <w:t xml:space="preserve"> </w:t>
      </w:r>
    </w:p>
    <w:p w:rsidR="00EE4090" w:rsidRPr="008B06FF" w:rsidRDefault="00EE4090" w:rsidP="00EE4090">
      <w:pPr>
        <w:pStyle w:val="Prrafodelista"/>
        <w:spacing w:line="360" w:lineRule="auto"/>
        <w:jc w:val="both"/>
        <w:rPr>
          <w:rFonts w:ascii="Palatino Linotype" w:eastAsia="Palatino Linotype" w:hAnsi="Palatino Linotype" w:cs="Palatino Linotype"/>
          <w:b/>
        </w:rPr>
      </w:pPr>
    </w:p>
    <w:p w:rsidR="00CC26E8" w:rsidRPr="008B06FF" w:rsidRDefault="00EE4090" w:rsidP="00F75B09">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Así mismo, se señala que a fin de ser beneficiarios de estos programas deberá cumplir con la entrega de los siguientes requisitos:</w:t>
      </w:r>
    </w:p>
    <w:p w:rsidR="00EE4090" w:rsidRPr="008B06FF" w:rsidRDefault="00EE4090" w:rsidP="00EE4090">
      <w:pPr>
        <w:pStyle w:val="Prrafodelista"/>
        <w:spacing w:line="360" w:lineRule="auto"/>
        <w:ind w:left="0"/>
        <w:jc w:val="both"/>
        <w:rPr>
          <w:rFonts w:ascii="Palatino Linotype" w:eastAsia="Palatino Linotype" w:hAnsi="Palatino Linotype" w:cs="Palatino Linotype"/>
        </w:rPr>
      </w:pPr>
    </w:p>
    <w:p w:rsidR="00EE4090" w:rsidRPr="008B06FF" w:rsidRDefault="00EE4090" w:rsidP="00EE4090">
      <w:pPr>
        <w:pStyle w:val="Prrafodelista"/>
        <w:numPr>
          <w:ilvl w:val="0"/>
          <w:numId w:val="24"/>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Identificación Oficial </w:t>
      </w:r>
    </w:p>
    <w:p w:rsidR="00EE4090" w:rsidRPr="008B06FF" w:rsidRDefault="00EE4090" w:rsidP="00EE4090">
      <w:pPr>
        <w:pStyle w:val="Prrafodelista"/>
        <w:numPr>
          <w:ilvl w:val="0"/>
          <w:numId w:val="24"/>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CURP actualizada</w:t>
      </w:r>
    </w:p>
    <w:p w:rsidR="00EE4090" w:rsidRPr="008B06FF" w:rsidRDefault="00EE4090" w:rsidP="00EE4090">
      <w:pPr>
        <w:pStyle w:val="Prrafodelista"/>
        <w:numPr>
          <w:ilvl w:val="0"/>
          <w:numId w:val="24"/>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Comprobante de Domicilio</w:t>
      </w:r>
    </w:p>
    <w:p w:rsidR="00EE4090" w:rsidRPr="008B06FF" w:rsidRDefault="00AA5B2B" w:rsidP="00EE4090">
      <w:pPr>
        <w:pStyle w:val="Prrafodelista"/>
        <w:numPr>
          <w:ilvl w:val="0"/>
          <w:numId w:val="24"/>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Ac</w:t>
      </w:r>
      <w:r w:rsidR="00EE4090" w:rsidRPr="008B06FF">
        <w:rPr>
          <w:rFonts w:ascii="Palatino Linotype" w:eastAsia="Palatino Linotype" w:hAnsi="Palatino Linotype" w:cs="Palatino Linotype"/>
        </w:rPr>
        <w:t>ta de</w:t>
      </w:r>
      <w:r w:rsidRPr="008B06FF">
        <w:rPr>
          <w:rFonts w:ascii="Palatino Linotype" w:eastAsia="Palatino Linotype" w:hAnsi="Palatino Linotype" w:cs="Palatino Linotype"/>
        </w:rPr>
        <w:t xml:space="preserve"> nacimiento del titular o menor</w:t>
      </w:r>
    </w:p>
    <w:p w:rsidR="00EE4090" w:rsidRPr="008B06FF" w:rsidRDefault="00AA5B2B" w:rsidP="00EE4090">
      <w:pPr>
        <w:pStyle w:val="Prrafodelista"/>
        <w:numPr>
          <w:ilvl w:val="0"/>
          <w:numId w:val="24"/>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Estudio Socioeconómico</w:t>
      </w:r>
    </w:p>
    <w:p w:rsidR="00AA5B2B" w:rsidRPr="008B06FF" w:rsidRDefault="00AA5B2B" w:rsidP="00EE4090">
      <w:pPr>
        <w:pStyle w:val="Prrafodelista"/>
        <w:numPr>
          <w:ilvl w:val="0"/>
          <w:numId w:val="24"/>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Solicitud de Ingreso</w:t>
      </w:r>
    </w:p>
    <w:p w:rsidR="00EE4090" w:rsidRPr="008B06FF" w:rsidRDefault="00EE4090" w:rsidP="00EE4090">
      <w:pPr>
        <w:spacing w:line="360" w:lineRule="auto"/>
        <w:jc w:val="both"/>
        <w:rPr>
          <w:rFonts w:ascii="Palatino Linotype" w:eastAsia="Palatino Linotype" w:hAnsi="Palatino Linotype" w:cs="Palatino Linotype"/>
        </w:rPr>
      </w:pPr>
    </w:p>
    <w:p w:rsidR="00CC26E8" w:rsidRDefault="00CC4BE2" w:rsidP="00F75B09">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Con lo anterior se vislumbra que el Programa al que hace alusión el particular, beneficia a la población vulnerable de esa municipalidad, como niños, mujeres embarazadas, adultos mayores</w:t>
      </w:r>
      <w:r w:rsidR="00DA6685" w:rsidRPr="008B06FF">
        <w:rPr>
          <w:rFonts w:ascii="Palatino Linotype" w:eastAsia="Palatino Linotype" w:hAnsi="Palatino Linotype" w:cs="Palatino Linotype"/>
        </w:rPr>
        <w:t xml:space="preserve">; así mismo que los documentos requisitados a fin de formar </w:t>
      </w:r>
      <w:r w:rsidR="00072B4B" w:rsidRPr="008B06FF">
        <w:rPr>
          <w:rFonts w:ascii="Palatino Linotype" w:eastAsia="Palatino Linotype" w:hAnsi="Palatino Linotype" w:cs="Palatino Linotype"/>
        </w:rPr>
        <w:t>los</w:t>
      </w:r>
      <w:r w:rsidR="00DA6685" w:rsidRPr="008B06FF">
        <w:rPr>
          <w:rFonts w:ascii="Palatino Linotype" w:eastAsia="Palatino Linotype" w:hAnsi="Palatino Linotype" w:cs="Palatino Linotype"/>
        </w:rPr>
        <w:t xml:space="preserve"> expedientes y ser beneficiario de los programas son documentos que por su contenido son clasificados en su totalidad</w:t>
      </w:r>
      <w:r w:rsidR="004D22C9" w:rsidRPr="008B06FF">
        <w:rPr>
          <w:rFonts w:ascii="Palatino Linotype" w:eastAsia="Palatino Linotype" w:hAnsi="Palatino Linotype" w:cs="Palatino Linotype"/>
        </w:rPr>
        <w:t>,</w:t>
      </w:r>
      <w:r w:rsidR="00972756" w:rsidRPr="008B06FF">
        <w:rPr>
          <w:rFonts w:ascii="Palatino Linotype" w:eastAsia="Palatino Linotype" w:hAnsi="Palatino Linotype" w:cs="Palatino Linotype"/>
        </w:rPr>
        <w:t xml:space="preserve"> </w:t>
      </w:r>
      <w:r w:rsidR="004D22C9" w:rsidRPr="008B06FF">
        <w:rPr>
          <w:rFonts w:ascii="Palatino Linotype" w:eastAsia="Palatino Linotype" w:hAnsi="Palatino Linotype" w:cs="Palatino Linotype"/>
        </w:rPr>
        <w:t>tal y como se señala a continuación</w:t>
      </w:r>
      <w:r w:rsidR="00072B4B" w:rsidRPr="008B06FF">
        <w:rPr>
          <w:rFonts w:ascii="Palatino Linotype" w:eastAsia="Palatino Linotype" w:hAnsi="Palatino Linotype" w:cs="Palatino Linotype"/>
        </w:rPr>
        <w:t>.</w:t>
      </w:r>
    </w:p>
    <w:p w:rsidR="008B06FF" w:rsidRDefault="008B06FF" w:rsidP="008B06FF">
      <w:pPr>
        <w:pStyle w:val="Prrafodelista"/>
        <w:spacing w:line="360" w:lineRule="auto"/>
        <w:ind w:left="0"/>
        <w:jc w:val="both"/>
        <w:rPr>
          <w:rFonts w:ascii="Palatino Linotype" w:eastAsia="Palatino Linotype" w:hAnsi="Palatino Linotype" w:cs="Palatino Linotype"/>
        </w:rPr>
      </w:pPr>
    </w:p>
    <w:p w:rsidR="008B06FF" w:rsidRDefault="008B06FF" w:rsidP="008B06FF">
      <w:pPr>
        <w:pStyle w:val="Prrafodelista"/>
        <w:spacing w:line="360" w:lineRule="auto"/>
        <w:ind w:left="0"/>
        <w:jc w:val="both"/>
        <w:rPr>
          <w:rFonts w:ascii="Palatino Linotype" w:eastAsia="Palatino Linotype" w:hAnsi="Palatino Linotype" w:cs="Palatino Linotype"/>
        </w:rPr>
      </w:pPr>
    </w:p>
    <w:p w:rsidR="008B06FF" w:rsidRPr="008B06FF" w:rsidRDefault="008B06FF" w:rsidP="008B06FF">
      <w:pPr>
        <w:pStyle w:val="Prrafodelista"/>
        <w:spacing w:line="360" w:lineRule="auto"/>
        <w:ind w:left="0"/>
        <w:jc w:val="both"/>
        <w:rPr>
          <w:rFonts w:ascii="Palatino Linotype" w:eastAsia="Palatino Linotype" w:hAnsi="Palatino Linotype" w:cs="Palatino Linotype"/>
        </w:rPr>
      </w:pPr>
    </w:p>
    <w:p w:rsidR="004D22C9" w:rsidRPr="008B06FF" w:rsidRDefault="004D22C9" w:rsidP="004D22C9">
      <w:pPr>
        <w:pStyle w:val="Prrafodelista"/>
        <w:numPr>
          <w:ilvl w:val="0"/>
          <w:numId w:val="2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lastRenderedPageBreak/>
        <w:t>INE</w:t>
      </w:r>
    </w:p>
    <w:p w:rsidR="000D7E78" w:rsidRPr="008B06FF" w:rsidRDefault="000D7E78" w:rsidP="000D7E78">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La Credencial para Votar constituyen datos personales el nombre, domicilio, huella digital, fotografía del elector, clave de registro o elector, Clave Única del Registro de Población y firma, tal como se refiere en el artículo 156 numeral 1, incisos d), g) e i) de la Ley General de Instituciones y Procedimientos Electorales que enlista los datos que, cuando menos, debe contener la credencial para votar, como son: </w:t>
      </w:r>
    </w:p>
    <w:p w:rsidR="000D7E78" w:rsidRPr="008B06FF" w:rsidRDefault="000D7E78" w:rsidP="000D7E78">
      <w:pPr>
        <w:pStyle w:val="Prrafodelista"/>
        <w:ind w:left="567" w:right="567"/>
        <w:jc w:val="both"/>
        <w:rPr>
          <w:rFonts w:ascii="Palatino Linotype" w:eastAsia="Palatino Linotype" w:hAnsi="Palatino Linotype" w:cs="Palatino Linotype"/>
          <w:i/>
        </w:rPr>
      </w:pPr>
      <w:r w:rsidRPr="008B06FF">
        <w:rPr>
          <w:rFonts w:ascii="Palatino Linotype" w:eastAsia="Palatino Linotype" w:hAnsi="Palatino Linotype" w:cs="Palatino Linotype"/>
          <w:i/>
        </w:rPr>
        <w:t>“Artículo 156.</w:t>
      </w:r>
    </w:p>
    <w:p w:rsidR="000D7E78" w:rsidRPr="008B06FF" w:rsidRDefault="000D7E78" w:rsidP="000D7E78">
      <w:pPr>
        <w:pStyle w:val="Prrafodelista"/>
        <w:ind w:left="567" w:right="567"/>
        <w:jc w:val="both"/>
        <w:rPr>
          <w:rFonts w:ascii="Palatino Linotype" w:eastAsia="Palatino Linotype" w:hAnsi="Palatino Linotype" w:cs="Palatino Linotype"/>
          <w:i/>
        </w:rPr>
      </w:pPr>
      <w:r w:rsidRPr="008B06FF">
        <w:rPr>
          <w:rFonts w:ascii="Palatino Linotype" w:eastAsia="Palatino Linotype" w:hAnsi="Palatino Linotype" w:cs="Palatino Linotype"/>
          <w:i/>
        </w:rPr>
        <w:t>1. La credencial para votar deberá contener, cuando menos, los siguientes datos del elector:</w:t>
      </w:r>
    </w:p>
    <w:p w:rsidR="000D7E78" w:rsidRPr="008B06FF" w:rsidRDefault="000D7E78" w:rsidP="000D7E78">
      <w:pPr>
        <w:pStyle w:val="Prrafodelista"/>
        <w:ind w:left="567" w:right="567"/>
        <w:jc w:val="both"/>
        <w:rPr>
          <w:rFonts w:ascii="Palatino Linotype" w:eastAsia="Palatino Linotype" w:hAnsi="Palatino Linotype" w:cs="Palatino Linotype"/>
          <w:i/>
        </w:rPr>
      </w:pPr>
      <w:r w:rsidRPr="008B06FF">
        <w:rPr>
          <w:rFonts w:ascii="Palatino Linotype" w:eastAsia="Palatino Linotype" w:hAnsi="Palatino Linotype" w:cs="Palatino Linotype"/>
          <w:i/>
        </w:rPr>
        <w:t>…</w:t>
      </w:r>
    </w:p>
    <w:p w:rsidR="000D7E78" w:rsidRPr="008B06FF" w:rsidRDefault="000D7E78" w:rsidP="000D7E78">
      <w:pPr>
        <w:pStyle w:val="Prrafodelista"/>
        <w:ind w:left="567" w:right="567"/>
        <w:jc w:val="both"/>
        <w:rPr>
          <w:rFonts w:ascii="Palatino Linotype" w:eastAsia="Palatino Linotype" w:hAnsi="Palatino Linotype" w:cs="Palatino Linotype"/>
          <w:i/>
        </w:rPr>
      </w:pPr>
      <w:r w:rsidRPr="008B06FF">
        <w:rPr>
          <w:rFonts w:ascii="Palatino Linotype" w:eastAsia="Palatino Linotype" w:hAnsi="Palatino Linotype" w:cs="Palatino Linotype"/>
          <w:i/>
        </w:rPr>
        <w:t>d) Domicilio;</w:t>
      </w:r>
    </w:p>
    <w:p w:rsidR="000D7E78" w:rsidRPr="008B06FF" w:rsidRDefault="000D7E78" w:rsidP="000D7E78">
      <w:pPr>
        <w:pStyle w:val="Prrafodelista"/>
        <w:ind w:left="567" w:right="567"/>
        <w:jc w:val="both"/>
        <w:rPr>
          <w:rFonts w:ascii="Palatino Linotype" w:eastAsia="Palatino Linotype" w:hAnsi="Palatino Linotype" w:cs="Palatino Linotype"/>
          <w:i/>
        </w:rPr>
      </w:pPr>
      <w:r w:rsidRPr="008B06FF">
        <w:rPr>
          <w:rFonts w:ascii="Palatino Linotype" w:eastAsia="Palatino Linotype" w:hAnsi="Palatino Linotype" w:cs="Palatino Linotype"/>
          <w:i/>
        </w:rPr>
        <w:t>…</w:t>
      </w:r>
    </w:p>
    <w:p w:rsidR="000D7E78" w:rsidRPr="008B06FF" w:rsidRDefault="000D7E78" w:rsidP="000D7E78">
      <w:pPr>
        <w:pStyle w:val="Prrafodelista"/>
        <w:ind w:left="567" w:right="567"/>
        <w:jc w:val="both"/>
        <w:rPr>
          <w:rFonts w:ascii="Palatino Linotype" w:eastAsia="Palatino Linotype" w:hAnsi="Palatino Linotype" w:cs="Palatino Linotype"/>
          <w:i/>
        </w:rPr>
      </w:pPr>
      <w:r w:rsidRPr="008B06FF">
        <w:rPr>
          <w:rFonts w:ascii="Palatino Linotype" w:eastAsia="Palatino Linotype" w:hAnsi="Palatino Linotype" w:cs="Palatino Linotype"/>
          <w:i/>
        </w:rPr>
        <w:t>g) Firma, huella digital y fotografía del elector;</w:t>
      </w:r>
    </w:p>
    <w:p w:rsidR="000D7E78" w:rsidRPr="008B06FF" w:rsidRDefault="000D7E78" w:rsidP="000D7E78">
      <w:pPr>
        <w:pStyle w:val="Prrafodelista"/>
        <w:ind w:left="567" w:right="567"/>
        <w:jc w:val="both"/>
        <w:rPr>
          <w:rFonts w:ascii="Palatino Linotype" w:eastAsia="Palatino Linotype" w:hAnsi="Palatino Linotype" w:cs="Palatino Linotype"/>
          <w:i/>
        </w:rPr>
      </w:pPr>
      <w:r w:rsidRPr="008B06FF">
        <w:rPr>
          <w:rFonts w:ascii="Palatino Linotype" w:eastAsia="Palatino Linotype" w:hAnsi="Palatino Linotype" w:cs="Palatino Linotype"/>
          <w:i/>
        </w:rPr>
        <w:t>…</w:t>
      </w:r>
    </w:p>
    <w:p w:rsidR="000D7E78" w:rsidRPr="008B06FF" w:rsidRDefault="000D7E78" w:rsidP="000D7E78">
      <w:pPr>
        <w:pStyle w:val="Prrafodelista"/>
        <w:ind w:left="567" w:right="567"/>
        <w:jc w:val="both"/>
        <w:rPr>
          <w:rFonts w:ascii="Palatino Linotype" w:eastAsia="Palatino Linotype" w:hAnsi="Palatino Linotype" w:cs="Palatino Linotype"/>
          <w:i/>
        </w:rPr>
      </w:pPr>
      <w:r w:rsidRPr="008B06FF">
        <w:rPr>
          <w:rFonts w:ascii="Palatino Linotype" w:eastAsia="Palatino Linotype" w:hAnsi="Palatino Linotype" w:cs="Palatino Linotype"/>
          <w:i/>
        </w:rPr>
        <w:t>i) Clave Única del Registro de Población. ” (Sic)</w:t>
      </w:r>
    </w:p>
    <w:p w:rsidR="000D7E78" w:rsidRPr="008B06FF" w:rsidRDefault="000D7E78" w:rsidP="000D7E78">
      <w:pPr>
        <w:pStyle w:val="Prrafodelista"/>
        <w:ind w:left="567" w:right="567"/>
        <w:jc w:val="both"/>
        <w:rPr>
          <w:rFonts w:ascii="Palatino Linotype" w:eastAsia="Palatino Linotype" w:hAnsi="Palatino Linotype" w:cs="Palatino Linotype"/>
          <w:i/>
        </w:rPr>
      </w:pPr>
    </w:p>
    <w:p w:rsidR="000D7E78" w:rsidRPr="008B06FF" w:rsidRDefault="000D7E78" w:rsidP="000D7E78">
      <w:pPr>
        <w:pStyle w:val="Prrafodelista"/>
        <w:ind w:left="567" w:right="567"/>
        <w:jc w:val="both"/>
        <w:rPr>
          <w:rFonts w:ascii="Palatino Linotype" w:eastAsia="Palatino Linotype" w:hAnsi="Palatino Linotype" w:cs="Palatino Linotype"/>
          <w:i/>
        </w:rPr>
      </w:pPr>
      <w:r w:rsidRPr="008B06FF">
        <w:rPr>
          <w:rFonts w:ascii="Palatino Linotype" w:eastAsia="Palatino Linotype" w:hAnsi="Palatino Linotype" w:cs="Palatino Linotype"/>
          <w:i/>
        </w:rPr>
        <w:t>Énfasis añadido.</w:t>
      </w:r>
    </w:p>
    <w:p w:rsidR="000D7E78" w:rsidRPr="008B06FF" w:rsidRDefault="000D7E78" w:rsidP="000D7E78">
      <w:pPr>
        <w:pStyle w:val="Prrafodelista"/>
        <w:spacing w:line="360" w:lineRule="auto"/>
        <w:ind w:left="0"/>
        <w:jc w:val="both"/>
        <w:rPr>
          <w:rFonts w:ascii="Palatino Linotype" w:eastAsia="Palatino Linotype" w:hAnsi="Palatino Linotype" w:cs="Palatino Linotype"/>
        </w:rPr>
      </w:pPr>
    </w:p>
    <w:p w:rsidR="000D7E78" w:rsidRDefault="000D7E78" w:rsidP="000D7E78">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Así, el conocimiento de dichos datos afecta la esfera más íntima de su Titular, en razón de que su utilización indebida pueda dar origen a un riesgo grave para éste.</w:t>
      </w:r>
    </w:p>
    <w:p w:rsidR="008B06FF" w:rsidRPr="008B06FF" w:rsidRDefault="008B06FF" w:rsidP="008B06FF">
      <w:pPr>
        <w:pStyle w:val="Prrafodelista"/>
        <w:spacing w:line="360" w:lineRule="auto"/>
        <w:ind w:left="0"/>
        <w:jc w:val="both"/>
        <w:rPr>
          <w:rFonts w:ascii="Palatino Linotype" w:eastAsia="Palatino Linotype" w:hAnsi="Palatino Linotype" w:cs="Palatino Linotype"/>
        </w:rPr>
      </w:pPr>
    </w:p>
    <w:p w:rsidR="000D7E78" w:rsidRPr="008B06FF" w:rsidRDefault="000D7E78" w:rsidP="00DA43D0">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Asimismo, en el caso particular de la clave de elector, debe precisarse que es un código alfa numérico compuesto por letras de los apellidos y nombre de la persona, seguido de la fecha de nacimiento y finalmente una serie de números indispensables para su inscripción en el Registro Federal de Electores que, a su vez, hace identificable a la persona que corresponde dicha credencial para votar.</w:t>
      </w:r>
    </w:p>
    <w:p w:rsidR="000D7E78" w:rsidRPr="008B06FF" w:rsidRDefault="000D7E78" w:rsidP="000D7E78">
      <w:pPr>
        <w:pStyle w:val="Prrafodelista"/>
        <w:spacing w:line="360" w:lineRule="auto"/>
        <w:ind w:left="0"/>
        <w:jc w:val="both"/>
        <w:rPr>
          <w:rFonts w:ascii="Palatino Linotype" w:eastAsia="Palatino Linotype" w:hAnsi="Palatino Linotype" w:cs="Palatino Linotype"/>
        </w:rPr>
      </w:pPr>
    </w:p>
    <w:p w:rsidR="000D7E78" w:rsidRPr="008B06FF" w:rsidRDefault="000D7E78" w:rsidP="000D7E78">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lastRenderedPageBreak/>
        <w:t>Respecto a la edad, número identificador (OCR) y código de barras bidimensional y cifrado contenidos en las credenciales para votar, se advierte que se trata de elementos de información, control y presentación, de conformidad a lo señalado por el Instituto Nacional Electoral, en la página de Internet Institucional, http://portalanterior.ine.mx/archivos2/portal/credencial/pdf-credencial/ABC_credenciales_ INE_2015.pdf.</w:t>
      </w:r>
    </w:p>
    <w:p w:rsidR="000D7E78" w:rsidRPr="008B06FF" w:rsidRDefault="000D7E78" w:rsidP="000D7E78">
      <w:pPr>
        <w:pStyle w:val="Prrafodelista"/>
        <w:spacing w:line="360" w:lineRule="auto"/>
        <w:ind w:left="0"/>
        <w:jc w:val="both"/>
        <w:rPr>
          <w:rFonts w:ascii="Palatino Linotype" w:eastAsia="Palatino Linotype" w:hAnsi="Palatino Linotype" w:cs="Palatino Linotype"/>
        </w:rPr>
      </w:pPr>
    </w:p>
    <w:p w:rsidR="000D7E78" w:rsidRPr="008B06FF" w:rsidRDefault="000D7E78" w:rsidP="000D7E78">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En esa tesitura, en el caso del número identificador (OCR), debe precisarse que éste es generalmente utilizado en la realización de diversas operaciones bancarias y, en algunos casos, como un medio de identificación de las personas, por lo cual, su conocimiento y utilización, concierne únicamente a su titular. </w:t>
      </w:r>
    </w:p>
    <w:p w:rsidR="000D7E78" w:rsidRPr="008B06FF" w:rsidRDefault="000D7E78" w:rsidP="000D7E78">
      <w:pPr>
        <w:pStyle w:val="Prrafodelista"/>
        <w:rPr>
          <w:rFonts w:ascii="Palatino Linotype" w:eastAsia="Palatino Linotype" w:hAnsi="Palatino Linotype" w:cs="Palatino Linotype"/>
        </w:rPr>
      </w:pPr>
    </w:p>
    <w:p w:rsidR="000D7E78" w:rsidRPr="008B06FF" w:rsidRDefault="000D7E78" w:rsidP="000D7E78">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En el caso de la edad, se trata de un dato personal sensible que concierne únicamente a su titular, al corresponder a su esfera más íntima. </w:t>
      </w:r>
    </w:p>
    <w:p w:rsidR="000D7E78" w:rsidRPr="008B06FF" w:rsidRDefault="000D7E78" w:rsidP="000D7E78">
      <w:pPr>
        <w:pStyle w:val="Prrafodelista"/>
        <w:rPr>
          <w:rFonts w:ascii="Palatino Linotype" w:eastAsia="Palatino Linotype" w:hAnsi="Palatino Linotype" w:cs="Palatino Linotype"/>
        </w:rPr>
      </w:pPr>
    </w:p>
    <w:p w:rsidR="000D7E78" w:rsidRPr="008B06FF" w:rsidRDefault="000D7E78" w:rsidP="000D7E78">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Finalmente por lo que hace al código de barras bidimensional y cifrado, como fue anteriormente mencionado, se trata de un medio de almacenamiento de información, que en el caso de las credenciales para votar, contiene datos e información, utilizada para efectos electorales, misma, que únicamente concierne a las autoridades competentes en la materia y a su propio titular.</w:t>
      </w:r>
    </w:p>
    <w:p w:rsidR="008C3503" w:rsidRPr="008B06FF" w:rsidRDefault="008C3503" w:rsidP="008C3503">
      <w:pPr>
        <w:pStyle w:val="Sinespaciado"/>
        <w:numPr>
          <w:ilvl w:val="0"/>
          <w:numId w:val="26"/>
        </w:numPr>
        <w:spacing w:before="240" w:after="240" w:line="360" w:lineRule="auto"/>
        <w:jc w:val="both"/>
        <w:rPr>
          <w:rFonts w:ascii="Palatino Linotype" w:hAnsi="Palatino Linotype" w:cs="Arial"/>
          <w:b/>
        </w:rPr>
      </w:pPr>
      <w:r w:rsidRPr="008B06FF">
        <w:rPr>
          <w:rFonts w:ascii="Palatino Linotype" w:hAnsi="Palatino Linotype" w:cs="Arial"/>
          <w:b/>
        </w:rPr>
        <w:t>Clave Única de Registro de Población</w:t>
      </w:r>
    </w:p>
    <w:p w:rsidR="000D7E78" w:rsidRPr="008B06FF" w:rsidRDefault="008C3503" w:rsidP="000D7E78">
      <w:pPr>
        <w:pStyle w:val="Sinespaciado"/>
        <w:numPr>
          <w:ilvl w:val="0"/>
          <w:numId w:val="6"/>
        </w:numPr>
        <w:spacing w:before="240" w:after="240" w:line="360" w:lineRule="auto"/>
        <w:jc w:val="both"/>
        <w:rPr>
          <w:rFonts w:ascii="Palatino Linotype" w:eastAsia="Calibri" w:hAnsi="Palatino Linotype" w:cs="Arial"/>
        </w:rPr>
      </w:pPr>
      <w:r w:rsidRPr="008B06FF">
        <w:rPr>
          <w:rFonts w:ascii="Palatino Linotype" w:hAnsi="Palatino Linotype" w:cs="Arial"/>
        </w:rPr>
        <w:t xml:space="preserve">En cuanto a la Clave Única de Registro de Población (CURP) en virtud de que éste se </w:t>
      </w:r>
      <w:r w:rsidRPr="008B06FF">
        <w:rPr>
          <w:rFonts w:ascii="Palatino Linotype" w:eastAsia="Calibri" w:hAnsi="Palatino Linotype" w:cs="Arial"/>
        </w:rPr>
        <w:t xml:space="preserve">integra por datos personales que únicamente le conciernen a un particular como son su </w:t>
      </w:r>
      <w:r w:rsidRPr="008B06FF">
        <w:rPr>
          <w:rFonts w:ascii="Palatino Linotype" w:eastAsia="Calibri" w:hAnsi="Palatino Linotype" w:cs="Arial"/>
        </w:rPr>
        <w:lastRenderedPageBreak/>
        <w:t>fecha de nacimiento, su nombre, sus apellidos y su lugar de nacimiento; información que permite distinguirlo del resto de los habitantes, se considera que es de carácter confidencial.</w:t>
      </w:r>
    </w:p>
    <w:p w:rsidR="008C3503" w:rsidRPr="008B06FF" w:rsidRDefault="008C3503" w:rsidP="000D7E78">
      <w:pPr>
        <w:pStyle w:val="Sinespaciado"/>
        <w:numPr>
          <w:ilvl w:val="0"/>
          <w:numId w:val="6"/>
        </w:numPr>
        <w:spacing w:before="240" w:after="240" w:line="360" w:lineRule="auto"/>
        <w:jc w:val="both"/>
        <w:rPr>
          <w:rFonts w:ascii="Palatino Linotype" w:eastAsia="Calibri" w:hAnsi="Palatino Linotype" w:cs="Arial"/>
        </w:rPr>
      </w:pPr>
      <w:r w:rsidRPr="008B06FF">
        <w:rPr>
          <w:rFonts w:ascii="Palatino Linotype" w:hAnsi="Palatino Linotype" w:cs="Arial"/>
        </w:rPr>
        <w:t xml:space="preserve">Argumento que es compartido por el entonces </w:t>
      </w:r>
      <w:r w:rsidRPr="008B06FF">
        <w:rPr>
          <w:rStyle w:val="Textoennegrita"/>
          <w:rFonts w:ascii="Palatino Linotype" w:hAnsi="Palatino Linotype" w:cs="Arial"/>
        </w:rPr>
        <w:t xml:space="preserve">Instituto Federal de Acceso a la Información y Protección de Datos (IFAI), hoy Instituto Nacional de Transparencia, Acceso a la Información Pública y Protección de Datos Personales, conforme al </w:t>
      </w:r>
      <w:r w:rsidRPr="008B06FF">
        <w:rPr>
          <w:rFonts w:ascii="Palatino Linotype" w:hAnsi="Palatino Linotype" w:cs="Arial"/>
        </w:rPr>
        <w:t xml:space="preserve">criterio número 0003-10, el cual refiere: </w:t>
      </w:r>
    </w:p>
    <w:p w:rsidR="008C3503" w:rsidRPr="008B06FF" w:rsidRDefault="008C3503" w:rsidP="008C3503">
      <w:pPr>
        <w:pStyle w:val="Prrafodelista"/>
        <w:spacing w:before="240" w:after="240" w:line="360" w:lineRule="auto"/>
        <w:ind w:left="0" w:right="-91"/>
        <w:jc w:val="both"/>
        <w:rPr>
          <w:rFonts w:ascii="Palatino Linotype" w:hAnsi="Palatino Linotype" w:cs="Arial"/>
        </w:rPr>
      </w:pPr>
    </w:p>
    <w:p w:rsidR="008C3503" w:rsidRPr="008B06FF" w:rsidRDefault="008C3503" w:rsidP="008C3503">
      <w:pPr>
        <w:pStyle w:val="Prrafodelista"/>
        <w:autoSpaceDE w:val="0"/>
        <w:autoSpaceDN w:val="0"/>
        <w:adjustRightInd w:val="0"/>
        <w:spacing w:before="240" w:after="240"/>
        <w:ind w:left="851" w:right="850"/>
        <w:jc w:val="both"/>
        <w:rPr>
          <w:rFonts w:ascii="Palatino Linotype" w:hAnsi="Palatino Linotype" w:cs="Arial"/>
          <w:i/>
        </w:rPr>
      </w:pPr>
      <w:r w:rsidRPr="008B06FF">
        <w:rPr>
          <w:rFonts w:ascii="Palatino Linotype" w:hAnsi="Palatino Linotype" w:cs="Arial"/>
          <w:bCs/>
          <w:i/>
        </w:rPr>
        <w:t>“</w:t>
      </w:r>
      <w:r w:rsidRPr="008B06FF">
        <w:rPr>
          <w:rFonts w:ascii="Palatino Linotype" w:hAnsi="Palatino Linotype" w:cs="Arial"/>
          <w:b/>
          <w:bCs/>
          <w:i/>
        </w:rPr>
        <w:t>Clave Única de Registro de Población (CURP) es un dato personal confidencial.</w:t>
      </w:r>
      <w:r w:rsidRPr="008B06FF">
        <w:rPr>
          <w:rFonts w:ascii="Palatino Linotype" w:hAnsi="Palatino Linotype" w:cs="Arial"/>
          <w:bCs/>
          <w:i/>
        </w:rPr>
        <w:t xml:space="preserve"> </w:t>
      </w:r>
      <w:r w:rsidRPr="008B06FF">
        <w:rPr>
          <w:rFonts w:ascii="Palatino Linotype" w:hAnsi="Palatino Linotype" w:cs="Arial"/>
          <w:i/>
        </w:rPr>
        <w:t xml:space="preserve">De conformidad con lo establecido en el artículo 3, fracción II de la Ley Federal de Transparencia y Acceso a la Información Pública Gubernamental, </w:t>
      </w:r>
      <w:r w:rsidRPr="008B06FF">
        <w:rPr>
          <w:rFonts w:ascii="Palatino Linotype" w:hAnsi="Palatino Linotype" w:cs="Arial"/>
          <w:i/>
          <w:u w:val="single"/>
        </w:rPr>
        <w:t>dato personal es toda aquella información concerniente a una persona física identificada o identificable.</w:t>
      </w:r>
      <w:r w:rsidRPr="008B06FF">
        <w:rPr>
          <w:rFonts w:ascii="Palatino Linotype" w:hAnsi="Palatino Linotype" w:cs="Arial"/>
          <w:i/>
        </w:rPr>
        <w:t xml:space="preserve"> Por su parte, el artículo 18, fracción II de la Ley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rsidR="008C3503" w:rsidRPr="008B06FF" w:rsidRDefault="008C3503" w:rsidP="008C3503">
      <w:pPr>
        <w:pStyle w:val="Sinespaciado"/>
        <w:spacing w:before="240" w:after="240" w:line="360" w:lineRule="auto"/>
        <w:jc w:val="both"/>
        <w:rPr>
          <w:rFonts w:ascii="Palatino Linotype" w:hAnsi="Palatino Linotype" w:cs="Arial"/>
        </w:rPr>
      </w:pPr>
    </w:p>
    <w:p w:rsidR="008C3503" w:rsidRPr="008B06FF" w:rsidRDefault="008C3503" w:rsidP="008C3503">
      <w:pPr>
        <w:pStyle w:val="Sinespaciado"/>
        <w:numPr>
          <w:ilvl w:val="0"/>
          <w:numId w:val="26"/>
        </w:numPr>
        <w:spacing w:before="240" w:after="240" w:line="360" w:lineRule="auto"/>
        <w:jc w:val="both"/>
        <w:rPr>
          <w:rFonts w:ascii="Palatino Linotype" w:hAnsi="Palatino Linotype" w:cs="Arial"/>
          <w:b/>
        </w:rPr>
      </w:pPr>
      <w:r w:rsidRPr="008B06FF">
        <w:rPr>
          <w:rFonts w:ascii="Palatino Linotype" w:hAnsi="Palatino Linotype" w:cs="Arial"/>
          <w:b/>
        </w:rPr>
        <w:t>Comprobante de domicilio</w:t>
      </w:r>
    </w:p>
    <w:p w:rsidR="008C3503" w:rsidRPr="008B06FF" w:rsidRDefault="008C3503" w:rsidP="008C3503">
      <w:pPr>
        <w:pStyle w:val="Sinespaciado"/>
        <w:numPr>
          <w:ilvl w:val="0"/>
          <w:numId w:val="6"/>
        </w:numPr>
        <w:spacing w:before="240" w:after="240" w:line="360" w:lineRule="auto"/>
        <w:jc w:val="both"/>
        <w:rPr>
          <w:rFonts w:ascii="Palatino Linotype" w:hAnsi="Palatino Linotype" w:cs="Arial"/>
        </w:rPr>
      </w:pPr>
      <w:r w:rsidRPr="008B06FF">
        <w:rPr>
          <w:rFonts w:ascii="Palatino Linotype" w:hAnsi="Palatino Linotype" w:cs="Arial"/>
        </w:rPr>
        <w:t xml:space="preserve">De acuerdo a lo señalado en los artículos 2.3 y 2.5 del Código Civil del Estado de México, el domicilio es un atributo de la personalidad y un derecho de las personas; además </w:t>
      </w:r>
      <w:r w:rsidRPr="008B06FF">
        <w:rPr>
          <w:rFonts w:ascii="Palatino Linotype" w:hAnsi="Palatino Linotype" w:cs="Arial"/>
        </w:rPr>
        <w:lastRenderedPageBreak/>
        <w:t xml:space="preserve">que tiene como propósito que una persona pueda establecerse temporal o permanentemente en un lugar determinado, para habitar, establecer su centro de trabajo o negocios. </w:t>
      </w:r>
    </w:p>
    <w:p w:rsidR="008C3503" w:rsidRPr="008B06FF" w:rsidRDefault="008C3503" w:rsidP="008C3503">
      <w:pPr>
        <w:pStyle w:val="Sinespaciado"/>
        <w:numPr>
          <w:ilvl w:val="0"/>
          <w:numId w:val="6"/>
        </w:numPr>
        <w:spacing w:before="240" w:after="240" w:line="360" w:lineRule="auto"/>
        <w:jc w:val="both"/>
        <w:rPr>
          <w:rFonts w:ascii="Palatino Linotype" w:hAnsi="Palatino Linotype" w:cs="Arial"/>
        </w:rPr>
      </w:pPr>
      <w:r w:rsidRPr="008B06FF">
        <w:rPr>
          <w:rFonts w:ascii="Palatino Linotype" w:hAnsi="Palatino Linotype" w:cs="Arial"/>
        </w:rPr>
        <w:t>De la misma manera, lo establece el artículo 29 del Código Civil Federal, al precisar que el domicilio de personas físicas, es el lugar donde residen habitualmente, el lugar del centro principal de sus negocios, donde residan o el lugar donde se encuentren.</w:t>
      </w:r>
    </w:p>
    <w:p w:rsidR="008C3503" w:rsidRPr="008B06FF" w:rsidRDefault="008C3503" w:rsidP="008C3503">
      <w:pPr>
        <w:pStyle w:val="Sinespaciado"/>
        <w:numPr>
          <w:ilvl w:val="0"/>
          <w:numId w:val="6"/>
        </w:numPr>
        <w:spacing w:before="240" w:after="240" w:line="360" w:lineRule="auto"/>
        <w:jc w:val="both"/>
        <w:rPr>
          <w:rFonts w:ascii="Palatino Linotype" w:hAnsi="Palatino Linotype" w:cs="Arial"/>
        </w:rPr>
      </w:pPr>
      <w:r w:rsidRPr="008B06FF">
        <w:rPr>
          <w:rFonts w:ascii="Palatino Linotype" w:hAnsi="Palatino Linotype" w:cs="Arial"/>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rsidR="008C3503" w:rsidRPr="008B06FF" w:rsidRDefault="008C3503" w:rsidP="008C3503">
      <w:pPr>
        <w:pStyle w:val="Sinespaciado"/>
        <w:numPr>
          <w:ilvl w:val="0"/>
          <w:numId w:val="6"/>
        </w:numPr>
        <w:spacing w:before="240" w:after="240" w:line="360" w:lineRule="auto"/>
        <w:jc w:val="both"/>
        <w:rPr>
          <w:rFonts w:ascii="Palatino Linotype" w:hAnsi="Palatino Linotype" w:cs="Arial"/>
        </w:rPr>
      </w:pPr>
      <w:r w:rsidRPr="008B06FF">
        <w:rPr>
          <w:rFonts w:ascii="Palatino Linotype" w:hAnsi="Palatino Linotype" w:cs="Arial"/>
        </w:rPr>
        <w:t>La misma suerte corre el comprobante de domicilio, pues mediante este se acredita que la servidora pública vive donde señala en los documentos que entrega; sin embargo, es de señalar que este documento guarda la naturaleza de privado, pues no abona en nada a la transparencia, ni rinde cuentas de la forma de actuar de la trabajadora, al contrario, la hace ubicable en su carácter de particular, por lo que, se concluye que el comprobante guarda la naturaleza de privado.</w:t>
      </w:r>
    </w:p>
    <w:p w:rsidR="008C3503" w:rsidRDefault="008C3503" w:rsidP="008C3503">
      <w:pPr>
        <w:pStyle w:val="Sinespaciado"/>
        <w:numPr>
          <w:ilvl w:val="0"/>
          <w:numId w:val="6"/>
        </w:numPr>
        <w:spacing w:before="240" w:after="240" w:line="360" w:lineRule="auto"/>
        <w:jc w:val="both"/>
        <w:rPr>
          <w:rFonts w:ascii="Palatino Linotype" w:hAnsi="Palatino Linotype" w:cs="Arial"/>
        </w:rPr>
      </w:pPr>
      <w:r w:rsidRPr="008B06FF">
        <w:rPr>
          <w:rFonts w:ascii="Palatino Linotype" w:hAnsi="Palatino Linotype" w:cs="Arial"/>
        </w:rPr>
        <w:t>Por lo tanto, se actualiza la clasificación del domicilio y su comprobante, de conformidad con la fracción I, del artículo 143 de la Ley de Transparencia y Acceso a la Información Pública del Estado de México y Municipios.</w:t>
      </w:r>
    </w:p>
    <w:p w:rsidR="008B06FF" w:rsidRPr="008B06FF" w:rsidRDefault="008B06FF" w:rsidP="008B06FF">
      <w:pPr>
        <w:pStyle w:val="Sinespaciado"/>
        <w:spacing w:before="240" w:after="240" w:line="360" w:lineRule="auto"/>
        <w:jc w:val="both"/>
        <w:rPr>
          <w:rFonts w:ascii="Palatino Linotype" w:hAnsi="Palatino Linotype" w:cs="Arial"/>
        </w:rPr>
      </w:pPr>
    </w:p>
    <w:p w:rsidR="008C3503" w:rsidRPr="008B06FF" w:rsidRDefault="008C3503" w:rsidP="008C3503">
      <w:pPr>
        <w:pStyle w:val="Sinespaciado"/>
        <w:numPr>
          <w:ilvl w:val="0"/>
          <w:numId w:val="26"/>
        </w:numPr>
        <w:spacing w:before="240" w:after="240" w:line="360" w:lineRule="auto"/>
        <w:jc w:val="both"/>
        <w:rPr>
          <w:rFonts w:ascii="Palatino Linotype" w:hAnsi="Palatino Linotype" w:cs="Arial"/>
          <w:b/>
        </w:rPr>
      </w:pPr>
      <w:r w:rsidRPr="008B06FF">
        <w:rPr>
          <w:rFonts w:ascii="Palatino Linotype" w:hAnsi="Palatino Linotype" w:cs="Arial"/>
          <w:b/>
        </w:rPr>
        <w:lastRenderedPageBreak/>
        <w:t>Acta de nacimiento</w:t>
      </w:r>
    </w:p>
    <w:p w:rsidR="008C3503" w:rsidRPr="008B06FF" w:rsidRDefault="000D7E78" w:rsidP="00072B4B">
      <w:pPr>
        <w:pStyle w:val="Sinespaciado"/>
        <w:numPr>
          <w:ilvl w:val="0"/>
          <w:numId w:val="6"/>
        </w:numPr>
        <w:spacing w:before="240" w:after="240" w:line="360" w:lineRule="auto"/>
        <w:jc w:val="both"/>
        <w:rPr>
          <w:rFonts w:ascii="Palatino Linotype" w:hAnsi="Palatino Linotype" w:cs="Arial"/>
        </w:rPr>
      </w:pPr>
      <w:r w:rsidRPr="008B06FF">
        <w:rPr>
          <w:rFonts w:ascii="Palatino Linotype" w:hAnsi="Palatino Linotype" w:cs="Arial"/>
        </w:rPr>
        <w:t>El acta de nacimiento es un documento público probatorio, que hace constar de manera fehaciente la identidad de la persona, la personalidad jurídica del individuo ante la sociedad; su nacimiento, su nacionalidad y filiación.</w:t>
      </w:r>
    </w:p>
    <w:p w:rsidR="000D7E78" w:rsidRPr="008B06FF" w:rsidRDefault="000D7E78" w:rsidP="000D7E78">
      <w:pPr>
        <w:pStyle w:val="Sinespaciado"/>
        <w:numPr>
          <w:ilvl w:val="0"/>
          <w:numId w:val="6"/>
        </w:numPr>
        <w:spacing w:before="240" w:after="240" w:line="360" w:lineRule="auto"/>
        <w:jc w:val="both"/>
        <w:rPr>
          <w:rFonts w:ascii="Palatino Linotype" w:hAnsi="Palatino Linotype" w:cs="Arial"/>
        </w:rPr>
      </w:pPr>
      <w:r w:rsidRPr="008B06FF">
        <w:rPr>
          <w:rFonts w:ascii="Palatino Linotype" w:hAnsi="Palatino Linotype" w:cs="Arial"/>
        </w:rPr>
        <w:t>Por lo tanto, se actualiza la clasificación del domicilio y su comprobante, de conformidad con la fracción I, del artículo 143 de la Ley de Transparencia y Acceso a la Información Pública del Estado de México y Municipios.</w:t>
      </w:r>
    </w:p>
    <w:p w:rsidR="0082475B" w:rsidRPr="008B06FF" w:rsidRDefault="0082475B" w:rsidP="0082475B">
      <w:pPr>
        <w:pStyle w:val="Sinespaciado"/>
        <w:numPr>
          <w:ilvl w:val="0"/>
          <w:numId w:val="26"/>
        </w:numPr>
        <w:spacing w:before="240" w:after="240" w:line="360" w:lineRule="auto"/>
        <w:jc w:val="both"/>
        <w:rPr>
          <w:rFonts w:ascii="Palatino Linotype" w:hAnsi="Palatino Linotype" w:cs="Arial"/>
          <w:b/>
        </w:rPr>
      </w:pPr>
      <w:r w:rsidRPr="008B06FF">
        <w:rPr>
          <w:rFonts w:ascii="Palatino Linotype" w:hAnsi="Palatino Linotype" w:cs="Arial"/>
          <w:b/>
        </w:rPr>
        <w:t>Estudio socioeconómico</w:t>
      </w:r>
    </w:p>
    <w:p w:rsidR="0041450A" w:rsidRPr="008B06FF" w:rsidRDefault="00640B8F" w:rsidP="00072B4B">
      <w:pPr>
        <w:pStyle w:val="Sinespaciado"/>
        <w:numPr>
          <w:ilvl w:val="0"/>
          <w:numId w:val="6"/>
        </w:numPr>
        <w:spacing w:before="240" w:after="240" w:line="360" w:lineRule="auto"/>
        <w:jc w:val="both"/>
        <w:rPr>
          <w:rFonts w:ascii="Palatino Linotype" w:hAnsi="Palatino Linotype" w:cs="Arial"/>
        </w:rPr>
      </w:pPr>
      <w:r w:rsidRPr="008B06FF">
        <w:rPr>
          <w:rFonts w:ascii="Palatino Linotype" w:hAnsi="Palatino Linotype" w:cs="Arial"/>
        </w:rPr>
        <w:t>En continuidad, es menester referir que el estudio socio económico</w:t>
      </w:r>
      <w:r w:rsidR="0041450A" w:rsidRPr="008B06FF">
        <w:rPr>
          <w:rFonts w:ascii="Palatino Linotype" w:hAnsi="Palatino Linotype" w:cs="Arial"/>
        </w:rPr>
        <w:t>, es un documento que permite conocer el entorno social y económico de una persona en particular, como son la situación social, familiar y económica, dicha investigación que tiene como fin esclarecer la situación de un particular, cabe precisar que los rubros que se despliegan en tales estudios dependerán de la finalidad para lo cual se apliquen, sin embargo dentro de la información primordial que pueden contener encontramos las siguientes:</w:t>
      </w:r>
    </w:p>
    <w:p w:rsidR="0041450A" w:rsidRPr="008B06FF" w:rsidRDefault="0041450A" w:rsidP="00606800">
      <w:pPr>
        <w:pStyle w:val="Sinespaciado"/>
        <w:numPr>
          <w:ilvl w:val="0"/>
          <w:numId w:val="26"/>
        </w:numPr>
        <w:jc w:val="both"/>
        <w:rPr>
          <w:rFonts w:ascii="Palatino Linotype" w:hAnsi="Palatino Linotype" w:cs="Arial"/>
        </w:rPr>
      </w:pPr>
      <w:r w:rsidRPr="008B06FF">
        <w:rPr>
          <w:rFonts w:ascii="Palatino Linotype" w:hAnsi="Palatino Linotype" w:cs="Arial"/>
        </w:rPr>
        <w:t>Ingresos y egresos familiares en relación con el número de dependientes económicos</w:t>
      </w:r>
    </w:p>
    <w:p w:rsidR="0041450A" w:rsidRPr="008B06FF" w:rsidRDefault="0041450A" w:rsidP="00606800">
      <w:pPr>
        <w:pStyle w:val="Sinespaciado"/>
        <w:numPr>
          <w:ilvl w:val="0"/>
          <w:numId w:val="26"/>
        </w:numPr>
        <w:jc w:val="both"/>
        <w:rPr>
          <w:rFonts w:ascii="Palatino Linotype" w:hAnsi="Palatino Linotype" w:cs="Arial"/>
        </w:rPr>
      </w:pPr>
      <w:r w:rsidRPr="008B06FF">
        <w:rPr>
          <w:rFonts w:ascii="Palatino Linotype" w:hAnsi="Palatino Linotype" w:cs="Arial"/>
        </w:rPr>
        <w:t>Ocupación</w:t>
      </w:r>
    </w:p>
    <w:p w:rsidR="0041450A" w:rsidRPr="008B06FF" w:rsidRDefault="0041450A" w:rsidP="00606800">
      <w:pPr>
        <w:pStyle w:val="Sinespaciado"/>
        <w:numPr>
          <w:ilvl w:val="0"/>
          <w:numId w:val="26"/>
        </w:numPr>
        <w:jc w:val="both"/>
        <w:rPr>
          <w:rFonts w:ascii="Palatino Linotype" w:hAnsi="Palatino Linotype" w:cs="Arial"/>
        </w:rPr>
      </w:pPr>
      <w:r w:rsidRPr="008B06FF">
        <w:rPr>
          <w:rFonts w:ascii="Palatino Linotype" w:hAnsi="Palatino Linotype" w:cs="Arial"/>
        </w:rPr>
        <w:t>Vivienda (características)</w:t>
      </w:r>
    </w:p>
    <w:p w:rsidR="0041450A" w:rsidRPr="008B06FF" w:rsidRDefault="0041450A" w:rsidP="00606800">
      <w:pPr>
        <w:pStyle w:val="Sinespaciado"/>
        <w:numPr>
          <w:ilvl w:val="0"/>
          <w:numId w:val="26"/>
        </w:numPr>
        <w:jc w:val="both"/>
        <w:rPr>
          <w:rFonts w:ascii="Palatino Linotype" w:hAnsi="Palatino Linotype" w:cs="Arial"/>
        </w:rPr>
      </w:pPr>
      <w:r w:rsidRPr="008B06FF">
        <w:rPr>
          <w:rFonts w:ascii="Palatino Linotype" w:hAnsi="Palatino Linotype" w:cs="Arial"/>
        </w:rPr>
        <w:t>Alimentación</w:t>
      </w:r>
    </w:p>
    <w:p w:rsidR="0041450A" w:rsidRPr="008B06FF" w:rsidRDefault="0041450A" w:rsidP="00606800">
      <w:pPr>
        <w:pStyle w:val="Sinespaciado"/>
        <w:numPr>
          <w:ilvl w:val="0"/>
          <w:numId w:val="26"/>
        </w:numPr>
        <w:jc w:val="both"/>
        <w:rPr>
          <w:rFonts w:ascii="Palatino Linotype" w:hAnsi="Palatino Linotype" w:cs="Arial"/>
        </w:rPr>
      </w:pPr>
      <w:r w:rsidRPr="008B06FF">
        <w:rPr>
          <w:rFonts w:ascii="Palatino Linotype" w:hAnsi="Palatino Linotype" w:cs="Arial"/>
        </w:rPr>
        <w:t xml:space="preserve">Datos personales como (Sexo, </w:t>
      </w:r>
      <w:r w:rsidR="00F308AF" w:rsidRPr="008B06FF">
        <w:rPr>
          <w:rFonts w:ascii="Palatino Linotype" w:hAnsi="Palatino Linotype" w:cs="Arial"/>
        </w:rPr>
        <w:t>Edad, Estado Civil, Escolaridad</w:t>
      </w:r>
      <w:r w:rsidRPr="008B06FF">
        <w:rPr>
          <w:rFonts w:ascii="Palatino Linotype" w:hAnsi="Palatino Linotype" w:cs="Arial"/>
        </w:rPr>
        <w:t>)</w:t>
      </w:r>
    </w:p>
    <w:p w:rsidR="00606800" w:rsidRPr="008B06FF" w:rsidRDefault="00606800" w:rsidP="00606800">
      <w:pPr>
        <w:pStyle w:val="Sinespaciado"/>
        <w:ind w:left="720"/>
        <w:jc w:val="both"/>
        <w:rPr>
          <w:rFonts w:ascii="Palatino Linotype" w:hAnsi="Palatino Linotype" w:cs="Arial"/>
        </w:rPr>
      </w:pPr>
    </w:p>
    <w:p w:rsidR="0082475B" w:rsidRPr="008B06FF" w:rsidRDefault="00F308AF" w:rsidP="00072B4B">
      <w:pPr>
        <w:pStyle w:val="Sinespaciado"/>
        <w:numPr>
          <w:ilvl w:val="0"/>
          <w:numId w:val="6"/>
        </w:numPr>
        <w:spacing w:before="240" w:after="240" w:line="360" w:lineRule="auto"/>
        <w:jc w:val="both"/>
        <w:rPr>
          <w:rFonts w:ascii="Palatino Linotype" w:hAnsi="Palatino Linotype" w:cs="Arial"/>
        </w:rPr>
      </w:pPr>
      <w:r w:rsidRPr="008B06FF">
        <w:rPr>
          <w:rFonts w:ascii="Palatino Linotype" w:hAnsi="Palatino Linotype" w:cs="Arial"/>
        </w:rPr>
        <w:lastRenderedPageBreak/>
        <w:t>Así mismo, se señala que esta investigación se auxilia de un formato como guía de entrevista y la presentación de la misma, mismo que se realiza por medio de la entrevista directa con el usuario que solicita el beneficio o servicio.</w:t>
      </w:r>
    </w:p>
    <w:p w:rsidR="00221C2D" w:rsidRPr="008B06FF" w:rsidRDefault="00221C2D" w:rsidP="00221C2D">
      <w:pPr>
        <w:pStyle w:val="Sinespaciado"/>
        <w:numPr>
          <w:ilvl w:val="0"/>
          <w:numId w:val="43"/>
        </w:numPr>
        <w:spacing w:before="240" w:after="240" w:line="360" w:lineRule="auto"/>
        <w:jc w:val="both"/>
        <w:rPr>
          <w:rFonts w:ascii="Palatino Linotype" w:hAnsi="Palatino Linotype" w:cs="Arial"/>
          <w:b/>
        </w:rPr>
      </w:pPr>
      <w:r w:rsidRPr="008B06FF">
        <w:rPr>
          <w:rFonts w:ascii="Palatino Linotype" w:hAnsi="Palatino Linotype" w:cs="Arial"/>
          <w:b/>
        </w:rPr>
        <w:t>Solicitud de ingreso</w:t>
      </w:r>
    </w:p>
    <w:p w:rsidR="00221C2D" w:rsidRPr="008B06FF" w:rsidRDefault="00221C2D" w:rsidP="008013EC">
      <w:pPr>
        <w:pStyle w:val="Sinespaciado"/>
        <w:numPr>
          <w:ilvl w:val="0"/>
          <w:numId w:val="6"/>
        </w:numPr>
        <w:spacing w:before="240" w:after="240" w:line="360" w:lineRule="auto"/>
        <w:jc w:val="both"/>
        <w:rPr>
          <w:rFonts w:ascii="Palatino Linotype" w:hAnsi="Palatino Linotype" w:cs="Arial"/>
        </w:rPr>
      </w:pPr>
      <w:r w:rsidRPr="008B06FF">
        <w:rPr>
          <w:rFonts w:ascii="Palatino Linotype" w:hAnsi="Palatino Linotype" w:cs="Arial"/>
        </w:rPr>
        <w:t xml:space="preserve">Al ser un instrumento mediante el cual una persona en situación de vulnerabilidad, solicita </w:t>
      </w:r>
      <w:r w:rsidR="008B06FF" w:rsidRPr="008B06FF">
        <w:rPr>
          <w:rFonts w:ascii="Palatino Linotype" w:hAnsi="Palatino Linotype" w:cs="Arial"/>
        </w:rPr>
        <w:t>un</w:t>
      </w:r>
      <w:r w:rsidRPr="008B06FF">
        <w:rPr>
          <w:rFonts w:ascii="Palatino Linotype" w:hAnsi="Palatino Linotype" w:cs="Arial"/>
        </w:rPr>
        <w:t xml:space="preserve"> apoyo a una dependencia pública, ya sea a nivel municipal, estatal o federal, a</w:t>
      </w:r>
      <w:r w:rsidR="00920EE1" w:rsidRPr="008B06FF">
        <w:rPr>
          <w:rFonts w:ascii="Palatino Linotype" w:hAnsi="Palatino Linotype" w:cs="Arial"/>
        </w:rPr>
        <w:t xml:space="preserve"> </w:t>
      </w:r>
      <w:r w:rsidRPr="008B06FF">
        <w:rPr>
          <w:rFonts w:ascii="Palatino Linotype" w:hAnsi="Palatino Linotype" w:cs="Arial"/>
        </w:rPr>
        <w:t xml:space="preserve">fin de acceder a beneficios que mejoren </w:t>
      </w:r>
      <w:r w:rsidR="008B06FF" w:rsidRPr="008B06FF">
        <w:rPr>
          <w:rFonts w:ascii="Palatino Linotype" w:hAnsi="Palatino Linotype" w:cs="Arial"/>
        </w:rPr>
        <w:t>su calidad</w:t>
      </w:r>
      <w:r w:rsidRPr="008B06FF">
        <w:rPr>
          <w:rFonts w:ascii="Palatino Linotype" w:hAnsi="Palatino Linotype" w:cs="Arial"/>
        </w:rPr>
        <w:t xml:space="preserve"> de vida, </w:t>
      </w:r>
      <w:r w:rsidR="00920EE1" w:rsidRPr="008B06FF">
        <w:rPr>
          <w:rFonts w:ascii="Palatino Linotype" w:hAnsi="Palatino Linotype" w:cs="Arial"/>
        </w:rPr>
        <w:t>documento</w:t>
      </w:r>
      <w:r w:rsidRPr="008B06FF">
        <w:rPr>
          <w:rFonts w:ascii="Palatino Linotype" w:hAnsi="Palatino Linotype" w:cs="Arial"/>
        </w:rPr>
        <w:t xml:space="preserve"> que </w:t>
      </w:r>
      <w:r w:rsidR="00920EE1" w:rsidRPr="008B06FF">
        <w:rPr>
          <w:rFonts w:ascii="Palatino Linotype" w:hAnsi="Palatino Linotype" w:cs="Arial"/>
        </w:rPr>
        <w:t>generalmente</w:t>
      </w:r>
      <w:r w:rsidRPr="008B06FF">
        <w:rPr>
          <w:rFonts w:ascii="Palatino Linotype" w:hAnsi="Palatino Linotype" w:cs="Arial"/>
        </w:rPr>
        <w:t xml:space="preserve"> </w:t>
      </w:r>
      <w:r w:rsidR="00920EE1" w:rsidRPr="008B06FF">
        <w:rPr>
          <w:rFonts w:ascii="Palatino Linotype" w:hAnsi="Palatino Linotype" w:cs="Arial"/>
        </w:rPr>
        <w:t>consiste en un formulario o cuestionario.</w:t>
      </w:r>
    </w:p>
    <w:p w:rsidR="00920EE1" w:rsidRPr="008B06FF" w:rsidRDefault="00920EE1" w:rsidP="00920EE1">
      <w:pPr>
        <w:pStyle w:val="Sinespaciado"/>
        <w:numPr>
          <w:ilvl w:val="0"/>
          <w:numId w:val="6"/>
        </w:numPr>
        <w:spacing w:before="240" w:after="240" w:line="360" w:lineRule="auto"/>
        <w:jc w:val="both"/>
        <w:rPr>
          <w:rFonts w:ascii="Palatino Linotype" w:hAnsi="Palatino Linotype" w:cs="Arial"/>
        </w:rPr>
      </w:pPr>
      <w:r w:rsidRPr="008B06FF">
        <w:rPr>
          <w:rFonts w:ascii="Palatino Linotype" w:hAnsi="Palatino Linotype" w:cs="Arial"/>
        </w:rPr>
        <w:t>Con lo anterior se advierte que si bien es cierto el estudio socioeconómico y la solicitud de ingreso al Programa, poseen información que por su naturaleza es susceptible de clasificarse como confidencial, también lo es que en materia de transparencia se determina que es pública aquella información relativa a los beneficiarios de programas de apoyo, subsidios, estímulos o apoyos, por tanto es dable ordenar su entrega en versión pública</w:t>
      </w:r>
      <w:r w:rsidR="00DE0547" w:rsidRPr="008B06FF">
        <w:rPr>
          <w:rFonts w:ascii="Palatino Linotype" w:hAnsi="Palatino Linotype" w:cs="Arial"/>
        </w:rPr>
        <w:t xml:space="preserve"> considerando entregar los estudios socioeconómicos y</w:t>
      </w:r>
      <w:r w:rsidR="00CD7AFB" w:rsidRPr="008B06FF">
        <w:rPr>
          <w:rFonts w:ascii="Palatino Linotype" w:hAnsi="Palatino Linotype" w:cs="Arial"/>
        </w:rPr>
        <w:t xml:space="preserve"> las solicitudes de ingreso al Programa de manera separada, ello a fin de que no se permita vincular al beneficiario del Programa</w:t>
      </w:r>
      <w:r w:rsidR="00DE0547" w:rsidRPr="008B06FF">
        <w:rPr>
          <w:rFonts w:ascii="Palatino Linotype" w:hAnsi="Palatino Linotype" w:cs="Arial"/>
        </w:rPr>
        <w:t xml:space="preserve"> </w:t>
      </w:r>
      <w:r w:rsidRPr="008B06FF">
        <w:rPr>
          <w:rFonts w:ascii="Palatino Linotype" w:hAnsi="Palatino Linotype" w:cs="Arial"/>
        </w:rPr>
        <w:t xml:space="preserve">. </w:t>
      </w:r>
    </w:p>
    <w:p w:rsidR="00072B4B" w:rsidRPr="008B06FF" w:rsidRDefault="00072B4B" w:rsidP="00072B4B">
      <w:pPr>
        <w:pStyle w:val="Sinespaciado"/>
        <w:numPr>
          <w:ilvl w:val="0"/>
          <w:numId w:val="6"/>
        </w:numPr>
        <w:spacing w:before="240" w:after="240" w:line="360" w:lineRule="auto"/>
        <w:jc w:val="both"/>
        <w:rPr>
          <w:rFonts w:ascii="Palatino Linotype" w:hAnsi="Palatino Linotype" w:cs="Arial"/>
        </w:rPr>
      </w:pPr>
      <w:r w:rsidRPr="008B06FF">
        <w:rPr>
          <w:rFonts w:ascii="Palatino Linotype" w:hAnsi="Palatino Linotype" w:cs="Arial"/>
        </w:rPr>
        <w:t xml:space="preserve">En continuidad, es de precisar que el derecho de acceso a la información pública tiene como limitante el respeto a la intimidad y a la vida privada de las personas, es por ello que este Instituto debe cuidar que los datos personales que obren en poder de los Sujetos Obligados </w:t>
      </w:r>
      <w:r w:rsidRPr="008B06FF">
        <w:rPr>
          <w:rFonts w:ascii="Palatino Linotype" w:eastAsia="Calibri" w:hAnsi="Palatino Linotype" w:cs="Arial"/>
          <w:lang w:val="es-ES"/>
        </w:rPr>
        <w:t xml:space="preserve">estén </w:t>
      </w:r>
      <w:r w:rsidRPr="008B06FF">
        <w:rPr>
          <w:rFonts w:ascii="Palatino Linotype" w:hAnsi="Palatino Linotype" w:cs="Arial"/>
        </w:rPr>
        <w:t xml:space="preserve">protegidos, quienes deberán adoptar las medidas de seguridad administrativa, física y técnica necesarias para garantizar la integridad, confidencialidad y </w:t>
      </w:r>
      <w:r w:rsidRPr="008B06FF">
        <w:rPr>
          <w:rFonts w:ascii="Palatino Linotype" w:hAnsi="Palatino Linotype" w:cs="Arial"/>
        </w:rPr>
        <w:lastRenderedPageBreak/>
        <w:t>disponibilidad de los datos personales, considerando además, que conforme al principio de finalidad todo tratamiento de datos personales que efectúen los sujetos obligados deberá estar justificado en la Ley, lo anterior en términos de lo dispuesto por el artículo 14 con relación con el 58 de la Ley de Protección de Datos P</w:t>
      </w:r>
      <w:r w:rsidR="00972756" w:rsidRPr="008B06FF">
        <w:rPr>
          <w:rFonts w:ascii="Palatino Linotype" w:hAnsi="Palatino Linotype" w:cs="Arial"/>
        </w:rPr>
        <w:t>ersonales del Estado de México.</w:t>
      </w:r>
    </w:p>
    <w:p w:rsidR="00072B4B" w:rsidRPr="008B06FF" w:rsidRDefault="00072B4B" w:rsidP="00072B4B">
      <w:pPr>
        <w:pStyle w:val="Sinespaciado"/>
        <w:numPr>
          <w:ilvl w:val="0"/>
          <w:numId w:val="6"/>
        </w:numPr>
        <w:spacing w:before="240" w:after="240" w:line="360" w:lineRule="auto"/>
        <w:jc w:val="both"/>
        <w:rPr>
          <w:rFonts w:ascii="Palatino Linotype" w:hAnsi="Palatino Linotype" w:cs="Arial"/>
        </w:rPr>
      </w:pPr>
      <w:r w:rsidRPr="008B06FF">
        <w:rPr>
          <w:rFonts w:ascii="Palatino Linotype" w:hAnsi="Palatino Linotype" w:cs="Arial"/>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072B4B" w:rsidRPr="008B06FF" w:rsidRDefault="00072B4B" w:rsidP="00072B4B">
      <w:pPr>
        <w:pStyle w:val="Sinespaciado"/>
        <w:numPr>
          <w:ilvl w:val="0"/>
          <w:numId w:val="6"/>
        </w:numPr>
        <w:spacing w:before="240" w:after="240" w:line="360" w:lineRule="auto"/>
        <w:jc w:val="both"/>
        <w:rPr>
          <w:rFonts w:ascii="Palatino Linotype" w:hAnsi="Palatino Linotype" w:cs="Arial"/>
        </w:rPr>
      </w:pPr>
      <w:r w:rsidRPr="008B06FF">
        <w:rPr>
          <w:rFonts w:ascii="Palatino Linotype" w:hAnsi="Palatino Linotype" w:cs="Arial"/>
        </w:rPr>
        <w:t xml:space="preserve">Así, los LINEAMIENTOS GENERALES EN MATERIA DE CLASIFICACIÓN Y DESCLASIFICACIÓN DE LA INFORMACIÓN, ASÍ COMO PARA LA ELABORACIÓN DE VERSIONES PÚBLICAS, emitidos por el Consejo Nacional de Transparencia, señalan la forma para la realización de las versiones públicas. </w:t>
      </w:r>
    </w:p>
    <w:p w:rsidR="00072B4B" w:rsidRPr="008B06FF" w:rsidRDefault="00072B4B" w:rsidP="00072B4B">
      <w:pPr>
        <w:pStyle w:val="Sinespaciado"/>
        <w:numPr>
          <w:ilvl w:val="0"/>
          <w:numId w:val="6"/>
        </w:numPr>
        <w:spacing w:before="240" w:after="240" w:line="360" w:lineRule="auto"/>
        <w:jc w:val="both"/>
        <w:rPr>
          <w:rFonts w:ascii="Palatino Linotype" w:hAnsi="Palatino Linotype" w:cs="Arial"/>
        </w:rPr>
      </w:pPr>
      <w:r w:rsidRPr="008B06FF">
        <w:rPr>
          <w:rFonts w:ascii="Palatino Linotype" w:hAnsi="Palatino Linotype" w:cs="Arial"/>
        </w:rPr>
        <w:t xml:space="preserve">En el caso específico, </w:t>
      </w:r>
      <w:r w:rsidRPr="008B06FF">
        <w:rPr>
          <w:rFonts w:ascii="Palatino Linotype" w:eastAsia="Arial Unicode MS" w:hAnsi="Palatino Linotype" w:cs="Arial"/>
        </w:rPr>
        <w:t xml:space="preserve">es insoslayable, resaltar que </w:t>
      </w:r>
      <w:r w:rsidR="00451454" w:rsidRPr="008B06FF">
        <w:rPr>
          <w:rFonts w:ascii="Palatino Linotype" w:eastAsia="Arial Unicode MS" w:hAnsi="Palatino Linotype" w:cs="Arial"/>
        </w:rPr>
        <w:t>el particular requirió los expedientes, por ende no pasa desapercibido que dentro de estos</w:t>
      </w:r>
      <w:r w:rsidRPr="008B06FF">
        <w:rPr>
          <w:rFonts w:ascii="Palatino Linotype" w:eastAsia="Arial Unicode MS" w:hAnsi="Palatino Linotype" w:cs="Arial"/>
        </w:rPr>
        <w:t xml:space="preserve"> </w:t>
      </w:r>
      <w:r w:rsidR="00451454" w:rsidRPr="008B06FF">
        <w:rPr>
          <w:rFonts w:ascii="Palatino Linotype" w:eastAsia="Arial Unicode MS" w:hAnsi="Palatino Linotype" w:cs="Arial"/>
        </w:rPr>
        <w:t xml:space="preserve">se encuentran </w:t>
      </w:r>
      <w:r w:rsidRPr="008B06FF">
        <w:rPr>
          <w:rFonts w:ascii="Palatino Linotype" w:eastAsia="Arial Unicode MS" w:hAnsi="Palatino Linotype" w:cs="Arial"/>
        </w:rPr>
        <w:t xml:space="preserve">datos de identificación que afecten la privacidad de las personas, ello es así ya que la excepción de publicidad, es aquella información que tenga el carácter de confidencial (datos personales), por lo que debe privilegiarse el acceso a la información bajo el principio de máxima divulgación, empero sin violar el derecho a la intimidad por medio de la protección de datos personales, </w:t>
      </w:r>
      <w:r w:rsidR="00451454" w:rsidRPr="008B06FF">
        <w:rPr>
          <w:rFonts w:ascii="Palatino Linotype" w:hAnsi="Palatino Linotype"/>
        </w:rPr>
        <w:t>por tanto los expedientes</w:t>
      </w:r>
      <w:r w:rsidRPr="008B06FF">
        <w:rPr>
          <w:rFonts w:ascii="Palatino Linotype" w:hAnsi="Palatino Linotype"/>
        </w:rPr>
        <w:t xml:space="preserve"> debe</w:t>
      </w:r>
      <w:r w:rsidR="00451454" w:rsidRPr="008B06FF">
        <w:rPr>
          <w:rFonts w:ascii="Palatino Linotype" w:hAnsi="Palatino Linotype"/>
        </w:rPr>
        <w:t>n</w:t>
      </w:r>
      <w:r w:rsidRPr="008B06FF">
        <w:rPr>
          <w:rFonts w:ascii="Palatino Linotype" w:hAnsi="Palatino Linotype"/>
        </w:rPr>
        <w:t xml:space="preserve"> considerarse como confidencial, toda vez que como se prevé en el artículo 143, de la Ley de Transparencia y Acceso a la Información Pública del Estado de México y Municipios se refiere a información privada y a los datos concernientes a una persona física que lo identifica y lo hace identificable, en este sentido se </w:t>
      </w:r>
      <w:r w:rsidRPr="008B06FF">
        <w:rPr>
          <w:rFonts w:ascii="Palatino Linotype" w:hAnsi="Palatino Linotype"/>
        </w:rPr>
        <w:lastRenderedPageBreak/>
        <w:t xml:space="preserve">concluye que respecto a la información precisada con anterioridad </w:t>
      </w:r>
      <w:r w:rsidR="00DA43D0" w:rsidRPr="008B06FF">
        <w:rPr>
          <w:rFonts w:ascii="Palatino Linotype" w:hAnsi="Palatino Linotype"/>
        </w:rPr>
        <w:t>en respuesta</w:t>
      </w:r>
      <w:r w:rsidRPr="008B06FF">
        <w:rPr>
          <w:rFonts w:ascii="Palatino Linotype" w:hAnsi="Palatino Linotype"/>
        </w:rPr>
        <w:t xml:space="preserve"> debió precisarse que la misma debe ser </w:t>
      </w:r>
      <w:r w:rsidR="00DA43D0" w:rsidRPr="008B06FF">
        <w:rPr>
          <w:rFonts w:ascii="Palatino Linotype" w:hAnsi="Palatino Linotype"/>
        </w:rPr>
        <w:t>Clasificada</w:t>
      </w:r>
      <w:r w:rsidRPr="008B06FF">
        <w:rPr>
          <w:rFonts w:ascii="Palatino Linotype" w:hAnsi="Palatino Linotype"/>
        </w:rPr>
        <w:t>.</w:t>
      </w:r>
    </w:p>
    <w:p w:rsidR="00072B4B" w:rsidRPr="008B06FF" w:rsidRDefault="00072B4B" w:rsidP="00072B4B">
      <w:pPr>
        <w:pStyle w:val="Prrafodelista"/>
        <w:tabs>
          <w:tab w:val="left" w:pos="7938"/>
        </w:tabs>
        <w:spacing w:before="240" w:after="240" w:line="360" w:lineRule="auto"/>
        <w:ind w:left="0"/>
        <w:jc w:val="both"/>
        <w:rPr>
          <w:rFonts w:ascii="Palatino Linotype" w:eastAsia="Arial Unicode MS" w:hAnsi="Palatino Linotype" w:cs="Arial"/>
        </w:rPr>
      </w:pPr>
    </w:p>
    <w:p w:rsidR="00072B4B" w:rsidRPr="008B06FF" w:rsidRDefault="00072B4B" w:rsidP="00072B4B">
      <w:pPr>
        <w:pStyle w:val="Prrafodelista"/>
        <w:numPr>
          <w:ilvl w:val="0"/>
          <w:numId w:val="6"/>
        </w:numPr>
        <w:spacing w:line="360" w:lineRule="auto"/>
        <w:jc w:val="both"/>
        <w:rPr>
          <w:rFonts w:ascii="Palatino Linotype" w:hAnsi="Palatino Linotype"/>
          <w:b/>
          <w:bCs/>
        </w:rPr>
      </w:pPr>
      <w:r w:rsidRPr="008B06FF">
        <w:rPr>
          <w:rFonts w:ascii="Palatino Linotype" w:hAnsi="Palatino Linotype"/>
        </w:rPr>
        <w:t xml:space="preserve">Se afirma lo anterior, toda vez que no debe pasar desapercibido que en el artículo 1 de la  </w:t>
      </w:r>
      <w:r w:rsidRPr="008B06FF">
        <w:rPr>
          <w:rFonts w:ascii="Palatino Linotype" w:hAnsi="Palatino Linotype"/>
          <w:bCs/>
        </w:rPr>
        <w:t>Ley General de Protección de Datos Personales en Posesión de Sujetos Obligados</w:t>
      </w:r>
      <w:r w:rsidRPr="008B06FF">
        <w:rPr>
          <w:rFonts w:ascii="Palatino Linotype" w:hAnsi="Palatino Linotype"/>
          <w:b/>
          <w:bCs/>
        </w:rPr>
        <w:t xml:space="preserve"> </w:t>
      </w:r>
      <w:r w:rsidRPr="008B06FF">
        <w:rPr>
          <w:rFonts w:ascii="Palatino Linotype" w:hAnsi="Palatino Linotype"/>
          <w:bCs/>
        </w:rPr>
        <w:t>se establece que</w:t>
      </w:r>
      <w:r w:rsidRPr="008B06FF">
        <w:rPr>
          <w:rFonts w:ascii="Palatino Linotype" w:hAnsi="Palatino Linotype"/>
          <w:b/>
          <w:bCs/>
        </w:rPr>
        <w:t xml:space="preserve"> </w:t>
      </w:r>
      <w:r w:rsidRPr="008B06FF">
        <w:rPr>
          <w:rFonts w:ascii="Palatino Linotype" w:hAnsi="Palatino Linotype"/>
          <w:bCs/>
        </w:rPr>
        <w:t>las disposiciones de esa Ley General, son de aplicación y observancia directa para los sujetos obligados pertenecientes al orden federal, que tiene por objeto establecer las bases, principios y procedimientos para garantizar el derecho que tiene toda persona a la protección de sus datos personales, en posesión de sujetos obligados, de lo anterior</w:t>
      </w:r>
      <w:r w:rsidRPr="008B06FF">
        <w:rPr>
          <w:rFonts w:ascii="Palatino Linotype" w:hAnsi="Palatino Linotype"/>
          <w:b/>
          <w:bCs/>
        </w:rPr>
        <w:t xml:space="preserve"> </w:t>
      </w:r>
      <w:r w:rsidRPr="008B06FF">
        <w:rPr>
          <w:rFonts w:ascii="Palatino Linotype" w:hAnsi="Palatino Linotype"/>
        </w:rPr>
        <w:t xml:space="preserve">resulta claro que todas las autoridades están obligadas a respetar los principios que rigen todo tratamiento de datos personales con estricto apego a lo que establezca la ley y que únicamente en las situaciones excepcionales que la misma fije podrán actuar en sentido diverso pero, en ambos casos, respetándola de manera irrestricta, motivo por el cual es importante incluir una referencia </w:t>
      </w:r>
      <w:r w:rsidRPr="008B06FF">
        <w:rPr>
          <w:rFonts w:ascii="Palatino Linotype" w:hAnsi="Palatino Linotype"/>
          <w:b/>
        </w:rPr>
        <w:t>al principio del interés superior del menor</w:t>
      </w:r>
      <w:r w:rsidRPr="008B06FF">
        <w:rPr>
          <w:rFonts w:ascii="Palatino Linotype" w:hAnsi="Palatino Linotype"/>
        </w:rPr>
        <w:t xml:space="preserve">, constituido como el eje rector que orienta las determinaciones de los sujetos obligados para cualquier tratamiento de datos que tenga que ver con menores de edad. </w:t>
      </w:r>
    </w:p>
    <w:p w:rsidR="00072B4B" w:rsidRPr="008B06FF" w:rsidRDefault="00072B4B" w:rsidP="00072B4B">
      <w:pPr>
        <w:pStyle w:val="Prrafodelista"/>
        <w:spacing w:line="360" w:lineRule="auto"/>
        <w:ind w:left="0"/>
        <w:jc w:val="both"/>
        <w:rPr>
          <w:rFonts w:ascii="Palatino Linotype" w:hAnsi="Palatino Linotype"/>
          <w:b/>
          <w:bCs/>
        </w:rPr>
      </w:pPr>
    </w:p>
    <w:p w:rsidR="00072B4B" w:rsidRPr="008B06FF" w:rsidRDefault="00072B4B" w:rsidP="00072B4B">
      <w:pPr>
        <w:pStyle w:val="Prrafodelista"/>
        <w:numPr>
          <w:ilvl w:val="0"/>
          <w:numId w:val="6"/>
        </w:numPr>
        <w:spacing w:line="360" w:lineRule="auto"/>
        <w:jc w:val="both"/>
        <w:rPr>
          <w:rFonts w:ascii="Palatino Linotype" w:hAnsi="Palatino Linotype"/>
        </w:rPr>
      </w:pPr>
      <w:r w:rsidRPr="008B06FF">
        <w:rPr>
          <w:rFonts w:ascii="Palatino Linotype" w:hAnsi="Palatino Linotype"/>
        </w:rPr>
        <w:t xml:space="preserve">La normativa internacional y nacional reconoce que los menores, por su falta de madurez física y mental, necesitan de protección y cuidados especiales, motivo por el cual en el tratamiento de datos personales de menores, el principio jurídico fundamental es el interés superior del niño, sobre el tema el Poder Judicial de la Federación se ha referido en diversas tesis al principio del “interés superior del menor”, el cual consiste en el conjunto de valores, interpretaciones y proceso destinados a garantizar el pleno desarrollo humano </w:t>
      </w:r>
      <w:r w:rsidRPr="008B06FF">
        <w:rPr>
          <w:rFonts w:ascii="Palatino Linotype" w:hAnsi="Palatino Linotype"/>
        </w:rPr>
        <w:lastRenderedPageBreak/>
        <w:t xml:space="preserve">integral, así como el máximo bienestar personal, familiar y social de los niños, niñas y adolescentes. Para mejor referencia se cita el artículo 3 de la Convención sobre los Derechos del Niño: </w:t>
      </w:r>
    </w:p>
    <w:p w:rsidR="00072B4B" w:rsidRPr="008B06FF" w:rsidRDefault="00072B4B" w:rsidP="00072B4B">
      <w:pPr>
        <w:pStyle w:val="Prrafodelista"/>
        <w:tabs>
          <w:tab w:val="left" w:pos="7910"/>
        </w:tabs>
        <w:ind w:left="851" w:right="1134"/>
        <w:jc w:val="both"/>
        <w:rPr>
          <w:rFonts w:ascii="Palatino Linotype" w:hAnsi="Palatino Linotype"/>
          <w:b/>
          <w:i/>
        </w:rPr>
      </w:pPr>
      <w:r w:rsidRPr="008B06FF">
        <w:rPr>
          <w:rFonts w:ascii="Palatino Linotype" w:hAnsi="Palatino Linotype"/>
        </w:rPr>
        <w:t xml:space="preserve"> </w:t>
      </w:r>
      <w:r w:rsidRPr="008B06FF">
        <w:rPr>
          <w:rFonts w:ascii="Palatino Linotype" w:hAnsi="Palatino Linotype"/>
          <w:i/>
        </w:rPr>
        <w:t>“</w:t>
      </w:r>
      <w:r w:rsidRPr="008B06FF">
        <w:rPr>
          <w:rFonts w:ascii="Palatino Linotype" w:hAnsi="Palatino Linotype"/>
          <w:b/>
          <w:i/>
        </w:rPr>
        <w:t xml:space="preserve">Artículo 3 </w:t>
      </w:r>
    </w:p>
    <w:p w:rsidR="00072B4B" w:rsidRPr="008B06FF" w:rsidRDefault="00072B4B" w:rsidP="00072B4B">
      <w:pPr>
        <w:pStyle w:val="Prrafodelista"/>
        <w:tabs>
          <w:tab w:val="left" w:pos="7910"/>
        </w:tabs>
        <w:ind w:left="851" w:right="1134"/>
        <w:jc w:val="both"/>
        <w:rPr>
          <w:rFonts w:ascii="Palatino Linotype" w:hAnsi="Palatino Linotype"/>
          <w:i/>
        </w:rPr>
      </w:pPr>
      <w:r w:rsidRPr="008B06FF">
        <w:rPr>
          <w:rFonts w:ascii="Palatino Linotype" w:hAnsi="Palatino Linotype"/>
          <w:b/>
          <w:i/>
        </w:rPr>
        <w:t>1.</w:t>
      </w:r>
      <w:r w:rsidRPr="008B06FF">
        <w:rPr>
          <w:rFonts w:ascii="Palatino Linotype" w:hAnsi="Palatino Linotype"/>
          <w:i/>
        </w:rPr>
        <w:t xml:space="preserve"> En todas las medidas concernientes a los niños que tomen las instituciones públicas o privadas de bienestar social, los tribunales, las autoridades administrativas o los órganos legislativos, una consideración primordial a que se atenderá será el interés superior del niño. </w:t>
      </w:r>
    </w:p>
    <w:p w:rsidR="00072B4B" w:rsidRPr="008B06FF" w:rsidRDefault="00072B4B" w:rsidP="00072B4B">
      <w:pPr>
        <w:pStyle w:val="Prrafodelista"/>
        <w:tabs>
          <w:tab w:val="left" w:pos="7910"/>
        </w:tabs>
        <w:ind w:left="851" w:right="1134"/>
        <w:jc w:val="both"/>
        <w:rPr>
          <w:rFonts w:ascii="Palatino Linotype" w:hAnsi="Palatino Linotype"/>
          <w:i/>
        </w:rPr>
      </w:pPr>
      <w:r w:rsidRPr="008B06FF">
        <w:rPr>
          <w:rFonts w:ascii="Palatino Linotype" w:hAnsi="Palatino Linotype"/>
          <w:b/>
          <w:i/>
        </w:rPr>
        <w:t>2.</w:t>
      </w:r>
      <w:r w:rsidRPr="008B06FF">
        <w:rPr>
          <w:rFonts w:ascii="Palatino Linotype" w:hAnsi="Palatino Linotype"/>
          <w:i/>
        </w:rPr>
        <w:t xml:space="preserve"> Los Estados Partes se comprometen a asegurar al niño la protección y el cuidado que sean necesarios para su bienestar, teniendo en cuenta los derechos y deberes de sus padres, tutores u otras personas responsables de él ante la ley y, con ese fin, tomarán todas las medidas legislativas y administrativas adecuadas.” </w:t>
      </w:r>
    </w:p>
    <w:p w:rsidR="00072B4B" w:rsidRPr="008B06FF" w:rsidRDefault="00072B4B" w:rsidP="00072B4B">
      <w:pPr>
        <w:pStyle w:val="Prrafodelista"/>
        <w:ind w:left="644" w:right="1134"/>
        <w:jc w:val="both"/>
        <w:rPr>
          <w:rFonts w:ascii="Palatino Linotype" w:hAnsi="Palatino Linotype"/>
          <w:i/>
        </w:rPr>
      </w:pPr>
    </w:p>
    <w:p w:rsidR="00072B4B" w:rsidRPr="008B06FF" w:rsidRDefault="00072B4B" w:rsidP="00072B4B">
      <w:pPr>
        <w:pStyle w:val="Prrafodelista"/>
        <w:ind w:left="644" w:right="1134"/>
        <w:jc w:val="both"/>
        <w:rPr>
          <w:rFonts w:ascii="Palatino Linotype" w:hAnsi="Palatino Linotype"/>
        </w:rPr>
      </w:pPr>
    </w:p>
    <w:p w:rsidR="00072B4B" w:rsidRPr="008B06FF" w:rsidRDefault="00072B4B" w:rsidP="00072B4B">
      <w:pPr>
        <w:pStyle w:val="Prrafodelista"/>
        <w:numPr>
          <w:ilvl w:val="0"/>
          <w:numId w:val="6"/>
        </w:numPr>
        <w:spacing w:line="360" w:lineRule="auto"/>
        <w:jc w:val="both"/>
        <w:rPr>
          <w:rFonts w:ascii="Palatino Linotype" w:hAnsi="Palatino Linotype"/>
        </w:rPr>
      </w:pPr>
      <w:r w:rsidRPr="008B06FF">
        <w:rPr>
          <w:rFonts w:ascii="Palatino Linotype" w:hAnsi="Palatino Linotype"/>
        </w:rPr>
        <w:t xml:space="preserve">Así las cosas, el “principio de interés superior del niño” constituye el eje cuya protección deben promover y garantizar los Estados en el ejercicio de sus funciones, por tratarse de un asunto de orden público e interés social. </w:t>
      </w:r>
    </w:p>
    <w:p w:rsidR="00072B4B" w:rsidRPr="008B06FF" w:rsidRDefault="00072B4B" w:rsidP="00072B4B">
      <w:pPr>
        <w:pStyle w:val="Prrafodelista"/>
        <w:spacing w:line="360" w:lineRule="auto"/>
        <w:ind w:left="0"/>
        <w:jc w:val="both"/>
        <w:rPr>
          <w:rFonts w:ascii="Palatino Linotype" w:hAnsi="Palatino Linotype"/>
        </w:rPr>
      </w:pPr>
    </w:p>
    <w:p w:rsidR="00072B4B" w:rsidRPr="008B06FF" w:rsidRDefault="00072B4B" w:rsidP="00072B4B">
      <w:pPr>
        <w:pStyle w:val="Prrafodelista"/>
        <w:numPr>
          <w:ilvl w:val="0"/>
          <w:numId w:val="6"/>
        </w:numPr>
        <w:spacing w:line="360" w:lineRule="auto"/>
        <w:jc w:val="both"/>
        <w:rPr>
          <w:rFonts w:ascii="Palatino Linotype" w:hAnsi="Palatino Linotype" w:cs="Arial"/>
          <w:i/>
        </w:rPr>
      </w:pPr>
      <w:r w:rsidRPr="008B06FF">
        <w:rPr>
          <w:rFonts w:ascii="Palatino Linotype" w:hAnsi="Palatino Linotype"/>
        </w:rPr>
        <w:t xml:space="preserve">En el ámbito nacional, la Ley para la Protección de los Derechos de Niñas, Niños y Adolescentes, que tiene su fundamento en el artículo 4º, párrafo sexto de la Constitución Política de los Estados Unidos Mexicanos, establece en relación con el interés superior del menor: </w:t>
      </w:r>
    </w:p>
    <w:p w:rsidR="00072B4B" w:rsidRPr="008B06FF" w:rsidRDefault="00072B4B" w:rsidP="00072B4B">
      <w:pPr>
        <w:pStyle w:val="Prrafodelista"/>
        <w:ind w:left="851" w:right="822"/>
        <w:jc w:val="both"/>
        <w:rPr>
          <w:rFonts w:ascii="Palatino Linotype" w:hAnsi="Palatino Linotype"/>
          <w:i/>
        </w:rPr>
      </w:pPr>
      <w:r w:rsidRPr="008B06FF">
        <w:rPr>
          <w:rFonts w:ascii="Palatino Linotype" w:hAnsi="Palatino Linotype"/>
          <w:i/>
        </w:rPr>
        <w:t>“</w:t>
      </w:r>
      <w:r w:rsidRPr="008B06FF">
        <w:rPr>
          <w:rFonts w:ascii="Palatino Linotype" w:hAnsi="Palatino Linotype"/>
          <w:b/>
          <w:i/>
        </w:rPr>
        <w:t>Artículo 3.</w:t>
      </w:r>
      <w:r w:rsidRPr="008B06FF">
        <w:rPr>
          <w:rFonts w:ascii="Palatino Linotype" w:hAnsi="Palatino Linotype"/>
          <w:i/>
        </w:rPr>
        <w:t xml:space="preserve"> La protección de los derechos de niñas, niños y adolescentes, tiene como objetivo asegurarles un desarrollo pleno e integral, lo que implica la oportunidad de formarse física, mental, emocional, social y moralmente en condiciones de igualdad. </w:t>
      </w:r>
    </w:p>
    <w:p w:rsidR="00072B4B" w:rsidRPr="008B06FF" w:rsidRDefault="00072B4B" w:rsidP="00072B4B">
      <w:pPr>
        <w:pStyle w:val="Prrafodelista"/>
        <w:ind w:left="851" w:right="822"/>
        <w:jc w:val="both"/>
        <w:rPr>
          <w:rFonts w:ascii="Palatino Linotype" w:hAnsi="Palatino Linotype"/>
          <w:i/>
        </w:rPr>
      </w:pPr>
    </w:p>
    <w:p w:rsidR="00072B4B" w:rsidRPr="008B06FF" w:rsidRDefault="00072B4B" w:rsidP="00072B4B">
      <w:pPr>
        <w:pStyle w:val="Prrafodelista"/>
        <w:ind w:left="851" w:right="822"/>
        <w:jc w:val="both"/>
        <w:rPr>
          <w:rFonts w:ascii="Palatino Linotype" w:hAnsi="Palatino Linotype"/>
          <w:i/>
        </w:rPr>
      </w:pPr>
      <w:r w:rsidRPr="008B06FF">
        <w:rPr>
          <w:rFonts w:ascii="Palatino Linotype" w:hAnsi="Palatino Linotype"/>
          <w:i/>
        </w:rPr>
        <w:t>Son principios rectores de la protección de los derechos de niñas, niños y adolescentes:</w:t>
      </w:r>
    </w:p>
    <w:p w:rsidR="00072B4B" w:rsidRPr="008B06FF" w:rsidRDefault="00072B4B" w:rsidP="00072B4B">
      <w:pPr>
        <w:pStyle w:val="Prrafodelista"/>
        <w:ind w:left="851" w:right="822"/>
        <w:jc w:val="both"/>
        <w:rPr>
          <w:rFonts w:ascii="Palatino Linotype" w:hAnsi="Palatino Linotype"/>
          <w:i/>
        </w:rPr>
      </w:pPr>
      <w:r w:rsidRPr="008B06FF">
        <w:rPr>
          <w:rFonts w:ascii="Palatino Linotype" w:hAnsi="Palatino Linotype"/>
          <w:b/>
          <w:i/>
        </w:rPr>
        <w:lastRenderedPageBreak/>
        <w:t>A.</w:t>
      </w:r>
      <w:r w:rsidRPr="008B06FF">
        <w:rPr>
          <w:rFonts w:ascii="Palatino Linotype" w:hAnsi="Palatino Linotype"/>
          <w:i/>
        </w:rPr>
        <w:t xml:space="preserve"> El del interés superior de la infancia. </w:t>
      </w:r>
    </w:p>
    <w:p w:rsidR="00072B4B" w:rsidRPr="008B06FF" w:rsidRDefault="00072B4B" w:rsidP="00072B4B">
      <w:pPr>
        <w:pStyle w:val="Prrafodelista"/>
        <w:ind w:left="851" w:right="822"/>
        <w:jc w:val="both"/>
        <w:rPr>
          <w:rFonts w:ascii="Palatino Linotype" w:hAnsi="Palatino Linotype"/>
          <w:i/>
        </w:rPr>
      </w:pPr>
      <w:r w:rsidRPr="008B06FF">
        <w:rPr>
          <w:rFonts w:ascii="Palatino Linotype" w:hAnsi="Palatino Linotype"/>
          <w:i/>
        </w:rPr>
        <w:t xml:space="preserve">[…]” </w:t>
      </w:r>
    </w:p>
    <w:p w:rsidR="00072B4B" w:rsidRPr="008B06FF" w:rsidRDefault="00072B4B" w:rsidP="00072B4B">
      <w:pPr>
        <w:pStyle w:val="Prrafodelista"/>
        <w:ind w:left="851" w:right="822"/>
        <w:jc w:val="both"/>
        <w:rPr>
          <w:rFonts w:ascii="Palatino Linotype" w:hAnsi="Palatino Linotype"/>
          <w:i/>
        </w:rPr>
      </w:pPr>
    </w:p>
    <w:p w:rsidR="00072B4B" w:rsidRPr="008B06FF" w:rsidRDefault="00072B4B" w:rsidP="00072B4B">
      <w:pPr>
        <w:pStyle w:val="Prrafodelista"/>
        <w:ind w:left="851" w:right="822"/>
        <w:jc w:val="both"/>
        <w:rPr>
          <w:rFonts w:ascii="Palatino Linotype" w:hAnsi="Palatino Linotype"/>
          <w:i/>
        </w:rPr>
      </w:pPr>
      <w:r w:rsidRPr="008B06FF">
        <w:rPr>
          <w:rFonts w:ascii="Palatino Linotype" w:hAnsi="Palatino Linotype"/>
          <w:b/>
          <w:i/>
        </w:rPr>
        <w:t>Artículo 14.</w:t>
      </w:r>
      <w:r w:rsidRPr="008B06FF">
        <w:rPr>
          <w:rFonts w:ascii="Palatino Linotype" w:hAnsi="Palatino Linotype"/>
          <w:i/>
        </w:rPr>
        <w:t xml:space="preserve"> Niñas, niños y adolescentes tienen derecho a que se les asegure prioridad en el ejercicio de todos sus derechos, especialmente a que: </w:t>
      </w:r>
    </w:p>
    <w:p w:rsidR="00072B4B" w:rsidRPr="008B06FF" w:rsidRDefault="00072B4B" w:rsidP="00072B4B">
      <w:pPr>
        <w:pStyle w:val="Prrafodelista"/>
        <w:ind w:left="851" w:right="822"/>
        <w:jc w:val="both"/>
        <w:rPr>
          <w:rFonts w:ascii="Palatino Linotype" w:hAnsi="Palatino Linotype"/>
          <w:i/>
        </w:rPr>
      </w:pPr>
      <w:r w:rsidRPr="008B06FF">
        <w:rPr>
          <w:rFonts w:ascii="Palatino Linotype" w:hAnsi="Palatino Linotype"/>
          <w:i/>
        </w:rPr>
        <w:t xml:space="preserve">[…] </w:t>
      </w:r>
    </w:p>
    <w:p w:rsidR="00072B4B" w:rsidRPr="008B06FF" w:rsidRDefault="00072B4B" w:rsidP="00072B4B">
      <w:pPr>
        <w:pStyle w:val="Prrafodelista"/>
        <w:ind w:left="851" w:right="822"/>
        <w:jc w:val="both"/>
        <w:rPr>
          <w:rFonts w:ascii="Palatino Linotype" w:hAnsi="Palatino Linotype"/>
          <w:i/>
        </w:rPr>
      </w:pPr>
      <w:r w:rsidRPr="008B06FF">
        <w:rPr>
          <w:rFonts w:ascii="Palatino Linotype" w:hAnsi="Palatino Linotype"/>
          <w:b/>
          <w:i/>
        </w:rPr>
        <w:t>C.</w:t>
      </w:r>
      <w:r w:rsidRPr="008B06FF">
        <w:rPr>
          <w:rFonts w:ascii="Palatino Linotype" w:hAnsi="Palatino Linotype"/>
          <w:i/>
        </w:rPr>
        <w:t xml:space="preserve"> Se considere el diseñar y ejecutar las políticas públicas necesarias para la protección de sus derechos. </w:t>
      </w:r>
    </w:p>
    <w:p w:rsidR="00072B4B" w:rsidRPr="008B06FF" w:rsidRDefault="00072B4B" w:rsidP="00072B4B">
      <w:pPr>
        <w:pStyle w:val="Prrafodelista"/>
        <w:ind w:left="851" w:right="822"/>
        <w:jc w:val="both"/>
        <w:rPr>
          <w:rFonts w:ascii="Palatino Linotype" w:hAnsi="Palatino Linotype"/>
          <w:i/>
        </w:rPr>
      </w:pPr>
      <w:r w:rsidRPr="008B06FF">
        <w:rPr>
          <w:rFonts w:ascii="Palatino Linotype" w:hAnsi="Palatino Linotype"/>
          <w:i/>
        </w:rPr>
        <w:t>[…]”</w:t>
      </w:r>
    </w:p>
    <w:p w:rsidR="00072B4B" w:rsidRPr="008B06FF" w:rsidRDefault="00072B4B" w:rsidP="00072B4B">
      <w:pPr>
        <w:pStyle w:val="Prrafodelista"/>
        <w:spacing w:line="360" w:lineRule="auto"/>
        <w:ind w:left="644"/>
        <w:jc w:val="both"/>
        <w:rPr>
          <w:rFonts w:ascii="Palatino Linotype" w:hAnsi="Palatino Linotype"/>
        </w:rPr>
      </w:pPr>
    </w:p>
    <w:p w:rsidR="00072B4B" w:rsidRPr="008B06FF" w:rsidRDefault="00072B4B" w:rsidP="00072B4B">
      <w:pPr>
        <w:pStyle w:val="Prrafodelista"/>
        <w:numPr>
          <w:ilvl w:val="0"/>
          <w:numId w:val="6"/>
        </w:numPr>
        <w:spacing w:line="360" w:lineRule="auto"/>
        <w:jc w:val="both"/>
        <w:rPr>
          <w:rFonts w:ascii="Palatino Linotype" w:hAnsi="Palatino Linotype"/>
        </w:rPr>
      </w:pPr>
      <w:r w:rsidRPr="008B06FF">
        <w:rPr>
          <w:rFonts w:ascii="Palatino Linotype" w:hAnsi="Palatino Linotype"/>
        </w:rPr>
        <w:t xml:space="preserve">Tratándose de menores de edad, el Estado debe ser particularmente sensible ante la injerencia en la vida privada de los menores, a fin de que éstos se desarrollen de forma plena, ya que, por tratarse de personas que todavía no han alcanzado la suficiente madurez física y psicológica, se encuentran en una situación de vulnerabilidad especial, motivo por el cual el principio del “interés superior del niño” debe constituir un eje rector en el diseño y aplicación de políticas públicas. </w:t>
      </w:r>
    </w:p>
    <w:p w:rsidR="00072B4B" w:rsidRPr="008B06FF" w:rsidRDefault="00072B4B" w:rsidP="00072B4B">
      <w:pPr>
        <w:pStyle w:val="Prrafodelista"/>
        <w:spacing w:line="360" w:lineRule="auto"/>
        <w:ind w:left="0"/>
        <w:jc w:val="both"/>
        <w:rPr>
          <w:rFonts w:ascii="Palatino Linotype" w:hAnsi="Palatino Linotype"/>
        </w:rPr>
      </w:pPr>
    </w:p>
    <w:p w:rsidR="00072B4B" w:rsidRPr="008B06FF" w:rsidRDefault="00072B4B" w:rsidP="00072B4B">
      <w:pPr>
        <w:pStyle w:val="Prrafodelista"/>
        <w:numPr>
          <w:ilvl w:val="0"/>
          <w:numId w:val="6"/>
        </w:numPr>
        <w:spacing w:line="360" w:lineRule="auto"/>
        <w:jc w:val="both"/>
        <w:rPr>
          <w:rFonts w:ascii="Palatino Linotype" w:hAnsi="Palatino Linotype"/>
        </w:rPr>
      </w:pPr>
      <w:r w:rsidRPr="008B06FF">
        <w:rPr>
          <w:rFonts w:ascii="Palatino Linotype" w:hAnsi="Palatino Linotype"/>
        </w:rPr>
        <w:t xml:space="preserve">Por otra parte, debe precisarse que en la presente resolución del recurso de revisión al rubro anotado, también se vela por la protección de los datos personales de la población que presentan alguna discapacidad física o mental, así como por su situación económica se encuentran en un alto grado de vulnerabilidad, lo anterior es así, toda vez que a manera de ejemplo se debe precisar que las Reglas de Operación del Programa de Apoyo a la Vivienda para el ejercicio Fiscal 2016 se establece que el Programa de Apoyo a la Vivienda, se destinará, exclusivamente a la población con carencias en materia de vivienda, en condiciones de vulnerabilidad, rezago y de marginación, de acuerdo con los criterios de resultados que defina el Consejo Nacional de Población y a las evaluaciones del Consejo </w:t>
      </w:r>
      <w:r w:rsidRPr="008B06FF">
        <w:rPr>
          <w:rFonts w:ascii="Palatino Linotype" w:hAnsi="Palatino Linotype"/>
        </w:rPr>
        <w:lastRenderedPageBreak/>
        <w:t>Nacional de Evaluación de la Política de Desarrollo Social, en los programas que resulte aplicable y la Declaratoria de Zonas de Atención Prioritaria formulada por la Cámara de Diputados, mediante acciones que promuevan una mejor calidad de la vivienda urbana y rural, a través de la educación, la salud, la alimentación, la generación de empleo e ingreso, autoempleo y capacitación; protección social y programas asistenciales; el desarrollo regional; la infraestructura social básica y el fomento del sector social de la economía; conforme lo establece el artículo 14 de la Ley General de Desarrollo Social.</w:t>
      </w:r>
    </w:p>
    <w:p w:rsidR="00072B4B" w:rsidRPr="008B06FF" w:rsidRDefault="00072B4B" w:rsidP="00072B4B">
      <w:pPr>
        <w:pStyle w:val="Prrafodelista"/>
        <w:spacing w:line="360" w:lineRule="auto"/>
        <w:ind w:left="0"/>
        <w:jc w:val="both"/>
        <w:rPr>
          <w:rFonts w:ascii="Palatino Linotype" w:hAnsi="Palatino Linotype"/>
        </w:rPr>
      </w:pPr>
    </w:p>
    <w:p w:rsidR="002B6D72" w:rsidRPr="008B06FF" w:rsidRDefault="00072B4B" w:rsidP="002B6D72">
      <w:pPr>
        <w:pStyle w:val="Prrafodelista"/>
        <w:numPr>
          <w:ilvl w:val="0"/>
          <w:numId w:val="6"/>
        </w:numPr>
        <w:spacing w:line="360" w:lineRule="auto"/>
        <w:jc w:val="both"/>
        <w:rPr>
          <w:rFonts w:ascii="Palatino Linotype" w:hAnsi="Palatino Linotype"/>
        </w:rPr>
      </w:pPr>
      <w:r w:rsidRPr="008B06FF">
        <w:rPr>
          <w:rFonts w:ascii="Palatino Linotype" w:hAnsi="Palatino Linotype"/>
        </w:rPr>
        <w:t>Cabe precisar que los programas sociales fueron diseñados para apoyar a los hogares de menores ingresos económicos disminuyendo los índices de rezago social, mediante el otorgamiento de apoyos económicos como subsidio, siendo oportuno agregar que los programas sociales están dirigidos a personas de localidades clasificadas con alto y muy alto grado de marginalidad, motivo por el cual este Órgano Garante considera que si bien es cierto que el recurrente solicitó le proporcionara</w:t>
      </w:r>
      <w:r w:rsidR="004D22C9" w:rsidRPr="008B06FF">
        <w:rPr>
          <w:rFonts w:ascii="Palatino Linotype" w:hAnsi="Palatino Linotype"/>
        </w:rPr>
        <w:t>n los expedientes del Programa llamado “Nutriendo con Amor”</w:t>
      </w:r>
      <w:r w:rsidRPr="008B06FF">
        <w:rPr>
          <w:rFonts w:ascii="Palatino Linotype" w:hAnsi="Palatino Linotype"/>
        </w:rPr>
        <w:t>, sin emba</w:t>
      </w:r>
      <w:r w:rsidR="002B6D72" w:rsidRPr="008B06FF">
        <w:rPr>
          <w:rFonts w:ascii="Palatino Linotype" w:hAnsi="Palatino Linotype"/>
        </w:rPr>
        <w:t xml:space="preserve">rgo también cierto lo es que los documentos que integran el expediente por su naturaleza son clasificados como confidenciales; ello aunado a que dentro de los beneficiarios se encuentran </w:t>
      </w:r>
      <w:r w:rsidRPr="008B06FF">
        <w:rPr>
          <w:rFonts w:ascii="Palatino Linotype" w:hAnsi="Palatino Linotype"/>
        </w:rPr>
        <w:t>de menores de edad, personas con capacidades diferentes, adultos mayores (tercera edad)</w:t>
      </w:r>
      <w:r w:rsidR="002B6D72" w:rsidRPr="008B06FF">
        <w:rPr>
          <w:rFonts w:ascii="Palatino Linotype" w:hAnsi="Palatino Linotype"/>
        </w:rPr>
        <w:t xml:space="preserve">, </w:t>
      </w:r>
      <w:r w:rsidRPr="008B06FF">
        <w:rPr>
          <w:rFonts w:ascii="Palatino Linotype" w:hAnsi="Palatino Linotype"/>
        </w:rPr>
        <w:t>personas pertenecen a un sector de la población que en razón de su situación económica son vulnerables, es decir, permite que los beneficiarios puedan ser</w:t>
      </w:r>
      <w:r w:rsidR="00DA43D0" w:rsidRPr="008B06FF">
        <w:rPr>
          <w:rFonts w:ascii="Palatino Linotype" w:hAnsi="Palatino Linotype"/>
        </w:rPr>
        <w:t xml:space="preserve"> identificados o identificables</w:t>
      </w:r>
      <w:r w:rsidR="002B6D72" w:rsidRPr="008B06FF">
        <w:rPr>
          <w:rFonts w:ascii="Palatino Linotype" w:hAnsi="Palatino Linotype"/>
        </w:rPr>
        <w:t>; no obstante el estudio socioeconómico; así como la solicitud de ingreso al Programa son documentos que susceptibles de entregar en versión pública.</w:t>
      </w:r>
    </w:p>
    <w:p w:rsidR="006C154F" w:rsidRPr="008B06FF" w:rsidRDefault="006C154F" w:rsidP="006C154F">
      <w:pPr>
        <w:pStyle w:val="Prrafodelista"/>
        <w:rPr>
          <w:rFonts w:ascii="Palatino Linotype" w:eastAsia="Palatino Linotype" w:hAnsi="Palatino Linotype" w:cs="Palatino Linotype"/>
          <w:color w:val="000000"/>
        </w:rPr>
      </w:pPr>
    </w:p>
    <w:p w:rsidR="006C154F" w:rsidRPr="008B06FF" w:rsidRDefault="006C154F" w:rsidP="006C154F">
      <w:pPr>
        <w:pStyle w:val="Prrafodelista"/>
        <w:numPr>
          <w:ilvl w:val="0"/>
          <w:numId w:val="6"/>
        </w:numPr>
        <w:pBdr>
          <w:top w:val="nil"/>
          <w:left w:val="nil"/>
          <w:bottom w:val="nil"/>
          <w:right w:val="nil"/>
          <w:between w:val="nil"/>
        </w:pBdr>
        <w:spacing w:after="280" w:line="360" w:lineRule="auto"/>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lastRenderedPageBreak/>
        <w:t>Lo anterior, debido a que, la Ley de Transparencia y Acceso a la Información Pública del Estado de México y Municipios en su fracción IX del artículo 3, establece que se debe entender como datos personales a la información concerniente a una persona, identificada o identificable según lo dispuesto por la también referida Ley de Protección de Datos Personales del Estado de México. Tiene apoyo a lo expresado, lo contemplado en la siguiente tesis jurisprudencial.</w:t>
      </w:r>
    </w:p>
    <w:p w:rsidR="006C154F" w:rsidRPr="008B06FF" w:rsidRDefault="006C154F" w:rsidP="006C154F">
      <w:pPr>
        <w:ind w:left="567" w:right="616"/>
        <w:jc w:val="both"/>
        <w:rPr>
          <w:rFonts w:ascii="Palatino Linotype" w:eastAsia="Palatino Linotype" w:hAnsi="Palatino Linotype" w:cs="Palatino Linotype"/>
          <w:b/>
          <w:i/>
        </w:rPr>
      </w:pPr>
      <w:r w:rsidRPr="008B06FF">
        <w:rPr>
          <w:rFonts w:ascii="Palatino Linotype" w:eastAsia="Palatino Linotype" w:hAnsi="Palatino Linotype" w:cs="Palatino Linotype"/>
          <w:b/>
          <w:i/>
        </w:rPr>
        <w:t xml:space="preserve">DERECHO A LA VIDA PRIVADA. ALCANCE DE SU PROTECCIÓN POR EL ESTADO.  </w:t>
      </w:r>
      <w:r w:rsidRPr="008B06FF">
        <w:rPr>
          <w:rFonts w:ascii="Palatino Linotype" w:eastAsia="Palatino Linotype" w:hAnsi="Palatino Linotype" w:cs="Palatino Linotype"/>
          <w:i/>
        </w:rPr>
        <w:t>Al igual que otros derechos fundamentales, el derecho a la vida privada no es absoluto, sino que puede restringirse en la medida en que las injerencias en éste no sean abusivas o arbitrarias. Así, la Corte Interamericana de Derechos Humanos ha sostenido que el ámbito de la privacidad se caracteriza por quedar exento e inmune a las invasiones o agresiones abusivas o arbitrarias de terceros o de la autoridad pública, y prohíbe ese tipo de injerencias en la vida privada de las personas, enunciando diversos ámbitos de ésta, como la vida privada de sus familias. Ahora bien, el Estado debe adoptar medidas positivas para impedir que la intimidad personal y familiar se vulnere por personas ajenas, pero no puede impedir a quien decide difundir aspectos de su vida privada que lo haga, so pretexto de proteger a la familia, pues en ese caso, ya no se está frente a la difusión de la información por parte de un tercero, que es ajeno a ésta, sino que se estaría limitando el derecho de una persona de divulgar la información que le es propia. En resumen, lo que la Constitución Política de los Estados Unidos Mexicanos y las convenciones internacionales buscan impedir es que terceros difundan información de la vida privada ajena, sin consentimiento del titular; de ahí que si la injerencia en la vida privada de que se duele el tercero perjudicado, consiste en la difusión que hicieron otros miembros de su familia, sobre hechos que conciernen a la vida privada de ellas, y que involucran a éste, como causante de la afectación sufrida por ellas, entonces no puede considerarse que dicha difusión resulte arbitraria o abusiva, puesto que se realizó en ejercicio del legítimo derecho que les asiste de difundir información que les es propia, en la medida en que sea veraz, y que las expresiones utilizadas estén protegidas constitucionalmente, por no ser absolutamente vejatorias, esto es, ofensivas, oprobiosas o impertinentes, según el contexto.</w:t>
      </w:r>
    </w:p>
    <w:p w:rsidR="006C154F" w:rsidRPr="008B06FF" w:rsidRDefault="006C154F" w:rsidP="006C154F">
      <w:pPr>
        <w:ind w:left="567" w:right="822"/>
        <w:jc w:val="both"/>
        <w:rPr>
          <w:rFonts w:ascii="Palatino Linotype" w:eastAsia="Palatino Linotype" w:hAnsi="Palatino Linotype" w:cs="Palatino Linotype"/>
          <w:i/>
        </w:rPr>
      </w:pPr>
    </w:p>
    <w:p w:rsidR="006C154F" w:rsidRPr="008B06FF" w:rsidRDefault="006C154F" w:rsidP="006C154F">
      <w:pPr>
        <w:ind w:left="567" w:right="616"/>
        <w:jc w:val="both"/>
        <w:rPr>
          <w:rFonts w:ascii="Palatino Linotype" w:eastAsia="Palatino Linotype" w:hAnsi="Palatino Linotype" w:cs="Palatino Linotype"/>
          <w:b/>
          <w:i/>
        </w:rPr>
      </w:pPr>
      <w:r w:rsidRPr="008B06FF">
        <w:rPr>
          <w:rFonts w:ascii="Palatino Linotype" w:eastAsia="Palatino Linotype" w:hAnsi="Palatino Linotype" w:cs="Palatino Linotype"/>
          <w:b/>
          <w:i/>
        </w:rPr>
        <w:t xml:space="preserve">INFORMACIÓN CONFIDENCIAL. LÍMITE AL DERECHO DE ACCESO A LA INFORMACIÓN (LEY FEDERAL DE TRANSPARENCIA Y ACCESO A LA INFORMACIÓN PÚBLICA GUBERNAMENTAL). </w:t>
      </w:r>
      <w:r w:rsidRPr="008B06FF">
        <w:rPr>
          <w:rFonts w:ascii="Palatino Linotype" w:eastAsia="Palatino Linotype" w:hAnsi="Palatino Linotype" w:cs="Palatino Linotype"/>
          <w:i/>
        </w:rPr>
        <w:t xml:space="preserve">Las fracciones I y II del segundo párrafo del artículo 6o. de la Constitución Política de los Estados Unidos Mexicanos, establecen que el derecho de acceso a la información puede limitarse en virtud del interés público y de la vida privada y los datos personales. Dichas fracciones sólo enuncian los fines constitucionalmente válidos o legítimos para establecer limitaciones al citado derecho, sin embargo, ambas remiten a la legislación secundaria para el desarrollo de los supuestos específicos en que procedan las excepciones que busquen proteger los bienes constitucionales enunciados como límites al derecho de acceso a la información. Así, en cumplimiento al mandato constitucional, la Ley Federal de Transparencia y Acceso a la Información Pública Gubernamental establece dos criterios bajo los cuales la información podrá clasificarse y, con ello, limitar el acceso de los particulares a la misma: el de información confidencial y el de información reservada. En lo que respecta al límite previsto en la Constitución, referente a la vida privada y los datos personales, el artículo 18 de la ley estableció como criterio de clasificación el de información confidencial, el cual restringe el acceso a la información que contenga datos personales que requieran el consentimiento de los individuos para su difusión, distribución o comercialización. Lo anterior también tiene un sustento constitucional en lo dispuesto en el segundo párrafo del artículo 16 constitucional, el cual reconoce que el derecho a la protección de datos personales —así como al acceso, rectificación y cancelación de los mismos— debe ser tutelado por regla general, salvo los casos excepcionales que se prevean en la legislación secundaria; así como en la fracción V, del apartado C, del artículo 20 constitucional, que protege la identidad y datos personales de las víctimas y ofendidos que sean parte en procedimientos penales. Así pues, existe un derecho de acceso a la información pública que rige como regla general, aunque limitado, en forma también genérica, por el derecho a la protección de datos personales. Por lo anterior, el acceso público —para todas las personas independientemente del interés que pudieren tener— a los datos personales distintos a los del propio solicitante de información sólo procede en ciertos supuestos, reconocidos expresamente por las leyes respectivas. Adicionalmente, la información confidencial puede dar lugar a la clasificación de un documento en su totalidad o de ciertas partes o pasajes del mismo, pues puede darse el caso de un documento público que sólo en una sección contenga datos confidenciales. Por último, y conforme a lo dispuesto </w:t>
      </w:r>
      <w:r w:rsidRPr="008B06FF">
        <w:rPr>
          <w:rFonts w:ascii="Palatino Linotype" w:eastAsia="Palatino Linotype" w:hAnsi="Palatino Linotype" w:cs="Palatino Linotype"/>
          <w:i/>
        </w:rPr>
        <w:lastRenderedPageBreak/>
        <w:t>en el artículo 21 de la ley, la restricción de acceso a la información confidencial no es absoluta, pues puede permitirse su difusión, distribución o comercialización si se obtiene el consentimiento expreso de la persona a que haga referencia la información.</w:t>
      </w:r>
    </w:p>
    <w:p w:rsidR="006C154F" w:rsidRPr="008B06FF" w:rsidRDefault="006C154F" w:rsidP="006C154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154F" w:rsidRPr="008B06FF" w:rsidRDefault="006C154F" w:rsidP="003704C5">
      <w:pPr>
        <w:pStyle w:val="Prrafodelista"/>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b/>
          <w:color w:val="000000"/>
          <w:u w:val="single"/>
        </w:rPr>
        <w:t xml:space="preserve">De esto, se llega a la conclusión que el entregar </w:t>
      </w:r>
      <w:r w:rsidR="003704C5" w:rsidRPr="008B06FF">
        <w:rPr>
          <w:rFonts w:ascii="Palatino Linotype" w:eastAsia="Palatino Linotype" w:hAnsi="Palatino Linotype" w:cs="Palatino Linotype"/>
          <w:b/>
          <w:color w:val="000000"/>
          <w:u w:val="single"/>
        </w:rPr>
        <w:t xml:space="preserve">los expedientes </w:t>
      </w:r>
      <w:r w:rsidR="004313C8" w:rsidRPr="008B06FF">
        <w:rPr>
          <w:rFonts w:ascii="Palatino Linotype" w:eastAsia="Palatino Linotype" w:hAnsi="Palatino Linotype" w:cs="Palatino Linotype"/>
          <w:b/>
          <w:color w:val="000000"/>
          <w:u w:val="single"/>
        </w:rPr>
        <w:t xml:space="preserve">completos </w:t>
      </w:r>
      <w:r w:rsidR="003704C5" w:rsidRPr="008B06FF">
        <w:rPr>
          <w:rFonts w:ascii="Palatino Linotype" w:eastAsia="Palatino Linotype" w:hAnsi="Palatino Linotype" w:cs="Palatino Linotype"/>
          <w:b/>
          <w:color w:val="000000"/>
          <w:u w:val="single"/>
        </w:rPr>
        <w:t>del Programa “Nutriendo con Amor”</w:t>
      </w:r>
      <w:r w:rsidR="003704C5" w:rsidRPr="008B06FF">
        <w:rPr>
          <w:rFonts w:ascii="Palatino Linotype" w:eastAsia="Palatino Linotype" w:hAnsi="Palatino Linotype" w:cs="Palatino Linotype"/>
          <w:color w:val="000000"/>
        </w:rPr>
        <w:t xml:space="preserve">, </w:t>
      </w:r>
      <w:r w:rsidRPr="008B06FF">
        <w:rPr>
          <w:rFonts w:ascii="Palatino Linotype" w:eastAsia="Palatino Linotype" w:hAnsi="Palatino Linotype" w:cs="Palatino Linotype"/>
          <w:b/>
          <w:color w:val="000000"/>
          <w:u w:val="single"/>
        </w:rPr>
        <w:t>hace identificable a particulares</w:t>
      </w:r>
      <w:r w:rsidR="003704C5" w:rsidRPr="008B06FF">
        <w:rPr>
          <w:rFonts w:ascii="Palatino Linotype" w:eastAsia="Palatino Linotype" w:hAnsi="Palatino Linotype" w:cs="Palatino Linotype"/>
          <w:b/>
          <w:color w:val="000000"/>
          <w:u w:val="single"/>
        </w:rPr>
        <w:t>, por poseer documentos que de acuerdo a su contenido son clasificados en su totalidad</w:t>
      </w:r>
      <w:r w:rsidR="004313C8" w:rsidRPr="008B06FF">
        <w:rPr>
          <w:rFonts w:ascii="Palatino Linotype" w:eastAsia="Palatino Linotype" w:hAnsi="Palatino Linotype" w:cs="Palatino Linotype"/>
          <w:b/>
          <w:color w:val="000000"/>
          <w:u w:val="single"/>
        </w:rPr>
        <w:t xml:space="preserve">; sin embargo  del estudio se advierte que dentro del expediente también obra el estudio socioeconómico; así como, la </w:t>
      </w:r>
      <w:r w:rsidR="007D6E8F" w:rsidRPr="008B06FF">
        <w:rPr>
          <w:rFonts w:ascii="Palatino Linotype" w:eastAsia="Palatino Linotype" w:hAnsi="Palatino Linotype" w:cs="Palatino Linotype"/>
          <w:b/>
          <w:color w:val="000000"/>
          <w:u w:val="single"/>
        </w:rPr>
        <w:t>solicitud</w:t>
      </w:r>
      <w:r w:rsidR="004313C8" w:rsidRPr="008B06FF">
        <w:rPr>
          <w:rFonts w:ascii="Palatino Linotype" w:eastAsia="Palatino Linotype" w:hAnsi="Palatino Linotype" w:cs="Palatino Linotype"/>
          <w:b/>
          <w:color w:val="000000"/>
          <w:u w:val="single"/>
        </w:rPr>
        <w:t xml:space="preserve"> de </w:t>
      </w:r>
      <w:r w:rsidR="007D6E8F" w:rsidRPr="008B06FF">
        <w:rPr>
          <w:rFonts w:ascii="Palatino Linotype" w:eastAsia="Palatino Linotype" w:hAnsi="Palatino Linotype" w:cs="Palatino Linotype"/>
          <w:b/>
          <w:color w:val="000000"/>
          <w:u w:val="single"/>
        </w:rPr>
        <w:t xml:space="preserve">ingreso al padrón de beneficiarios, </w:t>
      </w:r>
      <w:r w:rsidR="00221C2D" w:rsidRPr="008B06FF">
        <w:rPr>
          <w:rFonts w:ascii="Palatino Linotype" w:eastAsia="Palatino Linotype" w:hAnsi="Palatino Linotype" w:cs="Palatino Linotype"/>
          <w:b/>
          <w:color w:val="000000"/>
          <w:u w:val="single"/>
        </w:rPr>
        <w:t xml:space="preserve">documentos que </w:t>
      </w:r>
      <w:r w:rsidR="007D6E8F" w:rsidRPr="008B06FF">
        <w:rPr>
          <w:rFonts w:ascii="Palatino Linotype" w:eastAsia="Palatino Linotype" w:hAnsi="Palatino Linotype" w:cs="Palatino Linotype"/>
          <w:b/>
          <w:color w:val="000000"/>
          <w:u w:val="single"/>
        </w:rPr>
        <w:t>resulta</w:t>
      </w:r>
      <w:r w:rsidR="00221C2D" w:rsidRPr="008B06FF">
        <w:rPr>
          <w:rFonts w:ascii="Palatino Linotype" w:eastAsia="Palatino Linotype" w:hAnsi="Palatino Linotype" w:cs="Palatino Linotype"/>
          <w:b/>
          <w:color w:val="000000"/>
          <w:u w:val="single"/>
        </w:rPr>
        <w:t>n</w:t>
      </w:r>
      <w:r w:rsidR="007D6E8F" w:rsidRPr="008B06FF">
        <w:rPr>
          <w:rFonts w:ascii="Palatino Linotype" w:eastAsia="Palatino Linotype" w:hAnsi="Palatino Linotype" w:cs="Palatino Linotype"/>
          <w:b/>
          <w:color w:val="000000"/>
          <w:u w:val="single"/>
        </w:rPr>
        <w:t xml:space="preserve"> viable</w:t>
      </w:r>
      <w:r w:rsidR="00221C2D" w:rsidRPr="008B06FF">
        <w:rPr>
          <w:rFonts w:ascii="Palatino Linotype" w:eastAsia="Palatino Linotype" w:hAnsi="Palatino Linotype" w:cs="Palatino Linotype"/>
          <w:b/>
          <w:color w:val="000000"/>
          <w:u w:val="single"/>
        </w:rPr>
        <w:t>s</w:t>
      </w:r>
      <w:r w:rsidR="007D6E8F" w:rsidRPr="008B06FF">
        <w:rPr>
          <w:rFonts w:ascii="Palatino Linotype" w:eastAsia="Palatino Linotype" w:hAnsi="Palatino Linotype" w:cs="Palatino Linotype"/>
          <w:b/>
          <w:color w:val="000000"/>
          <w:u w:val="single"/>
        </w:rPr>
        <w:t xml:space="preserve"> ordenar </w:t>
      </w:r>
      <w:r w:rsidR="00221C2D" w:rsidRPr="008B06FF">
        <w:rPr>
          <w:rFonts w:ascii="Palatino Linotype" w:eastAsia="Palatino Linotype" w:hAnsi="Palatino Linotype" w:cs="Palatino Linotype"/>
          <w:b/>
          <w:color w:val="000000"/>
          <w:u w:val="single"/>
        </w:rPr>
        <w:t>la</w:t>
      </w:r>
      <w:r w:rsidR="007D6E8F" w:rsidRPr="008B06FF">
        <w:rPr>
          <w:rFonts w:ascii="Palatino Linotype" w:eastAsia="Palatino Linotype" w:hAnsi="Palatino Linotype" w:cs="Palatino Linotype"/>
          <w:b/>
          <w:color w:val="000000"/>
          <w:u w:val="single"/>
        </w:rPr>
        <w:t xml:space="preserve"> entrega en versión pública</w:t>
      </w:r>
      <w:r w:rsidRPr="008B06FF">
        <w:rPr>
          <w:rFonts w:ascii="Palatino Linotype" w:eastAsia="Palatino Linotype" w:hAnsi="Palatino Linotype" w:cs="Palatino Linotype"/>
          <w:color w:val="000000"/>
        </w:rPr>
        <w:t>. Debiendo asentarse dentro del Acuerdo de Clasificación debidamente fundado y motivado, observando</w:t>
      </w:r>
      <w:r w:rsidR="008013EC" w:rsidRPr="008B06FF">
        <w:rPr>
          <w:rFonts w:ascii="Palatino Linotype" w:eastAsia="Palatino Linotype" w:hAnsi="Palatino Linotype" w:cs="Palatino Linotype"/>
          <w:color w:val="000000"/>
        </w:rPr>
        <w:t xml:space="preserve"> </w:t>
      </w:r>
      <w:r w:rsidRPr="008B06FF">
        <w:rPr>
          <w:rFonts w:ascii="Palatino Linotype" w:eastAsia="Palatino Linotype" w:hAnsi="Palatino Linotype" w:cs="Palatino Linotype"/>
          <w:color w:val="000000"/>
        </w:rPr>
        <w:t xml:space="preserve"> lo dispuesto por los artículos 49, fracción VIII, 122, 130, 132, fracciones I, II y III, 143 en su fracción primera y 149 de la Ley de Transparencia y Acceso a la Información Pública del Estado de México y Municipios en vigor Lineamientos Cuarto al Octavo, Décimo, Décimo Primero, Quincuagésimo y Quincuagésimo Tercero de los Lineamientos Generales en materia de Clasificación y Desclasificación de la Información, así como para la elaboración de Versiones Públicas, que literalmente expresan:</w:t>
      </w:r>
    </w:p>
    <w:p w:rsidR="006C154F" w:rsidRPr="008B06FF" w:rsidRDefault="006C154F" w:rsidP="006C154F">
      <w:pPr>
        <w:spacing w:line="276" w:lineRule="auto"/>
        <w:ind w:right="851"/>
        <w:jc w:val="both"/>
        <w:rPr>
          <w:rFonts w:ascii="Palatino Linotype" w:eastAsia="Palatino Linotype" w:hAnsi="Palatino Linotype" w:cs="Palatino Linotype"/>
        </w:rPr>
      </w:pP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w:t>
      </w:r>
      <w:r w:rsidRPr="008B06FF">
        <w:rPr>
          <w:rFonts w:ascii="Palatino Linotype" w:eastAsia="Palatino Linotype" w:hAnsi="Palatino Linotype" w:cs="Palatino Linotype"/>
          <w:b/>
          <w:i/>
        </w:rPr>
        <w:t>Artículo 49.</w:t>
      </w:r>
      <w:r w:rsidRPr="008B06FF">
        <w:rPr>
          <w:rFonts w:ascii="Palatino Linotype" w:eastAsia="Palatino Linotype" w:hAnsi="Palatino Linotype" w:cs="Palatino Linotype"/>
          <w:i/>
        </w:rPr>
        <w:t xml:space="preserve"> Los Comités de Transparencia tendrán las siguientes atribuciones:</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VIII. Aprobar, modificar o revocar la clasificación de la información;</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b/>
          <w:i/>
        </w:rPr>
        <w:t>Artículo 122.</w:t>
      </w:r>
      <w:r w:rsidRPr="008B06FF">
        <w:rPr>
          <w:rFonts w:ascii="Palatino Linotype" w:eastAsia="Palatino Linotype" w:hAnsi="Palatino Linotype" w:cs="Palatino Linotype"/>
          <w:i/>
        </w:rPr>
        <w:t xml:space="preserve"> La clasificación es el proceso mediante el cual el sujeto obligado determina que la información en su poder actualiza alguno de los supuestos de reserva o confidencialidad, de conformidad con lo dispuesto en el presente título.</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lastRenderedPageBreak/>
        <w:t>Los supuestos de reserva o confidencialidad previstos en las leyes deberán ser acordes con las bases, principios y disposiciones establecidos en la Ley General y, en ningún caso, podrán contravenirla.</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Los titulares de las áreas de los sujetos obligados serán los responsables de clasificar la información, de conformidad con lo dispuesto en la presente Ley y demás disposiciones jurídicas aplicables.</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b/>
          <w:i/>
        </w:rPr>
        <w:t>Artículo 130.</w:t>
      </w:r>
      <w:r w:rsidRPr="008B06FF">
        <w:rPr>
          <w:rFonts w:ascii="Palatino Linotype" w:eastAsia="Palatino Linotype" w:hAnsi="Palatino Linotype" w:cs="Palatino Linotype"/>
          <w:i/>
        </w:rPr>
        <w:t xml:space="preserve"> Los sujetos obligados deberán aplicar, de manera restrictiva y limitada, las excepciones al derecho de acceso a la información y sólo podrán invocarlas cuando acrediten su procedencia, sin ampliar las excepciones o supuestos de reserva o confidencialidad previstos en la Ley General y la presente Ley, aduciendo analogía o mayoría de razón.</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Artículo 132. La clasificación de la información se llevará a cabo en el momento en que:</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I. Se reciba una solicitud de acceso a la información;</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II. Se determine mediante resolución de autoridad competente; o</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III. Se generen versiones públicas para dar cumplimiento a las obligaciones de transparencia previstas en esta Ley.</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b/>
          <w:i/>
        </w:rPr>
        <w:t>Artículo 143.</w:t>
      </w:r>
      <w:r w:rsidRPr="008B06FF">
        <w:rPr>
          <w:rFonts w:ascii="Palatino Linotype" w:eastAsia="Palatino Linotype" w:hAnsi="Palatino Linotype" w:cs="Palatino Linotype"/>
          <w:i/>
        </w:rPr>
        <w:t xml:space="preserve"> Para los efectos de esta Ley se considera información confidencial, la clasificada como tal, de manera permanente, por su naturaleza, cuando:</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I. Se refiera a la información privada y los datos personales concernientes a una persona física o jurídico colectiva identificada o identificable;</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b/>
          <w:i/>
        </w:rPr>
        <w:t>Artículo 149.</w:t>
      </w:r>
      <w:r w:rsidRPr="008B06FF">
        <w:rPr>
          <w:rFonts w:ascii="Palatino Linotype" w:eastAsia="Palatino Linotype" w:hAnsi="Palatino Linotype" w:cs="Palatino Linotype"/>
          <w:i/>
        </w:rPr>
        <w:t xml:space="preserve"> El acuerdo que clasifique la información como confidencial deberá contener un razonamiento lógico en el que demuestre que la información se encuentra en alguna o algunas de las hipótesis previstas en la presente Ley.”</w:t>
      </w:r>
    </w:p>
    <w:p w:rsidR="006C154F" w:rsidRPr="008B06FF" w:rsidRDefault="006C154F" w:rsidP="003704C5">
      <w:pPr>
        <w:spacing w:line="276" w:lineRule="auto"/>
        <w:jc w:val="both"/>
        <w:rPr>
          <w:rFonts w:ascii="Palatino Linotype" w:eastAsia="Palatino Linotype" w:hAnsi="Palatino Linotype" w:cs="Palatino Linotype"/>
          <w:i/>
        </w:rPr>
      </w:pPr>
    </w:p>
    <w:p w:rsidR="006C154F" w:rsidRPr="008B06FF" w:rsidRDefault="006C154F" w:rsidP="003704C5">
      <w:pPr>
        <w:pStyle w:val="Prrafodelista"/>
        <w:numPr>
          <w:ilvl w:val="0"/>
          <w:numId w:val="6"/>
        </w:numPr>
        <w:spacing w:line="276"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Lineamientos Generales en materia de Clasificación y Desclasificación de la Información, así como para la elaboración de Versiones Públicas vigentes a la fecha de la solicitud.</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lastRenderedPageBreak/>
        <w:t>Cuarto.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Los sujetos obligados deberán aplicar, de manera estricta, las excepciones al derecho de acceso a la información y sólo podrán invocarlas cuando acrediten su procedencia.</w:t>
      </w:r>
    </w:p>
    <w:p w:rsidR="006C154F" w:rsidRPr="008B06FF" w:rsidRDefault="006C154F" w:rsidP="006C154F">
      <w:pPr>
        <w:spacing w:line="276" w:lineRule="auto"/>
        <w:ind w:left="567" w:right="851"/>
        <w:jc w:val="both"/>
        <w:rPr>
          <w:rFonts w:ascii="Palatino Linotype" w:eastAsia="Palatino Linotype" w:hAnsi="Palatino Linotype" w:cs="Palatino Linotype"/>
          <w:i/>
        </w:rPr>
      </w:pP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Quinto.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Séptimo. La clasificación de la información se llevará a cabo en el momento en que:</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I. Se reciba una solicitud de acceso a la información;</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II. Se determine mediante resolución de autoridad competente, o</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III. Se generen versiones públicas para dar cumplimiento a las obligaciones de transparencia previstas en la Ley General, la Ley Federal y las correspondientes de las entidades federativas.</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Los titulares de las áreas deberán revisar la clasificación al momento de la recepción de una solicitud de acceso a la información, para verificar si encuadra en una causal de reserva o de confidencialidad.</w:t>
      </w:r>
    </w:p>
    <w:p w:rsidR="006C154F" w:rsidRPr="008B06FF" w:rsidRDefault="006C154F" w:rsidP="006C154F">
      <w:pPr>
        <w:spacing w:line="276" w:lineRule="auto"/>
        <w:ind w:left="567" w:right="851"/>
        <w:jc w:val="both"/>
        <w:rPr>
          <w:rFonts w:ascii="Palatino Linotype" w:eastAsia="Palatino Linotype" w:hAnsi="Palatino Linotype" w:cs="Palatino Linotype"/>
          <w:i/>
        </w:rPr>
      </w:pP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Octavo. Para fundar la clasificación de la información se debe señalar el artículo, fracción, inciso, párrafo o numeral de la ley o tratado internacional suscrito por el Estado mexicano que expresamente le otorga el carácter de reservada o confidencial.</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lastRenderedPageBreak/>
        <w:t>Para motivar la clasificación se deberán señalar las razones o circunstancias especiales que lo llevaron a concluir que el caso particular se ajusta al supuesto previsto por la norma legal invocada como fundamento.</w:t>
      </w:r>
    </w:p>
    <w:p w:rsidR="006C154F" w:rsidRPr="008B06FF" w:rsidRDefault="006C154F" w:rsidP="006C154F">
      <w:pPr>
        <w:spacing w:line="276" w:lineRule="auto"/>
        <w:ind w:left="567" w:right="851"/>
        <w:jc w:val="both"/>
        <w:rPr>
          <w:rFonts w:ascii="Palatino Linotype" w:eastAsia="Palatino Linotype" w:hAnsi="Palatino Linotype" w:cs="Palatino Linotype"/>
          <w:i/>
        </w:rPr>
      </w:pP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En caso de referirse a información reservada, la motivación de la clasificación también deberá comprender las circunstancias que justifican el establecimiento de determinado plazo de reserva.</w:t>
      </w:r>
    </w:p>
    <w:p w:rsidR="006C154F" w:rsidRPr="008B06FF" w:rsidRDefault="006C154F" w:rsidP="006C154F">
      <w:pPr>
        <w:spacing w:line="276" w:lineRule="auto"/>
        <w:ind w:left="567" w:right="851"/>
        <w:jc w:val="both"/>
        <w:rPr>
          <w:rFonts w:ascii="Palatino Linotype" w:eastAsia="Palatino Linotype" w:hAnsi="Palatino Linotype" w:cs="Palatino Linotype"/>
          <w:i/>
        </w:rPr>
      </w:pP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rsidR="006C154F" w:rsidRPr="008B06FF" w:rsidRDefault="006C154F" w:rsidP="006C154F">
      <w:pPr>
        <w:spacing w:line="276" w:lineRule="auto"/>
        <w:ind w:left="567" w:right="851"/>
        <w:jc w:val="both"/>
        <w:rPr>
          <w:rFonts w:ascii="Palatino Linotype" w:eastAsia="Palatino Linotype" w:hAnsi="Palatino Linotype" w:cs="Palatino Linotype"/>
          <w:i/>
        </w:rPr>
      </w:pP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Los documentos contenidos en los archivos históricos y los identificados como históricos confidenciales no serán susceptibles de clasificación como reservados.</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Noveno.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Décimo.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En ausencia de los titulares de las áreas, la información será clasificada o desclasificada por la persona que lo supla, en términos de la normativa que rija la actuación del sujeto obligado.</w:t>
      </w: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 xml:space="preserve">Décimo primero. En el intercambio de información entre sujetos obligados para el ejercicio de sus atribuciones, los documentos que se encuentren clasificados deberán </w:t>
      </w:r>
      <w:r w:rsidRPr="008B06FF">
        <w:rPr>
          <w:rFonts w:ascii="Palatino Linotype" w:eastAsia="Palatino Linotype" w:hAnsi="Palatino Linotype" w:cs="Palatino Linotype"/>
          <w:i/>
        </w:rPr>
        <w:lastRenderedPageBreak/>
        <w:t xml:space="preserve">llevar la leyenda correspondiente de conformidad con lo dispuesto en el Capítulo VIII de los presentes lineamientos.” </w:t>
      </w:r>
    </w:p>
    <w:p w:rsidR="006C154F" w:rsidRPr="008B06FF" w:rsidRDefault="006C154F" w:rsidP="006C154F">
      <w:pPr>
        <w:spacing w:line="360" w:lineRule="auto"/>
        <w:ind w:left="567" w:right="851"/>
        <w:jc w:val="both"/>
        <w:rPr>
          <w:rFonts w:ascii="Palatino Linotype" w:eastAsia="Palatino Linotype" w:hAnsi="Palatino Linotype" w:cs="Palatino Linotype"/>
          <w:i/>
        </w:rPr>
      </w:pPr>
    </w:p>
    <w:p w:rsidR="006C154F" w:rsidRPr="008B06FF" w:rsidRDefault="006C154F" w:rsidP="006C154F">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Como se advierte dicho Acuerdo debe exponer de manera clara las razones por las que se encuadra en los supuestos de clasificación de la información, de conformidad con en el artículo 135 de la Ley de Transparencia y Acceso a la Información del Estado de México y Municipios en relación con el Numeral Octavo de los Lineamientos Generales en Materia de Clasificación y Desclasificación de la información, así como para la elaboración de Versiones Públicas vigentes a la fecha de la solicitud,  los cuales para mayor referencia en la parte que nos interesa, señalan:</w:t>
      </w:r>
    </w:p>
    <w:p w:rsidR="006C154F" w:rsidRPr="008B06FF" w:rsidRDefault="006C154F" w:rsidP="006C154F">
      <w:pPr>
        <w:spacing w:line="360" w:lineRule="auto"/>
        <w:jc w:val="both"/>
        <w:rPr>
          <w:rFonts w:ascii="Palatino Linotype" w:eastAsia="Palatino Linotype" w:hAnsi="Palatino Linotype" w:cs="Palatino Linotype"/>
        </w:rPr>
      </w:pPr>
    </w:p>
    <w:p w:rsidR="006C154F" w:rsidRPr="008B06FF" w:rsidRDefault="006C154F" w:rsidP="006C154F">
      <w:pPr>
        <w:spacing w:line="276" w:lineRule="auto"/>
        <w:ind w:left="567" w:right="851"/>
        <w:jc w:val="both"/>
        <w:rPr>
          <w:rFonts w:ascii="Palatino Linotype" w:eastAsia="Palatino Linotype" w:hAnsi="Palatino Linotype" w:cs="Palatino Linotype"/>
          <w:i/>
        </w:rPr>
      </w:pPr>
      <w:r w:rsidRPr="008B06FF">
        <w:rPr>
          <w:rFonts w:ascii="Palatino Linotype" w:eastAsia="Palatino Linotype" w:hAnsi="Palatino Linotype" w:cs="Palatino Linotype"/>
          <w:i/>
        </w:rPr>
        <w:t>“</w:t>
      </w:r>
      <w:r w:rsidRPr="008B06FF">
        <w:rPr>
          <w:rFonts w:ascii="Palatino Linotype" w:eastAsia="Palatino Linotype" w:hAnsi="Palatino Linotype" w:cs="Palatino Linotype"/>
          <w:b/>
          <w:i/>
        </w:rPr>
        <w:t>Artículo 135.</w:t>
      </w:r>
      <w:r w:rsidRPr="008B06FF">
        <w:rPr>
          <w:rFonts w:ascii="Palatino Linotype" w:eastAsia="Palatino Linotype" w:hAnsi="Palatino Linotype" w:cs="Palatino Linotype"/>
          <w:i/>
        </w:rPr>
        <w:t xml:space="preserve"> Los lineamientos generales que se emitan al respecto en materia de clasificación de la información reservada y confidencial y, para la elaboración de versiones públicas, serán de observancia obligatoria para los sujetos obligados…”</w:t>
      </w:r>
    </w:p>
    <w:p w:rsidR="006C154F" w:rsidRPr="008B06FF" w:rsidRDefault="006C154F" w:rsidP="006C154F">
      <w:pPr>
        <w:spacing w:line="276" w:lineRule="auto"/>
        <w:ind w:left="567" w:right="851"/>
        <w:jc w:val="both"/>
        <w:rPr>
          <w:rFonts w:ascii="Palatino Linotype" w:eastAsia="Palatino Linotype" w:hAnsi="Palatino Linotype" w:cs="Palatino Linotype"/>
          <w:i/>
        </w:rPr>
      </w:pPr>
    </w:p>
    <w:p w:rsidR="006C154F" w:rsidRPr="008B06FF" w:rsidRDefault="006C154F" w:rsidP="006C154F">
      <w:pPr>
        <w:pStyle w:val="Prrafodelista"/>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En tal virtud, el acuerdo emitido por el Comité de Transparencia, en términos de los artículos 122, 132  y 143 fracción I  de la  Ley de Transparencia y Acceso a la Información Pública del Estado de México y Municipios, deberá contener un razonamiento lógico, acorde a lo previsto  en los ordenamientos jurídicos en la Materia, que permita conocer al particular las condiciones y circunstancias que determinaron negar el acceso a la información; a través de la adecuada fundamentación y motivación, en el entendido de que, todo acto que la autoridad pronuncie en el ejercicio de sus atribuciones, debe expresar los fundamentos legales que le dieron origen y las razones por las que se deben aplicar al caso concreto.</w:t>
      </w:r>
    </w:p>
    <w:p w:rsidR="006C154F" w:rsidRPr="008B06FF" w:rsidRDefault="006C154F" w:rsidP="006C154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154F" w:rsidRPr="008B06FF" w:rsidRDefault="006C154F" w:rsidP="006C154F">
      <w:pPr>
        <w:pStyle w:val="Prrafodelista"/>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lastRenderedPageBreak/>
        <w:t>Es decir, el acuerdo deberá contener un razonamiento lógico con el que se demuestre que la información solicitada por la parte Recurrente se encuentra en alguna de las hipótesis que contempla la misma ley; toda vez que de acuerdo con la referida Ley la carga de la prueba para justificar toda negativa de acceso a la información por actualizarse cualquiera de los supuestos previstos en la Ley, corresponde a los Sujetos Obligados fundando y motivando debidamente la clasificación.</w:t>
      </w:r>
    </w:p>
    <w:p w:rsidR="006C154F" w:rsidRPr="008B06FF" w:rsidRDefault="006C154F" w:rsidP="006C154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154F" w:rsidRPr="008B06FF" w:rsidRDefault="006C154F" w:rsidP="006C154F">
      <w:pPr>
        <w:pStyle w:val="Prrafodelista"/>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Respecto de la fundamentación y motivación, debe recordarse que la primera de ellas consiste en la expresión de los dispositivos jurídicos en los que se sustenten los supuestos propios del asunto; y por motivación el señalamiento de las causas inmediatas, las razones específicas y los motivos particulares que se tomaron en consideración para llegar a la determinación obtenida, debiendo existir además una correspondencia lógica entre ambos supuestos.</w:t>
      </w:r>
    </w:p>
    <w:p w:rsidR="006C154F" w:rsidRPr="008B06FF" w:rsidRDefault="006C154F" w:rsidP="006C154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154F" w:rsidRPr="008B06FF" w:rsidRDefault="006C154F" w:rsidP="006C154F">
      <w:pPr>
        <w:pStyle w:val="Prrafodelista"/>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Sirven de sustento a lo anterior las tesis jurisprudenciales número I.4º.A. J/43 y VI. 2º. J/43, publicadas en el Semanario Judicial de la Federación y su Gaceta, bajo el número de registro 175,082 y 203,143, respectivamente, cuyo texto y sentido literal es el siguiente:</w:t>
      </w:r>
    </w:p>
    <w:p w:rsidR="006C154F" w:rsidRPr="008B06FF" w:rsidRDefault="006C154F" w:rsidP="006C154F">
      <w:pPr>
        <w:pBdr>
          <w:top w:val="nil"/>
          <w:left w:val="nil"/>
          <w:bottom w:val="nil"/>
          <w:right w:val="nil"/>
          <w:between w:val="nil"/>
        </w:pBdr>
        <w:spacing w:line="360" w:lineRule="auto"/>
        <w:ind w:left="851" w:right="902"/>
        <w:jc w:val="both"/>
        <w:rPr>
          <w:rFonts w:ascii="Palatino Linotype" w:eastAsia="Palatino Linotype" w:hAnsi="Palatino Linotype" w:cs="Palatino Linotype"/>
          <w:i/>
          <w:color w:val="000000"/>
        </w:rPr>
      </w:pPr>
    </w:p>
    <w:p w:rsidR="006C154F" w:rsidRPr="008B06FF" w:rsidRDefault="006C154F" w:rsidP="006C154F">
      <w:pPr>
        <w:pBdr>
          <w:top w:val="nil"/>
          <w:left w:val="nil"/>
          <w:bottom w:val="nil"/>
          <w:right w:val="nil"/>
          <w:between w:val="nil"/>
        </w:pBdr>
        <w:spacing w:line="276" w:lineRule="auto"/>
        <w:ind w:left="567" w:right="902"/>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i/>
          <w:color w:val="000000"/>
        </w:rPr>
        <w:t>“</w:t>
      </w:r>
      <w:r w:rsidRPr="008B06FF">
        <w:rPr>
          <w:rFonts w:ascii="Palatino Linotype" w:eastAsia="Palatino Linotype" w:hAnsi="Palatino Linotype" w:cs="Palatino Linotype"/>
          <w:b/>
          <w:i/>
          <w:color w:val="000000"/>
        </w:rPr>
        <w:t>FUNDAMENTACIÓN Y MOTIVACIÓN. EL ASPECTO FORMAL DE LA GARANTÍA Y SU FINALIDAD SE TRADUCEN EN EXPLICAR, JUSTIFICAR, POSIBILITAR LA DEFENSA Y COMUNICAR LA DECISIÓN.</w:t>
      </w:r>
      <w:r w:rsidRPr="008B06FF">
        <w:rPr>
          <w:rFonts w:ascii="Palatino Linotype" w:eastAsia="Palatino Linotype" w:hAnsi="Palatino Linotype" w:cs="Palatino Linotype"/>
          <w:i/>
          <w:color w:val="000000"/>
        </w:rPr>
        <w:t xml:space="preserve"> El contenido formal de la garantía de legalidad prevista en el artículo 16 constitucional relativa a la fundamentación y motivación tiene como propósito primordial y ratio que el justiciable conozca el "para qué" de la conducta de la </w:t>
      </w:r>
      <w:r w:rsidRPr="008B06FF">
        <w:rPr>
          <w:rFonts w:ascii="Palatino Linotype" w:eastAsia="Palatino Linotype" w:hAnsi="Palatino Linotype" w:cs="Palatino Linotype"/>
          <w:i/>
          <w:color w:val="000000"/>
        </w:rPr>
        <w:lastRenderedPageBreak/>
        <w:t>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rsidR="006C154F" w:rsidRPr="008B06FF" w:rsidRDefault="006C154F" w:rsidP="006C154F">
      <w:pPr>
        <w:pBdr>
          <w:top w:val="nil"/>
          <w:left w:val="nil"/>
          <w:bottom w:val="nil"/>
          <w:right w:val="nil"/>
          <w:between w:val="nil"/>
        </w:pBdr>
        <w:spacing w:line="276" w:lineRule="auto"/>
        <w:ind w:left="567" w:right="902"/>
        <w:jc w:val="both"/>
        <w:rPr>
          <w:rFonts w:ascii="Palatino Linotype" w:eastAsia="Palatino Linotype" w:hAnsi="Palatino Linotype" w:cs="Palatino Linotype"/>
          <w:color w:val="000000"/>
        </w:rPr>
      </w:pPr>
    </w:p>
    <w:p w:rsidR="006C154F" w:rsidRPr="008B06FF" w:rsidRDefault="006C154F" w:rsidP="006C154F">
      <w:pPr>
        <w:pBdr>
          <w:top w:val="nil"/>
          <w:left w:val="nil"/>
          <w:bottom w:val="nil"/>
          <w:right w:val="nil"/>
          <w:between w:val="nil"/>
        </w:pBdr>
        <w:spacing w:line="276" w:lineRule="auto"/>
        <w:ind w:left="567" w:right="902"/>
        <w:jc w:val="both"/>
        <w:rPr>
          <w:rFonts w:ascii="Palatino Linotype" w:eastAsia="Palatino Linotype" w:hAnsi="Palatino Linotype" w:cs="Palatino Linotype"/>
          <w:i/>
          <w:color w:val="000000"/>
        </w:rPr>
      </w:pPr>
      <w:r w:rsidRPr="008B06FF">
        <w:rPr>
          <w:rFonts w:ascii="Palatino Linotype" w:eastAsia="Palatino Linotype" w:hAnsi="Palatino Linotype" w:cs="Palatino Linotype"/>
          <w:i/>
          <w:color w:val="000000"/>
        </w:rPr>
        <w:t>“</w:t>
      </w:r>
      <w:r w:rsidRPr="008B06FF">
        <w:rPr>
          <w:rFonts w:ascii="Palatino Linotype" w:eastAsia="Palatino Linotype" w:hAnsi="Palatino Linotype" w:cs="Palatino Linotype"/>
          <w:b/>
          <w:i/>
          <w:color w:val="000000"/>
        </w:rPr>
        <w:t>FUNDAMENTACION Y MOTIVACION.</w:t>
      </w:r>
      <w:r w:rsidRPr="008B06FF">
        <w:rPr>
          <w:rFonts w:ascii="Palatino Linotype" w:eastAsia="Palatino Linotype" w:hAnsi="Palatino Linotype" w:cs="Palatino Linotype"/>
          <w:i/>
          <w:color w:val="000000"/>
        </w:rPr>
        <w:t xml:space="preserve">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w:t>
      </w:r>
    </w:p>
    <w:p w:rsidR="006C154F" w:rsidRPr="008B06FF" w:rsidRDefault="006C154F" w:rsidP="006C154F">
      <w:pPr>
        <w:spacing w:line="360" w:lineRule="auto"/>
        <w:ind w:right="49"/>
        <w:jc w:val="both"/>
        <w:rPr>
          <w:rFonts w:ascii="Palatino Linotype" w:eastAsia="Palatino Linotype" w:hAnsi="Palatino Linotype" w:cs="Palatino Linotype"/>
        </w:rPr>
      </w:pPr>
    </w:p>
    <w:p w:rsidR="006C154F" w:rsidRPr="008B06FF" w:rsidRDefault="003704C5" w:rsidP="006C154F">
      <w:pPr>
        <w:pStyle w:val="Prrafodelista"/>
        <w:numPr>
          <w:ilvl w:val="0"/>
          <w:numId w:val="6"/>
        </w:numPr>
        <w:spacing w:line="360" w:lineRule="auto"/>
        <w:ind w:right="49"/>
        <w:jc w:val="both"/>
        <w:rPr>
          <w:rFonts w:ascii="Palatino Linotype" w:eastAsia="Palatino Linotype" w:hAnsi="Palatino Linotype" w:cs="Palatino Linotype"/>
        </w:rPr>
      </w:pPr>
      <w:r w:rsidRPr="008B06FF">
        <w:rPr>
          <w:rFonts w:ascii="Palatino Linotype" w:eastAsia="Palatino Linotype" w:hAnsi="Palatino Linotype" w:cs="Palatino Linotype"/>
        </w:rPr>
        <w:t>L</w:t>
      </w:r>
      <w:r w:rsidR="006C154F" w:rsidRPr="008B06FF">
        <w:rPr>
          <w:rFonts w:ascii="Palatino Linotype" w:eastAsia="Palatino Linotype" w:hAnsi="Palatino Linotype" w:cs="Palatino Linotype"/>
        </w:rPr>
        <w:t>os elementos mencionados deben ser considerados para la emisión del Acuerdo de Clasificación del Comité de Transparencia mediante el cual se clasifique como información confidencial de la información requerida</w:t>
      </w:r>
      <w:r w:rsidR="00BF59FF" w:rsidRPr="008B06FF">
        <w:rPr>
          <w:rFonts w:ascii="Palatino Linotype" w:eastAsia="Palatino Linotype" w:hAnsi="Palatino Linotype" w:cs="Palatino Linotype"/>
        </w:rPr>
        <w:t>.</w:t>
      </w:r>
    </w:p>
    <w:p w:rsidR="00333DD7" w:rsidRPr="008B06FF" w:rsidRDefault="00333DD7" w:rsidP="00333DD7">
      <w:pPr>
        <w:pStyle w:val="Prrafodelista"/>
        <w:spacing w:line="360" w:lineRule="auto"/>
        <w:ind w:left="0" w:right="49"/>
        <w:jc w:val="both"/>
        <w:rPr>
          <w:rFonts w:ascii="Palatino Linotype" w:eastAsia="Palatino Linotype" w:hAnsi="Palatino Linotype" w:cs="Palatino Linotype"/>
        </w:rPr>
      </w:pPr>
    </w:p>
    <w:p w:rsidR="00333DD7" w:rsidRPr="008B06FF" w:rsidRDefault="00333DD7" w:rsidP="00333DD7">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Este Organismo Garante no pasa desapercibido que la naturaleza de la información es relacionada con personas en situación de vulnerabilidad, por lo que el Sujeto Obligado </w:t>
      </w:r>
      <w:r w:rsidRPr="008B06FF">
        <w:rPr>
          <w:rFonts w:ascii="Palatino Linotype" w:eastAsia="Palatino Linotype" w:hAnsi="Palatino Linotype" w:cs="Palatino Linotype"/>
        </w:rPr>
        <w:lastRenderedPageBreak/>
        <w:t>deberá elaborar las versiones públicas clasificando cualquier información que identifique o haga identificable a los beneficiarios.</w:t>
      </w:r>
    </w:p>
    <w:p w:rsidR="00BF59FF" w:rsidRPr="008B06FF" w:rsidRDefault="00BF59FF" w:rsidP="00BF59FF">
      <w:pPr>
        <w:pStyle w:val="Prrafodelista"/>
        <w:spacing w:line="360" w:lineRule="auto"/>
        <w:ind w:left="0" w:right="49"/>
        <w:jc w:val="both"/>
        <w:rPr>
          <w:rFonts w:ascii="Palatino Linotype" w:eastAsia="Palatino Linotype" w:hAnsi="Palatino Linotype" w:cs="Palatino Linotype"/>
        </w:rPr>
      </w:pPr>
    </w:p>
    <w:p w:rsidR="00CB32DD" w:rsidRPr="008B06FF" w:rsidRDefault="00CB32DD" w:rsidP="00CB32DD">
      <w:pPr>
        <w:pStyle w:val="Prrafodelista"/>
        <w:numPr>
          <w:ilvl w:val="0"/>
          <w:numId w:val="6"/>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Ahora bien,  es de suma importancia precisar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CB32DD" w:rsidRPr="008B06FF" w:rsidRDefault="00CB32DD" w:rsidP="00CB32DD">
      <w:pPr>
        <w:spacing w:before="240" w:after="240"/>
        <w:ind w:left="567" w:right="539"/>
        <w:jc w:val="both"/>
        <w:rPr>
          <w:rFonts w:ascii="Palatino Linotype" w:eastAsia="Palatino Linotype" w:hAnsi="Palatino Linotype" w:cs="Palatino Linotype"/>
          <w:i/>
          <w:iCs/>
        </w:rPr>
      </w:pPr>
      <w:r w:rsidRPr="008B06FF">
        <w:rPr>
          <w:rFonts w:ascii="Palatino Linotype" w:eastAsia="Palatino Linotype" w:hAnsi="Palatino Linotype" w:cs="Palatino Linotype"/>
          <w:i/>
          <w:iCs/>
        </w:rPr>
        <w:t>“</w:t>
      </w:r>
      <w:r w:rsidRPr="008B06FF">
        <w:rPr>
          <w:rFonts w:ascii="Palatino Linotype" w:eastAsia="Palatino Linotype" w:hAnsi="Palatino Linotype" w:cs="Palatino Linotype"/>
          <w:b/>
          <w:bCs/>
          <w:i/>
          <w:iCs/>
        </w:rPr>
        <w:t>Artículo 4</w:t>
      </w:r>
      <w:r w:rsidRPr="008B06FF">
        <w:rPr>
          <w:rFonts w:ascii="Palatino Linotype" w:eastAsia="Palatino Linotype" w:hAnsi="Palatino Linotype" w:cs="Palatino Linotype"/>
          <w:i/>
          <w:iCs/>
        </w:rPr>
        <w:t xml:space="preserve">. El derecho humano de acceso a la información pública es la prerrogativa de las personas para buscar, difundir, investigar, recabar, recibir y solicitar información pública, sin necesidad de acreditar personalidad ni interés jurídico. </w:t>
      </w:r>
    </w:p>
    <w:p w:rsidR="00CB32DD" w:rsidRPr="008B06FF" w:rsidRDefault="00CB32DD" w:rsidP="00CB32DD">
      <w:pPr>
        <w:spacing w:before="240" w:after="240"/>
        <w:ind w:left="708" w:right="539" w:hanging="141"/>
        <w:jc w:val="both"/>
        <w:rPr>
          <w:rFonts w:ascii="Palatino Linotype" w:eastAsia="Palatino Linotype" w:hAnsi="Palatino Linotype" w:cs="Palatino Linotype"/>
          <w:b/>
          <w:bCs/>
          <w:i/>
          <w:iCs/>
        </w:rPr>
      </w:pPr>
      <w:r w:rsidRPr="008B06FF">
        <w:rPr>
          <w:rFonts w:ascii="Palatino Linotype" w:eastAsia="Palatino Linotype" w:hAnsi="Palatino Linotype" w:cs="Palatino Linotype"/>
          <w:b/>
          <w:bCs/>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rsidR="00CB32DD" w:rsidRPr="008B06FF" w:rsidRDefault="00CB32DD" w:rsidP="00CB32DD">
      <w:pPr>
        <w:spacing w:before="240" w:after="240"/>
        <w:ind w:left="567" w:right="539"/>
        <w:jc w:val="both"/>
        <w:rPr>
          <w:rFonts w:ascii="Palatino Linotype" w:eastAsia="Palatino Linotype" w:hAnsi="Palatino Linotype" w:cs="Palatino Linotype"/>
          <w:i/>
          <w:iCs/>
        </w:rPr>
      </w:pPr>
      <w:r w:rsidRPr="008B06FF">
        <w:rPr>
          <w:rFonts w:ascii="Palatino Linotype" w:eastAsia="Palatino Linotype" w:hAnsi="Palatino Linotype" w:cs="Palatino Linotype"/>
          <w:i/>
          <w:iCs/>
        </w:rPr>
        <w:lastRenderedPageBreak/>
        <w:t>Los sujetos obligados deben poner en práctica, políticas y programas de acceso a la información que se apeguen a criterios de publicidad, veracidad, oportunidad, precisión y suficiencia en beneficio de los solicitantes.”(Sic)</w:t>
      </w:r>
    </w:p>
    <w:p w:rsidR="00CB32DD" w:rsidRPr="008B06FF" w:rsidRDefault="00CB32DD" w:rsidP="00CB32DD">
      <w:pPr>
        <w:numPr>
          <w:ilvl w:val="0"/>
          <w:numId w:val="6"/>
        </w:numPr>
        <w:spacing w:before="240"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rsidR="00CB32DD" w:rsidRPr="008B06FF" w:rsidRDefault="00CB32DD" w:rsidP="00CB32DD">
      <w:pPr>
        <w:spacing w:after="240"/>
        <w:ind w:left="567" w:right="539"/>
        <w:jc w:val="both"/>
        <w:rPr>
          <w:rFonts w:ascii="Palatino Linotype" w:eastAsia="Palatino Linotype" w:hAnsi="Palatino Linotype" w:cs="Palatino Linotype"/>
          <w:i/>
          <w:iCs/>
        </w:rPr>
      </w:pPr>
      <w:r w:rsidRPr="008B06FF">
        <w:rPr>
          <w:rFonts w:ascii="Palatino Linotype" w:eastAsia="Palatino Linotype" w:hAnsi="Palatino Linotype" w:cs="Palatino Linotype"/>
          <w:i/>
          <w:iCs/>
        </w:rPr>
        <w:t>“</w:t>
      </w:r>
      <w:r w:rsidRPr="008B06FF">
        <w:rPr>
          <w:rFonts w:ascii="Palatino Linotype" w:eastAsia="Palatino Linotype" w:hAnsi="Palatino Linotype" w:cs="Palatino Linotype"/>
          <w:b/>
          <w:bCs/>
          <w:i/>
          <w:iCs/>
        </w:rPr>
        <w:t>Artículo 12</w:t>
      </w:r>
      <w:r w:rsidRPr="008B06FF">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rsidR="00CB32DD" w:rsidRDefault="00CB32DD" w:rsidP="00CB32DD">
      <w:pPr>
        <w:spacing w:before="240" w:after="240"/>
        <w:ind w:left="567" w:right="539"/>
        <w:jc w:val="both"/>
        <w:rPr>
          <w:rFonts w:ascii="Palatino Linotype" w:eastAsia="Palatino Linotype" w:hAnsi="Palatino Linotype" w:cs="Palatino Linotype"/>
          <w:i/>
          <w:iCs/>
        </w:rPr>
      </w:pPr>
      <w:r w:rsidRPr="008B06FF">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rsidR="008B06FF" w:rsidRPr="008B06FF" w:rsidRDefault="008B06FF" w:rsidP="00CB32DD">
      <w:pPr>
        <w:spacing w:before="240" w:after="240"/>
        <w:ind w:left="567" w:right="539"/>
        <w:jc w:val="both"/>
        <w:rPr>
          <w:rFonts w:ascii="Palatino Linotype" w:eastAsia="Palatino Linotype" w:hAnsi="Palatino Linotype" w:cs="Palatino Linotype"/>
          <w:i/>
          <w:iCs/>
        </w:rPr>
      </w:pPr>
    </w:p>
    <w:p w:rsidR="00CB32DD" w:rsidRPr="008B06FF" w:rsidRDefault="00CB32DD" w:rsidP="00CB32DD">
      <w:pPr>
        <w:numPr>
          <w:ilvl w:val="0"/>
          <w:numId w:val="6"/>
        </w:numPr>
        <w:spacing w:before="240"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Es decir, que el derecho de acceso a la información pública se satisface en aquellos casos en que se entregue documento en que conste la información requerida, toda vez que, los Sujetos Obligados</w:t>
      </w:r>
      <w:r w:rsidRPr="008B06FF">
        <w:rPr>
          <w:rFonts w:ascii="Palatino Linotype" w:eastAsia="Palatino Linotype" w:hAnsi="Palatino Linotype" w:cs="Palatino Linotype"/>
          <w:b/>
          <w:bCs/>
        </w:rPr>
        <w:t xml:space="preserve"> </w:t>
      </w:r>
      <w:r w:rsidRPr="008B06FF">
        <w:rPr>
          <w:rFonts w:ascii="Palatino Linotype" w:eastAsia="Palatino Linotype" w:hAnsi="Palatino Linotype" w:cs="Palatino Linotype"/>
        </w:rPr>
        <w:t xml:space="preserve">no tienen el deber de generar, poseer o administrar la información pública con el grado de detalle solicitado; esto es, que no tienen el deber de generar un documento </w:t>
      </w:r>
      <w:r w:rsidRPr="008B06FF">
        <w:rPr>
          <w:rFonts w:ascii="Palatino Linotype" w:eastAsia="Palatino Linotype" w:hAnsi="Palatino Linotype" w:cs="Palatino Linotype"/>
          <w:i/>
          <w:iCs/>
        </w:rPr>
        <w:t>ad hoc</w:t>
      </w:r>
      <w:r w:rsidRPr="008B06FF">
        <w:rPr>
          <w:rFonts w:ascii="Palatino Linotype" w:eastAsia="Palatino Linotype" w:hAnsi="Palatino Linotype" w:cs="Palatino Linotype"/>
        </w:rPr>
        <w:t>, para satisfacer el derecho de acceso a la información pública, como así lo establece</w:t>
      </w:r>
      <w:r w:rsidRPr="008B06FF">
        <w:rPr>
          <w:rFonts w:ascii="Palatino Linotype" w:eastAsia="Palatino Linotype" w:hAnsi="Palatino Linotype" w:cs="Palatino Linotype"/>
          <w:strike/>
          <w:color w:val="FF0000"/>
        </w:rPr>
        <w:t xml:space="preserve"> </w:t>
      </w:r>
      <w:r w:rsidRPr="008B06FF">
        <w:rPr>
          <w:rFonts w:ascii="Palatino Linotype" w:eastAsia="Palatino Linotype" w:hAnsi="Palatino Linotype" w:cs="Palatino Linotype"/>
        </w:rPr>
        <w:t>el criterio 03/17 emitido por el Instituto Nacional de Transparencia, Acceso a la Información Pública y Protección de Datos Personales, los cuales señalan lo siguiente:</w:t>
      </w:r>
    </w:p>
    <w:p w:rsidR="00CB32DD" w:rsidRPr="008B06FF" w:rsidRDefault="00CB32DD" w:rsidP="00CB32DD">
      <w:pPr>
        <w:spacing w:after="240"/>
        <w:ind w:left="567" w:right="539"/>
        <w:jc w:val="both"/>
        <w:rPr>
          <w:rFonts w:ascii="Palatino Linotype" w:eastAsia="Palatino Linotype" w:hAnsi="Palatino Linotype" w:cs="Palatino Linotype"/>
          <w:b/>
          <w:bCs/>
          <w:i/>
          <w:iCs/>
        </w:rPr>
      </w:pPr>
      <w:r w:rsidRPr="008B06FF">
        <w:rPr>
          <w:rFonts w:ascii="Palatino Linotype" w:eastAsia="Palatino Linotype" w:hAnsi="Palatino Linotype" w:cs="Palatino Linotype"/>
          <w:b/>
          <w:bCs/>
          <w:i/>
          <w:iCs/>
        </w:rPr>
        <w:t>03/17</w:t>
      </w:r>
    </w:p>
    <w:p w:rsidR="00CB32DD" w:rsidRPr="008B06FF" w:rsidRDefault="00CB32DD" w:rsidP="00CB32DD">
      <w:pPr>
        <w:spacing w:before="240" w:after="240"/>
        <w:ind w:left="567" w:right="539"/>
        <w:jc w:val="both"/>
        <w:rPr>
          <w:rFonts w:ascii="Palatino Linotype" w:eastAsia="Palatino Linotype" w:hAnsi="Palatino Linotype" w:cs="Palatino Linotype"/>
          <w:b/>
          <w:bCs/>
          <w:i/>
          <w:iCs/>
        </w:rPr>
      </w:pPr>
      <w:r w:rsidRPr="008B06FF">
        <w:rPr>
          <w:rFonts w:ascii="Palatino Linotype" w:eastAsia="Palatino Linotype" w:hAnsi="Palatino Linotype" w:cs="Palatino Linotype"/>
          <w:b/>
          <w:bCs/>
          <w:i/>
          <w:iCs/>
        </w:rPr>
        <w:lastRenderedPageBreak/>
        <w:t>“NO EXISTE OBLIGACIÓN DE ELABORAR DOCUMENTOS AD HOC PARA ATENDER LAS SOLICITUDES DE ACCESO A LA INFORMACIÓN.</w:t>
      </w:r>
    </w:p>
    <w:p w:rsidR="00CB32DD" w:rsidRDefault="00CB32DD" w:rsidP="00CB32DD">
      <w:pPr>
        <w:spacing w:before="240" w:after="240"/>
        <w:ind w:left="567" w:right="539"/>
        <w:jc w:val="both"/>
        <w:rPr>
          <w:rFonts w:ascii="Palatino Linotype" w:eastAsia="Palatino Linotype" w:hAnsi="Palatino Linotype" w:cs="Palatino Linotype"/>
          <w:i/>
          <w:iCs/>
        </w:rPr>
      </w:pPr>
      <w:r w:rsidRPr="008B06FF">
        <w:rPr>
          <w:rFonts w:ascii="Palatino Linotype" w:eastAsia="Palatino Linotype" w:hAnsi="Palatino Linotype" w:cs="Palatino Linotype"/>
          <w:i/>
          <w:iCs/>
        </w:rPr>
        <w:t>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rsidR="008B06FF" w:rsidRPr="008B06FF" w:rsidRDefault="008B06FF" w:rsidP="00CB32DD">
      <w:pPr>
        <w:spacing w:before="240" w:after="240"/>
        <w:ind w:left="567" w:right="539"/>
        <w:jc w:val="both"/>
        <w:rPr>
          <w:rFonts w:ascii="Palatino Linotype" w:eastAsia="Palatino Linotype" w:hAnsi="Palatino Linotype" w:cs="Palatino Linotype"/>
          <w:i/>
          <w:iCs/>
        </w:rPr>
      </w:pPr>
    </w:p>
    <w:p w:rsidR="00CB32DD" w:rsidRPr="008B06FF" w:rsidRDefault="00CB32DD" w:rsidP="00CB32DD">
      <w:pPr>
        <w:numPr>
          <w:ilvl w:val="0"/>
          <w:numId w:val="6"/>
        </w:numPr>
        <w:spacing w:before="240"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CB32DD" w:rsidRPr="008B06FF" w:rsidRDefault="00CB32DD" w:rsidP="00CB32DD">
      <w:pPr>
        <w:spacing w:after="240" w:line="360" w:lineRule="auto"/>
        <w:jc w:val="both"/>
        <w:rPr>
          <w:rFonts w:ascii="Palatino Linotype" w:eastAsia="Palatino Linotype" w:hAnsi="Palatino Linotype" w:cs="Palatino Linotype"/>
        </w:rPr>
      </w:pPr>
    </w:p>
    <w:p w:rsidR="00CB32DD" w:rsidRPr="008B06FF" w:rsidRDefault="00CB32DD" w:rsidP="00CB32DD">
      <w:pPr>
        <w:numPr>
          <w:ilvl w:val="0"/>
          <w:numId w:val="6"/>
        </w:numPr>
        <w:spacing w:before="240"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CB32DD" w:rsidRPr="008B06FF" w:rsidRDefault="00CB32DD" w:rsidP="00CB32DD">
      <w:pPr>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lastRenderedPageBreak/>
        <w:t xml:space="preserve">En conclusión, el derecho de acceso a la información pública, consiste en que la información solicitada conste en un documento en cualquiera de sus formas, a saber: expedientes, reportes, estudios, actas, resoluciones, </w:t>
      </w:r>
      <w:r w:rsidRPr="008B06FF">
        <w:rPr>
          <w:rFonts w:ascii="Palatino Linotype" w:eastAsia="Palatino Linotype" w:hAnsi="Palatino Linotype" w:cs="Palatino Linotype"/>
          <w:b/>
          <w:bCs/>
          <w:u w:val="single"/>
        </w:rPr>
        <w:t>oficios</w:t>
      </w:r>
      <w:r w:rsidRPr="008B06FF">
        <w:rPr>
          <w:rFonts w:ascii="Palatino Linotype" w:eastAsia="Palatino Linotype" w:hAnsi="Palatino Linotype" w:cs="Palatino Linotype"/>
        </w:rPr>
        <w:t xml:space="preserve">,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rsidR="00CB32DD" w:rsidRPr="008B06FF" w:rsidRDefault="00CB32DD" w:rsidP="00CB32DD">
      <w:pPr>
        <w:spacing w:after="240"/>
        <w:ind w:left="567" w:right="539"/>
        <w:jc w:val="both"/>
        <w:rPr>
          <w:rFonts w:ascii="Palatino Linotype" w:eastAsia="Palatino Linotype" w:hAnsi="Palatino Linotype" w:cs="Palatino Linotype"/>
          <w:i/>
          <w:iCs/>
        </w:rPr>
      </w:pPr>
      <w:r w:rsidRPr="008B06FF">
        <w:rPr>
          <w:rFonts w:ascii="Palatino Linotype" w:eastAsia="Palatino Linotype" w:hAnsi="Palatino Linotype" w:cs="Palatino Linotype"/>
          <w:i/>
          <w:iCs/>
        </w:rPr>
        <w:t>“</w:t>
      </w:r>
      <w:r w:rsidRPr="008B06FF">
        <w:rPr>
          <w:rFonts w:ascii="Palatino Linotype" w:eastAsia="Palatino Linotype" w:hAnsi="Palatino Linotype" w:cs="Palatino Linotype"/>
          <w:b/>
          <w:bCs/>
          <w:i/>
          <w:iCs/>
        </w:rPr>
        <w:t xml:space="preserve">Artículo 3. </w:t>
      </w:r>
      <w:r w:rsidRPr="008B06FF">
        <w:rPr>
          <w:rFonts w:ascii="Palatino Linotype" w:eastAsia="Palatino Linotype" w:hAnsi="Palatino Linotype" w:cs="Palatino Linotype"/>
          <w:i/>
          <w:iCs/>
        </w:rPr>
        <w:t>Para los efectos de la presente Ley se entenderá por:</w:t>
      </w:r>
    </w:p>
    <w:p w:rsidR="00CB32DD" w:rsidRPr="008B06FF" w:rsidRDefault="00CB32DD" w:rsidP="00CB32DD">
      <w:pPr>
        <w:spacing w:before="240" w:after="240"/>
        <w:ind w:left="567" w:right="539"/>
        <w:jc w:val="both"/>
        <w:rPr>
          <w:rFonts w:ascii="Palatino Linotype" w:eastAsia="Palatino Linotype" w:hAnsi="Palatino Linotype" w:cs="Palatino Linotype"/>
          <w:i/>
          <w:iCs/>
        </w:rPr>
      </w:pPr>
      <w:r w:rsidRPr="008B06FF">
        <w:rPr>
          <w:rFonts w:ascii="Palatino Linotype" w:eastAsia="Palatino Linotype" w:hAnsi="Palatino Linotype" w:cs="Palatino Linotype"/>
          <w:i/>
          <w:iCs/>
        </w:rPr>
        <w:t>…</w:t>
      </w:r>
    </w:p>
    <w:p w:rsidR="00CB32DD" w:rsidRDefault="00CB32DD" w:rsidP="00CB32DD">
      <w:pPr>
        <w:spacing w:before="240" w:after="240"/>
        <w:ind w:left="567" w:right="539"/>
        <w:jc w:val="both"/>
        <w:rPr>
          <w:rFonts w:ascii="Palatino Linotype" w:eastAsia="Palatino Linotype" w:hAnsi="Palatino Linotype" w:cs="Palatino Linotype"/>
          <w:i/>
          <w:iCs/>
        </w:rPr>
      </w:pPr>
      <w:r w:rsidRPr="008B06FF">
        <w:rPr>
          <w:rFonts w:ascii="Palatino Linotype" w:eastAsia="Palatino Linotype" w:hAnsi="Palatino Linotype" w:cs="Palatino Linotype"/>
          <w:b/>
          <w:bCs/>
          <w:i/>
          <w:iCs/>
        </w:rPr>
        <w:t>XI. Documento:</w:t>
      </w:r>
      <w:r w:rsidRPr="008B06FF">
        <w:rPr>
          <w:rFonts w:ascii="Palatino Linotype" w:eastAsia="Palatino Linotype" w:hAnsi="Palatino Linotype" w:cs="Palatino Linotype"/>
          <w:i/>
          <w:iCs/>
        </w:rPr>
        <w:t xml:space="preserve"> Los expedientes, reportes, estudios, </w:t>
      </w:r>
      <w:r w:rsidRPr="008B06FF">
        <w:rPr>
          <w:rFonts w:ascii="Palatino Linotype" w:eastAsia="Palatino Linotype" w:hAnsi="Palatino Linotype" w:cs="Palatino Linotype"/>
          <w:b/>
          <w:bCs/>
          <w:i/>
          <w:iCs/>
        </w:rPr>
        <w:t>actas,</w:t>
      </w:r>
      <w:r w:rsidRPr="008B06FF">
        <w:rPr>
          <w:rFonts w:ascii="Palatino Linotype" w:eastAsia="Palatino Linotype" w:hAnsi="Palatino Linotype" w:cs="Palatino Linotype"/>
          <w:i/>
          <w:iCs/>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sidRPr="008B06FF">
        <w:rPr>
          <w:rFonts w:ascii="Palatino Linotype" w:eastAsia="Palatino Linotype" w:hAnsi="Palatino Linotype" w:cs="Palatino Linotype"/>
          <w:b/>
          <w:bCs/>
          <w:i/>
          <w:iCs/>
        </w:rPr>
        <w:t>…</w:t>
      </w:r>
      <w:r w:rsidRPr="008B06FF">
        <w:rPr>
          <w:rFonts w:ascii="Palatino Linotype" w:eastAsia="Palatino Linotype" w:hAnsi="Palatino Linotype" w:cs="Palatino Linotype"/>
          <w:i/>
          <w:iCs/>
        </w:rPr>
        <w:t>” (Sic)</w:t>
      </w:r>
    </w:p>
    <w:p w:rsidR="008B06FF" w:rsidRPr="008B06FF" w:rsidRDefault="008B06FF" w:rsidP="00CB32DD">
      <w:pPr>
        <w:spacing w:before="240" w:after="240"/>
        <w:ind w:left="567" w:right="539"/>
        <w:jc w:val="both"/>
        <w:rPr>
          <w:rFonts w:ascii="Palatino Linotype" w:eastAsia="Palatino Linotype" w:hAnsi="Palatino Linotype" w:cs="Palatino Linotype"/>
          <w:i/>
          <w:iCs/>
        </w:rPr>
      </w:pPr>
    </w:p>
    <w:p w:rsidR="00CB32DD" w:rsidRPr="008B06FF" w:rsidRDefault="00CB32DD" w:rsidP="00CB32DD">
      <w:pPr>
        <w:numPr>
          <w:ilvl w:val="0"/>
          <w:numId w:val="6"/>
        </w:numPr>
        <w:spacing w:before="240"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CB32DD" w:rsidRPr="008B06FF" w:rsidRDefault="00CB32DD" w:rsidP="00CB32DD">
      <w:pPr>
        <w:spacing w:after="240"/>
        <w:ind w:left="567" w:right="539"/>
        <w:jc w:val="both"/>
        <w:rPr>
          <w:rFonts w:ascii="Palatino Linotype" w:eastAsia="Palatino Linotype" w:hAnsi="Palatino Linotype" w:cs="Palatino Linotype"/>
          <w:b/>
          <w:bCs/>
          <w:i/>
          <w:iCs/>
        </w:rPr>
      </w:pPr>
      <w:r w:rsidRPr="008B06FF">
        <w:rPr>
          <w:rFonts w:ascii="Palatino Linotype" w:eastAsia="Palatino Linotype" w:hAnsi="Palatino Linotype" w:cs="Palatino Linotype"/>
          <w:b/>
          <w:bCs/>
        </w:rPr>
        <w:t>“</w:t>
      </w:r>
      <w:r w:rsidRPr="008B06FF">
        <w:rPr>
          <w:rFonts w:ascii="Palatino Linotype" w:eastAsia="Palatino Linotype" w:hAnsi="Palatino Linotype" w:cs="Palatino Linotype"/>
          <w:b/>
          <w:bCs/>
          <w:i/>
          <w:iCs/>
        </w:rPr>
        <w:t>CRITERIO 0002-11</w:t>
      </w:r>
    </w:p>
    <w:p w:rsidR="00CB32DD" w:rsidRPr="008B06FF" w:rsidRDefault="00CB32DD" w:rsidP="00CB32DD">
      <w:pPr>
        <w:spacing w:before="240" w:after="240"/>
        <w:ind w:left="567" w:right="539"/>
        <w:jc w:val="both"/>
        <w:rPr>
          <w:rFonts w:ascii="Palatino Linotype" w:eastAsia="Palatino Linotype" w:hAnsi="Palatino Linotype" w:cs="Palatino Linotype"/>
          <w:i/>
          <w:iCs/>
        </w:rPr>
      </w:pPr>
      <w:r w:rsidRPr="008B06FF">
        <w:rPr>
          <w:rFonts w:ascii="Palatino Linotype" w:eastAsia="Palatino Linotype" w:hAnsi="Palatino Linotype" w:cs="Palatino Linotype"/>
          <w:b/>
          <w:bCs/>
          <w:i/>
          <w:iCs/>
        </w:rPr>
        <w:lastRenderedPageBreak/>
        <w:t>INFORMACIÓN PÚBLICA, CONCEPTO DE, EN MATERIA DE TRANSPARENCIA. INTERPRETACIÓN SISTEMÁTICA DE LOS ARTÍCULOS 2°, FRACCIÓN V, XV, Y XVI, 3°, 4°, 11 Y 41.</w:t>
      </w:r>
      <w:r w:rsidRPr="008B06FF">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CB32DD" w:rsidRPr="008B06FF" w:rsidRDefault="00CB32DD" w:rsidP="00CB32DD">
      <w:pPr>
        <w:spacing w:before="240" w:after="240"/>
        <w:ind w:left="567" w:right="539"/>
        <w:jc w:val="both"/>
        <w:rPr>
          <w:rFonts w:ascii="Palatino Linotype" w:eastAsia="Palatino Linotype" w:hAnsi="Palatino Linotype" w:cs="Palatino Linotype"/>
          <w:i/>
          <w:iCs/>
        </w:rPr>
      </w:pPr>
      <w:r w:rsidRPr="008B06FF">
        <w:rPr>
          <w:rFonts w:ascii="Palatino Linotype" w:eastAsia="Palatino Linotype" w:hAnsi="Palatino Linotype" w:cs="Palatino Linotype"/>
          <w:i/>
          <w:iCs/>
        </w:rPr>
        <w:t>En consecuencia el acceso a la información se refiere a que se cumplan cualquiera de los siguientes tres supuestos:</w:t>
      </w:r>
    </w:p>
    <w:p w:rsidR="00CB32DD" w:rsidRPr="008B06FF" w:rsidRDefault="00CB32DD" w:rsidP="00CB32DD">
      <w:pPr>
        <w:numPr>
          <w:ilvl w:val="0"/>
          <w:numId w:val="29"/>
        </w:numPr>
        <w:spacing w:before="240" w:after="240"/>
        <w:ind w:left="567" w:right="539"/>
        <w:jc w:val="both"/>
        <w:rPr>
          <w:rFonts w:ascii="Palatino Linotype" w:eastAsia="Palatino Linotype" w:hAnsi="Palatino Linotype" w:cs="Palatino Linotype"/>
          <w:b/>
          <w:bCs/>
          <w:i/>
          <w:iCs/>
        </w:rPr>
      </w:pPr>
      <w:r w:rsidRPr="008B06FF">
        <w:rPr>
          <w:rFonts w:ascii="Palatino Linotype" w:eastAsia="Palatino Linotype" w:hAnsi="Palatino Linotype" w:cs="Palatino Linotype"/>
          <w:b/>
          <w:bCs/>
          <w:i/>
          <w:iCs/>
        </w:rPr>
        <w:t>Que se trate de información registrada en cualquier soporte documental, que en ejercicio de las atribuciones conferidas, sea generada por los Sujetos Obligados;</w:t>
      </w:r>
    </w:p>
    <w:p w:rsidR="00CB32DD" w:rsidRPr="008B06FF" w:rsidRDefault="00CB32DD" w:rsidP="00CB32DD">
      <w:pPr>
        <w:numPr>
          <w:ilvl w:val="0"/>
          <w:numId w:val="29"/>
        </w:numPr>
        <w:spacing w:before="240" w:after="240"/>
        <w:ind w:left="567" w:right="539"/>
        <w:jc w:val="both"/>
        <w:rPr>
          <w:rFonts w:ascii="Palatino Linotype" w:eastAsia="Palatino Linotype" w:hAnsi="Palatino Linotype" w:cs="Palatino Linotype"/>
          <w:i/>
          <w:iCs/>
        </w:rPr>
      </w:pPr>
      <w:r w:rsidRPr="008B06FF">
        <w:rPr>
          <w:rFonts w:ascii="Palatino Linotype" w:eastAsia="Palatino Linotype" w:hAnsi="Palatino Linotype" w:cs="Palatino Linotype"/>
          <w:i/>
          <w:iCs/>
        </w:rPr>
        <w:t>Que se trate de información registrada en cualquier soporte documental, que en ejercicio de las atribuciones conferidas, sea administrada por los Sujetos Obligados, y</w:t>
      </w:r>
    </w:p>
    <w:p w:rsidR="008B06FF" w:rsidRDefault="00CB32DD" w:rsidP="008B06FF">
      <w:pPr>
        <w:pStyle w:val="Prrafodelista"/>
        <w:numPr>
          <w:ilvl w:val="0"/>
          <w:numId w:val="29"/>
        </w:numPr>
        <w:spacing w:before="240" w:after="240"/>
        <w:ind w:left="567" w:right="539"/>
        <w:jc w:val="both"/>
        <w:rPr>
          <w:rFonts w:ascii="Palatino Linotype" w:eastAsia="Palatino Linotype" w:hAnsi="Palatino Linotype" w:cs="Palatino Linotype"/>
          <w:i/>
          <w:iCs/>
        </w:rPr>
      </w:pPr>
      <w:r w:rsidRPr="008B06FF">
        <w:rPr>
          <w:rFonts w:ascii="Palatino Linotype" w:eastAsia="Palatino Linotype" w:hAnsi="Palatino Linotype" w:cs="Palatino Linotype"/>
          <w:i/>
          <w:iCs/>
        </w:rPr>
        <w:t>Que se trate de información registrada en cualquier soporte documental, que en ejercicio de las atribuciones conferidas, se encuentre en posesión de los Sujetos Obligados.” (Sic)</w:t>
      </w:r>
    </w:p>
    <w:p w:rsidR="008B06FF" w:rsidRPr="008B06FF" w:rsidRDefault="008B06FF" w:rsidP="008B06FF">
      <w:pPr>
        <w:pStyle w:val="Prrafodelista"/>
        <w:spacing w:before="240" w:after="240"/>
        <w:ind w:left="1494" w:right="539"/>
        <w:jc w:val="both"/>
        <w:rPr>
          <w:rFonts w:ascii="Palatino Linotype" w:eastAsia="Palatino Linotype" w:hAnsi="Palatino Linotype" w:cs="Palatino Linotype"/>
          <w:i/>
          <w:iCs/>
        </w:rPr>
      </w:pPr>
    </w:p>
    <w:p w:rsidR="00CB32DD" w:rsidRPr="008B06FF" w:rsidRDefault="00CB32DD" w:rsidP="00CB32DD">
      <w:pPr>
        <w:numPr>
          <w:ilvl w:val="0"/>
          <w:numId w:val="6"/>
        </w:numPr>
        <w:spacing w:line="360" w:lineRule="auto"/>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rPr>
        <w:t xml:space="preserve">De ahí que </w:t>
      </w:r>
      <w:r w:rsidRPr="008B06FF">
        <w:rPr>
          <w:rFonts w:ascii="Palatino Linotype" w:eastAsia="Palatino Linotype" w:hAnsi="Palatino Linotype" w:cs="Palatino Linotype"/>
          <w:b/>
          <w:bCs/>
        </w:rPr>
        <w:t>EL</w:t>
      </w:r>
      <w:r w:rsidRPr="008B06FF">
        <w:rPr>
          <w:rFonts w:ascii="Palatino Linotype" w:eastAsia="Palatino Linotype" w:hAnsi="Palatino Linotype" w:cs="Palatino Linotype"/>
        </w:rPr>
        <w:t xml:space="preserve"> </w:t>
      </w:r>
      <w:r w:rsidRPr="008B06FF">
        <w:rPr>
          <w:rFonts w:ascii="Palatino Linotype" w:eastAsia="Palatino Linotype" w:hAnsi="Palatino Linotype" w:cs="Palatino Linotype"/>
          <w:b/>
          <w:bCs/>
        </w:rPr>
        <w:t>SUJETO OBLIGADO</w:t>
      </w:r>
      <w:r w:rsidRPr="008B06FF">
        <w:rPr>
          <w:rFonts w:ascii="Palatino Linotype" w:eastAsia="Palatino Linotype" w:hAnsi="Palatino Linotype" w:cs="Palatino Linotype"/>
        </w:rPr>
        <w:t xml:space="preserve">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w:t>
      </w:r>
      <w:r w:rsidRPr="008B06FF">
        <w:rPr>
          <w:rFonts w:ascii="Palatino Linotype" w:eastAsia="Palatino Linotype" w:hAnsi="Palatino Linotype" w:cs="Palatino Linotype"/>
          <w:vertAlign w:val="superscript"/>
        </w:rPr>
        <w:footnoteReference w:id="1"/>
      </w:r>
      <w:r w:rsidRPr="008B06FF">
        <w:rPr>
          <w:rFonts w:ascii="Palatino Linotype" w:eastAsia="Palatino Linotype" w:hAnsi="Palatino Linotype" w:cs="Palatino Linotype"/>
        </w:rPr>
        <w:t xml:space="preserve">, así como de interés público, es decir, aquella que resulta relevante o beneficiosa para la sociedad y no simplemente de interés individual, y cuya divulgación </w:t>
      </w:r>
      <w:r w:rsidRPr="008B06FF">
        <w:rPr>
          <w:rFonts w:ascii="Palatino Linotype" w:eastAsia="Palatino Linotype" w:hAnsi="Palatino Linotype" w:cs="Palatino Linotype"/>
        </w:rPr>
        <w:lastRenderedPageBreak/>
        <w:t>resulta útil para que el público comprenda las actividades que llevan a cabo los Sujetos Obligados</w:t>
      </w:r>
      <w:r w:rsidRPr="008B06FF">
        <w:rPr>
          <w:rFonts w:ascii="Palatino Linotype" w:eastAsia="Palatino Linotype" w:hAnsi="Palatino Linotype" w:cs="Palatino Linotype"/>
          <w:vertAlign w:val="superscript"/>
        </w:rPr>
        <w:footnoteReference w:id="2"/>
      </w:r>
      <w:r w:rsidRPr="008B06FF">
        <w:rPr>
          <w:rFonts w:ascii="Palatino Linotype" w:eastAsia="Palatino Linotype" w:hAnsi="Palatino Linotype" w:cs="Palatino Linotype"/>
        </w:rPr>
        <w:t>.</w:t>
      </w:r>
    </w:p>
    <w:p w:rsidR="008013EC" w:rsidRPr="008B06FF" w:rsidRDefault="008013EC" w:rsidP="008013EC">
      <w:pPr>
        <w:spacing w:line="360" w:lineRule="auto"/>
        <w:jc w:val="both"/>
        <w:rPr>
          <w:rFonts w:ascii="Palatino Linotype" w:eastAsia="Palatino Linotype" w:hAnsi="Palatino Linotype" w:cs="Palatino Linotype"/>
          <w:color w:val="000000"/>
        </w:rPr>
      </w:pPr>
    </w:p>
    <w:p w:rsidR="008013EC" w:rsidRPr="008B06FF" w:rsidRDefault="008013EC" w:rsidP="004313C8">
      <w:pPr>
        <w:numPr>
          <w:ilvl w:val="0"/>
          <w:numId w:val="6"/>
        </w:numPr>
        <w:spacing w:line="360" w:lineRule="auto"/>
        <w:contextualSpacing/>
        <w:jc w:val="both"/>
        <w:rPr>
          <w:rFonts w:ascii="Palatino Linotype" w:hAnsi="Palatino Linotype"/>
          <w:color w:val="000000"/>
        </w:rPr>
      </w:pPr>
      <w:r w:rsidRPr="008B06FF">
        <w:rPr>
          <w:rFonts w:ascii="Palatino Linotype" w:hAnsi="Palatino Linotype"/>
          <w:color w:val="000000"/>
        </w:rPr>
        <w:t>Precisado lo anterior, resulta viable establecer que a pesar de que el SUJETO OBLIGADO, cuenta con la información solicitada, este no garantizó el derecho de acceso a la información del particular, argumentando que la elaboración de las versiones públicas exced</w:t>
      </w:r>
      <w:r w:rsidR="004313C8" w:rsidRPr="008B06FF">
        <w:rPr>
          <w:rFonts w:ascii="Palatino Linotype" w:hAnsi="Palatino Linotype"/>
          <w:color w:val="000000"/>
        </w:rPr>
        <w:t>en los recursos disponibles, ello aunado a que el volumen de la información sobrepasa las capacidades humanas, al constar de 644 expedientes dando un total de 5, 976 fojas, sin embargo al considerar que los expedientes solicitados constan de documentos que por su naturaleza, son clasificados en su totalidad, y que como ya se refirió en líneas anteriores, solo es viable la entrega del estudio socioeconómico y la solicitud de ingreso al Programa, es evidente que los</w:t>
      </w:r>
      <w:r w:rsidRPr="008B06FF">
        <w:rPr>
          <w:rFonts w:ascii="Palatino Linotype" w:hAnsi="Palatino Linotype"/>
          <w:color w:val="000000"/>
        </w:rPr>
        <w:t xml:space="preserve"> documento</w:t>
      </w:r>
      <w:r w:rsidR="004313C8" w:rsidRPr="008B06FF">
        <w:rPr>
          <w:rFonts w:ascii="Palatino Linotype" w:hAnsi="Palatino Linotype"/>
          <w:color w:val="000000"/>
        </w:rPr>
        <w:t>s</w:t>
      </w:r>
      <w:r w:rsidRPr="008B06FF">
        <w:rPr>
          <w:rFonts w:ascii="Palatino Linotype" w:hAnsi="Palatino Linotype"/>
          <w:color w:val="000000"/>
        </w:rPr>
        <w:t xml:space="preserve"> </w:t>
      </w:r>
      <w:r w:rsidR="004313C8" w:rsidRPr="008B06FF">
        <w:rPr>
          <w:rFonts w:ascii="Palatino Linotype" w:hAnsi="Palatino Linotype"/>
          <w:color w:val="000000"/>
        </w:rPr>
        <w:t xml:space="preserve">viables de entregar </w:t>
      </w:r>
      <w:r w:rsidRPr="008B06FF">
        <w:rPr>
          <w:rFonts w:ascii="Palatino Linotype" w:hAnsi="Palatino Linotype"/>
          <w:color w:val="000000"/>
        </w:rPr>
        <w:t>no rebasa</w:t>
      </w:r>
      <w:r w:rsidR="004313C8" w:rsidRPr="008B06FF">
        <w:rPr>
          <w:rFonts w:ascii="Palatino Linotype" w:hAnsi="Palatino Linotype"/>
          <w:color w:val="000000"/>
        </w:rPr>
        <w:t>n</w:t>
      </w:r>
      <w:r w:rsidRPr="008B06FF">
        <w:rPr>
          <w:rFonts w:ascii="Palatino Linotype" w:hAnsi="Palatino Linotype"/>
          <w:color w:val="000000"/>
        </w:rPr>
        <w:t xml:space="preserve"> la capacidad de 8,000 hojas permitido por el sistema SAIMEX; esto además, de que no realizó el reporte de incidencias ante la Dirección de Informática, específicamente en el área de soporte técnico de este instituto, tal y como lo señala la ley de la materia</w:t>
      </w:r>
      <w:r w:rsidRPr="008B06FF">
        <w:rPr>
          <w:rFonts w:ascii="Palatino Linotype" w:eastAsia="Palatino Linotype" w:hAnsi="Palatino Linotype" w:cs="Palatino Linotype"/>
          <w:color w:val="000000"/>
        </w:rPr>
        <w:t>, por tanto no proporciona la certeza jurídica para este Órgano Resolutor pueda confirmar el cambio de modalidad que se pretende hacer valer, ya que si bien es cierto, el documento solicitado no sobrepasa las capacidades utilizando la resolución sugerida de 150Dpi´s en escala de grises y formato PDF, extraído del escáner, lo que conlleva a poder hacer entrega de la información vía SAIMEX.</w:t>
      </w:r>
    </w:p>
    <w:p w:rsidR="008013EC" w:rsidRPr="008B06FF" w:rsidRDefault="008013EC" w:rsidP="008013EC">
      <w:p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highlight w:val="yellow"/>
        </w:rPr>
      </w:pPr>
    </w:p>
    <w:p w:rsidR="008013EC" w:rsidRPr="008B06FF" w:rsidRDefault="008013EC" w:rsidP="008013EC">
      <w:pPr>
        <w:numPr>
          <w:ilvl w:val="0"/>
          <w:numId w:val="6"/>
        </w:num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lastRenderedPageBreak/>
        <w:t>En atención a lo anterior, resulta necesario precisar que, el peso máximo de archivos que soporta el SAIMEX para adjuntar como respuesta a las solicitudes de información tiene el soporte tecnológico para que se puedan adjuntar archivos con un peso aprox. de hasta 500 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w:t>
      </w:r>
    </w:p>
    <w:p w:rsidR="008013EC" w:rsidRPr="008B06FF" w:rsidRDefault="008013EC" w:rsidP="008013EC">
      <w:pPr>
        <w:pBdr>
          <w:top w:val="nil"/>
          <w:left w:val="nil"/>
          <w:bottom w:val="nil"/>
          <w:right w:val="nil"/>
          <w:between w:val="nil"/>
        </w:pBdr>
        <w:ind w:left="720"/>
        <w:rPr>
          <w:rFonts w:ascii="Palatino Linotype" w:eastAsia="Palatino Linotype" w:hAnsi="Palatino Linotype" w:cs="Palatino Linotype"/>
          <w:color w:val="000000"/>
        </w:rPr>
      </w:pPr>
    </w:p>
    <w:p w:rsidR="008013EC" w:rsidRPr="008B06FF" w:rsidRDefault="008013EC" w:rsidP="008013EC">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 xml:space="preserve">Derivado de todo lo anteriormente señalado, al no fundar y motivar el cambio de entrega de la información resulta dable ordenar la entrega de la información vía SAIMEX, de ser el caso de que la información que se </w:t>
      </w:r>
      <w:r w:rsidRPr="008B06FF">
        <w:rPr>
          <w:rFonts w:ascii="Palatino Linotype" w:eastAsia="Palatino Linotype" w:hAnsi="Palatino Linotype" w:cs="Palatino Linotype"/>
          <w:b/>
          <w:color w:val="000000"/>
        </w:rPr>
        <w:t xml:space="preserve">ORDENA </w:t>
      </w:r>
      <w:r w:rsidRPr="008B06FF">
        <w:rPr>
          <w:rFonts w:ascii="Palatino Linotype" w:eastAsia="Palatino Linotype" w:hAnsi="Palatino Linotype" w:cs="Palatino Linotype"/>
          <w:color w:val="000000"/>
        </w:rPr>
        <w:t xml:space="preserve">entregar contenga datos personales susceptibles de clasificarse como confidenciales, el </w:t>
      </w:r>
      <w:r w:rsidRPr="008B06FF">
        <w:rPr>
          <w:rFonts w:ascii="Palatino Linotype" w:eastAsia="Palatino Linotype" w:hAnsi="Palatino Linotype" w:cs="Palatino Linotype"/>
          <w:b/>
          <w:color w:val="000000"/>
        </w:rPr>
        <w:t>SUJETO OBLIGADO</w:t>
      </w:r>
      <w:r w:rsidRPr="008B06FF">
        <w:rPr>
          <w:rFonts w:ascii="Palatino Linotype" w:eastAsia="Palatino Linotype" w:hAnsi="Palatino Linotype" w:cs="Palatino Linotype"/>
          <w:color w:val="000000"/>
        </w:rPr>
        <w:t xml:space="preserve"> estará a lo dispuesto en el Considerando que más adelante se enuncia.</w:t>
      </w:r>
    </w:p>
    <w:p w:rsidR="008013EC" w:rsidRPr="008B06FF" w:rsidRDefault="008013EC" w:rsidP="008013EC">
      <w:pPr>
        <w:tabs>
          <w:tab w:val="left" w:pos="284"/>
        </w:tabs>
        <w:spacing w:line="360" w:lineRule="auto"/>
        <w:ind w:right="49"/>
        <w:jc w:val="both"/>
        <w:rPr>
          <w:rFonts w:ascii="Palatino Linotype" w:eastAsia="Palatino Linotype" w:hAnsi="Palatino Linotype" w:cs="Palatino Linotype"/>
        </w:rPr>
      </w:pPr>
    </w:p>
    <w:p w:rsidR="0087480D" w:rsidRPr="008B06FF" w:rsidRDefault="0087480D" w:rsidP="00314F71">
      <w:pPr>
        <w:pStyle w:val="Prrafodelista"/>
        <w:numPr>
          <w:ilvl w:val="0"/>
          <w:numId w:val="6"/>
        </w:numPr>
        <w:spacing w:line="360" w:lineRule="auto"/>
        <w:jc w:val="both"/>
        <w:rPr>
          <w:rFonts w:ascii="Palatino Linotype" w:hAnsi="Palatino Linotype"/>
          <w:i/>
          <w:color w:val="000000"/>
        </w:rPr>
      </w:pPr>
      <w:r w:rsidRPr="008B06FF">
        <w:rPr>
          <w:rFonts w:ascii="Palatino Linotype" w:eastAsia="Calibri" w:hAnsi="Palatino Linotype" w:cs="Arial"/>
          <w:color w:val="000000" w:themeColor="text1"/>
          <w:lang w:val="es-ES"/>
        </w:rPr>
        <w:t xml:space="preserve">Ahora </w:t>
      </w:r>
      <w:r w:rsidRPr="008B06FF">
        <w:rPr>
          <w:rFonts w:ascii="Palatino Linotype" w:hAnsi="Palatino Linotype" w:cs="Arial"/>
          <w:lang w:val="es-ES"/>
        </w:rPr>
        <w:t xml:space="preserve">bien, </w:t>
      </w:r>
      <w:r w:rsidRPr="008B06FF">
        <w:rPr>
          <w:rFonts w:ascii="Palatino Linotype" w:hAnsi="Palatino Linotype"/>
        </w:rPr>
        <w:t xml:space="preserve">resulta necesario reiterar las razones o motivos de inconformidad vertidos en el recurso de revisión </w:t>
      </w:r>
      <w:r w:rsidR="00314F71" w:rsidRPr="008B06FF">
        <w:rPr>
          <w:rFonts w:ascii="Palatino Linotype" w:eastAsia="Calibri" w:hAnsi="Palatino Linotype" w:cs="Tahoma"/>
          <w:b/>
          <w:bCs/>
          <w:lang w:eastAsia="en-US"/>
        </w:rPr>
        <w:t>12758</w:t>
      </w:r>
      <w:r w:rsidRPr="008B06FF">
        <w:rPr>
          <w:rFonts w:ascii="Palatino Linotype" w:eastAsia="Calibri" w:hAnsi="Palatino Linotype" w:cs="Tahoma"/>
          <w:b/>
          <w:bCs/>
          <w:lang w:eastAsia="en-US"/>
        </w:rPr>
        <w:t>/INFOEM/IP/RR/202</w:t>
      </w:r>
      <w:r w:rsidR="00314F71" w:rsidRPr="008B06FF">
        <w:rPr>
          <w:rFonts w:ascii="Palatino Linotype" w:eastAsia="Calibri" w:hAnsi="Palatino Linotype" w:cs="Tahoma"/>
          <w:b/>
          <w:bCs/>
          <w:lang w:eastAsia="en-US"/>
        </w:rPr>
        <w:t>5</w:t>
      </w:r>
      <w:r w:rsidRPr="008B06FF">
        <w:rPr>
          <w:rFonts w:ascii="Palatino Linotype" w:hAnsi="Palatino Linotype"/>
        </w:rPr>
        <w:t xml:space="preserve">, en los siguientes términos: </w:t>
      </w:r>
      <w:r w:rsidRPr="008B06FF">
        <w:rPr>
          <w:rFonts w:ascii="Palatino Linotype" w:hAnsi="Palatino Linotype"/>
          <w:i/>
          <w:color w:val="000000"/>
        </w:rPr>
        <w:t>“…</w:t>
      </w:r>
      <w:r w:rsidR="00314F71" w:rsidRPr="008B06FF">
        <w:rPr>
          <w:rFonts w:ascii="Palatino Linotype" w:hAnsi="Palatino Linotype"/>
          <w:i/>
          <w:color w:val="000000"/>
        </w:rPr>
        <w:t>aunado a eso se describan las actividades asígnalas al personal de dirección y el total de servidores adscritos a dicha área, lo anterior únicamente para verificar que realmente no se encuentra en posibilidades de entregarlo y descartar una negativa por parte del sujeto involucrado</w:t>
      </w:r>
      <w:r w:rsidRPr="008B06FF">
        <w:rPr>
          <w:rFonts w:ascii="Palatino Linotype" w:hAnsi="Palatino Linotype"/>
          <w:i/>
          <w:color w:val="000000"/>
        </w:rPr>
        <w:t>” (Sic)</w:t>
      </w:r>
    </w:p>
    <w:p w:rsidR="0087480D" w:rsidRPr="008B06FF" w:rsidRDefault="0087480D" w:rsidP="0087480D">
      <w:pPr>
        <w:spacing w:line="360" w:lineRule="auto"/>
        <w:ind w:right="-787"/>
        <w:jc w:val="both"/>
        <w:rPr>
          <w:rFonts w:ascii="Palatino Linotype" w:eastAsia="Palatino Linotype" w:hAnsi="Palatino Linotype" w:cs="Palatino Linotype"/>
        </w:rPr>
      </w:pPr>
    </w:p>
    <w:p w:rsidR="0087480D" w:rsidRPr="008B06FF" w:rsidRDefault="0087480D" w:rsidP="00314F71">
      <w:pPr>
        <w:numPr>
          <w:ilvl w:val="0"/>
          <w:numId w:val="6"/>
        </w:numPr>
        <w:spacing w:line="360" w:lineRule="auto"/>
        <w:jc w:val="both"/>
        <w:rPr>
          <w:rFonts w:ascii="Palatino Linotype" w:eastAsia="Palatino Linotype" w:hAnsi="Palatino Linotype" w:cs="Palatino Linotype"/>
        </w:rPr>
      </w:pPr>
      <w:r w:rsidRPr="008B06FF">
        <w:rPr>
          <w:rFonts w:ascii="Palatino Linotype" w:hAnsi="Palatino Linotype"/>
          <w:color w:val="000000"/>
        </w:rPr>
        <w:t xml:space="preserve">Conforme a lo anterior, </w:t>
      </w:r>
      <w:r w:rsidRPr="008B06FF">
        <w:rPr>
          <w:rFonts w:ascii="Palatino Linotype" w:hAnsi="Palatino Linotype" w:cs="Arial"/>
        </w:rPr>
        <w:t xml:space="preserve">el sistema de medios de impugnación se centra en el análisis de los agravios o motivos de inconformidad, los que deben tener relación directa con el acto de autoridad que lo motiva. </w:t>
      </w:r>
    </w:p>
    <w:p w:rsidR="0087480D" w:rsidRPr="008B06FF" w:rsidRDefault="0087480D" w:rsidP="00314F71">
      <w:pPr>
        <w:numPr>
          <w:ilvl w:val="0"/>
          <w:numId w:val="6"/>
        </w:numPr>
        <w:spacing w:line="360" w:lineRule="auto"/>
        <w:jc w:val="both"/>
        <w:rPr>
          <w:rFonts w:ascii="Palatino Linotype" w:eastAsia="Palatino Linotype" w:hAnsi="Palatino Linotype" w:cs="Palatino Linotype"/>
        </w:rPr>
      </w:pPr>
      <w:r w:rsidRPr="008B06FF">
        <w:rPr>
          <w:rFonts w:ascii="Palatino Linotype" w:hAnsi="Palatino Linotype" w:cs="Arial"/>
        </w:rPr>
        <w:lastRenderedPageBreak/>
        <w:t xml:space="preserve">En materia de transparencia, los motivos de la inconformidad deben versar sobre la respuesta de información proporcionada por los sujetos obligados o la negativa de entrega de la misma, derivada de la solicitud de información pública. De este modo, en los motivos de inconformidad los recurrentes no pueden incluir situaciones novedosas o solicitudes de información nuevas de las que el </w:t>
      </w:r>
      <w:r w:rsidRPr="008B06FF">
        <w:rPr>
          <w:rFonts w:ascii="Palatino Linotype" w:hAnsi="Palatino Linotype" w:cs="Arial"/>
          <w:b/>
        </w:rPr>
        <w:t>SUJETO OBLIGADO</w:t>
      </w:r>
      <w:r w:rsidRPr="008B06FF">
        <w:rPr>
          <w:rFonts w:ascii="Palatino Linotype" w:hAnsi="Palatino Linotype" w:cs="Arial"/>
        </w:rPr>
        <w:t xml:space="preserve"> no tuvo la oportunidad de conocer y por consiguiente producir un posicionamiento.</w:t>
      </w:r>
    </w:p>
    <w:p w:rsidR="0087480D" w:rsidRPr="008B06FF" w:rsidRDefault="0087480D" w:rsidP="0087480D">
      <w:pPr>
        <w:pStyle w:val="Prrafodelista"/>
        <w:rPr>
          <w:rFonts w:ascii="Palatino Linotype" w:eastAsia="Palatino Linotype" w:hAnsi="Palatino Linotype" w:cs="Palatino Linotype"/>
        </w:rPr>
      </w:pPr>
    </w:p>
    <w:p w:rsidR="0087480D" w:rsidRPr="008B06FF" w:rsidRDefault="0087480D" w:rsidP="00314F71">
      <w:pPr>
        <w:numPr>
          <w:ilvl w:val="0"/>
          <w:numId w:val="6"/>
        </w:numPr>
        <w:spacing w:line="360" w:lineRule="auto"/>
        <w:jc w:val="both"/>
        <w:rPr>
          <w:rFonts w:ascii="Palatino Linotype" w:eastAsia="Palatino Linotype" w:hAnsi="Palatino Linotype" w:cs="Palatino Linotype"/>
        </w:rPr>
      </w:pPr>
      <w:r w:rsidRPr="008B06FF">
        <w:rPr>
          <w:rFonts w:ascii="Palatino Linotype" w:hAnsi="Palatino Linotype"/>
          <w:color w:val="000000"/>
        </w:rPr>
        <w:t xml:space="preserve">Es </w:t>
      </w:r>
      <w:r w:rsidRPr="008B06FF">
        <w:rPr>
          <w:rFonts w:ascii="Palatino Linotype" w:hAnsi="Palatino Linotype" w:cs="Arial"/>
        </w:rPr>
        <w:t>por ello, que la Ley de la materia contempla que en los casos en que a través del recurso de revisión se pretenda ampliar los requerimientos de información, la inconformidad relativa a estas situaciones novedosas no debe ser tomada en cuenta como parte de la Litis y debe ser desechada, tal y como lo establece el artículo 191 fracción VII.</w:t>
      </w:r>
    </w:p>
    <w:p w:rsidR="0087480D" w:rsidRPr="008B06FF" w:rsidRDefault="0087480D" w:rsidP="0087480D">
      <w:pPr>
        <w:pStyle w:val="Prrafodelista"/>
        <w:rPr>
          <w:rFonts w:ascii="Palatino Linotype" w:hAnsi="Palatino Linotype"/>
          <w:color w:val="000000"/>
        </w:rPr>
      </w:pPr>
    </w:p>
    <w:p w:rsidR="0087480D" w:rsidRPr="008B06FF" w:rsidRDefault="0087480D" w:rsidP="00314F71">
      <w:pPr>
        <w:numPr>
          <w:ilvl w:val="0"/>
          <w:numId w:val="6"/>
        </w:numPr>
        <w:spacing w:line="360" w:lineRule="auto"/>
        <w:jc w:val="both"/>
        <w:rPr>
          <w:rFonts w:ascii="Palatino Linotype" w:eastAsia="Palatino Linotype" w:hAnsi="Palatino Linotype" w:cs="Palatino Linotype"/>
        </w:rPr>
      </w:pPr>
      <w:r w:rsidRPr="008B06FF">
        <w:rPr>
          <w:rFonts w:ascii="Palatino Linotype" w:hAnsi="Palatino Linotype"/>
          <w:color w:val="000000"/>
        </w:rPr>
        <w:t xml:space="preserve">Por </w:t>
      </w:r>
      <w:r w:rsidRPr="008B06FF">
        <w:rPr>
          <w:rFonts w:ascii="Palatino Linotype" w:hAnsi="Palatino Linotype" w:cs="Arial"/>
        </w:rPr>
        <w:t xml:space="preserve">lo anterior, de </w:t>
      </w:r>
      <w:r w:rsidRPr="008B06FF">
        <w:rPr>
          <w:rFonts w:ascii="Palatino Linotype" w:hAnsi="Palatino Linotype" w:cs="Arial"/>
          <w:b/>
        </w:rPr>
        <w:t>manera parcial</w:t>
      </w:r>
      <w:r w:rsidRPr="008B06FF">
        <w:rPr>
          <w:rFonts w:ascii="Palatino Linotype" w:hAnsi="Palatino Linotype" w:cs="Arial"/>
        </w:rPr>
        <w:t xml:space="preserve"> resulta improcedente el referido motivo de inconformidad, ya que </w:t>
      </w:r>
      <w:r w:rsidRPr="008B06FF">
        <w:rPr>
          <w:rFonts w:ascii="Palatino Linotype" w:hAnsi="Palatino Linotype" w:cs="Arial"/>
          <w:color w:val="000000"/>
        </w:rPr>
        <w:t xml:space="preserve">se aprecia que la </w:t>
      </w:r>
      <w:r w:rsidRPr="008B06FF">
        <w:rPr>
          <w:rFonts w:ascii="Palatino Linotype" w:hAnsi="Palatino Linotype" w:cs="Arial"/>
          <w:b/>
          <w:bCs/>
          <w:color w:val="000000"/>
        </w:rPr>
        <w:t>RECURRENTE</w:t>
      </w:r>
      <w:r w:rsidRPr="008B06FF">
        <w:rPr>
          <w:rFonts w:ascii="Palatino Linotype" w:hAnsi="Palatino Linotype" w:cs="Arial"/>
          <w:color w:val="000000"/>
        </w:rPr>
        <w:t xml:space="preserve"> se excede dentro de su inconformidad respecto a lo requerido originalmente en la solicitud de información, siendo el caso que pretende ampliar lo solicitado de origen, lo que hace que se surta lo que en la teoría jurídica se le denomina </w:t>
      </w:r>
      <w:r w:rsidRPr="008B06FF">
        <w:rPr>
          <w:rFonts w:ascii="Palatino Linotype" w:hAnsi="Palatino Linotype" w:cs="Arial"/>
          <w:b/>
          <w:bCs/>
          <w:i/>
          <w:iCs/>
          <w:color w:val="000000"/>
        </w:rPr>
        <w:t>plus petitio.</w:t>
      </w:r>
    </w:p>
    <w:p w:rsidR="0087480D" w:rsidRPr="008B06FF" w:rsidRDefault="0087480D" w:rsidP="0087480D">
      <w:pPr>
        <w:pStyle w:val="Prrafodelista"/>
        <w:rPr>
          <w:rFonts w:ascii="Palatino Linotype" w:hAnsi="Palatino Linotype"/>
          <w:color w:val="000000"/>
        </w:rPr>
      </w:pPr>
    </w:p>
    <w:p w:rsidR="0087480D" w:rsidRPr="008B06FF" w:rsidRDefault="0087480D" w:rsidP="00314F71">
      <w:pPr>
        <w:numPr>
          <w:ilvl w:val="0"/>
          <w:numId w:val="6"/>
        </w:numPr>
        <w:spacing w:line="360" w:lineRule="auto"/>
        <w:jc w:val="both"/>
        <w:rPr>
          <w:rFonts w:ascii="Palatino Linotype" w:eastAsia="Palatino Linotype" w:hAnsi="Palatino Linotype" w:cs="Palatino Linotype"/>
        </w:rPr>
      </w:pPr>
      <w:r w:rsidRPr="008B06FF">
        <w:rPr>
          <w:rFonts w:ascii="Palatino Linotype" w:hAnsi="Palatino Linotype"/>
          <w:color w:val="000000"/>
        </w:rPr>
        <w:t xml:space="preserve">Sirve </w:t>
      </w:r>
      <w:r w:rsidRPr="008B06FF">
        <w:rPr>
          <w:rFonts w:ascii="Palatino Linotype" w:hAnsi="Palatino Linotype" w:cs="Arial"/>
          <w:color w:val="000000"/>
        </w:rPr>
        <w:t>de apoyo el criterio 01/17 emitido por el Instituto Nacional de Transparencia, Acceso a la Información y Protección de Datos Personales que establece lo siguiente:</w:t>
      </w:r>
    </w:p>
    <w:p w:rsidR="0087480D" w:rsidRPr="008B06FF" w:rsidRDefault="0087480D" w:rsidP="0087480D">
      <w:pPr>
        <w:pStyle w:val="Prrafodelista"/>
        <w:rPr>
          <w:rFonts w:ascii="Palatino Linotype" w:eastAsia="Palatino Linotype" w:hAnsi="Palatino Linotype" w:cs="Palatino Linotype"/>
        </w:rPr>
      </w:pPr>
    </w:p>
    <w:p w:rsidR="0087480D" w:rsidRPr="008B06FF" w:rsidRDefault="0087480D" w:rsidP="00314F71">
      <w:pPr>
        <w:ind w:left="567" w:right="567"/>
        <w:contextualSpacing/>
        <w:jc w:val="both"/>
        <w:rPr>
          <w:rFonts w:ascii="Palatino Linotype" w:hAnsi="Palatino Linotype" w:cs="Arial"/>
          <w:i/>
          <w:color w:val="000000"/>
        </w:rPr>
      </w:pPr>
      <w:r w:rsidRPr="008B06FF">
        <w:rPr>
          <w:rFonts w:ascii="Palatino Linotype" w:hAnsi="Palatino Linotype" w:cs="Arial"/>
          <w:b/>
          <w:i/>
          <w:color w:val="000000"/>
        </w:rPr>
        <w:t>Es improcedente ampliar las solicitudes de acceso a información, a través de la interposición del recurso de revisión.</w:t>
      </w:r>
      <w:r w:rsidRPr="008B06FF">
        <w:rPr>
          <w:rFonts w:ascii="Palatino Linotype" w:hAnsi="Palatino Linotype" w:cs="Arial"/>
          <w:i/>
          <w:color w:val="000000"/>
        </w:rPr>
        <w:t xml:space="preserve"> En términos de los artículos 155, fracción VII de la Ley General de Transparencia y Acceso a la Información Pública, y 161, fracción VII de la Ley Federal de Transparencia y Acceso a la Información Pública, en aquellos casos en que los recurrentes, mediante su recurso de revisión, amplíen los alcances de la </w:t>
      </w:r>
      <w:r w:rsidRPr="008B06FF">
        <w:rPr>
          <w:rFonts w:ascii="Palatino Linotype" w:hAnsi="Palatino Linotype" w:cs="Arial"/>
          <w:i/>
          <w:color w:val="000000"/>
        </w:rPr>
        <w:lastRenderedPageBreak/>
        <w:t>solicitud de información inicial, los nuevos contenidos no podrán constituir materia del procedimiento a sustanciarse por el Instituto Nacional de Transparencia, Acceso a la Información y Protección de Datos Personales; actualizándose la hipótesis de improcedencia respectiva.</w:t>
      </w:r>
    </w:p>
    <w:p w:rsidR="0087480D" w:rsidRPr="008B06FF" w:rsidRDefault="0087480D" w:rsidP="00314F71">
      <w:pPr>
        <w:ind w:left="567" w:right="567"/>
        <w:contextualSpacing/>
        <w:jc w:val="both"/>
        <w:rPr>
          <w:rFonts w:ascii="Palatino Linotype" w:hAnsi="Palatino Linotype" w:cs="Arial"/>
          <w:color w:val="000000"/>
        </w:rPr>
      </w:pPr>
    </w:p>
    <w:p w:rsidR="0087480D" w:rsidRPr="008B06FF" w:rsidRDefault="0087480D" w:rsidP="00314F71">
      <w:pPr>
        <w:ind w:left="567" w:right="567"/>
        <w:contextualSpacing/>
        <w:jc w:val="both"/>
        <w:rPr>
          <w:rFonts w:ascii="Palatino Linotype" w:hAnsi="Palatino Linotype" w:cs="Arial"/>
          <w:i/>
          <w:color w:val="000000"/>
        </w:rPr>
      </w:pPr>
      <w:r w:rsidRPr="008B06FF">
        <w:rPr>
          <w:rFonts w:ascii="Palatino Linotype" w:hAnsi="Palatino Linotype" w:cs="Arial"/>
          <w:i/>
          <w:color w:val="000000"/>
        </w:rPr>
        <w:t>Resoluciones:</w:t>
      </w:r>
    </w:p>
    <w:p w:rsidR="0087480D" w:rsidRPr="008B06FF" w:rsidRDefault="0087480D" w:rsidP="00314F71">
      <w:pPr>
        <w:ind w:left="567" w:right="567"/>
        <w:contextualSpacing/>
        <w:jc w:val="both"/>
        <w:rPr>
          <w:rFonts w:ascii="Palatino Linotype" w:hAnsi="Palatino Linotype" w:cs="Arial"/>
          <w:i/>
          <w:color w:val="000000"/>
        </w:rPr>
      </w:pPr>
      <w:r w:rsidRPr="008B06FF">
        <w:rPr>
          <w:rFonts w:ascii="Palatino Linotype" w:hAnsi="Palatino Linotype" w:cs="Arial"/>
          <w:i/>
          <w:color w:val="000000"/>
        </w:rPr>
        <w:t>RRA 0196/16. Secretaría de Agricultura, Ganadería, Desarrollo Rural, Pesca y Alimentación. 13 de julio de 2016. Por unanimidad. Comisionado Ponente Joel Salas Suárez.</w:t>
      </w:r>
    </w:p>
    <w:p w:rsidR="0087480D" w:rsidRPr="008B06FF" w:rsidRDefault="0087480D" w:rsidP="00314F71">
      <w:pPr>
        <w:ind w:left="567" w:right="567"/>
        <w:contextualSpacing/>
        <w:jc w:val="both"/>
        <w:rPr>
          <w:rFonts w:ascii="Palatino Linotype" w:hAnsi="Palatino Linotype" w:cs="Arial"/>
          <w:i/>
          <w:color w:val="000000"/>
        </w:rPr>
      </w:pPr>
      <w:r w:rsidRPr="008B06FF">
        <w:rPr>
          <w:rFonts w:ascii="Palatino Linotype" w:hAnsi="Palatino Linotype" w:cs="Arial"/>
          <w:i/>
          <w:color w:val="000000"/>
        </w:rPr>
        <w:t>RRA 0130/16. Comisión Nacional del Agua. 09 de agosto de 2016. Por unanimidad. Comisionado Ponente María Patricia Kurczyn Villalobos.</w:t>
      </w:r>
    </w:p>
    <w:p w:rsidR="0087480D" w:rsidRPr="008B06FF" w:rsidRDefault="0087480D" w:rsidP="00314F71">
      <w:pPr>
        <w:ind w:left="567" w:right="567"/>
        <w:contextualSpacing/>
        <w:jc w:val="both"/>
        <w:rPr>
          <w:rFonts w:ascii="Palatino Linotype" w:hAnsi="Palatino Linotype" w:cs="Arial"/>
          <w:i/>
          <w:color w:val="000000"/>
        </w:rPr>
      </w:pPr>
      <w:r w:rsidRPr="008B06FF">
        <w:rPr>
          <w:rFonts w:ascii="Palatino Linotype" w:hAnsi="Palatino Linotype" w:cs="Arial"/>
          <w:i/>
          <w:color w:val="000000"/>
        </w:rPr>
        <w:t>RRA 0342/16. Colegio de Bachilleres. 24 de agosto de 2016. Por unanimidad. Comisionada Ponente Ximena Puente de la Mora</w:t>
      </w:r>
    </w:p>
    <w:p w:rsidR="0087480D" w:rsidRPr="008B06FF" w:rsidRDefault="0087480D" w:rsidP="0087480D">
      <w:pPr>
        <w:spacing w:line="360" w:lineRule="auto"/>
        <w:ind w:right="-787"/>
        <w:jc w:val="both"/>
        <w:rPr>
          <w:rFonts w:ascii="Palatino Linotype" w:eastAsia="Palatino Linotype" w:hAnsi="Palatino Linotype" w:cs="Palatino Linotype"/>
        </w:rPr>
      </w:pPr>
    </w:p>
    <w:p w:rsidR="0087480D" w:rsidRPr="008B06FF" w:rsidRDefault="0087480D" w:rsidP="00314F71">
      <w:pPr>
        <w:numPr>
          <w:ilvl w:val="0"/>
          <w:numId w:val="6"/>
        </w:numPr>
        <w:spacing w:line="360" w:lineRule="auto"/>
        <w:jc w:val="both"/>
        <w:rPr>
          <w:rFonts w:ascii="Palatino Linotype" w:eastAsia="Palatino Linotype" w:hAnsi="Palatino Linotype" w:cs="Palatino Linotype"/>
        </w:rPr>
      </w:pPr>
      <w:r w:rsidRPr="008B06FF">
        <w:rPr>
          <w:rFonts w:ascii="Palatino Linotype" w:hAnsi="Palatino Linotype"/>
          <w:color w:val="000000"/>
        </w:rPr>
        <w:t xml:space="preserve">Asimismo, </w:t>
      </w:r>
      <w:r w:rsidRPr="008B06FF">
        <w:rPr>
          <w:rFonts w:ascii="Palatino Linotype" w:hAnsi="Palatino Linotype" w:cs="Arial"/>
          <w:color w:val="000000"/>
        </w:rPr>
        <w:t>sirve de apoyo a lo anterior por analogía, la Jurisprudencia No. 29 visible a foja 19 del Apéndice al Semanario Judicial de la Federación 1917-1995, Torno VI, Materia Común, Primera Parte, Tesis de la Suprema Corte de Justicia, que contiene:</w:t>
      </w:r>
    </w:p>
    <w:p w:rsidR="0087480D" w:rsidRPr="008B06FF" w:rsidRDefault="0087480D" w:rsidP="0087480D">
      <w:pPr>
        <w:spacing w:line="360" w:lineRule="auto"/>
        <w:ind w:right="-787"/>
        <w:jc w:val="both"/>
        <w:rPr>
          <w:rFonts w:ascii="Palatino Linotype" w:hAnsi="Palatino Linotype" w:cs="Arial"/>
          <w:color w:val="000000"/>
        </w:rPr>
      </w:pPr>
    </w:p>
    <w:p w:rsidR="0087480D" w:rsidRPr="008B06FF" w:rsidRDefault="0087480D" w:rsidP="00314F71">
      <w:pPr>
        <w:ind w:left="567" w:right="567"/>
        <w:contextualSpacing/>
        <w:jc w:val="both"/>
        <w:rPr>
          <w:rFonts w:ascii="Palatino Linotype" w:hAnsi="Palatino Linotype"/>
          <w:color w:val="000000"/>
        </w:rPr>
      </w:pPr>
      <w:r w:rsidRPr="008B06FF">
        <w:rPr>
          <w:rFonts w:ascii="Palatino Linotype" w:hAnsi="Palatino Linotype" w:cs="Arial"/>
          <w:b/>
          <w:i/>
          <w:color w:val="000000"/>
        </w:rPr>
        <w:t xml:space="preserve">AGRAVIOS EN LA REVISION. DEBEN ESTAR EN RELACION DIRECTA CON LOS FUNDAMENTOS Y CONSIDERACIONES DE LA SENTENCIA.- </w:t>
      </w:r>
      <w:r w:rsidRPr="008B06FF">
        <w:rPr>
          <w:rFonts w:ascii="Palatino Linotype" w:hAnsi="Palatino Linotype" w:cs="Arial"/>
          <w:i/>
          <w:color w:val="000000"/>
        </w:rPr>
        <w:t>Los agravios deben estar en relación directa e inmediata con los fundamentos contenidos en la sentencia que se recurre,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w:t>
      </w:r>
    </w:p>
    <w:p w:rsidR="0087480D" w:rsidRDefault="0087480D" w:rsidP="00314F71">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8B06FF" w:rsidRDefault="008B06FF" w:rsidP="00314F71">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8B06FF" w:rsidRPr="008B06FF" w:rsidRDefault="008B06FF" w:rsidP="00314F71">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606800" w:rsidRPr="008B06FF" w:rsidRDefault="00606800" w:rsidP="0060680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r w:rsidRPr="008B06FF">
        <w:rPr>
          <w:rFonts w:ascii="Palatino Linotype" w:eastAsia="Palatino Linotype" w:hAnsi="Palatino Linotype" w:cs="Palatino Linotype"/>
          <w:b/>
          <w:bCs/>
          <w:color w:val="000000"/>
        </w:rPr>
        <w:lastRenderedPageBreak/>
        <w:t>QUINTO. De la versión pública.</w:t>
      </w:r>
    </w:p>
    <w:p w:rsidR="00606800" w:rsidRPr="008B06FF" w:rsidRDefault="00606800" w:rsidP="00606800">
      <w:pPr>
        <w:pStyle w:val="Prrafodelista"/>
        <w:numPr>
          <w:ilvl w:val="0"/>
          <w:numId w:val="6"/>
        </w:num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Debe destacarse que, debido a la naturaleza de la información solicitada</w:t>
      </w:r>
      <w:r w:rsidRPr="008B06FF">
        <w:rPr>
          <w:rFonts w:ascii="Palatino Linotype" w:eastAsia="Palatino Linotype" w:hAnsi="Palatino Linotype" w:cs="Palatino Linotype"/>
          <w:b/>
          <w:bCs/>
          <w:color w:val="000000"/>
        </w:rPr>
        <w:t xml:space="preserve"> </w:t>
      </w:r>
      <w:r w:rsidRPr="008B06FF">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606800" w:rsidRPr="008B06FF" w:rsidRDefault="00606800" w:rsidP="0060680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606800" w:rsidRPr="008B06FF" w:rsidRDefault="00606800" w:rsidP="00606800">
      <w:pPr>
        <w:numPr>
          <w:ilvl w:val="0"/>
          <w:numId w:val="6"/>
        </w:num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606800" w:rsidRPr="008B06FF" w:rsidRDefault="00606800" w:rsidP="0060680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tbl>
      <w:tblPr>
        <w:tblW w:w="9776"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972"/>
        <w:gridCol w:w="6804"/>
      </w:tblGrid>
      <w:tr w:rsidR="00606800" w:rsidRPr="008B06FF" w:rsidTr="008B06FF">
        <w:tc>
          <w:tcPr>
            <w:tcW w:w="2972" w:type="dxa"/>
          </w:tcPr>
          <w:p w:rsidR="00606800" w:rsidRPr="008B06FF" w:rsidRDefault="00606800" w:rsidP="008013EC">
            <w:pPr>
              <w:spacing w:line="360" w:lineRule="auto"/>
              <w:rPr>
                <w:rFonts w:ascii="Palatino Linotype" w:eastAsia="Palatino Linotype" w:hAnsi="Palatino Linotype" w:cs="Palatino Linotype"/>
              </w:rPr>
            </w:pPr>
            <w:r w:rsidRPr="008B06FF">
              <w:rPr>
                <w:rFonts w:ascii="Palatino Linotype" w:eastAsia="Palatino Linotype" w:hAnsi="Palatino Linotype" w:cs="Palatino Linotype"/>
              </w:rPr>
              <w:t>a) Requisitos previos.</w:t>
            </w:r>
          </w:p>
        </w:tc>
        <w:tc>
          <w:tcPr>
            <w:tcW w:w="6804" w:type="dxa"/>
          </w:tcPr>
          <w:p w:rsidR="00606800" w:rsidRPr="008B06FF" w:rsidRDefault="00606800" w:rsidP="008013EC">
            <w:p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606800" w:rsidRPr="008B06FF" w:rsidRDefault="00606800" w:rsidP="008013EC">
            <w:p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Al hacerlo tienen que precisar de qué información se trata, señalando el supuesto de clasificación (confidencialidad o reserva).</w:t>
            </w:r>
          </w:p>
          <w:p w:rsidR="00606800" w:rsidRPr="008B06FF" w:rsidRDefault="00606800" w:rsidP="008013EC">
            <w:p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Además, se debe señalar el procedimiento, de los tres que establecen los artículos 132 y 106 de la Ley Estatal y General, respectivamente.</w:t>
            </w:r>
          </w:p>
          <w:p w:rsidR="00606800" w:rsidRPr="008B06FF" w:rsidRDefault="00606800" w:rsidP="008013EC">
            <w:p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lastRenderedPageBreak/>
              <w:t xml:space="preserve">El último de estos requisitos previos consiste en que no se pueden emitir acuerdos de carácter general ni particular, esto es, </w:t>
            </w:r>
            <w:r w:rsidRPr="008B06FF">
              <w:rPr>
                <w:rFonts w:ascii="Palatino Linotype" w:eastAsia="Palatino Linotype" w:hAnsi="Palatino Linotype" w:cs="Palatino Linotype"/>
                <w:u w:val="single"/>
              </w:rPr>
              <w:t xml:space="preserve">no se puede hacer un acuerdo para clasificar de manera general todos los documentos de un expediente o área,  </w:t>
            </w:r>
            <w:r w:rsidRPr="008B06FF">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606800" w:rsidRPr="008B06FF" w:rsidTr="008B06FF">
        <w:tc>
          <w:tcPr>
            <w:tcW w:w="2972" w:type="dxa"/>
          </w:tcPr>
          <w:p w:rsidR="00606800" w:rsidRPr="008B06FF" w:rsidRDefault="00606800" w:rsidP="008013EC">
            <w:pPr>
              <w:spacing w:line="360" w:lineRule="auto"/>
              <w:rPr>
                <w:rFonts w:ascii="Palatino Linotype" w:eastAsia="Palatino Linotype" w:hAnsi="Palatino Linotype" w:cs="Palatino Linotype"/>
              </w:rPr>
            </w:pPr>
            <w:r w:rsidRPr="008B06FF">
              <w:rPr>
                <w:rFonts w:ascii="Palatino Linotype" w:eastAsia="Palatino Linotype" w:hAnsi="Palatino Linotype" w:cs="Palatino Linotype"/>
              </w:rPr>
              <w:lastRenderedPageBreak/>
              <w:t>b) Supuestos de clasificación.</w:t>
            </w:r>
          </w:p>
        </w:tc>
        <w:tc>
          <w:tcPr>
            <w:tcW w:w="6804" w:type="dxa"/>
          </w:tcPr>
          <w:p w:rsidR="00606800" w:rsidRPr="008B06FF" w:rsidRDefault="00606800" w:rsidP="008013EC">
            <w:p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606800" w:rsidRPr="008B06FF" w:rsidRDefault="00606800" w:rsidP="008013EC">
            <w:p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606800" w:rsidRPr="008B06FF" w:rsidRDefault="00606800" w:rsidP="008013EC">
            <w:p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El </w:t>
            </w:r>
            <w:r w:rsidRPr="008B06FF">
              <w:rPr>
                <w:rFonts w:ascii="Palatino Linotype" w:eastAsia="Palatino Linotype" w:hAnsi="Palatino Linotype" w:cs="Palatino Linotype"/>
                <w:b/>
                <w:bCs/>
              </w:rPr>
              <w:t>SUJETO OBLIGADO</w:t>
            </w:r>
            <w:r w:rsidRPr="008B06FF">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w:t>
            </w:r>
            <w:r w:rsidRPr="008B06FF">
              <w:rPr>
                <w:rFonts w:ascii="Palatino Linotype" w:eastAsia="Palatino Linotype" w:hAnsi="Palatino Linotype" w:cs="Palatino Linotype"/>
              </w:rPr>
              <w:lastRenderedPageBreak/>
              <w:t>con la hipótesis jurídica. Esto también lo debe de realizar el servidor público habilitado y el titular del área que administra la información.</w:t>
            </w:r>
          </w:p>
        </w:tc>
      </w:tr>
      <w:tr w:rsidR="00606800" w:rsidRPr="008B06FF" w:rsidTr="008B06FF">
        <w:tc>
          <w:tcPr>
            <w:tcW w:w="2972" w:type="dxa"/>
          </w:tcPr>
          <w:p w:rsidR="00606800" w:rsidRPr="008B06FF" w:rsidRDefault="00606800" w:rsidP="008013EC">
            <w:pPr>
              <w:spacing w:line="360" w:lineRule="auto"/>
              <w:rPr>
                <w:rFonts w:ascii="Palatino Linotype" w:eastAsia="Palatino Linotype" w:hAnsi="Palatino Linotype" w:cs="Palatino Linotype"/>
              </w:rPr>
            </w:pPr>
            <w:r w:rsidRPr="008B06FF">
              <w:rPr>
                <w:rFonts w:ascii="Palatino Linotype" w:eastAsia="Palatino Linotype" w:hAnsi="Palatino Linotype" w:cs="Palatino Linotype"/>
              </w:rPr>
              <w:lastRenderedPageBreak/>
              <w:t>c) Formalidades para emitir el acuerdo de clasificación.</w:t>
            </w:r>
          </w:p>
        </w:tc>
        <w:tc>
          <w:tcPr>
            <w:tcW w:w="6804" w:type="dxa"/>
          </w:tcPr>
          <w:p w:rsidR="00606800" w:rsidRPr="008B06FF" w:rsidRDefault="00606800" w:rsidP="008013EC">
            <w:p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606800" w:rsidRPr="008B06FF" w:rsidRDefault="00606800" w:rsidP="008013EC">
            <w:p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Es necesario que </w:t>
            </w:r>
            <w:r w:rsidRPr="008B06FF">
              <w:rPr>
                <w:rFonts w:ascii="Palatino Linotype" w:eastAsia="Palatino Linotype" w:hAnsi="Palatino Linotype" w:cs="Palatino Linotype"/>
                <w:b/>
                <w:bCs/>
                <w:u w:val="single"/>
              </w:rPr>
              <w:t>el acto reúna con los requisitos elementales</w:t>
            </w:r>
            <w:r w:rsidRPr="008B06FF">
              <w:rPr>
                <w:rFonts w:ascii="Palatino Linotype" w:eastAsia="Palatino Linotype" w:hAnsi="Palatino Linotype" w:cs="Palatino Linotype"/>
              </w:rPr>
              <w:t>, entre ellos, que la autoridad que va a emitir el acto de autoridad sea la legalmente facultada para ello.</w:t>
            </w:r>
          </w:p>
          <w:p w:rsidR="00606800" w:rsidRPr="008B06FF" w:rsidRDefault="00606800" w:rsidP="008013EC">
            <w:p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606800" w:rsidRPr="008B06FF" w:rsidTr="008B06FF">
        <w:tc>
          <w:tcPr>
            <w:tcW w:w="2972" w:type="dxa"/>
          </w:tcPr>
          <w:p w:rsidR="00606800" w:rsidRPr="008B06FF" w:rsidRDefault="00606800" w:rsidP="008013EC">
            <w:pPr>
              <w:spacing w:line="360" w:lineRule="auto"/>
              <w:rPr>
                <w:rFonts w:ascii="Palatino Linotype" w:eastAsia="Palatino Linotype" w:hAnsi="Palatino Linotype" w:cs="Palatino Linotype"/>
              </w:rPr>
            </w:pPr>
          </w:p>
          <w:p w:rsidR="00606800" w:rsidRPr="008B06FF" w:rsidRDefault="00606800" w:rsidP="008013EC">
            <w:p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d) Requisitos de fondo del acuerdo de clasificación. </w:t>
            </w:r>
          </w:p>
        </w:tc>
        <w:tc>
          <w:tcPr>
            <w:tcW w:w="6804" w:type="dxa"/>
          </w:tcPr>
          <w:p w:rsidR="00606800" w:rsidRPr="008B06FF" w:rsidRDefault="00606800" w:rsidP="008013EC">
            <w:p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w:t>
            </w:r>
            <w:r w:rsidRPr="008B06FF">
              <w:rPr>
                <w:rFonts w:ascii="Palatino Linotype" w:eastAsia="Palatino Linotype" w:hAnsi="Palatino Linotype" w:cs="Palatino Linotype"/>
              </w:rPr>
              <w:lastRenderedPageBreak/>
              <w:t xml:space="preserve">de la prueba, para justificar las restricciones, corresponde a los </w:t>
            </w:r>
            <w:r w:rsidRPr="008B06FF">
              <w:rPr>
                <w:rFonts w:ascii="Palatino Linotype" w:eastAsia="Palatino Linotype" w:hAnsi="Palatino Linotype" w:cs="Palatino Linotype"/>
                <w:b/>
                <w:bCs/>
              </w:rPr>
              <w:t>Sujetos Obligados</w:t>
            </w:r>
            <w:r w:rsidRPr="008B06FF">
              <w:rPr>
                <w:rFonts w:ascii="Palatino Linotype" w:eastAsia="Palatino Linotype" w:hAnsi="Palatino Linotype" w:cs="Palatino Linotype"/>
              </w:rPr>
              <w:t xml:space="preserve">, por lo que deberán fundar y motivar debidamente la clasificación. </w:t>
            </w:r>
          </w:p>
          <w:p w:rsidR="00606800" w:rsidRPr="008B06FF" w:rsidRDefault="00606800" w:rsidP="008013EC">
            <w:p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De lo anterior, se desprende que para una correcta </w:t>
            </w:r>
            <w:r w:rsidRPr="008B06FF">
              <w:rPr>
                <w:rFonts w:ascii="Palatino Linotype" w:eastAsia="Palatino Linotype" w:hAnsi="Palatino Linotype" w:cs="Palatino Linotype"/>
                <w:b/>
                <w:bCs/>
              </w:rPr>
              <w:t>clasificación total o parcial</w:t>
            </w:r>
            <w:r w:rsidRPr="008B06FF">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606800" w:rsidRPr="008B06FF" w:rsidRDefault="00606800" w:rsidP="008013EC">
            <w:p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606800" w:rsidRPr="008B06FF" w:rsidRDefault="00606800" w:rsidP="008013EC">
            <w:p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606800" w:rsidRPr="008B06FF" w:rsidRDefault="00606800" w:rsidP="008013EC">
            <w:p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lastRenderedPageBreak/>
              <w:t xml:space="preserve">Ahora bien, </w:t>
            </w:r>
            <w:r w:rsidRPr="008B06FF">
              <w:rPr>
                <w:rFonts w:ascii="Palatino Linotype" w:eastAsia="Palatino Linotype" w:hAnsi="Palatino Linotype" w:cs="Palatino Linotype"/>
                <w:b/>
                <w:bCs/>
                <w:u w:val="single"/>
              </w:rPr>
              <w:t>para cada caso además de fundar y motivar</w:t>
            </w:r>
            <w:r w:rsidRPr="008B06FF">
              <w:rPr>
                <w:rFonts w:ascii="Palatino Linotype" w:eastAsia="Palatino Linotype" w:hAnsi="Palatino Linotype" w:cs="Palatino Linotype"/>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606800" w:rsidRPr="008B06FF" w:rsidTr="008B06FF">
        <w:tc>
          <w:tcPr>
            <w:tcW w:w="2972" w:type="dxa"/>
          </w:tcPr>
          <w:p w:rsidR="00606800" w:rsidRPr="008B06FF" w:rsidRDefault="00606800" w:rsidP="008013EC">
            <w:p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lastRenderedPageBreak/>
              <w:t xml:space="preserve">e) Condiciones especiales de la clasificación de la información como confidencial. </w:t>
            </w:r>
          </w:p>
          <w:p w:rsidR="00606800" w:rsidRPr="008B06FF" w:rsidRDefault="00606800" w:rsidP="008013EC">
            <w:pPr>
              <w:spacing w:line="360" w:lineRule="auto"/>
              <w:rPr>
                <w:rFonts w:ascii="Palatino Linotype" w:eastAsia="Palatino Linotype" w:hAnsi="Palatino Linotype" w:cs="Palatino Linotype"/>
              </w:rPr>
            </w:pPr>
          </w:p>
        </w:tc>
        <w:tc>
          <w:tcPr>
            <w:tcW w:w="6804" w:type="dxa"/>
          </w:tcPr>
          <w:p w:rsidR="00606800" w:rsidRPr="008B06FF" w:rsidRDefault="00606800" w:rsidP="008013EC">
            <w:p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606800" w:rsidRPr="008B06FF" w:rsidRDefault="00606800" w:rsidP="008013EC">
            <w:p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606800" w:rsidRPr="008B06FF" w:rsidRDefault="00606800" w:rsidP="008013EC">
            <w:pPr>
              <w:spacing w:line="360" w:lineRule="auto"/>
              <w:rPr>
                <w:rFonts w:ascii="Palatino Linotype" w:eastAsia="Palatino Linotype" w:hAnsi="Palatino Linotype" w:cs="Palatino Linotype"/>
              </w:rPr>
            </w:pPr>
            <w:r w:rsidRPr="008B06FF">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606800" w:rsidRPr="008B06FF" w:rsidRDefault="00606800" w:rsidP="00606800">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lastRenderedPageBreak/>
        <w:t>Entre los datos personales que se localizan en la información que se ordena entregar se contienen los siguientes:</w:t>
      </w:r>
    </w:p>
    <w:p w:rsidR="00606800" w:rsidRPr="008B06FF" w:rsidRDefault="00606800" w:rsidP="00606800">
      <w:pPr>
        <w:spacing w:line="360" w:lineRule="auto"/>
        <w:jc w:val="both"/>
        <w:rPr>
          <w:rFonts w:ascii="Palatino Linotype" w:eastAsia="Palatino Linotype" w:hAnsi="Palatino Linotype" w:cs="Palatino Linotype"/>
        </w:rPr>
      </w:pPr>
    </w:p>
    <w:p w:rsidR="00606800" w:rsidRPr="008B06FF" w:rsidRDefault="00606800" w:rsidP="00606800">
      <w:pPr>
        <w:pStyle w:val="Prrafodelista"/>
        <w:numPr>
          <w:ilvl w:val="0"/>
          <w:numId w:val="37"/>
        </w:numPr>
        <w:spacing w:line="360" w:lineRule="auto"/>
        <w:jc w:val="both"/>
        <w:rPr>
          <w:rFonts w:ascii="Palatino Linotype" w:eastAsia="Palatino Linotype" w:hAnsi="Palatino Linotype" w:cs="Palatino Linotype"/>
          <w:b/>
        </w:rPr>
      </w:pPr>
      <w:r w:rsidRPr="008B06FF">
        <w:rPr>
          <w:rFonts w:ascii="Palatino Linotype" w:eastAsia="Palatino Linotype" w:hAnsi="Palatino Linotype" w:cs="Palatino Linotype"/>
          <w:b/>
        </w:rPr>
        <w:t>Nombre de beneficiarios.</w:t>
      </w:r>
    </w:p>
    <w:p w:rsidR="00606800" w:rsidRPr="008B06FF" w:rsidRDefault="00606800" w:rsidP="00606800">
      <w:pPr>
        <w:pStyle w:val="Prrafodelista"/>
        <w:numPr>
          <w:ilvl w:val="0"/>
          <w:numId w:val="6"/>
        </w:numPr>
        <w:spacing w:line="360" w:lineRule="auto"/>
        <w:jc w:val="both"/>
        <w:rPr>
          <w:rFonts w:ascii="Palatino Linotype" w:eastAsia="Palatino Linotype" w:hAnsi="Palatino Linotype" w:cs="Palatino Linotype"/>
          <w:b/>
        </w:rPr>
      </w:pPr>
      <w:r w:rsidRPr="008B06FF">
        <w:rPr>
          <w:rFonts w:ascii="Palatino Linotype" w:eastAsia="Palatino Linotype" w:hAnsi="Palatino Linotype" w:cs="Palatino Linotype"/>
          <w:b/>
        </w:rPr>
        <w:t xml:space="preserve">No debe pasar desapercibido que el </w:t>
      </w:r>
      <w:r w:rsidRPr="008B06FF">
        <w:rPr>
          <w:rFonts w:ascii="Palatino Linotype" w:eastAsia="Palatino Linotype" w:hAnsi="Palatino Linotype" w:cs="Palatino Linotype"/>
        </w:rPr>
        <w:t xml:space="preserve">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8B06FF">
        <w:rPr>
          <w:rFonts w:ascii="Palatino Linotype" w:eastAsia="Palatino Linotype" w:hAnsi="Palatino Linotype" w:cs="Palatino Linotype"/>
          <w:i/>
        </w:rPr>
        <w:t>per se</w:t>
      </w:r>
      <w:r w:rsidRPr="008B06FF">
        <w:rPr>
          <w:rFonts w:ascii="Palatino Linotype" w:eastAsia="Palatino Linotype" w:hAnsi="Palatino Linotype" w:cs="Palatino Linotype"/>
        </w:rPr>
        <w:t xml:space="preserve"> es un elemento que hace a una persona física identificada o identificable, por lo que, </w:t>
      </w:r>
      <w:r w:rsidRPr="008B06FF">
        <w:rPr>
          <w:rFonts w:ascii="Palatino Linotype" w:eastAsia="Palatino Linotype" w:hAnsi="Palatino Linotype" w:cs="Palatino Linotype"/>
          <w:b/>
        </w:rPr>
        <w:t>se considera un dato personal, esto sólo cuando no recibe recursos o bienes públicos.</w:t>
      </w:r>
    </w:p>
    <w:p w:rsidR="00606800" w:rsidRPr="008B06FF" w:rsidRDefault="00606800" w:rsidP="00606800">
      <w:pPr>
        <w:spacing w:line="360" w:lineRule="auto"/>
        <w:jc w:val="both"/>
        <w:rPr>
          <w:rFonts w:ascii="Palatino Linotype" w:eastAsia="Palatino Linotype" w:hAnsi="Palatino Linotype" w:cs="Palatino Linotype"/>
          <w:b/>
        </w:rPr>
      </w:pPr>
    </w:p>
    <w:p w:rsidR="00606800" w:rsidRPr="008B06FF" w:rsidRDefault="00606800" w:rsidP="00606800">
      <w:pPr>
        <w:pStyle w:val="Prrafodelista"/>
        <w:numPr>
          <w:ilvl w:val="0"/>
          <w:numId w:val="6"/>
        </w:numPr>
        <w:spacing w:line="360" w:lineRule="auto"/>
        <w:jc w:val="both"/>
        <w:rPr>
          <w:rFonts w:ascii="Palatino Linotype" w:eastAsia="Palatino Linotype" w:hAnsi="Palatino Linotype" w:cs="Palatino Linotype"/>
          <w:color w:val="0D0D0D" w:themeColor="text1" w:themeTint="F2"/>
        </w:rPr>
      </w:pPr>
      <w:r w:rsidRPr="008B06FF">
        <w:rPr>
          <w:rFonts w:ascii="Palatino Linotype" w:eastAsia="Palatino Linotype" w:hAnsi="Palatino Linotype" w:cs="Palatino Linotype"/>
          <w:color w:val="0D0D0D" w:themeColor="text1" w:themeTint="F2"/>
        </w:rPr>
        <w:t>Lo anterior, debido a la naturaleza de la información que se trata, es de señalar que las personas físicas que aparecen en los documentos proporcionados corresponden a beneficiarios de programas sociales de una institución pública.</w:t>
      </w:r>
    </w:p>
    <w:p w:rsidR="00606800" w:rsidRPr="008B06FF" w:rsidRDefault="00606800" w:rsidP="00606800">
      <w:pPr>
        <w:spacing w:line="360" w:lineRule="auto"/>
        <w:jc w:val="both"/>
        <w:rPr>
          <w:rFonts w:ascii="Palatino Linotype" w:eastAsia="Palatino Linotype" w:hAnsi="Palatino Linotype" w:cs="Palatino Linotype"/>
          <w:color w:val="0D0D0D" w:themeColor="text1" w:themeTint="F2"/>
        </w:rPr>
      </w:pPr>
    </w:p>
    <w:p w:rsidR="00606800" w:rsidRPr="008B06FF" w:rsidRDefault="00606800" w:rsidP="00606800">
      <w:pPr>
        <w:pStyle w:val="Prrafodelista"/>
        <w:numPr>
          <w:ilvl w:val="0"/>
          <w:numId w:val="6"/>
        </w:numPr>
        <w:spacing w:line="360" w:lineRule="auto"/>
        <w:jc w:val="both"/>
        <w:rPr>
          <w:rFonts w:ascii="Palatino Linotype" w:eastAsia="Palatino Linotype" w:hAnsi="Palatino Linotype" w:cs="Palatino Linotype"/>
          <w:color w:val="0D0D0D" w:themeColor="text1" w:themeTint="F2"/>
        </w:rPr>
      </w:pPr>
      <w:r w:rsidRPr="008B06FF">
        <w:rPr>
          <w:rFonts w:ascii="Palatino Linotype" w:eastAsia="Palatino Linotype" w:hAnsi="Palatino Linotype" w:cs="Palatino Linotype"/>
          <w:color w:val="0D0D0D" w:themeColor="text1" w:themeTint="F2"/>
        </w:rPr>
        <w:t>Por lo que su publicidad o clasificación debe ajustarse a lo dispuesto por el criterio reiterado 09/19, del Instituto de Transparencia, Acceso a la Información Pública y Protección de Datos Personales del Estado de México y Municipios, que a la letra dice:</w:t>
      </w:r>
    </w:p>
    <w:p w:rsidR="00606800" w:rsidRPr="008B06FF" w:rsidRDefault="00606800" w:rsidP="00606800">
      <w:pPr>
        <w:spacing w:line="276" w:lineRule="auto"/>
        <w:ind w:left="850" w:right="901"/>
        <w:jc w:val="both"/>
        <w:rPr>
          <w:rFonts w:ascii="Palatino Linotype" w:eastAsia="Palatino Linotype" w:hAnsi="Palatino Linotype" w:cs="Palatino Linotype"/>
          <w:i/>
          <w:color w:val="0D0D0D" w:themeColor="text1" w:themeTint="F2"/>
        </w:rPr>
      </w:pPr>
    </w:p>
    <w:p w:rsidR="00606800" w:rsidRPr="008B06FF" w:rsidRDefault="00606800" w:rsidP="00606800">
      <w:pPr>
        <w:spacing w:line="276" w:lineRule="auto"/>
        <w:ind w:left="850" w:right="616"/>
        <w:jc w:val="both"/>
        <w:rPr>
          <w:rFonts w:ascii="Palatino Linotype" w:eastAsia="Palatino Linotype" w:hAnsi="Palatino Linotype" w:cs="Palatino Linotype"/>
          <w:b/>
          <w:i/>
          <w:color w:val="0D0D0D" w:themeColor="text1" w:themeTint="F2"/>
          <w:u w:val="single"/>
        </w:rPr>
      </w:pPr>
      <w:r w:rsidRPr="008B06FF">
        <w:rPr>
          <w:rFonts w:ascii="Palatino Linotype" w:eastAsia="Palatino Linotype" w:hAnsi="Palatino Linotype" w:cs="Palatino Linotype"/>
          <w:i/>
          <w:color w:val="0D0D0D" w:themeColor="text1" w:themeTint="F2"/>
        </w:rPr>
        <w:t>“</w:t>
      </w:r>
      <w:r w:rsidRPr="008B06FF">
        <w:rPr>
          <w:rFonts w:ascii="Palatino Linotype" w:eastAsia="Palatino Linotype" w:hAnsi="Palatino Linotype" w:cs="Palatino Linotype"/>
          <w:b/>
          <w:i/>
          <w:color w:val="0D0D0D" w:themeColor="text1" w:themeTint="F2"/>
        </w:rPr>
        <w:t xml:space="preserve">PADRÓN DE BENEFICIARIOS EN POSESIÓN DE SUJETOS OBLIGADOS. EXCEPCIONES PARA LA PUBLICACIÓN DE DATOS PERSONALES CONTENIDOS EN AQUÉL. </w:t>
      </w:r>
      <w:r w:rsidRPr="008B06FF">
        <w:rPr>
          <w:rFonts w:ascii="Palatino Linotype" w:eastAsia="Palatino Linotype" w:hAnsi="Palatino Linotype" w:cs="Palatino Linotype"/>
          <w:i/>
          <w:color w:val="0D0D0D" w:themeColor="text1" w:themeTint="F2"/>
        </w:rPr>
        <w:t xml:space="preserve">De conformidad con el artículo 1º, párrafo segundo de la Constitución Política de los Estados Unidos Mexicanos, las normas de derechos humanos se interpretarán de conformidad con dicha Constitución </w:t>
      </w:r>
      <w:r w:rsidRPr="008B06FF">
        <w:rPr>
          <w:rFonts w:ascii="Palatino Linotype" w:eastAsia="Palatino Linotype" w:hAnsi="Palatino Linotype" w:cs="Palatino Linotype"/>
          <w:i/>
          <w:color w:val="0D0D0D" w:themeColor="text1" w:themeTint="F2"/>
        </w:rPr>
        <w:lastRenderedPageBreak/>
        <w:t xml:space="preserve">y los Tratados Internaciones de la materia, favoreciendo en todo tiempo a las personas la protección más amplia. En ese tenor, si bien el numeral 92, fracción XIV, inciso p) de la Ley de Transparencia y Acceso a la Información Pública del Estado de México y Municipios establece como obligación de transparencia común, la publicación de manera permanente y actualizada de los programas de subsidios, estímulos y apoyos, así como el padrón de los beneficiarios, dentro del cual se contienen en esencia, datos personales como el nombre de la persona física o denominación de la persona jurídica colectiva beneficiada, lo cierto es que, esta disposición normativa debe ser interpretada con los principios y derechos establecidos en nuestra Constitución general, como aquellos previstos en los artículos 1º, párrafo quinto, 4°, párrafo noveno, y 16, párrafo segundo; el primero de ellos relativo al principio de no discriminación, el cual prohíbe toda anulación o menoscabo de los derechos y libertades de las personas motivada, entre otras cosas, por origen étnico, el género, la edad, las discapacidades, la condición social, las condiciones de salud o cualquier otra que atente contra la dignidad humana; el segundo relativo </w:t>
      </w:r>
      <w:r w:rsidRPr="008B06FF">
        <w:rPr>
          <w:rFonts w:ascii="Palatino Linotype" w:eastAsia="Palatino Linotype" w:hAnsi="Palatino Linotype" w:cs="Palatino Linotype"/>
          <w:b/>
          <w:bCs/>
          <w:i/>
          <w:color w:val="0D0D0D" w:themeColor="text1" w:themeTint="F2"/>
          <w:u w:val="single"/>
        </w:rPr>
        <w:t>al interés superior de la niñez</w:t>
      </w:r>
      <w:r w:rsidRPr="008B06FF">
        <w:rPr>
          <w:rFonts w:ascii="Palatino Linotype" w:eastAsia="Palatino Linotype" w:hAnsi="Palatino Linotype" w:cs="Palatino Linotype"/>
          <w:i/>
          <w:color w:val="0D0D0D" w:themeColor="text1" w:themeTint="F2"/>
        </w:rPr>
        <w:t xml:space="preserve">, mandatando que en todas las decisiones y actuaciones del Estado se velará y cumplirá aquél, garantizando de manera plena sus derechos; y finalmente, el derecho a la protección de datos personales, mismo que se reconoce a toda persona, en los términos que fije la ley, en la cual se establecerán los supuestos de excepción a los principios que rijan el tratamiento de datos. </w:t>
      </w:r>
      <w:r w:rsidRPr="008B06FF">
        <w:rPr>
          <w:rFonts w:ascii="Palatino Linotype" w:eastAsia="Palatino Linotype" w:hAnsi="Palatino Linotype" w:cs="Palatino Linotype"/>
          <w:b/>
          <w:i/>
          <w:color w:val="0D0D0D" w:themeColor="text1" w:themeTint="F2"/>
          <w:u w:val="single"/>
        </w:rPr>
        <w:t xml:space="preserve">Bajo esas directrices, el dispositivo legal en cita de la Ley de Transparencia, debe interpretarse a la luz de los principios y derechos de referencia, a fin de excluir los nombres de las personas menores de edad y las de capacidades diferentes, contenidos en los padrones de beneficiarios en posesión de los Sujetos Obligados, toda vez que la publicidad de estos datos personales puede revelar condiciones sociales, culturales y su plena identidad, que por regla general corresponden a grupos vulnerables o grupos sociales en condiciones de desventaja y que naturalmente representan datos sensibles que pueden afectar irreparablemente a su titular, los cuales requieren de una mayor protección, dado que de hacerse públicos generarían un riesgo o afectación que atenta contra la dignidad, la no discriminación y </w:t>
      </w:r>
      <w:r w:rsidRPr="008B06FF">
        <w:rPr>
          <w:rFonts w:ascii="Palatino Linotype" w:eastAsia="Palatino Linotype" w:hAnsi="Palatino Linotype" w:cs="Palatino Linotype"/>
          <w:b/>
          <w:i/>
          <w:color w:val="0D0D0D" w:themeColor="text1" w:themeTint="F2"/>
          <w:u w:val="single"/>
        </w:rPr>
        <w:lastRenderedPageBreak/>
        <w:t>especialmente a la protección de los datos personales, con la única excepción de que, a través de un test de interés público se justifique de manera razonable, la publicidad de dichos datos personales; por tanto, los referidos datos personales deberán clasificarse como confidenciales, en términos de lo dispuesto por los dispositivos Constitucionales previamente invocados y los diversos 3, fracciones IX, XX, XXI, XXIII, XXXII; 8; 6; 137 y 143, fracción I de la Ley de Transparencia y Acceso a la Información Pública del Estado de México y Municipios así como 4, fracciones XI y XII; 6; 7; 8 y 10, de la Ley de Protección de Datos Personales en Posesión de Sujetos Obligados del Estado de México y Municipios.”</w:t>
      </w:r>
    </w:p>
    <w:p w:rsidR="00606800" w:rsidRPr="008B06FF" w:rsidRDefault="00606800" w:rsidP="00606800">
      <w:pPr>
        <w:spacing w:line="360" w:lineRule="auto"/>
        <w:jc w:val="both"/>
        <w:rPr>
          <w:rFonts w:ascii="Palatino Linotype" w:eastAsia="Palatino Linotype" w:hAnsi="Palatino Linotype" w:cs="Palatino Linotype"/>
          <w:b/>
        </w:rPr>
      </w:pPr>
    </w:p>
    <w:p w:rsidR="00606800" w:rsidRPr="008B06FF" w:rsidRDefault="00606800" w:rsidP="00606800">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En este caso en particular, se trata de un programa social enfocado a personas en situación de vulnerabilidad, además de que el objeto del </w:t>
      </w:r>
      <w:r w:rsidR="00316ECF" w:rsidRPr="008B06FF">
        <w:rPr>
          <w:rFonts w:ascii="Palatino Linotype" w:eastAsia="Palatino Linotype" w:hAnsi="Palatino Linotype" w:cs="Palatino Linotype"/>
        </w:rPr>
        <w:t>beneficio</w:t>
      </w:r>
      <w:r w:rsidRPr="008B06FF">
        <w:rPr>
          <w:rFonts w:ascii="Palatino Linotype" w:eastAsia="Palatino Linotype" w:hAnsi="Palatino Linotype" w:cs="Palatino Linotype"/>
        </w:rPr>
        <w:t xml:space="preserve"> se basa en la </w:t>
      </w:r>
      <w:r w:rsidR="00316ECF" w:rsidRPr="008B06FF">
        <w:rPr>
          <w:rFonts w:ascii="Palatino Linotype" w:eastAsia="Palatino Linotype" w:hAnsi="Palatino Linotype" w:cs="Palatino Linotype"/>
        </w:rPr>
        <w:t>implementación de programas alimentarios enfocados en niñas, niños, mujeres, embarazadas y familias vulnerables, complementados con educación nutricional y proyectos autosustentables</w:t>
      </w:r>
      <w:r w:rsidRPr="008B06FF">
        <w:rPr>
          <w:rFonts w:ascii="Palatino Linotype" w:eastAsia="Palatino Linotype" w:hAnsi="Palatino Linotype" w:cs="Palatino Linotype"/>
        </w:rPr>
        <w:t xml:space="preserve">, lo que directamente se relaciona con </w:t>
      </w:r>
      <w:r w:rsidR="00316ECF" w:rsidRPr="008B06FF">
        <w:rPr>
          <w:rFonts w:ascii="Palatino Linotype" w:eastAsia="Palatino Linotype" w:hAnsi="Palatino Linotype" w:cs="Palatino Linotype"/>
        </w:rPr>
        <w:t>personas en situación de</w:t>
      </w:r>
      <w:r w:rsidRPr="008B06FF">
        <w:rPr>
          <w:rFonts w:ascii="Palatino Linotype" w:eastAsia="Palatino Linotype" w:hAnsi="Palatino Linotype" w:cs="Palatino Linotype"/>
        </w:rPr>
        <w:t xml:space="preserve"> vulnerabilidad, razón por la cual, de acuerdo al criterio citado, su nombre causal de clasificación de acuerdo con la fracción I, del artículo 143 de la Ley de Transparencia y Acceso a la Información Pública del Estado de México y Municipios.</w:t>
      </w:r>
    </w:p>
    <w:p w:rsidR="00606800" w:rsidRPr="008B06FF" w:rsidRDefault="00606800" w:rsidP="00606800">
      <w:pPr>
        <w:spacing w:line="360" w:lineRule="auto"/>
        <w:jc w:val="both"/>
        <w:rPr>
          <w:rFonts w:ascii="Palatino Linotype" w:eastAsia="Palatino Linotype" w:hAnsi="Palatino Linotype" w:cs="Palatino Linotype"/>
        </w:rPr>
      </w:pPr>
    </w:p>
    <w:p w:rsidR="00606800" w:rsidRPr="008B06FF" w:rsidRDefault="00606800" w:rsidP="00606800">
      <w:pPr>
        <w:pStyle w:val="Prrafodelista"/>
        <w:numPr>
          <w:ilvl w:val="0"/>
          <w:numId w:val="36"/>
        </w:numPr>
        <w:spacing w:line="360" w:lineRule="auto"/>
        <w:jc w:val="both"/>
        <w:rPr>
          <w:rFonts w:ascii="Palatino Linotype" w:eastAsia="Palatino Linotype" w:hAnsi="Palatino Linotype" w:cs="Palatino Linotype"/>
          <w:b/>
        </w:rPr>
      </w:pPr>
      <w:r w:rsidRPr="008B06FF">
        <w:rPr>
          <w:rFonts w:ascii="Palatino Linotype" w:eastAsia="Palatino Linotype" w:hAnsi="Palatino Linotype" w:cs="Palatino Linotype"/>
          <w:b/>
        </w:rPr>
        <w:t>Estado de salud.</w:t>
      </w:r>
    </w:p>
    <w:p w:rsidR="00606800" w:rsidRPr="008B06FF" w:rsidRDefault="00606800" w:rsidP="00606800">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Es de mencionar que el estado de salud de una persona se relaciona directamente con su vida privada y su esfera más íntima y cuya utilización indebida puede dar origen a discriminación y representa un riesgo grave para el titular.</w:t>
      </w:r>
    </w:p>
    <w:p w:rsidR="00606800" w:rsidRPr="008B06FF" w:rsidRDefault="00606800" w:rsidP="00606800">
      <w:pPr>
        <w:spacing w:line="360" w:lineRule="auto"/>
        <w:jc w:val="both"/>
        <w:rPr>
          <w:rFonts w:ascii="Palatino Linotype" w:eastAsia="Palatino Linotype" w:hAnsi="Palatino Linotype" w:cs="Palatino Linotype"/>
        </w:rPr>
      </w:pPr>
    </w:p>
    <w:p w:rsidR="00606800" w:rsidRPr="008B06FF" w:rsidRDefault="00606800" w:rsidP="00606800">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lastRenderedPageBreak/>
        <w:t>Entonces, de acuerdo al artículo 4°, fracciones IX y X, de la Ley General de Protección de Datos Personales en Posesión de Sujetos Obligados y 4°, fracciones XI y XII, de la Ley de Protección de Datos Personales en Posesión de Sujetos Obligados del Estado de México y Municipios corresponde a datos personales sensibles.</w:t>
      </w:r>
    </w:p>
    <w:p w:rsidR="00606800" w:rsidRPr="008B06FF" w:rsidRDefault="00606800" w:rsidP="00606800">
      <w:pPr>
        <w:spacing w:line="360" w:lineRule="auto"/>
        <w:jc w:val="both"/>
        <w:rPr>
          <w:rFonts w:ascii="Palatino Linotype" w:eastAsia="Palatino Linotype" w:hAnsi="Palatino Linotype" w:cs="Palatino Linotype"/>
        </w:rPr>
      </w:pPr>
    </w:p>
    <w:p w:rsidR="00606800" w:rsidRPr="008B06FF" w:rsidRDefault="00606800" w:rsidP="00606800">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En ese contexto, Davara, Isabel; Barco, Gregorio, Barco; y Cervantes, Alexis (2019), en el “Diccionario de Protección de Datos Personales Conceptos Fundamentales” (p. 226), precisan que </w:t>
      </w:r>
      <w:r w:rsidRPr="008B06FF">
        <w:rPr>
          <w:rFonts w:ascii="Palatino Linotype" w:eastAsia="Palatino Linotype" w:hAnsi="Palatino Linotype" w:cs="Palatino Linotype"/>
          <w:bCs/>
        </w:rPr>
        <w:t>los datos relativos a la salud son datos personales de carácter sensible</w:t>
      </w:r>
      <w:r w:rsidRPr="008B06FF">
        <w:rPr>
          <w:rFonts w:ascii="Palatino Linotype" w:eastAsia="Palatino Linotype" w:hAnsi="Palatino Linotype" w:cs="Palatino Linotype"/>
        </w:rPr>
        <w:t>, en tanto a que refieren al estado de salud física o mental de un individuo, y que se conforma entre otros, por lo siguientes:</w:t>
      </w:r>
    </w:p>
    <w:p w:rsidR="00606800" w:rsidRPr="008B06FF" w:rsidRDefault="00606800" w:rsidP="00606800">
      <w:pPr>
        <w:spacing w:line="360" w:lineRule="auto"/>
        <w:jc w:val="both"/>
        <w:rPr>
          <w:rFonts w:ascii="Palatino Linotype" w:eastAsia="Palatino Linotype" w:hAnsi="Palatino Linotype" w:cs="Palatino Linotype"/>
        </w:rPr>
      </w:pPr>
    </w:p>
    <w:p w:rsidR="00606800" w:rsidRPr="008B06FF" w:rsidRDefault="00606800" w:rsidP="00606800">
      <w:pPr>
        <w:numPr>
          <w:ilvl w:val="0"/>
          <w:numId w:val="38"/>
        </w:numPr>
        <w:pBdr>
          <w:top w:val="nil"/>
          <w:left w:val="nil"/>
          <w:bottom w:val="nil"/>
          <w:right w:val="nil"/>
          <w:between w:val="nil"/>
        </w:pBd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Números, símbolos o datos asignados a una persona física identificable que la identifique de manera unívoca a efectos sanitarios; </w:t>
      </w:r>
    </w:p>
    <w:p w:rsidR="00606800" w:rsidRPr="008B06FF" w:rsidRDefault="00606800" w:rsidP="00606800">
      <w:pPr>
        <w:numPr>
          <w:ilvl w:val="0"/>
          <w:numId w:val="38"/>
        </w:numPr>
        <w:pBdr>
          <w:top w:val="nil"/>
          <w:left w:val="nil"/>
          <w:bottom w:val="nil"/>
          <w:right w:val="nil"/>
          <w:between w:val="nil"/>
        </w:pBd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La información obtenida de pruebas o exámenes de una parte del cuerpo o sustancia corporal, y </w:t>
      </w:r>
    </w:p>
    <w:p w:rsidR="00606800" w:rsidRPr="008B06FF" w:rsidRDefault="00606800" w:rsidP="00606800">
      <w:pPr>
        <w:numPr>
          <w:ilvl w:val="0"/>
          <w:numId w:val="38"/>
        </w:numPr>
        <w:pBdr>
          <w:top w:val="nil"/>
          <w:left w:val="nil"/>
          <w:bottom w:val="nil"/>
          <w:right w:val="nil"/>
          <w:between w:val="nil"/>
        </w:pBd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La información relativa a una enfermedad, una discapacidad, el riesgo de padecer enfermedades, el historial médico, el tratamiento clínico o el estado fisiológico o biomédico del interesado</w:t>
      </w:r>
    </w:p>
    <w:p w:rsidR="00606800" w:rsidRPr="008B06FF" w:rsidRDefault="00606800" w:rsidP="00606800">
      <w:pPr>
        <w:spacing w:line="360" w:lineRule="auto"/>
        <w:jc w:val="both"/>
        <w:rPr>
          <w:rFonts w:ascii="Palatino Linotype" w:eastAsia="Palatino Linotype" w:hAnsi="Palatino Linotype" w:cs="Palatino Linotype"/>
        </w:rPr>
      </w:pPr>
    </w:p>
    <w:p w:rsidR="00606800" w:rsidRPr="008B06FF" w:rsidRDefault="00606800" w:rsidP="00606800">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Situación que toma relevancia, púes el apartado ¿Qué son los datos personales?, de la página oficial de este Instituto (consultada en la liga https://www.infoem.org.mx/es/contenido/datospersonales , el catorce de mayo de dos mil veinticinco), reafirma como una categoría de datos personales sensibles los concernientes a </w:t>
      </w:r>
      <w:r w:rsidRPr="008B06FF">
        <w:rPr>
          <w:rFonts w:ascii="Palatino Linotype" w:eastAsia="Palatino Linotype" w:hAnsi="Palatino Linotype" w:cs="Palatino Linotype"/>
        </w:rPr>
        <w:lastRenderedPageBreak/>
        <w:t>la salud de una persona, los cuales se conforman de aquellos datos relacionados con el estado físico o mental, cualquier atención médica, expediente clínico, diagnósticos, padecimientos, vacunas, intervenciones quirúrgicas, incapacidades médicas, discapacidades, uso de aparatos oftalmológicos, ortopédicos, auditivos o prótesis, consumo de sustancias tóxicas y estupefacientes, sintomatologías o análogos.</w:t>
      </w:r>
    </w:p>
    <w:p w:rsidR="00606800" w:rsidRPr="008B06FF" w:rsidRDefault="00606800" w:rsidP="00606800">
      <w:pPr>
        <w:spacing w:line="360" w:lineRule="auto"/>
        <w:jc w:val="both"/>
        <w:rPr>
          <w:rFonts w:ascii="Palatino Linotype" w:eastAsia="Palatino Linotype" w:hAnsi="Palatino Linotype" w:cs="Palatino Linotype"/>
        </w:rPr>
      </w:pPr>
    </w:p>
    <w:p w:rsidR="00606800" w:rsidRPr="008B06FF" w:rsidRDefault="00606800" w:rsidP="00606800">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Como se logra observar cualquier información o dato que se relacione con el estado de salud de una persona, se considera un dato personal sensible, pues da cuenta del estado de salud físico o mental del titular, lo cual está íntimamente relacionado con su vida privada e íntima y, por lo tanto, actualiza la causal de clasificación, establecida en el artículo 143, fracción I, de la Ley de Transparencia y Acceso a la Información Pública del Estado de México y Municipios.</w:t>
      </w:r>
    </w:p>
    <w:p w:rsidR="00606800" w:rsidRPr="008B06FF" w:rsidRDefault="00606800" w:rsidP="00606800">
      <w:pPr>
        <w:spacing w:line="360" w:lineRule="auto"/>
        <w:jc w:val="both"/>
        <w:rPr>
          <w:rFonts w:ascii="Palatino Linotype" w:eastAsia="Palatino Linotype" w:hAnsi="Palatino Linotype" w:cs="Palatino Linotype"/>
          <w:b/>
        </w:rPr>
      </w:pPr>
    </w:p>
    <w:p w:rsidR="00606800" w:rsidRPr="008B06FF" w:rsidRDefault="00606800" w:rsidP="00606800">
      <w:pPr>
        <w:pStyle w:val="Prrafodelista"/>
        <w:numPr>
          <w:ilvl w:val="0"/>
          <w:numId w:val="36"/>
        </w:numPr>
        <w:spacing w:line="360" w:lineRule="auto"/>
        <w:jc w:val="both"/>
        <w:rPr>
          <w:rFonts w:ascii="Palatino Linotype" w:eastAsia="Palatino Linotype" w:hAnsi="Palatino Linotype" w:cs="Palatino Linotype"/>
          <w:b/>
        </w:rPr>
      </w:pPr>
      <w:r w:rsidRPr="008B06FF">
        <w:rPr>
          <w:rFonts w:ascii="Palatino Linotype" w:eastAsia="Palatino Linotype" w:hAnsi="Palatino Linotype" w:cs="Palatino Linotype"/>
          <w:b/>
        </w:rPr>
        <w:t>Firma de particulares.</w:t>
      </w:r>
    </w:p>
    <w:p w:rsidR="00606800" w:rsidRPr="008B06FF" w:rsidRDefault="008B06FF" w:rsidP="008B06FF">
      <w:pPr>
        <w:pStyle w:val="Prrafodelista"/>
        <w:numPr>
          <w:ilvl w:val="0"/>
          <w:numId w:val="6"/>
        </w:numPr>
        <w:spacing w:before="240" w:after="240"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r w:rsidR="00606800" w:rsidRPr="008B06FF">
        <w:rPr>
          <w:rFonts w:ascii="Palatino Linotype" w:eastAsia="Palatino Linotype" w:hAnsi="Palatino Linotype" w:cs="Palatino Linotype"/>
        </w:rPr>
        <w:t>Respecto de la rúbrica o firma de la persona que recibe el documento se debe tener presente que la firma y rúbrica son definidas por la Real Academia de la Lengua Española, de la siguiente manera:</w:t>
      </w:r>
    </w:p>
    <w:p w:rsidR="00606800" w:rsidRPr="008B06FF" w:rsidRDefault="00606800" w:rsidP="00606800">
      <w:pPr>
        <w:numPr>
          <w:ilvl w:val="0"/>
          <w:numId w:val="35"/>
        </w:numPr>
        <w:pBdr>
          <w:top w:val="nil"/>
          <w:left w:val="nil"/>
          <w:bottom w:val="nil"/>
          <w:right w:val="nil"/>
          <w:between w:val="nil"/>
        </w:pBdr>
        <w:tabs>
          <w:tab w:val="left" w:pos="426"/>
        </w:tabs>
        <w:spacing w:before="240" w:after="240" w:line="360" w:lineRule="auto"/>
        <w:ind w:left="142" w:firstLine="0"/>
        <w:jc w:val="both"/>
        <w:rPr>
          <w:rFonts w:ascii="Palatino Linotype" w:eastAsia="Palatino Linotype" w:hAnsi="Palatino Linotype" w:cs="Palatino Linotype"/>
        </w:rPr>
      </w:pPr>
      <w:r w:rsidRPr="008B06FF">
        <w:rPr>
          <w:rFonts w:ascii="Palatino Linotype" w:eastAsia="Palatino Linotype" w:hAnsi="Palatino Linotype" w:cs="Palatino Linotype"/>
        </w:rPr>
        <w:t>Firma. Rasgo o conjunto de rasgos, realizados siempre de la misma manera, que identifican a una persona y sustituyen a su nombre y apellidos para aprobar o dar autenticidad a un documento.</w:t>
      </w:r>
    </w:p>
    <w:p w:rsidR="00606800" w:rsidRPr="008B06FF" w:rsidRDefault="00606800" w:rsidP="00606800">
      <w:pPr>
        <w:numPr>
          <w:ilvl w:val="0"/>
          <w:numId w:val="35"/>
        </w:numPr>
        <w:pBdr>
          <w:top w:val="nil"/>
          <w:left w:val="nil"/>
          <w:bottom w:val="nil"/>
          <w:right w:val="nil"/>
          <w:between w:val="nil"/>
        </w:pBdr>
        <w:tabs>
          <w:tab w:val="left" w:pos="426"/>
        </w:tabs>
        <w:spacing w:before="240" w:after="240" w:line="360" w:lineRule="auto"/>
        <w:ind w:left="142" w:firstLine="0"/>
        <w:jc w:val="both"/>
        <w:rPr>
          <w:rFonts w:ascii="Palatino Linotype" w:eastAsia="Palatino Linotype" w:hAnsi="Palatino Linotype" w:cs="Palatino Linotype"/>
        </w:rPr>
      </w:pPr>
      <w:r w:rsidRPr="008B06FF">
        <w:rPr>
          <w:rFonts w:ascii="Palatino Linotype" w:eastAsia="Palatino Linotype" w:hAnsi="Palatino Linotype" w:cs="Palatino Linotype"/>
        </w:rPr>
        <w:t>Rúbrica. Rasgo o conjunto de rasgos, realizados siempre de la misma manera que suele ponerse en la firma después del nombre y que a veces la sustituye.</w:t>
      </w:r>
    </w:p>
    <w:p w:rsidR="00606800" w:rsidRPr="008B06FF" w:rsidRDefault="00606800" w:rsidP="00606800">
      <w:pPr>
        <w:pStyle w:val="Prrafodelista"/>
        <w:numPr>
          <w:ilvl w:val="0"/>
          <w:numId w:val="6"/>
        </w:numPr>
        <w:spacing w:before="240" w:after="240"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lastRenderedPageBreak/>
        <w:t>En ese sentido, se advierte que tanto la firma como la rúbrica son rasgos gráficos que pueden identificar o hacer identificable a una persona, por lo tanto, se consideran por regla general como datos personales confidenciales que deben protegerse en los documentos que los contengan, según lo dispuesto por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 ya que en mayor o menor medida inciden en la vida privada de una persona.</w:t>
      </w:r>
    </w:p>
    <w:p w:rsidR="00606800" w:rsidRPr="008B06FF" w:rsidRDefault="00606800" w:rsidP="00606800">
      <w:pPr>
        <w:widowControl w:val="0"/>
        <w:pBdr>
          <w:top w:val="nil"/>
          <w:left w:val="nil"/>
          <w:bottom w:val="nil"/>
          <w:right w:val="nil"/>
          <w:between w:val="nil"/>
        </w:pBdr>
        <w:tabs>
          <w:tab w:val="left" w:pos="284"/>
        </w:tabs>
        <w:spacing w:before="240" w:after="240"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b/>
          <w:bCs/>
        </w:rPr>
        <w:t>- Domicilio particular.</w:t>
      </w:r>
      <w:r w:rsidRPr="008B06FF">
        <w:rPr>
          <w:rFonts w:ascii="Palatino Linotype" w:eastAsia="Palatino Linotype" w:hAnsi="Palatino Linotype" w:cs="Palatino Linotype"/>
        </w:rPr>
        <w:t xml:space="preserve"> </w:t>
      </w:r>
    </w:p>
    <w:p w:rsidR="008B06FF" w:rsidRDefault="00606800" w:rsidP="00606800">
      <w:pPr>
        <w:pStyle w:val="Prrafodelista"/>
        <w:widowControl w:val="0"/>
        <w:numPr>
          <w:ilvl w:val="0"/>
          <w:numId w:val="6"/>
        </w:numPr>
        <w:pBdr>
          <w:top w:val="nil"/>
          <w:left w:val="nil"/>
          <w:bottom w:val="nil"/>
          <w:right w:val="nil"/>
          <w:between w:val="nil"/>
        </w:pBdr>
        <w:tabs>
          <w:tab w:val="left" w:pos="284"/>
        </w:tabs>
        <w:spacing w:before="240" w:after="240"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De acuerdo con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w:t>
      </w:r>
    </w:p>
    <w:p w:rsidR="00606800" w:rsidRPr="008B06FF" w:rsidRDefault="00606800" w:rsidP="008B06FF">
      <w:pPr>
        <w:pStyle w:val="Prrafodelista"/>
        <w:widowControl w:val="0"/>
        <w:pBdr>
          <w:top w:val="nil"/>
          <w:left w:val="nil"/>
          <w:bottom w:val="nil"/>
          <w:right w:val="nil"/>
          <w:between w:val="nil"/>
        </w:pBdr>
        <w:tabs>
          <w:tab w:val="left" w:pos="284"/>
        </w:tabs>
        <w:spacing w:before="240" w:after="240" w:line="360" w:lineRule="auto"/>
        <w:ind w:left="0"/>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 </w:t>
      </w:r>
    </w:p>
    <w:p w:rsidR="00606800" w:rsidRPr="008B06FF" w:rsidRDefault="00606800" w:rsidP="00606800">
      <w:pPr>
        <w:pStyle w:val="Prrafodelista"/>
        <w:widowControl w:val="0"/>
        <w:numPr>
          <w:ilvl w:val="0"/>
          <w:numId w:val="6"/>
        </w:numPr>
        <w:pBdr>
          <w:top w:val="nil"/>
          <w:left w:val="nil"/>
          <w:bottom w:val="nil"/>
          <w:right w:val="nil"/>
          <w:between w:val="nil"/>
        </w:pBdr>
        <w:tabs>
          <w:tab w:val="left" w:pos="284"/>
        </w:tabs>
        <w:spacing w:before="240" w:after="240" w:line="360" w:lineRule="auto"/>
        <w:jc w:val="both"/>
        <w:rPr>
          <w:rFonts w:ascii="Palatino Linotype" w:eastAsia="Palatino Linotype" w:hAnsi="Palatino Linotype" w:cs="Palatino Linotype"/>
          <w:b/>
        </w:rPr>
      </w:pPr>
      <w:r w:rsidRPr="008B06FF">
        <w:rPr>
          <w:rFonts w:ascii="Palatino Linotype" w:eastAsia="Palatino Linotype" w:hAnsi="Palatino Linotype" w:cs="Palatino Linotype"/>
        </w:rPr>
        <w:t>De la misma manera, lo establece el artículo 29 del Código Civil Federal, al precisar que el domicilio de personas físicas</w:t>
      </w:r>
      <w:r w:rsidRPr="008B06FF">
        <w:rPr>
          <w:rFonts w:ascii="Palatino Linotype" w:eastAsia="Palatino Linotype" w:hAnsi="Palatino Linotype" w:cs="Palatino Linotype"/>
          <w:b/>
        </w:rPr>
        <w:t xml:space="preserve">, </w:t>
      </w:r>
      <w:r w:rsidRPr="008B06FF">
        <w:rPr>
          <w:rFonts w:ascii="Palatino Linotype" w:eastAsia="Palatino Linotype" w:hAnsi="Palatino Linotype" w:cs="Palatino Linotype"/>
        </w:rPr>
        <w:t>es el lugar donde residen habitualmente, el lugar del centro principal de sus negocios, donde residan o el lugar donde se encuentren.</w:t>
      </w:r>
    </w:p>
    <w:p w:rsidR="008B06FF" w:rsidRPr="008B06FF" w:rsidRDefault="008B06FF" w:rsidP="008B06FF">
      <w:pPr>
        <w:pStyle w:val="Prrafodelista"/>
        <w:widowControl w:val="0"/>
        <w:pBdr>
          <w:top w:val="nil"/>
          <w:left w:val="nil"/>
          <w:bottom w:val="nil"/>
          <w:right w:val="nil"/>
          <w:between w:val="nil"/>
        </w:pBdr>
        <w:tabs>
          <w:tab w:val="left" w:pos="284"/>
        </w:tabs>
        <w:spacing w:before="240" w:after="240" w:line="360" w:lineRule="auto"/>
        <w:ind w:left="0"/>
        <w:jc w:val="both"/>
        <w:rPr>
          <w:rFonts w:ascii="Palatino Linotype" w:eastAsia="Palatino Linotype" w:hAnsi="Palatino Linotype" w:cs="Palatino Linotype"/>
          <w:b/>
        </w:rPr>
      </w:pPr>
    </w:p>
    <w:p w:rsidR="008B06FF" w:rsidRDefault="00606800" w:rsidP="00606800">
      <w:pPr>
        <w:pStyle w:val="Prrafodelista"/>
        <w:numPr>
          <w:ilvl w:val="0"/>
          <w:numId w:val="6"/>
        </w:numPr>
        <w:spacing w:before="240" w:after="240" w:line="360" w:lineRule="auto"/>
        <w:ind w:right="-93"/>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w:t>
      </w:r>
      <w:r w:rsidRPr="008B06FF">
        <w:rPr>
          <w:rFonts w:ascii="Palatino Linotype" w:eastAsia="Palatino Linotype" w:hAnsi="Palatino Linotype" w:cs="Palatino Linotype"/>
        </w:rPr>
        <w:lastRenderedPageBreak/>
        <w:t>dato personal y, por ende, confidencial, ya que incide directamente en la privacidad de personas físicas identificadas y su difusión podría afectar la esfera privada de las mismas.</w:t>
      </w:r>
    </w:p>
    <w:p w:rsidR="00606800" w:rsidRPr="008B06FF" w:rsidRDefault="00606800" w:rsidP="008B06FF">
      <w:pPr>
        <w:pStyle w:val="Prrafodelista"/>
        <w:spacing w:before="240" w:after="240" w:line="360" w:lineRule="auto"/>
        <w:ind w:left="0" w:right="-93"/>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 </w:t>
      </w:r>
    </w:p>
    <w:p w:rsidR="00606800" w:rsidRPr="008B06FF" w:rsidRDefault="00606800" w:rsidP="00606800">
      <w:pPr>
        <w:pStyle w:val="Prrafodelista"/>
        <w:numPr>
          <w:ilvl w:val="0"/>
          <w:numId w:val="6"/>
        </w:numPr>
        <w:spacing w:before="240" w:after="240" w:line="360" w:lineRule="auto"/>
        <w:ind w:right="-93"/>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Por lo tanto, se actualiza la clasificación del </w:t>
      </w:r>
      <w:r w:rsidRPr="008B06FF">
        <w:rPr>
          <w:rFonts w:ascii="Palatino Linotype" w:eastAsia="Palatino Linotype" w:hAnsi="Palatino Linotype" w:cs="Palatino Linotype"/>
          <w:b/>
          <w:bCs/>
          <w:u w:val="single"/>
        </w:rPr>
        <w:t>domicilio particular y su comprobante</w:t>
      </w:r>
      <w:r w:rsidRPr="008B06FF">
        <w:rPr>
          <w:rFonts w:ascii="Palatino Linotype" w:eastAsia="Palatino Linotype" w:hAnsi="Palatino Linotype" w:cs="Palatino Linotype"/>
        </w:rPr>
        <w:t>, de conformidad con la fracción I, del artículo 143 de la Ley de Transparencia y Acceso a la Información Pública del Estado de México y Municipios.</w:t>
      </w:r>
    </w:p>
    <w:p w:rsidR="00606800" w:rsidRPr="008B06FF" w:rsidRDefault="00606800" w:rsidP="00606800">
      <w:pPr>
        <w:spacing w:before="240" w:after="240" w:line="360" w:lineRule="auto"/>
        <w:ind w:right="-93"/>
        <w:jc w:val="both"/>
        <w:rPr>
          <w:rFonts w:ascii="Palatino Linotype" w:eastAsia="Palatino Linotype" w:hAnsi="Palatino Linotype" w:cs="Palatino Linotype"/>
        </w:rPr>
      </w:pPr>
      <w:r w:rsidRPr="008B06FF">
        <w:rPr>
          <w:rFonts w:ascii="Palatino Linotype" w:eastAsia="Palatino Linotype" w:hAnsi="Palatino Linotype" w:cs="Palatino Linotype"/>
          <w:b/>
        </w:rPr>
        <w:t>- Teléfono particular</w:t>
      </w:r>
      <w:r w:rsidRPr="008B06FF">
        <w:rPr>
          <w:rFonts w:ascii="Palatino Linotype" w:eastAsia="Palatino Linotype" w:hAnsi="Palatino Linotype" w:cs="Palatino Linotype"/>
        </w:rPr>
        <w:t xml:space="preserve">. </w:t>
      </w:r>
    </w:p>
    <w:p w:rsidR="00606800" w:rsidRPr="008B06FF" w:rsidRDefault="00606800" w:rsidP="00606800">
      <w:pPr>
        <w:pStyle w:val="Prrafodelista"/>
        <w:numPr>
          <w:ilvl w:val="0"/>
          <w:numId w:val="6"/>
        </w:numPr>
        <w:spacing w:before="240" w:after="240" w:line="360" w:lineRule="auto"/>
        <w:ind w:right="-93"/>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Constituye un medio para comunicarse con una persona física identificada o identificable, por lo que la hace localizable. Por lo tanto, se trata de información que al darse a conocer afectaría la intimidad de la persona respectiva, siendo susceptible de clasificarse como información confidencial de conformidad con la fracción I, del artículo 143 de la Ley de Transparencia y Acceso a la Información Pública del Estado de México y Municipios. </w:t>
      </w:r>
    </w:p>
    <w:p w:rsidR="00606800" w:rsidRPr="008B06FF" w:rsidRDefault="00606800" w:rsidP="00606800">
      <w:pPr>
        <w:pBdr>
          <w:top w:val="nil"/>
          <w:left w:val="nil"/>
          <w:bottom w:val="nil"/>
          <w:right w:val="nil"/>
          <w:between w:val="nil"/>
        </w:pBdr>
        <w:spacing w:before="240" w:after="240" w:line="360" w:lineRule="auto"/>
        <w:jc w:val="both"/>
        <w:rPr>
          <w:rFonts w:ascii="Palatino Linotype" w:eastAsia="Palatino Linotype" w:hAnsi="Palatino Linotype" w:cs="Palatino Linotype"/>
          <w:b/>
        </w:rPr>
      </w:pPr>
      <w:r w:rsidRPr="008B06FF">
        <w:rPr>
          <w:rFonts w:ascii="Palatino Linotype" w:eastAsia="Palatino Linotype" w:hAnsi="Palatino Linotype" w:cs="Palatino Linotype"/>
        </w:rPr>
        <w:t xml:space="preserve">- </w:t>
      </w:r>
      <w:r w:rsidRPr="008B06FF">
        <w:rPr>
          <w:rFonts w:ascii="Palatino Linotype" w:eastAsia="Palatino Linotype" w:hAnsi="Palatino Linotype" w:cs="Palatino Linotype"/>
          <w:b/>
          <w:bCs/>
        </w:rPr>
        <w:t>C</w:t>
      </w:r>
      <w:r w:rsidRPr="008B06FF">
        <w:rPr>
          <w:rFonts w:ascii="Palatino Linotype" w:eastAsia="Palatino Linotype" w:hAnsi="Palatino Linotype" w:cs="Palatino Linotype"/>
          <w:b/>
        </w:rPr>
        <w:t xml:space="preserve">orreo electrónico particular. </w:t>
      </w:r>
    </w:p>
    <w:p w:rsidR="00606800" w:rsidRPr="008B06FF" w:rsidRDefault="00606800" w:rsidP="00606800">
      <w:pPr>
        <w:pStyle w:val="Prrafodelista"/>
        <w:numPr>
          <w:ilvl w:val="0"/>
          <w:numId w:val="6"/>
        </w:numPr>
        <w:pBdr>
          <w:top w:val="nil"/>
          <w:left w:val="nil"/>
          <w:bottom w:val="nil"/>
          <w:right w:val="nil"/>
          <w:between w:val="nil"/>
        </w:pBdr>
        <w:spacing w:before="240" w:after="240"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Al ser un sistema de transmisión de mensajes por computadora a través de redes informáticas, dicho dato se puede asimilar al teléfono o domicilio particular, toda vez que es otro medio para comunicarse con la persona titular del mismo, la hace localizable, e incluso identificable al poder estar conformado por parte de su nombre o bien, fecha de nacimiento. En ese sentido la titularidad de dicho dato corresponde a la persona física; por lo que corresponde a un dato personal que actualiza la causal de clasificación establecida en el artículo 143, fracción I de la Ley de Transparencia y Acceso a la Información Pública del Estado de México y Municipios.</w:t>
      </w:r>
    </w:p>
    <w:p w:rsidR="00606800" w:rsidRPr="008B06FF" w:rsidRDefault="00606800" w:rsidP="00606800">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lastRenderedPageBreak/>
        <w:t>Por otro lado, es de destacar que los artículos Quincuagésimo, Quincuagésimo primero, Quincuagésimo segundo, de los Lineamientos Generales en Materia de Clasificación y Desclasificación de la Información, así como para la Elaboración de Versiones Públicas vigentes a la fecha de la solicitud señalan las formalidades que deberá llevar el acuerdo de clasificación que deberá emitir el Sujeto Obligado, siendo estas las siguientes:</w:t>
      </w:r>
    </w:p>
    <w:p w:rsidR="00606800" w:rsidRPr="008B06FF" w:rsidRDefault="00606800" w:rsidP="00606800">
      <w:pPr>
        <w:spacing w:line="360" w:lineRule="auto"/>
        <w:jc w:val="both"/>
        <w:rPr>
          <w:rFonts w:ascii="Palatino Linotype" w:eastAsia="Palatino Linotype" w:hAnsi="Palatino Linotype" w:cs="Palatino Linotype"/>
        </w:rPr>
      </w:pPr>
    </w:p>
    <w:p w:rsidR="00606800" w:rsidRPr="008B06FF" w:rsidRDefault="00606800" w:rsidP="00606800">
      <w:pP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 xml:space="preserve"> “</w:t>
      </w:r>
      <w:r w:rsidRPr="008B06FF">
        <w:rPr>
          <w:rFonts w:ascii="Palatino Linotype" w:eastAsia="Palatino Linotype" w:hAnsi="Palatino Linotype" w:cs="Palatino Linotype"/>
          <w:b/>
          <w:i/>
        </w:rPr>
        <w:t>Quincuagésimo</w:t>
      </w:r>
      <w:r w:rsidRPr="008B06FF">
        <w:rPr>
          <w:rFonts w:ascii="Palatino Linotype" w:eastAsia="Palatino Linotype" w:hAnsi="Palatino Linotype" w:cs="Palatino Linotype"/>
          <w:i/>
        </w:rPr>
        <w:t xml:space="preserve">.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rsidR="00606800" w:rsidRPr="008B06FF" w:rsidRDefault="00606800" w:rsidP="00606800">
      <w:pPr>
        <w:pBdr>
          <w:top w:val="nil"/>
          <w:left w:val="nil"/>
          <w:bottom w:val="nil"/>
          <w:right w:val="nil"/>
          <w:between w:val="nil"/>
        </w:pBd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b/>
          <w:i/>
        </w:rPr>
        <w:t>Quincuagésimo primero.</w:t>
      </w:r>
      <w:r w:rsidRPr="008B06FF">
        <w:rPr>
          <w:rFonts w:ascii="Palatino Linotype" w:eastAsia="Palatino Linotype" w:hAnsi="Palatino Linotype" w:cs="Palatino Linotype"/>
          <w:i/>
        </w:rPr>
        <w:t xml:space="preserve"> Toda acta del Comité de Transparencia deberá contener: </w:t>
      </w:r>
    </w:p>
    <w:p w:rsidR="00606800" w:rsidRPr="008B06FF" w:rsidRDefault="00606800" w:rsidP="00606800">
      <w:pPr>
        <w:pBdr>
          <w:top w:val="nil"/>
          <w:left w:val="nil"/>
          <w:bottom w:val="nil"/>
          <w:right w:val="nil"/>
          <w:between w:val="nil"/>
        </w:pBd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 xml:space="preserve">I. El número de sesión y fecha; </w:t>
      </w:r>
    </w:p>
    <w:p w:rsidR="00606800" w:rsidRPr="008B06FF" w:rsidRDefault="00606800" w:rsidP="00606800">
      <w:pPr>
        <w:pBdr>
          <w:top w:val="nil"/>
          <w:left w:val="nil"/>
          <w:bottom w:val="nil"/>
          <w:right w:val="nil"/>
          <w:between w:val="nil"/>
        </w:pBd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 xml:space="preserve">II. El nombre del área que solicitó la clasificación de información; </w:t>
      </w:r>
    </w:p>
    <w:p w:rsidR="00606800" w:rsidRPr="008B06FF" w:rsidRDefault="00606800" w:rsidP="00606800">
      <w:pPr>
        <w:pBdr>
          <w:top w:val="nil"/>
          <w:left w:val="nil"/>
          <w:bottom w:val="nil"/>
          <w:right w:val="nil"/>
          <w:between w:val="nil"/>
        </w:pBd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 xml:space="preserve">III. La fundamentación legal y motivación correspondiente; </w:t>
      </w:r>
    </w:p>
    <w:p w:rsidR="00606800" w:rsidRPr="008B06FF" w:rsidRDefault="00606800" w:rsidP="00606800">
      <w:pPr>
        <w:pBdr>
          <w:top w:val="nil"/>
          <w:left w:val="nil"/>
          <w:bottom w:val="nil"/>
          <w:right w:val="nil"/>
          <w:between w:val="nil"/>
        </w:pBd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 xml:space="preserve">IV. La resolución o resoluciones aprobadas; y </w:t>
      </w:r>
    </w:p>
    <w:p w:rsidR="00606800" w:rsidRPr="008B06FF" w:rsidRDefault="00606800" w:rsidP="00606800">
      <w:pPr>
        <w:pBdr>
          <w:top w:val="nil"/>
          <w:left w:val="nil"/>
          <w:bottom w:val="nil"/>
          <w:right w:val="nil"/>
          <w:between w:val="nil"/>
        </w:pBd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 xml:space="preserve">V. La rúbrica o firma digital de cada integrante del Comité de Transparencia. </w:t>
      </w:r>
    </w:p>
    <w:p w:rsidR="00606800" w:rsidRPr="008B06FF" w:rsidRDefault="00606800" w:rsidP="00606800">
      <w:pPr>
        <w:pBdr>
          <w:top w:val="nil"/>
          <w:left w:val="nil"/>
          <w:bottom w:val="nil"/>
          <w:right w:val="nil"/>
          <w:between w:val="nil"/>
        </w:pBd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 xml:space="preserve">Las resoluciones del Comité en las que se haya determinado confirmar o modificar la clasificación de información pública como reservada, deberán incluir, cuando menos: </w:t>
      </w:r>
    </w:p>
    <w:p w:rsidR="00606800" w:rsidRPr="008B06FF" w:rsidRDefault="00606800" w:rsidP="00606800">
      <w:pPr>
        <w:pBdr>
          <w:top w:val="nil"/>
          <w:left w:val="nil"/>
          <w:bottom w:val="nil"/>
          <w:right w:val="nil"/>
          <w:between w:val="nil"/>
        </w:pBd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I. Los motivos y razonamientos que sustenten la confirmación o modificación de la prueba de daño;</w:t>
      </w:r>
    </w:p>
    <w:p w:rsidR="00606800" w:rsidRPr="008B06FF" w:rsidRDefault="00606800" w:rsidP="00606800">
      <w:pPr>
        <w:pBdr>
          <w:top w:val="nil"/>
          <w:left w:val="nil"/>
          <w:bottom w:val="nil"/>
          <w:right w:val="nil"/>
          <w:between w:val="nil"/>
        </w:pBd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 xml:space="preserve">II. Descripción de las partes o secciones reservadas, en caso de clasificación parcial; </w:t>
      </w:r>
    </w:p>
    <w:p w:rsidR="00606800" w:rsidRPr="008B06FF" w:rsidRDefault="00606800" w:rsidP="00606800">
      <w:pPr>
        <w:pBdr>
          <w:top w:val="nil"/>
          <w:left w:val="nil"/>
          <w:bottom w:val="nil"/>
          <w:right w:val="nil"/>
          <w:between w:val="nil"/>
        </w:pBd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 xml:space="preserve">III. El periodo por el que mantendrá su clasificación y fecha de expiración; y </w:t>
      </w:r>
    </w:p>
    <w:p w:rsidR="00606800" w:rsidRPr="008B06FF" w:rsidRDefault="00606800" w:rsidP="00606800">
      <w:pPr>
        <w:pBdr>
          <w:top w:val="nil"/>
          <w:left w:val="nil"/>
          <w:bottom w:val="nil"/>
          <w:right w:val="nil"/>
          <w:between w:val="nil"/>
        </w:pBd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 xml:space="preserve">IV. El nombre del titular y área encargada de realizar la versión pública del documento, en su caso. </w:t>
      </w:r>
    </w:p>
    <w:p w:rsidR="00606800" w:rsidRPr="008B06FF" w:rsidRDefault="00606800" w:rsidP="00606800">
      <w:pPr>
        <w:pBdr>
          <w:top w:val="nil"/>
          <w:left w:val="nil"/>
          <w:bottom w:val="nil"/>
          <w:right w:val="nil"/>
          <w:between w:val="nil"/>
        </w:pBd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 xml:space="preserve">En los casos en que se clasifique la información como reservada siempre se entregará o anexará la prueba de daño con la respuesta al solicitante. </w:t>
      </w:r>
    </w:p>
    <w:p w:rsidR="00606800" w:rsidRPr="008B06FF" w:rsidRDefault="00606800" w:rsidP="00606800">
      <w:pPr>
        <w:pBdr>
          <w:top w:val="nil"/>
          <w:left w:val="nil"/>
          <w:bottom w:val="nil"/>
          <w:right w:val="nil"/>
          <w:between w:val="nil"/>
        </w:pBd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En los casos de resoluciones del Comité de Transparencia en las que se confirme la clasificación de información confidencial solo se deberán de identificar los tipos de datos protegidos, de conformidad con el lineamiento trigésimo octavo.</w:t>
      </w:r>
    </w:p>
    <w:p w:rsidR="00606800" w:rsidRPr="008B06FF" w:rsidRDefault="00606800" w:rsidP="00606800">
      <w:pP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b/>
          <w:i/>
        </w:rPr>
        <w:lastRenderedPageBreak/>
        <w:t>Quincuagésimo segundo.</w:t>
      </w:r>
      <w:r w:rsidRPr="008B06FF">
        <w:rPr>
          <w:rFonts w:ascii="Palatino Linotype" w:eastAsia="Palatino Linotype" w:hAnsi="Palatino Linotype" w:cs="Palatino Linotype"/>
          <w:i/>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rsidR="00606800" w:rsidRPr="008B06FF" w:rsidRDefault="00606800" w:rsidP="00606800">
      <w:pP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 xml:space="preserve">En el caso específico de la clasificación y elaboración de versiones públicas de documentos que contengan información confidencial, las áreas de los sujetos obligados deberán: </w:t>
      </w:r>
    </w:p>
    <w:p w:rsidR="00606800" w:rsidRPr="008B06FF" w:rsidRDefault="00606800" w:rsidP="00606800">
      <w:pP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I. Fijar la fecha en que se elaboró la versión pública y la fecha en la cual el Comité de Transparencia confirmó dicha versión;</w:t>
      </w:r>
    </w:p>
    <w:p w:rsidR="00606800" w:rsidRPr="008B06FF" w:rsidRDefault="00606800" w:rsidP="00606800">
      <w:pP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II. Señalar dentro del documento el tipo de información confidencial que fue testada en cada caso específico, de conformidad con el lineamiento trigésimo octavo; y</w:t>
      </w:r>
    </w:p>
    <w:p w:rsidR="00606800" w:rsidRPr="008B06FF" w:rsidRDefault="00606800" w:rsidP="00606800">
      <w:pP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III. Señalar las personas o instancias autorizadas a acceder a la información clasificada.</w:t>
      </w:r>
    </w:p>
    <w:p w:rsidR="00606800" w:rsidRPr="008B06FF" w:rsidRDefault="00606800" w:rsidP="00606800">
      <w:pP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En los documentos de difusión electrónica, señalar en la primera hoja y en el nombre del archivo, que la versión pública corresponde a un documento que contiene información confidencial.”</w:t>
      </w:r>
    </w:p>
    <w:p w:rsidR="00606800" w:rsidRPr="008B06FF" w:rsidRDefault="00606800" w:rsidP="00606800">
      <w:pPr>
        <w:spacing w:line="360" w:lineRule="auto"/>
        <w:jc w:val="both"/>
        <w:rPr>
          <w:rFonts w:ascii="Palatino Linotype" w:eastAsia="Palatino Linotype" w:hAnsi="Palatino Linotype" w:cs="Palatino Linotype"/>
        </w:rPr>
      </w:pPr>
    </w:p>
    <w:p w:rsidR="00606800" w:rsidRPr="008B06FF" w:rsidRDefault="00606800" w:rsidP="00606800">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De igual forma, deberá observar los Lineamientos Quincuagésimo cuarto, Quincuagésimo quinto, Quincuagésimo séptimo y Quincuagésimo octavo, vigentes a la fecha de la solicitud de información establecen lo siguiente: </w:t>
      </w:r>
    </w:p>
    <w:p w:rsidR="00606800" w:rsidRPr="008B06FF" w:rsidRDefault="00606800" w:rsidP="00606800">
      <w:pPr>
        <w:spacing w:line="360" w:lineRule="auto"/>
        <w:jc w:val="both"/>
        <w:rPr>
          <w:rFonts w:ascii="Palatino Linotype" w:eastAsia="Palatino Linotype" w:hAnsi="Palatino Linotype" w:cs="Palatino Linotype"/>
        </w:rPr>
      </w:pPr>
    </w:p>
    <w:p w:rsidR="00606800" w:rsidRPr="008B06FF" w:rsidRDefault="00606800" w:rsidP="00606800">
      <w:pPr>
        <w:pBdr>
          <w:top w:val="nil"/>
          <w:left w:val="nil"/>
          <w:bottom w:val="nil"/>
          <w:right w:val="nil"/>
          <w:between w:val="nil"/>
        </w:pBd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w:t>
      </w:r>
      <w:r w:rsidRPr="008B06FF">
        <w:rPr>
          <w:rFonts w:ascii="Palatino Linotype" w:eastAsia="Palatino Linotype" w:hAnsi="Palatino Linotype" w:cs="Palatino Linotype"/>
          <w:b/>
          <w:i/>
        </w:rPr>
        <w:t>Quincuagésimo cuarto.</w:t>
      </w:r>
      <w:r w:rsidRPr="008B06FF">
        <w:rPr>
          <w:rFonts w:ascii="Palatino Linotype" w:eastAsia="Palatino Linotype" w:hAnsi="Palatino Linotype" w:cs="Palatino Linotype"/>
          <w:i/>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rsidR="00606800" w:rsidRPr="008B06FF" w:rsidRDefault="00606800" w:rsidP="00606800">
      <w:pP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b/>
          <w:i/>
        </w:rPr>
        <w:t>Quincuagésimo quinto.</w:t>
      </w:r>
      <w:r w:rsidRPr="008B06FF">
        <w:rPr>
          <w:rFonts w:ascii="Palatino Linotype" w:eastAsia="Palatino Linotype" w:hAnsi="Palatino Linotype" w:cs="Palatino Linotype"/>
          <w:i/>
        </w:rPr>
        <w:t xml:space="preserve">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rsidR="00606800" w:rsidRPr="008B06FF" w:rsidRDefault="00606800" w:rsidP="00606800">
      <w:pP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w:t>
      </w:r>
    </w:p>
    <w:p w:rsidR="00606800" w:rsidRPr="008B06FF" w:rsidRDefault="00606800" w:rsidP="00606800">
      <w:pP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b/>
          <w:i/>
        </w:rPr>
        <w:lastRenderedPageBreak/>
        <w:t>Quincuagésimo séptimo.</w:t>
      </w:r>
      <w:r w:rsidRPr="008B06FF">
        <w:rPr>
          <w:rFonts w:ascii="Palatino Linotype" w:eastAsia="Palatino Linotype" w:hAnsi="Palatino Linotype" w:cs="Palatino Linotype"/>
          <w:i/>
        </w:rPr>
        <w:t xml:space="preserve"> Se considera, en principio, como información pública y no podrá omitirse de las versiones públicas la siguiente: </w:t>
      </w:r>
    </w:p>
    <w:p w:rsidR="00606800" w:rsidRPr="008B06FF" w:rsidRDefault="00606800" w:rsidP="00606800">
      <w:pP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 xml:space="preserve">I. La relativa a las Obligaciones de Transparencia que contempla el Título V de la Ley General y las demás disposiciones legales aplicables; </w:t>
      </w:r>
    </w:p>
    <w:p w:rsidR="00606800" w:rsidRPr="008B06FF" w:rsidRDefault="00606800" w:rsidP="00606800">
      <w:pP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II. El nombre de los integrantes de los sujetos obligados en los documentos, y sus firmas autógrafas o digitales, cuando sean utilizados en el ejercicio de las facultades conferidas para el desempeño del servicio público, y</w:t>
      </w:r>
    </w:p>
    <w:p w:rsidR="00606800" w:rsidRPr="008B06FF" w:rsidRDefault="00606800" w:rsidP="00606800">
      <w:pP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rsidR="00606800" w:rsidRPr="008B06FF" w:rsidRDefault="00606800" w:rsidP="00606800">
      <w:pP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 xml:space="preserve">Lo anterior, siempre y cuando no se acredite alguna causal de clasificación, prevista en las leyes o en los tratados internacionales suscritas por el Estado mexicano.  </w:t>
      </w:r>
    </w:p>
    <w:p w:rsidR="00606800" w:rsidRPr="008B06FF" w:rsidRDefault="00606800" w:rsidP="00606800">
      <w:pPr>
        <w:ind w:left="567" w:right="616"/>
        <w:jc w:val="both"/>
        <w:rPr>
          <w:rFonts w:ascii="Palatino Linotype" w:eastAsia="Palatino Linotype" w:hAnsi="Palatino Linotype" w:cs="Palatino Linotype"/>
          <w:i/>
        </w:rPr>
      </w:pPr>
      <w:r w:rsidRPr="008B06FF">
        <w:rPr>
          <w:rFonts w:ascii="Palatino Linotype" w:eastAsia="Palatino Linotype" w:hAnsi="Palatino Linotype" w:cs="Palatino Linotype"/>
          <w:i/>
        </w:rPr>
        <w:t>Quincuagésimo octavo. Los sujetos obligados garantizarán que los sistemas o medios empleados para eliminar la información en las versiones públicas sean irreversibles, de tal forma que no permitan su recuperación o la visualización de la misma.”</w:t>
      </w:r>
    </w:p>
    <w:p w:rsidR="00606800" w:rsidRPr="008B06FF" w:rsidRDefault="00606800" w:rsidP="00606800">
      <w:pPr>
        <w:spacing w:line="360" w:lineRule="auto"/>
        <w:ind w:left="567" w:right="616"/>
        <w:jc w:val="both"/>
        <w:rPr>
          <w:rFonts w:ascii="Palatino Linotype" w:eastAsia="Palatino Linotype" w:hAnsi="Palatino Linotype" w:cs="Palatino Linotype"/>
          <w:i/>
        </w:rPr>
      </w:pPr>
    </w:p>
    <w:p w:rsidR="00606800" w:rsidRPr="008B06FF" w:rsidRDefault="00606800" w:rsidP="00606800">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rsidR="00606800" w:rsidRPr="008B06FF" w:rsidRDefault="00606800" w:rsidP="00606800">
      <w:pPr>
        <w:spacing w:line="360" w:lineRule="auto"/>
        <w:jc w:val="both"/>
        <w:rPr>
          <w:rFonts w:ascii="Palatino Linotype" w:eastAsia="Palatino Linotype" w:hAnsi="Palatino Linotype" w:cs="Palatino Linotype"/>
        </w:rPr>
      </w:pPr>
    </w:p>
    <w:p w:rsidR="00606800" w:rsidRPr="008B06FF" w:rsidRDefault="00606800" w:rsidP="00606800">
      <w:pPr>
        <w:pStyle w:val="Prrafodelista"/>
        <w:numPr>
          <w:ilvl w:val="0"/>
          <w:numId w:val="6"/>
        </w:num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rPr>
        <w:t xml:space="preserve">Es entonces que, la entrega de documentos en su versión pública debe acompañarse necesariamente del Acuerdo del Comité de Transparencia que la sustente, el cual debe estar </w:t>
      </w:r>
      <w:r w:rsidRPr="008B06FF">
        <w:rPr>
          <w:rFonts w:ascii="Palatino Linotype" w:eastAsia="Palatino Linotype" w:hAnsi="Palatino Linotype" w:cs="Palatino Linotype"/>
        </w:rPr>
        <w:lastRenderedPageBreak/>
        <w:t>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rsidR="00606800" w:rsidRPr="008B06FF" w:rsidRDefault="00606800" w:rsidP="00606800">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783FB8" w:rsidRPr="008B06FF" w:rsidRDefault="005F2828" w:rsidP="00606800">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8B06FF">
        <w:rPr>
          <w:rFonts w:ascii="Palatino Linotype" w:eastAsia="Palatino Linotype" w:hAnsi="Palatino Linotype" w:cs="Palatino Linotype"/>
          <w:color w:val="000000"/>
        </w:rPr>
        <w:t>Por lo anteriormente expuesto, este Órgano Garante considera fundadas las razones o motivos de inconformidad que plantea el</w:t>
      </w:r>
      <w:r w:rsidRPr="008B06FF">
        <w:rPr>
          <w:rFonts w:ascii="Palatino Linotype" w:eastAsia="Palatino Linotype" w:hAnsi="Palatino Linotype" w:cs="Palatino Linotype"/>
          <w:b/>
          <w:color w:val="000000"/>
        </w:rPr>
        <w:t xml:space="preserve"> RECURRENTE</w:t>
      </w:r>
      <w:r w:rsidRPr="008B06FF">
        <w:rPr>
          <w:rFonts w:ascii="Palatino Linotype" w:eastAsia="Palatino Linotype" w:hAnsi="Palatino Linotype" w:cs="Palatino Linotype"/>
          <w:color w:val="000000"/>
        </w:rPr>
        <w:t xml:space="preserve">, determinando </w:t>
      </w:r>
      <w:r w:rsidRPr="008B06FF">
        <w:rPr>
          <w:rFonts w:ascii="Palatino Linotype" w:eastAsia="Palatino Linotype" w:hAnsi="Palatino Linotype" w:cs="Palatino Linotype"/>
          <w:b/>
          <w:color w:val="000000"/>
        </w:rPr>
        <w:t xml:space="preserve">REVOCAR </w:t>
      </w:r>
      <w:r w:rsidRPr="008B06FF">
        <w:rPr>
          <w:rFonts w:ascii="Palatino Linotype" w:eastAsia="Palatino Linotype" w:hAnsi="Palatino Linotype" w:cs="Palatino Linotype"/>
          <w:color w:val="000000"/>
        </w:rPr>
        <w:t xml:space="preserve">la respuesta del </w:t>
      </w:r>
      <w:r w:rsidRPr="008B06FF">
        <w:rPr>
          <w:rFonts w:ascii="Palatino Linotype" w:eastAsia="Palatino Linotype" w:hAnsi="Palatino Linotype" w:cs="Palatino Linotype"/>
          <w:b/>
          <w:color w:val="000000"/>
        </w:rPr>
        <w:t>SUJETO OBLIGADO</w:t>
      </w:r>
      <w:r w:rsidRPr="008B06FF">
        <w:rPr>
          <w:rFonts w:ascii="Palatino Linotype" w:eastAsia="Palatino Linotype" w:hAnsi="Palatino Linotype" w:cs="Palatino Linotype"/>
          <w:color w:val="000000"/>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8B06FF">
        <w:rPr>
          <w:rFonts w:ascii="Palatino Linotype" w:eastAsia="Palatino Linotype" w:hAnsi="Palatino Linotype" w:cs="Palatino Linotype"/>
          <w:b/>
          <w:color w:val="000000"/>
        </w:rPr>
        <w:t>ÓRGANO GARANTE</w:t>
      </w:r>
      <w:r w:rsidRPr="008B06FF">
        <w:rPr>
          <w:rFonts w:ascii="Palatino Linotype" w:eastAsia="Palatino Linotype" w:hAnsi="Palatino Linotype" w:cs="Palatino Linotype"/>
          <w:color w:val="000000"/>
        </w:rPr>
        <w:t xml:space="preserve"> emite los siguientes.</w:t>
      </w:r>
    </w:p>
    <w:p w:rsidR="00783FB8" w:rsidRPr="008B06FF" w:rsidRDefault="00783FB8">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783FB8" w:rsidRPr="008B06FF" w:rsidRDefault="005F2828">
      <w:pPr>
        <w:pStyle w:val="Ttulo1"/>
        <w:spacing w:before="0" w:line="360" w:lineRule="auto"/>
        <w:jc w:val="center"/>
        <w:rPr>
          <w:b w:val="0"/>
          <w:color w:val="000000"/>
          <w:szCs w:val="24"/>
        </w:rPr>
      </w:pPr>
      <w:r w:rsidRPr="008B06FF">
        <w:rPr>
          <w:color w:val="000000"/>
          <w:szCs w:val="24"/>
        </w:rPr>
        <w:t>R E S O L U T I V O S</w:t>
      </w:r>
    </w:p>
    <w:p w:rsidR="00783FB8" w:rsidRPr="008B06FF" w:rsidRDefault="00783FB8">
      <w:pPr>
        <w:spacing w:line="360" w:lineRule="auto"/>
        <w:rPr>
          <w:rFonts w:ascii="Palatino Linotype" w:eastAsia="Palatino Linotype" w:hAnsi="Palatino Linotype" w:cs="Palatino Linotype"/>
        </w:rPr>
      </w:pPr>
    </w:p>
    <w:p w:rsidR="00783FB8" w:rsidRPr="008B06FF" w:rsidRDefault="005F2828">
      <w:p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b/>
        </w:rPr>
        <w:t>PRIMERO</w:t>
      </w:r>
      <w:r w:rsidRPr="008B06FF">
        <w:rPr>
          <w:rFonts w:ascii="Palatino Linotype" w:eastAsia="Palatino Linotype" w:hAnsi="Palatino Linotype" w:cs="Palatino Linotype"/>
        </w:rPr>
        <w:t xml:space="preserve">. Resultan </w:t>
      </w:r>
      <w:r w:rsidR="00D75512" w:rsidRPr="008B06FF">
        <w:rPr>
          <w:rFonts w:ascii="Palatino Linotype" w:eastAsia="Palatino Linotype" w:hAnsi="Palatino Linotype" w:cs="Palatino Linotype"/>
        </w:rPr>
        <w:t xml:space="preserve">parcialmente </w:t>
      </w:r>
      <w:r w:rsidRPr="008B06FF">
        <w:rPr>
          <w:rFonts w:ascii="Palatino Linotype" w:eastAsia="Palatino Linotype" w:hAnsi="Palatino Linotype" w:cs="Palatino Linotype"/>
        </w:rPr>
        <w:t xml:space="preserve">fundadas las razones o motivos de inconformidad hechos valer en el Recursos de Revisión </w:t>
      </w:r>
      <w:r w:rsidR="00D75512" w:rsidRPr="008B06FF">
        <w:rPr>
          <w:rFonts w:ascii="Palatino Linotype" w:eastAsia="Palatino Linotype" w:hAnsi="Palatino Linotype" w:cs="Palatino Linotype"/>
          <w:b/>
        </w:rPr>
        <w:t>12758</w:t>
      </w:r>
      <w:r w:rsidRPr="008B06FF">
        <w:rPr>
          <w:rFonts w:ascii="Palatino Linotype" w:eastAsia="Palatino Linotype" w:hAnsi="Palatino Linotype" w:cs="Palatino Linotype"/>
          <w:b/>
        </w:rPr>
        <w:t>/INFOEM/IP/RR/202</w:t>
      </w:r>
      <w:r w:rsidR="00537A0A" w:rsidRPr="008B06FF">
        <w:rPr>
          <w:rFonts w:ascii="Palatino Linotype" w:eastAsia="Palatino Linotype" w:hAnsi="Palatino Linotype" w:cs="Palatino Linotype"/>
          <w:b/>
        </w:rPr>
        <w:t>5</w:t>
      </w:r>
      <w:r w:rsidRPr="008B06FF">
        <w:rPr>
          <w:rFonts w:ascii="Palatino Linotype" w:eastAsia="Palatino Linotype" w:hAnsi="Palatino Linotype" w:cs="Palatino Linotype"/>
          <w:b/>
        </w:rPr>
        <w:t xml:space="preserve"> </w:t>
      </w:r>
      <w:r w:rsidRPr="008B06FF">
        <w:rPr>
          <w:rFonts w:ascii="Palatino Linotype" w:eastAsia="Palatino Linotype" w:hAnsi="Palatino Linotype" w:cs="Palatino Linotype"/>
        </w:rPr>
        <w:t xml:space="preserve">en términos del Considerando </w:t>
      </w:r>
      <w:r w:rsidRPr="008B06FF">
        <w:rPr>
          <w:rFonts w:ascii="Palatino Linotype" w:eastAsia="Palatino Linotype" w:hAnsi="Palatino Linotype" w:cs="Palatino Linotype"/>
          <w:b/>
        </w:rPr>
        <w:t xml:space="preserve">Cuarto </w:t>
      </w:r>
      <w:r w:rsidRPr="008B06FF">
        <w:rPr>
          <w:rFonts w:ascii="Palatino Linotype" w:eastAsia="Palatino Linotype" w:hAnsi="Palatino Linotype" w:cs="Palatino Linotype"/>
        </w:rPr>
        <w:t xml:space="preserve">de la presente resolución. </w:t>
      </w:r>
    </w:p>
    <w:p w:rsidR="00783FB8" w:rsidRPr="008B06FF" w:rsidRDefault="00783FB8">
      <w:pPr>
        <w:spacing w:line="360" w:lineRule="auto"/>
        <w:jc w:val="both"/>
        <w:rPr>
          <w:rFonts w:ascii="Palatino Linotype" w:eastAsia="Palatino Linotype" w:hAnsi="Palatino Linotype" w:cs="Palatino Linotype"/>
        </w:rPr>
      </w:pPr>
    </w:p>
    <w:p w:rsidR="00783FB8" w:rsidRPr="008B06FF" w:rsidRDefault="005F2828">
      <w:pPr>
        <w:spacing w:line="360" w:lineRule="auto"/>
        <w:jc w:val="both"/>
        <w:rPr>
          <w:rFonts w:ascii="Palatino Linotype" w:eastAsia="Palatino Linotype" w:hAnsi="Palatino Linotype" w:cs="Palatino Linotype"/>
          <w:color w:val="000000"/>
        </w:rPr>
      </w:pPr>
      <w:bookmarkStart w:id="10" w:name="_heading=h.26in1rg" w:colFirst="0" w:colLast="0"/>
      <w:bookmarkEnd w:id="10"/>
      <w:r w:rsidRPr="008B06FF">
        <w:rPr>
          <w:rFonts w:ascii="Palatino Linotype" w:eastAsia="Palatino Linotype" w:hAnsi="Palatino Linotype" w:cs="Palatino Linotype"/>
          <w:b/>
        </w:rPr>
        <w:lastRenderedPageBreak/>
        <w:t xml:space="preserve">SEGUNDO. </w:t>
      </w:r>
      <w:r w:rsidRPr="008B06FF">
        <w:rPr>
          <w:rFonts w:ascii="Palatino Linotype" w:eastAsia="Palatino Linotype" w:hAnsi="Palatino Linotype" w:cs="Palatino Linotype"/>
          <w:color w:val="000000"/>
        </w:rPr>
        <w:t xml:space="preserve">Se </w:t>
      </w:r>
      <w:r w:rsidRPr="008B06FF">
        <w:rPr>
          <w:rFonts w:ascii="Palatino Linotype" w:eastAsia="Palatino Linotype" w:hAnsi="Palatino Linotype" w:cs="Palatino Linotype"/>
          <w:b/>
          <w:color w:val="000000"/>
        </w:rPr>
        <w:t xml:space="preserve">REVOCA </w:t>
      </w:r>
      <w:r w:rsidRPr="008B06FF">
        <w:rPr>
          <w:rFonts w:ascii="Palatino Linotype" w:eastAsia="Palatino Linotype" w:hAnsi="Palatino Linotype" w:cs="Palatino Linotype"/>
          <w:color w:val="000000"/>
        </w:rPr>
        <w:t xml:space="preserve">la respuesta emitida por el </w:t>
      </w:r>
      <w:r w:rsidR="00D75512" w:rsidRPr="008B06FF">
        <w:rPr>
          <w:rFonts w:ascii="Palatino Linotype" w:eastAsia="Palatino Linotype" w:hAnsi="Palatino Linotype" w:cs="Palatino Linotype"/>
          <w:b/>
          <w:color w:val="000000"/>
        </w:rPr>
        <w:t>Sistema Municipal para el Desarrollo Integral de la Familia de Zinacantepec</w:t>
      </w:r>
      <w:r w:rsidRPr="008B06FF">
        <w:rPr>
          <w:rFonts w:ascii="Palatino Linotype" w:eastAsia="Palatino Linotype" w:hAnsi="Palatino Linotype" w:cs="Palatino Linotype"/>
          <w:b/>
          <w:color w:val="000000"/>
        </w:rPr>
        <w:t>,</w:t>
      </w:r>
      <w:r w:rsidRPr="008B06FF">
        <w:rPr>
          <w:rFonts w:ascii="Palatino Linotype" w:eastAsia="Palatino Linotype" w:hAnsi="Palatino Linotype" w:cs="Palatino Linotype"/>
          <w:color w:val="000000"/>
        </w:rPr>
        <w:t xml:space="preserve"> a la </w:t>
      </w:r>
      <w:r w:rsidRPr="008B06FF">
        <w:rPr>
          <w:rFonts w:ascii="Palatino Linotype" w:eastAsia="Palatino Linotype" w:hAnsi="Palatino Linotype" w:cs="Palatino Linotype"/>
        </w:rPr>
        <w:t>solicitud de información pública registrada con el número</w:t>
      </w:r>
      <w:r w:rsidR="00D75512" w:rsidRPr="008B06FF">
        <w:rPr>
          <w:rFonts w:ascii="Palatino Linotype" w:eastAsia="Palatino Linotype" w:hAnsi="Palatino Linotype" w:cs="Palatino Linotype"/>
          <w:b/>
        </w:rPr>
        <w:t xml:space="preserve"> 00058</w:t>
      </w:r>
      <w:r w:rsidRPr="008B06FF">
        <w:rPr>
          <w:rFonts w:ascii="Palatino Linotype" w:eastAsia="Palatino Linotype" w:hAnsi="Palatino Linotype" w:cs="Palatino Linotype"/>
          <w:b/>
        </w:rPr>
        <w:t>/</w:t>
      </w:r>
      <w:r w:rsidR="00D75512" w:rsidRPr="008B06FF">
        <w:rPr>
          <w:rFonts w:ascii="Palatino Linotype" w:eastAsia="Palatino Linotype" w:hAnsi="Palatino Linotype" w:cs="Palatino Linotype"/>
          <w:b/>
        </w:rPr>
        <w:t>DIFZINACAN</w:t>
      </w:r>
      <w:r w:rsidRPr="008B06FF">
        <w:rPr>
          <w:rFonts w:ascii="Palatino Linotype" w:eastAsia="Palatino Linotype" w:hAnsi="Palatino Linotype" w:cs="Palatino Linotype"/>
          <w:b/>
        </w:rPr>
        <w:t>/IP/202</w:t>
      </w:r>
      <w:r w:rsidR="00537A0A" w:rsidRPr="008B06FF">
        <w:rPr>
          <w:rFonts w:ascii="Palatino Linotype" w:eastAsia="Palatino Linotype" w:hAnsi="Palatino Linotype" w:cs="Palatino Linotype"/>
          <w:b/>
        </w:rPr>
        <w:t>5</w:t>
      </w:r>
      <w:r w:rsidRPr="008B06FF">
        <w:rPr>
          <w:rFonts w:ascii="Palatino Linotype" w:eastAsia="Palatino Linotype" w:hAnsi="Palatino Linotype" w:cs="Palatino Linotype"/>
          <w:color w:val="000000"/>
        </w:rPr>
        <w:t xml:space="preserve"> y se </w:t>
      </w:r>
      <w:r w:rsidRPr="008B06FF">
        <w:rPr>
          <w:rFonts w:ascii="Palatino Linotype" w:eastAsia="Palatino Linotype" w:hAnsi="Palatino Linotype" w:cs="Palatino Linotype"/>
          <w:b/>
          <w:color w:val="000000"/>
        </w:rPr>
        <w:t>ORDENA</w:t>
      </w:r>
      <w:r w:rsidRPr="008B06FF">
        <w:rPr>
          <w:rFonts w:ascii="Palatino Linotype" w:eastAsia="Palatino Linotype" w:hAnsi="Palatino Linotype" w:cs="Palatino Linotype"/>
          <w:color w:val="000000"/>
        </w:rPr>
        <w:t xml:space="preserve"> entregar vía Sistema de Acceso a la Información Mexiquense </w:t>
      </w:r>
      <w:r w:rsidRPr="008B06FF">
        <w:rPr>
          <w:rFonts w:ascii="Palatino Linotype" w:eastAsia="Palatino Linotype" w:hAnsi="Palatino Linotype" w:cs="Palatino Linotype"/>
          <w:b/>
          <w:color w:val="000000"/>
        </w:rPr>
        <w:t>(SAIMEX)</w:t>
      </w:r>
      <w:r w:rsidRPr="008B06FF">
        <w:rPr>
          <w:rFonts w:ascii="Palatino Linotype" w:eastAsia="Palatino Linotype" w:hAnsi="Palatino Linotype" w:cs="Palatino Linotype"/>
          <w:color w:val="000000"/>
        </w:rPr>
        <w:t xml:space="preserve">, </w:t>
      </w:r>
      <w:r w:rsidRPr="008B06FF">
        <w:rPr>
          <w:rFonts w:ascii="Palatino Linotype" w:eastAsia="Palatino Linotype" w:hAnsi="Palatino Linotype" w:cs="Palatino Linotype"/>
          <w:b/>
          <w:color w:val="000000"/>
        </w:rPr>
        <w:t>en versión pública</w:t>
      </w:r>
      <w:r w:rsidRPr="008B06FF">
        <w:rPr>
          <w:rFonts w:ascii="Palatino Linotype" w:eastAsia="Palatino Linotype" w:hAnsi="Palatino Linotype" w:cs="Palatino Linotype"/>
          <w:color w:val="000000"/>
        </w:rPr>
        <w:t xml:space="preserve">, </w:t>
      </w:r>
      <w:r w:rsidR="007238F4" w:rsidRPr="008B06FF">
        <w:rPr>
          <w:rFonts w:ascii="Palatino Linotype" w:eastAsia="Palatino Linotype" w:hAnsi="Palatino Linotype" w:cs="Palatino Linotype"/>
          <w:color w:val="000000"/>
        </w:rPr>
        <w:t>del expediente de los beneficiarios del Programa “Nutriendo con Amor”</w:t>
      </w:r>
      <w:r w:rsidR="006F2627" w:rsidRPr="008B06FF">
        <w:rPr>
          <w:rFonts w:ascii="Palatino Linotype" w:eastAsia="Palatino Linotype" w:hAnsi="Palatino Linotype" w:cs="Palatino Linotype"/>
          <w:color w:val="000000"/>
        </w:rPr>
        <w:t xml:space="preserve"> pertenecientes a las Colonias Barrio del Calvario, Barrio de la Veracruz;</w:t>
      </w:r>
      <w:r w:rsidR="007238F4" w:rsidRPr="008B06FF">
        <w:rPr>
          <w:rFonts w:ascii="Palatino Linotype" w:eastAsia="Palatino Linotype" w:hAnsi="Palatino Linotype" w:cs="Palatino Linotype"/>
          <w:color w:val="000000"/>
        </w:rPr>
        <w:t xml:space="preserve"> </w:t>
      </w:r>
      <w:r w:rsidRPr="008B06FF">
        <w:rPr>
          <w:rFonts w:ascii="Palatino Linotype" w:eastAsia="Palatino Linotype" w:hAnsi="Palatino Linotype" w:cs="Palatino Linotype"/>
          <w:color w:val="000000"/>
        </w:rPr>
        <w:t>la siguiente información:</w:t>
      </w:r>
    </w:p>
    <w:p w:rsidR="00783FB8" w:rsidRPr="008B06FF" w:rsidRDefault="00783FB8">
      <w:pPr>
        <w:spacing w:line="360" w:lineRule="auto"/>
        <w:jc w:val="both"/>
        <w:rPr>
          <w:rFonts w:ascii="Palatino Linotype" w:eastAsia="Palatino Linotype" w:hAnsi="Palatino Linotype" w:cs="Palatino Linotype"/>
        </w:rPr>
      </w:pPr>
    </w:p>
    <w:p w:rsidR="007238F4" w:rsidRPr="008B06FF" w:rsidRDefault="007238F4" w:rsidP="00D75512">
      <w:pPr>
        <w:pStyle w:val="Prrafodelista"/>
        <w:numPr>
          <w:ilvl w:val="1"/>
          <w:numId w:val="30"/>
        </w:numPr>
        <w:pBdr>
          <w:top w:val="nil"/>
          <w:left w:val="nil"/>
          <w:bottom w:val="nil"/>
          <w:right w:val="nil"/>
          <w:between w:val="nil"/>
        </w:pBdr>
        <w:spacing w:line="360" w:lineRule="auto"/>
        <w:ind w:left="709" w:right="567" w:hanging="142"/>
        <w:contextualSpacing w:val="0"/>
        <w:jc w:val="both"/>
        <w:rPr>
          <w:rFonts w:ascii="Palatino Linotype" w:eastAsia="Palatino Linotype" w:hAnsi="Palatino Linotype" w:cs="Palatino Linotype"/>
          <w:b/>
          <w:color w:val="000000"/>
        </w:rPr>
      </w:pPr>
      <w:r w:rsidRPr="008B06FF">
        <w:rPr>
          <w:rFonts w:ascii="Palatino Linotype" w:eastAsia="Palatino Linotype" w:hAnsi="Palatino Linotype" w:cs="Palatino Linotype"/>
          <w:b/>
          <w:color w:val="000000"/>
        </w:rPr>
        <w:t xml:space="preserve">Estudio socio económico </w:t>
      </w:r>
    </w:p>
    <w:p w:rsidR="007238F4" w:rsidRPr="008B06FF" w:rsidRDefault="007238F4" w:rsidP="00D75512">
      <w:pPr>
        <w:pStyle w:val="Prrafodelista"/>
        <w:numPr>
          <w:ilvl w:val="1"/>
          <w:numId w:val="30"/>
        </w:numPr>
        <w:pBdr>
          <w:top w:val="nil"/>
          <w:left w:val="nil"/>
          <w:bottom w:val="nil"/>
          <w:right w:val="nil"/>
          <w:between w:val="nil"/>
        </w:pBdr>
        <w:spacing w:line="360" w:lineRule="auto"/>
        <w:ind w:left="709" w:right="567" w:hanging="142"/>
        <w:contextualSpacing w:val="0"/>
        <w:jc w:val="both"/>
        <w:rPr>
          <w:rFonts w:ascii="Palatino Linotype" w:eastAsia="Palatino Linotype" w:hAnsi="Palatino Linotype" w:cs="Palatino Linotype"/>
          <w:b/>
          <w:color w:val="000000"/>
        </w:rPr>
      </w:pPr>
      <w:r w:rsidRPr="008B06FF">
        <w:rPr>
          <w:rFonts w:ascii="Palatino Linotype" w:eastAsia="Palatino Linotype" w:hAnsi="Palatino Linotype" w:cs="Palatino Linotype"/>
          <w:b/>
          <w:color w:val="000000"/>
        </w:rPr>
        <w:t>Solic</w:t>
      </w:r>
      <w:r w:rsidR="006F2627" w:rsidRPr="008B06FF">
        <w:rPr>
          <w:rFonts w:ascii="Palatino Linotype" w:eastAsia="Palatino Linotype" w:hAnsi="Palatino Linotype" w:cs="Palatino Linotype"/>
          <w:b/>
          <w:color w:val="000000"/>
        </w:rPr>
        <w:t>i</w:t>
      </w:r>
      <w:r w:rsidRPr="008B06FF">
        <w:rPr>
          <w:rFonts w:ascii="Palatino Linotype" w:eastAsia="Palatino Linotype" w:hAnsi="Palatino Linotype" w:cs="Palatino Linotype"/>
          <w:b/>
          <w:color w:val="000000"/>
        </w:rPr>
        <w:t xml:space="preserve">tud </w:t>
      </w:r>
      <w:r w:rsidR="006F2627" w:rsidRPr="008B06FF">
        <w:rPr>
          <w:rFonts w:ascii="Palatino Linotype" w:eastAsia="Palatino Linotype" w:hAnsi="Palatino Linotype" w:cs="Palatino Linotype"/>
          <w:b/>
          <w:color w:val="000000"/>
        </w:rPr>
        <w:t>de ingresos al Programa</w:t>
      </w:r>
    </w:p>
    <w:p w:rsidR="00446D4E" w:rsidRDefault="00446D4E" w:rsidP="00D75512">
      <w:pPr>
        <w:pStyle w:val="Prrafodelista"/>
        <w:numPr>
          <w:ilvl w:val="1"/>
          <w:numId w:val="30"/>
        </w:numPr>
        <w:pBdr>
          <w:top w:val="nil"/>
          <w:left w:val="nil"/>
          <w:bottom w:val="nil"/>
          <w:right w:val="nil"/>
          <w:between w:val="nil"/>
        </w:pBdr>
        <w:spacing w:line="360" w:lineRule="auto"/>
        <w:ind w:left="709" w:right="567" w:hanging="142"/>
        <w:contextualSpacing w:val="0"/>
        <w:jc w:val="both"/>
        <w:rPr>
          <w:rFonts w:ascii="Palatino Linotype" w:eastAsia="Palatino Linotype" w:hAnsi="Palatino Linotype" w:cs="Palatino Linotype"/>
          <w:b/>
          <w:color w:val="000000"/>
        </w:rPr>
      </w:pPr>
      <w:r w:rsidRPr="008B06FF">
        <w:rPr>
          <w:rFonts w:ascii="Palatino Linotype" w:eastAsia="Palatino Linotype" w:hAnsi="Palatino Linotype" w:cs="Palatino Linotype"/>
          <w:b/>
          <w:color w:val="000000"/>
        </w:rPr>
        <w:t>El o el documento donde conste la normatividad que regula el Programa denominado “Nutriendo con Amor”</w:t>
      </w:r>
    </w:p>
    <w:p w:rsidR="008B06FF" w:rsidRPr="008B06FF" w:rsidRDefault="008B06FF" w:rsidP="008B06FF">
      <w:pPr>
        <w:pStyle w:val="Prrafodelista"/>
        <w:pBdr>
          <w:top w:val="nil"/>
          <w:left w:val="nil"/>
          <w:bottom w:val="nil"/>
          <w:right w:val="nil"/>
          <w:between w:val="nil"/>
        </w:pBdr>
        <w:spacing w:line="360" w:lineRule="auto"/>
        <w:ind w:left="709" w:right="567"/>
        <w:contextualSpacing w:val="0"/>
        <w:jc w:val="both"/>
        <w:rPr>
          <w:rFonts w:ascii="Palatino Linotype" w:eastAsia="Palatino Linotype" w:hAnsi="Palatino Linotype" w:cs="Palatino Linotype"/>
          <w:b/>
          <w:color w:val="000000"/>
        </w:rPr>
      </w:pPr>
    </w:p>
    <w:p w:rsidR="00783FB8" w:rsidRPr="008B06FF" w:rsidRDefault="005F2828">
      <w:pPr>
        <w:spacing w:line="360" w:lineRule="auto"/>
        <w:jc w:val="both"/>
        <w:rPr>
          <w:rFonts w:ascii="Palatino Linotype" w:eastAsia="Palatino Linotype" w:hAnsi="Palatino Linotype" w:cs="Palatino Linotype"/>
          <w:b/>
        </w:rPr>
      </w:pPr>
      <w:r w:rsidRPr="008B06FF">
        <w:rPr>
          <w:rFonts w:ascii="Palatino Linotype" w:eastAsia="Palatino Linotype" w:hAnsi="Palatino Linotype" w:cs="Palatino Linotype"/>
        </w:rPr>
        <w:t xml:space="preserve">Para efecto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8B06FF">
        <w:rPr>
          <w:rFonts w:ascii="Palatino Linotype" w:eastAsia="Palatino Linotype" w:hAnsi="Palatino Linotype" w:cs="Palatino Linotype"/>
          <w:b/>
        </w:rPr>
        <w:t>RECURRENTE.</w:t>
      </w:r>
    </w:p>
    <w:p w:rsidR="00783FB8" w:rsidRPr="008B06FF" w:rsidRDefault="00783FB8">
      <w:pPr>
        <w:pBdr>
          <w:top w:val="nil"/>
          <w:left w:val="nil"/>
          <w:bottom w:val="nil"/>
          <w:right w:val="nil"/>
          <w:between w:val="nil"/>
        </w:pBdr>
        <w:spacing w:line="360" w:lineRule="auto"/>
        <w:jc w:val="both"/>
        <w:rPr>
          <w:rFonts w:ascii="Palatino Linotype" w:eastAsia="Palatino Linotype" w:hAnsi="Palatino Linotype" w:cs="Palatino Linotype"/>
          <w:b/>
          <w:color w:val="000000"/>
        </w:rPr>
      </w:pPr>
      <w:bookmarkStart w:id="11" w:name="_heading=h.4d34og8" w:colFirst="0" w:colLast="0"/>
      <w:bookmarkEnd w:id="11"/>
    </w:p>
    <w:p w:rsidR="00783FB8" w:rsidRPr="008B06FF" w:rsidRDefault="005F2828">
      <w:pPr>
        <w:tabs>
          <w:tab w:val="left" w:pos="8080"/>
        </w:tabs>
        <w:spacing w:line="360" w:lineRule="auto"/>
        <w:ind w:right="49"/>
        <w:jc w:val="both"/>
        <w:rPr>
          <w:rFonts w:ascii="Palatino Linotype" w:eastAsia="Palatino Linotype" w:hAnsi="Palatino Linotype" w:cs="Palatino Linotype"/>
          <w:b/>
        </w:rPr>
      </w:pPr>
      <w:bookmarkStart w:id="12" w:name="_heading=h.lnxbz9" w:colFirst="0" w:colLast="0"/>
      <w:bookmarkEnd w:id="12"/>
      <w:r w:rsidRPr="008B06FF">
        <w:rPr>
          <w:rFonts w:ascii="Palatino Linotype" w:eastAsia="Palatino Linotype" w:hAnsi="Palatino Linotype" w:cs="Palatino Linotype"/>
          <w:b/>
        </w:rPr>
        <w:t xml:space="preserve">TERCERO. NOTIFÍQUESE </w:t>
      </w:r>
      <w:r w:rsidRPr="008B06FF">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8B06FF">
        <w:rPr>
          <w:rFonts w:ascii="Palatino Linotype" w:eastAsia="Palatino Linotype" w:hAnsi="Palatino Linotype" w:cs="Palatino Linotype"/>
          <w:b/>
        </w:rPr>
        <w:t xml:space="preserve">dé cumplimiento a lo ordenado dentro del plazo de diez </w:t>
      </w:r>
      <w:r w:rsidRPr="008B06FF">
        <w:rPr>
          <w:rFonts w:ascii="Palatino Linotype" w:eastAsia="Palatino Linotype" w:hAnsi="Palatino Linotype" w:cs="Palatino Linotype"/>
          <w:b/>
        </w:rPr>
        <w:lastRenderedPageBreak/>
        <w:t>días hábiles,</w:t>
      </w:r>
      <w:r w:rsidRPr="008B06FF">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83FB8" w:rsidRPr="008B06FF" w:rsidRDefault="00783FB8">
      <w:pPr>
        <w:tabs>
          <w:tab w:val="left" w:pos="8080"/>
        </w:tabs>
        <w:spacing w:line="360" w:lineRule="auto"/>
        <w:ind w:right="49"/>
        <w:jc w:val="both"/>
        <w:rPr>
          <w:rFonts w:ascii="Palatino Linotype" w:eastAsia="Palatino Linotype" w:hAnsi="Palatino Linotype" w:cs="Palatino Linotype"/>
        </w:rPr>
      </w:pPr>
    </w:p>
    <w:p w:rsidR="00783FB8" w:rsidRPr="008B06FF" w:rsidRDefault="005F2828">
      <w:pPr>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b/>
        </w:rPr>
        <w:t xml:space="preserve">CUARTO. </w:t>
      </w:r>
      <w:r w:rsidRPr="008B06FF">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8B06FF">
        <w:rPr>
          <w:rFonts w:ascii="Palatino Linotype" w:eastAsia="Palatino Linotype" w:hAnsi="Palatino Linotype" w:cs="Palatino Linotype"/>
          <w:b/>
        </w:rPr>
        <w:t>SUJETO OBLIGADO</w:t>
      </w:r>
      <w:r w:rsidRPr="008B06FF">
        <w:rPr>
          <w:rFonts w:ascii="Palatino Linotype" w:eastAsia="Palatino Linotype" w:hAnsi="Palatino Linotype" w:cs="Palatino Linotype"/>
        </w:rPr>
        <w:t xml:space="preserve"> de manera fundada y motivada, podrá solicitar una ampliación de plazo para el cumplimiento de la presente resolución.</w:t>
      </w:r>
    </w:p>
    <w:p w:rsidR="00783FB8" w:rsidRPr="008B06FF" w:rsidRDefault="00783FB8">
      <w:pPr>
        <w:spacing w:line="360" w:lineRule="auto"/>
        <w:jc w:val="both"/>
        <w:rPr>
          <w:rFonts w:ascii="Palatino Linotype" w:eastAsia="Palatino Linotype" w:hAnsi="Palatino Linotype" w:cs="Palatino Linotype"/>
        </w:rPr>
      </w:pPr>
    </w:p>
    <w:p w:rsidR="00783FB8" w:rsidRPr="008B06FF" w:rsidRDefault="005F2828">
      <w:pPr>
        <w:tabs>
          <w:tab w:val="left" w:pos="8080"/>
        </w:tabs>
        <w:spacing w:line="360" w:lineRule="auto"/>
        <w:ind w:right="49"/>
        <w:jc w:val="both"/>
        <w:rPr>
          <w:rFonts w:ascii="Palatino Linotype" w:eastAsia="Palatino Linotype" w:hAnsi="Palatino Linotype" w:cs="Palatino Linotype"/>
        </w:rPr>
      </w:pPr>
      <w:bookmarkStart w:id="13" w:name="_heading=h.35nkun2" w:colFirst="0" w:colLast="0"/>
      <w:bookmarkEnd w:id="13"/>
      <w:r w:rsidRPr="008B06FF">
        <w:rPr>
          <w:rFonts w:ascii="Palatino Linotype" w:eastAsia="Palatino Linotype" w:hAnsi="Palatino Linotype" w:cs="Palatino Linotype"/>
          <w:b/>
        </w:rPr>
        <w:t xml:space="preserve">QUINTO. </w:t>
      </w:r>
      <w:r w:rsidRPr="008B06FF">
        <w:rPr>
          <w:rFonts w:ascii="Palatino Linotype" w:eastAsia="Palatino Linotype" w:hAnsi="Palatino Linotype" w:cs="Palatino Linotype"/>
        </w:rPr>
        <w:t xml:space="preserve">Notifíquese a </w:t>
      </w:r>
      <w:r w:rsidRPr="008B06FF">
        <w:rPr>
          <w:rFonts w:ascii="Palatino Linotype" w:eastAsia="Palatino Linotype" w:hAnsi="Palatino Linotype" w:cs="Palatino Linotype"/>
          <w:b/>
        </w:rPr>
        <w:t>EL RECURRENTE</w:t>
      </w:r>
      <w:r w:rsidRPr="008B06FF">
        <w:rPr>
          <w:rFonts w:ascii="Palatino Linotype" w:eastAsia="Palatino Linotype" w:hAnsi="Palatino Linotype" w:cs="Palatino Linotype"/>
        </w:rPr>
        <w:t xml:space="preserve"> la presente resolución, vía SAIMEX.</w:t>
      </w:r>
    </w:p>
    <w:p w:rsidR="00783FB8" w:rsidRPr="008B06FF" w:rsidRDefault="00783FB8">
      <w:pPr>
        <w:tabs>
          <w:tab w:val="left" w:pos="8080"/>
        </w:tabs>
        <w:spacing w:line="360" w:lineRule="auto"/>
        <w:ind w:right="49"/>
        <w:jc w:val="both"/>
        <w:rPr>
          <w:rFonts w:ascii="Palatino Linotype" w:eastAsia="Palatino Linotype" w:hAnsi="Palatino Linotype" w:cs="Palatino Linotype"/>
        </w:rPr>
      </w:pPr>
    </w:p>
    <w:p w:rsidR="00783FB8" w:rsidRPr="008B06FF" w:rsidRDefault="005F2828">
      <w:pPr>
        <w:shd w:val="clear" w:color="auto" w:fill="FFFFFF"/>
        <w:spacing w:line="360" w:lineRule="auto"/>
        <w:jc w:val="both"/>
        <w:rPr>
          <w:rFonts w:ascii="Palatino Linotype" w:eastAsia="Palatino Linotype" w:hAnsi="Palatino Linotype" w:cs="Palatino Linotype"/>
        </w:rPr>
      </w:pPr>
      <w:r w:rsidRPr="008B06FF">
        <w:rPr>
          <w:rFonts w:ascii="Palatino Linotype" w:eastAsia="Palatino Linotype" w:hAnsi="Palatino Linotype" w:cs="Palatino Linotype"/>
          <w:b/>
        </w:rPr>
        <w:t>SEXTO.</w:t>
      </w:r>
      <w:r w:rsidRPr="008B06FF">
        <w:rPr>
          <w:rFonts w:ascii="Palatino Linotype" w:eastAsia="Palatino Linotype" w:hAnsi="Palatino Linotype" w:cs="Palatino Linotype"/>
        </w:rPr>
        <w:t xml:space="preserve"> Se hace del conocimiento de </w:t>
      </w:r>
      <w:r w:rsidRPr="008B06FF">
        <w:rPr>
          <w:rFonts w:ascii="Palatino Linotype" w:eastAsia="Palatino Linotype" w:hAnsi="Palatino Linotype" w:cs="Palatino Linotype"/>
          <w:b/>
        </w:rPr>
        <w:t>EL RECURRENTE</w:t>
      </w:r>
      <w:r w:rsidRPr="008B06FF">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783FB8" w:rsidRPr="008B06FF" w:rsidRDefault="00783FB8">
      <w:pPr>
        <w:shd w:val="clear" w:color="auto" w:fill="FFFFFF"/>
        <w:spacing w:line="360" w:lineRule="auto"/>
        <w:jc w:val="both"/>
        <w:rPr>
          <w:rFonts w:ascii="Palatino Linotype" w:eastAsia="Palatino Linotype" w:hAnsi="Palatino Linotype" w:cs="Palatino Linotype"/>
        </w:rPr>
      </w:pPr>
    </w:p>
    <w:p w:rsidR="008E078B" w:rsidRPr="008B06FF" w:rsidRDefault="008E078B" w:rsidP="008E078B">
      <w:pPr>
        <w:spacing w:before="240" w:after="240" w:line="360" w:lineRule="auto"/>
        <w:ind w:firstLine="1"/>
        <w:jc w:val="both"/>
        <w:rPr>
          <w:rFonts w:ascii="Palatino Linotype" w:hAnsi="Palatino Linotype"/>
        </w:rPr>
      </w:pPr>
      <w:bookmarkStart w:id="14" w:name="_Hlk99014733"/>
      <w:r w:rsidRPr="008B06FF">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w:t>
      </w:r>
      <w:r w:rsidRPr="008B06FF">
        <w:rPr>
          <w:rFonts w:ascii="Palatino Linotype" w:hAnsi="Palatino Linotype" w:cs="Palatino Linotype"/>
        </w:rPr>
        <w:lastRenderedPageBreak/>
        <w:t xml:space="preserve">NORIEGA Y GUADALUPE RAMÍREZ PEÑA; EN LA DÉCIMA CUARTA SESIÓN ORDINARIA, CELEBRADA EL VEINTIDÓS (22) DE ABRIL DE DOS MIL VEINTISÉIS, ANTE EL SECRETARIO TÉCNICO DEL PLENO </w:t>
      </w:r>
      <w:r w:rsidRPr="008B06FF">
        <w:rPr>
          <w:rFonts w:ascii="Palatino Linotype" w:hAnsi="Palatino Linotype" w:cs="Palatino Linotype"/>
          <w:color w:val="000000" w:themeColor="text1"/>
        </w:rPr>
        <w:t>ALEXIS TAPIA RAMÍREZ.</w:t>
      </w:r>
    </w:p>
    <w:bookmarkEnd w:id="14"/>
    <w:p w:rsidR="00783FB8" w:rsidRDefault="00783FB8">
      <w:pPr>
        <w:spacing w:before="240" w:after="240" w:line="360" w:lineRule="auto"/>
        <w:ind w:firstLine="1"/>
        <w:jc w:val="both"/>
        <w:rPr>
          <w:rFonts w:ascii="Palatino Linotype" w:eastAsia="Palatino Linotype" w:hAnsi="Palatino Linotype" w:cs="Palatino Linotype"/>
        </w:rPr>
      </w:pPr>
    </w:p>
    <w:p w:rsidR="008B06FF" w:rsidRDefault="008B06FF">
      <w:pPr>
        <w:spacing w:before="240" w:after="240" w:line="360" w:lineRule="auto"/>
        <w:ind w:firstLine="1"/>
        <w:jc w:val="both"/>
        <w:rPr>
          <w:rFonts w:ascii="Palatino Linotype" w:eastAsia="Palatino Linotype" w:hAnsi="Palatino Linotype" w:cs="Palatino Linotype"/>
        </w:rPr>
      </w:pPr>
    </w:p>
    <w:p w:rsidR="008B06FF" w:rsidRDefault="008B06FF">
      <w:pPr>
        <w:spacing w:before="240" w:after="240" w:line="360" w:lineRule="auto"/>
        <w:ind w:firstLine="1"/>
        <w:jc w:val="both"/>
        <w:rPr>
          <w:rFonts w:ascii="Palatino Linotype" w:eastAsia="Palatino Linotype" w:hAnsi="Palatino Linotype" w:cs="Palatino Linotype"/>
        </w:rPr>
      </w:pPr>
    </w:p>
    <w:p w:rsidR="008B06FF" w:rsidRDefault="008B06FF">
      <w:pPr>
        <w:spacing w:before="240" w:after="240" w:line="360" w:lineRule="auto"/>
        <w:ind w:firstLine="1"/>
        <w:jc w:val="both"/>
        <w:rPr>
          <w:rFonts w:ascii="Palatino Linotype" w:eastAsia="Palatino Linotype" w:hAnsi="Palatino Linotype" w:cs="Palatino Linotype"/>
        </w:rPr>
      </w:pPr>
    </w:p>
    <w:p w:rsidR="008B06FF" w:rsidRDefault="008B06FF">
      <w:pPr>
        <w:spacing w:before="240" w:after="240" w:line="360" w:lineRule="auto"/>
        <w:ind w:firstLine="1"/>
        <w:jc w:val="both"/>
        <w:rPr>
          <w:rFonts w:ascii="Palatino Linotype" w:eastAsia="Palatino Linotype" w:hAnsi="Palatino Linotype" w:cs="Palatino Linotype"/>
        </w:rPr>
      </w:pPr>
    </w:p>
    <w:p w:rsidR="008B06FF" w:rsidRDefault="008B06FF">
      <w:pPr>
        <w:spacing w:before="240" w:after="240" w:line="360" w:lineRule="auto"/>
        <w:ind w:firstLine="1"/>
        <w:jc w:val="both"/>
        <w:rPr>
          <w:rFonts w:ascii="Palatino Linotype" w:eastAsia="Palatino Linotype" w:hAnsi="Palatino Linotype" w:cs="Palatino Linotype"/>
        </w:rPr>
      </w:pPr>
    </w:p>
    <w:p w:rsidR="008B06FF" w:rsidRDefault="008B06FF">
      <w:pPr>
        <w:spacing w:before="240" w:after="240" w:line="360" w:lineRule="auto"/>
        <w:ind w:firstLine="1"/>
        <w:jc w:val="both"/>
        <w:rPr>
          <w:rFonts w:ascii="Palatino Linotype" w:eastAsia="Palatino Linotype" w:hAnsi="Palatino Linotype" w:cs="Palatino Linotype"/>
        </w:rPr>
      </w:pPr>
    </w:p>
    <w:p w:rsidR="008B06FF" w:rsidRDefault="008B06FF">
      <w:pPr>
        <w:spacing w:before="240" w:after="240" w:line="360" w:lineRule="auto"/>
        <w:ind w:firstLine="1"/>
        <w:jc w:val="both"/>
        <w:rPr>
          <w:rFonts w:ascii="Palatino Linotype" w:eastAsia="Palatino Linotype" w:hAnsi="Palatino Linotype" w:cs="Palatino Linotype"/>
        </w:rPr>
      </w:pPr>
    </w:p>
    <w:p w:rsidR="008B06FF" w:rsidRDefault="008B06FF">
      <w:pPr>
        <w:spacing w:before="240" w:after="240" w:line="360" w:lineRule="auto"/>
        <w:ind w:firstLine="1"/>
        <w:jc w:val="both"/>
        <w:rPr>
          <w:rFonts w:ascii="Palatino Linotype" w:eastAsia="Palatino Linotype" w:hAnsi="Palatino Linotype" w:cs="Palatino Linotype"/>
        </w:rPr>
      </w:pPr>
    </w:p>
    <w:p w:rsidR="008B06FF" w:rsidRDefault="008B06FF">
      <w:pPr>
        <w:spacing w:before="240" w:after="240" w:line="360" w:lineRule="auto"/>
        <w:ind w:firstLine="1"/>
        <w:jc w:val="both"/>
        <w:rPr>
          <w:rFonts w:ascii="Palatino Linotype" w:eastAsia="Palatino Linotype" w:hAnsi="Palatino Linotype" w:cs="Palatino Linotype"/>
        </w:rPr>
      </w:pPr>
    </w:p>
    <w:p w:rsidR="008B06FF" w:rsidRDefault="008B06FF">
      <w:pPr>
        <w:spacing w:before="240" w:after="240" w:line="360" w:lineRule="auto"/>
        <w:ind w:firstLine="1"/>
        <w:jc w:val="both"/>
        <w:rPr>
          <w:rFonts w:ascii="Palatino Linotype" w:eastAsia="Palatino Linotype" w:hAnsi="Palatino Linotype" w:cs="Palatino Linotype"/>
        </w:rPr>
      </w:pPr>
    </w:p>
    <w:p w:rsidR="008B06FF" w:rsidRDefault="008B06FF">
      <w:pPr>
        <w:spacing w:before="240" w:after="240" w:line="360" w:lineRule="auto"/>
        <w:ind w:firstLine="1"/>
        <w:jc w:val="both"/>
        <w:rPr>
          <w:rFonts w:ascii="Palatino Linotype" w:eastAsia="Palatino Linotype" w:hAnsi="Palatino Linotype" w:cs="Palatino Linotype"/>
        </w:rPr>
      </w:pPr>
    </w:p>
    <w:p w:rsidR="008B06FF" w:rsidRDefault="008B06FF">
      <w:pPr>
        <w:spacing w:before="240" w:after="240" w:line="360" w:lineRule="auto"/>
        <w:ind w:firstLine="1"/>
        <w:jc w:val="both"/>
        <w:rPr>
          <w:rFonts w:ascii="Palatino Linotype" w:eastAsia="Palatino Linotype" w:hAnsi="Palatino Linotype" w:cs="Palatino Linotype"/>
        </w:rPr>
      </w:pPr>
    </w:p>
    <w:p w:rsidR="008B06FF" w:rsidRDefault="008B06FF">
      <w:pPr>
        <w:spacing w:before="240" w:after="240" w:line="360" w:lineRule="auto"/>
        <w:ind w:firstLine="1"/>
        <w:jc w:val="both"/>
        <w:rPr>
          <w:rFonts w:ascii="Palatino Linotype" w:eastAsia="Palatino Linotype" w:hAnsi="Palatino Linotype" w:cs="Palatino Linotype"/>
        </w:rPr>
      </w:pPr>
    </w:p>
    <w:p w:rsidR="008B06FF" w:rsidRDefault="008B06FF">
      <w:pPr>
        <w:spacing w:before="240" w:after="240" w:line="360" w:lineRule="auto"/>
        <w:ind w:firstLine="1"/>
        <w:jc w:val="both"/>
        <w:rPr>
          <w:rFonts w:ascii="Palatino Linotype" w:eastAsia="Palatino Linotype" w:hAnsi="Palatino Linotype" w:cs="Palatino Linotype"/>
        </w:rPr>
      </w:pPr>
    </w:p>
    <w:p w:rsidR="008B06FF" w:rsidRPr="008B06FF" w:rsidRDefault="008B06FF">
      <w:pPr>
        <w:spacing w:before="240" w:after="240" w:line="360" w:lineRule="auto"/>
        <w:ind w:firstLine="1"/>
        <w:jc w:val="both"/>
        <w:rPr>
          <w:rFonts w:ascii="Palatino Linotype" w:eastAsia="Palatino Linotype" w:hAnsi="Palatino Linotype" w:cs="Palatino Linotype"/>
        </w:rPr>
      </w:pPr>
    </w:p>
    <w:p w:rsidR="00783FB8" w:rsidRPr="008B06FF" w:rsidRDefault="00783FB8">
      <w:pPr>
        <w:spacing w:before="240" w:after="240" w:line="360" w:lineRule="auto"/>
        <w:ind w:firstLine="1"/>
        <w:jc w:val="both"/>
        <w:rPr>
          <w:rFonts w:ascii="Palatino Linotype" w:eastAsia="Palatino Linotype" w:hAnsi="Palatino Linotype" w:cs="Palatino Linotype"/>
        </w:rPr>
      </w:pPr>
    </w:p>
    <w:p w:rsidR="00783FB8" w:rsidRPr="008B06FF" w:rsidRDefault="00783FB8">
      <w:pPr>
        <w:spacing w:before="240" w:after="240" w:line="360" w:lineRule="auto"/>
        <w:ind w:firstLine="1"/>
        <w:jc w:val="both"/>
        <w:rPr>
          <w:rFonts w:ascii="Palatino Linotype" w:eastAsia="Palatino Linotype" w:hAnsi="Palatino Linotype" w:cs="Palatino Linotype"/>
        </w:rPr>
      </w:pPr>
    </w:p>
    <w:p w:rsidR="00783FB8" w:rsidRPr="008B06FF" w:rsidRDefault="00783FB8">
      <w:pPr>
        <w:spacing w:before="240" w:after="240" w:line="360" w:lineRule="auto"/>
        <w:ind w:firstLine="1"/>
        <w:jc w:val="both"/>
        <w:rPr>
          <w:rFonts w:ascii="Palatino Linotype" w:eastAsia="Palatino Linotype" w:hAnsi="Palatino Linotype" w:cs="Palatino Linotype"/>
        </w:rPr>
      </w:pPr>
    </w:p>
    <w:p w:rsidR="00783FB8" w:rsidRPr="008B06FF" w:rsidRDefault="00783FB8">
      <w:pPr>
        <w:spacing w:line="360" w:lineRule="auto"/>
        <w:jc w:val="both"/>
        <w:rPr>
          <w:rFonts w:ascii="Palatino Linotype" w:eastAsia="Palatino Linotype" w:hAnsi="Palatino Linotype" w:cs="Palatino Linotype"/>
        </w:rPr>
      </w:pPr>
    </w:p>
    <w:p w:rsidR="00783FB8" w:rsidRPr="008B06FF" w:rsidRDefault="00783FB8">
      <w:pPr>
        <w:pStyle w:val="Ttulo2"/>
        <w:spacing w:before="0" w:line="360" w:lineRule="auto"/>
        <w:rPr>
          <w:szCs w:val="24"/>
        </w:rPr>
      </w:pPr>
    </w:p>
    <w:sectPr w:rsidR="00783FB8" w:rsidRPr="008B06FF" w:rsidSect="008B06FF">
      <w:headerReference w:type="default" r:id="rId10"/>
      <w:footerReference w:type="default" r:id="rId11"/>
      <w:headerReference w:type="first" r:id="rId12"/>
      <w:footerReference w:type="first" r:id="rId13"/>
      <w:pgSz w:w="12240" w:h="15840"/>
      <w:pgMar w:top="1691" w:right="900"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BEC" w:rsidRDefault="00954BEC">
      <w:r>
        <w:separator/>
      </w:r>
    </w:p>
  </w:endnote>
  <w:endnote w:type="continuationSeparator" w:id="0">
    <w:p w:rsidR="00954BEC" w:rsidRDefault="00954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6FF" w:rsidRDefault="008B06FF">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sidR="00FB76CA">
      <w:rPr>
        <w:rFonts w:ascii="Palatino Linotype" w:eastAsia="Palatino Linotype" w:hAnsi="Palatino Linotype" w:cs="Palatino Linotype"/>
        <w:b/>
        <w:noProof/>
        <w:color w:val="000000"/>
        <w:sz w:val="22"/>
        <w:szCs w:val="22"/>
      </w:rPr>
      <w:t>21</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sidR="00FB76CA">
      <w:rPr>
        <w:rFonts w:ascii="Palatino Linotype" w:eastAsia="Palatino Linotype" w:hAnsi="Palatino Linotype" w:cs="Palatino Linotype"/>
        <w:b/>
        <w:noProof/>
        <w:color w:val="000000"/>
        <w:sz w:val="22"/>
        <w:szCs w:val="22"/>
      </w:rPr>
      <w:t>63</w:t>
    </w:r>
    <w:r>
      <w:rPr>
        <w:rFonts w:ascii="Palatino Linotype" w:eastAsia="Palatino Linotype" w:hAnsi="Palatino Linotype" w:cs="Palatino Linotype"/>
        <w:b/>
        <w:color w:val="000000"/>
        <w:sz w:val="22"/>
        <w:szCs w:val="22"/>
      </w:rPr>
      <w:fldChar w:fldCharType="end"/>
    </w:r>
  </w:p>
  <w:p w:rsidR="008B06FF" w:rsidRDefault="008B06FF">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rsidR="008B06FF" w:rsidRDefault="008B06F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6FF" w:rsidRDefault="008B06FF">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FB76CA">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FB76CA">
      <w:rPr>
        <w:rFonts w:ascii="Palatino Linotype" w:eastAsia="Palatino Linotype" w:hAnsi="Palatino Linotype" w:cs="Palatino Linotype"/>
        <w:noProof/>
        <w:color w:val="000000"/>
        <w:sz w:val="22"/>
        <w:szCs w:val="22"/>
      </w:rPr>
      <w:t>63</w:t>
    </w:r>
    <w:r>
      <w:rPr>
        <w:rFonts w:ascii="Palatino Linotype" w:eastAsia="Palatino Linotype" w:hAnsi="Palatino Linotype" w:cs="Palatino Linotype"/>
        <w:color w:val="000000"/>
        <w:sz w:val="22"/>
        <w:szCs w:val="22"/>
      </w:rPr>
      <w:fldChar w:fldCharType="end"/>
    </w:r>
  </w:p>
  <w:p w:rsidR="008B06FF" w:rsidRDefault="008B06FF">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rsidR="008B06FF" w:rsidRDefault="008B06F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BEC" w:rsidRDefault="00954BEC">
      <w:r>
        <w:separator/>
      </w:r>
    </w:p>
  </w:footnote>
  <w:footnote w:type="continuationSeparator" w:id="0">
    <w:p w:rsidR="00954BEC" w:rsidRDefault="00954BEC">
      <w:r>
        <w:continuationSeparator/>
      </w:r>
    </w:p>
  </w:footnote>
  <w:footnote w:id="1">
    <w:p w:rsidR="008B06FF" w:rsidRDefault="008B06FF" w:rsidP="00CB32DD">
      <w:pPr>
        <w:rPr>
          <w:sz w:val="20"/>
          <w:szCs w:val="20"/>
        </w:rPr>
      </w:pPr>
      <w:r>
        <w:rPr>
          <w:vertAlign w:val="superscript"/>
        </w:rPr>
        <w:footnoteRef/>
      </w:r>
      <w:r>
        <w:rPr>
          <w:sz w:val="20"/>
          <w:szCs w:val="20"/>
        </w:rPr>
        <w:t xml:space="preserve"> </w:t>
      </w:r>
      <w:r>
        <w:rPr>
          <w:rFonts w:ascii="Palatino Linotype" w:eastAsia="Palatino Linotype" w:hAnsi="Palatino Linotype" w:cs="Palatino Linotype"/>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sz w:val="20"/>
          <w:szCs w:val="20"/>
        </w:rPr>
        <w:t xml:space="preserve"> (…)</w:t>
      </w:r>
    </w:p>
  </w:footnote>
  <w:footnote w:id="2">
    <w:p w:rsidR="008B06FF" w:rsidRDefault="008B06FF" w:rsidP="00CB32DD">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9"/>
          <w:szCs w:val="19"/>
        </w:rPr>
        <w:t xml:space="preserve"> </w:t>
      </w:r>
      <w:r>
        <w:rPr>
          <w:rFonts w:ascii="Palatino Linotype" w:eastAsia="Palatino Linotype" w:hAnsi="Palatino Linotype" w:cs="Palatino Linotype"/>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649" w:type="dxa"/>
      <w:tblInd w:w="3261" w:type="dxa"/>
      <w:tblBorders>
        <w:top w:val="nil"/>
        <w:left w:val="nil"/>
        <w:bottom w:val="nil"/>
        <w:right w:val="nil"/>
        <w:insideH w:val="nil"/>
        <w:insideV w:val="nil"/>
      </w:tblBorders>
      <w:tblLayout w:type="fixed"/>
      <w:tblLook w:val="0400" w:firstRow="0" w:lastRow="0" w:firstColumn="0" w:lastColumn="0" w:noHBand="0" w:noVBand="1"/>
    </w:tblPr>
    <w:tblGrid>
      <w:gridCol w:w="2734"/>
      <w:gridCol w:w="3915"/>
    </w:tblGrid>
    <w:tr w:rsidR="008B06FF" w:rsidTr="008B06FF">
      <w:trPr>
        <w:trHeight w:val="138"/>
      </w:trPr>
      <w:tc>
        <w:tcPr>
          <w:tcW w:w="2734" w:type="dxa"/>
          <w:vAlign w:val="center"/>
        </w:tcPr>
        <w:p w:rsidR="008B06FF" w:rsidRPr="008B06FF" w:rsidRDefault="008B06FF">
          <w:pPr>
            <w:rPr>
              <w:rFonts w:ascii="Palatino Linotype" w:eastAsia="Palatino Linotype" w:hAnsi="Palatino Linotype" w:cs="Palatino Linotype"/>
              <w:b/>
              <w:sz w:val="24"/>
            </w:rPr>
          </w:pPr>
          <w:r w:rsidRPr="008B06FF">
            <w:rPr>
              <w:rFonts w:ascii="Palatino Linotype" w:eastAsia="Palatino Linotype" w:hAnsi="Palatino Linotype" w:cs="Palatino Linotype"/>
              <w:b/>
              <w:sz w:val="24"/>
            </w:rPr>
            <w:t>Recurso de Revisión:</w:t>
          </w:r>
        </w:p>
      </w:tc>
      <w:tc>
        <w:tcPr>
          <w:tcW w:w="3915" w:type="dxa"/>
          <w:vAlign w:val="center"/>
        </w:tcPr>
        <w:p w:rsidR="008B06FF" w:rsidRPr="008B06FF" w:rsidRDefault="008B06FF" w:rsidP="00026373">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highlight w:val="yellow"/>
            </w:rPr>
          </w:pPr>
          <w:r w:rsidRPr="008B06FF">
            <w:rPr>
              <w:rFonts w:ascii="Palatino Linotype" w:eastAsia="Palatino Linotype" w:hAnsi="Palatino Linotype" w:cs="Palatino Linotype"/>
              <w:color w:val="000000"/>
              <w:sz w:val="24"/>
            </w:rPr>
            <w:t>12758/INFOEM/IP/RR/2025</w:t>
          </w:r>
        </w:p>
      </w:tc>
    </w:tr>
    <w:tr w:rsidR="008B06FF" w:rsidTr="008B06FF">
      <w:trPr>
        <w:trHeight w:val="321"/>
      </w:trPr>
      <w:tc>
        <w:tcPr>
          <w:tcW w:w="2734" w:type="dxa"/>
          <w:vAlign w:val="center"/>
        </w:tcPr>
        <w:p w:rsidR="008B06FF" w:rsidRPr="008B06FF" w:rsidRDefault="008B06FF">
          <w:pPr>
            <w:rPr>
              <w:rFonts w:ascii="Palatino Linotype" w:eastAsia="Palatino Linotype" w:hAnsi="Palatino Linotype" w:cs="Palatino Linotype"/>
              <w:b/>
              <w:sz w:val="24"/>
            </w:rPr>
          </w:pPr>
          <w:r w:rsidRPr="008B06FF">
            <w:rPr>
              <w:rFonts w:ascii="Palatino Linotype" w:eastAsia="Palatino Linotype" w:hAnsi="Palatino Linotype" w:cs="Palatino Linotype"/>
              <w:b/>
              <w:sz w:val="24"/>
            </w:rPr>
            <w:t>Sujeto Obligado:</w:t>
          </w:r>
        </w:p>
      </w:tc>
      <w:tc>
        <w:tcPr>
          <w:tcW w:w="3915" w:type="dxa"/>
          <w:vAlign w:val="center"/>
        </w:tcPr>
        <w:p w:rsidR="008B06FF" w:rsidRPr="008B06FF" w:rsidRDefault="008B06FF">
          <w:pPr>
            <w:rPr>
              <w:rFonts w:ascii="Palatino Linotype" w:eastAsia="Palatino Linotype" w:hAnsi="Palatino Linotype" w:cs="Palatino Linotype"/>
              <w:sz w:val="24"/>
            </w:rPr>
          </w:pPr>
          <w:r w:rsidRPr="008B06FF">
            <w:rPr>
              <w:rFonts w:ascii="Palatino Linotype" w:eastAsia="Palatino Linotype" w:hAnsi="Palatino Linotype" w:cs="Palatino Linotype"/>
              <w:sz w:val="24"/>
            </w:rPr>
            <w:t>Sistema Municipal para el Desarrollo Integral de la Familia de Zinacantepec</w:t>
          </w:r>
        </w:p>
      </w:tc>
    </w:tr>
    <w:tr w:rsidR="008B06FF" w:rsidTr="008B06FF">
      <w:trPr>
        <w:trHeight w:val="321"/>
      </w:trPr>
      <w:tc>
        <w:tcPr>
          <w:tcW w:w="2734" w:type="dxa"/>
          <w:vAlign w:val="center"/>
        </w:tcPr>
        <w:p w:rsidR="008B06FF" w:rsidRPr="008B06FF" w:rsidRDefault="008B06FF">
          <w:pPr>
            <w:rPr>
              <w:rFonts w:ascii="Palatino Linotype" w:eastAsia="Palatino Linotype" w:hAnsi="Palatino Linotype" w:cs="Palatino Linotype"/>
              <w:b/>
              <w:sz w:val="24"/>
            </w:rPr>
          </w:pPr>
          <w:r w:rsidRPr="008B06FF">
            <w:rPr>
              <w:rFonts w:ascii="Palatino Linotype" w:eastAsia="Palatino Linotype" w:hAnsi="Palatino Linotype" w:cs="Palatino Linotype"/>
              <w:b/>
              <w:sz w:val="24"/>
            </w:rPr>
            <w:t>Comisionada Ponente:</w:t>
          </w:r>
        </w:p>
      </w:tc>
      <w:tc>
        <w:tcPr>
          <w:tcW w:w="3915" w:type="dxa"/>
          <w:vAlign w:val="center"/>
        </w:tcPr>
        <w:p w:rsidR="008B06FF" w:rsidRPr="008B06FF" w:rsidRDefault="008B06FF">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rPr>
          </w:pPr>
          <w:r w:rsidRPr="008B06FF">
            <w:rPr>
              <w:rFonts w:ascii="Palatino Linotype" w:eastAsia="Palatino Linotype" w:hAnsi="Palatino Linotype" w:cs="Palatino Linotype"/>
              <w:color w:val="000000"/>
              <w:sz w:val="24"/>
            </w:rPr>
            <w:t>María del Rosario Mejía Ayala</w:t>
          </w:r>
        </w:p>
      </w:tc>
    </w:tr>
  </w:tbl>
  <w:p w:rsidR="008B06FF" w:rsidRDefault="008B06FF">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58240" behindDoc="1" locked="0" layoutInCell="1" hidden="0" allowOverlap="1">
          <wp:simplePos x="0" y="0"/>
          <wp:positionH relativeFrom="column">
            <wp:posOffset>-992541</wp:posOffset>
          </wp:positionH>
          <wp:positionV relativeFrom="paragraph">
            <wp:posOffset>-1377950</wp:posOffset>
          </wp:positionV>
          <wp:extent cx="7809876" cy="10165823"/>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8B06FF" w:rsidRDefault="008B06F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7030" w:type="dxa"/>
      <w:tblInd w:w="283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725"/>
      <w:gridCol w:w="255"/>
      <w:gridCol w:w="4050"/>
    </w:tblGrid>
    <w:tr w:rsidR="008B06FF" w:rsidTr="008B06FF">
      <w:trPr>
        <w:trHeight w:val="138"/>
      </w:trPr>
      <w:tc>
        <w:tcPr>
          <w:tcW w:w="2725" w:type="dxa"/>
          <w:vAlign w:val="center"/>
        </w:tcPr>
        <w:p w:rsidR="008B06FF" w:rsidRPr="008B06FF" w:rsidRDefault="008B06FF">
          <w:pPr>
            <w:rPr>
              <w:rFonts w:ascii="Palatino Linotype" w:eastAsia="Palatino Linotype" w:hAnsi="Palatino Linotype" w:cs="Palatino Linotype"/>
              <w:b/>
              <w:sz w:val="24"/>
            </w:rPr>
          </w:pPr>
          <w:r w:rsidRPr="008B06FF">
            <w:rPr>
              <w:rFonts w:ascii="Palatino Linotype" w:eastAsia="Palatino Linotype" w:hAnsi="Palatino Linotype" w:cs="Palatino Linotype"/>
              <w:b/>
              <w:sz w:val="24"/>
            </w:rPr>
            <w:t>Recurso de Revisión:</w:t>
          </w:r>
        </w:p>
      </w:tc>
      <w:tc>
        <w:tcPr>
          <w:tcW w:w="255" w:type="dxa"/>
          <w:vAlign w:val="center"/>
        </w:tcPr>
        <w:p w:rsidR="008B06FF" w:rsidRPr="008B06FF" w:rsidRDefault="008B06FF">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rsidR="008B06FF" w:rsidRPr="008B06FF" w:rsidRDefault="008B06FF" w:rsidP="0091665B">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8B06FF">
            <w:rPr>
              <w:rFonts w:ascii="Palatino Linotype" w:eastAsia="Palatino Linotype" w:hAnsi="Palatino Linotype" w:cs="Palatino Linotype"/>
              <w:color w:val="000000"/>
              <w:sz w:val="24"/>
            </w:rPr>
            <w:t>12758/INFOEM/IP/RR/2025</w:t>
          </w:r>
        </w:p>
      </w:tc>
    </w:tr>
    <w:tr w:rsidR="008B06FF" w:rsidTr="008B06FF">
      <w:trPr>
        <w:trHeight w:val="227"/>
      </w:trPr>
      <w:tc>
        <w:tcPr>
          <w:tcW w:w="2725" w:type="dxa"/>
          <w:vAlign w:val="center"/>
        </w:tcPr>
        <w:p w:rsidR="008B06FF" w:rsidRPr="008B06FF" w:rsidRDefault="008B06FF">
          <w:pPr>
            <w:rPr>
              <w:rFonts w:ascii="Palatino Linotype" w:eastAsia="Palatino Linotype" w:hAnsi="Palatino Linotype" w:cs="Palatino Linotype"/>
              <w:b/>
              <w:sz w:val="24"/>
            </w:rPr>
          </w:pPr>
          <w:r w:rsidRPr="008B06FF">
            <w:rPr>
              <w:rFonts w:ascii="Palatino Linotype" w:eastAsia="Palatino Linotype" w:hAnsi="Palatino Linotype" w:cs="Palatino Linotype"/>
              <w:b/>
              <w:sz w:val="24"/>
            </w:rPr>
            <w:t>Recurrente:</w:t>
          </w:r>
        </w:p>
      </w:tc>
      <w:tc>
        <w:tcPr>
          <w:tcW w:w="255" w:type="dxa"/>
          <w:vAlign w:val="center"/>
        </w:tcPr>
        <w:p w:rsidR="008B06FF" w:rsidRPr="008B06FF" w:rsidRDefault="008B06FF">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rsidR="008B06FF" w:rsidRPr="008B06FF" w:rsidRDefault="00FB76CA">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Pr>
              <w:rFonts w:ascii="Palatino Linotype" w:eastAsia="Palatino Linotype" w:hAnsi="Palatino Linotype" w:cs="Palatino Linotype"/>
              <w:color w:val="000000"/>
              <w:sz w:val="24"/>
            </w:rPr>
            <w:t>XXXX</w:t>
          </w:r>
        </w:p>
      </w:tc>
    </w:tr>
    <w:tr w:rsidR="008B06FF" w:rsidTr="008B06FF">
      <w:trPr>
        <w:trHeight w:val="232"/>
      </w:trPr>
      <w:tc>
        <w:tcPr>
          <w:tcW w:w="2725" w:type="dxa"/>
          <w:vAlign w:val="center"/>
        </w:tcPr>
        <w:p w:rsidR="008B06FF" w:rsidRPr="008B06FF" w:rsidRDefault="008B06FF">
          <w:pPr>
            <w:rPr>
              <w:rFonts w:ascii="Palatino Linotype" w:eastAsia="Palatino Linotype" w:hAnsi="Palatino Linotype" w:cs="Palatino Linotype"/>
              <w:b/>
              <w:sz w:val="24"/>
            </w:rPr>
          </w:pPr>
          <w:r w:rsidRPr="008B06FF">
            <w:rPr>
              <w:rFonts w:ascii="Palatino Linotype" w:eastAsia="Palatino Linotype" w:hAnsi="Palatino Linotype" w:cs="Palatino Linotype"/>
              <w:b/>
              <w:sz w:val="24"/>
            </w:rPr>
            <w:t>Sujeto Obligado:</w:t>
          </w:r>
        </w:p>
      </w:tc>
      <w:tc>
        <w:tcPr>
          <w:tcW w:w="255" w:type="dxa"/>
          <w:vAlign w:val="center"/>
        </w:tcPr>
        <w:p w:rsidR="008B06FF" w:rsidRPr="008B06FF" w:rsidRDefault="008B06FF">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rsidR="008B06FF" w:rsidRPr="008B06FF" w:rsidRDefault="008B06FF">
          <w:pPr>
            <w:ind w:right="-73"/>
            <w:rPr>
              <w:sz w:val="24"/>
            </w:rPr>
          </w:pPr>
          <w:r w:rsidRPr="008B06FF">
            <w:rPr>
              <w:rFonts w:ascii="Palatino Linotype" w:eastAsia="Palatino Linotype" w:hAnsi="Palatino Linotype" w:cs="Palatino Linotype"/>
              <w:sz w:val="24"/>
            </w:rPr>
            <w:t>Sistema Municipal para el Desarrollo Integral de la Familia de Zinacantepec</w:t>
          </w:r>
        </w:p>
      </w:tc>
    </w:tr>
    <w:tr w:rsidR="008B06FF" w:rsidTr="008B06FF">
      <w:trPr>
        <w:trHeight w:val="320"/>
      </w:trPr>
      <w:tc>
        <w:tcPr>
          <w:tcW w:w="2725" w:type="dxa"/>
          <w:vAlign w:val="center"/>
        </w:tcPr>
        <w:p w:rsidR="008B06FF" w:rsidRPr="008B06FF" w:rsidRDefault="008B06FF">
          <w:pPr>
            <w:rPr>
              <w:rFonts w:ascii="Palatino Linotype" w:eastAsia="Palatino Linotype" w:hAnsi="Palatino Linotype" w:cs="Palatino Linotype"/>
              <w:b/>
              <w:sz w:val="24"/>
            </w:rPr>
          </w:pPr>
          <w:r w:rsidRPr="008B06FF">
            <w:rPr>
              <w:rFonts w:ascii="Palatino Linotype" w:eastAsia="Palatino Linotype" w:hAnsi="Palatino Linotype" w:cs="Palatino Linotype"/>
              <w:b/>
              <w:sz w:val="24"/>
            </w:rPr>
            <w:t>Comisionada Ponente:</w:t>
          </w:r>
        </w:p>
      </w:tc>
      <w:tc>
        <w:tcPr>
          <w:tcW w:w="255" w:type="dxa"/>
          <w:vAlign w:val="center"/>
        </w:tcPr>
        <w:p w:rsidR="008B06FF" w:rsidRPr="008B06FF" w:rsidRDefault="008B06FF">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rsidR="008B06FF" w:rsidRPr="008B06FF" w:rsidRDefault="008B06FF">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8B06FF">
            <w:rPr>
              <w:rFonts w:ascii="Palatino Linotype" w:eastAsia="Palatino Linotype" w:hAnsi="Palatino Linotype" w:cs="Palatino Linotype"/>
              <w:color w:val="000000"/>
              <w:sz w:val="24"/>
            </w:rPr>
            <w:t>María del Rosario Mejía Ayala</w:t>
          </w:r>
        </w:p>
      </w:tc>
    </w:tr>
  </w:tbl>
  <w:p w:rsidR="008B06FF" w:rsidRDefault="008B06FF">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59264" behindDoc="1" locked="0" layoutInCell="1" hidden="0" allowOverlap="1">
          <wp:simplePos x="0" y="0"/>
          <wp:positionH relativeFrom="page">
            <wp:posOffset>65417</wp:posOffset>
          </wp:positionH>
          <wp:positionV relativeFrom="paragraph">
            <wp:posOffset>-1650389</wp:posOffset>
          </wp:positionV>
          <wp:extent cx="7809876" cy="10165823"/>
          <wp:effectExtent l="0" t="0" r="635" b="6985"/>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8B06FF" w:rsidRDefault="008B06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2CF6"/>
    <w:multiLevelType w:val="multilevel"/>
    <w:tmpl w:val="3D0451A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986EBC"/>
    <w:multiLevelType w:val="hybridMultilevel"/>
    <w:tmpl w:val="29A64290"/>
    <w:lvl w:ilvl="0" w:tplc="FC62DC5A">
      <w:start w:val="1"/>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2E67085"/>
    <w:multiLevelType w:val="hybridMultilevel"/>
    <w:tmpl w:val="F8520F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2EB31B4"/>
    <w:multiLevelType w:val="multilevel"/>
    <w:tmpl w:val="1088A814"/>
    <w:lvl w:ilvl="0">
      <w:start w:val="1"/>
      <w:numFmt w:val="decimal"/>
      <w:lvlText w:val="%1."/>
      <w:lvlJc w:val="left"/>
      <w:pPr>
        <w:ind w:left="644"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4D75B45"/>
    <w:multiLevelType w:val="hybridMultilevel"/>
    <w:tmpl w:val="3DF41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609272F"/>
    <w:multiLevelType w:val="hybridMultilevel"/>
    <w:tmpl w:val="8DA8DA28"/>
    <w:lvl w:ilvl="0" w:tplc="FBBE313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6" w15:restartNumberingAfterBreak="0">
    <w:nsid w:val="07347545"/>
    <w:multiLevelType w:val="multilevel"/>
    <w:tmpl w:val="6AD29824"/>
    <w:lvl w:ilvl="0">
      <w:start w:val="1"/>
      <w:numFmt w:val="decimal"/>
      <w:lvlText w:val="%1."/>
      <w:lvlJc w:val="left"/>
      <w:pPr>
        <w:ind w:left="2345" w:hanging="360"/>
      </w:pPr>
      <w:rPr>
        <w:rFonts w:ascii="Arial" w:eastAsia="Arial" w:hAnsi="Arial" w:cs="Arial"/>
        <w:b/>
        <w:i w:val="0"/>
      </w:rPr>
    </w:lvl>
    <w:lvl w:ilvl="1">
      <w:start w:val="1"/>
      <w:numFmt w:val="lowerLetter"/>
      <w:lvlText w:val="%2."/>
      <w:lvlJc w:val="left"/>
      <w:pPr>
        <w:ind w:left="1440" w:hanging="360"/>
      </w:p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A075758"/>
    <w:multiLevelType w:val="hybridMultilevel"/>
    <w:tmpl w:val="96908134"/>
    <w:lvl w:ilvl="0" w:tplc="080A000F">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A63CCC"/>
    <w:multiLevelType w:val="multilevel"/>
    <w:tmpl w:val="618C9292"/>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1F80088"/>
    <w:multiLevelType w:val="hybridMultilevel"/>
    <w:tmpl w:val="105292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33D369B"/>
    <w:multiLevelType w:val="hybridMultilevel"/>
    <w:tmpl w:val="355C644E"/>
    <w:lvl w:ilvl="0" w:tplc="080A000F">
      <w:start w:val="1"/>
      <w:numFmt w:val="decimal"/>
      <w:lvlText w:val="%1."/>
      <w:lvlJc w:val="left"/>
      <w:pPr>
        <w:ind w:left="1440" w:hanging="360"/>
      </w:p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15:restartNumberingAfterBreak="0">
    <w:nsid w:val="15ED5F24"/>
    <w:multiLevelType w:val="hybridMultilevel"/>
    <w:tmpl w:val="82625B0E"/>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6F202FF"/>
    <w:multiLevelType w:val="multilevel"/>
    <w:tmpl w:val="54DA8702"/>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3" w15:restartNumberingAfterBreak="0">
    <w:nsid w:val="237B5BD7"/>
    <w:multiLevelType w:val="multilevel"/>
    <w:tmpl w:val="FF2852F4"/>
    <w:lvl w:ilvl="0">
      <w:start w:val="1"/>
      <w:numFmt w:val="bullet"/>
      <w:lvlText w:val="●"/>
      <w:lvlJc w:val="left"/>
      <w:pPr>
        <w:ind w:left="720" w:hanging="360"/>
      </w:pPr>
      <w:rPr>
        <w:rFonts w:ascii="Noto Sans Symbols" w:eastAsia="Noto Sans Symbols" w:hAnsi="Noto Sans Symbols" w:cs="Noto Sans Symbols"/>
        <w:b/>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74C5A9A"/>
    <w:multiLevelType w:val="hybridMultilevel"/>
    <w:tmpl w:val="24FAE8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76F7797"/>
    <w:multiLevelType w:val="hybridMultilevel"/>
    <w:tmpl w:val="7F4A9C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8707C06"/>
    <w:multiLevelType w:val="multilevel"/>
    <w:tmpl w:val="B0CC12D8"/>
    <w:lvl w:ilvl="0">
      <w:start w:val="2"/>
      <w:numFmt w:val="bullet"/>
      <w:lvlText w:val="-"/>
      <w:lvlJc w:val="left"/>
      <w:pPr>
        <w:ind w:left="720" w:hanging="360"/>
      </w:pPr>
      <w:rPr>
        <w:rFonts w:ascii="Calibri" w:eastAsia="Calibri" w:hAnsi="Calibri" w:cs="Calibri"/>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2B74507"/>
    <w:multiLevelType w:val="hybridMultilevel"/>
    <w:tmpl w:val="8F6CB2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42B09E7"/>
    <w:multiLevelType w:val="hybridMultilevel"/>
    <w:tmpl w:val="53F09B54"/>
    <w:lvl w:ilvl="0" w:tplc="57F009CC">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9" w15:restartNumberingAfterBreak="0">
    <w:nsid w:val="34317490"/>
    <w:multiLevelType w:val="hybridMultilevel"/>
    <w:tmpl w:val="56D24720"/>
    <w:lvl w:ilvl="0" w:tplc="92BE0B36">
      <w:start w:val="1"/>
      <w:numFmt w:val="decimal"/>
      <w:lvlText w:val="%1."/>
      <w:lvlJc w:val="left"/>
      <w:pPr>
        <w:ind w:left="644" w:hanging="360"/>
      </w:pPr>
      <w:rPr>
        <w:rFonts w:ascii="Palatino Linotype" w:hAnsi="Palatino Linotype" w:hint="default"/>
        <w:b/>
        <w:i w:val="0"/>
        <w:color w:val="auto"/>
        <w:sz w:val="24"/>
      </w:rPr>
    </w:lvl>
    <w:lvl w:ilvl="1" w:tplc="080A0013">
      <w:start w:val="1"/>
      <w:numFmt w:val="upperRoman"/>
      <w:lvlText w:val="%2."/>
      <w:lvlJc w:val="right"/>
      <w:pPr>
        <w:ind w:left="7525" w:hanging="720"/>
      </w:pPr>
      <w:rPr>
        <w:rFonts w:hint="default"/>
      </w:rPr>
    </w:lvl>
    <w:lvl w:ilvl="2" w:tplc="362EE9DC">
      <w:start w:val="4"/>
      <w:numFmt w:val="lowerLetter"/>
      <w:lvlText w:val="%3)"/>
      <w:lvlJc w:val="left"/>
      <w:pPr>
        <w:ind w:left="2340" w:hanging="360"/>
      </w:pPr>
      <w:rPr>
        <w:rFonts w:hint="default"/>
      </w:rPr>
    </w:lvl>
    <w:lvl w:ilvl="3" w:tplc="080A000F">
      <w:start w:val="1"/>
      <w:numFmt w:val="decimal"/>
      <w:lvlText w:val="%4."/>
      <w:lvlJc w:val="left"/>
      <w:pPr>
        <w:ind w:left="2880" w:hanging="360"/>
      </w:pPr>
    </w:lvl>
    <w:lvl w:ilvl="4" w:tplc="3B14BCD2">
      <w:start w:val="104"/>
      <w:numFmt w:val="decimal"/>
      <w:lvlText w:val="%5"/>
      <w:lvlJc w:val="left"/>
      <w:pPr>
        <w:ind w:left="3600" w:hanging="360"/>
      </w:pPr>
      <w:rPr>
        <w:rFonts w:hint="default"/>
        <w:b/>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1E57B9"/>
    <w:multiLevelType w:val="hybridMultilevel"/>
    <w:tmpl w:val="37E0E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C5F4735"/>
    <w:multiLevelType w:val="multilevel"/>
    <w:tmpl w:val="F5B0F1A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D872BD4"/>
    <w:multiLevelType w:val="hybridMultilevel"/>
    <w:tmpl w:val="053A0344"/>
    <w:lvl w:ilvl="0" w:tplc="192C2522">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3" w15:restartNumberingAfterBreak="0">
    <w:nsid w:val="44EB267A"/>
    <w:multiLevelType w:val="hybridMultilevel"/>
    <w:tmpl w:val="A68E441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6D05C74"/>
    <w:multiLevelType w:val="multilevel"/>
    <w:tmpl w:val="1EA2AD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A4039EE"/>
    <w:multiLevelType w:val="multilevel"/>
    <w:tmpl w:val="18C81A3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AFB4DE2"/>
    <w:multiLevelType w:val="hybridMultilevel"/>
    <w:tmpl w:val="A1F82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D4512DF"/>
    <w:multiLevelType w:val="hybridMultilevel"/>
    <w:tmpl w:val="5D10BE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D8D520D"/>
    <w:multiLevelType w:val="multilevel"/>
    <w:tmpl w:val="0D5E1FB4"/>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0132C38"/>
    <w:multiLevelType w:val="hybridMultilevel"/>
    <w:tmpl w:val="38241F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04D689C"/>
    <w:multiLevelType w:val="hybridMultilevel"/>
    <w:tmpl w:val="E2DCB4BA"/>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31" w15:restartNumberingAfterBreak="0">
    <w:nsid w:val="5B9074D5"/>
    <w:multiLevelType w:val="hybridMultilevel"/>
    <w:tmpl w:val="8ED2B4B6"/>
    <w:lvl w:ilvl="0" w:tplc="1386724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2" w15:restartNumberingAfterBreak="0">
    <w:nsid w:val="602B190D"/>
    <w:multiLevelType w:val="hybridMultilevel"/>
    <w:tmpl w:val="27BA8216"/>
    <w:lvl w:ilvl="0" w:tplc="3EF48730">
      <w:start w:val="1"/>
      <w:numFmt w:val="decimal"/>
      <w:lvlText w:val="%1."/>
      <w:lvlJc w:val="left"/>
      <w:pPr>
        <w:ind w:left="360" w:hanging="360"/>
      </w:pPr>
      <w:rPr>
        <w:rFonts w:ascii="Palatino Linotype" w:hAnsi="Palatino Linotype" w:hint="default"/>
        <w:b/>
        <w:i w:val="0"/>
        <w:color w:val="auto"/>
        <w:sz w:val="24"/>
      </w:rPr>
    </w:lvl>
    <w:lvl w:ilvl="1" w:tplc="E6865752">
      <w:start w:val="1"/>
      <w:numFmt w:val="lowerLetter"/>
      <w:lvlText w:val="%2."/>
      <w:lvlJc w:val="left"/>
      <w:pPr>
        <w:ind w:left="1440" w:hanging="360"/>
      </w:pPr>
      <w:rPr>
        <w:sz w:val="22"/>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15:restartNumberingAfterBreak="0">
    <w:nsid w:val="6342305E"/>
    <w:multiLevelType w:val="hybridMultilevel"/>
    <w:tmpl w:val="7F88E4DA"/>
    <w:lvl w:ilvl="0" w:tplc="93D6E284">
      <w:start w:val="1"/>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6214A09"/>
    <w:multiLevelType w:val="hybridMultilevel"/>
    <w:tmpl w:val="8BA00DC6"/>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5" w15:restartNumberingAfterBreak="0">
    <w:nsid w:val="7009631E"/>
    <w:multiLevelType w:val="multilevel"/>
    <w:tmpl w:val="9092AB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0A955D3"/>
    <w:multiLevelType w:val="multilevel"/>
    <w:tmpl w:val="83EC6722"/>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70BE7299"/>
    <w:multiLevelType w:val="multilevel"/>
    <w:tmpl w:val="762A9880"/>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8F76A35"/>
    <w:multiLevelType w:val="multilevel"/>
    <w:tmpl w:val="762A9880"/>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97B32A0"/>
    <w:multiLevelType w:val="hybridMultilevel"/>
    <w:tmpl w:val="78D4DD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B3D2407"/>
    <w:multiLevelType w:val="multilevel"/>
    <w:tmpl w:val="D88CECE2"/>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C5057AA"/>
    <w:multiLevelType w:val="multilevel"/>
    <w:tmpl w:val="762A9880"/>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DFB4DD7"/>
    <w:multiLevelType w:val="multilevel"/>
    <w:tmpl w:val="DA1036E0"/>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num w:numId="1">
    <w:abstractNumId w:val="36"/>
  </w:num>
  <w:num w:numId="2">
    <w:abstractNumId w:val="35"/>
  </w:num>
  <w:num w:numId="3">
    <w:abstractNumId w:val="25"/>
  </w:num>
  <w:num w:numId="4">
    <w:abstractNumId w:val="21"/>
  </w:num>
  <w:num w:numId="5">
    <w:abstractNumId w:val="13"/>
  </w:num>
  <w:num w:numId="6">
    <w:abstractNumId w:val="38"/>
  </w:num>
  <w:num w:numId="7">
    <w:abstractNumId w:val="42"/>
  </w:num>
  <w:num w:numId="8">
    <w:abstractNumId w:val="32"/>
  </w:num>
  <w:num w:numId="9">
    <w:abstractNumId w:val="0"/>
  </w:num>
  <w:num w:numId="10">
    <w:abstractNumId w:val="31"/>
  </w:num>
  <w:num w:numId="11">
    <w:abstractNumId w:val="22"/>
  </w:num>
  <w:num w:numId="12">
    <w:abstractNumId w:val="34"/>
  </w:num>
  <w:num w:numId="13">
    <w:abstractNumId w:val="20"/>
  </w:num>
  <w:num w:numId="14">
    <w:abstractNumId w:val="27"/>
  </w:num>
  <w:num w:numId="15">
    <w:abstractNumId w:val="15"/>
  </w:num>
  <w:num w:numId="16">
    <w:abstractNumId w:val="17"/>
  </w:num>
  <w:num w:numId="17">
    <w:abstractNumId w:val="5"/>
  </w:num>
  <w:num w:numId="18">
    <w:abstractNumId w:val="18"/>
  </w:num>
  <w:num w:numId="19">
    <w:abstractNumId w:val="30"/>
  </w:num>
  <w:num w:numId="20">
    <w:abstractNumId w:val="3"/>
  </w:num>
  <w:num w:numId="21">
    <w:abstractNumId w:val="29"/>
  </w:num>
  <w:num w:numId="22">
    <w:abstractNumId w:val="11"/>
  </w:num>
  <w:num w:numId="23">
    <w:abstractNumId w:val="14"/>
  </w:num>
  <w:num w:numId="24">
    <w:abstractNumId w:val="2"/>
  </w:num>
  <w:num w:numId="25">
    <w:abstractNumId w:val="19"/>
  </w:num>
  <w:num w:numId="26">
    <w:abstractNumId w:val="26"/>
  </w:num>
  <w:num w:numId="27">
    <w:abstractNumId w:val="23"/>
  </w:num>
  <w:num w:numId="28">
    <w:abstractNumId w:val="40"/>
  </w:num>
  <w:num w:numId="29">
    <w:abstractNumId w:val="12"/>
  </w:num>
  <w:num w:numId="30">
    <w:abstractNumId w:val="10"/>
  </w:num>
  <w:num w:numId="31">
    <w:abstractNumId w:val="28"/>
  </w:num>
  <w:num w:numId="32">
    <w:abstractNumId w:val="6"/>
  </w:num>
  <w:num w:numId="33">
    <w:abstractNumId w:val="39"/>
  </w:num>
  <w:num w:numId="34">
    <w:abstractNumId w:val="8"/>
  </w:num>
  <w:num w:numId="35">
    <w:abstractNumId w:val="16"/>
  </w:num>
  <w:num w:numId="36">
    <w:abstractNumId w:val="33"/>
  </w:num>
  <w:num w:numId="37">
    <w:abstractNumId w:val="1"/>
  </w:num>
  <w:num w:numId="38">
    <w:abstractNumId w:val="24"/>
  </w:num>
  <w:num w:numId="39">
    <w:abstractNumId w:val="9"/>
  </w:num>
  <w:num w:numId="40">
    <w:abstractNumId w:val="41"/>
  </w:num>
  <w:num w:numId="41">
    <w:abstractNumId w:val="37"/>
  </w:num>
  <w:num w:numId="42">
    <w:abstractNumId w:val="7"/>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FB8"/>
    <w:rsid w:val="00026373"/>
    <w:rsid w:val="000353E5"/>
    <w:rsid w:val="00072B4B"/>
    <w:rsid w:val="000C2601"/>
    <w:rsid w:val="000D7E78"/>
    <w:rsid w:val="001033C8"/>
    <w:rsid w:val="00135739"/>
    <w:rsid w:val="00201185"/>
    <w:rsid w:val="002013DE"/>
    <w:rsid w:val="00221C2D"/>
    <w:rsid w:val="002474B8"/>
    <w:rsid w:val="00280124"/>
    <w:rsid w:val="002908C1"/>
    <w:rsid w:val="002B6D72"/>
    <w:rsid w:val="003141B8"/>
    <w:rsid w:val="00314F71"/>
    <w:rsid w:val="00316ECF"/>
    <w:rsid w:val="00333DD7"/>
    <w:rsid w:val="003344FA"/>
    <w:rsid w:val="0034421F"/>
    <w:rsid w:val="00364A3C"/>
    <w:rsid w:val="003704C5"/>
    <w:rsid w:val="00386B99"/>
    <w:rsid w:val="003928D9"/>
    <w:rsid w:val="003B2C3A"/>
    <w:rsid w:val="0041450A"/>
    <w:rsid w:val="004146D2"/>
    <w:rsid w:val="004313C8"/>
    <w:rsid w:val="00446D4E"/>
    <w:rsid w:val="00451454"/>
    <w:rsid w:val="004747EA"/>
    <w:rsid w:val="004C6F2E"/>
    <w:rsid w:val="004C7034"/>
    <w:rsid w:val="004D22C9"/>
    <w:rsid w:val="00513B78"/>
    <w:rsid w:val="00537A0A"/>
    <w:rsid w:val="005B4775"/>
    <w:rsid w:val="005C118F"/>
    <w:rsid w:val="005E380D"/>
    <w:rsid w:val="005F2828"/>
    <w:rsid w:val="00606800"/>
    <w:rsid w:val="00640B8F"/>
    <w:rsid w:val="00675C3D"/>
    <w:rsid w:val="006B687D"/>
    <w:rsid w:val="006C154F"/>
    <w:rsid w:val="006E054C"/>
    <w:rsid w:val="006F2627"/>
    <w:rsid w:val="007104B5"/>
    <w:rsid w:val="007124B7"/>
    <w:rsid w:val="007238F4"/>
    <w:rsid w:val="00783FB8"/>
    <w:rsid w:val="007D6E8F"/>
    <w:rsid w:val="008013EC"/>
    <w:rsid w:val="0082475B"/>
    <w:rsid w:val="0087480D"/>
    <w:rsid w:val="00886775"/>
    <w:rsid w:val="00894605"/>
    <w:rsid w:val="008B06FF"/>
    <w:rsid w:val="008C3503"/>
    <w:rsid w:val="008D245F"/>
    <w:rsid w:val="008D7197"/>
    <w:rsid w:val="008E078B"/>
    <w:rsid w:val="0091665B"/>
    <w:rsid w:val="00920EE1"/>
    <w:rsid w:val="00954BEC"/>
    <w:rsid w:val="00972756"/>
    <w:rsid w:val="00987188"/>
    <w:rsid w:val="009C7600"/>
    <w:rsid w:val="00A56007"/>
    <w:rsid w:val="00AA5B2B"/>
    <w:rsid w:val="00AC389E"/>
    <w:rsid w:val="00AE61F0"/>
    <w:rsid w:val="00B24D87"/>
    <w:rsid w:val="00BF59FF"/>
    <w:rsid w:val="00BF788F"/>
    <w:rsid w:val="00C20D75"/>
    <w:rsid w:val="00CB32DD"/>
    <w:rsid w:val="00CB570D"/>
    <w:rsid w:val="00CC26E8"/>
    <w:rsid w:val="00CC3DFD"/>
    <w:rsid w:val="00CC4BE2"/>
    <w:rsid w:val="00CD7AFB"/>
    <w:rsid w:val="00CF6E66"/>
    <w:rsid w:val="00D61C93"/>
    <w:rsid w:val="00D75512"/>
    <w:rsid w:val="00DA43D0"/>
    <w:rsid w:val="00DA6685"/>
    <w:rsid w:val="00DE0547"/>
    <w:rsid w:val="00E53669"/>
    <w:rsid w:val="00E95F45"/>
    <w:rsid w:val="00EA62BC"/>
    <w:rsid w:val="00EE4090"/>
    <w:rsid w:val="00EF1BB6"/>
    <w:rsid w:val="00F2198E"/>
    <w:rsid w:val="00F23510"/>
    <w:rsid w:val="00F308AF"/>
    <w:rsid w:val="00F75B09"/>
    <w:rsid w:val="00F950C1"/>
    <w:rsid w:val="00FB76C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8AF3E0-2DFE-4134-A647-5F0ADE464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214E5"/>
    <w:pPr>
      <w:keepNext/>
      <w:keepLines/>
      <w:spacing w:before="240" w:line="259" w:lineRule="auto"/>
      <w:outlineLvl w:val="0"/>
    </w:pPr>
    <w:rPr>
      <w:rFonts w:ascii="Palatino Linotype" w:eastAsiaTheme="majorEastAsia" w:hAnsi="Palatino Linotype" w:cstheme="majorBidi"/>
      <w:b/>
      <w:color w:val="000000" w:themeColor="text1"/>
      <w:szCs w:val="32"/>
      <w:lang w:val="es-MX" w:eastAsia="en-US"/>
    </w:rPr>
  </w:style>
  <w:style w:type="paragraph" w:styleId="Ttulo2">
    <w:name w:val="heading 2"/>
    <w:basedOn w:val="Normal"/>
    <w:next w:val="Normal"/>
    <w:link w:val="Ttulo2Car"/>
    <w:uiPriority w:val="9"/>
    <w:unhideWhenUsed/>
    <w:qFormat/>
    <w:rsid w:val="008E2E89"/>
    <w:pPr>
      <w:keepNext/>
      <w:keepLines/>
      <w:spacing w:before="40" w:line="259" w:lineRule="auto"/>
      <w:outlineLvl w:val="1"/>
    </w:pPr>
    <w:rPr>
      <w:rFonts w:ascii="Palatino Linotype" w:eastAsiaTheme="majorEastAsia" w:hAnsi="Palatino Linotype" w:cstheme="majorBidi"/>
      <w:b/>
      <w:color w:val="000000" w:themeColor="text1"/>
      <w:szCs w:val="26"/>
      <w:lang w:val="es-MX" w:eastAsia="en-US"/>
    </w:rPr>
  </w:style>
  <w:style w:type="paragraph" w:styleId="Ttulo3">
    <w:name w:val="heading 3"/>
    <w:basedOn w:val="Normal"/>
    <w:next w:val="Normal"/>
    <w:link w:val="Ttulo3Car"/>
    <w:uiPriority w:val="9"/>
    <w:unhideWhenUsed/>
    <w:qFormat/>
    <w:rsid w:val="004D215D"/>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D55B7A"/>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87366"/>
    <w:pPr>
      <w:tabs>
        <w:tab w:val="center" w:pos="4252"/>
        <w:tab w:val="right" w:pos="8504"/>
      </w:tabs>
    </w:pPr>
  </w:style>
  <w:style w:type="character" w:customStyle="1" w:styleId="EncabezadoCar">
    <w:name w:val="Encabezado Car"/>
    <w:basedOn w:val="Fuentedeprrafopredeter"/>
    <w:link w:val="Encabezado"/>
    <w:uiPriority w:val="99"/>
    <w:rsid w:val="00587366"/>
  </w:style>
  <w:style w:type="paragraph" w:styleId="Piedepgina">
    <w:name w:val="footer"/>
    <w:basedOn w:val="Normal"/>
    <w:link w:val="PiedepginaCar"/>
    <w:uiPriority w:val="99"/>
    <w:unhideWhenUsed/>
    <w:rsid w:val="00587366"/>
    <w:pPr>
      <w:tabs>
        <w:tab w:val="center" w:pos="4252"/>
        <w:tab w:val="right" w:pos="8504"/>
      </w:tabs>
    </w:pPr>
  </w:style>
  <w:style w:type="character" w:customStyle="1" w:styleId="PiedepginaCar">
    <w:name w:val="Pie de página Car"/>
    <w:basedOn w:val="Fuentedeprrafopredeter"/>
    <w:link w:val="Piedepgina"/>
    <w:uiPriority w:val="99"/>
    <w:rsid w:val="00587366"/>
  </w:style>
  <w:style w:type="table" w:styleId="Tablaconcuadrcula">
    <w:name w:val="Table Grid"/>
    <w:basedOn w:val="Tablanormal"/>
    <w:uiPriority w:val="39"/>
    <w:rsid w:val="00587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8736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7366"/>
    <w:rPr>
      <w:rFonts w:ascii="Lucida Grande" w:hAnsi="Lucida Grande" w:cs="Lucida Grande"/>
      <w:sz w:val="18"/>
      <w:szCs w:val="1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2C69"/>
    <w:pPr>
      <w:ind w:left="720"/>
      <w:contextualSpacing/>
    </w:pPr>
  </w:style>
  <w:style w:type="paragraph" w:styleId="Sinespaciado">
    <w:name w:val="No Spacing"/>
    <w:aliases w:val="Francesa"/>
    <w:link w:val="SinespaciadoCar"/>
    <w:uiPriority w:val="1"/>
    <w:qFormat/>
    <w:rsid w:val="00166794"/>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A3513"/>
  </w:style>
  <w:style w:type="character" w:styleId="Hipervnculo">
    <w:name w:val="Hyperlink"/>
    <w:aliases w:val="Hipervínculo1,Hipervínculo11,Hipervínculo12,Hipervínculo13,Hipervínculo14,Hipervínculo15"/>
    <w:basedOn w:val="Fuentedeprrafopredeter"/>
    <w:uiPriority w:val="99"/>
    <w:unhideWhenUsed/>
    <w:rsid w:val="008167F5"/>
    <w:rPr>
      <w:color w:val="0000FF" w:themeColor="hyperlink"/>
      <w:u w:val="single"/>
    </w:rPr>
  </w:style>
  <w:style w:type="paragraph" w:styleId="TDC1">
    <w:name w:val="toc 1"/>
    <w:basedOn w:val="Normal"/>
    <w:next w:val="Normal"/>
    <w:autoRedefine/>
    <w:uiPriority w:val="39"/>
    <w:unhideWhenUsed/>
    <w:rsid w:val="008826F4"/>
    <w:pPr>
      <w:tabs>
        <w:tab w:val="right" w:leader="dot" w:pos="8779"/>
      </w:tabs>
      <w:spacing w:after="100" w:line="360" w:lineRule="auto"/>
      <w:ind w:left="284"/>
    </w:pPr>
  </w:style>
  <w:style w:type="paragraph" w:styleId="TDC2">
    <w:name w:val="toc 2"/>
    <w:basedOn w:val="Normal"/>
    <w:next w:val="Normal"/>
    <w:autoRedefine/>
    <w:uiPriority w:val="39"/>
    <w:unhideWhenUsed/>
    <w:rsid w:val="00B37AEC"/>
    <w:pPr>
      <w:tabs>
        <w:tab w:val="left" w:pos="709"/>
        <w:tab w:val="right" w:leader="dot" w:pos="8779"/>
      </w:tabs>
      <w:spacing w:after="100" w:line="480" w:lineRule="auto"/>
      <w:ind w:left="284"/>
    </w:pPr>
  </w:style>
  <w:style w:type="character" w:styleId="Refdecomentario">
    <w:name w:val="annotation reference"/>
    <w:basedOn w:val="Fuentedeprrafopredeter"/>
    <w:uiPriority w:val="99"/>
    <w:semiHidden/>
    <w:unhideWhenUsed/>
    <w:rsid w:val="00750A80"/>
    <w:rPr>
      <w:sz w:val="16"/>
      <w:szCs w:val="16"/>
    </w:rPr>
  </w:style>
  <w:style w:type="paragraph" w:styleId="Textocomentario">
    <w:name w:val="annotation text"/>
    <w:basedOn w:val="Normal"/>
    <w:link w:val="TextocomentarioCar"/>
    <w:uiPriority w:val="99"/>
    <w:semiHidden/>
    <w:unhideWhenUsed/>
    <w:rsid w:val="00750A80"/>
    <w:rPr>
      <w:sz w:val="20"/>
      <w:szCs w:val="20"/>
    </w:rPr>
  </w:style>
  <w:style w:type="character" w:customStyle="1" w:styleId="TextocomentarioCar">
    <w:name w:val="Texto comentario Car"/>
    <w:basedOn w:val="Fuentedeprrafopredeter"/>
    <w:link w:val="Textocomentario"/>
    <w:uiPriority w:val="99"/>
    <w:semiHidden/>
    <w:rsid w:val="00750A80"/>
    <w:rPr>
      <w:sz w:val="20"/>
      <w:szCs w:val="20"/>
    </w:rPr>
  </w:style>
  <w:style w:type="paragraph" w:styleId="Asuntodelcomentario">
    <w:name w:val="annotation subject"/>
    <w:basedOn w:val="Textocomentario"/>
    <w:next w:val="Textocomentario"/>
    <w:link w:val="AsuntodelcomentarioCar"/>
    <w:uiPriority w:val="99"/>
    <w:semiHidden/>
    <w:unhideWhenUsed/>
    <w:rsid w:val="00750A80"/>
    <w:rPr>
      <w:b/>
      <w:bCs/>
    </w:rPr>
  </w:style>
  <w:style w:type="character" w:customStyle="1" w:styleId="AsuntodelcomentarioCar">
    <w:name w:val="Asunto del comentario Car"/>
    <w:basedOn w:val="TextocomentarioCar"/>
    <w:link w:val="Asuntodelcomentario"/>
    <w:uiPriority w:val="99"/>
    <w:semiHidden/>
    <w:rsid w:val="00750A80"/>
    <w:rPr>
      <w:b/>
      <w:bCs/>
      <w:sz w:val="20"/>
      <w:szCs w:val="20"/>
    </w:rPr>
  </w:style>
  <w:style w:type="character" w:customStyle="1" w:styleId="Ttulo1Car">
    <w:name w:val="Título 1 Car"/>
    <w:basedOn w:val="Fuentedeprrafopredeter"/>
    <w:link w:val="Ttulo1"/>
    <w:uiPriority w:val="9"/>
    <w:rsid w:val="00F214E5"/>
    <w:rPr>
      <w:rFonts w:ascii="Palatino Linotype" w:eastAsiaTheme="majorEastAsia" w:hAnsi="Palatino Linotype" w:cstheme="majorBidi"/>
      <w:b/>
      <w:color w:val="000000" w:themeColor="text1"/>
      <w:szCs w:val="32"/>
      <w:lang w:val="es-MX" w:eastAsia="en-US"/>
    </w:rPr>
  </w:style>
  <w:style w:type="character" w:customStyle="1" w:styleId="Ttulo2Car">
    <w:name w:val="Título 2 Car"/>
    <w:basedOn w:val="Fuentedeprrafopredeter"/>
    <w:link w:val="Ttulo2"/>
    <w:uiPriority w:val="9"/>
    <w:rsid w:val="008E2E89"/>
    <w:rPr>
      <w:rFonts w:ascii="Palatino Linotype" w:eastAsiaTheme="majorEastAsia" w:hAnsi="Palatino Linotype" w:cstheme="majorBidi"/>
      <w:b/>
      <w:color w:val="000000" w:themeColor="text1"/>
      <w:szCs w:val="26"/>
      <w:lang w:val="es-MX" w:eastAsia="en-US"/>
    </w:rPr>
  </w:style>
  <w:style w:type="character" w:customStyle="1" w:styleId="apple-converted-space">
    <w:name w:val="apple-converted-space"/>
    <w:basedOn w:val="Fuentedeprrafopredeter"/>
    <w:rsid w:val="00E43ABE"/>
  </w:style>
  <w:style w:type="paragraph" w:styleId="Textoindependiente">
    <w:name w:val="Body Text"/>
    <w:basedOn w:val="Normal"/>
    <w:link w:val="TextoindependienteCar"/>
    <w:rsid w:val="00A8769A"/>
    <w:pPr>
      <w:jc w:val="both"/>
    </w:pPr>
    <w:rPr>
      <w:rFonts w:ascii="Arial" w:eastAsia="Times New Roman" w:hAnsi="Arial" w:cs="Times New Roman"/>
      <w:szCs w:val="20"/>
    </w:rPr>
  </w:style>
  <w:style w:type="character" w:customStyle="1" w:styleId="TextoindependienteCar">
    <w:name w:val="Texto independiente Car"/>
    <w:basedOn w:val="Fuentedeprrafopredeter"/>
    <w:link w:val="Textoindependiente"/>
    <w:rsid w:val="00A8769A"/>
    <w:rPr>
      <w:rFonts w:ascii="Arial" w:eastAsia="Times New Roman" w:hAnsi="Arial" w:cs="Times New Roman"/>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C563A"/>
    <w:rPr>
      <w:rFonts w:eastAsiaTheme="minorHAns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C563A"/>
    <w:rPr>
      <w:rFonts w:eastAsiaTheme="minorHAnsi"/>
      <w:sz w:val="20"/>
      <w:szCs w:val="20"/>
      <w:lang w:val="es-MX"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6C563A"/>
    <w:rPr>
      <w:vertAlign w:val="superscript"/>
    </w:rPr>
  </w:style>
  <w:style w:type="paragraph" w:customStyle="1" w:styleId="p">
    <w:name w:val="p"/>
    <w:basedOn w:val="Normal"/>
    <w:rsid w:val="006C563A"/>
    <w:pPr>
      <w:spacing w:before="100" w:beforeAutospacing="1" w:after="100" w:afterAutospacing="1"/>
    </w:pPr>
    <w:rPr>
      <w:rFonts w:ascii="Times New Roman" w:eastAsia="Times New Roman" w:hAnsi="Times New Roman" w:cs="Times New Roman"/>
      <w:lang w:val="es-MX"/>
    </w:rPr>
  </w:style>
  <w:style w:type="character" w:customStyle="1" w:styleId="f">
    <w:name w:val="f"/>
    <w:basedOn w:val="Fuentedeprrafopredeter"/>
    <w:rsid w:val="006C563A"/>
  </w:style>
  <w:style w:type="character" w:customStyle="1" w:styleId="a">
    <w:name w:val="a"/>
    <w:basedOn w:val="Fuentedeprrafopredeter"/>
    <w:rsid w:val="006C563A"/>
  </w:style>
  <w:style w:type="character" w:customStyle="1" w:styleId="d">
    <w:name w:val="d"/>
    <w:basedOn w:val="Fuentedeprrafopredeter"/>
    <w:rsid w:val="006C563A"/>
  </w:style>
  <w:style w:type="character" w:customStyle="1" w:styleId="b">
    <w:name w:val="b"/>
    <w:basedOn w:val="Fuentedeprrafopredeter"/>
    <w:rsid w:val="006C563A"/>
  </w:style>
  <w:style w:type="character" w:customStyle="1" w:styleId="g">
    <w:name w:val="g"/>
    <w:basedOn w:val="Fuentedeprrafopredeter"/>
    <w:rsid w:val="006C563A"/>
  </w:style>
  <w:style w:type="table" w:customStyle="1" w:styleId="Tablaconcuadrcula1">
    <w:name w:val="Tabla con cuadrícula1"/>
    <w:basedOn w:val="Tablanormal"/>
    <w:next w:val="Tablaconcuadrcula"/>
    <w:uiPriority w:val="59"/>
    <w:rsid w:val="00E0324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basedOn w:val="Ttulo1"/>
    <w:next w:val="Normal"/>
    <w:uiPriority w:val="39"/>
    <w:unhideWhenUsed/>
    <w:qFormat/>
    <w:rsid w:val="00CD7893"/>
    <w:pPr>
      <w:outlineLvl w:val="9"/>
    </w:pPr>
    <w:rPr>
      <w:lang w:eastAsia="es-MX"/>
    </w:rPr>
  </w:style>
  <w:style w:type="character" w:styleId="Hipervnculovisitado">
    <w:name w:val="FollowedHyperlink"/>
    <w:basedOn w:val="Fuentedeprrafopredeter"/>
    <w:uiPriority w:val="99"/>
    <w:semiHidden/>
    <w:unhideWhenUsed/>
    <w:rsid w:val="00A575AA"/>
    <w:rPr>
      <w:color w:val="800080" w:themeColor="followedHyperlink"/>
      <w:u w:val="single"/>
    </w:rPr>
  </w:style>
  <w:style w:type="paragraph" w:customStyle="1" w:styleId="Default">
    <w:name w:val="Default"/>
    <w:qFormat/>
    <w:rsid w:val="00946F09"/>
    <w:pPr>
      <w:autoSpaceDE w:val="0"/>
      <w:autoSpaceDN w:val="0"/>
      <w:adjustRightInd w:val="0"/>
    </w:pPr>
    <w:rPr>
      <w:rFonts w:ascii="Palatino Linotype" w:eastAsiaTheme="minorHAnsi" w:hAnsi="Palatino Linotype" w:cs="Palatino Linotype"/>
      <w:color w:val="000000"/>
      <w:lang w:val="es-MX" w:eastAsia="en-US"/>
    </w:rPr>
  </w:style>
  <w:style w:type="paragraph" w:styleId="NormalWeb">
    <w:name w:val="Normal (Web)"/>
    <w:basedOn w:val="Normal"/>
    <w:uiPriority w:val="99"/>
    <w:unhideWhenUsed/>
    <w:rsid w:val="0033477F"/>
    <w:pPr>
      <w:spacing w:before="100" w:beforeAutospacing="1" w:after="100" w:afterAutospacing="1"/>
    </w:pPr>
    <w:rPr>
      <w:rFonts w:ascii="Times New Roman" w:eastAsia="Times New Roman" w:hAnsi="Times New Roman" w:cs="Times New Roman"/>
      <w:lang w:val="es-ES"/>
    </w:rPr>
  </w:style>
  <w:style w:type="character" w:customStyle="1" w:styleId="nacep">
    <w:name w:val="n_acep"/>
    <w:basedOn w:val="Fuentedeprrafopredeter"/>
    <w:rsid w:val="0033477F"/>
  </w:style>
  <w:style w:type="character" w:customStyle="1" w:styleId="apple-style-span">
    <w:name w:val="apple-style-span"/>
    <w:rsid w:val="00E53334"/>
  </w:style>
  <w:style w:type="paragraph" w:customStyle="1" w:styleId="FootnoteTextCharCharChar1">
    <w:name w:val="Footnote Text Char Char Char1"/>
    <w:basedOn w:val="Normal"/>
    <w:next w:val="Textonotapie"/>
    <w:unhideWhenUsed/>
    <w:rsid w:val="00A4327F"/>
    <w:rPr>
      <w:sz w:val="20"/>
      <w:szCs w:val="20"/>
      <w:lang w:val="es-MX" w:eastAsia="en-US"/>
    </w:rPr>
  </w:style>
  <w:style w:type="character" w:customStyle="1" w:styleId="il">
    <w:name w:val="il"/>
    <w:basedOn w:val="Fuentedeprrafopredeter"/>
    <w:rsid w:val="0052151F"/>
  </w:style>
  <w:style w:type="character" w:customStyle="1" w:styleId="Ttulo3Car">
    <w:name w:val="Título 3 Car"/>
    <w:basedOn w:val="Fuentedeprrafopredeter"/>
    <w:link w:val="Ttulo3"/>
    <w:uiPriority w:val="9"/>
    <w:rsid w:val="004D215D"/>
    <w:rPr>
      <w:rFonts w:asciiTheme="majorHAnsi" w:eastAsiaTheme="majorEastAsia" w:hAnsiTheme="majorHAnsi" w:cstheme="majorBidi"/>
      <w:color w:val="243F60" w:themeColor="accent1" w:themeShade="7F"/>
    </w:rPr>
  </w:style>
  <w:style w:type="paragraph" w:styleId="TDC3">
    <w:name w:val="toc 3"/>
    <w:basedOn w:val="Normal"/>
    <w:next w:val="Normal"/>
    <w:autoRedefine/>
    <w:uiPriority w:val="39"/>
    <w:unhideWhenUsed/>
    <w:rsid w:val="00756F43"/>
    <w:pPr>
      <w:spacing w:after="100"/>
      <w:ind w:left="480"/>
    </w:pPr>
  </w:style>
  <w:style w:type="paragraph" w:styleId="Textoindependiente2">
    <w:name w:val="Body Text 2"/>
    <w:basedOn w:val="Normal"/>
    <w:link w:val="Textoindependiente2Car"/>
    <w:uiPriority w:val="99"/>
    <w:semiHidden/>
    <w:unhideWhenUsed/>
    <w:rsid w:val="00967CE6"/>
    <w:pPr>
      <w:spacing w:after="120" w:line="480" w:lineRule="auto"/>
    </w:pPr>
  </w:style>
  <w:style w:type="character" w:customStyle="1" w:styleId="Textoindependiente2Car">
    <w:name w:val="Texto independiente 2 Car"/>
    <w:basedOn w:val="Fuentedeprrafopredeter"/>
    <w:link w:val="Textoindependiente2"/>
    <w:uiPriority w:val="99"/>
    <w:semiHidden/>
    <w:rsid w:val="00967CE6"/>
  </w:style>
  <w:style w:type="character" w:styleId="Textoennegrita">
    <w:name w:val="Strong"/>
    <w:uiPriority w:val="22"/>
    <w:qFormat/>
    <w:rsid w:val="009C113B"/>
    <w:rPr>
      <w:b/>
      <w:bCs/>
    </w:rPr>
  </w:style>
  <w:style w:type="character" w:customStyle="1" w:styleId="SinespaciadoCar">
    <w:name w:val="Sin espaciado Car"/>
    <w:aliases w:val="Francesa Car"/>
    <w:link w:val="Sinespaciado"/>
    <w:uiPriority w:val="1"/>
    <w:locked/>
    <w:rsid w:val="009C113B"/>
  </w:style>
  <w:style w:type="paragraph" w:customStyle="1" w:styleId="q">
    <w:name w:val="q"/>
    <w:basedOn w:val="Normal"/>
    <w:rsid w:val="00732EA5"/>
    <w:pPr>
      <w:spacing w:before="100" w:beforeAutospacing="1" w:after="100" w:afterAutospacing="1"/>
    </w:pPr>
    <w:rPr>
      <w:rFonts w:ascii="Times New Roman" w:eastAsia="Times New Roman" w:hAnsi="Times New Roman" w:cs="Times New Roman"/>
      <w:lang w:val="es-MX"/>
    </w:rPr>
  </w:style>
  <w:style w:type="character" w:customStyle="1" w:styleId="k">
    <w:name w:val="k"/>
    <w:basedOn w:val="Fuentedeprrafopredeter"/>
    <w:rsid w:val="00732EA5"/>
  </w:style>
  <w:style w:type="character" w:customStyle="1" w:styleId="h">
    <w:name w:val="h"/>
    <w:basedOn w:val="Fuentedeprrafopredeter"/>
    <w:rsid w:val="00732EA5"/>
  </w:style>
  <w:style w:type="character" w:customStyle="1" w:styleId="titulorubrolgt">
    <w:name w:val="titulorubrolgt"/>
    <w:basedOn w:val="Fuentedeprrafopredeter"/>
    <w:rsid w:val="00CA063C"/>
  </w:style>
  <w:style w:type="character" w:customStyle="1" w:styleId="ctr">
    <w:name w:val="ctr"/>
    <w:basedOn w:val="Fuentedeprrafopredeter"/>
    <w:rsid w:val="00CA063C"/>
  </w:style>
  <w:style w:type="paragraph" w:customStyle="1" w:styleId="Textonotapie1">
    <w:name w:val="Texto nota pie1"/>
    <w:basedOn w:val="Normal"/>
    <w:next w:val="Textonotapie"/>
    <w:uiPriority w:val="99"/>
    <w:unhideWhenUsed/>
    <w:rsid w:val="00EC6B99"/>
    <w:rPr>
      <w:sz w:val="20"/>
      <w:szCs w:val="20"/>
      <w:lang w:val="es-MX" w:eastAsia="en-US"/>
    </w:rPr>
  </w:style>
  <w:style w:type="paragraph" w:customStyle="1" w:styleId="n2">
    <w:name w:val="n2"/>
    <w:basedOn w:val="Normal"/>
    <w:rsid w:val="009E1584"/>
    <w:pPr>
      <w:spacing w:before="100" w:beforeAutospacing="1" w:after="100" w:afterAutospacing="1"/>
    </w:pPr>
    <w:rPr>
      <w:rFonts w:ascii="Times New Roman" w:eastAsia="Times New Roman" w:hAnsi="Times New Roman" w:cs="Times New Roman"/>
      <w:lang w:val="es-MX"/>
    </w:rPr>
  </w:style>
  <w:style w:type="character" w:styleId="nfasis">
    <w:name w:val="Emphasis"/>
    <w:basedOn w:val="Fuentedeprrafopredeter"/>
    <w:uiPriority w:val="20"/>
    <w:qFormat/>
    <w:rsid w:val="009E1584"/>
    <w:rPr>
      <w:i/>
      <w:iCs/>
    </w:rPr>
  </w:style>
  <w:style w:type="paragraph" w:customStyle="1" w:styleId="j">
    <w:name w:val="j"/>
    <w:basedOn w:val="Normal"/>
    <w:rsid w:val="009E1584"/>
    <w:pPr>
      <w:spacing w:before="100" w:beforeAutospacing="1" w:after="100" w:afterAutospacing="1"/>
    </w:pPr>
    <w:rPr>
      <w:rFonts w:ascii="Times New Roman" w:eastAsia="Times New Roman" w:hAnsi="Times New Roman" w:cs="Times New Roman"/>
      <w:lang w:val="es-MX"/>
    </w:rPr>
  </w:style>
  <w:style w:type="paragraph" w:customStyle="1" w:styleId="j1">
    <w:name w:val="j1"/>
    <w:basedOn w:val="Normal"/>
    <w:rsid w:val="009E1584"/>
    <w:pPr>
      <w:spacing w:before="100" w:beforeAutospacing="1" w:after="100" w:afterAutospacing="1"/>
    </w:pPr>
    <w:rPr>
      <w:rFonts w:ascii="Times New Roman" w:eastAsia="Times New Roman" w:hAnsi="Times New Roman" w:cs="Times New Roman"/>
      <w:lang w:val="es-MX"/>
    </w:rPr>
  </w:style>
  <w:style w:type="table" w:customStyle="1" w:styleId="Cuadrculadetablaclara1">
    <w:name w:val="Cuadrícula de tabla clara1"/>
    <w:basedOn w:val="Tablanormal"/>
    <w:uiPriority w:val="40"/>
    <w:rsid w:val="00226E61"/>
    <w:rPr>
      <w:rFonts w:eastAsiaTheme="minorHAnsi"/>
      <w:sz w:val="22"/>
      <w:szCs w:val="22"/>
      <w:lang w:val="es-MX"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o">
    <w:name w:val="Texto"/>
    <w:basedOn w:val="Normal"/>
    <w:link w:val="TextoCar"/>
    <w:rsid w:val="00041C72"/>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locked/>
    <w:rsid w:val="00041C72"/>
    <w:rPr>
      <w:rFonts w:ascii="Arial" w:eastAsia="Times New Roman" w:hAnsi="Arial" w:cs="Arial"/>
      <w:sz w:val="18"/>
      <w:szCs w:val="20"/>
      <w:lang w:val="es-ES"/>
    </w:rPr>
  </w:style>
  <w:style w:type="paragraph" w:styleId="Textosinformato">
    <w:name w:val="Plain Text"/>
    <w:basedOn w:val="Normal"/>
    <w:link w:val="TextosinformatoCar"/>
    <w:rsid w:val="00D4338A"/>
    <w:rPr>
      <w:rFonts w:ascii="Courier New" w:eastAsia="Times New Roman" w:hAnsi="Courier New" w:cs="Times New Roman"/>
      <w:sz w:val="20"/>
      <w:szCs w:val="20"/>
      <w:lang w:val="es-ES"/>
    </w:rPr>
  </w:style>
  <w:style w:type="character" w:customStyle="1" w:styleId="TextosinformatoCar">
    <w:name w:val="Texto sin formato Car"/>
    <w:basedOn w:val="Fuentedeprrafopredeter"/>
    <w:link w:val="Textosinformato"/>
    <w:rsid w:val="00D4338A"/>
    <w:rPr>
      <w:rFonts w:ascii="Courier New" w:eastAsia="Times New Roman" w:hAnsi="Courier New" w:cs="Times New Roman"/>
      <w:sz w:val="20"/>
      <w:szCs w:val="20"/>
      <w:lang w:val="es-ES"/>
    </w:rPr>
  </w:style>
  <w:style w:type="table" w:customStyle="1" w:styleId="Tablanormal11">
    <w:name w:val="Tabla normal 11"/>
    <w:basedOn w:val="Tablanormal"/>
    <w:uiPriority w:val="41"/>
    <w:rsid w:val="00962626"/>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3468294172500300143gmail-msolistparagraph">
    <w:name w:val="m_3468294172500300143gmail-msolistparagraph"/>
    <w:basedOn w:val="Normal"/>
    <w:rsid w:val="00480BA2"/>
    <w:pPr>
      <w:spacing w:before="100" w:beforeAutospacing="1" w:after="100" w:afterAutospacing="1"/>
    </w:pPr>
    <w:rPr>
      <w:rFonts w:ascii="Times New Roman" w:eastAsia="Times New Roman" w:hAnsi="Times New Roman" w:cs="Times New Roman"/>
      <w:lang w:val="es-MX"/>
    </w:rPr>
  </w:style>
  <w:style w:type="paragraph" w:customStyle="1" w:styleId="m7640689326625126977gmail-msolistparagraph">
    <w:name w:val="m_7640689326625126977gmail-msolistparagraph"/>
    <w:basedOn w:val="Normal"/>
    <w:rsid w:val="00631337"/>
    <w:pPr>
      <w:spacing w:before="100" w:beforeAutospacing="1" w:after="100" w:afterAutospacing="1"/>
    </w:pPr>
    <w:rPr>
      <w:rFonts w:ascii="Times New Roman" w:eastAsia="Times New Roman" w:hAnsi="Times New Roman" w:cs="Times New Roman"/>
      <w:lang w:val="es-MX"/>
    </w:rPr>
  </w:style>
  <w:style w:type="character" w:customStyle="1" w:styleId="stytxtare">
    <w:name w:val="stytxtare"/>
    <w:rsid w:val="005B0EC2"/>
  </w:style>
  <w:style w:type="character" w:customStyle="1" w:styleId="Ttulo4Car">
    <w:name w:val="Título 4 Car"/>
    <w:basedOn w:val="Fuentedeprrafopredeter"/>
    <w:link w:val="Ttulo4"/>
    <w:uiPriority w:val="9"/>
    <w:rsid w:val="00D55B7A"/>
    <w:rPr>
      <w:rFonts w:asciiTheme="majorHAnsi" w:eastAsiaTheme="majorEastAsia" w:hAnsiTheme="majorHAnsi" w:cstheme="majorBidi"/>
      <w:i/>
      <w:iCs/>
      <w:color w:val="365F91" w:themeColor="accent1" w:themeShade="BF"/>
    </w:rPr>
  </w:style>
  <w:style w:type="paragraph" w:customStyle="1" w:styleId="paragraph">
    <w:name w:val="paragraph"/>
    <w:basedOn w:val="Normal"/>
    <w:uiPriority w:val="99"/>
    <w:rsid w:val="00BC13F7"/>
    <w:pPr>
      <w:spacing w:before="100" w:beforeAutospacing="1" w:after="100" w:afterAutospacing="1"/>
    </w:pPr>
    <w:rPr>
      <w:rFonts w:ascii="Times New Roman" w:eastAsia="Times New Roman" w:hAnsi="Times New Roman" w:cs="Times New Roman"/>
      <w:lang w:val="es-MX"/>
    </w:rPr>
  </w:style>
  <w:style w:type="paragraph" w:customStyle="1" w:styleId="yiv6449924580ydp7ca81294msonormal">
    <w:name w:val="yiv6449924580ydp7ca81294msonormal"/>
    <w:basedOn w:val="Normal"/>
    <w:rsid w:val="003B7B09"/>
    <w:pPr>
      <w:spacing w:before="100" w:beforeAutospacing="1" w:after="100" w:afterAutospacing="1"/>
    </w:pPr>
    <w:rPr>
      <w:rFonts w:ascii="Times New Roman" w:eastAsia="Times New Roman" w:hAnsi="Times New Roman" w:cs="Times New Roman"/>
      <w:lang w:val="es-MX"/>
    </w:rPr>
  </w:style>
  <w:style w:type="paragraph" w:customStyle="1" w:styleId="gmail-msolistparagraph">
    <w:name w:val="gmail-msolistparagraph"/>
    <w:basedOn w:val="Normal"/>
    <w:rsid w:val="00CA1CD0"/>
    <w:pPr>
      <w:spacing w:before="100" w:beforeAutospacing="1" w:after="100" w:afterAutospacing="1"/>
    </w:pPr>
    <w:rPr>
      <w:rFonts w:ascii="Times New Roman" w:eastAsia="Times New Roman" w:hAnsi="Times New Roman" w:cs="Times New Roman"/>
      <w:lang w:val="es-MX"/>
    </w:rPr>
  </w:style>
  <w:style w:type="character" w:customStyle="1" w:styleId="vidspn">
    <w:name w:val="vid_spn"/>
    <w:basedOn w:val="Fuentedeprrafopredeter"/>
    <w:rsid w:val="006B78BA"/>
  </w:style>
  <w:style w:type="table" w:styleId="Tablanormal1">
    <w:name w:val="Plain Table 1"/>
    <w:basedOn w:val="Tablanormal"/>
    <w:uiPriority w:val="41"/>
    <w:rsid w:val="00BE721C"/>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as">
    <w:name w:val="Citas"/>
    <w:basedOn w:val="Normal"/>
    <w:qFormat/>
    <w:rsid w:val="000E0EF6"/>
    <w:pPr>
      <w:spacing w:before="240" w:after="160" w:line="360" w:lineRule="auto"/>
      <w:ind w:left="851" w:right="851"/>
      <w:jc w:val="both"/>
    </w:pPr>
    <w:rPr>
      <w:rFonts w:ascii="Palatino Linotype" w:eastAsia="Times New Roman" w:hAnsi="Palatino Linotype" w:cs="Arial"/>
      <w:i/>
      <w:sz w:val="22"/>
      <w:szCs w:val="22"/>
      <w:lang w:val="es-MX" w:eastAsia="en-US"/>
    </w:rPr>
  </w:style>
  <w:style w:type="table" w:customStyle="1" w:styleId="Tablanormal12">
    <w:name w:val="Tabla normal 12"/>
    <w:basedOn w:val="Tablanormal"/>
    <w:next w:val="Tablanormal1"/>
    <w:uiPriority w:val="41"/>
    <w:rsid w:val="00F82B3B"/>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bject">
    <w:name w:val="object"/>
    <w:basedOn w:val="Fuentedeprrafopredeter"/>
    <w:rsid w:val="00977AFF"/>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0"/>
    <w:tblPr>
      <w:tblStyleRowBandSize w:val="1"/>
      <w:tblStyleColBandSize w:val="1"/>
      <w:tblCellMar>
        <w:left w:w="115" w:type="dxa"/>
        <w:right w:w="115" w:type="dxa"/>
      </w:tblCellMar>
    </w:tblPr>
  </w:style>
  <w:style w:type="table" w:customStyle="1" w:styleId="2">
    <w:name w:val="2"/>
    <w:basedOn w:val="TableNormal0"/>
    <w:rPr>
      <w:sz w:val="22"/>
      <w:szCs w:val="22"/>
    </w:rPr>
    <w:tblPr>
      <w:tblStyleRowBandSize w:val="1"/>
      <w:tblStyleColBandSize w:val="1"/>
      <w:tblCellMar>
        <w:left w:w="108" w:type="dxa"/>
        <w:right w:w="108" w:type="dxa"/>
      </w:tblCellMar>
    </w:tblPr>
  </w:style>
  <w:style w:type="table" w:customStyle="1" w:styleId="1">
    <w:name w:val="1"/>
    <w:basedOn w:val="TableNormal0"/>
    <w:rPr>
      <w:sz w:val="22"/>
      <w:szCs w:val="22"/>
    </w:rPr>
    <w:tblPr>
      <w:tblStyleRowBandSize w:val="1"/>
      <w:tblStyleColBandSize w:val="1"/>
      <w:tblCellMar>
        <w:left w:w="108"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rPr>
      <w:sz w:val="22"/>
      <w:szCs w:val="22"/>
    </w:rPr>
    <w:tblPr>
      <w:tblStyleRowBandSize w:val="1"/>
      <w:tblStyleColBandSize w:val="1"/>
      <w:tblCellMar>
        <w:left w:w="108" w:type="dxa"/>
        <w:right w:w="108" w:type="dxa"/>
      </w:tblCellMar>
    </w:tblPr>
  </w:style>
  <w:style w:type="table" w:customStyle="1" w:styleId="a3">
    <w:basedOn w:val="TableNormal0"/>
    <w:rPr>
      <w:sz w:val="22"/>
      <w:szCs w:val="22"/>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5655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09213.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aimex.org.mx/saimex/solicitud/downloadAttach/2609214.pag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pN01Mh1tQ2mUIHfIchdUVctPsg==">CgMxLjAyDmguc3JlOWgwNXE0djBiMghoLmdqZGd4czIJaC4zMGowemxsMgloLjFmb2I5dGUyCWguM3pueXNoNzIJaC4yZXQ5MnAwMghoLnR5amN3dDIJaC4zZHk2dmttMgloLjF0M2g1c2YyCWguMnM4ZXlvMTIJaC4xN2RwOHZ1MgloLjNyZGNyam4yCWguMjZpbjFyZzIJaC40ZDM0b2c4MghoLmxueGJ6OTIJaC4zNW5rdW4yOAByITFXTnFUVmF5LWVxZ1hudGw5Z28wMlBnRnFwcUIxcTBl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63</Pages>
  <Words>15592</Words>
  <Characters>85762</Characters>
  <Application>Microsoft Office Word</Application>
  <DocSecurity>0</DocSecurity>
  <Lines>714</Lines>
  <Paragraphs>202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101152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dc:creator>
  <cp:lastModifiedBy>Cuenta Microsoft</cp:lastModifiedBy>
  <cp:revision>23</cp:revision>
  <dcterms:created xsi:type="dcterms:W3CDTF">2026-04-15T01:58:00Z</dcterms:created>
  <dcterms:modified xsi:type="dcterms:W3CDTF">2026-05-06T18:14:00Z</dcterms:modified>
</cp:coreProperties>
</file>