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AA0" w:rsidRPr="008267EB" w:rsidRDefault="00CD00D5">
      <w:pPr>
        <w:spacing w:line="360" w:lineRule="auto"/>
        <w:jc w:val="both"/>
        <w:rPr>
          <w:rFonts w:ascii="Palatino Linotype" w:eastAsia="Palatino Linotype" w:hAnsi="Palatino Linotype" w:cs="Palatino Linotype"/>
          <w:b/>
        </w:rPr>
      </w:pPr>
      <w:r w:rsidRPr="008267EB">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8267EB" w:rsidRPr="008267EB">
        <w:rPr>
          <w:rFonts w:ascii="Palatino Linotype" w:eastAsia="Palatino Linotype" w:hAnsi="Palatino Linotype" w:cs="Palatino Linotype"/>
        </w:rPr>
        <w:t xml:space="preserve">n Metepec, Estado de México; </w:t>
      </w:r>
      <w:r w:rsidR="008267EB" w:rsidRPr="008267EB">
        <w:rPr>
          <w:rFonts w:ascii="Palatino Linotype" w:eastAsia="Palatino Linotype" w:hAnsi="Palatino Linotype" w:cs="Palatino Linotype"/>
          <w:b/>
        </w:rPr>
        <w:t>de fecha</w:t>
      </w:r>
      <w:r w:rsidRPr="008267EB">
        <w:rPr>
          <w:rFonts w:ascii="Palatino Linotype" w:eastAsia="Palatino Linotype" w:hAnsi="Palatino Linotype" w:cs="Palatino Linotype"/>
          <w:b/>
        </w:rPr>
        <w:t xml:space="preserve"> veinticinco </w:t>
      </w:r>
      <w:r w:rsidR="008267EB" w:rsidRPr="008267EB">
        <w:rPr>
          <w:rFonts w:ascii="Palatino Linotype" w:eastAsia="Palatino Linotype" w:hAnsi="Palatino Linotype" w:cs="Palatino Linotype"/>
          <w:b/>
        </w:rPr>
        <w:t xml:space="preserve">(25) </w:t>
      </w:r>
      <w:r w:rsidRPr="008267EB">
        <w:rPr>
          <w:rFonts w:ascii="Palatino Linotype" w:eastAsia="Palatino Linotype" w:hAnsi="Palatino Linotype" w:cs="Palatino Linotype"/>
          <w:b/>
        </w:rPr>
        <w:t xml:space="preserve">de febrero de dos mil veintiséis. </w:t>
      </w:r>
    </w:p>
    <w:p w:rsidR="009D2AA0" w:rsidRPr="008267EB" w:rsidRDefault="009D2AA0">
      <w:pPr>
        <w:spacing w:line="360" w:lineRule="auto"/>
        <w:jc w:val="both"/>
        <w:rPr>
          <w:rFonts w:ascii="Palatino Linotype" w:eastAsia="Palatino Linotype" w:hAnsi="Palatino Linotype" w:cs="Palatino Linotype"/>
        </w:rPr>
      </w:pPr>
    </w:p>
    <w:p w:rsidR="009D2AA0" w:rsidRPr="008267EB" w:rsidRDefault="00CD00D5">
      <w:pPr>
        <w:spacing w:line="360" w:lineRule="auto"/>
        <w:jc w:val="both"/>
        <w:rPr>
          <w:rFonts w:ascii="Palatino Linotype" w:eastAsia="Palatino Linotype" w:hAnsi="Palatino Linotype" w:cs="Palatino Linotype"/>
        </w:rPr>
      </w:pPr>
      <w:r w:rsidRPr="008267EB">
        <w:rPr>
          <w:rFonts w:ascii="Palatino Linotype" w:eastAsia="Palatino Linotype" w:hAnsi="Palatino Linotype" w:cs="Palatino Linotype"/>
          <w:b/>
          <w:bCs/>
        </w:rPr>
        <w:t>VISTO</w:t>
      </w:r>
      <w:r w:rsidRPr="008267EB">
        <w:rPr>
          <w:rFonts w:ascii="Palatino Linotype" w:eastAsia="Palatino Linotype" w:hAnsi="Palatino Linotype" w:cs="Palatino Linotype"/>
        </w:rPr>
        <w:t xml:space="preserve"> el expediente electrónico formado con motivo del recurso de revisión </w:t>
      </w:r>
      <w:r w:rsidRPr="008267EB">
        <w:rPr>
          <w:rFonts w:ascii="Palatino Linotype" w:eastAsia="Palatino Linotype" w:hAnsi="Palatino Linotype" w:cs="Palatino Linotype"/>
          <w:b/>
          <w:bCs/>
        </w:rPr>
        <w:t xml:space="preserve">09278/INFOEM/IP/RR/2025, </w:t>
      </w:r>
      <w:r w:rsidRPr="008267EB">
        <w:rPr>
          <w:rFonts w:ascii="Palatino Linotype" w:eastAsia="Palatino Linotype" w:hAnsi="Palatino Linotype" w:cs="Palatino Linotype"/>
        </w:rPr>
        <w:t xml:space="preserve">promovido por </w:t>
      </w:r>
      <w:r w:rsidRPr="003962A9">
        <w:rPr>
          <w:rFonts w:ascii="Palatino Linotype" w:eastAsia="Palatino Linotype" w:hAnsi="Palatino Linotype" w:cs="Palatino Linotype"/>
          <w:b/>
        </w:rPr>
        <w:t>un usuario que no proporcionó nombre</w:t>
      </w:r>
      <w:r w:rsidRPr="008267EB">
        <w:rPr>
          <w:rFonts w:ascii="Palatino Linotype" w:eastAsia="Palatino Linotype" w:hAnsi="Palatino Linotype" w:cs="Palatino Linotype"/>
        </w:rPr>
        <w:t xml:space="preserve">, quien en lo sucesivo se identificará como </w:t>
      </w:r>
      <w:r w:rsidRPr="008267EB">
        <w:rPr>
          <w:rFonts w:ascii="Palatino Linotype" w:eastAsia="Palatino Linotype" w:hAnsi="Palatino Linotype" w:cs="Palatino Linotype"/>
          <w:b/>
          <w:bCs/>
        </w:rPr>
        <w:t>EL RECURRENTE</w:t>
      </w:r>
      <w:r w:rsidRPr="008267EB">
        <w:rPr>
          <w:rFonts w:ascii="Palatino Linotype" w:eastAsia="Palatino Linotype" w:hAnsi="Palatino Linotype" w:cs="Palatino Linotype"/>
        </w:rPr>
        <w:t xml:space="preserve">, en contra de la respuesta del </w:t>
      </w:r>
      <w:r w:rsidRPr="008267EB">
        <w:rPr>
          <w:rFonts w:ascii="Palatino Linotype" w:eastAsia="Palatino Linotype" w:hAnsi="Palatino Linotype" w:cs="Palatino Linotype"/>
          <w:b/>
          <w:bCs/>
        </w:rPr>
        <w:t xml:space="preserve">Poder Judicial, </w:t>
      </w:r>
      <w:r w:rsidRPr="008267EB">
        <w:rPr>
          <w:rFonts w:ascii="Palatino Linotype" w:eastAsia="Palatino Linotype" w:hAnsi="Palatino Linotype" w:cs="Palatino Linotype"/>
        </w:rPr>
        <w:t>en adelante el</w:t>
      </w:r>
      <w:r w:rsidRPr="008267EB">
        <w:rPr>
          <w:rFonts w:ascii="Palatino Linotype" w:eastAsia="Palatino Linotype" w:hAnsi="Palatino Linotype" w:cs="Palatino Linotype"/>
          <w:b/>
          <w:bCs/>
        </w:rPr>
        <w:t xml:space="preserve"> SUJETO OBLIGADO</w:t>
      </w:r>
      <w:r w:rsidRPr="008267EB">
        <w:rPr>
          <w:rFonts w:ascii="Palatino Linotype" w:eastAsia="Palatino Linotype" w:hAnsi="Palatino Linotype" w:cs="Palatino Linotype"/>
        </w:rPr>
        <w:t>, por lo que se procede a dictar la presente resolución, con base en los siguientes:</w:t>
      </w:r>
    </w:p>
    <w:p w:rsidR="009D2AA0" w:rsidRPr="008267EB" w:rsidRDefault="009D2AA0">
      <w:pPr>
        <w:spacing w:line="360" w:lineRule="auto"/>
        <w:jc w:val="both"/>
        <w:rPr>
          <w:rFonts w:ascii="Palatino Linotype" w:eastAsia="Palatino Linotype" w:hAnsi="Palatino Linotype" w:cs="Palatino Linotype"/>
          <w:b/>
          <w:bCs/>
        </w:rPr>
      </w:pPr>
    </w:p>
    <w:p w:rsidR="009D2AA0" w:rsidRPr="008267EB" w:rsidRDefault="00CD00D5">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8267EB">
        <w:rPr>
          <w:rFonts w:ascii="Palatino Linotype" w:eastAsia="Palatino Linotype" w:hAnsi="Palatino Linotype" w:cs="Palatino Linotype"/>
          <w:b/>
          <w:bCs/>
        </w:rPr>
        <w:t>A N T E C E D E N T E S</w:t>
      </w:r>
    </w:p>
    <w:p w:rsidR="009D2AA0" w:rsidRPr="008267EB" w:rsidRDefault="009D2AA0">
      <w:pPr>
        <w:spacing w:line="360" w:lineRule="auto"/>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El </w:t>
      </w:r>
      <w:r w:rsidRPr="008267EB">
        <w:rPr>
          <w:rFonts w:ascii="Palatino Linotype" w:eastAsia="Palatino Linotype" w:hAnsi="Palatino Linotype" w:cs="Palatino Linotype"/>
          <w:b/>
          <w:bCs/>
        </w:rPr>
        <w:t>veinte de junio de dos mil veinticinco</w:t>
      </w:r>
      <w:r w:rsidRPr="008267EB">
        <w:rPr>
          <w:rFonts w:ascii="Palatino Linotype" w:eastAsia="Palatino Linotype" w:hAnsi="Palatino Linotype" w:cs="Palatino Linotype"/>
        </w:rPr>
        <w:t xml:space="preserve">, </w:t>
      </w:r>
      <w:r w:rsidRPr="008267EB">
        <w:rPr>
          <w:rFonts w:ascii="Palatino Linotype" w:eastAsia="Palatino Linotype" w:hAnsi="Palatino Linotype" w:cs="Palatino Linotype"/>
          <w:b/>
          <w:bCs/>
        </w:rPr>
        <w:t>EL RECURRENTE,</w:t>
      </w:r>
      <w:r w:rsidRPr="008267EB">
        <w:rPr>
          <w:rFonts w:ascii="Palatino Linotype" w:eastAsia="Palatino Linotype" w:hAnsi="Palatino Linotype" w:cs="Palatino Linotype"/>
        </w:rPr>
        <w:t xml:space="preserve"> ante el </w:t>
      </w:r>
      <w:r w:rsidRPr="008267EB">
        <w:rPr>
          <w:rFonts w:ascii="Palatino Linotype" w:eastAsia="Palatino Linotype" w:hAnsi="Palatino Linotype" w:cs="Palatino Linotype"/>
          <w:b/>
          <w:bCs/>
        </w:rPr>
        <w:t>SUJETO OBLIGADO</w:t>
      </w:r>
      <w:r w:rsidRPr="008267EB">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8267EB">
        <w:rPr>
          <w:rFonts w:ascii="Palatino Linotype" w:eastAsia="Palatino Linotype" w:hAnsi="Palatino Linotype" w:cs="Palatino Linotype"/>
          <w:b/>
          <w:bCs/>
        </w:rPr>
        <w:t xml:space="preserve">00670/PJUDICI/IP/2025, </w:t>
      </w:r>
      <w:r w:rsidRPr="008267EB">
        <w:rPr>
          <w:rFonts w:ascii="Palatino Linotype" w:eastAsia="Palatino Linotype" w:hAnsi="Palatino Linotype" w:cs="Palatino Linotype"/>
        </w:rPr>
        <w:t>en la que se solicitó lo siguiente:</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CD00D5">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8267EB">
        <w:rPr>
          <w:rFonts w:ascii="Palatino Linotype" w:eastAsia="Palatino Linotype" w:hAnsi="Palatino Linotype" w:cs="Palatino Linotype"/>
          <w:i/>
          <w:iCs/>
        </w:rPr>
        <w:t xml:space="preserve">“Buen día, solicito el expediente numero 409/2019 del JUZGADO NOVENO FAMILIAR DE TOLUCA completo en su versión pública , cabe resaltar que no requiero únicamente la sentencia. Gracias.” (Sic) </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Se señaló como modalidad de entrega a través de SAIMEX.  </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El </w:t>
      </w:r>
      <w:r w:rsidRPr="008267EB">
        <w:rPr>
          <w:rFonts w:ascii="Palatino Linotype" w:eastAsia="Palatino Linotype" w:hAnsi="Palatino Linotype" w:cs="Palatino Linotype"/>
          <w:b/>
          <w:bCs/>
        </w:rPr>
        <w:t>diez de julio de dos mil veinticinco</w:t>
      </w:r>
      <w:r w:rsidRPr="008267EB">
        <w:rPr>
          <w:rFonts w:ascii="Palatino Linotype" w:eastAsia="Palatino Linotype" w:hAnsi="Palatino Linotype" w:cs="Palatino Linotype"/>
        </w:rPr>
        <w:t>, el Sujeto Obligado dio respuesta a la solicitud de información en los siguientes términos:</w:t>
      </w:r>
    </w:p>
    <w:tbl>
      <w:tblPr>
        <w:tblStyle w:val="a"/>
        <w:tblW w:w="7462" w:type="dxa"/>
        <w:jc w:val="center"/>
        <w:tblInd w:w="0" w:type="dxa"/>
        <w:tblLayout w:type="fixed"/>
        <w:tblLook w:val="0400" w:firstRow="0" w:lastRow="0" w:firstColumn="0" w:lastColumn="0" w:noHBand="0" w:noVBand="1"/>
      </w:tblPr>
      <w:tblGrid>
        <w:gridCol w:w="7462"/>
      </w:tblGrid>
      <w:tr w:rsidR="009D2AA0" w:rsidRPr="008267EB">
        <w:trPr>
          <w:trHeight w:val="317"/>
          <w:jc w:val="center"/>
        </w:trPr>
        <w:tc>
          <w:tcPr>
            <w:tcW w:w="7462" w:type="dxa"/>
            <w:vAlign w:val="center"/>
          </w:tcPr>
          <w:p w:rsidR="009D2AA0" w:rsidRPr="008267EB" w:rsidRDefault="00CD00D5">
            <w:pPr>
              <w:jc w:val="right"/>
              <w:rPr>
                <w:rFonts w:ascii="Palatino Linotype" w:eastAsia="Palatino Linotype" w:hAnsi="Palatino Linotype" w:cs="Palatino Linotype"/>
                <w:i/>
                <w:iCs/>
              </w:rPr>
            </w:pPr>
            <w:r w:rsidRPr="008267EB">
              <w:rPr>
                <w:rFonts w:ascii="Palatino Linotype" w:eastAsia="Palatino Linotype" w:hAnsi="Palatino Linotype" w:cs="Palatino Linotype"/>
                <w:i/>
                <w:iCs/>
              </w:rPr>
              <w:lastRenderedPageBreak/>
              <w:t>“Metepec, México a 10 de Julio de 2025</w:t>
            </w:r>
          </w:p>
        </w:tc>
      </w:tr>
      <w:tr w:rsidR="009D2AA0" w:rsidRPr="008267EB">
        <w:trPr>
          <w:trHeight w:val="317"/>
          <w:jc w:val="center"/>
        </w:trPr>
        <w:tc>
          <w:tcPr>
            <w:tcW w:w="7462" w:type="dxa"/>
            <w:vAlign w:val="center"/>
          </w:tcPr>
          <w:p w:rsidR="009D2AA0" w:rsidRPr="008267EB" w:rsidRDefault="00CD00D5">
            <w:pPr>
              <w:jc w:val="right"/>
              <w:rPr>
                <w:rFonts w:ascii="Palatino Linotype" w:eastAsia="Palatino Linotype" w:hAnsi="Palatino Linotype" w:cs="Palatino Linotype"/>
                <w:i/>
                <w:iCs/>
              </w:rPr>
            </w:pPr>
            <w:r w:rsidRPr="008267EB">
              <w:rPr>
                <w:rFonts w:ascii="Palatino Linotype" w:eastAsia="Palatino Linotype" w:hAnsi="Palatino Linotype" w:cs="Palatino Linotype"/>
                <w:i/>
                <w:iCs/>
              </w:rPr>
              <w:t>Nombre del solicitante: C. Solicitante</w:t>
            </w:r>
          </w:p>
        </w:tc>
      </w:tr>
      <w:tr w:rsidR="009D2AA0" w:rsidRPr="008267EB">
        <w:trPr>
          <w:trHeight w:val="317"/>
          <w:jc w:val="center"/>
        </w:trPr>
        <w:tc>
          <w:tcPr>
            <w:tcW w:w="7462" w:type="dxa"/>
            <w:vAlign w:val="center"/>
          </w:tcPr>
          <w:p w:rsidR="009D2AA0" w:rsidRPr="008267EB" w:rsidRDefault="00CD00D5">
            <w:pPr>
              <w:jc w:val="right"/>
              <w:rPr>
                <w:rFonts w:ascii="Palatino Linotype" w:eastAsia="Palatino Linotype" w:hAnsi="Palatino Linotype" w:cs="Palatino Linotype"/>
                <w:i/>
                <w:iCs/>
              </w:rPr>
            </w:pPr>
            <w:r w:rsidRPr="008267EB">
              <w:rPr>
                <w:rFonts w:ascii="Palatino Linotype" w:eastAsia="Palatino Linotype" w:hAnsi="Palatino Linotype" w:cs="Palatino Linotype"/>
                <w:i/>
                <w:iCs/>
              </w:rPr>
              <w:t>Folio de la solicitud: 00670/PJUDICI/IP/2025</w:t>
            </w:r>
          </w:p>
        </w:tc>
      </w:tr>
      <w:tr w:rsidR="009D2AA0" w:rsidRPr="008267EB">
        <w:trPr>
          <w:trHeight w:val="158"/>
          <w:jc w:val="center"/>
        </w:trPr>
        <w:tc>
          <w:tcPr>
            <w:tcW w:w="7462" w:type="dxa"/>
            <w:vAlign w:val="center"/>
          </w:tcPr>
          <w:p w:rsidR="009D2AA0" w:rsidRPr="008267EB" w:rsidRDefault="009D2AA0">
            <w:pPr>
              <w:jc w:val="center"/>
              <w:rPr>
                <w:rFonts w:ascii="Palatino Linotype" w:eastAsia="Palatino Linotype" w:hAnsi="Palatino Linotype" w:cs="Palatino Linotype"/>
                <w:i/>
                <w:iCs/>
              </w:rPr>
            </w:pPr>
          </w:p>
        </w:tc>
      </w:tr>
      <w:tr w:rsidR="009D2AA0" w:rsidRPr="008267EB">
        <w:trPr>
          <w:trHeight w:val="396"/>
          <w:jc w:val="center"/>
        </w:trPr>
        <w:tc>
          <w:tcPr>
            <w:tcW w:w="7462" w:type="dxa"/>
            <w:vAlign w:val="center"/>
          </w:tcPr>
          <w:p w:rsidR="009D2AA0" w:rsidRPr="008267EB" w:rsidRDefault="009D2AA0">
            <w:pPr>
              <w:rPr>
                <w:rFonts w:ascii="Palatino Linotype" w:eastAsia="Palatino Linotype" w:hAnsi="Palatino Linotype" w:cs="Palatino Linotype"/>
                <w:i/>
                <w:iCs/>
              </w:rPr>
            </w:pPr>
          </w:p>
        </w:tc>
      </w:tr>
      <w:tr w:rsidR="009D2AA0" w:rsidRPr="008267EB">
        <w:trPr>
          <w:trHeight w:val="158"/>
          <w:jc w:val="center"/>
        </w:trPr>
        <w:tc>
          <w:tcPr>
            <w:tcW w:w="7462" w:type="dxa"/>
            <w:vAlign w:val="center"/>
          </w:tcPr>
          <w:p w:rsidR="009D2AA0" w:rsidRPr="008267EB" w:rsidRDefault="00CD00D5">
            <w:pPr>
              <w:rPr>
                <w:rFonts w:ascii="Palatino Linotype" w:eastAsia="Palatino Linotype" w:hAnsi="Palatino Linotype" w:cs="Palatino Linotype"/>
                <w:i/>
                <w:iCs/>
              </w:rPr>
            </w:pPr>
            <w:r w:rsidRPr="008267EB">
              <w:rPr>
                <w:rFonts w:ascii="Palatino Linotype" w:eastAsia="Palatino Linotype" w:hAnsi="Palatino Linotype" w:cs="Palatino Linotype"/>
                <w:i/>
                <w:iCs/>
              </w:rPr>
              <w:t>Se anexa documento.</w:t>
            </w:r>
          </w:p>
        </w:tc>
      </w:tr>
      <w:tr w:rsidR="009D2AA0" w:rsidRPr="008267EB">
        <w:trPr>
          <w:trHeight w:val="396"/>
          <w:jc w:val="center"/>
        </w:trPr>
        <w:tc>
          <w:tcPr>
            <w:tcW w:w="7462" w:type="dxa"/>
            <w:vAlign w:val="center"/>
          </w:tcPr>
          <w:p w:rsidR="009D2AA0" w:rsidRPr="008267EB" w:rsidRDefault="009D2AA0">
            <w:pPr>
              <w:rPr>
                <w:rFonts w:ascii="Palatino Linotype" w:eastAsia="Palatino Linotype" w:hAnsi="Palatino Linotype" w:cs="Palatino Linotype"/>
                <w:i/>
                <w:iCs/>
              </w:rPr>
            </w:pPr>
          </w:p>
        </w:tc>
      </w:tr>
      <w:tr w:rsidR="009D2AA0" w:rsidRPr="008267EB">
        <w:trPr>
          <w:trHeight w:val="158"/>
          <w:jc w:val="center"/>
        </w:trPr>
        <w:tc>
          <w:tcPr>
            <w:tcW w:w="7462" w:type="dxa"/>
            <w:vAlign w:val="center"/>
          </w:tcPr>
          <w:p w:rsidR="009D2AA0" w:rsidRPr="008267EB" w:rsidRDefault="009D2AA0">
            <w:pPr>
              <w:jc w:val="center"/>
              <w:rPr>
                <w:rFonts w:ascii="Palatino Linotype" w:eastAsia="Palatino Linotype" w:hAnsi="Palatino Linotype" w:cs="Palatino Linotype"/>
                <w:i/>
                <w:iCs/>
              </w:rPr>
            </w:pPr>
          </w:p>
        </w:tc>
      </w:tr>
      <w:tr w:rsidR="009D2AA0" w:rsidRPr="008267EB">
        <w:trPr>
          <w:trHeight w:val="158"/>
          <w:jc w:val="center"/>
        </w:trPr>
        <w:tc>
          <w:tcPr>
            <w:tcW w:w="7462" w:type="dxa"/>
            <w:vAlign w:val="center"/>
          </w:tcPr>
          <w:p w:rsidR="009D2AA0" w:rsidRPr="008267EB" w:rsidRDefault="009D2AA0">
            <w:pPr>
              <w:rPr>
                <w:rFonts w:ascii="Palatino Linotype" w:eastAsia="Palatino Linotype" w:hAnsi="Palatino Linotype" w:cs="Palatino Linotype"/>
                <w:i/>
                <w:iCs/>
              </w:rPr>
            </w:pPr>
          </w:p>
        </w:tc>
      </w:tr>
      <w:tr w:rsidR="009D2AA0" w:rsidRPr="008267EB">
        <w:trPr>
          <w:trHeight w:val="158"/>
          <w:jc w:val="center"/>
        </w:trPr>
        <w:tc>
          <w:tcPr>
            <w:tcW w:w="7462" w:type="dxa"/>
            <w:vAlign w:val="center"/>
          </w:tcPr>
          <w:p w:rsidR="009D2AA0" w:rsidRPr="008267EB" w:rsidRDefault="00CD00D5">
            <w:pPr>
              <w:rPr>
                <w:rFonts w:ascii="Palatino Linotype" w:eastAsia="Palatino Linotype" w:hAnsi="Palatino Linotype" w:cs="Palatino Linotype"/>
                <w:i/>
                <w:iCs/>
              </w:rPr>
            </w:pPr>
            <w:r w:rsidRPr="008267EB">
              <w:rPr>
                <w:rFonts w:ascii="Palatino Linotype" w:eastAsia="Palatino Linotype" w:hAnsi="Palatino Linotype" w:cs="Palatino Linotype"/>
                <w:i/>
                <w:iCs/>
              </w:rPr>
              <w:t>ATENTAMENTE</w:t>
            </w:r>
          </w:p>
        </w:tc>
      </w:tr>
      <w:tr w:rsidR="009D2AA0" w:rsidRPr="008267EB">
        <w:trPr>
          <w:trHeight w:val="238"/>
          <w:jc w:val="center"/>
        </w:trPr>
        <w:tc>
          <w:tcPr>
            <w:tcW w:w="7462" w:type="dxa"/>
            <w:vAlign w:val="center"/>
          </w:tcPr>
          <w:p w:rsidR="009D2AA0" w:rsidRPr="008267EB" w:rsidRDefault="009D2AA0">
            <w:pPr>
              <w:rPr>
                <w:rFonts w:ascii="Palatino Linotype" w:eastAsia="Palatino Linotype" w:hAnsi="Palatino Linotype" w:cs="Palatino Linotype"/>
                <w:i/>
                <w:iCs/>
              </w:rPr>
            </w:pPr>
          </w:p>
        </w:tc>
      </w:tr>
      <w:tr w:rsidR="009D2AA0" w:rsidRPr="008267EB">
        <w:trPr>
          <w:trHeight w:val="158"/>
          <w:jc w:val="center"/>
        </w:trPr>
        <w:tc>
          <w:tcPr>
            <w:tcW w:w="7462" w:type="dxa"/>
            <w:vAlign w:val="center"/>
          </w:tcPr>
          <w:p w:rsidR="009D2AA0" w:rsidRPr="008267EB" w:rsidRDefault="00CD00D5">
            <w:pPr>
              <w:rPr>
                <w:rFonts w:ascii="Palatino Linotype" w:eastAsia="Palatino Linotype" w:hAnsi="Palatino Linotype" w:cs="Palatino Linotype"/>
                <w:i/>
                <w:iCs/>
              </w:rPr>
            </w:pPr>
            <w:r w:rsidRPr="008267EB">
              <w:rPr>
                <w:rFonts w:ascii="Palatino Linotype" w:eastAsia="Palatino Linotype" w:hAnsi="Palatino Linotype" w:cs="Palatino Linotype"/>
                <w:i/>
                <w:iCs/>
              </w:rPr>
              <w:t>L. EN D. PEDRO J. ISAAC GONZÁLEZ”</w:t>
            </w:r>
          </w:p>
        </w:tc>
      </w:tr>
    </w:tbl>
    <w:p w:rsidR="009D2AA0" w:rsidRPr="008267EB" w:rsidRDefault="009D2AA0">
      <w:pPr>
        <w:spacing w:line="360" w:lineRule="auto"/>
        <w:jc w:val="both"/>
        <w:rPr>
          <w:rFonts w:ascii="Palatino Linotype" w:eastAsia="Palatino Linotype" w:hAnsi="Palatino Linotype" w:cs="Palatino Linotype"/>
        </w:rPr>
      </w:pPr>
    </w:p>
    <w:p w:rsidR="009D2AA0" w:rsidRPr="008267EB" w:rsidRDefault="00CD00D5" w:rsidP="003962A9">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A la respuesta se adjuntó el archivo </w:t>
      </w:r>
      <w:hyperlink r:id="rId8">
        <w:r w:rsidRPr="008267EB">
          <w:rPr>
            <w:rFonts w:ascii="Palatino Linotype" w:eastAsia="Palatino Linotype" w:hAnsi="Palatino Linotype" w:cs="Palatino Linotype"/>
            <w:b/>
            <w:bCs/>
            <w:color w:val="000000"/>
            <w:u w:val="single"/>
          </w:rPr>
          <w:t>RESPUESTA 670-2025.pdf</w:t>
        </w:r>
      </w:hyperlink>
      <w:r w:rsidRPr="008267EB">
        <w:rPr>
          <w:rFonts w:ascii="Palatino Linotype" w:eastAsia="Palatino Linotype" w:hAnsi="Palatino Linotype" w:cs="Palatino Linotype"/>
        </w:rPr>
        <w:t>, en el que se advierte documento suscrito por el Titular de la Unidad de Transparencia, quien señaló:</w:t>
      </w:r>
    </w:p>
    <w:p w:rsidR="009D2AA0" w:rsidRPr="008267EB" w:rsidRDefault="009D2AA0">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9D2AA0" w:rsidRPr="008267EB" w:rsidRDefault="00CD00D5">
      <w:pPr>
        <w:spacing w:line="276"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b/>
          <w:bCs/>
          <w:i/>
          <w:iCs/>
          <w:color w:val="000000"/>
        </w:rPr>
        <w:t xml:space="preserve">“El expediente número 409/2019 </w:t>
      </w:r>
      <w:r w:rsidRPr="008267EB">
        <w:rPr>
          <w:rFonts w:ascii="Palatino Linotype" w:eastAsia="Palatino Linotype" w:hAnsi="Palatino Linotype" w:cs="Palatino Linotype"/>
          <w:i/>
          <w:iCs/>
          <w:color w:val="000000"/>
        </w:rPr>
        <w:t>del Juzgado Noveno Familiar del Distrito Judicial de Toluca, Estado de México, el cual cuenta con 868 fojas, de las cuales cuenta 688 fojas antes de la sentencia, 37 fojas de sentencia y después de la sentencia 143 fojas, el cual se encuentra en resguardo físico y se encuentra firme.</w:t>
      </w:r>
    </w:p>
    <w:p w:rsidR="009D2AA0" w:rsidRPr="008267EB" w:rsidRDefault="009D2AA0">
      <w:pPr>
        <w:spacing w:line="276" w:lineRule="auto"/>
        <w:ind w:left="851" w:right="822"/>
        <w:jc w:val="both"/>
        <w:rPr>
          <w:rFonts w:ascii="Palatino Linotype" w:eastAsia="Palatino Linotype" w:hAnsi="Palatino Linotype" w:cs="Palatino Linotype"/>
          <w:i/>
          <w:iCs/>
          <w:color w:val="000000"/>
        </w:rPr>
      </w:pPr>
    </w:p>
    <w:p w:rsidR="009D2AA0" w:rsidRPr="008267EB" w:rsidRDefault="00CD00D5">
      <w:pPr>
        <w:spacing w:line="276" w:lineRule="auto"/>
        <w:ind w:left="851" w:right="822"/>
        <w:jc w:val="both"/>
        <w:rPr>
          <w:rFonts w:ascii="Palatino Linotype" w:eastAsia="Palatino Linotype" w:hAnsi="Palatino Linotype" w:cs="Palatino Linotype"/>
          <w:i/>
          <w:iCs/>
          <w:color w:val="0563C2"/>
        </w:rPr>
      </w:pPr>
      <w:r w:rsidRPr="008267EB">
        <w:rPr>
          <w:rFonts w:ascii="Palatino Linotype" w:eastAsia="Palatino Linotype" w:hAnsi="Palatino Linotype" w:cs="Palatino Linotype"/>
          <w:i/>
          <w:iCs/>
          <w:color w:val="000000"/>
        </w:rPr>
        <w:t xml:space="preserve">Lo cual puede consultarse en el siguiente link </w:t>
      </w:r>
      <w:r w:rsidRPr="008267EB">
        <w:rPr>
          <w:rFonts w:ascii="Palatino Linotype" w:eastAsia="Palatino Linotype" w:hAnsi="Palatino Linotype" w:cs="Palatino Linotype"/>
          <w:i/>
          <w:iCs/>
          <w:color w:val="0563C2"/>
        </w:rPr>
        <w:t>https://cloud2.pjedomex.gob.mx/index.php/s/s6g6A4OSOlzsthm</w:t>
      </w:r>
    </w:p>
    <w:p w:rsidR="009D2AA0" w:rsidRPr="008267EB" w:rsidRDefault="00CD00D5">
      <w:pPr>
        <w:spacing w:line="276"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Contraseña Pj1234567</w:t>
      </w:r>
    </w:p>
    <w:p w:rsidR="009D2AA0" w:rsidRPr="008267EB" w:rsidRDefault="009D2AA0">
      <w:pPr>
        <w:spacing w:line="276" w:lineRule="auto"/>
        <w:ind w:left="851" w:right="822"/>
        <w:jc w:val="both"/>
        <w:rPr>
          <w:rFonts w:ascii="Palatino Linotype" w:eastAsia="Palatino Linotype" w:hAnsi="Palatino Linotype" w:cs="Palatino Linotype"/>
          <w:i/>
          <w:iCs/>
          <w:color w:val="000000"/>
        </w:rPr>
      </w:pPr>
    </w:p>
    <w:p w:rsidR="009D2AA0" w:rsidRPr="008267EB" w:rsidRDefault="00CD00D5">
      <w:pPr>
        <w:spacing w:line="276"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 xml:space="preserve">Lo anterior, cobra relevancia toda vez que, con fundamento en el artículo 17 de la Ley de Transparencia y Acceso a la Información Pública del Estado de México y Municipios, la búsqueda y acceso a la información es gratuita y solo se cubrirán los gastos de reproducción, por la modalidad de entrega solicitada, de conformidad con los derechos, productos y aprovechamientos establecidos en la legislación aplicable; en este sentido, se hace de su conocimiento que los expedientes físicos a los cuales desea acceder solo se encuentra de forma impresa por lo que para poder entregarlo, es </w:t>
      </w:r>
      <w:r w:rsidRPr="008267EB">
        <w:rPr>
          <w:rFonts w:ascii="Palatino Linotype" w:eastAsia="Palatino Linotype" w:hAnsi="Palatino Linotype" w:cs="Palatino Linotype"/>
          <w:i/>
          <w:iCs/>
          <w:color w:val="000000"/>
        </w:rPr>
        <w:lastRenderedPageBreak/>
        <w:t>necesario fotocopiar el documento para testar en la copia y posteriormente digitalizarlo. Aunado a ello, los artículos 174 y 175 de la Ley en comento, establecen que la información deberá ser entregada sin costo, cuando implique la entrega de no más de veinte hojas simples; en los casos de existir costo para obtener la información, este deberá cubrirse de manera previa a la entrega y no podrá ser superior a los costos de los materiales utilizados en la reproducción de la información.</w:t>
      </w:r>
    </w:p>
    <w:p w:rsidR="009D2AA0" w:rsidRPr="008267EB" w:rsidRDefault="009D2AA0">
      <w:pPr>
        <w:spacing w:line="276" w:lineRule="auto"/>
        <w:ind w:left="851" w:right="822"/>
        <w:jc w:val="both"/>
        <w:rPr>
          <w:rFonts w:ascii="Palatino Linotype" w:eastAsia="Palatino Linotype" w:hAnsi="Palatino Linotype" w:cs="Palatino Linotype"/>
          <w:i/>
          <w:iCs/>
          <w:color w:val="000000"/>
        </w:rPr>
      </w:pPr>
    </w:p>
    <w:p w:rsidR="009D2AA0" w:rsidRPr="008267EB" w:rsidRDefault="00CD00D5">
      <w:pPr>
        <w:spacing w:line="276"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 xml:space="preserve">Bajo este contexto, se advierte que </w:t>
      </w:r>
      <w:r w:rsidRPr="008267EB">
        <w:rPr>
          <w:rFonts w:ascii="Palatino Linotype" w:eastAsia="Palatino Linotype" w:hAnsi="Palatino Linotype" w:cs="Palatino Linotype"/>
          <w:b/>
          <w:bCs/>
          <w:i/>
          <w:iCs/>
          <w:color w:val="000000"/>
        </w:rPr>
        <w:t xml:space="preserve">el expediente 409/2019 </w:t>
      </w:r>
      <w:r w:rsidRPr="008267EB">
        <w:rPr>
          <w:rFonts w:ascii="Palatino Linotype" w:eastAsia="Palatino Linotype" w:hAnsi="Palatino Linotype" w:cs="Palatino Linotype"/>
          <w:i/>
          <w:iCs/>
          <w:color w:val="000000"/>
        </w:rPr>
        <w:t>del juzgado antes mencionado, sobrepasa las veinte hojas simples que se entregan de manera gratuita, por lo cual es necesario cubrir de previamente el pago por la reproducción del expediente solicitado, de conformidad a lo establecido por el Acuerdo del Pleno del Consejo de la Judicatura del Estado de México, del diez de febrero de dos mil veinticinco, por el que se autoriza el establecimiento de las cuotas de recuperación para el Ejercicio Fiscal 2025, de los Servicios Proporcionados por el Poder Judicial del Estado de México, para áreas internas y externas, el costo que queda desglosado de la manera siguiente:</w:t>
      </w:r>
    </w:p>
    <w:p w:rsidR="009D2AA0" w:rsidRPr="008267EB" w:rsidRDefault="009D2AA0">
      <w:pPr>
        <w:spacing w:line="276" w:lineRule="auto"/>
        <w:ind w:left="851" w:right="822"/>
        <w:jc w:val="both"/>
        <w:rPr>
          <w:rFonts w:ascii="Palatino Linotype" w:eastAsia="Palatino Linotype" w:hAnsi="Palatino Linotype" w:cs="Palatino Linotype"/>
          <w:i/>
          <w:iCs/>
          <w:color w:val="000000"/>
        </w:rPr>
      </w:pPr>
    </w:p>
    <w:p w:rsidR="009D2AA0" w:rsidRPr="008267EB" w:rsidRDefault="00CD00D5">
      <w:pPr>
        <w:spacing w:line="276"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noProof/>
          <w:color w:val="000000"/>
        </w:rPr>
        <w:drawing>
          <wp:inline distT="0" distB="0" distL="0" distR="0">
            <wp:extent cx="4858428" cy="108600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858428" cy="1086002"/>
                    </a:xfrm>
                    <a:prstGeom prst="rect">
                      <a:avLst/>
                    </a:prstGeom>
                    <a:ln/>
                  </pic:spPr>
                </pic:pic>
              </a:graphicData>
            </a:graphic>
          </wp:inline>
        </w:drawing>
      </w:r>
    </w:p>
    <w:p w:rsidR="009D2AA0" w:rsidRPr="008267EB" w:rsidRDefault="009D2AA0">
      <w:pPr>
        <w:spacing w:line="276" w:lineRule="auto"/>
        <w:ind w:left="851" w:right="822"/>
        <w:jc w:val="both"/>
        <w:rPr>
          <w:rFonts w:ascii="Palatino Linotype" w:eastAsia="Palatino Linotype" w:hAnsi="Palatino Linotype" w:cs="Palatino Linotype"/>
          <w:i/>
          <w:iCs/>
          <w:color w:val="000000"/>
        </w:rPr>
      </w:pPr>
    </w:p>
    <w:p w:rsidR="009D2AA0" w:rsidRPr="008267EB" w:rsidRDefault="00CD00D5">
      <w:pPr>
        <w:spacing w:line="276"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 xml:space="preserve">Finalmente es preciso mencionar, que los datos personales contenidos en el expediente 409/2019 del Juzgado Noveno Familiar del Distrito Judicial de Toluca, Estado de México, fueron clasificados como confidenciales por el Comité de Transparencia y Justicia Abierta del Poder Judicial del Estado de México mediante Sesión Ordinaria 07/2025, la cual podrá ser consultada en el link: </w:t>
      </w:r>
      <w:r w:rsidRPr="008267EB">
        <w:rPr>
          <w:rFonts w:ascii="Palatino Linotype" w:eastAsia="Palatino Linotype" w:hAnsi="Palatino Linotype" w:cs="Palatino Linotype"/>
          <w:i/>
          <w:iCs/>
          <w:color w:val="0563C2"/>
        </w:rPr>
        <w:t>https://www.pjedomex.gob.mx/transparencia/8_actas_comite”</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El </w:t>
      </w:r>
      <w:r w:rsidRPr="008267EB">
        <w:rPr>
          <w:rFonts w:ascii="Palatino Linotype" w:eastAsia="Palatino Linotype" w:hAnsi="Palatino Linotype" w:cs="Palatino Linotype"/>
          <w:b/>
          <w:bCs/>
        </w:rPr>
        <w:t>siete de agosto de dos mil veinticinco</w:t>
      </w:r>
      <w:r w:rsidRPr="008267EB">
        <w:rPr>
          <w:rFonts w:ascii="Palatino Linotype" w:eastAsia="Palatino Linotype" w:hAnsi="Palatino Linotype" w:cs="Palatino Linotype"/>
        </w:rPr>
        <w:t xml:space="preserve">, </w:t>
      </w:r>
      <w:r w:rsidRPr="008267EB">
        <w:rPr>
          <w:rFonts w:ascii="Palatino Linotype" w:eastAsia="Palatino Linotype" w:hAnsi="Palatino Linotype" w:cs="Palatino Linotype"/>
          <w:b/>
          <w:bCs/>
        </w:rPr>
        <w:t>El Recurrente</w:t>
      </w:r>
      <w:r w:rsidRPr="008267EB">
        <w:rPr>
          <w:rFonts w:ascii="Palatino Linotype" w:eastAsia="Palatino Linotype" w:hAnsi="Palatino Linotype" w:cs="Palatino Linotype"/>
        </w:rPr>
        <w:t xml:space="preserve"> interpuso el recurso de revisión, en contra de la respuesta, señalando como:</w:t>
      </w:r>
    </w:p>
    <w:p w:rsidR="009D2AA0" w:rsidRPr="008267EB" w:rsidRDefault="00CD00D5">
      <w:pPr>
        <w:numPr>
          <w:ilvl w:val="0"/>
          <w:numId w:val="1"/>
        </w:numPr>
        <w:spacing w:line="360" w:lineRule="auto"/>
        <w:ind w:left="851" w:right="822" w:firstLine="0"/>
        <w:jc w:val="both"/>
      </w:pPr>
      <w:r w:rsidRPr="008267EB">
        <w:rPr>
          <w:rFonts w:ascii="Palatino Linotype" w:eastAsia="Palatino Linotype" w:hAnsi="Palatino Linotype" w:cs="Palatino Linotype"/>
          <w:b/>
          <w:bCs/>
        </w:rPr>
        <w:lastRenderedPageBreak/>
        <w:t>Acto impugnado</w:t>
      </w:r>
      <w:r w:rsidRPr="008267EB">
        <w:rPr>
          <w:rFonts w:ascii="Palatino Linotype" w:eastAsia="Palatino Linotype" w:hAnsi="Palatino Linotype" w:cs="Palatino Linotype"/>
          <w:b/>
          <w:bCs/>
          <w:i/>
          <w:iCs/>
        </w:rPr>
        <w:t>:</w:t>
      </w:r>
      <w:r w:rsidRPr="008267EB">
        <w:rPr>
          <w:rFonts w:ascii="Palatino Linotype" w:eastAsia="Palatino Linotype" w:hAnsi="Palatino Linotype" w:cs="Palatino Linotype"/>
          <w:i/>
          <w:iCs/>
        </w:rPr>
        <w:t xml:space="preserve"> "</w:t>
      </w:r>
      <w:r w:rsidRPr="008267EB">
        <w:rPr>
          <w:rFonts w:ascii="Verdana" w:eastAsia="Verdana" w:hAnsi="Verdana" w:cs="Verdana"/>
          <w:color w:val="000000"/>
        </w:rPr>
        <w:t xml:space="preserve"> </w:t>
      </w:r>
      <w:r w:rsidRPr="008267EB">
        <w:rPr>
          <w:rFonts w:ascii="Palatino Linotype" w:eastAsia="Palatino Linotype" w:hAnsi="Palatino Linotype" w:cs="Palatino Linotype"/>
          <w:i/>
          <w:iCs/>
        </w:rPr>
        <w:t>Información incompleta" (Sic)</w:t>
      </w:r>
    </w:p>
    <w:p w:rsidR="009D2AA0" w:rsidRPr="008267EB" w:rsidRDefault="009D2AA0">
      <w:pPr>
        <w:spacing w:line="360" w:lineRule="auto"/>
        <w:ind w:left="851" w:right="822"/>
        <w:jc w:val="both"/>
      </w:pPr>
    </w:p>
    <w:p w:rsidR="009D2AA0" w:rsidRPr="008267EB" w:rsidRDefault="00CD00D5">
      <w:pPr>
        <w:numPr>
          <w:ilvl w:val="0"/>
          <w:numId w:val="1"/>
        </w:numPr>
        <w:spacing w:line="360" w:lineRule="auto"/>
        <w:ind w:left="851" w:right="822" w:firstLine="0"/>
        <w:jc w:val="both"/>
        <w:rPr>
          <w:rFonts w:ascii="Palatino Linotype" w:eastAsia="Palatino Linotype" w:hAnsi="Palatino Linotype" w:cs="Palatino Linotype"/>
        </w:rPr>
      </w:pPr>
      <w:r w:rsidRPr="008267EB">
        <w:rPr>
          <w:rFonts w:ascii="Palatino Linotype" w:eastAsia="Palatino Linotype" w:hAnsi="Palatino Linotype" w:cs="Palatino Linotype"/>
          <w:b/>
          <w:bCs/>
        </w:rPr>
        <w:t xml:space="preserve">Razones o Motivos de inconformidad: </w:t>
      </w:r>
      <w:r w:rsidRPr="008267EB">
        <w:rPr>
          <w:rFonts w:ascii="Palatino Linotype" w:eastAsia="Palatino Linotype" w:hAnsi="Palatino Linotype" w:cs="Palatino Linotype"/>
          <w:i/>
          <w:iCs/>
        </w:rPr>
        <w:t>"</w:t>
      </w:r>
      <w:r w:rsidRPr="008267EB">
        <w:rPr>
          <w:rFonts w:ascii="Verdana" w:eastAsia="Verdana" w:hAnsi="Verdana" w:cs="Verdana"/>
          <w:color w:val="000000"/>
        </w:rPr>
        <w:t xml:space="preserve"> </w:t>
      </w:r>
      <w:r w:rsidRPr="008267EB">
        <w:rPr>
          <w:rFonts w:ascii="Palatino Linotype" w:eastAsia="Palatino Linotype" w:hAnsi="Palatino Linotype" w:cs="Palatino Linotype"/>
          <w:i/>
          <w:iCs/>
        </w:rPr>
        <w:t>El acceso a la información es gratuito, y señalan un costo excesivo para acceder a todo el documento, aunado a que la modalidad de entrega es vía SAIMEX, lo cual resulta ocioso el cobro por copias simples, pudiendo realizar el tratamiento de la información de manera electrónica, previo escaneo sin tener que fotocopiar el documento." (Sic)</w:t>
      </w:r>
    </w:p>
    <w:p w:rsidR="009D2AA0" w:rsidRPr="008267EB" w:rsidRDefault="009D2AA0">
      <w:pPr>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8267EB">
        <w:rPr>
          <w:rFonts w:ascii="Palatino Linotype" w:eastAsia="Palatino Linotype" w:hAnsi="Palatino Linotype" w:cs="Palatino Linotype"/>
          <w:b/>
          <w:bCs/>
        </w:rPr>
        <w:t xml:space="preserve">Ley de Transparencia y Acceso a la Información Pública del Estado de México y Municipios </w:t>
      </w:r>
      <w:r w:rsidRPr="008267EB">
        <w:rPr>
          <w:rFonts w:ascii="Palatino Linotype" w:eastAsia="Palatino Linotype" w:hAnsi="Palatino Linotype" w:cs="Palatino Linotype"/>
        </w:rPr>
        <w:t xml:space="preserve">se turna a la </w:t>
      </w:r>
      <w:r w:rsidRPr="008267EB">
        <w:rPr>
          <w:rFonts w:ascii="Palatino Linotype" w:eastAsia="Palatino Linotype" w:hAnsi="Palatino Linotype" w:cs="Palatino Linotype"/>
          <w:b/>
          <w:bCs/>
        </w:rPr>
        <w:t xml:space="preserve">Comisionada María del Rosario Mejía Ayala, </w:t>
      </w:r>
      <w:r w:rsidRPr="008267EB">
        <w:rPr>
          <w:rFonts w:ascii="Palatino Linotype" w:eastAsia="Palatino Linotype" w:hAnsi="Palatino Linotype" w:cs="Palatino Linotype"/>
        </w:rPr>
        <w:t xml:space="preserve">para su análisis. </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Pr="008267EB">
        <w:rPr>
          <w:rFonts w:ascii="Palatino Linotype" w:eastAsia="Palatino Linotype" w:hAnsi="Palatino Linotype" w:cs="Palatino Linotype"/>
          <w:b/>
          <w:bCs/>
        </w:rPr>
        <w:t>doce de agosto de dos mil veinticinco</w:t>
      </w:r>
      <w:r w:rsidRPr="008267EB">
        <w:rPr>
          <w:rFonts w:ascii="Palatino Linotype" w:eastAsia="Palatino Linotype" w:hAnsi="Palatino Linotype" w:cs="Palatino Linotype"/>
        </w:rPr>
        <w:t xml:space="preserve">, puso a disposición de las partes el expediente electrónico vía </w:t>
      </w:r>
      <w:r w:rsidRPr="008267EB">
        <w:rPr>
          <w:rFonts w:ascii="Palatino Linotype" w:eastAsia="Palatino Linotype" w:hAnsi="Palatino Linotype" w:cs="Palatino Linotype"/>
          <w:b/>
          <w:bCs/>
        </w:rPr>
        <w:t xml:space="preserve">SAIMEX </w:t>
      </w:r>
      <w:r w:rsidRPr="008267E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8267EB">
        <w:rPr>
          <w:rFonts w:ascii="Palatino Linotype" w:eastAsia="Palatino Linotype" w:hAnsi="Palatino Linotype" w:cs="Palatino Linotype"/>
          <w:b/>
          <w:bCs/>
        </w:rPr>
        <w:t>SUJETO OBLIGADO</w:t>
      </w:r>
      <w:r w:rsidRPr="008267EB">
        <w:rPr>
          <w:rFonts w:ascii="Palatino Linotype" w:eastAsia="Palatino Linotype" w:hAnsi="Palatino Linotype" w:cs="Palatino Linotype"/>
        </w:rPr>
        <w:t xml:space="preserve"> presentará el informe justificado procedente. </w:t>
      </w:r>
    </w:p>
    <w:p w:rsidR="009D2AA0" w:rsidRPr="008267EB" w:rsidRDefault="009D2AA0">
      <w:pPr>
        <w:pBdr>
          <w:top w:val="nil"/>
          <w:left w:val="nil"/>
          <w:bottom w:val="nil"/>
          <w:right w:val="nil"/>
          <w:between w:val="nil"/>
        </w:pBdr>
        <w:ind w:left="720"/>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rPr>
      </w:pPr>
      <w:r w:rsidRPr="008267EB">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sidRPr="008267EB">
        <w:rPr>
          <w:rFonts w:ascii="Palatino Linotype" w:eastAsia="Palatino Linotype" w:hAnsi="Palatino Linotype" w:cs="Palatino Linotype"/>
          <w:b/>
          <w:bCs/>
        </w:rPr>
        <w:t>veintiuno de agosto de dos mil veinticinco</w:t>
      </w:r>
      <w:r w:rsidRPr="008267EB">
        <w:rPr>
          <w:rFonts w:ascii="Palatino Linotype" w:eastAsia="Palatino Linotype" w:hAnsi="Palatino Linotype" w:cs="Palatino Linotype"/>
        </w:rPr>
        <w:t xml:space="preserve">, mismo que se puso a la vista el </w:t>
      </w:r>
      <w:r w:rsidRPr="008267EB">
        <w:rPr>
          <w:rFonts w:ascii="Palatino Linotype" w:eastAsia="Palatino Linotype" w:hAnsi="Palatino Linotype" w:cs="Palatino Linotype"/>
          <w:b/>
          <w:bCs/>
        </w:rPr>
        <w:t>diecisiete de febrero del mismo año</w:t>
      </w:r>
      <w:r w:rsidRPr="008267EB">
        <w:rPr>
          <w:rFonts w:ascii="Palatino Linotype" w:eastAsia="Palatino Linotype" w:hAnsi="Palatino Linotype" w:cs="Palatino Linotype"/>
        </w:rPr>
        <w:t xml:space="preserve"> y que consta de los archivos que se describen enseguida:</w:t>
      </w:r>
    </w:p>
    <w:p w:rsidR="009D2AA0" w:rsidRPr="008267EB" w:rsidRDefault="009D2AA0">
      <w:pPr>
        <w:pBdr>
          <w:top w:val="nil"/>
          <w:left w:val="nil"/>
          <w:bottom w:val="nil"/>
          <w:right w:val="nil"/>
          <w:between w:val="nil"/>
        </w:pBdr>
        <w:ind w:left="720"/>
        <w:rPr>
          <w:rFonts w:ascii="Palatino Linotype" w:eastAsia="Palatino Linotype" w:hAnsi="Palatino Linotype" w:cs="Palatino Linotype"/>
          <w:b/>
          <w:bCs/>
          <w:i/>
          <w:iCs/>
          <w:color w:val="000000"/>
        </w:rPr>
      </w:pPr>
    </w:p>
    <w:p w:rsidR="009D2AA0" w:rsidRPr="008267EB" w:rsidRDefault="006444C4">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0">
        <w:r w:rsidR="00CD00D5" w:rsidRPr="008267EB">
          <w:rPr>
            <w:rFonts w:ascii="Palatino Linotype" w:eastAsia="Palatino Linotype" w:hAnsi="Palatino Linotype" w:cs="Palatino Linotype"/>
            <w:b/>
            <w:bCs/>
            <w:color w:val="000000"/>
            <w:u w:val="single"/>
          </w:rPr>
          <w:t>Informe Justif RR 9278 25.pdf</w:t>
        </w:r>
      </w:hyperlink>
      <w:r w:rsidR="00CD00D5" w:rsidRPr="008267EB">
        <w:rPr>
          <w:rFonts w:ascii="Palatino Linotype" w:eastAsia="Palatino Linotype" w:hAnsi="Palatino Linotype" w:cs="Palatino Linotype"/>
          <w:color w:val="000000"/>
        </w:rPr>
        <w:t xml:space="preserve">: informe justificado suscrito por el Titular de la Unidad de Transparencia, quien de forma medular ratificó su respuesta. </w:t>
      </w:r>
    </w:p>
    <w:p w:rsidR="009D2AA0" w:rsidRPr="008267EB" w:rsidRDefault="006444C4">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1">
        <w:r w:rsidR="00CD00D5" w:rsidRPr="008267EB">
          <w:rPr>
            <w:rFonts w:ascii="Palatino Linotype" w:eastAsia="Palatino Linotype" w:hAnsi="Palatino Linotype" w:cs="Palatino Linotype"/>
            <w:b/>
            <w:bCs/>
            <w:color w:val="000000"/>
            <w:u w:val="single"/>
          </w:rPr>
          <w:t>GUIA PARA OBTENER HOJA DE AYUDA 2025.pdf</w:t>
        </w:r>
      </w:hyperlink>
      <w:r w:rsidR="00CD00D5" w:rsidRPr="008267EB">
        <w:rPr>
          <w:rFonts w:ascii="Palatino Linotype" w:eastAsia="Palatino Linotype" w:hAnsi="Palatino Linotype" w:cs="Palatino Linotype"/>
          <w:color w:val="000000"/>
        </w:rPr>
        <w:t xml:space="preserve">: documento con una guía para obtener hoja de ayuda para el pago de la información. </w:t>
      </w:r>
    </w:p>
    <w:p w:rsidR="009D2AA0" w:rsidRPr="008267EB" w:rsidRDefault="006444C4">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hyperlink r:id="rId12">
        <w:r w:rsidR="00CD00D5" w:rsidRPr="008267EB">
          <w:rPr>
            <w:rFonts w:ascii="Palatino Linotype" w:eastAsia="Palatino Linotype" w:hAnsi="Palatino Linotype" w:cs="Palatino Linotype"/>
            <w:b/>
            <w:bCs/>
            <w:color w:val="000000"/>
            <w:u w:val="single"/>
          </w:rPr>
          <w:t>acuerdo cuotas recuperación.pdf</w:t>
        </w:r>
      </w:hyperlink>
      <w:r w:rsidR="00CD00D5" w:rsidRPr="008267EB">
        <w:rPr>
          <w:rFonts w:ascii="Palatino Linotype" w:eastAsia="Palatino Linotype" w:hAnsi="Palatino Linotype" w:cs="Palatino Linotype"/>
          <w:color w:val="000000"/>
        </w:rPr>
        <w:t xml:space="preserve">: acuerdo del Pleno del Consejo de la Judicatura del Poder Judicial del Estado de México, por el que se autorizan las cuotas de recuperación de los servicios proporcionados por el Poder Judicial del Estado de México. </w:t>
      </w:r>
    </w:p>
    <w:p w:rsidR="009D2AA0" w:rsidRPr="008267EB" w:rsidRDefault="009D2AA0">
      <w:pPr>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El </w:t>
      </w:r>
      <w:r w:rsidRPr="008267EB">
        <w:rPr>
          <w:rFonts w:ascii="Palatino Linotype" w:eastAsia="Palatino Linotype" w:hAnsi="Palatino Linotype" w:cs="Palatino Linotype"/>
          <w:b/>
          <w:bCs/>
        </w:rPr>
        <w:t>veintiséis de enero de dos mil veintiséis</w:t>
      </w:r>
      <w:r w:rsidRPr="008267EB">
        <w:rPr>
          <w:rFonts w:ascii="Palatino Linotype" w:eastAsia="Palatino Linotype" w:hAnsi="Palatino Linotype" w:cs="Palatino Linotype"/>
        </w:rPr>
        <w:t xml:space="preserve">, se notificó el acuerdo mediante el cual se decretó el cierre de instrucción. </w:t>
      </w:r>
    </w:p>
    <w:p w:rsidR="009D2AA0" w:rsidRPr="008267EB" w:rsidRDefault="009D2AA0">
      <w:pPr>
        <w:pBdr>
          <w:top w:val="nil"/>
          <w:left w:val="nil"/>
          <w:bottom w:val="nil"/>
          <w:right w:val="nil"/>
          <w:between w:val="nil"/>
        </w:pBdr>
        <w:ind w:left="720"/>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El </w:t>
      </w:r>
      <w:r w:rsidRPr="008267EB">
        <w:rPr>
          <w:rFonts w:ascii="Palatino Linotype" w:eastAsia="Palatino Linotype" w:hAnsi="Palatino Linotype" w:cs="Palatino Linotype"/>
          <w:b/>
          <w:bCs/>
        </w:rPr>
        <w:t>veintitrés de febrero de dos mil veintiséis</w:t>
      </w:r>
      <w:r w:rsidRPr="008267EB">
        <w:rPr>
          <w:rFonts w:ascii="Palatino Linotype" w:eastAsia="Palatino Linotype" w:hAnsi="Palatino Linotype" w:cs="Palatino Linotype"/>
        </w:rPr>
        <w:t xml:space="preserve">, se notificó el acuerdo mediante el cual se aprobó la ampliación de plazo para emitir resolución. </w:t>
      </w:r>
    </w:p>
    <w:p w:rsidR="009D2AA0" w:rsidRPr="008267EB" w:rsidRDefault="009D2AA0">
      <w:pPr>
        <w:spacing w:line="360" w:lineRule="auto"/>
        <w:rPr>
          <w:rFonts w:ascii="Palatino Linotype" w:eastAsia="Palatino Linotype" w:hAnsi="Palatino Linotype" w:cs="Palatino Linotype"/>
        </w:rPr>
      </w:pPr>
    </w:p>
    <w:p w:rsidR="009D2AA0" w:rsidRPr="008267EB" w:rsidRDefault="00CD00D5">
      <w:pPr>
        <w:spacing w:line="360" w:lineRule="auto"/>
        <w:jc w:val="center"/>
        <w:rPr>
          <w:rFonts w:ascii="Palatino Linotype" w:eastAsia="Palatino Linotype" w:hAnsi="Palatino Linotype" w:cs="Palatino Linotype"/>
        </w:rPr>
      </w:pPr>
      <w:bookmarkStart w:id="1" w:name="_heading=h.1fob9te" w:colFirst="0" w:colLast="0"/>
      <w:bookmarkEnd w:id="1"/>
      <w:r w:rsidRPr="008267EB">
        <w:rPr>
          <w:rFonts w:ascii="Palatino Linotype" w:eastAsia="Palatino Linotype" w:hAnsi="Palatino Linotype" w:cs="Palatino Linotype"/>
          <w:b/>
          <w:bCs/>
        </w:rPr>
        <w:t>C O N S I D E R A N D O</w:t>
      </w:r>
    </w:p>
    <w:p w:rsidR="009D2AA0" w:rsidRPr="008267EB" w:rsidRDefault="009D2AA0">
      <w:pPr>
        <w:spacing w:line="360" w:lineRule="auto"/>
        <w:jc w:val="center"/>
        <w:rPr>
          <w:rFonts w:ascii="Palatino Linotype" w:eastAsia="Palatino Linotype" w:hAnsi="Palatino Linotype" w:cs="Palatino Linotype"/>
        </w:rPr>
      </w:pPr>
    </w:p>
    <w:p w:rsidR="009D2AA0" w:rsidRPr="008267EB" w:rsidRDefault="00CD00D5">
      <w:pPr>
        <w:spacing w:line="360" w:lineRule="auto"/>
        <w:jc w:val="both"/>
        <w:rPr>
          <w:rFonts w:ascii="Palatino Linotype" w:eastAsia="Palatino Linotype" w:hAnsi="Palatino Linotype" w:cs="Palatino Linotype"/>
          <w:b/>
          <w:bCs/>
        </w:rPr>
      </w:pPr>
      <w:bookmarkStart w:id="2" w:name="_heading=h.3znysh7" w:colFirst="0" w:colLast="0"/>
      <w:bookmarkEnd w:id="2"/>
      <w:r w:rsidRPr="008267EB">
        <w:rPr>
          <w:rFonts w:ascii="Palatino Linotype" w:eastAsia="Palatino Linotype" w:hAnsi="Palatino Linotype" w:cs="Palatino Linotype"/>
          <w:b/>
          <w:bCs/>
        </w:rPr>
        <w:t>PRIMERO. De la competencia</w:t>
      </w:r>
    </w:p>
    <w:p w:rsidR="009D2AA0" w:rsidRPr="008267EB" w:rsidRDefault="00CD00D5">
      <w:pPr>
        <w:numPr>
          <w:ilvl w:val="0"/>
          <w:numId w:val="3"/>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w:t>
      </w:r>
      <w:r w:rsidRPr="008267EB">
        <w:rPr>
          <w:rFonts w:ascii="Palatino Linotype" w:eastAsia="Palatino Linotype" w:hAnsi="Palatino Linotype" w:cs="Palatino Linotype"/>
        </w:rPr>
        <w:lastRenderedPageBreak/>
        <w:t>de México y Municipios; y 7, 9 fracciones I y XXIII, y 11 del Reglamento Interior del Instituto de Transparencia, Acceso a la Información Pública y Protección de Datos Personales del Estado de México y Municipios.</w:t>
      </w:r>
    </w:p>
    <w:p w:rsidR="009D2AA0" w:rsidRPr="008267EB" w:rsidRDefault="009D2AA0">
      <w:pPr>
        <w:keepNext/>
        <w:keepLines/>
        <w:spacing w:line="360" w:lineRule="auto"/>
        <w:rPr>
          <w:rFonts w:ascii="Palatino Linotype" w:eastAsia="Palatino Linotype" w:hAnsi="Palatino Linotype" w:cs="Palatino Linotype"/>
        </w:rPr>
      </w:pPr>
      <w:bookmarkStart w:id="3" w:name="_heading=h.2et92p0" w:colFirst="0" w:colLast="0"/>
      <w:bookmarkEnd w:id="3"/>
    </w:p>
    <w:p w:rsidR="009D2AA0" w:rsidRPr="008267EB" w:rsidRDefault="00CD00D5">
      <w:pPr>
        <w:keepNext/>
        <w:keepLines/>
        <w:spacing w:line="360" w:lineRule="auto"/>
        <w:rPr>
          <w:rFonts w:ascii="Palatino Linotype" w:eastAsia="Palatino Linotype" w:hAnsi="Palatino Linotype" w:cs="Palatino Linotype"/>
          <w:b/>
          <w:bCs/>
        </w:rPr>
      </w:pPr>
      <w:r w:rsidRPr="008267EB">
        <w:rPr>
          <w:rFonts w:ascii="Palatino Linotype" w:eastAsia="Palatino Linotype" w:hAnsi="Palatino Linotype" w:cs="Palatino Linotype"/>
          <w:b/>
          <w:bCs/>
        </w:rPr>
        <w:t>SEGUNDO. De la oportunidad y procedencia.</w:t>
      </w: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El medio de impugnación fue presentado a través del </w:t>
      </w:r>
      <w:r w:rsidRPr="008267EB">
        <w:rPr>
          <w:rFonts w:ascii="Palatino Linotype" w:eastAsia="Palatino Linotype" w:hAnsi="Palatino Linotype" w:cs="Palatino Linotype"/>
          <w:b/>
          <w:bCs/>
        </w:rPr>
        <w:t>SAIMEX,</w:t>
      </w:r>
      <w:r w:rsidRPr="008267E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8267EB">
        <w:rPr>
          <w:rFonts w:ascii="Palatino Linotype" w:eastAsia="Palatino Linotype" w:hAnsi="Palatino Linotype" w:cs="Palatino Linotype"/>
          <w:b/>
          <w:bCs/>
        </w:rPr>
        <w:t>SUJETO OBLIGADO</w:t>
      </w:r>
      <w:r w:rsidRPr="008267EB">
        <w:rPr>
          <w:rFonts w:ascii="Palatino Linotype" w:eastAsia="Palatino Linotype" w:hAnsi="Palatino Linotype" w:cs="Palatino Linotype"/>
        </w:rPr>
        <w:t xml:space="preserve"> entregó respuesta a la solicitud el día </w:t>
      </w:r>
      <w:r w:rsidRPr="008267EB">
        <w:rPr>
          <w:rFonts w:ascii="Palatino Linotype" w:eastAsia="Palatino Linotype" w:hAnsi="Palatino Linotype" w:cs="Palatino Linotype"/>
          <w:b/>
          <w:bCs/>
        </w:rPr>
        <w:t>diez de julio de dos mil veinticinco</w:t>
      </w:r>
      <w:r w:rsidRPr="008267EB">
        <w:rPr>
          <w:rFonts w:ascii="Palatino Linotype" w:eastAsia="Palatino Linotype" w:hAnsi="Palatino Linotype" w:cs="Palatino Linotype"/>
        </w:rPr>
        <w:t>, de tal forma que el plazo para interponer el recurso de revisión transcurrió del</w:t>
      </w:r>
      <w:r w:rsidRPr="008267EB">
        <w:rPr>
          <w:rFonts w:ascii="Palatino Linotype" w:eastAsia="Palatino Linotype" w:hAnsi="Palatino Linotype" w:cs="Palatino Linotype"/>
          <w:b/>
          <w:bCs/>
        </w:rPr>
        <w:t xml:space="preserve"> once de julio al trece de agosto de dos mil veinticinco</w:t>
      </w:r>
      <w:r w:rsidRPr="008267EB">
        <w:rPr>
          <w:rFonts w:ascii="Palatino Linotype" w:eastAsia="Palatino Linotype" w:hAnsi="Palatino Linotype" w:cs="Palatino Linotype"/>
        </w:rPr>
        <w:t xml:space="preserve">; en consecuencia, presentó su inconformidad el día </w:t>
      </w:r>
      <w:r w:rsidRPr="008267EB">
        <w:rPr>
          <w:rFonts w:ascii="Palatino Linotype" w:eastAsia="Palatino Linotype" w:hAnsi="Palatino Linotype" w:cs="Palatino Linotype"/>
          <w:b/>
          <w:bCs/>
        </w:rPr>
        <w:t>siete de agosto de dos mil veintiséis</w:t>
      </w:r>
      <w:r w:rsidRPr="008267EB">
        <w:rPr>
          <w:rFonts w:ascii="Palatino Linotype" w:eastAsia="Palatino Linotype" w:hAnsi="Palatino Linotype" w:cs="Palatino Linotype"/>
        </w:rPr>
        <w:t xml:space="preserve">, por lo que se encuentra dentro de los márgenes temporales previstos en el artículo 178 de la </w:t>
      </w:r>
      <w:r w:rsidRPr="008267EB">
        <w:rPr>
          <w:rFonts w:ascii="Palatino Linotype" w:eastAsia="Palatino Linotype" w:hAnsi="Palatino Linotype" w:cs="Palatino Linotype"/>
          <w:b/>
          <w:bCs/>
        </w:rPr>
        <w:t xml:space="preserve">Ley de Transparencia y Acceso a la Información Pública del Estado de México y Municipios </w:t>
      </w:r>
      <w:r w:rsidRPr="008267EB">
        <w:rPr>
          <w:rFonts w:ascii="Palatino Linotype" w:eastAsia="Palatino Linotype" w:hAnsi="Palatino Linotype" w:cs="Palatino Linotype"/>
        </w:rPr>
        <w:t>vigente.</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D2AA0" w:rsidRPr="008267EB" w:rsidRDefault="009D2AA0">
      <w:pPr>
        <w:pBdr>
          <w:top w:val="nil"/>
          <w:left w:val="nil"/>
          <w:bottom w:val="nil"/>
          <w:right w:val="nil"/>
          <w:between w:val="nil"/>
        </w:pBdr>
        <w:ind w:left="720"/>
        <w:rPr>
          <w:rFonts w:ascii="Palatino Linotype" w:eastAsia="Palatino Linotype" w:hAnsi="Palatino Linotype" w:cs="Palatino Linotype"/>
        </w:rPr>
      </w:pPr>
    </w:p>
    <w:p w:rsidR="009D2AA0" w:rsidRPr="008267EB" w:rsidRDefault="00CD00D5">
      <w:pPr>
        <w:pStyle w:val="Ttulo1"/>
        <w:rPr>
          <w:rFonts w:ascii="Palatino Linotype" w:eastAsia="Palatino Linotype" w:hAnsi="Palatino Linotype" w:cs="Palatino Linotype"/>
          <w:b/>
          <w:bCs/>
          <w:color w:val="000000"/>
          <w:sz w:val="24"/>
          <w:szCs w:val="24"/>
        </w:rPr>
      </w:pPr>
      <w:r w:rsidRPr="008267EB">
        <w:rPr>
          <w:rFonts w:ascii="Palatino Linotype" w:eastAsia="Palatino Linotype" w:hAnsi="Palatino Linotype" w:cs="Palatino Linotype"/>
          <w:b/>
          <w:bCs/>
          <w:color w:val="000000"/>
          <w:sz w:val="24"/>
          <w:szCs w:val="24"/>
        </w:rPr>
        <w:t xml:space="preserve">TERCERO. Planteamiento de la Litis </w:t>
      </w:r>
    </w:p>
    <w:p w:rsidR="009D2AA0" w:rsidRPr="008267EB" w:rsidRDefault="00CD00D5">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color w:val="000000"/>
        </w:rPr>
        <w:t xml:space="preserve">El recurrente solicitó el expediente número 409/2019 del Juzgado Noveno Familiar de Toluca en versión pública. </w:t>
      </w:r>
    </w:p>
    <w:p w:rsidR="009D2AA0" w:rsidRPr="008267EB" w:rsidRDefault="009D2AA0">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9D2AA0" w:rsidRPr="008267EB" w:rsidRDefault="00CD00D5">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color w:val="000000"/>
        </w:rPr>
        <w:lastRenderedPageBreak/>
        <w:t xml:space="preserve">En respuesta, el Sujeto Obligado señaló que expediente consta de 868 fojas, señaló un link en el que puede consultarse la información y señaló el cobro de la información por el total del expediente. Posteriormente, el  Recurrente se inconformó por el cobro de la información.  </w:t>
      </w:r>
    </w:p>
    <w:p w:rsidR="009D2AA0" w:rsidRPr="008267EB" w:rsidRDefault="009D2AA0">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9D2AA0" w:rsidRPr="008267EB" w:rsidRDefault="00CD00D5">
      <w:pPr>
        <w:numPr>
          <w:ilvl w:val="0"/>
          <w:numId w:val="3"/>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color w:val="000000"/>
        </w:rPr>
        <w:t>Por lo tanto, el presente recurso de revisión se circunscribe en determinar si se actualiza la causal de procedencia</w:t>
      </w:r>
      <w:r w:rsidRPr="008267EB">
        <w:rPr>
          <w:rFonts w:ascii="Palatino Linotype" w:eastAsia="Palatino Linotype" w:hAnsi="Palatino Linotype" w:cs="Palatino Linotype"/>
          <w:b/>
          <w:bCs/>
          <w:color w:val="000000"/>
        </w:rPr>
        <w:t xml:space="preserve"> </w:t>
      </w:r>
      <w:r w:rsidRPr="008267EB">
        <w:rPr>
          <w:rFonts w:ascii="Palatino Linotype" w:eastAsia="Palatino Linotype" w:hAnsi="Palatino Linotype" w:cs="Palatino Linotype"/>
          <w:color w:val="000000"/>
        </w:rPr>
        <w:t xml:space="preserve">contenida en el artículo 179 fracción X, de la </w:t>
      </w:r>
      <w:r w:rsidRPr="008267EB">
        <w:rPr>
          <w:rFonts w:ascii="Palatino Linotype" w:eastAsia="Palatino Linotype" w:hAnsi="Palatino Linotype" w:cs="Palatino Linotype"/>
          <w:b/>
          <w:bCs/>
          <w:color w:val="000000"/>
        </w:rPr>
        <w:t>Ley de Transparencia y Acceso a la Información Pública del Estado de México y Municipios</w:t>
      </w:r>
      <w:r w:rsidRPr="008267EB">
        <w:rPr>
          <w:rFonts w:ascii="Palatino Linotype" w:eastAsia="Palatino Linotype" w:hAnsi="Palatino Linotype" w:cs="Palatino Linotype"/>
          <w:color w:val="000000"/>
        </w:rPr>
        <w:t xml:space="preserve">, relativo a los costos o tiempos de entrega de la información. </w:t>
      </w:r>
    </w:p>
    <w:p w:rsidR="009D2AA0" w:rsidRPr="008267EB" w:rsidRDefault="00CD00D5">
      <w:pPr>
        <w:pStyle w:val="Ttulo2"/>
        <w:tabs>
          <w:tab w:val="left" w:pos="426"/>
        </w:tabs>
        <w:rPr>
          <w:rFonts w:ascii="Palatino Linotype" w:eastAsia="Palatino Linotype" w:hAnsi="Palatino Linotype" w:cs="Palatino Linotype"/>
          <w:b/>
          <w:bCs/>
          <w:color w:val="000000"/>
          <w:sz w:val="24"/>
          <w:szCs w:val="24"/>
        </w:rPr>
      </w:pPr>
      <w:bookmarkStart w:id="4" w:name="_heading=h.6ktr63nmw93t" w:colFirst="0" w:colLast="0"/>
      <w:bookmarkEnd w:id="4"/>
      <w:r w:rsidRPr="008267EB">
        <w:rPr>
          <w:rFonts w:ascii="Palatino Linotype" w:eastAsia="Palatino Linotype" w:hAnsi="Palatino Linotype" w:cs="Palatino Linotype"/>
          <w:b/>
          <w:bCs/>
          <w:color w:val="000000"/>
          <w:sz w:val="24"/>
          <w:szCs w:val="24"/>
        </w:rPr>
        <w:t>CUARTO. Estudio y Resolución del asunto.</w:t>
      </w: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D2AA0" w:rsidRPr="008267EB" w:rsidRDefault="00CD00D5">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8267EB">
        <w:rPr>
          <w:rFonts w:ascii="Palatino Linotype" w:eastAsia="Palatino Linotype" w:hAnsi="Palatino Linotype" w:cs="Palatino Linotype"/>
          <w:b/>
          <w:bCs/>
          <w:color w:val="000000"/>
        </w:rPr>
        <w:t xml:space="preserve">De la naturaleza de la información solicitada. </w:t>
      </w: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 xml:space="preserve">Primeramente, se precisa que se obvia el análisis de la competencia por parte del </w:t>
      </w:r>
      <w:r w:rsidRPr="008267EB">
        <w:rPr>
          <w:rFonts w:ascii="Palatino Linotype" w:eastAsia="Palatino Linotype" w:hAnsi="Palatino Linotype" w:cs="Palatino Linotype"/>
          <w:b/>
          <w:bCs/>
          <w:color w:val="000000"/>
        </w:rPr>
        <w:t>SUJETO OBLIGADO</w:t>
      </w:r>
      <w:r w:rsidRPr="008267EB">
        <w:rPr>
          <w:rFonts w:ascii="Palatino Linotype" w:eastAsia="Palatino Linotype" w:hAnsi="Palatino Linotype" w:cs="Palatino Linotype"/>
          <w:color w:val="000000"/>
        </w:rPr>
        <w:t>, para generar, administrar o poseer la información solicitada, dado que éste ha asumido la misma, en razón de que en su respuesta admitió contar con dicha información.</w:t>
      </w:r>
    </w:p>
    <w:p w:rsidR="009D2AA0" w:rsidRPr="008267EB" w:rsidRDefault="009D2AA0">
      <w:pPr>
        <w:pBdr>
          <w:top w:val="nil"/>
          <w:left w:val="nil"/>
          <w:bottom w:val="nil"/>
          <w:right w:val="nil"/>
          <w:between w:val="nil"/>
        </w:pBdr>
        <w:ind w:left="720"/>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5" w:name="_heading=h.g7zcieg0cvp6" w:colFirst="0" w:colLast="0"/>
      <w:bookmarkEnd w:id="5"/>
      <w:r w:rsidRPr="008267EB">
        <w:rPr>
          <w:rFonts w:ascii="Palatino Linotype" w:eastAsia="Palatino Linotype" w:hAnsi="Palatino Linotype" w:cs="Palatino Linotype"/>
          <w:color w:val="000000"/>
        </w:rPr>
        <w:t xml:space="preserve">En efecto, el hecho de que </w:t>
      </w:r>
      <w:r w:rsidRPr="008267EB">
        <w:rPr>
          <w:rFonts w:ascii="Palatino Linotype" w:eastAsia="Palatino Linotype" w:hAnsi="Palatino Linotype" w:cs="Palatino Linotype"/>
          <w:b/>
          <w:bCs/>
          <w:color w:val="000000"/>
        </w:rPr>
        <w:t>EL SUJETO OBLIGADO</w:t>
      </w:r>
      <w:r w:rsidRPr="008267EB">
        <w:rPr>
          <w:rFonts w:ascii="Palatino Linotype" w:eastAsia="Palatino Linotype" w:hAnsi="Palatino Linotype" w:cs="Palatino Linotype"/>
          <w:color w:val="000000"/>
        </w:rPr>
        <w:t xml:space="preserve"> haya admitido contar con la información pública solicitada, acepta que la genera, posee y administra, en ejercicio de sus </w:t>
      </w:r>
      <w:r w:rsidRPr="008267EB">
        <w:rPr>
          <w:rFonts w:ascii="Palatino Linotype" w:eastAsia="Palatino Linotype" w:hAnsi="Palatino Linotype" w:cs="Palatino Linotype"/>
          <w:color w:val="000000"/>
        </w:rPr>
        <w:lastRenderedPageBreak/>
        <w:t>funciones de derecho público, motivo por el cual se actualiza el supuesto jurídico, previsto en el artículo 12 de la Ley de Transparencia y Acceso a la Información Pública del Estado de México y Municipios:</w:t>
      </w:r>
    </w:p>
    <w:p w:rsidR="009D2AA0" w:rsidRPr="008267EB" w:rsidRDefault="00CD00D5">
      <w:pPr>
        <w:pBdr>
          <w:top w:val="nil"/>
          <w:left w:val="nil"/>
          <w:bottom w:val="nil"/>
          <w:right w:val="nil"/>
          <w:between w:val="nil"/>
        </w:pBdr>
        <w:tabs>
          <w:tab w:val="left" w:pos="8080"/>
        </w:tabs>
        <w:ind w:left="851" w:right="90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w:t>
      </w:r>
      <w:r w:rsidRPr="008267EB">
        <w:rPr>
          <w:rFonts w:ascii="Palatino Linotype" w:eastAsia="Palatino Linotype" w:hAnsi="Palatino Linotype" w:cs="Palatino Linotype"/>
          <w:b/>
          <w:bCs/>
          <w:i/>
          <w:iCs/>
          <w:color w:val="000000"/>
        </w:rPr>
        <w:t>Artículo 12.</w:t>
      </w:r>
      <w:r w:rsidRPr="008267EB">
        <w:rPr>
          <w:rFonts w:ascii="Palatino Linotype" w:eastAsia="Palatino Linotype" w:hAnsi="Palatino Linotype" w:cs="Palatino Linotype"/>
          <w:i/>
          <w:iCs/>
          <w:color w:val="000000"/>
        </w:rPr>
        <w:t> Quienes generen, recopilen, administren, manejen, procesen, archiven o conserven información pública serán responsables de la misma en los términos de las disposiciones jurídicas aplicables.</w:t>
      </w:r>
    </w:p>
    <w:p w:rsidR="009D2AA0" w:rsidRPr="008267EB" w:rsidRDefault="009D2AA0">
      <w:pPr>
        <w:pBdr>
          <w:top w:val="nil"/>
          <w:left w:val="nil"/>
          <w:bottom w:val="nil"/>
          <w:right w:val="nil"/>
          <w:between w:val="nil"/>
        </w:pBdr>
        <w:tabs>
          <w:tab w:val="left" w:pos="8080"/>
        </w:tabs>
        <w:ind w:left="851" w:right="902"/>
        <w:jc w:val="both"/>
        <w:rPr>
          <w:rFonts w:ascii="Palatino Linotype" w:eastAsia="Palatino Linotype" w:hAnsi="Palatino Linotype" w:cs="Palatino Linotype"/>
          <w:i/>
          <w:iCs/>
          <w:color w:val="000000"/>
        </w:rPr>
      </w:pPr>
    </w:p>
    <w:p w:rsidR="009D2AA0" w:rsidRPr="008267EB" w:rsidRDefault="00CD00D5">
      <w:pPr>
        <w:pBdr>
          <w:top w:val="nil"/>
          <w:left w:val="nil"/>
          <w:bottom w:val="nil"/>
          <w:right w:val="nil"/>
          <w:between w:val="nil"/>
        </w:pBdr>
        <w:tabs>
          <w:tab w:val="left" w:pos="8080"/>
        </w:tabs>
        <w:ind w:left="851" w:right="90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D2AA0" w:rsidRPr="008267EB" w:rsidRDefault="009D2AA0">
      <w:pPr>
        <w:pBdr>
          <w:top w:val="nil"/>
          <w:left w:val="nil"/>
          <w:bottom w:val="nil"/>
          <w:right w:val="nil"/>
          <w:between w:val="nil"/>
        </w:pBdr>
        <w:ind w:left="360" w:right="902"/>
        <w:jc w:val="both"/>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w:t>
      </w:r>
      <w:r w:rsidRPr="008267EB">
        <w:rPr>
          <w:rFonts w:ascii="Palatino Linotype" w:eastAsia="Palatino Linotype" w:hAnsi="Palatino Linotype" w:cs="Palatino Linotype"/>
          <w:b/>
          <w:bCs/>
          <w:color w:val="000000"/>
        </w:rPr>
        <w:t>EL SUJETO OBLIGADO</w:t>
      </w:r>
      <w:r w:rsidRPr="008267EB">
        <w:rPr>
          <w:rFonts w:ascii="Palatino Linotype" w:eastAsia="Palatino Linotype" w:hAnsi="Palatino Linotype" w:cs="Palatino Linotype"/>
          <w:color w:val="000000"/>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D2AA0" w:rsidRPr="008267EB" w:rsidRDefault="00CD00D5">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8267EB">
        <w:rPr>
          <w:rFonts w:ascii="Palatino Linotype" w:eastAsia="Palatino Linotype" w:hAnsi="Palatino Linotype" w:cs="Palatino Linotype"/>
          <w:b/>
          <w:bCs/>
          <w:color w:val="000000"/>
        </w:rPr>
        <w:t>De las información en ligas electrónicas.</w:t>
      </w:r>
    </w:p>
    <w:p w:rsidR="009D2AA0" w:rsidRPr="008267EB" w:rsidRDefault="00CD00D5">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 xml:space="preserve">La Ley en la materia en términos generales, establece que como uno de los objetivos con el que cuenta es el de garantizar a toda persona el derecho de acceso a la información pública, mediante los procedimientos establecidos de forma </w:t>
      </w:r>
      <w:r w:rsidRPr="008267EB">
        <w:rPr>
          <w:rFonts w:ascii="Palatino Linotype" w:eastAsia="Palatino Linotype" w:hAnsi="Palatino Linotype" w:cs="Palatino Linotype"/>
          <w:b/>
          <w:bCs/>
          <w:color w:val="000000"/>
        </w:rPr>
        <w:t>sencilla</w:t>
      </w:r>
      <w:r w:rsidRPr="008267EB">
        <w:rPr>
          <w:rFonts w:ascii="Palatino Linotype" w:eastAsia="Palatino Linotype" w:hAnsi="Palatino Linotype" w:cs="Palatino Linotype"/>
          <w:color w:val="000000"/>
        </w:rPr>
        <w:t xml:space="preserve">, expeditos, </w:t>
      </w:r>
      <w:r w:rsidRPr="008267EB">
        <w:rPr>
          <w:rFonts w:ascii="Palatino Linotype" w:eastAsia="Palatino Linotype" w:hAnsi="Palatino Linotype" w:cs="Palatino Linotype"/>
          <w:b/>
          <w:bCs/>
          <w:color w:val="000000"/>
        </w:rPr>
        <w:t>oportunos</w:t>
      </w:r>
      <w:r w:rsidRPr="008267EB">
        <w:rPr>
          <w:rFonts w:ascii="Palatino Linotype" w:eastAsia="Palatino Linotype" w:hAnsi="Palatino Linotype" w:cs="Palatino Linotype"/>
          <w:color w:val="000000"/>
        </w:rPr>
        <w:t xml:space="preserve"> y gratuitos, y con ello contribuir a la mejora de procedimientos y mecanismos que permitan </w:t>
      </w:r>
      <w:r w:rsidRPr="008267EB">
        <w:rPr>
          <w:rFonts w:ascii="Palatino Linotype" w:eastAsia="Palatino Linotype" w:hAnsi="Palatino Linotype" w:cs="Palatino Linotype"/>
        </w:rPr>
        <w:t>transparentar</w:t>
      </w:r>
      <w:r w:rsidRPr="008267EB">
        <w:rPr>
          <w:rFonts w:ascii="Palatino Linotype" w:eastAsia="Palatino Linotype" w:hAnsi="Palatino Linotype" w:cs="Palatino Linotype"/>
          <w:color w:val="000000"/>
        </w:rPr>
        <w:t xml:space="preserve"> la gestión pública y mejora la toma decisiones, a través de la difusión de la información que obra en poder de los sujeto obligados.</w:t>
      </w:r>
    </w:p>
    <w:p w:rsidR="009D2AA0" w:rsidRPr="008267EB" w:rsidRDefault="009D2AA0">
      <w:pPr>
        <w:spacing w:line="360" w:lineRule="auto"/>
        <w:ind w:right="49"/>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lastRenderedPageBreak/>
        <w:t xml:space="preserve">El formato prediseñado para que los particulares formulen su solicitud de acceso a la información contiene opciones para seleccionar la modalidad de entrega de la información. En el presente asunto en particular, se solicitó la información a través del SAIMEX. En consecuencia, lo idóneo es </w:t>
      </w:r>
      <w:r w:rsidRPr="008267EB">
        <w:rPr>
          <w:rFonts w:ascii="Palatino Linotype" w:eastAsia="Palatino Linotype" w:hAnsi="Palatino Linotype" w:cs="Palatino Linotype"/>
        </w:rPr>
        <w:t>que los</w:t>
      </w:r>
      <w:r w:rsidRPr="008267EB">
        <w:rPr>
          <w:rFonts w:ascii="Palatino Linotype" w:eastAsia="Palatino Linotype" w:hAnsi="Palatino Linotype" w:cs="Palatino Linotype"/>
          <w:color w:val="000000"/>
        </w:rPr>
        <w:t xml:space="preserve"> Sujetos Obligados proporcionen la información por el medio solicitado; no obstante, la Ley de Transparencia y Acceso</w:t>
      </w:r>
      <w:r w:rsidRPr="008267EB">
        <w:rPr>
          <w:rFonts w:ascii="Palatino Linotype" w:eastAsia="Palatino Linotype" w:hAnsi="Palatino Linotype" w:cs="Palatino Linotype"/>
          <w:b/>
          <w:bCs/>
          <w:color w:val="000000"/>
        </w:rPr>
        <w:t xml:space="preserve"> </w:t>
      </w:r>
      <w:r w:rsidRPr="008267EB">
        <w:rPr>
          <w:rFonts w:ascii="Palatino Linotype" w:eastAsia="Palatino Linotype" w:hAnsi="Palatino Linotype" w:cs="Palatino Linotype"/>
          <w:color w:val="000000"/>
        </w:rPr>
        <w:t>a la Información Pública del Estado de México y Municipios establece dos puntos importantes que impactan sobre la modalidad de entrega de la información.</w:t>
      </w:r>
    </w:p>
    <w:p w:rsidR="009D2AA0" w:rsidRPr="008267EB" w:rsidRDefault="009D2AA0">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 xml:space="preserve">El primer punto a analizar es que la ley en materia contempla </w:t>
      </w:r>
      <w:r w:rsidRPr="008267EB">
        <w:rPr>
          <w:rFonts w:ascii="Palatino Linotype" w:eastAsia="Palatino Linotype" w:hAnsi="Palatino Linotype" w:cs="Palatino Linotype"/>
          <w:b/>
          <w:bCs/>
          <w:color w:val="000000"/>
        </w:rPr>
        <w:t>información pública de oficio</w:t>
      </w:r>
      <w:r w:rsidRPr="008267EB">
        <w:rPr>
          <w:rFonts w:ascii="Palatino Linotype" w:eastAsia="Palatino Linotype" w:hAnsi="Palatino Linotype" w:cs="Palatino Linotype"/>
          <w:color w:val="000000"/>
        </w:rPr>
        <w:t xml:space="preserve"> que los Sujetos Obligados deben poner a disposición del público de manera permanente y actualizada de forma sencilla, precisa y entendible, en los respectivos medios electrónicos la información pública que generen, administren o posean.</w:t>
      </w:r>
    </w:p>
    <w:p w:rsidR="009D2AA0" w:rsidRPr="008267EB" w:rsidRDefault="009D2AA0">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El segundo punto a analizar y que guarda estricta relación con el punto anterior, se encuentra en el artículo 161 de la citada Ley de Transparencia Local:</w:t>
      </w:r>
    </w:p>
    <w:p w:rsidR="009D2AA0" w:rsidRPr="008267EB" w:rsidRDefault="00CD00D5">
      <w:pPr>
        <w:spacing w:line="360" w:lineRule="auto"/>
        <w:ind w:left="567" w:right="567"/>
        <w:jc w:val="both"/>
        <w:rPr>
          <w:rFonts w:ascii="Palatino Linotype" w:eastAsia="Palatino Linotype" w:hAnsi="Palatino Linotype" w:cs="Palatino Linotype"/>
          <w:i/>
          <w:iCs/>
        </w:rPr>
      </w:pPr>
      <w:r w:rsidRPr="008267EB">
        <w:rPr>
          <w:rFonts w:ascii="Palatino Linotype" w:eastAsia="Palatino Linotype" w:hAnsi="Palatino Linotype" w:cs="Palatino Linotype"/>
          <w:b/>
          <w:bCs/>
          <w:i/>
          <w:iCs/>
        </w:rPr>
        <w:t>Artículo 161. Cuando la información requerida por el solicitante ya esté disponible</w:t>
      </w:r>
      <w:r w:rsidRPr="008267EB">
        <w:rPr>
          <w:rFonts w:ascii="Palatino Linotype" w:eastAsia="Palatino Linotype" w:hAnsi="Palatino Linotype" w:cs="Palatino Linotype"/>
          <w:i/>
          <w:iCs/>
        </w:rPr>
        <w:t xml:space="preserve"> al público en medios impresos, tales como libros, compendios, trípticos, registros públicos, </w:t>
      </w:r>
      <w:r w:rsidRPr="008267EB">
        <w:rPr>
          <w:rFonts w:ascii="Palatino Linotype" w:eastAsia="Palatino Linotype" w:hAnsi="Palatino Linotype" w:cs="Palatino Linotype"/>
          <w:b/>
          <w:bCs/>
          <w:i/>
          <w:iCs/>
        </w:rPr>
        <w:t xml:space="preserve">en formatos electrónicos disponibles en Internet </w:t>
      </w:r>
      <w:r w:rsidRPr="008267EB">
        <w:rPr>
          <w:rFonts w:ascii="Palatino Linotype" w:eastAsia="Palatino Linotype" w:hAnsi="Palatino Linotype" w:cs="Palatino Linotype"/>
          <w:i/>
          <w:iCs/>
        </w:rPr>
        <w:t xml:space="preserve">o en cualquier otro medio, se le hará saber por el medio requerido por el solicitante la fuente, el lugar y la forma en que puede consultar, reproducir o adquirir dicha información </w:t>
      </w:r>
      <w:r w:rsidRPr="008267EB">
        <w:rPr>
          <w:rFonts w:ascii="Palatino Linotype" w:eastAsia="Palatino Linotype" w:hAnsi="Palatino Linotype" w:cs="Palatino Linotype"/>
          <w:b/>
          <w:bCs/>
          <w:i/>
          <w:iCs/>
        </w:rPr>
        <w:t>en un plazo no mayor a cinco días hábiles</w:t>
      </w:r>
      <w:r w:rsidRPr="008267EB">
        <w:rPr>
          <w:rFonts w:ascii="Palatino Linotype" w:eastAsia="Palatino Linotype" w:hAnsi="Palatino Linotype" w:cs="Palatino Linotype"/>
          <w:i/>
          <w:iCs/>
        </w:rPr>
        <w:t xml:space="preserve">. </w:t>
      </w:r>
      <w:r w:rsidRPr="008267EB">
        <w:rPr>
          <w:rFonts w:ascii="Palatino Linotype" w:eastAsia="Palatino Linotype" w:hAnsi="Palatino Linotype" w:cs="Palatino Linotype"/>
          <w:b/>
          <w:bCs/>
          <w:i/>
          <w:iCs/>
        </w:rPr>
        <w:t>La fuente deberá ser precisa y concreta y no debe implicar que el solicitante realice una búsqueda en toda la información que se encuentre disponible</w:t>
      </w:r>
      <w:r w:rsidRPr="008267EB">
        <w:rPr>
          <w:rFonts w:ascii="Palatino Linotype" w:eastAsia="Palatino Linotype" w:hAnsi="Palatino Linotype" w:cs="Palatino Linotype"/>
          <w:i/>
          <w:iCs/>
        </w:rPr>
        <w:t>.</w:t>
      </w:r>
    </w:p>
    <w:p w:rsidR="009D2AA0" w:rsidRPr="008267EB" w:rsidRDefault="00CD00D5">
      <w:pPr>
        <w:numPr>
          <w:ilvl w:val="0"/>
          <w:numId w:val="3"/>
        </w:numPr>
        <w:pBdr>
          <w:top w:val="nil"/>
          <w:left w:val="nil"/>
          <w:bottom w:val="nil"/>
          <w:right w:val="nil"/>
          <w:between w:val="nil"/>
        </w:pBdr>
        <w:tabs>
          <w:tab w:val="left" w:pos="851"/>
        </w:tabs>
        <w:spacing w:before="240" w:line="360" w:lineRule="auto"/>
        <w:ind w:left="0" w:right="49" w:firstLine="0"/>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color w:val="000000"/>
        </w:rPr>
        <w:lastRenderedPageBreak/>
        <w:t>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 pueden indicar la dirección electrónica donde obra la información solicitada. Esta dirección electrónica debe ser precisa, de tal modo que no implique realizar una búsqueda en toda la información que ahí se encuentre. Además, debe ir acompañada del procedimiento a seguir, en caso de que la información se encuentre en distintos puntos del sitio electrónico referido.</w:t>
      </w:r>
      <w:r w:rsidRPr="008267EB">
        <w:rPr>
          <w:rFonts w:ascii="Palatino Linotype" w:eastAsia="Palatino Linotype" w:hAnsi="Palatino Linotype" w:cs="Palatino Linotype"/>
          <w:i/>
          <w:iCs/>
          <w:color w:val="000000"/>
        </w:rPr>
        <w:t xml:space="preserve"> </w:t>
      </w:r>
      <w:r w:rsidRPr="008267EB">
        <w:rPr>
          <w:rFonts w:ascii="Palatino Linotype" w:eastAsia="Palatino Linotype" w:hAnsi="Palatino Linotype" w:cs="Palatino Linotype"/>
          <w:b/>
          <w:bCs/>
          <w:color w:val="000000"/>
        </w:rPr>
        <w:t>La orientación</w:t>
      </w:r>
      <w:r w:rsidRPr="008267EB">
        <w:rPr>
          <w:rFonts w:ascii="Palatino Linotype" w:eastAsia="Palatino Linotype" w:hAnsi="Palatino Linotype" w:cs="Palatino Linotype"/>
          <w:color w:val="000000"/>
        </w:rPr>
        <w:t xml:space="preserve"> que realicen los Sujetos Obligados a los sitios electrónicos para la consulta de la información </w:t>
      </w:r>
      <w:r w:rsidRPr="008267EB">
        <w:rPr>
          <w:rFonts w:ascii="Palatino Linotype" w:eastAsia="Palatino Linotype" w:hAnsi="Palatino Linotype" w:cs="Palatino Linotype"/>
          <w:b/>
          <w:bCs/>
          <w:color w:val="000000"/>
        </w:rPr>
        <w:t>debe cumplir con las características de tiempo y forma.</w:t>
      </w:r>
    </w:p>
    <w:p w:rsidR="009D2AA0" w:rsidRPr="008267EB" w:rsidRDefault="009D2AA0">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i/>
          <w:iCs/>
          <w:color w:val="000000"/>
        </w:rPr>
      </w:pPr>
    </w:p>
    <w:p w:rsidR="009D2AA0" w:rsidRPr="008267EB" w:rsidRDefault="00CD00D5">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i/>
          <w:iCs/>
          <w:color w:val="000000"/>
        </w:rPr>
      </w:pPr>
      <w:bookmarkStart w:id="6" w:name="_heading=h.eq7jheji3thl" w:colFirst="0" w:colLast="0"/>
      <w:bookmarkEnd w:id="6"/>
      <w:r w:rsidRPr="008267EB">
        <w:rPr>
          <w:rFonts w:ascii="Palatino Linotype" w:eastAsia="Palatino Linotype" w:hAnsi="Palatino Linotype" w:cs="Palatino Linotype"/>
          <w:color w:val="000000"/>
        </w:rPr>
        <w:t>Ahora bien, la normatividad en materia establece que las direcciones electrónicas deben ser precisas, de tal modo que no implique que el Recurrente deba de realizar una búsqueda dentro de toda la información disponible. En este caso, el Sujeto Obligado remitió una liga electrónica que remite solo una parte del expediente, ya que solo consta de 116 fojas y el expediente completo consta de 868 como lo refirió el mismo Sujeto Obligado.</w:t>
      </w:r>
    </w:p>
    <w:p w:rsidR="009D2AA0" w:rsidRPr="008267EB" w:rsidRDefault="009D2AA0">
      <w:pPr>
        <w:pBdr>
          <w:top w:val="nil"/>
          <w:left w:val="nil"/>
          <w:bottom w:val="nil"/>
          <w:right w:val="nil"/>
          <w:between w:val="nil"/>
        </w:pBdr>
        <w:ind w:left="720"/>
        <w:rPr>
          <w:rFonts w:ascii="Palatino Linotype" w:eastAsia="Palatino Linotype" w:hAnsi="Palatino Linotype" w:cs="Palatino Linotype"/>
          <w:i/>
          <w:iCs/>
          <w:color w:val="000000"/>
        </w:rPr>
      </w:pPr>
    </w:p>
    <w:p w:rsidR="009D2AA0" w:rsidRPr="008267EB" w:rsidRDefault="00CD00D5">
      <w:pPr>
        <w:numPr>
          <w:ilvl w:val="0"/>
          <w:numId w:val="3"/>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 xml:space="preserve">Por lo tanto, si bien la liga contiene parte de la información solicitada, no se puede dar por atendido el requerimiento del Recurrente, ya que no contiene el expediente completo. </w:t>
      </w:r>
    </w:p>
    <w:p w:rsidR="009D2AA0" w:rsidRDefault="009D2AA0">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9D2AA0" w:rsidRPr="008267EB" w:rsidRDefault="00CD00D5">
      <w:pPr>
        <w:numPr>
          <w:ilvl w:val="0"/>
          <w:numId w:val="5"/>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8267EB">
        <w:rPr>
          <w:rFonts w:ascii="Palatino Linotype" w:eastAsia="Palatino Linotype" w:hAnsi="Palatino Linotype" w:cs="Palatino Linotype"/>
          <w:b/>
          <w:bCs/>
          <w:color w:val="000000"/>
        </w:rPr>
        <w:t>De la gratuidad de la información solicitada a través del derecho de acceso a la información pública.</w:t>
      </w:r>
    </w:p>
    <w:p w:rsidR="009D2AA0" w:rsidRPr="008267EB" w:rsidRDefault="00CD00D5">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De acuerdo a la fracción II, artículo 2 de la Ley de Transparencia Local, uno sus objetivos, es proveer lo necesario para garantizar a toda persona el derecho de acceso a la </w:t>
      </w:r>
      <w:r w:rsidRPr="008267EB">
        <w:rPr>
          <w:rFonts w:ascii="Palatino Linotype" w:eastAsia="Palatino Linotype" w:hAnsi="Palatino Linotype" w:cs="Palatino Linotype"/>
        </w:rPr>
        <w:lastRenderedPageBreak/>
        <w:t>información pública, a través de procedimientos sencillos, expeditos, oportunos y</w:t>
      </w:r>
      <w:r w:rsidRPr="008267EB">
        <w:rPr>
          <w:rFonts w:ascii="Palatino Linotype" w:eastAsia="Palatino Linotype" w:hAnsi="Palatino Linotype" w:cs="Palatino Linotype"/>
          <w:b/>
          <w:bCs/>
        </w:rPr>
        <w:t xml:space="preserve"> gratuitos</w:t>
      </w:r>
      <w:r w:rsidRPr="008267EB">
        <w:rPr>
          <w:rFonts w:ascii="Palatino Linotype" w:eastAsia="Palatino Linotype" w:hAnsi="Palatino Linotype" w:cs="Palatino Linotype"/>
        </w:rPr>
        <w:t>, determinando las bases mínimas sobre las cuales se regirán los mismos; así, con ello contribuir a la mejora de procedimientos y mecanismos que permitan transparentar la gestión pública, a través de la difusión de la información que obra en poder de los Sujetos Obligados, ya que, el Derecho de Acceso a la información pública por disposición del artículo 4 de la Ley en la materia, es la prerrogativa de las personas para buscar, difundir, investigar, recabar, recibir y solicitar información pública.</w:t>
      </w:r>
    </w:p>
    <w:p w:rsidR="009D2AA0" w:rsidRPr="008267EB" w:rsidRDefault="009D2AA0">
      <w:pPr>
        <w:pBdr>
          <w:top w:val="nil"/>
          <w:left w:val="nil"/>
          <w:bottom w:val="nil"/>
          <w:right w:val="nil"/>
          <w:between w:val="nil"/>
        </w:pBdr>
        <w:tabs>
          <w:tab w:val="left" w:pos="284"/>
          <w:tab w:val="left" w:pos="567"/>
        </w:tabs>
        <w:spacing w:line="360" w:lineRule="auto"/>
        <w:ind w:left="360"/>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Así, es importante analizar si el contenido de la información remitida en respuesta, para determinar si garantiza que la entrega de la información garantiza que sea oportuna, como lo establece el artículo 11 de la Ley de Transparencia Local:</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w:t>
      </w:r>
      <w:r w:rsidRPr="008267EB">
        <w:rPr>
          <w:rFonts w:ascii="Palatino Linotype" w:eastAsia="Palatino Linotype" w:hAnsi="Palatino Linotype" w:cs="Palatino Linotype"/>
          <w:b/>
          <w:bCs/>
          <w:i/>
          <w:iCs/>
          <w:color w:val="000000"/>
        </w:rPr>
        <w:t>Artículo 11.</w:t>
      </w:r>
      <w:r w:rsidRPr="008267EB">
        <w:rPr>
          <w:rFonts w:ascii="Palatino Linotype" w:eastAsia="Palatino Linotype" w:hAnsi="Palatino Linotype" w:cs="Palatino Linotype"/>
          <w:i/>
          <w:iCs/>
          <w:color w:val="000000"/>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 (Sic)</w:t>
      </w:r>
    </w:p>
    <w:p w:rsidR="009D2AA0" w:rsidRPr="008267EB" w:rsidRDefault="009D2AA0">
      <w:pPr>
        <w:pBdr>
          <w:top w:val="nil"/>
          <w:left w:val="nil"/>
          <w:bottom w:val="nil"/>
          <w:right w:val="nil"/>
          <w:between w:val="nil"/>
        </w:pBdr>
        <w:tabs>
          <w:tab w:val="left" w:pos="0"/>
        </w:tabs>
        <w:spacing w:line="360" w:lineRule="auto"/>
        <w:ind w:left="360" w:right="48"/>
        <w:jc w:val="both"/>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Ley de Transparencia y Acceso a la Información Pública del Estado de México y Municipios, establece que uno de los principios por lo que se rige el acceso a la información pública consiste en la gratuidad del procedimiento:</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w:t>
      </w:r>
      <w:r w:rsidRPr="008267EB">
        <w:rPr>
          <w:rFonts w:ascii="Palatino Linotype" w:eastAsia="Palatino Linotype" w:hAnsi="Palatino Linotype" w:cs="Palatino Linotype"/>
          <w:b/>
          <w:bCs/>
          <w:i/>
          <w:iCs/>
          <w:color w:val="000000"/>
        </w:rPr>
        <w:t>Artículo 173.</w:t>
      </w:r>
      <w:r w:rsidRPr="008267EB">
        <w:rPr>
          <w:rFonts w:ascii="Palatino Linotype" w:eastAsia="Palatino Linotype" w:hAnsi="Palatino Linotype" w:cs="Palatino Linotype"/>
          <w:i/>
          <w:iCs/>
          <w:color w:val="000000"/>
        </w:rPr>
        <w:t xml:space="preserve"> Sin perjuicio de lo anteriormente establecido, el procedimiento de acceso a la información se rige por los siguientes principios: </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 xml:space="preserve">I. Simplicidad y rapidez; </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b/>
          <w:bCs/>
          <w:i/>
          <w:iCs/>
          <w:color w:val="000000"/>
        </w:rPr>
      </w:pPr>
      <w:r w:rsidRPr="008267EB">
        <w:rPr>
          <w:rFonts w:ascii="Palatino Linotype" w:eastAsia="Palatino Linotype" w:hAnsi="Palatino Linotype" w:cs="Palatino Linotype"/>
          <w:b/>
          <w:bCs/>
          <w:i/>
          <w:iCs/>
          <w:color w:val="000000"/>
        </w:rPr>
        <w:lastRenderedPageBreak/>
        <w:t xml:space="preserve">II. Gratuidad del procedimiento; y </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III. Auxilio y orientación a los particulares.”</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Énfasis añadido</w:t>
      </w:r>
    </w:p>
    <w:p w:rsidR="009D2AA0" w:rsidRPr="008267EB" w:rsidRDefault="009D2AA0">
      <w:pPr>
        <w:pBdr>
          <w:top w:val="nil"/>
          <w:left w:val="nil"/>
          <w:bottom w:val="nil"/>
          <w:right w:val="nil"/>
          <w:between w:val="nil"/>
        </w:pBdr>
        <w:tabs>
          <w:tab w:val="left" w:pos="851"/>
        </w:tabs>
        <w:spacing w:line="360" w:lineRule="auto"/>
        <w:ind w:left="360" w:right="615"/>
        <w:jc w:val="both"/>
        <w:rPr>
          <w:rFonts w:ascii="Palatino Linotype" w:eastAsia="Palatino Linotype" w:hAnsi="Palatino Linotype" w:cs="Palatino Linotype"/>
          <w:i/>
          <w:iCs/>
          <w:color w:val="000000"/>
        </w:rPr>
      </w:pPr>
    </w:p>
    <w:p w:rsidR="009D2AA0" w:rsidRPr="008267EB" w:rsidRDefault="00CD00D5">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Asimismo, el artículo 17 y 150  de  la Ley de Transparencia Local establece que la búsqueda y el acceso a la información pública deberá ser gratuita:</w:t>
      </w: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i/>
          <w:iCs/>
          <w:color w:val="000000"/>
        </w:rPr>
        <w:t>“</w:t>
      </w:r>
      <w:r w:rsidRPr="008267EB">
        <w:rPr>
          <w:rFonts w:ascii="Palatino Linotype" w:eastAsia="Palatino Linotype" w:hAnsi="Palatino Linotype" w:cs="Palatino Linotype"/>
          <w:b/>
          <w:bCs/>
          <w:i/>
          <w:iCs/>
          <w:color w:val="000000"/>
        </w:rPr>
        <w:t>Artículo 17</w:t>
      </w:r>
      <w:r w:rsidRPr="008267EB">
        <w:rPr>
          <w:rFonts w:ascii="Palatino Linotype" w:eastAsia="Palatino Linotype" w:hAnsi="Palatino Linotype" w:cs="Palatino Linotype"/>
          <w:i/>
          <w:iCs/>
          <w:color w:val="000000"/>
        </w:rPr>
        <w:t>. 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los límites establecidos en la presente Ley.”</w:t>
      </w:r>
    </w:p>
    <w:p w:rsidR="009D2AA0" w:rsidRPr="008267EB" w:rsidRDefault="009D2AA0">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p>
    <w:p w:rsidR="009D2AA0" w:rsidRPr="008267EB" w:rsidRDefault="00CD00D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color w:val="000000"/>
        </w:rPr>
      </w:pPr>
      <w:r w:rsidRPr="008267EB">
        <w:rPr>
          <w:rFonts w:ascii="Palatino Linotype" w:eastAsia="Palatino Linotype" w:hAnsi="Palatino Linotype" w:cs="Palatino Linotype"/>
          <w:b/>
          <w:bCs/>
          <w:i/>
          <w:iCs/>
          <w:color w:val="000000"/>
        </w:rPr>
        <w:t>“Artículo 150</w:t>
      </w:r>
      <w:r w:rsidRPr="008267EB">
        <w:rPr>
          <w:rFonts w:ascii="Palatino Linotype" w:eastAsia="Palatino Linotype" w:hAnsi="Palatino Linotype" w:cs="Palatino Linotype"/>
          <w:i/>
          <w:iCs/>
          <w:color w:val="000000"/>
        </w:rPr>
        <w:t xml:space="preserve"> (LTAIPEMyM):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9D2AA0" w:rsidRPr="008267EB" w:rsidRDefault="009D2AA0">
      <w:pPr>
        <w:pBdr>
          <w:top w:val="nil"/>
          <w:left w:val="nil"/>
          <w:bottom w:val="nil"/>
          <w:right w:val="nil"/>
          <w:between w:val="nil"/>
        </w:pBdr>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Con fundamento en los preceptos legales señalados, la gratuidad es un principio bajo el cual se rige el derecho de acceso a la información, razón por la cual, la información solicitada por el particular, debe ser entregada vía SAIMEX, sin que esto le genere algún costo.</w:t>
      </w:r>
    </w:p>
    <w:p w:rsidR="009D2AA0" w:rsidRPr="008267EB" w:rsidRDefault="009D2AA0">
      <w:pPr>
        <w:pBdr>
          <w:top w:val="nil"/>
          <w:left w:val="nil"/>
          <w:bottom w:val="nil"/>
          <w:right w:val="nil"/>
          <w:between w:val="nil"/>
        </w:pBdr>
        <w:tabs>
          <w:tab w:val="left" w:pos="0"/>
        </w:tabs>
        <w:spacing w:line="360" w:lineRule="auto"/>
        <w:ind w:right="48"/>
        <w:jc w:val="both"/>
        <w:rPr>
          <w:rFonts w:ascii="Palatino Linotype" w:eastAsia="Palatino Linotype" w:hAnsi="Palatino Linotype" w:cs="Palatino Linotype"/>
          <w:color w:val="000000"/>
        </w:rPr>
      </w:pPr>
    </w:p>
    <w:p w:rsidR="009D2AA0" w:rsidRPr="008267EB" w:rsidRDefault="00CD00D5">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lastRenderedPageBreak/>
        <w:t>Es importante destacar, que el artículo 174 y 175 establecen el cobr</w:t>
      </w:r>
      <w:r w:rsidRPr="008267EB">
        <w:rPr>
          <w:rFonts w:ascii="Palatino Linotype" w:eastAsia="Palatino Linotype" w:hAnsi="Palatino Linotype" w:cs="Palatino Linotype"/>
        </w:rPr>
        <w:t>o</w:t>
      </w:r>
      <w:r w:rsidRPr="008267EB">
        <w:rPr>
          <w:rFonts w:ascii="Palatino Linotype" w:eastAsia="Palatino Linotype" w:hAnsi="Palatino Linotype" w:cs="Palatino Linotype"/>
          <w:color w:val="000000"/>
        </w:rPr>
        <w:t xml:space="preserve"> de derechos para la entrega de la información con el objeto de que se cubran los costos de los materiales utilizados en la reproducción de la información, el costo por él envió de la misma o el pago por la certificación; sin embargo, en el caso particular que se comenta no se estima que se actualice ninguno de esos supuestos y no debe perderse de vista que la parte solicitante requirió la información a través del SAIMEX, por lo que ello únicamente implica la digitalización o escaneo de la información a entregar, lo cual no conlleva la utilización de materiales que generen un costo para el Sujeto Obligado,</w:t>
      </w:r>
      <w:r w:rsidRPr="008267EB">
        <w:rPr>
          <w:rFonts w:ascii="Palatino Linotype" w:eastAsia="Palatino Linotype" w:hAnsi="Palatino Linotype" w:cs="Palatino Linotype"/>
          <w:b/>
          <w:bCs/>
          <w:color w:val="000000"/>
        </w:rPr>
        <w:t xml:space="preserve"> </w:t>
      </w:r>
      <w:r w:rsidRPr="008267EB">
        <w:rPr>
          <w:rFonts w:ascii="Palatino Linotype" w:eastAsia="Palatino Linotype" w:hAnsi="Palatino Linotype" w:cs="Palatino Linotype"/>
          <w:color w:val="000000"/>
        </w:rPr>
        <w:t xml:space="preserve">como es el caso por ejemplo de la emisión de copias; así tampoco se genera un gasto por él envió de la información, ya que una de las finalidades de la utilización del Sistema de Acceso a la Información Pública Mexiquense, es evitar la generación de gastos tanto para los solicitantes como para los Sujetos Obligados, pues se trata de un sistema electrónico que para acceder al mismo no necesita recurso alguno, más que un equipo de cómputo con acceso a internet y un digitalizador de documentos. Por lo anteriormente expuesto, este Órgano Garante determina que la entrega de la información no generará costo alguno por lo que resulta procedente ordenar la entrega de la información en versión publica, en la modalidad elegida por el solicitante vía SAIMEX, prevaleciendo el principio de gratuidad. </w:t>
      </w:r>
    </w:p>
    <w:p w:rsidR="009D2AA0" w:rsidRPr="008267EB" w:rsidRDefault="009D2AA0">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rPr>
      </w:pPr>
    </w:p>
    <w:p w:rsidR="009D2AA0" w:rsidRPr="008267EB" w:rsidRDefault="00CD00D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8267EB">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8267EB">
        <w:rPr>
          <w:rFonts w:ascii="Palatino Linotype" w:eastAsia="Palatino Linotype" w:hAnsi="Palatino Linotype" w:cs="Palatino Linotype"/>
          <w:b/>
          <w:bCs/>
          <w:color w:val="000000"/>
        </w:rPr>
        <w:t xml:space="preserve">MODIFICAR </w:t>
      </w:r>
      <w:r w:rsidRPr="008267EB">
        <w:rPr>
          <w:rFonts w:ascii="Palatino Linotype" w:eastAsia="Palatino Linotype" w:hAnsi="Palatino Linotype" w:cs="Palatino Linotype"/>
          <w:color w:val="000000"/>
        </w:rPr>
        <w:t xml:space="preserve">la respuesta otorgada por el Sujeto Obligado, y determina que es dable </w:t>
      </w:r>
      <w:r w:rsidRPr="008267EB">
        <w:rPr>
          <w:rFonts w:ascii="Palatino Linotype" w:eastAsia="Palatino Linotype" w:hAnsi="Palatino Linotype" w:cs="Palatino Linotype"/>
          <w:b/>
          <w:bCs/>
          <w:color w:val="000000"/>
        </w:rPr>
        <w:t>ORDENAR</w:t>
      </w:r>
      <w:r w:rsidRPr="008267EB">
        <w:rPr>
          <w:rFonts w:ascii="Palatino Linotype" w:eastAsia="Palatino Linotype" w:hAnsi="Palatino Linotype" w:cs="Palatino Linotype"/>
          <w:color w:val="000000"/>
        </w:rPr>
        <w:t>, de ser procedente en versión pública, la siguiente información:</w:t>
      </w:r>
      <w:r w:rsidRPr="008267EB">
        <w:rPr>
          <w:rFonts w:ascii="Palatino Linotype" w:eastAsia="Palatino Linotype" w:hAnsi="Palatino Linotype" w:cs="Palatino Linotype"/>
          <w:b/>
          <w:bCs/>
          <w:color w:val="000000"/>
        </w:rPr>
        <w:t xml:space="preserve"> </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9D2AA0" w:rsidRPr="008267EB" w:rsidRDefault="00CD00D5">
      <w:pPr>
        <w:numPr>
          <w:ilvl w:val="0"/>
          <w:numId w:val="6"/>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bCs/>
          <w:color w:val="000000"/>
        </w:rPr>
      </w:pPr>
      <w:bookmarkStart w:id="7" w:name="_heading=h.mh3q47ksvucp" w:colFirst="0" w:colLast="0"/>
      <w:bookmarkEnd w:id="7"/>
      <w:r w:rsidRPr="008267EB">
        <w:rPr>
          <w:rFonts w:ascii="Palatino Linotype" w:eastAsia="Palatino Linotype" w:hAnsi="Palatino Linotype" w:cs="Palatino Linotype"/>
          <w:b/>
          <w:bCs/>
          <w:color w:val="000000"/>
        </w:rPr>
        <w:lastRenderedPageBreak/>
        <w:t xml:space="preserve">Los documentos faltantes que conforman el expediente 409/2019 remitido en respuesta. </w:t>
      </w:r>
    </w:p>
    <w:p w:rsidR="009D2AA0" w:rsidRPr="008267EB" w:rsidRDefault="009D2AA0">
      <w:pPr>
        <w:spacing w:line="360" w:lineRule="auto"/>
        <w:ind w:left="851" w:right="822"/>
        <w:jc w:val="both"/>
        <w:rPr>
          <w:rFonts w:ascii="Palatino Linotype" w:eastAsia="Palatino Linotype" w:hAnsi="Palatino Linotype" w:cs="Palatino Linotype"/>
          <w:b/>
          <w:bCs/>
        </w:rPr>
      </w:pPr>
    </w:p>
    <w:p w:rsidR="009D2AA0" w:rsidRPr="008267EB" w:rsidRDefault="00CD00D5">
      <w:pPr>
        <w:spacing w:line="360" w:lineRule="auto"/>
        <w:ind w:right="822"/>
        <w:rPr>
          <w:rFonts w:ascii="Palatino Linotype" w:eastAsia="Palatino Linotype" w:hAnsi="Palatino Linotype" w:cs="Palatino Linotype"/>
          <w:b/>
          <w:bCs/>
        </w:rPr>
      </w:pPr>
      <w:r w:rsidRPr="008267EB">
        <w:rPr>
          <w:rFonts w:ascii="Palatino Linotype" w:eastAsia="Palatino Linotype" w:hAnsi="Palatino Linotype" w:cs="Palatino Linotype"/>
          <w:b/>
          <w:bCs/>
        </w:rPr>
        <w:t>QUINTO. De la versión pública.</w:t>
      </w:r>
    </w:p>
    <w:p w:rsidR="009D2AA0" w:rsidRPr="008267EB" w:rsidRDefault="00CD00D5">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Debe destacarse que, debido a la naturaleza de la información solicitada</w:t>
      </w:r>
      <w:r w:rsidRPr="008267EB">
        <w:rPr>
          <w:rFonts w:ascii="Palatino Linotype" w:eastAsia="Palatino Linotype" w:hAnsi="Palatino Linotype" w:cs="Palatino Linotype"/>
          <w:b/>
          <w:bCs/>
          <w:color w:val="000000"/>
        </w:rPr>
        <w:t xml:space="preserve">, </w:t>
      </w:r>
      <w:r w:rsidRPr="008267EB">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8267EB">
        <w:rPr>
          <w:rFonts w:ascii="Palatino Linotype" w:eastAsia="Palatino Linotype" w:hAnsi="Palatino Linotype" w:cs="Palatino Linotype"/>
          <w:b/>
          <w:bCs/>
          <w:color w:val="000000"/>
        </w:rPr>
        <w:t xml:space="preserve">Sujeto Obligado </w:t>
      </w:r>
      <w:r w:rsidRPr="008267EB">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D2AA0" w:rsidRPr="008267EB" w:rsidRDefault="009D2AA0">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9D2AA0" w:rsidRPr="008267EB" w:rsidRDefault="00CD00D5">
      <w:pPr>
        <w:numPr>
          <w:ilvl w:val="0"/>
          <w:numId w:val="3"/>
        </w:numPr>
        <w:tabs>
          <w:tab w:val="left" w:pos="284"/>
        </w:tabs>
        <w:spacing w:line="360" w:lineRule="auto"/>
        <w:ind w:left="0" w:right="49"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No pasa desapercibido para este Órgano Garante que los </w:t>
      </w:r>
      <w:r w:rsidRPr="008267EB">
        <w:rPr>
          <w:rFonts w:ascii="Palatino Linotype" w:eastAsia="Palatino Linotype" w:hAnsi="Palatino Linotype" w:cs="Palatino Linotype"/>
          <w:b/>
          <w:bCs/>
        </w:rPr>
        <w:t xml:space="preserve">Sujetos Obligados </w:t>
      </w:r>
      <w:r w:rsidRPr="008267EB">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D2AA0" w:rsidRPr="008267EB" w:rsidRDefault="009D2AA0">
      <w:pPr>
        <w:tabs>
          <w:tab w:val="left" w:pos="284"/>
        </w:tabs>
        <w:spacing w:line="360" w:lineRule="auto"/>
        <w:ind w:right="49"/>
        <w:jc w:val="both"/>
        <w:rPr>
          <w:rFonts w:ascii="Palatino Linotype" w:eastAsia="Palatino Linotype" w:hAnsi="Palatino Linotype" w:cs="Palatino Linotype"/>
        </w:rPr>
      </w:pPr>
    </w:p>
    <w:tbl>
      <w:tblPr>
        <w:tblStyle w:val="a0"/>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3"/>
        <w:gridCol w:w="6946"/>
      </w:tblGrid>
      <w:tr w:rsidR="009D2AA0" w:rsidRPr="008267EB" w:rsidTr="00396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9D2AA0" w:rsidRPr="008267EB" w:rsidRDefault="00CD00D5">
            <w:pPr>
              <w:tabs>
                <w:tab w:val="left" w:pos="284"/>
              </w:tabs>
              <w:spacing w:line="360" w:lineRule="auto"/>
              <w:rPr>
                <w:rFonts w:ascii="Palatino Linotype" w:eastAsia="Palatino Linotype" w:hAnsi="Palatino Linotype" w:cs="Palatino Linotype"/>
              </w:rPr>
            </w:pPr>
            <w:r w:rsidRPr="008267EB">
              <w:rPr>
                <w:rFonts w:ascii="Palatino Linotype" w:eastAsia="Palatino Linotype" w:hAnsi="Palatino Linotype" w:cs="Palatino Linotype"/>
              </w:rPr>
              <w:t>a) Requisitos previos.</w:t>
            </w:r>
          </w:p>
        </w:tc>
        <w:tc>
          <w:tcPr>
            <w:tcW w:w="6946" w:type="dxa"/>
          </w:tcPr>
          <w:p w:rsidR="009D2AA0" w:rsidRPr="008267EB" w:rsidRDefault="00CD00D5">
            <w:pPr>
              <w:tabs>
                <w:tab w:val="left" w:pos="284"/>
              </w:tabs>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D2AA0" w:rsidRPr="008267EB" w:rsidRDefault="00CD00D5">
            <w:pPr>
              <w:tabs>
                <w:tab w:val="left" w:pos="284"/>
              </w:tabs>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rsidR="009D2AA0" w:rsidRPr="008267EB" w:rsidRDefault="00CD00D5">
            <w:pPr>
              <w:tabs>
                <w:tab w:val="left" w:pos="284"/>
              </w:tabs>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Además, se debe señalar el procedimiento, de los tres que establecen los artículos 132 y 106 de la Ley Estatal y General, respectivamente.</w:t>
            </w:r>
          </w:p>
          <w:p w:rsidR="009D2AA0" w:rsidRPr="008267EB" w:rsidRDefault="00CD00D5">
            <w:pPr>
              <w:tabs>
                <w:tab w:val="left" w:pos="284"/>
              </w:tabs>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8267EB">
              <w:rPr>
                <w:rFonts w:ascii="Palatino Linotype" w:eastAsia="Palatino Linotype" w:hAnsi="Palatino Linotype" w:cs="Palatino Linotype"/>
                <w:u w:val="single"/>
              </w:rPr>
              <w:t>no se puede hacer un acuerdo para clasificar de manera general todos los documentos de un expediente o área, sin</w:t>
            </w:r>
            <w:r w:rsidRPr="008267EB">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9D2AA0" w:rsidRPr="008267EB" w:rsidTr="00396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9D2AA0" w:rsidRPr="008267EB" w:rsidRDefault="00CD00D5">
            <w:pPr>
              <w:tabs>
                <w:tab w:val="left" w:pos="284"/>
              </w:tabs>
              <w:spacing w:line="360" w:lineRule="auto"/>
              <w:rPr>
                <w:rFonts w:ascii="Palatino Linotype" w:eastAsia="Palatino Linotype" w:hAnsi="Palatino Linotype" w:cs="Palatino Linotype"/>
              </w:rPr>
            </w:pPr>
            <w:r w:rsidRPr="008267EB">
              <w:rPr>
                <w:rFonts w:ascii="Palatino Linotype" w:eastAsia="Palatino Linotype" w:hAnsi="Palatino Linotype" w:cs="Palatino Linotype"/>
              </w:rPr>
              <w:lastRenderedPageBreak/>
              <w:t>b) Supuestos de clasificación.</w:t>
            </w:r>
          </w:p>
        </w:tc>
        <w:tc>
          <w:tcPr>
            <w:tcW w:w="6946" w:type="dxa"/>
          </w:tcPr>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w:t>
            </w:r>
            <w:r w:rsidRPr="008267EB">
              <w:rPr>
                <w:rFonts w:ascii="Palatino Linotype" w:eastAsia="Palatino Linotype" w:hAnsi="Palatino Linotype" w:cs="Palatino Linotype"/>
              </w:rPr>
              <w:lastRenderedPageBreak/>
              <w:t>ampliar las excepciones o supuestos de clasificación aduciendo analogía o mayoría de razón.</w:t>
            </w:r>
          </w:p>
          <w:p w:rsidR="009D2AA0" w:rsidRPr="008267EB" w:rsidRDefault="00CD00D5">
            <w:pPr>
              <w:tabs>
                <w:tab w:val="left" w:pos="284"/>
              </w:tabs>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El </w:t>
            </w:r>
            <w:r w:rsidRPr="008267EB">
              <w:rPr>
                <w:rFonts w:ascii="Palatino Linotype" w:eastAsia="Palatino Linotype" w:hAnsi="Palatino Linotype" w:cs="Palatino Linotype"/>
                <w:b/>
                <w:bCs/>
              </w:rPr>
              <w:t>Sujeto Obligado</w:t>
            </w:r>
            <w:r w:rsidRPr="008267EB">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D2AA0" w:rsidRPr="008267EB" w:rsidTr="003962A9">
        <w:tc>
          <w:tcPr>
            <w:cnfStyle w:val="001000000000" w:firstRow="0" w:lastRow="0" w:firstColumn="1" w:lastColumn="0" w:oddVBand="0" w:evenVBand="0" w:oddHBand="0" w:evenHBand="0" w:firstRowFirstColumn="0" w:firstRowLastColumn="0" w:lastRowFirstColumn="0" w:lastRowLastColumn="0"/>
            <w:tcW w:w="2693" w:type="dxa"/>
          </w:tcPr>
          <w:p w:rsidR="009D2AA0" w:rsidRPr="008267EB" w:rsidRDefault="00CD00D5">
            <w:pPr>
              <w:tabs>
                <w:tab w:val="left" w:pos="284"/>
              </w:tabs>
              <w:spacing w:line="360" w:lineRule="auto"/>
              <w:rPr>
                <w:rFonts w:ascii="Palatino Linotype" w:eastAsia="Palatino Linotype" w:hAnsi="Palatino Linotype" w:cs="Palatino Linotype"/>
              </w:rPr>
            </w:pPr>
            <w:r w:rsidRPr="008267EB">
              <w:rPr>
                <w:rFonts w:ascii="Palatino Linotype" w:eastAsia="Palatino Linotype" w:hAnsi="Palatino Linotype" w:cs="Palatino Linotype"/>
              </w:rPr>
              <w:lastRenderedPageBreak/>
              <w:t>c) Formalidades para emitir el acuerdo de clasificación.</w:t>
            </w:r>
          </w:p>
        </w:tc>
        <w:tc>
          <w:tcPr>
            <w:tcW w:w="6946" w:type="dxa"/>
          </w:tcPr>
          <w:p w:rsidR="009D2AA0" w:rsidRPr="008267EB" w:rsidRDefault="00CD00D5">
            <w:pPr>
              <w:tabs>
                <w:tab w:val="left" w:pos="284"/>
              </w:tabs>
              <w:spacing w:line="360" w:lineRule="auto"/>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9D2AA0" w:rsidRPr="008267EB" w:rsidRDefault="00CD00D5">
            <w:pPr>
              <w:tabs>
                <w:tab w:val="left" w:pos="284"/>
              </w:tabs>
              <w:spacing w:line="360" w:lineRule="auto"/>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Es necesario que </w:t>
            </w:r>
            <w:r w:rsidRPr="008267EB">
              <w:rPr>
                <w:rFonts w:ascii="Palatino Linotype" w:eastAsia="Palatino Linotype" w:hAnsi="Palatino Linotype" w:cs="Palatino Linotype"/>
                <w:b/>
                <w:bCs/>
                <w:u w:val="single"/>
              </w:rPr>
              <w:t>el acto reúna con los requisitos elementales</w:t>
            </w:r>
            <w:r w:rsidRPr="008267EB">
              <w:rPr>
                <w:rFonts w:ascii="Palatino Linotype" w:eastAsia="Palatino Linotype" w:hAnsi="Palatino Linotype" w:cs="Palatino Linotype"/>
              </w:rPr>
              <w:t>, entre ellos, que la autoridad que va a emitir el acto de autoridad sea la legalmente facultada para ello.</w:t>
            </w:r>
          </w:p>
          <w:p w:rsidR="009D2AA0" w:rsidRPr="008267EB" w:rsidRDefault="00CD00D5">
            <w:pPr>
              <w:tabs>
                <w:tab w:val="left" w:pos="284"/>
              </w:tabs>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D2AA0" w:rsidRPr="008267EB" w:rsidTr="00396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9D2AA0" w:rsidRPr="008267EB" w:rsidRDefault="009D2AA0">
            <w:pPr>
              <w:tabs>
                <w:tab w:val="left" w:pos="284"/>
              </w:tabs>
              <w:spacing w:line="360" w:lineRule="auto"/>
              <w:rPr>
                <w:rFonts w:ascii="Palatino Linotype" w:eastAsia="Palatino Linotype" w:hAnsi="Palatino Linotype" w:cs="Palatino Linotype"/>
              </w:rPr>
            </w:pPr>
          </w:p>
          <w:p w:rsidR="009D2AA0" w:rsidRPr="008267EB" w:rsidRDefault="00CD00D5">
            <w:pPr>
              <w:tabs>
                <w:tab w:val="left" w:pos="284"/>
              </w:tabs>
              <w:spacing w:line="360" w:lineRule="auto"/>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d) Requisitos de fondo del acuerdo de clasificación. </w:t>
            </w:r>
          </w:p>
        </w:tc>
        <w:tc>
          <w:tcPr>
            <w:tcW w:w="6946" w:type="dxa"/>
          </w:tcPr>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267EB">
              <w:rPr>
                <w:rFonts w:ascii="Palatino Linotype" w:eastAsia="Palatino Linotype" w:hAnsi="Palatino Linotype" w:cs="Palatino Linotype"/>
                <w:b/>
                <w:bCs/>
              </w:rPr>
              <w:t>Sujetos Obligados</w:t>
            </w:r>
            <w:r w:rsidRPr="008267EB">
              <w:rPr>
                <w:rFonts w:ascii="Palatino Linotype" w:eastAsia="Palatino Linotype" w:hAnsi="Palatino Linotype" w:cs="Palatino Linotype"/>
              </w:rPr>
              <w:t xml:space="preserve">, por lo que deberán fundar y motivar debidamente la clasificación. </w:t>
            </w:r>
          </w:p>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De lo anterior, se desprende que para una correcta </w:t>
            </w:r>
            <w:r w:rsidRPr="008267EB">
              <w:rPr>
                <w:rFonts w:ascii="Palatino Linotype" w:eastAsia="Palatino Linotype" w:hAnsi="Palatino Linotype" w:cs="Palatino Linotype"/>
                <w:b/>
                <w:bCs/>
              </w:rPr>
              <w:t>clasificación total o parcial</w:t>
            </w:r>
            <w:r w:rsidRPr="008267EB">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lastRenderedPageBreak/>
              <w:t>En ese mismo sentido, el numeral trigésimo tercero fracción V de los Lineamientos Generales, precisa que para motivar la clasificación se deben acreditar las circunstancias de tiempo, modo y lugar.</w:t>
            </w:r>
          </w:p>
          <w:p w:rsidR="009D2AA0" w:rsidRPr="008267EB" w:rsidRDefault="00CD00D5">
            <w:pPr>
              <w:tabs>
                <w:tab w:val="left" w:pos="284"/>
              </w:tabs>
              <w:spacing w:line="360" w:lineRule="auto"/>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Ahora bien, </w:t>
            </w:r>
            <w:r w:rsidRPr="008267EB">
              <w:rPr>
                <w:rFonts w:ascii="Palatino Linotype" w:eastAsia="Palatino Linotype" w:hAnsi="Palatino Linotype" w:cs="Palatino Linotype"/>
                <w:b/>
                <w:bCs/>
                <w:u w:val="single"/>
              </w:rPr>
              <w:t>para cada caso además de fundar y motivar</w:t>
            </w:r>
            <w:r w:rsidRPr="008267EB">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D2AA0" w:rsidRPr="008267EB" w:rsidTr="003962A9">
        <w:tc>
          <w:tcPr>
            <w:cnfStyle w:val="001000000000" w:firstRow="0" w:lastRow="0" w:firstColumn="1" w:lastColumn="0" w:oddVBand="0" w:evenVBand="0" w:oddHBand="0" w:evenHBand="0" w:firstRowFirstColumn="0" w:firstRowLastColumn="0" w:lastRowFirstColumn="0" w:lastRowLastColumn="0"/>
            <w:tcW w:w="2693" w:type="dxa"/>
          </w:tcPr>
          <w:p w:rsidR="009D2AA0" w:rsidRPr="008267EB" w:rsidRDefault="00CD00D5">
            <w:pPr>
              <w:tabs>
                <w:tab w:val="left" w:pos="284"/>
              </w:tabs>
              <w:spacing w:line="360" w:lineRule="auto"/>
              <w:ind w:right="49"/>
              <w:jc w:val="both"/>
              <w:rPr>
                <w:rFonts w:ascii="Palatino Linotype" w:eastAsia="Palatino Linotype" w:hAnsi="Palatino Linotype" w:cs="Palatino Linotype"/>
              </w:rPr>
            </w:pPr>
            <w:r w:rsidRPr="008267EB">
              <w:rPr>
                <w:rFonts w:ascii="Palatino Linotype" w:eastAsia="Palatino Linotype" w:hAnsi="Palatino Linotype" w:cs="Palatino Linotype"/>
              </w:rPr>
              <w:lastRenderedPageBreak/>
              <w:t xml:space="preserve">e) Condiciones especiales de la clasificación de la información como confidencial. </w:t>
            </w:r>
          </w:p>
        </w:tc>
        <w:tc>
          <w:tcPr>
            <w:tcW w:w="6946" w:type="dxa"/>
          </w:tcPr>
          <w:p w:rsidR="009D2AA0" w:rsidRPr="008267EB" w:rsidRDefault="00CD00D5">
            <w:pPr>
              <w:tabs>
                <w:tab w:val="left" w:pos="284"/>
              </w:tabs>
              <w:spacing w:line="360" w:lineRule="auto"/>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9D2AA0" w:rsidRPr="008267EB" w:rsidRDefault="00CD00D5">
            <w:pPr>
              <w:tabs>
                <w:tab w:val="left" w:pos="284"/>
              </w:tabs>
              <w:spacing w:line="360" w:lineRule="auto"/>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D2AA0" w:rsidRPr="008267EB" w:rsidRDefault="00CD00D5">
            <w:pPr>
              <w:tabs>
                <w:tab w:val="left" w:pos="284"/>
              </w:tabs>
              <w:spacing w:line="360"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8267EB">
              <w:rPr>
                <w:rFonts w:ascii="Palatino Linotype" w:eastAsia="Palatino Linotype" w:hAnsi="Palatino Linotype" w:cs="Palatino Linotype"/>
              </w:rPr>
              <w:t xml:space="preserve">Pero si la información que se pretende clasificar como confidencial no se encuentra en los supuestos de los artículos señalados y es posible, se deberá consultar al titular de los </w:t>
            </w:r>
            <w:r w:rsidRPr="008267EB">
              <w:rPr>
                <w:rFonts w:ascii="Palatino Linotype" w:eastAsia="Palatino Linotype" w:hAnsi="Palatino Linotype" w:cs="Palatino Linotype"/>
              </w:rPr>
              <w:lastRenderedPageBreak/>
              <w:t>datos si permite o no el acceso. De no ser posible, la realización de la consulta, procede, fundando y motivando, la clasificación.</w:t>
            </w:r>
          </w:p>
        </w:tc>
      </w:tr>
    </w:tbl>
    <w:p w:rsidR="009D2AA0" w:rsidRPr="008267EB" w:rsidRDefault="009D2AA0">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514137" w:rsidRPr="008267EB" w:rsidRDefault="00514137" w:rsidP="00514137">
      <w:pPr>
        <w:pStyle w:val="Prrafodelista"/>
        <w:numPr>
          <w:ilvl w:val="0"/>
          <w:numId w:val="8"/>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b/>
          <w:color w:val="000000"/>
        </w:rPr>
      </w:pPr>
      <w:r w:rsidRPr="008267EB">
        <w:rPr>
          <w:rFonts w:ascii="Palatino Linotype" w:eastAsia="Palatino Linotype" w:hAnsi="Palatino Linotype" w:cs="Palatino Linotype"/>
          <w:b/>
          <w:color w:val="000000"/>
        </w:rPr>
        <w:t>Nombres de menores de edad.</w:t>
      </w:r>
    </w:p>
    <w:p w:rsidR="00514137" w:rsidRPr="008267EB" w:rsidRDefault="00514137" w:rsidP="00514137">
      <w:pPr>
        <w:pStyle w:val="Prrafodelista"/>
        <w:numPr>
          <w:ilvl w:val="0"/>
          <w:numId w:val="3"/>
        </w:numPr>
        <w:spacing w:before="280" w:after="280"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Este Organismo Garante considera que dicha información tiene un trato especial, de acuerdo a lo establecido en la Ley de Protección de Datos Personales el Posesión de Sujeto Obligados del Estado de México y Municipios, misma que en su artículo 8, señala lo siguiente: </w:t>
      </w:r>
    </w:p>
    <w:p w:rsidR="00514137" w:rsidRPr="008267EB" w:rsidRDefault="00514137" w:rsidP="00514137">
      <w:pPr>
        <w:pStyle w:val="Prrafodelista"/>
        <w:tabs>
          <w:tab w:val="left" w:pos="4962"/>
          <w:tab w:val="left" w:pos="8222"/>
        </w:tabs>
        <w:ind w:left="851" w:right="822"/>
        <w:jc w:val="both"/>
        <w:rPr>
          <w:rFonts w:ascii="Palatino Linotype" w:eastAsia="Palatino Linotype" w:hAnsi="Palatino Linotype" w:cs="Palatino Linotype"/>
          <w:b/>
          <w:i/>
        </w:rPr>
      </w:pPr>
      <w:r w:rsidRPr="008267EB">
        <w:rPr>
          <w:rFonts w:ascii="Palatino Linotype" w:eastAsia="Palatino Linotype" w:hAnsi="Palatino Linotype" w:cs="Palatino Linotype"/>
          <w:b/>
          <w:i/>
        </w:rPr>
        <w:t>“Datos personales de niñas, niños y adolescentes</w:t>
      </w:r>
    </w:p>
    <w:p w:rsidR="00514137" w:rsidRPr="008267EB" w:rsidRDefault="00514137" w:rsidP="00514137">
      <w:pPr>
        <w:pStyle w:val="Prrafodelista"/>
        <w:tabs>
          <w:tab w:val="left" w:pos="4962"/>
          <w:tab w:val="left" w:pos="8222"/>
        </w:tabs>
        <w:ind w:left="851" w:right="822"/>
        <w:jc w:val="both"/>
        <w:rPr>
          <w:rFonts w:ascii="Palatino Linotype" w:eastAsia="Palatino Linotype" w:hAnsi="Palatino Linotype" w:cs="Palatino Linotype"/>
          <w:i/>
        </w:rPr>
      </w:pPr>
      <w:r w:rsidRPr="008267EB">
        <w:rPr>
          <w:rFonts w:ascii="Palatino Linotype" w:eastAsia="Palatino Linotype" w:hAnsi="Palatino Linotype" w:cs="Palatino Linotype"/>
          <w:b/>
          <w:i/>
        </w:rPr>
        <w:t>Artículo 8.</w:t>
      </w:r>
      <w:r w:rsidRPr="008267EB">
        <w:rPr>
          <w:rFonts w:ascii="Palatino Linotype" w:eastAsia="Palatino Linotype" w:hAnsi="Palatino Linotype" w:cs="Palatino Linotype"/>
          <w:i/>
        </w:rPr>
        <w:t xml:space="preserve"> En el tratamiento de datos personales de niñas, niños y adolescentes se privilegiará el interés superior de éstos, en términos de la Ley General de los Derechos de Niñas, Niños y Adolescentes, la Ley de Niñas, Niños y Adolescentes del Estado de México y las demás disposiciones legales aplicables, y </w:t>
      </w:r>
      <w:r w:rsidRPr="008267EB">
        <w:rPr>
          <w:rFonts w:ascii="Palatino Linotype" w:eastAsia="Palatino Linotype" w:hAnsi="Palatino Linotype" w:cs="Palatino Linotype"/>
          <w:b/>
          <w:i/>
          <w:u w:val="single"/>
        </w:rPr>
        <w:t>se adoptarán las medidas idóneas para su protección</w:t>
      </w:r>
      <w:r w:rsidRPr="008267EB">
        <w:rPr>
          <w:rFonts w:ascii="Palatino Linotype" w:eastAsia="Palatino Linotype" w:hAnsi="Palatino Linotype" w:cs="Palatino Linotype"/>
          <w:i/>
        </w:rPr>
        <w:t>.</w:t>
      </w:r>
    </w:p>
    <w:p w:rsidR="00514137" w:rsidRPr="008267EB" w:rsidRDefault="00514137" w:rsidP="00514137">
      <w:pPr>
        <w:pStyle w:val="Prrafodelista"/>
        <w:tabs>
          <w:tab w:val="left" w:pos="4962"/>
          <w:tab w:val="left" w:pos="8222"/>
        </w:tabs>
        <w:ind w:left="851" w:right="822"/>
        <w:jc w:val="both"/>
        <w:rPr>
          <w:rFonts w:ascii="Palatino Linotype" w:eastAsia="Palatino Linotype" w:hAnsi="Palatino Linotype" w:cs="Palatino Linotype"/>
          <w:i/>
        </w:rPr>
      </w:pPr>
      <w:r w:rsidRPr="008267EB">
        <w:rPr>
          <w:rFonts w:ascii="Palatino Linotype" w:eastAsia="Palatino Linotype" w:hAnsi="Palatino Linotype" w:cs="Palatino Linotype"/>
          <w:b/>
          <w:i/>
          <w:u w:val="single"/>
        </w:rPr>
        <w:t>El consentimiento se hará por conducto de la o el titular de la patria potestad o tutela</w:t>
      </w:r>
      <w:r w:rsidRPr="008267EB">
        <w:rPr>
          <w:rFonts w:ascii="Palatino Linotype" w:eastAsia="Palatino Linotype" w:hAnsi="Palatino Linotype" w:cs="Palatino Linotype"/>
          <w:i/>
        </w:rPr>
        <w:t xml:space="preserve">, y </w:t>
      </w:r>
      <w:r w:rsidRPr="008267EB">
        <w:rPr>
          <w:rFonts w:ascii="Palatino Linotype" w:eastAsia="Palatino Linotype" w:hAnsi="Palatino Linotype" w:cs="Palatino Linotype"/>
          <w:b/>
          <w:i/>
        </w:rPr>
        <w:t xml:space="preserve">el responsable del tratamiento obtendrá su </w:t>
      </w:r>
      <w:r w:rsidRPr="008267EB">
        <w:rPr>
          <w:rFonts w:ascii="Palatino Linotype" w:eastAsia="Palatino Linotype" w:hAnsi="Palatino Linotype" w:cs="Palatino Linotype"/>
          <w:b/>
          <w:i/>
          <w:u w:val="single"/>
        </w:rPr>
        <w:t>autorización por escrito</w:t>
      </w:r>
      <w:r w:rsidRPr="008267EB">
        <w:rPr>
          <w:rFonts w:ascii="Palatino Linotype" w:eastAsia="Palatino Linotype" w:hAnsi="Palatino Linotype" w:cs="Palatino Linotype"/>
          <w:i/>
        </w:rPr>
        <w:t xml:space="preserve">, así mismo </w:t>
      </w:r>
      <w:r w:rsidRPr="008267EB">
        <w:rPr>
          <w:rFonts w:ascii="Palatino Linotype" w:eastAsia="Palatino Linotype" w:hAnsi="Palatino Linotype" w:cs="Palatino Linotype"/>
          <w:b/>
          <w:i/>
        </w:rPr>
        <w:t>verificará que el consentimiento fue dado o autorizado por la o el titular de la patria potestad o tutela sobre la niña, niño o adolescente</w:t>
      </w:r>
      <w:r w:rsidRPr="008267EB">
        <w:rPr>
          <w:rFonts w:ascii="Palatino Linotype" w:eastAsia="Palatino Linotype" w:hAnsi="Palatino Linotype" w:cs="Palatino Linotype"/>
          <w:i/>
        </w:rPr>
        <w:t>.</w:t>
      </w:r>
    </w:p>
    <w:p w:rsidR="00514137" w:rsidRPr="008267EB" w:rsidRDefault="00514137" w:rsidP="00514137">
      <w:pPr>
        <w:pStyle w:val="Prrafodelista"/>
        <w:tabs>
          <w:tab w:val="left" w:pos="4962"/>
          <w:tab w:val="left" w:pos="8222"/>
        </w:tabs>
        <w:ind w:left="851" w:right="822"/>
        <w:jc w:val="both"/>
        <w:rPr>
          <w:rFonts w:ascii="Palatino Linotype" w:eastAsia="Palatino Linotype" w:hAnsi="Palatino Linotype" w:cs="Palatino Linotype"/>
          <w:i/>
        </w:rPr>
      </w:pPr>
      <w:r w:rsidRPr="008267EB">
        <w:rPr>
          <w:rFonts w:ascii="Palatino Linotype" w:eastAsia="Palatino Linotype" w:hAnsi="Palatino Linotype" w:cs="Palatino Linotype"/>
          <w:b/>
          <w:i/>
          <w:u w:val="single"/>
        </w:rPr>
        <w:t>No se publicarán los datos personales de niñas, niños y ado</w:t>
      </w:r>
      <w:r w:rsidR="001513B7" w:rsidRPr="008267EB">
        <w:rPr>
          <w:rFonts w:ascii="Palatino Linotype" w:eastAsia="Palatino Linotype" w:hAnsi="Palatino Linotype" w:cs="Palatino Linotype"/>
          <w:b/>
          <w:i/>
          <w:u w:val="single"/>
        </w:rPr>
        <w:t xml:space="preserve"> </w:t>
      </w:r>
      <w:r w:rsidRPr="008267EB">
        <w:rPr>
          <w:rFonts w:ascii="Palatino Linotype" w:eastAsia="Palatino Linotype" w:hAnsi="Palatino Linotype" w:cs="Palatino Linotype"/>
          <w:b/>
          <w:i/>
          <w:u w:val="single"/>
        </w:rPr>
        <w:t>lescentes</w:t>
      </w:r>
      <w:r w:rsidRPr="008267EB">
        <w:rPr>
          <w:rFonts w:ascii="Palatino Linotype" w:eastAsia="Palatino Linotype" w:hAnsi="Palatino Linotype" w:cs="Palatino Linotype"/>
          <w:b/>
          <w:i/>
        </w:rPr>
        <w:t xml:space="preserve">, a excepción del consentimiento de su representante </w:t>
      </w:r>
      <w:r w:rsidRPr="008267EB">
        <w:rPr>
          <w:rFonts w:ascii="Palatino Linotype" w:eastAsia="Palatino Linotype" w:hAnsi="Palatino Linotype" w:cs="Palatino Linotype"/>
          <w:i/>
        </w:rPr>
        <w:t>y no sea contraria al interés superior de la niñez.”(Sic)</w:t>
      </w:r>
    </w:p>
    <w:p w:rsidR="00514137" w:rsidRPr="008267EB" w:rsidRDefault="00514137" w:rsidP="00514137">
      <w:pPr>
        <w:pStyle w:val="Prrafodelista"/>
        <w:spacing w:line="360" w:lineRule="auto"/>
        <w:ind w:left="0"/>
        <w:jc w:val="both"/>
        <w:rPr>
          <w:rFonts w:ascii="Palatino Linotype" w:eastAsia="Palatino Linotype" w:hAnsi="Palatino Linotype" w:cs="Palatino Linotype"/>
        </w:rPr>
      </w:pPr>
    </w:p>
    <w:p w:rsidR="00514137" w:rsidRPr="008267EB" w:rsidRDefault="00514137" w:rsidP="001513B7">
      <w:pPr>
        <w:pStyle w:val="Prrafodelista"/>
        <w:numPr>
          <w:ilvl w:val="0"/>
          <w:numId w:val="3"/>
        </w:numP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Asimismo, la legislación estatal en la materia, es clara al referir que no se publicarán datos personales de niñas, niños y adolescentes, salvo que se cuente con el cons</w:t>
      </w:r>
      <w:r w:rsidR="001513B7" w:rsidRPr="008267EB">
        <w:rPr>
          <w:rFonts w:ascii="Palatino Linotype" w:eastAsia="Palatino Linotype" w:hAnsi="Palatino Linotype" w:cs="Palatino Linotype"/>
        </w:rPr>
        <w:t xml:space="preserve">entimiento de su representante. </w:t>
      </w:r>
      <w:r w:rsidRPr="008267EB">
        <w:rPr>
          <w:rFonts w:ascii="Palatino Linotype" w:eastAsia="Palatino Linotype" w:hAnsi="Palatino Linotype" w:cs="Palatino Linotype"/>
        </w:rPr>
        <w:t>Al efecto, la Ley General de los Derechos de Niñas, Niños y Adolescentes, en su artículo 13, fracción XVII, refiere que son derechos de niñas, niños y adolescentes, entre otros, el derecho a la intimidad.</w:t>
      </w:r>
    </w:p>
    <w:p w:rsidR="00514137" w:rsidRPr="008267EB" w:rsidRDefault="00514137" w:rsidP="00514137">
      <w:pPr>
        <w:pStyle w:val="Prrafodelista"/>
        <w:spacing w:line="360" w:lineRule="auto"/>
        <w:ind w:left="0"/>
        <w:jc w:val="both"/>
        <w:rPr>
          <w:rFonts w:ascii="Palatino Linotype" w:eastAsia="Palatino Linotype" w:hAnsi="Palatino Linotype" w:cs="Palatino Linotype"/>
        </w:rPr>
      </w:pPr>
    </w:p>
    <w:p w:rsidR="00514137" w:rsidRPr="008267EB" w:rsidRDefault="00514137" w:rsidP="00514137">
      <w:pPr>
        <w:pStyle w:val="Prrafodelista"/>
        <w:numPr>
          <w:ilvl w:val="0"/>
          <w:numId w:val="3"/>
        </w:numP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lastRenderedPageBreak/>
        <w:t>Por su parte, el artículo 10, fracción XVII, de la Ley General de los Derechos de Niñas, Niños y Adolescentes, determina como uno de los derechos de las niñas, niños y adolescentes, el derecho a la intimidad. Asimismo, el artículo 76, de la norma invocada, indica que niñas, niños y adolescentes tienen derecho a la intimidad personal y familiar, y a la protección de sus datos personales, que no podrán ser objeto de injerencias arbitrarias o ilegales en su vida privada, su familia, su domicilio o su correspondencia; tampoco de divulgaciones o difusiones ilícitas de información o datos personales, incluyendo aquélla que tenga carácter informativo a la opinión pública o de noticia que permita identificarlos y que atenten contra su honra, imagen o reputación.</w:t>
      </w:r>
    </w:p>
    <w:p w:rsidR="00514137" w:rsidRPr="008267EB" w:rsidRDefault="00514137" w:rsidP="00514137">
      <w:pPr>
        <w:pStyle w:val="Prrafodelista"/>
        <w:spacing w:line="360" w:lineRule="auto"/>
        <w:ind w:left="0"/>
        <w:jc w:val="both"/>
        <w:rPr>
          <w:rFonts w:ascii="Palatino Linotype" w:eastAsia="Palatino Linotype" w:hAnsi="Palatino Linotype" w:cs="Palatino Linotype"/>
        </w:rPr>
      </w:pPr>
    </w:p>
    <w:p w:rsidR="00144DF9" w:rsidRPr="008267EB" w:rsidRDefault="00514137" w:rsidP="00144DF9">
      <w:pPr>
        <w:pStyle w:val="Prrafodelista"/>
        <w:numPr>
          <w:ilvl w:val="0"/>
          <w:numId w:val="3"/>
        </w:numP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En concordancia con lo expuesto, la Ley de los Derechos de Niñas, Niños y Adolescentes del Estado de México, prevé en su artículo 55, que las niñas, niños y adolescentes tienen derecho a la intimidad y a la protección de sus datos personales. A mayor abundamiento, el artículo 77 de la misma Ley General de los Derechos de Niñas, Niños y Adolescentes, identifica como violación a la intimidad de niñas, niños o adolescentes cualquier manejo directo de su imagen, nombre, datos personales o referencias que permitan su identificación en los medios de comunicación que cuenten con concesión para prestar el servicio de radiodifusión y telecomunicaciones, así como medios impresos, o en medios electrónicos de los que tenga control el concesionario o medio impreso del que se trate, que menoscabe su honra o reputación, sea contrario a sus derechos o que los ponga en riesgo, conforme al principio de interés superior de la niñez.</w:t>
      </w:r>
      <w:r w:rsidR="00144DF9" w:rsidRPr="008267EB">
        <w:rPr>
          <w:rFonts w:ascii="Palatino Linotype" w:eastAsia="Palatino Linotype" w:hAnsi="Palatino Linotype" w:cs="Palatino Linotype"/>
        </w:rPr>
        <w:t xml:space="preserve"> </w:t>
      </w:r>
    </w:p>
    <w:p w:rsidR="00144DF9" w:rsidRPr="008267EB" w:rsidRDefault="00144DF9" w:rsidP="00144DF9">
      <w:pPr>
        <w:pStyle w:val="Prrafodelista"/>
        <w:rPr>
          <w:rFonts w:ascii="Palatino Linotype" w:eastAsia="Palatino Linotype" w:hAnsi="Palatino Linotype" w:cs="Palatino Linotype"/>
        </w:rPr>
      </w:pPr>
    </w:p>
    <w:p w:rsidR="00514137" w:rsidRDefault="00514137" w:rsidP="001443D2">
      <w:pPr>
        <w:pStyle w:val="Prrafodelista"/>
        <w:numPr>
          <w:ilvl w:val="0"/>
          <w:numId w:val="3"/>
        </w:numPr>
        <w:spacing w:line="360" w:lineRule="auto"/>
        <w:ind w:left="0" w:firstLine="0"/>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Por consiguiente, este Organismo Garante considera que </w:t>
      </w:r>
      <w:r w:rsidR="00144DF9" w:rsidRPr="008267EB">
        <w:rPr>
          <w:rFonts w:ascii="Palatino Linotype" w:eastAsia="Palatino Linotype" w:hAnsi="Palatino Linotype" w:cs="Palatino Linotype"/>
        </w:rPr>
        <w:t>el</w:t>
      </w:r>
      <w:r w:rsidR="001443D2" w:rsidRPr="008267EB">
        <w:rPr>
          <w:rFonts w:ascii="Palatino Linotype" w:eastAsia="Palatino Linotype" w:hAnsi="Palatino Linotype" w:cs="Palatino Linotype"/>
        </w:rPr>
        <w:t xml:space="preserve"> </w:t>
      </w:r>
      <w:r w:rsidRPr="008267EB">
        <w:rPr>
          <w:rFonts w:ascii="Palatino Linotype" w:eastAsia="Palatino Linotype" w:hAnsi="Palatino Linotype" w:cs="Palatino Linotype"/>
        </w:rPr>
        <w:t xml:space="preserve"> nombre de los menores de edad, resulta procedente </w:t>
      </w:r>
      <w:r w:rsidR="001443D2" w:rsidRPr="008267EB">
        <w:rPr>
          <w:rFonts w:ascii="Palatino Linotype" w:eastAsia="Palatino Linotype" w:hAnsi="Palatino Linotype" w:cs="Palatino Linotype"/>
        </w:rPr>
        <w:t>para su</w:t>
      </w:r>
      <w:r w:rsidRPr="008267EB">
        <w:rPr>
          <w:rFonts w:ascii="Palatino Linotype" w:eastAsia="Palatino Linotype" w:hAnsi="Palatino Linotype" w:cs="Palatino Linotype"/>
        </w:rPr>
        <w:t xml:space="preserve"> clasificación en términos del artículo 143, fracción I  de </w:t>
      </w:r>
      <w:r w:rsidRPr="008267EB">
        <w:rPr>
          <w:rFonts w:ascii="Palatino Linotype" w:eastAsia="Palatino Linotype" w:hAnsi="Palatino Linotype" w:cs="Palatino Linotype"/>
        </w:rPr>
        <w:lastRenderedPageBreak/>
        <w:t>la Ley de Transparencia y Acceso a la Información Pública d</w:t>
      </w:r>
      <w:r w:rsidR="001443D2" w:rsidRPr="008267EB">
        <w:rPr>
          <w:rFonts w:ascii="Palatino Linotype" w:eastAsia="Palatino Linotype" w:hAnsi="Palatino Linotype" w:cs="Palatino Linotype"/>
        </w:rPr>
        <w:t xml:space="preserve">el Estado de México y Municipios. </w:t>
      </w:r>
      <w:r w:rsidRPr="008267EB">
        <w:rPr>
          <w:rFonts w:ascii="Palatino Linotype" w:eastAsia="Palatino Linotype" w:hAnsi="Palatino Linotype" w:cs="Palatino Linotype"/>
        </w:rPr>
        <w:t xml:space="preserve"> </w:t>
      </w:r>
    </w:p>
    <w:p w:rsidR="003962A9" w:rsidRPr="008267EB" w:rsidRDefault="003962A9" w:rsidP="003962A9">
      <w:pPr>
        <w:pStyle w:val="Prrafodelista"/>
        <w:spacing w:line="360" w:lineRule="auto"/>
        <w:ind w:left="0"/>
        <w:jc w:val="both"/>
        <w:rPr>
          <w:rFonts w:ascii="Palatino Linotype" w:eastAsia="Palatino Linotype" w:hAnsi="Palatino Linotype" w:cs="Palatino Linotype"/>
        </w:rPr>
      </w:pPr>
      <w:bookmarkStart w:id="8" w:name="_GoBack"/>
      <w:bookmarkEnd w:id="8"/>
    </w:p>
    <w:p w:rsidR="009D2AA0" w:rsidRPr="008267EB" w:rsidRDefault="00CD00D5">
      <w:pPr>
        <w:numPr>
          <w:ilvl w:val="0"/>
          <w:numId w:val="3"/>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color w:val="000000"/>
        </w:rPr>
        <w:t xml:space="preserve">Por lo anteriormente expuesto y fundado, este </w:t>
      </w:r>
      <w:r w:rsidRPr="008267EB">
        <w:rPr>
          <w:rFonts w:ascii="Palatino Linotype" w:eastAsia="Palatino Linotype" w:hAnsi="Palatino Linotype" w:cs="Palatino Linotype"/>
          <w:b/>
          <w:bCs/>
          <w:color w:val="000000"/>
        </w:rPr>
        <w:t>ÓRGANO GARANTE</w:t>
      </w:r>
      <w:r w:rsidRPr="008267EB">
        <w:rPr>
          <w:rFonts w:ascii="Palatino Linotype" w:eastAsia="Palatino Linotype" w:hAnsi="Palatino Linotype" w:cs="Palatino Linotype"/>
          <w:color w:val="000000"/>
        </w:rPr>
        <w:t xml:space="preserve"> emite los siguientes:</w:t>
      </w:r>
    </w:p>
    <w:p w:rsidR="009D2AA0" w:rsidRPr="008267EB" w:rsidRDefault="00CD00D5">
      <w:pPr>
        <w:pStyle w:val="Ttulo1"/>
        <w:jc w:val="center"/>
        <w:rPr>
          <w:rFonts w:ascii="Palatino Linotype" w:eastAsia="Palatino Linotype" w:hAnsi="Palatino Linotype" w:cs="Palatino Linotype"/>
          <w:b/>
          <w:bCs/>
          <w:color w:val="000000"/>
          <w:sz w:val="24"/>
          <w:szCs w:val="24"/>
        </w:rPr>
      </w:pPr>
      <w:bookmarkStart w:id="9" w:name="_heading=h.jszhvncxdys9" w:colFirst="0" w:colLast="0"/>
      <w:bookmarkEnd w:id="9"/>
      <w:r w:rsidRPr="008267EB">
        <w:rPr>
          <w:rFonts w:ascii="Palatino Linotype" w:eastAsia="Palatino Linotype" w:hAnsi="Palatino Linotype" w:cs="Palatino Linotype"/>
          <w:b/>
          <w:bCs/>
          <w:color w:val="000000"/>
          <w:sz w:val="24"/>
          <w:szCs w:val="24"/>
        </w:rPr>
        <w:t>R E S O L U T I V O S</w:t>
      </w:r>
    </w:p>
    <w:p w:rsidR="009D2AA0" w:rsidRPr="008267EB" w:rsidRDefault="009D2AA0">
      <w:pPr>
        <w:keepNext/>
        <w:keepLines/>
        <w:spacing w:line="360" w:lineRule="auto"/>
        <w:jc w:val="center"/>
        <w:rPr>
          <w:rFonts w:ascii="Palatino Linotype" w:eastAsia="Palatino Linotype" w:hAnsi="Palatino Linotype" w:cs="Palatino Linotype"/>
          <w:b/>
          <w:bCs/>
        </w:rPr>
      </w:pPr>
    </w:p>
    <w:p w:rsidR="009D2AA0" w:rsidRPr="008267EB" w:rsidRDefault="00CD00D5">
      <w:pPr>
        <w:spacing w:line="360" w:lineRule="auto"/>
        <w:jc w:val="both"/>
        <w:rPr>
          <w:rFonts w:ascii="Palatino Linotype" w:eastAsia="Palatino Linotype" w:hAnsi="Palatino Linotype" w:cs="Palatino Linotype"/>
        </w:rPr>
      </w:pPr>
      <w:r w:rsidRPr="008267EB">
        <w:rPr>
          <w:rFonts w:ascii="Palatino Linotype" w:eastAsia="Palatino Linotype" w:hAnsi="Palatino Linotype" w:cs="Palatino Linotype"/>
          <w:b/>
          <w:bCs/>
        </w:rPr>
        <w:t xml:space="preserve">PRIMERO. </w:t>
      </w:r>
      <w:r w:rsidRPr="008267EB">
        <w:rPr>
          <w:rFonts w:ascii="Palatino Linotype" w:eastAsia="Palatino Linotype" w:hAnsi="Palatino Linotype" w:cs="Palatino Linotype"/>
        </w:rPr>
        <w:t>Resultan fundadas las</w:t>
      </w:r>
      <w:r w:rsidRPr="008267EB">
        <w:rPr>
          <w:rFonts w:ascii="Palatino Linotype" w:eastAsia="Palatino Linotype" w:hAnsi="Palatino Linotype" w:cs="Palatino Linotype"/>
          <w:b/>
          <w:bCs/>
        </w:rPr>
        <w:t xml:space="preserve"> </w:t>
      </w:r>
      <w:r w:rsidRPr="008267EB">
        <w:rPr>
          <w:rFonts w:ascii="Palatino Linotype" w:eastAsia="Palatino Linotype" w:hAnsi="Palatino Linotype" w:cs="Palatino Linotype"/>
        </w:rPr>
        <w:t xml:space="preserve">razones o motivos de inconformidad hechos valer en el recurso de revisión </w:t>
      </w:r>
      <w:r w:rsidRPr="008267EB">
        <w:rPr>
          <w:rFonts w:ascii="Palatino Linotype" w:eastAsia="Palatino Linotype" w:hAnsi="Palatino Linotype" w:cs="Palatino Linotype"/>
          <w:b/>
          <w:bCs/>
        </w:rPr>
        <w:t xml:space="preserve">09278/INFOEM/IP/RR/2025 </w:t>
      </w:r>
      <w:r w:rsidRPr="008267EB">
        <w:rPr>
          <w:rFonts w:ascii="Palatino Linotype" w:eastAsia="Palatino Linotype" w:hAnsi="Palatino Linotype" w:cs="Palatino Linotype"/>
        </w:rPr>
        <w:t>en términos de los</w:t>
      </w:r>
      <w:r w:rsidRPr="008267EB">
        <w:rPr>
          <w:rFonts w:ascii="Palatino Linotype" w:eastAsia="Palatino Linotype" w:hAnsi="Palatino Linotype" w:cs="Palatino Linotype"/>
          <w:b/>
          <w:bCs/>
        </w:rPr>
        <w:t xml:space="preserve"> Considerandos</w:t>
      </w:r>
      <w:r w:rsidRPr="008267EB">
        <w:rPr>
          <w:rFonts w:ascii="Palatino Linotype" w:eastAsia="Palatino Linotype" w:hAnsi="Palatino Linotype" w:cs="Palatino Linotype"/>
        </w:rPr>
        <w:t xml:space="preserve"> </w:t>
      </w:r>
      <w:r w:rsidRPr="008267EB">
        <w:rPr>
          <w:rFonts w:ascii="Palatino Linotype" w:eastAsia="Palatino Linotype" w:hAnsi="Palatino Linotype" w:cs="Palatino Linotype"/>
          <w:b/>
          <w:bCs/>
        </w:rPr>
        <w:t>CUARTO y QUINTO</w:t>
      </w:r>
      <w:r w:rsidRPr="008267EB">
        <w:rPr>
          <w:rFonts w:ascii="Palatino Linotype" w:eastAsia="Palatino Linotype" w:hAnsi="Palatino Linotype" w:cs="Palatino Linotype"/>
        </w:rPr>
        <w:t xml:space="preserve"> de la presente resolución.</w:t>
      </w:r>
    </w:p>
    <w:p w:rsidR="009D2AA0" w:rsidRPr="008267EB" w:rsidRDefault="009D2AA0">
      <w:pPr>
        <w:spacing w:line="360" w:lineRule="auto"/>
        <w:jc w:val="both"/>
        <w:rPr>
          <w:rFonts w:ascii="Palatino Linotype" w:eastAsia="Palatino Linotype" w:hAnsi="Palatino Linotype" w:cs="Palatino Linotype"/>
          <w:b/>
          <w:bCs/>
        </w:rPr>
      </w:pPr>
    </w:p>
    <w:p w:rsidR="009D2AA0" w:rsidRPr="008267EB" w:rsidRDefault="00CD00D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267EB">
        <w:rPr>
          <w:rFonts w:ascii="Palatino Linotype" w:eastAsia="Palatino Linotype" w:hAnsi="Palatino Linotype" w:cs="Palatino Linotype"/>
          <w:b/>
          <w:bCs/>
          <w:color w:val="000000"/>
        </w:rPr>
        <w:t xml:space="preserve">SEGUNDO. </w:t>
      </w:r>
      <w:r w:rsidRPr="008267EB">
        <w:rPr>
          <w:rFonts w:ascii="Palatino Linotype" w:eastAsia="Palatino Linotype" w:hAnsi="Palatino Linotype" w:cs="Palatino Linotype"/>
          <w:color w:val="000000"/>
        </w:rPr>
        <w:t xml:space="preserve">Se </w:t>
      </w:r>
      <w:r w:rsidRPr="008267EB">
        <w:rPr>
          <w:rFonts w:ascii="Palatino Linotype" w:eastAsia="Palatino Linotype" w:hAnsi="Palatino Linotype" w:cs="Palatino Linotype"/>
          <w:b/>
          <w:bCs/>
          <w:color w:val="000000"/>
        </w:rPr>
        <w:t>MODIFICA</w:t>
      </w:r>
      <w:r w:rsidRPr="008267EB">
        <w:rPr>
          <w:rFonts w:ascii="Palatino Linotype" w:eastAsia="Palatino Linotype" w:hAnsi="Palatino Linotype" w:cs="Palatino Linotype"/>
          <w:color w:val="000000"/>
        </w:rPr>
        <w:t xml:space="preserve"> la respuesta y se </w:t>
      </w:r>
      <w:r w:rsidRPr="008267EB">
        <w:rPr>
          <w:rFonts w:ascii="Palatino Linotype" w:eastAsia="Palatino Linotype" w:hAnsi="Palatino Linotype" w:cs="Palatino Linotype"/>
          <w:b/>
          <w:bCs/>
          <w:color w:val="000000"/>
        </w:rPr>
        <w:t xml:space="preserve">ORDENA </w:t>
      </w:r>
      <w:r w:rsidRPr="008267EB">
        <w:rPr>
          <w:rFonts w:ascii="Palatino Linotype" w:eastAsia="Palatino Linotype" w:hAnsi="Palatino Linotype" w:cs="Palatino Linotype"/>
          <w:color w:val="000000"/>
        </w:rPr>
        <w:t xml:space="preserve">al </w:t>
      </w:r>
      <w:r w:rsidRPr="008267EB">
        <w:rPr>
          <w:rFonts w:ascii="Palatino Linotype" w:eastAsia="Palatino Linotype" w:hAnsi="Palatino Linotype" w:cs="Palatino Linotype"/>
          <w:b/>
          <w:bCs/>
          <w:color w:val="000000"/>
        </w:rPr>
        <w:t xml:space="preserve">Poder Judicial, </w:t>
      </w:r>
      <w:r w:rsidRPr="008267EB">
        <w:rPr>
          <w:rFonts w:ascii="Palatino Linotype" w:eastAsia="Palatino Linotype" w:hAnsi="Palatino Linotype" w:cs="Palatino Linotype"/>
          <w:color w:val="000000"/>
        </w:rPr>
        <w:t>entregar vía Sistema de Acceso a la Información Mexiquense (SAIMEX), en versión pública</w:t>
      </w:r>
      <w:r w:rsidRPr="008267EB">
        <w:rPr>
          <w:rFonts w:ascii="Palatino Linotype" w:eastAsia="Palatino Linotype" w:hAnsi="Palatino Linotype" w:cs="Palatino Linotype"/>
          <w:b/>
          <w:bCs/>
          <w:color w:val="000000"/>
        </w:rPr>
        <w:t>,</w:t>
      </w:r>
      <w:r w:rsidRPr="008267EB">
        <w:rPr>
          <w:rFonts w:ascii="Palatino Linotype" w:eastAsia="Palatino Linotype" w:hAnsi="Palatino Linotype" w:cs="Palatino Linotype"/>
          <w:color w:val="000000"/>
        </w:rPr>
        <w:t xml:space="preserve"> la siguiente información:</w:t>
      </w: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D2AA0" w:rsidRPr="008267EB" w:rsidRDefault="00CD00D5">
      <w:pPr>
        <w:numPr>
          <w:ilvl w:val="0"/>
          <w:numId w:val="2"/>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bCs/>
          <w:color w:val="000000"/>
        </w:rPr>
      </w:pPr>
      <w:r w:rsidRPr="008267EB">
        <w:rPr>
          <w:rFonts w:ascii="Palatino Linotype" w:eastAsia="Palatino Linotype" w:hAnsi="Palatino Linotype" w:cs="Palatino Linotype"/>
          <w:b/>
          <w:bCs/>
          <w:color w:val="000000"/>
        </w:rPr>
        <w:t xml:space="preserve">Los documentos faltantes que conforman el expediente 409/2019 remitido en respuesta. </w:t>
      </w:r>
    </w:p>
    <w:p w:rsidR="009D2AA0" w:rsidRPr="008267EB" w:rsidRDefault="009D2AA0">
      <w:pPr>
        <w:pBdr>
          <w:top w:val="nil"/>
          <w:left w:val="nil"/>
          <w:bottom w:val="nil"/>
          <w:right w:val="nil"/>
          <w:between w:val="nil"/>
        </w:pBdr>
        <w:spacing w:line="360" w:lineRule="auto"/>
        <w:ind w:left="720" w:right="822"/>
        <w:jc w:val="both"/>
        <w:rPr>
          <w:rFonts w:ascii="Palatino Linotype" w:eastAsia="Palatino Linotype" w:hAnsi="Palatino Linotype" w:cs="Palatino Linotype"/>
          <w:b/>
          <w:bCs/>
          <w:color w:val="000000"/>
        </w:rPr>
      </w:pPr>
    </w:p>
    <w:p w:rsidR="009D2AA0" w:rsidRPr="008267EB" w:rsidRDefault="00CD00D5">
      <w:pPr>
        <w:spacing w:after="160" w:line="360" w:lineRule="auto"/>
        <w:ind w:right="115"/>
        <w:jc w:val="both"/>
        <w:rPr>
          <w:rFonts w:ascii="Palatino Linotype" w:eastAsia="Palatino Linotype" w:hAnsi="Palatino Linotype" w:cs="Palatino Linotype"/>
        </w:rPr>
      </w:pPr>
      <w:r w:rsidRPr="008267EB">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9D2AA0" w:rsidRPr="008267EB" w:rsidRDefault="00CD00D5">
      <w:pPr>
        <w:tabs>
          <w:tab w:val="left" w:pos="284"/>
          <w:tab w:val="left" w:pos="8080"/>
        </w:tabs>
        <w:spacing w:line="360" w:lineRule="auto"/>
        <w:ind w:right="49"/>
        <w:jc w:val="both"/>
        <w:rPr>
          <w:rFonts w:ascii="Palatino Linotype" w:eastAsia="Palatino Linotype" w:hAnsi="Palatino Linotype" w:cs="Palatino Linotype"/>
          <w:highlight w:val="white"/>
        </w:rPr>
      </w:pPr>
      <w:r w:rsidRPr="008267EB">
        <w:rPr>
          <w:rFonts w:ascii="Palatino Linotype" w:eastAsia="Palatino Linotype" w:hAnsi="Palatino Linotype" w:cs="Palatino Linotype"/>
          <w:b/>
          <w:bCs/>
        </w:rPr>
        <w:lastRenderedPageBreak/>
        <w:t xml:space="preserve">TERCERO. </w:t>
      </w:r>
      <w:r w:rsidRPr="008267EB">
        <w:rPr>
          <w:rFonts w:ascii="Palatino Linotype" w:eastAsia="Palatino Linotype" w:hAnsi="Palatino Linotype" w:cs="Palatino Linotype"/>
          <w:b/>
          <w:bCs/>
          <w:highlight w:val="white"/>
        </w:rPr>
        <w:t>NOTIFÍQUESE</w:t>
      </w:r>
      <w:r w:rsidRPr="008267EB">
        <w:rPr>
          <w:rFonts w:ascii="Palatino Linotype" w:eastAsia="Palatino Linotype" w:hAnsi="Palatino Linotype" w:cs="Palatino Linotype"/>
          <w:highlight w:val="white"/>
        </w:rPr>
        <w:t xml:space="preserve"> la presente resolución al Titular de la Unidad de Transparencia del Sujeto Obligado </w:t>
      </w:r>
      <w:r w:rsidRPr="008267EB">
        <w:rPr>
          <w:rFonts w:ascii="Palatino Linotype" w:eastAsia="Palatino Linotype" w:hAnsi="Palatino Linotype" w:cs="Palatino Linotype"/>
          <w:b/>
          <w:bCs/>
          <w:highlight w:val="white"/>
        </w:rPr>
        <w:t>vía SAIMEX</w:t>
      </w:r>
      <w:r w:rsidRPr="008267EB">
        <w:rPr>
          <w:rFonts w:ascii="Palatino Linotype" w:eastAsia="Palatino Linotype" w:hAnsi="Palatino Linotype" w:cs="Palatino Linotype"/>
          <w:highlight w:val="white"/>
        </w:rPr>
        <w:t xml:space="preserve">, para que conforme al artículo 186 último párrafo, 189 segundo párrafo y 194 de la Ley de Transparencia y Acceso a la Información Pública del Estado de México y Municipios; </w:t>
      </w:r>
      <w:r w:rsidRPr="008267EB">
        <w:rPr>
          <w:rFonts w:ascii="Palatino Linotype" w:eastAsia="Palatino Linotype" w:hAnsi="Palatino Linotype" w:cs="Palatino Linotype"/>
          <w:b/>
          <w:highlight w:val="white"/>
        </w:rPr>
        <w:t>dé cumplimiento a lo ordenado dentro del plazo de diez días hábiles</w:t>
      </w:r>
      <w:r w:rsidRPr="008267EB">
        <w:rPr>
          <w:rFonts w:ascii="Palatino Linotype" w:eastAsia="Palatino Linotype" w:hAnsi="Palatino Linotype" w:cs="Palatino Linotype"/>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D2AA0" w:rsidRPr="008267EB" w:rsidRDefault="009D2AA0">
      <w:pPr>
        <w:tabs>
          <w:tab w:val="left" w:pos="284"/>
          <w:tab w:val="left" w:pos="8080"/>
        </w:tabs>
        <w:spacing w:line="360" w:lineRule="auto"/>
        <w:ind w:right="49"/>
        <w:jc w:val="both"/>
        <w:rPr>
          <w:rFonts w:ascii="Palatino Linotype" w:eastAsia="Palatino Linotype" w:hAnsi="Palatino Linotype" w:cs="Palatino Linotype"/>
          <w:highlight w:val="white"/>
        </w:rPr>
      </w:pPr>
    </w:p>
    <w:p w:rsidR="009D2AA0" w:rsidRPr="008267EB" w:rsidRDefault="00CD00D5">
      <w:pPr>
        <w:tabs>
          <w:tab w:val="left" w:pos="284"/>
        </w:tabs>
        <w:spacing w:line="360" w:lineRule="auto"/>
        <w:jc w:val="both"/>
        <w:rPr>
          <w:rFonts w:ascii="Palatino Linotype" w:eastAsia="Palatino Linotype" w:hAnsi="Palatino Linotype" w:cs="Palatino Linotype"/>
        </w:rPr>
      </w:pPr>
      <w:r w:rsidRPr="008267EB">
        <w:rPr>
          <w:rFonts w:ascii="Palatino Linotype" w:eastAsia="Palatino Linotype" w:hAnsi="Palatino Linotype" w:cs="Palatino Linotype"/>
          <w:b/>
          <w:bCs/>
        </w:rPr>
        <w:t xml:space="preserve">CUARTO. Notifíquese </w:t>
      </w:r>
      <w:r w:rsidRPr="008267EB">
        <w:rPr>
          <w:rFonts w:ascii="Palatino Linotype" w:eastAsia="Palatino Linotype" w:hAnsi="Palatino Linotype" w:cs="Palatino Linotype"/>
        </w:rPr>
        <w:t xml:space="preserve">al </w:t>
      </w:r>
      <w:r w:rsidRPr="008267EB">
        <w:rPr>
          <w:rFonts w:ascii="Palatino Linotype" w:eastAsia="Palatino Linotype" w:hAnsi="Palatino Linotype" w:cs="Palatino Linotype"/>
          <w:b/>
          <w:bCs/>
        </w:rPr>
        <w:t xml:space="preserve">RECURRENTE </w:t>
      </w:r>
      <w:r w:rsidRPr="008267EB">
        <w:rPr>
          <w:rFonts w:ascii="Palatino Linotype" w:eastAsia="Palatino Linotype" w:hAnsi="Palatino Linotype" w:cs="Palatino Linotype"/>
        </w:rPr>
        <w:t>la presente resolución a través del Sistema de Acceso a la Información Mexiquense (SAIMEX).</w:t>
      </w:r>
    </w:p>
    <w:p w:rsidR="009D2AA0" w:rsidRPr="008267EB" w:rsidRDefault="009D2AA0">
      <w:pPr>
        <w:tabs>
          <w:tab w:val="left" w:pos="284"/>
        </w:tabs>
        <w:spacing w:line="360" w:lineRule="auto"/>
        <w:jc w:val="both"/>
        <w:rPr>
          <w:rFonts w:ascii="Palatino Linotype" w:eastAsia="Palatino Linotype" w:hAnsi="Palatino Linotype" w:cs="Palatino Linotype"/>
        </w:rPr>
      </w:pPr>
    </w:p>
    <w:p w:rsidR="009D2AA0" w:rsidRPr="008267EB" w:rsidRDefault="00CD00D5">
      <w:pPr>
        <w:spacing w:line="360" w:lineRule="auto"/>
        <w:jc w:val="both"/>
        <w:rPr>
          <w:rFonts w:ascii="Palatino Linotype" w:eastAsia="Palatino Linotype" w:hAnsi="Palatino Linotype" w:cs="Palatino Linotype"/>
        </w:rPr>
      </w:pPr>
      <w:r w:rsidRPr="008267EB">
        <w:rPr>
          <w:rFonts w:ascii="Palatino Linotype" w:eastAsia="Palatino Linotype" w:hAnsi="Palatino Linotype" w:cs="Palatino Linotype"/>
          <w:b/>
          <w:bCs/>
        </w:rPr>
        <w:t xml:space="preserve">QUINTO. </w:t>
      </w:r>
      <w:r w:rsidRPr="008267EB">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D2AA0" w:rsidRPr="008267EB" w:rsidRDefault="00CD00D5">
      <w:pPr>
        <w:spacing w:before="240" w:after="360" w:line="360" w:lineRule="auto"/>
        <w:jc w:val="both"/>
        <w:rPr>
          <w:rFonts w:ascii="Palatino Linotype" w:eastAsia="Palatino Linotype" w:hAnsi="Palatino Linotype" w:cs="Palatino Linotype"/>
        </w:rPr>
      </w:pPr>
      <w:r w:rsidRPr="008267EB">
        <w:rPr>
          <w:rFonts w:ascii="Palatino Linotype" w:eastAsia="Palatino Linotype" w:hAnsi="Palatino Linotype" w:cs="Palatino Linotype"/>
          <w:b/>
          <w:bCs/>
        </w:rPr>
        <w:t>SEXTO.</w:t>
      </w:r>
      <w:r w:rsidRPr="008267EB">
        <w:rPr>
          <w:rFonts w:ascii="Palatino Linotype" w:eastAsia="Palatino Linotype" w:hAnsi="Palatino Linotype" w:cs="Palatino Linotype"/>
        </w:rPr>
        <w:t xml:space="preserve"> Se hace del conocimiento del </w:t>
      </w:r>
      <w:r w:rsidRPr="008267EB">
        <w:rPr>
          <w:rFonts w:ascii="Palatino Linotype" w:eastAsia="Palatino Linotype" w:hAnsi="Palatino Linotype" w:cs="Palatino Linotype"/>
          <w:b/>
          <w:bCs/>
        </w:rPr>
        <w:t xml:space="preserve">Recurrente </w:t>
      </w:r>
      <w:r w:rsidRPr="008267EB">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F704B3" w:rsidRPr="008267EB" w:rsidRDefault="00F704B3" w:rsidP="00F704B3">
      <w:pPr>
        <w:spacing w:before="240" w:after="240" w:line="360" w:lineRule="auto"/>
        <w:ind w:firstLine="1"/>
        <w:jc w:val="both"/>
        <w:rPr>
          <w:rFonts w:ascii="Palatino Linotype" w:hAnsi="Palatino Linotype"/>
        </w:rPr>
      </w:pPr>
      <w:bookmarkStart w:id="10" w:name="_Hlk99014733"/>
      <w:r w:rsidRPr="008267EB">
        <w:rPr>
          <w:rFonts w:ascii="Palatino Linotype" w:hAnsi="Palatino Linotype" w:cs="Palatino Linotype"/>
        </w:rPr>
        <w:t xml:space="preserve">ASÍ LO RESUELVE, POR UNANIMIDAD DE VOTOS, EL PLENO DEL INSTITUTO DE TRANSPARENCIA, ACCESO A LA INFORMACIÓN PÚBLICA Y PROTECCIÓN DE </w:t>
      </w:r>
      <w:r w:rsidRPr="008267EB">
        <w:rPr>
          <w:rFonts w:ascii="Palatino Linotype" w:hAnsi="Palatino Linotype" w:cs="Palatino Linotype"/>
        </w:rPr>
        <w:lastRenderedPageBreak/>
        <w:t>DATOS PERSONALES DEL ESTADO DE MÉXICO Y MUNICIPIOS, CONFORMADO POR LOS COMISIONADOS JOSÉ MARTÍNEZ VILCHIS, MARÍA DEL ROSARIO MEJÍA AYALA, SHARON CRISTINA MORALES MARTÍNEZ, LUIS GUSTAVO PARRA NORIEGA</w:t>
      </w:r>
      <w:r w:rsidR="00EE7F38" w:rsidRPr="008267EB">
        <w:rPr>
          <w:rFonts w:ascii="Palatino Linotype" w:hAnsi="Palatino Linotype" w:cs="Palatino Linotype"/>
        </w:rPr>
        <w:t xml:space="preserve"> </w:t>
      </w:r>
      <w:r w:rsidR="00EE7F38" w:rsidRPr="008267EB">
        <w:rPr>
          <w:rFonts w:ascii="Palatino Linotype" w:hAnsi="Palatino Linotype"/>
        </w:rPr>
        <w:t>EMITIENDO VOTO PARTICULAR</w:t>
      </w:r>
      <w:r w:rsidRPr="008267EB">
        <w:rPr>
          <w:rFonts w:ascii="Palatino Linotype" w:hAnsi="Palatino Linotype" w:cs="Palatino Linotype"/>
        </w:rPr>
        <w:t xml:space="preserve"> Y GUADALUPE RAMÍREZ PEÑA; EN LA SÉPTIMA SESIÓN ORDINARIA, CELEBRADA EL VEINTICINCO (25) DE FEBRERO DE DOS MIL VEINTISÉIS, ANTE EL SECRETARIO TÉCNICO DEL PLENO </w:t>
      </w:r>
      <w:r w:rsidRPr="008267EB">
        <w:rPr>
          <w:rFonts w:ascii="Palatino Linotype" w:hAnsi="Palatino Linotype" w:cs="Palatino Linotype"/>
          <w:color w:val="000000" w:themeColor="text1"/>
        </w:rPr>
        <w:t>ALEXIS TAPIA RAMÍREZ.</w:t>
      </w:r>
    </w:p>
    <w:bookmarkEnd w:id="10"/>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9D2AA0">
      <w:pPr>
        <w:pBdr>
          <w:top w:val="nil"/>
          <w:left w:val="nil"/>
          <w:bottom w:val="nil"/>
          <w:right w:val="nil"/>
          <w:between w:val="nil"/>
        </w:pBdr>
        <w:ind w:left="720"/>
        <w:rPr>
          <w:rFonts w:ascii="Palatino Linotype" w:eastAsia="Palatino Linotype" w:hAnsi="Palatino Linotype" w:cs="Palatino Linotype"/>
        </w:rPr>
      </w:pPr>
    </w:p>
    <w:p w:rsidR="009D2AA0" w:rsidRPr="008267EB" w:rsidRDefault="009D2AA0">
      <w:pPr>
        <w:pBdr>
          <w:top w:val="nil"/>
          <w:left w:val="nil"/>
          <w:bottom w:val="nil"/>
          <w:right w:val="nil"/>
          <w:between w:val="nil"/>
        </w:pBdr>
        <w:spacing w:line="360" w:lineRule="auto"/>
        <w:jc w:val="both"/>
        <w:rPr>
          <w:rFonts w:ascii="Palatino Linotype" w:eastAsia="Palatino Linotype" w:hAnsi="Palatino Linotype" w:cs="Palatino Linotype"/>
        </w:rPr>
      </w:pPr>
    </w:p>
    <w:p w:rsidR="009D2AA0" w:rsidRPr="008267EB" w:rsidRDefault="009D2AA0"/>
    <w:p w:rsidR="009D2AA0" w:rsidRPr="008267EB" w:rsidRDefault="009D2AA0"/>
    <w:p w:rsidR="009D2AA0" w:rsidRPr="008267EB" w:rsidRDefault="009D2AA0"/>
    <w:p w:rsidR="009D2AA0" w:rsidRPr="008267EB" w:rsidRDefault="009D2AA0"/>
    <w:p w:rsidR="009D2AA0" w:rsidRPr="008267EB" w:rsidRDefault="009D2AA0"/>
    <w:p w:rsidR="009D2AA0" w:rsidRPr="008267EB" w:rsidRDefault="009D2AA0"/>
    <w:p w:rsidR="009D2AA0" w:rsidRPr="008267EB" w:rsidRDefault="009D2AA0"/>
    <w:p w:rsidR="009D2AA0" w:rsidRPr="008267EB" w:rsidRDefault="009D2AA0"/>
    <w:p w:rsidR="009D2AA0" w:rsidRDefault="009D2AA0"/>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Default="00F5629D"/>
    <w:p w:rsidR="00F5629D" w:rsidRPr="008267EB" w:rsidRDefault="00F5629D"/>
    <w:sectPr w:rsidR="00F5629D" w:rsidRPr="008267EB" w:rsidSect="008267EB">
      <w:headerReference w:type="even" r:id="rId13"/>
      <w:headerReference w:type="default" r:id="rId14"/>
      <w:footerReference w:type="default" r:id="rId15"/>
      <w:headerReference w:type="first" r:id="rId16"/>
      <w:footerReference w:type="first" r:id="rId17"/>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4C4" w:rsidRDefault="006444C4">
      <w:r>
        <w:separator/>
      </w:r>
    </w:p>
  </w:endnote>
  <w:endnote w:type="continuationSeparator" w:id="0">
    <w:p w:rsidR="006444C4" w:rsidRDefault="0064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FF4260CC-1D9A-4D15-B758-9B1CB2A2646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371885C5-5245-41C9-96F2-464B785CA814}"/>
  </w:font>
  <w:font w:name="Calibri Light">
    <w:panose1 w:val="020F0302020204030204"/>
    <w:charset w:val="00"/>
    <w:family w:val="swiss"/>
    <w:pitch w:val="variable"/>
    <w:sig w:usb0="E4002EFF" w:usb1="C200247B" w:usb2="00000009" w:usb3="00000000" w:csb0="000001FF" w:csb1="00000000"/>
    <w:embedRegular r:id="rId3" w:fontKey="{DFAEA546-ADAD-411E-A967-9A985500B1CE}"/>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embedItalic r:id="rId4" w:fontKey="{B84D9F97-44C0-4573-B1B0-F8955568C82C}"/>
  </w:font>
  <w:font w:name="Palatino Linotype">
    <w:panose1 w:val="02040502050505030304"/>
    <w:charset w:val="00"/>
    <w:family w:val="roman"/>
    <w:pitch w:val="variable"/>
    <w:sig w:usb0="E0000287" w:usb1="40000013" w:usb2="00000000" w:usb3="00000000" w:csb0="0000019F" w:csb1="00000000"/>
    <w:embedRegular r:id="rId5" w:fontKey="{6852DC9D-B98C-4B6E-81F1-1FD060B2976E}"/>
    <w:embedBold r:id="rId6" w:fontKey="{F25529B7-2F6A-4CC5-AE2D-79203F637C3C}"/>
    <w:embedItalic r:id="rId7" w:fontKey="{742AC37D-3660-40D3-8B19-C5CBF25A483C}"/>
    <w:embedBoldItalic r:id="rId8" w:fontKey="{8F1FCE85-CB2D-4E98-9334-A12E0A663DE9}"/>
  </w:font>
  <w:font w:name="Verdana">
    <w:panose1 w:val="020B0604030504040204"/>
    <w:charset w:val="00"/>
    <w:family w:val="swiss"/>
    <w:pitch w:val="variable"/>
    <w:sig w:usb0="A00006FF" w:usb1="4000205B" w:usb2="00000010" w:usb3="00000000" w:csb0="0000019F" w:csb1="00000000"/>
    <w:embedRegular r:id="rId9" w:fontKey="{1225627E-EA08-49B5-B25F-810735FF0BCA}"/>
  </w:font>
  <w:font w:name="Garamond">
    <w:panose1 w:val="02020404030301010803"/>
    <w:charset w:val="00"/>
    <w:family w:val="roman"/>
    <w:pitch w:val="variable"/>
    <w:sig w:usb0="00000287" w:usb1="00000000" w:usb2="00000000" w:usb3="00000000" w:csb0="0000009F" w:csb1="00000000"/>
    <w:embedRegular r:id="rId10" w:fontKey="{17F630B4-3E5D-4D24-9D1E-DF20E8B782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AA0" w:rsidRPr="008267EB" w:rsidRDefault="00CD00D5">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267EB">
      <w:rPr>
        <w:rFonts w:ascii="Palatino Linotype" w:hAnsi="Palatino Linotype"/>
        <w:color w:val="000000"/>
        <w:sz w:val="22"/>
      </w:rPr>
      <w:t xml:space="preserve">Página </w:t>
    </w:r>
    <w:r w:rsidRPr="008267EB">
      <w:rPr>
        <w:rFonts w:ascii="Palatino Linotype" w:hAnsi="Palatino Linotype"/>
        <w:b/>
        <w:bCs/>
        <w:color w:val="000000"/>
        <w:sz w:val="22"/>
      </w:rPr>
      <w:fldChar w:fldCharType="begin"/>
    </w:r>
    <w:r w:rsidRPr="008267EB">
      <w:rPr>
        <w:rFonts w:ascii="Palatino Linotype" w:hAnsi="Palatino Linotype"/>
        <w:b/>
        <w:bCs/>
        <w:color w:val="000000"/>
        <w:sz w:val="22"/>
      </w:rPr>
      <w:instrText>PAGE</w:instrText>
    </w:r>
    <w:r w:rsidRPr="008267EB">
      <w:rPr>
        <w:rFonts w:ascii="Palatino Linotype" w:hAnsi="Palatino Linotype"/>
        <w:b/>
        <w:bCs/>
        <w:color w:val="000000"/>
        <w:sz w:val="22"/>
      </w:rPr>
      <w:fldChar w:fldCharType="separate"/>
    </w:r>
    <w:r w:rsidR="003962A9">
      <w:rPr>
        <w:rFonts w:ascii="Palatino Linotype" w:hAnsi="Palatino Linotype"/>
        <w:b/>
        <w:bCs/>
        <w:noProof/>
        <w:color w:val="000000"/>
        <w:sz w:val="22"/>
      </w:rPr>
      <w:t>2</w:t>
    </w:r>
    <w:r w:rsidRPr="008267EB">
      <w:rPr>
        <w:rFonts w:ascii="Palatino Linotype" w:hAnsi="Palatino Linotype"/>
        <w:b/>
        <w:bCs/>
        <w:color w:val="000000"/>
        <w:sz w:val="22"/>
      </w:rPr>
      <w:fldChar w:fldCharType="end"/>
    </w:r>
    <w:r w:rsidRPr="008267EB">
      <w:rPr>
        <w:rFonts w:ascii="Palatino Linotype" w:hAnsi="Palatino Linotype"/>
        <w:color w:val="000000"/>
        <w:sz w:val="22"/>
      </w:rPr>
      <w:t xml:space="preserve"> de </w:t>
    </w:r>
    <w:r w:rsidRPr="008267EB">
      <w:rPr>
        <w:rFonts w:ascii="Palatino Linotype" w:hAnsi="Palatino Linotype"/>
        <w:b/>
        <w:bCs/>
        <w:color w:val="000000"/>
        <w:sz w:val="22"/>
      </w:rPr>
      <w:fldChar w:fldCharType="begin"/>
    </w:r>
    <w:r w:rsidRPr="008267EB">
      <w:rPr>
        <w:rFonts w:ascii="Palatino Linotype" w:hAnsi="Palatino Linotype"/>
        <w:b/>
        <w:bCs/>
        <w:color w:val="000000"/>
        <w:sz w:val="22"/>
      </w:rPr>
      <w:instrText>NUMPAGES</w:instrText>
    </w:r>
    <w:r w:rsidRPr="008267EB">
      <w:rPr>
        <w:rFonts w:ascii="Palatino Linotype" w:hAnsi="Palatino Linotype"/>
        <w:b/>
        <w:bCs/>
        <w:color w:val="000000"/>
        <w:sz w:val="22"/>
      </w:rPr>
      <w:fldChar w:fldCharType="separate"/>
    </w:r>
    <w:r w:rsidR="003962A9">
      <w:rPr>
        <w:rFonts w:ascii="Palatino Linotype" w:hAnsi="Palatino Linotype"/>
        <w:b/>
        <w:bCs/>
        <w:noProof/>
        <w:color w:val="000000"/>
        <w:sz w:val="22"/>
      </w:rPr>
      <w:t>24</w:t>
    </w:r>
    <w:r w:rsidRPr="008267EB">
      <w:rPr>
        <w:rFonts w:ascii="Palatino Linotype" w:hAnsi="Palatino Linotype"/>
        <w:b/>
        <w:bCs/>
        <w:color w:val="000000"/>
        <w:sz w:val="22"/>
      </w:rPr>
      <w:fldChar w:fldCharType="end"/>
    </w:r>
  </w:p>
  <w:p w:rsidR="009D2AA0" w:rsidRDefault="009D2AA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AA0" w:rsidRPr="008267EB" w:rsidRDefault="00CD00D5">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8267EB">
      <w:rPr>
        <w:rFonts w:ascii="Palatino Linotype" w:hAnsi="Palatino Linotype"/>
        <w:b/>
        <w:color w:val="000000"/>
        <w:sz w:val="22"/>
      </w:rPr>
      <w:t xml:space="preserve">Página </w:t>
    </w:r>
    <w:r w:rsidRPr="008267EB">
      <w:rPr>
        <w:rFonts w:ascii="Palatino Linotype" w:hAnsi="Palatino Linotype"/>
        <w:b/>
        <w:bCs/>
        <w:color w:val="000000"/>
        <w:sz w:val="22"/>
      </w:rPr>
      <w:fldChar w:fldCharType="begin"/>
    </w:r>
    <w:r w:rsidRPr="008267EB">
      <w:rPr>
        <w:rFonts w:ascii="Palatino Linotype" w:hAnsi="Palatino Linotype"/>
        <w:b/>
        <w:bCs/>
        <w:color w:val="000000"/>
        <w:sz w:val="22"/>
      </w:rPr>
      <w:instrText>PAGE</w:instrText>
    </w:r>
    <w:r w:rsidRPr="008267EB">
      <w:rPr>
        <w:rFonts w:ascii="Palatino Linotype" w:hAnsi="Palatino Linotype"/>
        <w:b/>
        <w:bCs/>
        <w:color w:val="000000"/>
        <w:sz w:val="22"/>
      </w:rPr>
      <w:fldChar w:fldCharType="separate"/>
    </w:r>
    <w:r w:rsidR="003962A9">
      <w:rPr>
        <w:rFonts w:ascii="Palatino Linotype" w:hAnsi="Palatino Linotype"/>
        <w:b/>
        <w:bCs/>
        <w:noProof/>
        <w:color w:val="000000"/>
        <w:sz w:val="22"/>
      </w:rPr>
      <w:t>1</w:t>
    </w:r>
    <w:r w:rsidRPr="008267EB">
      <w:rPr>
        <w:rFonts w:ascii="Palatino Linotype" w:hAnsi="Palatino Linotype"/>
        <w:b/>
        <w:bCs/>
        <w:color w:val="000000"/>
        <w:sz w:val="22"/>
      </w:rPr>
      <w:fldChar w:fldCharType="end"/>
    </w:r>
    <w:r w:rsidRPr="008267EB">
      <w:rPr>
        <w:rFonts w:ascii="Palatino Linotype" w:hAnsi="Palatino Linotype"/>
        <w:b/>
        <w:color w:val="000000"/>
        <w:sz w:val="22"/>
      </w:rPr>
      <w:t xml:space="preserve"> de </w:t>
    </w:r>
    <w:r w:rsidRPr="008267EB">
      <w:rPr>
        <w:rFonts w:ascii="Palatino Linotype" w:hAnsi="Palatino Linotype"/>
        <w:b/>
        <w:bCs/>
        <w:color w:val="000000"/>
        <w:sz w:val="22"/>
      </w:rPr>
      <w:fldChar w:fldCharType="begin"/>
    </w:r>
    <w:r w:rsidRPr="008267EB">
      <w:rPr>
        <w:rFonts w:ascii="Palatino Linotype" w:hAnsi="Palatino Linotype"/>
        <w:b/>
        <w:bCs/>
        <w:color w:val="000000"/>
        <w:sz w:val="22"/>
      </w:rPr>
      <w:instrText>NUMPAGES</w:instrText>
    </w:r>
    <w:r w:rsidRPr="008267EB">
      <w:rPr>
        <w:rFonts w:ascii="Palatino Linotype" w:hAnsi="Palatino Linotype"/>
        <w:b/>
        <w:bCs/>
        <w:color w:val="000000"/>
        <w:sz w:val="22"/>
      </w:rPr>
      <w:fldChar w:fldCharType="separate"/>
    </w:r>
    <w:r w:rsidR="003962A9">
      <w:rPr>
        <w:rFonts w:ascii="Palatino Linotype" w:hAnsi="Palatino Linotype"/>
        <w:b/>
        <w:bCs/>
        <w:noProof/>
        <w:color w:val="000000"/>
        <w:sz w:val="22"/>
      </w:rPr>
      <w:t>24</w:t>
    </w:r>
    <w:r w:rsidRPr="008267EB">
      <w:rPr>
        <w:rFonts w:ascii="Palatino Linotype" w:hAnsi="Palatino Linotype"/>
        <w:b/>
        <w:bCs/>
        <w:color w:val="000000"/>
        <w:sz w:val="22"/>
      </w:rPr>
      <w:fldChar w:fldCharType="end"/>
    </w:r>
  </w:p>
  <w:p w:rsidR="009D2AA0" w:rsidRDefault="009D2AA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4C4" w:rsidRDefault="006444C4">
      <w:r>
        <w:separator/>
      </w:r>
    </w:p>
  </w:footnote>
  <w:footnote w:type="continuationSeparator" w:id="0">
    <w:p w:rsidR="006444C4" w:rsidRDefault="00644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AA0" w:rsidRDefault="006444C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2268"/>
      <w:gridCol w:w="8222"/>
    </w:tblGrid>
    <w:tr w:rsidR="009D2AA0" w:rsidTr="008267EB">
      <w:trPr>
        <w:trHeight w:val="1435"/>
      </w:trPr>
      <w:tc>
        <w:tcPr>
          <w:tcW w:w="2268" w:type="dxa"/>
          <w:shd w:val="clear" w:color="auto" w:fill="auto"/>
        </w:tcPr>
        <w:p w:rsidR="009D2AA0" w:rsidRDefault="009D2AA0">
          <w:pPr>
            <w:tabs>
              <w:tab w:val="right" w:pos="4273"/>
            </w:tabs>
            <w:rPr>
              <w:rFonts w:ascii="Garamond" w:eastAsia="Garamond" w:hAnsi="Garamond" w:cs="Garamond"/>
              <w:sz w:val="16"/>
              <w:szCs w:val="16"/>
            </w:rPr>
          </w:pPr>
        </w:p>
      </w:tc>
      <w:tc>
        <w:tcPr>
          <w:tcW w:w="8222" w:type="dxa"/>
          <w:shd w:val="clear" w:color="auto" w:fill="auto"/>
        </w:tcPr>
        <w:tbl>
          <w:tblPr>
            <w:tblStyle w:val="a2"/>
            <w:tblW w:w="6946" w:type="dxa"/>
            <w:tblInd w:w="1303" w:type="dxa"/>
            <w:tblLayout w:type="fixed"/>
            <w:tblLook w:val="0400" w:firstRow="0" w:lastRow="0" w:firstColumn="0" w:lastColumn="0" w:noHBand="0" w:noVBand="1"/>
          </w:tblPr>
          <w:tblGrid>
            <w:gridCol w:w="2835"/>
            <w:gridCol w:w="4111"/>
          </w:tblGrid>
          <w:tr w:rsidR="009D2AA0" w:rsidTr="008267EB">
            <w:trPr>
              <w:trHeight w:val="150"/>
            </w:trPr>
            <w:tc>
              <w:tcPr>
                <w:tcW w:w="2835" w:type="dxa"/>
                <w:shd w:val="clear" w:color="auto" w:fill="auto"/>
              </w:tcPr>
              <w:p w:rsidR="009D2AA0" w:rsidRPr="008267EB" w:rsidRDefault="00CD00D5">
                <w:pPr>
                  <w:tabs>
                    <w:tab w:val="right" w:pos="8838"/>
                  </w:tabs>
                  <w:ind w:right="-10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Recurso de Revisión:</w:t>
                </w:r>
              </w:p>
            </w:tc>
            <w:tc>
              <w:tcPr>
                <w:tcW w:w="4111" w:type="dxa"/>
                <w:shd w:val="clear" w:color="auto" w:fill="auto"/>
              </w:tcPr>
              <w:p w:rsidR="009D2AA0" w:rsidRPr="008267EB" w:rsidRDefault="00CD00D5">
                <w:pPr>
                  <w:tabs>
                    <w:tab w:val="right" w:pos="8838"/>
                  </w:tabs>
                  <w:ind w:left="-108" w:right="-1090"/>
                  <w:jc w:val="both"/>
                  <w:rPr>
                    <w:rFonts w:ascii="Palatino Linotype" w:eastAsia="Palatino Linotype" w:hAnsi="Palatino Linotype" w:cs="Palatino Linotype"/>
                    <w:szCs w:val="22"/>
                  </w:rPr>
                </w:pPr>
                <w:r w:rsidRPr="008267EB">
                  <w:rPr>
                    <w:rFonts w:ascii="Palatino Linotype" w:eastAsia="Palatino Linotype" w:hAnsi="Palatino Linotype" w:cs="Palatino Linotype"/>
                    <w:szCs w:val="22"/>
                  </w:rPr>
                  <w:t>09278/INFOEM/IP/RR/2025</w:t>
                </w:r>
                <w:r w:rsidRPr="008267EB">
                  <w:rPr>
                    <w:rFonts w:ascii="Palatino Linotype" w:eastAsia="Palatino Linotype" w:hAnsi="Palatino Linotype" w:cs="Palatino Linotype"/>
                    <w:b/>
                    <w:bCs/>
                    <w:szCs w:val="22"/>
                  </w:rPr>
                  <w:t xml:space="preserve"> </w:t>
                </w:r>
              </w:p>
            </w:tc>
          </w:tr>
          <w:tr w:rsidR="009D2AA0" w:rsidTr="008267EB">
            <w:trPr>
              <w:trHeight w:val="295"/>
            </w:trPr>
            <w:tc>
              <w:tcPr>
                <w:tcW w:w="2835" w:type="dxa"/>
                <w:shd w:val="clear" w:color="auto" w:fill="auto"/>
              </w:tcPr>
              <w:p w:rsidR="009D2AA0" w:rsidRPr="008267EB" w:rsidRDefault="00CD00D5">
                <w:pPr>
                  <w:tabs>
                    <w:tab w:val="right" w:pos="8838"/>
                  </w:tabs>
                  <w:ind w:right="-10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Sujeto Obligado:</w:t>
                </w:r>
              </w:p>
            </w:tc>
            <w:tc>
              <w:tcPr>
                <w:tcW w:w="4111" w:type="dxa"/>
                <w:shd w:val="clear" w:color="auto" w:fill="auto"/>
              </w:tcPr>
              <w:p w:rsidR="009D2AA0" w:rsidRPr="008267EB" w:rsidRDefault="00CD00D5">
                <w:pPr>
                  <w:tabs>
                    <w:tab w:val="left" w:pos="2834"/>
                    <w:tab w:val="right" w:pos="8838"/>
                  </w:tabs>
                  <w:ind w:left="-108" w:right="-1090"/>
                  <w:jc w:val="both"/>
                  <w:rPr>
                    <w:rFonts w:ascii="Palatino Linotype" w:eastAsia="Palatino Linotype" w:hAnsi="Palatino Linotype" w:cs="Palatino Linotype"/>
                    <w:szCs w:val="22"/>
                  </w:rPr>
                </w:pPr>
                <w:r w:rsidRPr="008267EB">
                  <w:rPr>
                    <w:rFonts w:ascii="Palatino Linotype" w:eastAsia="Palatino Linotype" w:hAnsi="Palatino Linotype" w:cs="Palatino Linotype"/>
                    <w:szCs w:val="22"/>
                  </w:rPr>
                  <w:t>Poder Judicial</w:t>
                </w:r>
              </w:p>
            </w:tc>
          </w:tr>
          <w:tr w:rsidR="009D2AA0" w:rsidTr="008267EB">
            <w:trPr>
              <w:trHeight w:val="295"/>
            </w:trPr>
            <w:tc>
              <w:tcPr>
                <w:tcW w:w="2835" w:type="dxa"/>
                <w:shd w:val="clear" w:color="auto" w:fill="auto"/>
              </w:tcPr>
              <w:p w:rsidR="009D2AA0" w:rsidRPr="008267EB" w:rsidRDefault="00CD00D5">
                <w:pPr>
                  <w:tabs>
                    <w:tab w:val="right" w:pos="8838"/>
                  </w:tabs>
                  <w:ind w:right="-10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Comisionado ponente:</w:t>
                </w:r>
              </w:p>
            </w:tc>
            <w:tc>
              <w:tcPr>
                <w:tcW w:w="4111" w:type="dxa"/>
                <w:shd w:val="clear" w:color="auto" w:fill="auto"/>
              </w:tcPr>
              <w:p w:rsidR="009D2AA0" w:rsidRPr="008267EB" w:rsidRDefault="00CD00D5">
                <w:pPr>
                  <w:tabs>
                    <w:tab w:val="right" w:pos="8838"/>
                  </w:tabs>
                  <w:ind w:left="-108" w:right="-1090"/>
                  <w:jc w:val="both"/>
                  <w:rPr>
                    <w:rFonts w:ascii="Palatino Linotype" w:eastAsia="Palatino Linotype" w:hAnsi="Palatino Linotype" w:cs="Palatino Linotype"/>
                    <w:szCs w:val="22"/>
                  </w:rPr>
                </w:pPr>
                <w:r w:rsidRPr="008267EB">
                  <w:rPr>
                    <w:rFonts w:ascii="Palatino Linotype" w:eastAsia="Palatino Linotype" w:hAnsi="Palatino Linotype" w:cs="Palatino Linotype"/>
                    <w:szCs w:val="22"/>
                  </w:rPr>
                  <w:t>María del Rosario Mejía Ayala</w:t>
                </w:r>
              </w:p>
              <w:p w:rsidR="009D2AA0" w:rsidRPr="008267EB" w:rsidRDefault="009D2AA0">
                <w:pPr>
                  <w:tabs>
                    <w:tab w:val="right" w:pos="8838"/>
                  </w:tabs>
                  <w:ind w:left="-108" w:right="-1090"/>
                  <w:jc w:val="both"/>
                  <w:rPr>
                    <w:rFonts w:ascii="Palatino Linotype" w:eastAsia="Palatino Linotype" w:hAnsi="Palatino Linotype" w:cs="Palatino Linotype"/>
                    <w:b/>
                    <w:bCs/>
                    <w:szCs w:val="22"/>
                  </w:rPr>
                </w:pPr>
              </w:p>
            </w:tc>
          </w:tr>
        </w:tbl>
        <w:p w:rsidR="009D2AA0" w:rsidRDefault="009D2AA0">
          <w:pPr>
            <w:tabs>
              <w:tab w:val="right" w:pos="8838"/>
            </w:tabs>
            <w:ind w:left="-28"/>
            <w:jc w:val="both"/>
            <w:rPr>
              <w:rFonts w:ascii="Arial" w:eastAsia="Arial" w:hAnsi="Arial" w:cs="Arial"/>
              <w:b/>
              <w:bCs/>
              <w:sz w:val="22"/>
              <w:szCs w:val="22"/>
            </w:rPr>
          </w:pPr>
        </w:p>
      </w:tc>
    </w:tr>
  </w:tbl>
  <w:p w:rsidR="009D2AA0" w:rsidRDefault="006444C4">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20" w:type="dxa"/>
      <w:tblInd w:w="0" w:type="dxa"/>
      <w:tblLayout w:type="fixed"/>
      <w:tblLook w:val="0400" w:firstRow="0" w:lastRow="0" w:firstColumn="0" w:lastColumn="0" w:noHBand="0" w:noVBand="1"/>
    </w:tblPr>
    <w:tblGrid>
      <w:gridCol w:w="2265"/>
      <w:gridCol w:w="7755"/>
    </w:tblGrid>
    <w:tr w:rsidR="009D2AA0">
      <w:trPr>
        <w:trHeight w:val="1435"/>
      </w:trPr>
      <w:tc>
        <w:tcPr>
          <w:tcW w:w="2265" w:type="dxa"/>
          <w:shd w:val="clear" w:color="auto" w:fill="auto"/>
        </w:tcPr>
        <w:p w:rsidR="009D2AA0" w:rsidRDefault="009D2AA0">
          <w:pPr>
            <w:tabs>
              <w:tab w:val="right" w:pos="4273"/>
            </w:tabs>
            <w:rPr>
              <w:rFonts w:ascii="Garamond" w:eastAsia="Garamond" w:hAnsi="Garamond" w:cs="Garamond"/>
              <w:sz w:val="22"/>
              <w:szCs w:val="22"/>
            </w:rPr>
          </w:pPr>
        </w:p>
      </w:tc>
      <w:tc>
        <w:tcPr>
          <w:tcW w:w="7755" w:type="dxa"/>
          <w:shd w:val="clear" w:color="auto" w:fill="auto"/>
        </w:tcPr>
        <w:tbl>
          <w:tblPr>
            <w:tblStyle w:val="a4"/>
            <w:tblW w:w="7800" w:type="dxa"/>
            <w:tblInd w:w="1306" w:type="dxa"/>
            <w:tblLayout w:type="fixed"/>
            <w:tblLook w:val="0400" w:firstRow="0" w:lastRow="0" w:firstColumn="0" w:lastColumn="0" w:noHBand="0" w:noVBand="1"/>
          </w:tblPr>
          <w:tblGrid>
            <w:gridCol w:w="2835"/>
            <w:gridCol w:w="4965"/>
          </w:tblGrid>
          <w:tr w:rsidR="009D2AA0" w:rsidTr="008267EB">
            <w:trPr>
              <w:trHeight w:val="144"/>
            </w:trPr>
            <w:tc>
              <w:tcPr>
                <w:tcW w:w="2835" w:type="dxa"/>
                <w:shd w:val="clear" w:color="auto" w:fill="auto"/>
              </w:tcPr>
              <w:p w:rsidR="009D2AA0" w:rsidRPr="008267EB" w:rsidRDefault="00CD00D5">
                <w:pPr>
                  <w:tabs>
                    <w:tab w:val="right" w:pos="8838"/>
                  </w:tabs>
                  <w:ind w:left="-264" w:right="-105" w:firstLine="19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Recurso de Revisión:</w:t>
                </w:r>
              </w:p>
            </w:tc>
            <w:tc>
              <w:tcPr>
                <w:tcW w:w="4965" w:type="dxa"/>
                <w:shd w:val="clear" w:color="auto" w:fill="auto"/>
              </w:tcPr>
              <w:p w:rsidR="009D2AA0" w:rsidRPr="008267EB" w:rsidRDefault="00CD00D5">
                <w:pPr>
                  <w:tabs>
                    <w:tab w:val="right" w:pos="8838"/>
                  </w:tabs>
                  <w:ind w:left="-74" w:right="-1269"/>
                  <w:rPr>
                    <w:rFonts w:ascii="Palatino Linotype" w:eastAsia="Palatino Linotype" w:hAnsi="Palatino Linotype" w:cs="Palatino Linotype"/>
                    <w:szCs w:val="22"/>
                  </w:rPr>
                </w:pPr>
                <w:r w:rsidRPr="008267EB">
                  <w:rPr>
                    <w:rFonts w:ascii="Palatino Linotype" w:eastAsia="Palatino Linotype" w:hAnsi="Palatino Linotype" w:cs="Palatino Linotype"/>
                    <w:szCs w:val="22"/>
                  </w:rPr>
                  <w:t>09278/INFOEM/IP/RR/2025</w:t>
                </w:r>
              </w:p>
            </w:tc>
          </w:tr>
          <w:tr w:rsidR="009D2AA0" w:rsidTr="008267EB">
            <w:trPr>
              <w:trHeight w:val="144"/>
            </w:trPr>
            <w:tc>
              <w:tcPr>
                <w:tcW w:w="2835" w:type="dxa"/>
                <w:shd w:val="clear" w:color="auto" w:fill="auto"/>
              </w:tcPr>
              <w:p w:rsidR="009D2AA0" w:rsidRPr="008267EB" w:rsidRDefault="00CD00D5">
                <w:pPr>
                  <w:tabs>
                    <w:tab w:val="right" w:pos="8838"/>
                  </w:tabs>
                  <w:ind w:left="-74" w:right="-10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Recurrente:</w:t>
                </w:r>
              </w:p>
            </w:tc>
            <w:tc>
              <w:tcPr>
                <w:tcW w:w="4965" w:type="dxa"/>
                <w:shd w:val="clear" w:color="auto" w:fill="auto"/>
              </w:tcPr>
              <w:p w:rsidR="009D2AA0" w:rsidRPr="008267EB" w:rsidRDefault="009D2AA0">
                <w:pPr>
                  <w:tabs>
                    <w:tab w:val="left" w:pos="3122"/>
                    <w:tab w:val="right" w:pos="8838"/>
                  </w:tabs>
                  <w:ind w:left="-74" w:right="-1269"/>
                  <w:rPr>
                    <w:rFonts w:ascii="Palatino Linotype" w:eastAsia="Palatino Linotype" w:hAnsi="Palatino Linotype" w:cs="Palatino Linotype"/>
                    <w:szCs w:val="22"/>
                  </w:rPr>
                </w:pPr>
              </w:p>
            </w:tc>
          </w:tr>
          <w:tr w:rsidR="009D2AA0" w:rsidTr="008267EB">
            <w:trPr>
              <w:trHeight w:val="283"/>
            </w:trPr>
            <w:tc>
              <w:tcPr>
                <w:tcW w:w="2835" w:type="dxa"/>
                <w:shd w:val="clear" w:color="auto" w:fill="auto"/>
              </w:tcPr>
              <w:p w:rsidR="009D2AA0" w:rsidRPr="008267EB" w:rsidRDefault="00CD00D5">
                <w:pPr>
                  <w:tabs>
                    <w:tab w:val="right" w:pos="8838"/>
                  </w:tabs>
                  <w:ind w:left="-74" w:right="-10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Sujeto Obligado:</w:t>
                </w:r>
              </w:p>
            </w:tc>
            <w:tc>
              <w:tcPr>
                <w:tcW w:w="4965" w:type="dxa"/>
                <w:shd w:val="clear" w:color="auto" w:fill="auto"/>
              </w:tcPr>
              <w:p w:rsidR="009D2AA0" w:rsidRPr="008267EB" w:rsidRDefault="00CD00D5">
                <w:pPr>
                  <w:tabs>
                    <w:tab w:val="left" w:pos="2834"/>
                    <w:tab w:val="right" w:pos="8838"/>
                  </w:tabs>
                  <w:ind w:left="-74" w:right="-1269"/>
                  <w:rPr>
                    <w:rFonts w:ascii="Palatino Linotype" w:eastAsia="Palatino Linotype" w:hAnsi="Palatino Linotype" w:cs="Palatino Linotype"/>
                    <w:szCs w:val="22"/>
                  </w:rPr>
                </w:pPr>
                <w:r w:rsidRPr="008267EB">
                  <w:rPr>
                    <w:rFonts w:ascii="Palatino Linotype" w:eastAsia="Palatino Linotype" w:hAnsi="Palatino Linotype" w:cs="Palatino Linotype"/>
                    <w:szCs w:val="22"/>
                  </w:rPr>
                  <w:t xml:space="preserve">Poder Judicial </w:t>
                </w:r>
              </w:p>
            </w:tc>
          </w:tr>
          <w:tr w:rsidR="009D2AA0" w:rsidTr="008267EB">
            <w:trPr>
              <w:trHeight w:val="283"/>
            </w:trPr>
            <w:tc>
              <w:tcPr>
                <w:tcW w:w="2835" w:type="dxa"/>
                <w:shd w:val="clear" w:color="auto" w:fill="auto"/>
              </w:tcPr>
              <w:p w:rsidR="009D2AA0" w:rsidRPr="008267EB" w:rsidRDefault="00CD00D5">
                <w:pPr>
                  <w:tabs>
                    <w:tab w:val="right" w:pos="8838"/>
                  </w:tabs>
                  <w:ind w:left="-74" w:right="-105"/>
                  <w:rPr>
                    <w:rFonts w:ascii="Palatino Linotype" w:eastAsia="Palatino Linotype" w:hAnsi="Palatino Linotype" w:cs="Palatino Linotype"/>
                    <w:b/>
                    <w:bCs/>
                    <w:szCs w:val="22"/>
                  </w:rPr>
                </w:pPr>
                <w:r w:rsidRPr="008267EB">
                  <w:rPr>
                    <w:rFonts w:ascii="Palatino Linotype" w:eastAsia="Palatino Linotype" w:hAnsi="Palatino Linotype" w:cs="Palatino Linotype"/>
                    <w:b/>
                    <w:bCs/>
                    <w:szCs w:val="22"/>
                  </w:rPr>
                  <w:t>Comisionado ponente:</w:t>
                </w:r>
              </w:p>
            </w:tc>
            <w:tc>
              <w:tcPr>
                <w:tcW w:w="4965" w:type="dxa"/>
                <w:shd w:val="clear" w:color="auto" w:fill="auto"/>
              </w:tcPr>
              <w:p w:rsidR="009D2AA0" w:rsidRPr="008267EB" w:rsidRDefault="00CD00D5">
                <w:pPr>
                  <w:tabs>
                    <w:tab w:val="right" w:pos="8838"/>
                  </w:tabs>
                  <w:ind w:left="-74" w:right="-1269"/>
                  <w:rPr>
                    <w:rFonts w:ascii="Palatino Linotype" w:eastAsia="Palatino Linotype" w:hAnsi="Palatino Linotype" w:cs="Palatino Linotype"/>
                    <w:szCs w:val="22"/>
                  </w:rPr>
                </w:pPr>
                <w:r w:rsidRPr="008267EB">
                  <w:rPr>
                    <w:rFonts w:ascii="Palatino Linotype" w:eastAsia="Palatino Linotype" w:hAnsi="Palatino Linotype" w:cs="Palatino Linotype"/>
                    <w:szCs w:val="22"/>
                  </w:rPr>
                  <w:t>María del Rosario Mejía Ayala</w:t>
                </w:r>
              </w:p>
              <w:p w:rsidR="009D2AA0" w:rsidRPr="008267EB" w:rsidRDefault="009D2AA0">
                <w:pPr>
                  <w:tabs>
                    <w:tab w:val="right" w:pos="8838"/>
                  </w:tabs>
                  <w:ind w:left="-74" w:right="-1269"/>
                  <w:rPr>
                    <w:rFonts w:ascii="Palatino Linotype" w:eastAsia="Palatino Linotype" w:hAnsi="Palatino Linotype" w:cs="Palatino Linotype"/>
                    <w:b/>
                    <w:bCs/>
                    <w:szCs w:val="22"/>
                  </w:rPr>
                </w:pPr>
              </w:p>
            </w:tc>
          </w:tr>
        </w:tbl>
        <w:p w:rsidR="009D2AA0" w:rsidRDefault="009D2AA0">
          <w:pPr>
            <w:tabs>
              <w:tab w:val="right" w:pos="8838"/>
            </w:tabs>
            <w:ind w:left="-28"/>
            <w:jc w:val="both"/>
            <w:rPr>
              <w:rFonts w:ascii="Arial" w:eastAsia="Arial" w:hAnsi="Arial" w:cs="Arial"/>
              <w:b/>
              <w:bCs/>
              <w:sz w:val="22"/>
              <w:szCs w:val="22"/>
            </w:rPr>
          </w:pPr>
        </w:p>
      </w:tc>
    </w:tr>
  </w:tbl>
  <w:p w:rsidR="009D2AA0" w:rsidRDefault="006444C4">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2C6B97"/>
    <w:multiLevelType w:val="multilevel"/>
    <w:tmpl w:val="7F86A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621B8A"/>
    <w:multiLevelType w:val="multilevel"/>
    <w:tmpl w:val="688C2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BE5019"/>
    <w:multiLevelType w:val="multilevel"/>
    <w:tmpl w:val="172898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307CD6"/>
    <w:multiLevelType w:val="multilevel"/>
    <w:tmpl w:val="C518A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5A21EB5"/>
    <w:multiLevelType w:val="multilevel"/>
    <w:tmpl w:val="71AC2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9D77E99"/>
    <w:multiLevelType w:val="multilevel"/>
    <w:tmpl w:val="26C8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9B5C4A"/>
    <w:multiLevelType w:val="hybridMultilevel"/>
    <w:tmpl w:val="ABC8B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0"/>
    <w:rsid w:val="001443D2"/>
    <w:rsid w:val="00144DF9"/>
    <w:rsid w:val="001513B7"/>
    <w:rsid w:val="003962A9"/>
    <w:rsid w:val="003F346E"/>
    <w:rsid w:val="00514137"/>
    <w:rsid w:val="006444C4"/>
    <w:rsid w:val="006C7A51"/>
    <w:rsid w:val="0076694D"/>
    <w:rsid w:val="007D0D88"/>
    <w:rsid w:val="008267EB"/>
    <w:rsid w:val="0090692C"/>
    <w:rsid w:val="009D2AA0"/>
    <w:rsid w:val="00B9221F"/>
    <w:rsid w:val="00CD00D5"/>
    <w:rsid w:val="00CE2771"/>
    <w:rsid w:val="00CF49CD"/>
    <w:rsid w:val="00EE7F38"/>
    <w:rsid w:val="00F5629D"/>
    <w:rsid w:val="00F704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C0FF222-8995-4AB8-A6DA-303B3437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642296"/>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642296"/>
    <w:rPr>
      <w:rFonts w:asciiTheme="majorHAnsi" w:eastAsiaTheme="majorEastAsia" w:hAnsiTheme="majorHAnsi" w:cstheme="majorBidi"/>
      <w:color w:val="2E74B5" w:themeColor="accent1" w:themeShade="BF"/>
      <w:sz w:val="26"/>
      <w:szCs w:val="26"/>
      <w:lang w:eastAsia="es-MX"/>
    </w:rPr>
  </w:style>
  <w:style w:type="character" w:customStyle="1" w:styleId="Ttulo3Car">
    <w:name w:val="Título 3 Car"/>
    <w:basedOn w:val="Fuentedeprrafopredeter"/>
    <w:uiPriority w:val="9"/>
    <w:rsid w:val="00642296"/>
    <w:rPr>
      <w:rFonts w:asciiTheme="majorHAnsi" w:eastAsiaTheme="majorEastAsia" w:hAnsiTheme="majorHAnsi" w:cstheme="majorBidi"/>
      <w:color w:val="1F4D78" w:themeColor="accent1" w:themeShade="7F"/>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rsid w:val="00642296"/>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4229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42296"/>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42296"/>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42296"/>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642296"/>
    <w:rPr>
      <w:vertAlign w:val="superscript"/>
    </w:rPr>
  </w:style>
  <w:style w:type="table" w:styleId="Tablanormal1">
    <w:name w:val="Plain Table 1"/>
    <w:basedOn w:val="Tablanormal"/>
    <w:uiPriority w:val="41"/>
    <w:rsid w:val="006422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aliases w:val="Francesa,INAI"/>
    <w:link w:val="SinespaciadoCar"/>
    <w:uiPriority w:val="1"/>
    <w:qFormat/>
    <w:rsid w:val="00642296"/>
    <w:pPr>
      <w:ind w:left="567" w:right="567"/>
      <w:jc w:val="both"/>
    </w:pPr>
    <w:rPr>
      <w:rFonts w:ascii="Arial" w:eastAsia="Batang" w:hAnsi="Arial"/>
      <w:sz w:val="20"/>
      <w:lang w:eastAsia="es-ES"/>
    </w:rPr>
  </w:style>
  <w:style w:type="character" w:customStyle="1" w:styleId="SinespaciadoCar">
    <w:name w:val="Sin espaciado Car"/>
    <w:aliases w:val="Francesa Car,INAI Car"/>
    <w:basedOn w:val="Fuentedeprrafopredeter"/>
    <w:link w:val="Sinespaciado"/>
    <w:uiPriority w:val="1"/>
    <w:qFormat/>
    <w:rsid w:val="00642296"/>
    <w:rPr>
      <w:rFonts w:ascii="Arial" w:eastAsia="Batang" w:hAnsi="Arial" w:cs="Times New Roman"/>
      <w:sz w:val="20"/>
      <w:szCs w:val="24"/>
      <w:lang w:eastAsia="es-ES"/>
    </w:rPr>
  </w:style>
  <w:style w:type="paragraph" w:styleId="Piedepgina">
    <w:name w:val="footer"/>
    <w:basedOn w:val="Normal"/>
    <w:link w:val="PiedepginaCar"/>
    <w:uiPriority w:val="99"/>
    <w:unhideWhenUsed/>
    <w:rsid w:val="00642296"/>
    <w:pPr>
      <w:tabs>
        <w:tab w:val="center" w:pos="4419"/>
        <w:tab w:val="right" w:pos="8838"/>
      </w:tabs>
    </w:pPr>
  </w:style>
  <w:style w:type="character" w:customStyle="1" w:styleId="PiedepginaCar">
    <w:name w:val="Pie de página Car"/>
    <w:basedOn w:val="Fuentedeprrafopredeter"/>
    <w:link w:val="Piedepgina"/>
    <w:uiPriority w:val="99"/>
    <w:rsid w:val="00642296"/>
    <w:rPr>
      <w:rFonts w:ascii="Times New Roman" w:eastAsia="Times New Roman" w:hAnsi="Times New Roman" w:cs="Times New Roman"/>
      <w:sz w:val="24"/>
      <w:szCs w:val="24"/>
      <w:lang w:eastAsia="es-MX"/>
    </w:rPr>
  </w:style>
  <w:style w:type="paragraph" w:styleId="Sangradetextonormal">
    <w:name w:val="Body Text Indent"/>
    <w:basedOn w:val="Normal"/>
    <w:link w:val="SangradetextonormalCar"/>
    <w:unhideWhenUsed/>
    <w:rsid w:val="000E6B6D"/>
    <w:pPr>
      <w:spacing w:before="120" w:after="120"/>
      <w:ind w:left="283"/>
      <w:jc w:val="center"/>
    </w:pPr>
    <w:rPr>
      <w:rFonts w:ascii="Calibri" w:eastAsia="Calibri" w:hAnsi="Calibri"/>
      <w:sz w:val="22"/>
      <w:szCs w:val="22"/>
      <w:lang w:val="x-none" w:eastAsia="en-US"/>
    </w:rPr>
  </w:style>
  <w:style w:type="character" w:customStyle="1" w:styleId="SangradetextonormalCar">
    <w:name w:val="Sangría de texto normal Car"/>
    <w:basedOn w:val="Fuentedeprrafopredeter"/>
    <w:link w:val="Sangradetextonormal"/>
    <w:rsid w:val="000E6B6D"/>
    <w:rPr>
      <w:rFonts w:ascii="Calibri" w:eastAsia="Calibri" w:hAnsi="Calibri" w:cs="Times New Roman"/>
      <w:lang w:val="x-non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04168.pag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imex.org.mx/saimex/solicitud/downloadAttach/2539298.pa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39297.pa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aimex.org.mx/saimex/solicitud/downloadAttach/2539296.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6/Nt0mkIWfLAyZvFzEE+6M+HaA==">CgMxLjAyCGguZ2pkZ3hzMgloLjFmb2I5dGUyCWguM3pueXNoNzIJaC4yZXQ5MnAwMg5oLjZrdHI2M25tdzkzdDIOaC5nN3pjaWVnMGN2cDYyDmguZXE3amhlamkzdGhsMg5oLm1oM3E0N2tzdnVjcDIOaC5qc3podm5jeGR5czk4AHIhMTdFSlg4d2Fub25TTTQyOUhtZU5sQjhMQmtaMnJwSGJS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5339</Words>
  <Characters>29367</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9</cp:revision>
  <cp:lastPrinted>2026-02-27T16:14:00Z</cp:lastPrinted>
  <dcterms:created xsi:type="dcterms:W3CDTF">2026-02-23T19:48:00Z</dcterms:created>
  <dcterms:modified xsi:type="dcterms:W3CDTF">2026-03-06T19:11:00Z</dcterms:modified>
</cp:coreProperties>
</file>