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54C6AB" w14:textId="51BB4FDD" w:rsidR="001E6007" w:rsidRPr="007577D1" w:rsidRDefault="001E6007" w:rsidP="001E600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577D1">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a </w:t>
      </w:r>
      <w:r w:rsidR="00CD7BA2" w:rsidRPr="007577D1">
        <w:rPr>
          <w:rFonts w:ascii="Palatino Linotype" w:eastAsia="Times New Roman" w:hAnsi="Palatino Linotype" w:cs="Palatino Linotype"/>
          <w:b/>
          <w:color w:val="000000"/>
          <w:sz w:val="24"/>
          <w:szCs w:val="24"/>
          <w:lang w:val="es-ES_tradnl" w:eastAsia="es-MX"/>
        </w:rPr>
        <w:t>veinte de mayo</w:t>
      </w:r>
      <w:r w:rsidRPr="007577D1">
        <w:rPr>
          <w:rFonts w:ascii="Palatino Linotype" w:eastAsia="Times New Roman" w:hAnsi="Palatino Linotype" w:cs="Palatino Linotype"/>
          <w:b/>
          <w:color w:val="000000"/>
          <w:sz w:val="24"/>
          <w:szCs w:val="24"/>
          <w:lang w:val="es-ES_tradnl" w:eastAsia="es-MX"/>
        </w:rPr>
        <w:t xml:space="preserve"> de dos mil veintiséis</w:t>
      </w:r>
      <w:r w:rsidRPr="007577D1">
        <w:rPr>
          <w:rFonts w:ascii="Palatino Linotype" w:eastAsia="Times New Roman" w:hAnsi="Palatino Linotype" w:cs="Palatino Linotype"/>
          <w:color w:val="000000"/>
          <w:sz w:val="24"/>
          <w:szCs w:val="24"/>
          <w:lang w:val="es-ES_tradnl" w:eastAsia="es-MX"/>
        </w:rPr>
        <w:t>.</w:t>
      </w:r>
    </w:p>
    <w:p w14:paraId="225687BB" w14:textId="77777777" w:rsidR="001E6007" w:rsidRPr="007577D1" w:rsidRDefault="001E6007" w:rsidP="001E600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CA1E347" w14:textId="4A536B16" w:rsidR="001E6007" w:rsidRPr="007577D1" w:rsidRDefault="001E6007" w:rsidP="001E600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577D1">
        <w:rPr>
          <w:rFonts w:ascii="Palatino Linotype" w:eastAsia="Times New Roman" w:hAnsi="Palatino Linotype" w:cs="Palatino Linotype"/>
          <w:b/>
          <w:color w:val="000000"/>
          <w:sz w:val="24"/>
          <w:szCs w:val="24"/>
          <w:lang w:val="es-ES_tradnl" w:eastAsia="es-MX"/>
        </w:rPr>
        <w:t>VISTO</w:t>
      </w:r>
      <w:r w:rsidRPr="007577D1">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r w:rsidRPr="007577D1">
        <w:rPr>
          <w:rFonts w:ascii="Palatino Linotype" w:eastAsia="Times New Roman" w:hAnsi="Palatino Linotype" w:cs="Palatino Linotype"/>
          <w:b/>
          <w:bCs/>
          <w:color w:val="000000"/>
          <w:sz w:val="24"/>
          <w:szCs w:val="24"/>
          <w:lang w:val="es-ES_tradnl" w:eastAsia="es-MX"/>
        </w:rPr>
        <w:t>0</w:t>
      </w:r>
      <w:r w:rsidRPr="007577D1">
        <w:rPr>
          <w:rFonts w:ascii="Palatino Linotype" w:eastAsia="Times New Roman" w:hAnsi="Palatino Linotype" w:cs="Palatino Linotype"/>
          <w:b/>
          <w:color w:val="000000"/>
          <w:sz w:val="24"/>
          <w:szCs w:val="24"/>
          <w:lang w:val="es-ES_tradnl" w:eastAsia="es-MX"/>
        </w:rPr>
        <w:t>2695/INFOEM/IP/RR/2026</w:t>
      </w:r>
      <w:r w:rsidRPr="007577D1">
        <w:rPr>
          <w:rFonts w:ascii="Palatino Linotype" w:eastAsia="Times New Roman" w:hAnsi="Palatino Linotype" w:cs="Palatino Linotype"/>
          <w:color w:val="000000"/>
          <w:sz w:val="24"/>
          <w:szCs w:val="24"/>
          <w:lang w:val="es-ES_tradnl" w:eastAsia="es-MX"/>
        </w:rPr>
        <w:t xml:space="preserve">, interpuesto por </w:t>
      </w:r>
      <w:r w:rsidR="00D15053">
        <w:rPr>
          <w:rFonts w:ascii="Palatino Linotype" w:eastAsia="Times New Roman" w:hAnsi="Palatino Linotype" w:cs="Palatino Linotype"/>
          <w:b/>
          <w:bCs/>
          <w:color w:val="000000"/>
          <w:sz w:val="24"/>
          <w:szCs w:val="24"/>
          <w:lang w:val="es-ES_tradnl" w:eastAsia="es-MX"/>
        </w:rPr>
        <w:t>XXXXXXXXXX</w:t>
      </w:r>
      <w:r w:rsidRPr="007577D1">
        <w:rPr>
          <w:rFonts w:ascii="Palatino Linotype" w:eastAsia="Times New Roman" w:hAnsi="Palatino Linotype" w:cs="Palatino Linotype"/>
          <w:color w:val="000000"/>
          <w:sz w:val="24"/>
          <w:szCs w:val="24"/>
          <w:lang w:val="es-ES_tradnl" w:eastAsia="es-MX"/>
        </w:rPr>
        <w:t xml:space="preserve">, en lo sucesivo el </w:t>
      </w:r>
      <w:r w:rsidRPr="007577D1">
        <w:rPr>
          <w:rFonts w:ascii="Palatino Linotype" w:eastAsia="Times New Roman" w:hAnsi="Palatino Linotype" w:cs="Palatino Linotype"/>
          <w:b/>
          <w:color w:val="000000"/>
          <w:sz w:val="24"/>
          <w:szCs w:val="24"/>
          <w:lang w:val="es-ES_tradnl" w:eastAsia="es-MX"/>
        </w:rPr>
        <w:t>Recurrente</w:t>
      </w:r>
      <w:r w:rsidRPr="007577D1">
        <w:rPr>
          <w:rFonts w:ascii="Palatino Linotype" w:eastAsia="Times New Roman" w:hAnsi="Palatino Linotype" w:cs="Palatino Linotype"/>
          <w:color w:val="000000"/>
          <w:sz w:val="24"/>
          <w:szCs w:val="24"/>
          <w:lang w:val="es-ES_tradnl" w:eastAsia="es-MX"/>
        </w:rPr>
        <w:t xml:space="preserve">, en contra de la respuesta </w:t>
      </w:r>
      <w:proofErr w:type="gramStart"/>
      <w:r w:rsidRPr="007577D1">
        <w:rPr>
          <w:rFonts w:ascii="Palatino Linotype" w:eastAsia="Times New Roman" w:hAnsi="Palatino Linotype" w:cs="Palatino Linotype"/>
          <w:color w:val="000000"/>
          <w:sz w:val="24"/>
          <w:szCs w:val="24"/>
          <w:lang w:val="es-ES_tradnl" w:eastAsia="es-MX"/>
        </w:rPr>
        <w:t>del</w:t>
      </w:r>
      <w:proofErr w:type="gramEnd"/>
      <w:r w:rsidRPr="007577D1">
        <w:rPr>
          <w:rFonts w:ascii="Palatino Linotype" w:eastAsia="Times New Roman" w:hAnsi="Palatino Linotype" w:cs="Palatino Linotype"/>
          <w:color w:val="000000"/>
          <w:sz w:val="24"/>
          <w:szCs w:val="24"/>
          <w:lang w:val="es-ES_tradnl" w:eastAsia="es-MX"/>
        </w:rPr>
        <w:t xml:space="preserve"> </w:t>
      </w:r>
      <w:r w:rsidRPr="007577D1">
        <w:rPr>
          <w:rFonts w:ascii="Palatino Linotype" w:hAnsi="Palatino Linotype"/>
          <w:b/>
          <w:bCs/>
          <w:color w:val="000000"/>
          <w:sz w:val="24"/>
          <w:szCs w:val="24"/>
        </w:rPr>
        <w:t>Secretaría de Educación, Ciencia, Tecnología e Innovación</w:t>
      </w:r>
      <w:r w:rsidRPr="007577D1">
        <w:rPr>
          <w:rFonts w:ascii="Palatino Linotype" w:eastAsia="Times New Roman" w:hAnsi="Palatino Linotype" w:cs="Palatino Linotype"/>
          <w:color w:val="000000"/>
          <w:sz w:val="24"/>
          <w:szCs w:val="24"/>
          <w:lang w:val="es-ES_tradnl" w:eastAsia="es-MX"/>
        </w:rPr>
        <w:t>, en lo subsecuente</w:t>
      </w:r>
      <w:r w:rsidRPr="007577D1">
        <w:rPr>
          <w:rFonts w:ascii="Palatino Linotype" w:eastAsia="Times New Roman" w:hAnsi="Palatino Linotype" w:cs="Palatino Linotype"/>
          <w:b/>
          <w:color w:val="000000"/>
          <w:sz w:val="24"/>
          <w:szCs w:val="24"/>
          <w:lang w:val="es-ES_tradnl" w:eastAsia="es-MX"/>
        </w:rPr>
        <w:t xml:space="preserve"> </w:t>
      </w:r>
      <w:r w:rsidRPr="007577D1">
        <w:rPr>
          <w:rFonts w:ascii="Palatino Linotype" w:eastAsia="Times New Roman" w:hAnsi="Palatino Linotype" w:cs="Palatino Linotype"/>
          <w:color w:val="000000"/>
          <w:sz w:val="24"/>
          <w:szCs w:val="24"/>
          <w:lang w:val="es-ES_tradnl" w:eastAsia="es-MX"/>
        </w:rPr>
        <w:t>el</w:t>
      </w:r>
      <w:r w:rsidRPr="007577D1">
        <w:rPr>
          <w:rFonts w:ascii="Palatino Linotype" w:eastAsia="Times New Roman" w:hAnsi="Palatino Linotype" w:cs="Palatino Linotype"/>
          <w:b/>
          <w:color w:val="000000"/>
          <w:sz w:val="24"/>
          <w:szCs w:val="24"/>
          <w:lang w:val="es-ES_tradnl" w:eastAsia="es-MX"/>
        </w:rPr>
        <w:t xml:space="preserve"> Sujeto Obligado, </w:t>
      </w:r>
      <w:r w:rsidRPr="007577D1">
        <w:rPr>
          <w:rFonts w:ascii="Palatino Linotype" w:eastAsia="Times New Roman" w:hAnsi="Palatino Linotype" w:cs="Palatino Linotype"/>
          <w:color w:val="000000"/>
          <w:sz w:val="24"/>
          <w:szCs w:val="24"/>
          <w:lang w:val="es-ES_tradnl" w:eastAsia="es-MX"/>
        </w:rPr>
        <w:t>se procede a dictar la presente resolución.</w:t>
      </w:r>
    </w:p>
    <w:p w14:paraId="19990C89" w14:textId="77777777" w:rsidR="001E6007" w:rsidRPr="007577D1" w:rsidRDefault="001E6007" w:rsidP="001E600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F82B36C" w14:textId="77777777" w:rsidR="001E6007" w:rsidRPr="007577D1" w:rsidRDefault="001E6007" w:rsidP="001E6007">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7577D1">
        <w:rPr>
          <w:rFonts w:ascii="Palatino Linotype" w:eastAsia="Times New Roman" w:hAnsi="Palatino Linotype" w:cs="Times New Roman"/>
          <w:b/>
          <w:color w:val="000000" w:themeColor="text1"/>
          <w:sz w:val="28"/>
          <w:szCs w:val="32"/>
          <w:lang w:val="es-ES_tradnl" w:eastAsia="es-ES"/>
        </w:rPr>
        <w:t>A N T E C E D E N T E S</w:t>
      </w:r>
    </w:p>
    <w:p w14:paraId="7429ECEE" w14:textId="77777777" w:rsidR="001E6007" w:rsidRPr="007577D1" w:rsidRDefault="001E6007" w:rsidP="001E6007">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0773573B" w14:textId="77777777" w:rsidR="001E6007" w:rsidRPr="007577D1" w:rsidRDefault="001E6007" w:rsidP="001E600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EE63425" w14:textId="77777777" w:rsidR="001E6007" w:rsidRPr="007577D1" w:rsidRDefault="001E6007" w:rsidP="001E600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7577D1">
        <w:rPr>
          <w:rFonts w:ascii="Palatino Linotype" w:eastAsia="Times New Roman" w:hAnsi="Palatino Linotype" w:cs="Times New Roman"/>
          <w:b/>
          <w:color w:val="000000" w:themeColor="text1"/>
          <w:sz w:val="26"/>
          <w:szCs w:val="26"/>
          <w:lang w:val="es-ES_tradnl" w:eastAsia="es-MX"/>
        </w:rPr>
        <w:t>PRIMERO. De la Solicitud de Información.</w:t>
      </w:r>
    </w:p>
    <w:p w14:paraId="106B54BF" w14:textId="77777777" w:rsidR="001E6007" w:rsidRPr="007577D1" w:rsidRDefault="001E6007" w:rsidP="001E600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577D1">
        <w:rPr>
          <w:rFonts w:ascii="Palatino Linotype" w:eastAsia="Times New Roman" w:hAnsi="Palatino Linotype" w:cs="Palatino Linotype"/>
          <w:color w:val="000000"/>
          <w:sz w:val="24"/>
          <w:szCs w:val="24"/>
          <w:lang w:val="es-ES_tradnl" w:eastAsia="es-MX"/>
        </w:rPr>
        <w:t xml:space="preserve">Con fecha quince de enero de dos mil veintiséis, el Recurrente presentó mediante el Sistema de Acceso a la Información Mexiquense (SAIMEX), solicitud de información registrada con el número de </w:t>
      </w:r>
      <w:r w:rsidRPr="007577D1">
        <w:rPr>
          <w:rFonts w:ascii="Palatino Linotype" w:eastAsia="Times New Roman" w:hAnsi="Palatino Linotype" w:cs="Palatino Linotype"/>
          <w:sz w:val="24"/>
          <w:szCs w:val="24"/>
          <w:lang w:val="es-ES_tradnl" w:eastAsia="es-MX"/>
        </w:rPr>
        <w:t>expediente</w:t>
      </w:r>
      <w:r w:rsidRPr="007577D1">
        <w:rPr>
          <w:rFonts w:ascii="Verdana" w:hAnsi="Verdana"/>
          <w:b/>
          <w:bCs/>
          <w:color w:val="FF0000"/>
        </w:rPr>
        <w:t xml:space="preserve">  </w:t>
      </w:r>
      <w:r w:rsidRPr="007577D1">
        <w:rPr>
          <w:rFonts w:ascii="Palatino Linotype" w:hAnsi="Palatino Linotype"/>
          <w:b/>
          <w:bCs/>
          <w:sz w:val="24"/>
          <w:szCs w:val="24"/>
        </w:rPr>
        <w:t>00011/SECTI/IP/2026</w:t>
      </w:r>
      <w:r w:rsidRPr="007577D1">
        <w:rPr>
          <w:rFonts w:ascii="Palatino Linotype" w:eastAsia="Times New Roman" w:hAnsi="Palatino Linotype" w:cs="Palatino Linotype"/>
          <w:sz w:val="24"/>
          <w:szCs w:val="24"/>
          <w:lang w:val="es-ES_tradnl" w:eastAsia="es-MX"/>
        </w:rPr>
        <w:t>,</w:t>
      </w:r>
      <w:r w:rsidRPr="007577D1">
        <w:rPr>
          <w:rFonts w:ascii="Palatino Linotype" w:eastAsia="Times New Roman" w:hAnsi="Palatino Linotype" w:cs="Palatino Linotype"/>
          <w:b/>
          <w:sz w:val="24"/>
          <w:szCs w:val="24"/>
          <w:lang w:val="es-ES_tradnl" w:eastAsia="es-MX"/>
        </w:rPr>
        <w:t xml:space="preserve"> </w:t>
      </w:r>
      <w:r w:rsidRPr="007577D1">
        <w:rPr>
          <w:rFonts w:ascii="Palatino Linotype" w:eastAsia="Times New Roman" w:hAnsi="Palatino Linotype" w:cs="Palatino Linotype"/>
          <w:color w:val="000000"/>
          <w:sz w:val="24"/>
          <w:szCs w:val="24"/>
          <w:lang w:val="es-ES_tradnl" w:eastAsia="es-MX"/>
        </w:rPr>
        <w:t>mediante la cual solicitó información en el tenor siguiente:</w:t>
      </w:r>
    </w:p>
    <w:p w14:paraId="009EED0C" w14:textId="74E638F8" w:rsidR="001E6007" w:rsidRPr="007577D1" w:rsidRDefault="001E6007" w:rsidP="001E6007">
      <w:pPr>
        <w:spacing w:after="0" w:line="360" w:lineRule="auto"/>
        <w:ind w:left="567" w:right="567"/>
        <w:contextualSpacing/>
        <w:jc w:val="both"/>
        <w:rPr>
          <w:rFonts w:ascii="Palatino Linotype" w:hAnsi="Palatino Linotype"/>
          <w:i/>
          <w:color w:val="000000"/>
          <w:sz w:val="24"/>
          <w:szCs w:val="24"/>
        </w:rPr>
      </w:pPr>
      <w:r w:rsidRPr="007577D1">
        <w:rPr>
          <w:rFonts w:ascii="Palatino Linotype" w:hAnsi="Palatino Linotype"/>
          <w:i/>
          <w:color w:val="000000"/>
          <w:sz w:val="24"/>
          <w:szCs w:val="24"/>
        </w:rPr>
        <w:t xml:space="preserve"> “Por medio de la presente, y con fundamento en los artículos 6º de la Constitución Política de los Estados Unidos Mexicanos, así como en la Ley de Transparencia y Acceso a la Información Pública del Estado de México y Municipios, solicito atentamente la siguiente información en poder de la Secretaría de Educación, Ciencia, Tecnología e Innovación del Estado de México: Me refiero al oficio número </w:t>
      </w:r>
      <w:r w:rsidRPr="007577D1">
        <w:rPr>
          <w:rFonts w:ascii="Palatino Linotype" w:hAnsi="Palatino Linotype"/>
          <w:i/>
          <w:color w:val="000000"/>
          <w:sz w:val="24"/>
          <w:szCs w:val="24"/>
        </w:rPr>
        <w:lastRenderedPageBreak/>
        <w:t xml:space="preserve">SEP/CGEE/OEESEPMEX/2942/2025, de fecha 8 de diciembre de 2025, suscrito por el Lic. Luis Alonso Rivera Castellanos, Titular de la Oficina de Enlace Educativo en el Estado de México de la Secretaría de Educación Pública, relacionado con la denuncia presentada por el C. </w:t>
      </w:r>
      <w:r w:rsidR="00D15053">
        <w:rPr>
          <w:rFonts w:ascii="Palatino Linotype" w:hAnsi="Palatino Linotype"/>
          <w:i/>
          <w:color w:val="000000"/>
          <w:sz w:val="24"/>
          <w:szCs w:val="24"/>
        </w:rPr>
        <w:t>XXXXXXXXXXXXX</w:t>
      </w:r>
      <w:bookmarkStart w:id="0" w:name="_GoBack"/>
      <w:bookmarkEnd w:id="0"/>
      <w:r w:rsidRPr="007577D1">
        <w:rPr>
          <w:rFonts w:ascii="Palatino Linotype" w:hAnsi="Palatino Linotype"/>
          <w:i/>
          <w:color w:val="000000"/>
          <w:sz w:val="24"/>
          <w:szCs w:val="24"/>
        </w:rPr>
        <w:t xml:space="preserve"> en contra de diversos servidores públicos del Estado de México. Al respecto, solicito: - Se informe de manera detallada qué gestiones han sido realizadas por esa Secretaría para dar trámite a la denuncia referida. - Se proporcionen versiones públicas de los documentos mediante los cuales se hayan efectuado dichas gestiones. - Se informe el estado procesal o administrativo actual en el que se encuentra la tramitación de dicha denuncia</w:t>
      </w:r>
      <w:proofErr w:type="gramStart"/>
      <w:r w:rsidRPr="007577D1">
        <w:rPr>
          <w:rFonts w:ascii="Palatino Linotype" w:hAnsi="Palatino Linotype"/>
          <w:i/>
          <w:color w:val="000000"/>
          <w:sz w:val="24"/>
          <w:szCs w:val="24"/>
          <w:lang w:val="es-ES_tradnl"/>
        </w:rPr>
        <w:t>.“</w:t>
      </w:r>
      <w:proofErr w:type="gramEnd"/>
      <w:r w:rsidRPr="007577D1">
        <w:rPr>
          <w:rFonts w:ascii="Palatino Linotype" w:eastAsia="Times New Roman" w:hAnsi="Palatino Linotype" w:cs="Palatino Linotype"/>
          <w:i/>
          <w:color w:val="000000"/>
          <w:sz w:val="24"/>
          <w:szCs w:val="24"/>
          <w:lang w:val="es-ES_tradnl" w:eastAsia="es-MX"/>
        </w:rPr>
        <w:t>(</w:t>
      </w:r>
      <w:r w:rsidRPr="007577D1">
        <w:rPr>
          <w:rFonts w:ascii="Palatino Linotype" w:eastAsia="Times New Roman" w:hAnsi="Palatino Linotype" w:cs="Palatino Linotype"/>
          <w:i/>
          <w:color w:val="000000"/>
          <w:szCs w:val="24"/>
          <w:lang w:val="es-ES_tradnl" w:eastAsia="es-MX"/>
        </w:rPr>
        <w:t>Sic)</w:t>
      </w:r>
    </w:p>
    <w:p w14:paraId="6BF887AD" w14:textId="77777777" w:rsidR="001E6007" w:rsidRPr="007577D1" w:rsidRDefault="001E6007" w:rsidP="001E600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879D908" w14:textId="77777777" w:rsidR="001E6007" w:rsidRPr="007577D1" w:rsidRDefault="001E6007" w:rsidP="001E6007">
      <w:pPr>
        <w:spacing w:after="0" w:line="360" w:lineRule="auto"/>
        <w:contextualSpacing/>
        <w:jc w:val="both"/>
        <w:rPr>
          <w:rFonts w:ascii="Palatino Linotype" w:eastAsia="Times New Roman" w:hAnsi="Palatino Linotype" w:cs="Palatino Linotype"/>
          <w:b/>
          <w:color w:val="000000"/>
          <w:sz w:val="24"/>
          <w:szCs w:val="24"/>
          <w:lang w:val="es-ES_tradnl" w:eastAsia="es-MX"/>
        </w:rPr>
      </w:pPr>
      <w:r w:rsidRPr="007577D1">
        <w:rPr>
          <w:rFonts w:ascii="Palatino Linotype" w:eastAsia="Times New Roman" w:hAnsi="Palatino Linotype" w:cs="Palatino Linotype"/>
          <w:color w:val="000000"/>
          <w:sz w:val="24"/>
          <w:szCs w:val="24"/>
          <w:lang w:val="es-ES_tradnl" w:eastAsia="es-MX"/>
        </w:rPr>
        <w:t xml:space="preserve">Modalidad de entrega: </w:t>
      </w:r>
      <w:r w:rsidRPr="007577D1">
        <w:rPr>
          <w:rFonts w:ascii="Palatino Linotype" w:eastAsia="Times New Roman" w:hAnsi="Palatino Linotype" w:cs="Palatino Linotype"/>
          <w:b/>
          <w:color w:val="000000"/>
          <w:sz w:val="24"/>
          <w:szCs w:val="24"/>
          <w:lang w:val="es-ES_tradnl" w:eastAsia="es-MX"/>
        </w:rPr>
        <w:t>A través del SAIMEX</w:t>
      </w:r>
      <w:r w:rsidRPr="007577D1">
        <w:rPr>
          <w:rFonts w:ascii="Palatino Linotype" w:eastAsia="Times New Roman" w:hAnsi="Palatino Linotype" w:cs="Palatino Linotype"/>
          <w:color w:val="000000"/>
          <w:sz w:val="24"/>
          <w:szCs w:val="24"/>
          <w:lang w:val="es-ES_tradnl" w:eastAsia="es-MX"/>
        </w:rPr>
        <w:t>.</w:t>
      </w:r>
    </w:p>
    <w:p w14:paraId="3587DD8D" w14:textId="77777777" w:rsidR="001E6007" w:rsidRPr="007577D1" w:rsidRDefault="001E6007" w:rsidP="001E600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84B354D" w14:textId="77777777" w:rsidR="001E6007" w:rsidRPr="007577D1" w:rsidRDefault="001E6007" w:rsidP="001E600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7577D1">
        <w:rPr>
          <w:rFonts w:ascii="Palatino Linotype" w:eastAsia="Times New Roman" w:hAnsi="Palatino Linotype" w:cs="Times New Roman"/>
          <w:b/>
          <w:color w:val="000000" w:themeColor="text1"/>
          <w:sz w:val="26"/>
          <w:szCs w:val="26"/>
          <w:lang w:val="es-ES_tradnl" w:eastAsia="es-MX"/>
        </w:rPr>
        <w:t>SEGUNDO. De la respuesta del Sujeto Obligado.</w:t>
      </w:r>
    </w:p>
    <w:p w14:paraId="3848A4F6" w14:textId="77777777" w:rsidR="001E6007" w:rsidRPr="007577D1" w:rsidRDefault="001E6007" w:rsidP="001E600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577D1">
        <w:rPr>
          <w:rFonts w:ascii="Palatino Linotype" w:eastAsia="Times New Roman" w:hAnsi="Palatino Linotype" w:cs="Palatino Linotype"/>
          <w:color w:val="000000"/>
          <w:sz w:val="24"/>
          <w:szCs w:val="24"/>
          <w:lang w:val="es-ES_tradnl" w:eastAsia="es-MX"/>
        </w:rPr>
        <w:t>De las constancias que obran en el expediente electrónico, se observa que el cinco de febrero de dos mil veintiséis, el Sujeto Obligado dio respuesta a la solicitud de información manifestando lo siguiente:</w:t>
      </w:r>
    </w:p>
    <w:tbl>
      <w:tblPr>
        <w:tblW w:w="8174" w:type="dxa"/>
        <w:jc w:val="center"/>
        <w:tblCellSpacing w:w="0" w:type="dxa"/>
        <w:tblCellMar>
          <w:left w:w="0" w:type="dxa"/>
          <w:right w:w="0" w:type="dxa"/>
        </w:tblCellMar>
        <w:tblLook w:val="04A0" w:firstRow="1" w:lastRow="0" w:firstColumn="1" w:lastColumn="0" w:noHBand="0" w:noVBand="1"/>
      </w:tblPr>
      <w:tblGrid>
        <w:gridCol w:w="8174"/>
      </w:tblGrid>
      <w:tr w:rsidR="001E6007" w:rsidRPr="007577D1" w14:paraId="0C4857F9" w14:textId="77777777" w:rsidTr="00A022F4">
        <w:trPr>
          <w:trHeight w:val="293"/>
          <w:tblCellSpacing w:w="0" w:type="dxa"/>
          <w:jc w:val="center"/>
        </w:trPr>
        <w:tc>
          <w:tcPr>
            <w:tcW w:w="0" w:type="auto"/>
            <w:vAlign w:val="center"/>
            <w:hideMark/>
          </w:tcPr>
          <w:p w14:paraId="55ED50FA" w14:textId="77777777" w:rsidR="001E6007" w:rsidRPr="007577D1" w:rsidRDefault="001E6007" w:rsidP="001E6007">
            <w:pPr>
              <w:spacing w:after="0" w:line="240" w:lineRule="auto"/>
              <w:jc w:val="right"/>
              <w:rPr>
                <w:rFonts w:ascii="Palatino Linotype" w:eastAsia="Times New Roman" w:hAnsi="Palatino Linotype" w:cs="Times New Roman"/>
                <w:i/>
                <w:lang w:eastAsia="es-MX"/>
              </w:rPr>
            </w:pPr>
            <w:r w:rsidRPr="007577D1">
              <w:rPr>
                <w:rFonts w:ascii="Palatino Linotype" w:eastAsia="Times New Roman" w:hAnsi="Palatino Linotype" w:cs="Times New Roman"/>
                <w:i/>
                <w:lang w:eastAsia="es-MX"/>
              </w:rPr>
              <w:t>Metepec, México a 05 de  Febrero de 2026</w:t>
            </w:r>
          </w:p>
        </w:tc>
      </w:tr>
      <w:tr w:rsidR="001E6007" w:rsidRPr="007577D1" w14:paraId="5D343B3F" w14:textId="77777777" w:rsidTr="00A022F4">
        <w:trPr>
          <w:trHeight w:val="293"/>
          <w:tblCellSpacing w:w="0" w:type="dxa"/>
          <w:jc w:val="center"/>
        </w:trPr>
        <w:tc>
          <w:tcPr>
            <w:tcW w:w="0" w:type="auto"/>
            <w:vAlign w:val="center"/>
            <w:hideMark/>
          </w:tcPr>
          <w:p w14:paraId="4E639411" w14:textId="77777777" w:rsidR="001E6007" w:rsidRPr="007577D1" w:rsidRDefault="001E6007" w:rsidP="00A022F4">
            <w:pPr>
              <w:spacing w:after="0" w:line="240" w:lineRule="auto"/>
              <w:jc w:val="right"/>
              <w:rPr>
                <w:rFonts w:ascii="Palatino Linotype" w:eastAsia="Times New Roman" w:hAnsi="Palatino Linotype" w:cs="Times New Roman"/>
                <w:i/>
                <w:lang w:eastAsia="es-MX"/>
              </w:rPr>
            </w:pPr>
            <w:r w:rsidRPr="007577D1">
              <w:rPr>
                <w:rFonts w:ascii="Palatino Linotype" w:eastAsia="Times New Roman" w:hAnsi="Palatino Linotype" w:cs="Times New Roman"/>
                <w:i/>
                <w:lang w:eastAsia="es-MX"/>
              </w:rPr>
              <w:t>Nombre del solicitante: C. Solicitante</w:t>
            </w:r>
          </w:p>
        </w:tc>
      </w:tr>
      <w:tr w:rsidR="001E6007" w:rsidRPr="007577D1" w14:paraId="070DA0DF" w14:textId="77777777" w:rsidTr="00A022F4">
        <w:trPr>
          <w:trHeight w:val="293"/>
          <w:tblCellSpacing w:w="0" w:type="dxa"/>
          <w:jc w:val="center"/>
        </w:trPr>
        <w:tc>
          <w:tcPr>
            <w:tcW w:w="0" w:type="auto"/>
            <w:vAlign w:val="center"/>
            <w:hideMark/>
          </w:tcPr>
          <w:p w14:paraId="37D1CF61" w14:textId="77777777" w:rsidR="001E6007" w:rsidRPr="007577D1" w:rsidRDefault="001E6007" w:rsidP="00A022F4">
            <w:pPr>
              <w:spacing w:after="0" w:line="240" w:lineRule="auto"/>
              <w:jc w:val="right"/>
              <w:rPr>
                <w:rFonts w:ascii="Palatino Linotype" w:eastAsia="Times New Roman" w:hAnsi="Palatino Linotype" w:cs="Times New Roman"/>
                <w:i/>
                <w:lang w:eastAsia="es-MX"/>
              </w:rPr>
            </w:pPr>
            <w:r w:rsidRPr="007577D1">
              <w:rPr>
                <w:rFonts w:ascii="Palatino Linotype" w:eastAsia="Times New Roman" w:hAnsi="Palatino Linotype" w:cs="Times New Roman"/>
                <w:i/>
                <w:lang w:eastAsia="es-MX"/>
              </w:rPr>
              <w:t>Folio de la solicitud: 00011/SECTI/IP/2026</w:t>
            </w:r>
          </w:p>
        </w:tc>
      </w:tr>
      <w:tr w:rsidR="001E6007" w:rsidRPr="007577D1" w14:paraId="4BD3B6D5" w14:textId="77777777" w:rsidTr="00A022F4">
        <w:trPr>
          <w:trHeight w:val="440"/>
          <w:tblCellSpacing w:w="0" w:type="dxa"/>
          <w:jc w:val="center"/>
        </w:trPr>
        <w:tc>
          <w:tcPr>
            <w:tcW w:w="0" w:type="auto"/>
            <w:vAlign w:val="center"/>
            <w:hideMark/>
          </w:tcPr>
          <w:p w14:paraId="30E13C51" w14:textId="77777777" w:rsidR="001E6007" w:rsidRPr="007577D1" w:rsidRDefault="001E6007" w:rsidP="00A022F4">
            <w:pPr>
              <w:spacing w:after="0" w:line="240" w:lineRule="auto"/>
              <w:jc w:val="right"/>
              <w:rPr>
                <w:rFonts w:ascii="Palatino Linotype" w:eastAsia="Times New Roman" w:hAnsi="Palatino Linotype" w:cs="Times New Roman"/>
                <w:i/>
                <w:lang w:eastAsia="es-MX"/>
              </w:rPr>
            </w:pPr>
          </w:p>
        </w:tc>
      </w:tr>
      <w:tr w:rsidR="001E6007" w:rsidRPr="007577D1" w14:paraId="40C70629" w14:textId="77777777" w:rsidTr="00A022F4">
        <w:trPr>
          <w:trHeight w:val="146"/>
          <w:tblCellSpacing w:w="0" w:type="dxa"/>
          <w:jc w:val="center"/>
        </w:trPr>
        <w:tc>
          <w:tcPr>
            <w:tcW w:w="0" w:type="auto"/>
            <w:vAlign w:val="center"/>
            <w:hideMark/>
          </w:tcPr>
          <w:p w14:paraId="1419E731" w14:textId="77777777" w:rsidR="001E6007" w:rsidRPr="007577D1" w:rsidRDefault="001E6007" w:rsidP="00A022F4">
            <w:pPr>
              <w:spacing w:after="0" w:line="240" w:lineRule="auto"/>
              <w:jc w:val="both"/>
              <w:rPr>
                <w:rFonts w:ascii="Palatino Linotype" w:eastAsia="Times New Roman" w:hAnsi="Palatino Linotype" w:cs="Times New Roman"/>
                <w:i/>
                <w:lang w:eastAsia="es-MX"/>
              </w:rPr>
            </w:pPr>
            <w:r w:rsidRPr="007577D1">
              <w:rPr>
                <w:rFonts w:ascii="Palatino Linotype" w:eastAsia="Times New Roman" w:hAnsi="Palatino Linotype" w:cs="Times New Roman"/>
                <w:i/>
                <w:lang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tc>
      </w:tr>
    </w:tbl>
    <w:p w14:paraId="2E44380D" w14:textId="77777777" w:rsidR="001E6007" w:rsidRPr="007577D1" w:rsidRDefault="001E6007" w:rsidP="001E6007">
      <w:pPr>
        <w:spacing w:after="0" w:line="360" w:lineRule="auto"/>
        <w:contextualSpacing/>
        <w:jc w:val="both"/>
        <w:rPr>
          <w:rFonts w:ascii="Palatino Linotype" w:eastAsia="Times New Roman" w:hAnsi="Palatino Linotype" w:cs="Palatino Linotype"/>
          <w:i/>
          <w:color w:val="000000"/>
          <w:lang w:val="es-ES_tradnl" w:eastAsia="es-MX"/>
        </w:rPr>
      </w:pPr>
    </w:p>
    <w:p w14:paraId="0A270672" w14:textId="77777777" w:rsidR="001E6007" w:rsidRPr="007577D1" w:rsidRDefault="001E6007" w:rsidP="001E6007">
      <w:pPr>
        <w:spacing w:after="0" w:line="360" w:lineRule="auto"/>
        <w:contextualSpacing/>
        <w:jc w:val="both"/>
        <w:rPr>
          <w:rFonts w:ascii="Palatino Linotype" w:hAnsi="Palatino Linotype" w:cs="Arial"/>
          <w:b/>
          <w:bCs/>
          <w:i/>
          <w:color w:val="333333"/>
          <w:sz w:val="24"/>
          <w:szCs w:val="24"/>
        </w:rPr>
      </w:pPr>
      <w:r w:rsidRPr="007577D1">
        <w:rPr>
          <w:rFonts w:ascii="Palatino Linotype" w:eastAsia="Times New Roman" w:hAnsi="Palatino Linotype" w:cs="Palatino Linotype"/>
          <w:color w:val="000000"/>
          <w:sz w:val="24"/>
          <w:szCs w:val="24"/>
          <w:lang w:val="es-ES_tradnl" w:eastAsia="es-MX"/>
        </w:rPr>
        <w:t xml:space="preserve">El Sujeto Obligado adjuntó a su respuesta los documentos denominados </w:t>
      </w:r>
      <w:r w:rsidRPr="007577D1">
        <w:rPr>
          <w:rFonts w:ascii="Palatino Linotype" w:eastAsia="Times New Roman" w:hAnsi="Palatino Linotype" w:cs="Palatino Linotype"/>
          <w:i/>
          <w:sz w:val="24"/>
          <w:szCs w:val="24"/>
          <w:lang w:val="es-ES_tradnl" w:eastAsia="es-MX"/>
        </w:rPr>
        <w:t>“</w:t>
      </w:r>
      <w:r w:rsidRPr="007577D1">
        <w:rPr>
          <w:rFonts w:ascii="Palatino Linotype" w:hAnsi="Palatino Linotype" w:cs="Arial"/>
          <w:b/>
          <w:bCs/>
          <w:sz w:val="24"/>
          <w:szCs w:val="24"/>
        </w:rPr>
        <w:t>Respuesta_SPH_11.pdf</w:t>
      </w:r>
      <w:r w:rsidRPr="007577D1">
        <w:rPr>
          <w:rFonts w:ascii="Palatino Linotype" w:hAnsi="Palatino Linotype" w:cs="Arial"/>
          <w:b/>
          <w:bCs/>
          <w:color w:val="333333"/>
          <w:sz w:val="24"/>
          <w:szCs w:val="24"/>
        </w:rPr>
        <w:t>” y “</w:t>
      </w:r>
      <w:r w:rsidRPr="007577D1">
        <w:rPr>
          <w:rFonts w:ascii="Palatino Linotype" w:hAnsi="Palatino Linotype" w:cs="Arial"/>
          <w:b/>
          <w:bCs/>
          <w:sz w:val="24"/>
          <w:szCs w:val="24"/>
        </w:rPr>
        <w:t>RESPUESTA_UT_11.pdf</w:t>
      </w:r>
      <w:r w:rsidRPr="007577D1">
        <w:rPr>
          <w:rFonts w:ascii="Palatino Linotype" w:eastAsia="Times New Roman" w:hAnsi="Palatino Linotype" w:cs="Palatino Linotype"/>
          <w:b/>
          <w:bCs/>
          <w:i/>
          <w:sz w:val="24"/>
          <w:szCs w:val="24"/>
          <w:lang w:eastAsia="es-MX"/>
        </w:rPr>
        <w:t>”</w:t>
      </w:r>
      <w:r w:rsidRPr="007577D1">
        <w:rPr>
          <w:rFonts w:ascii="Palatino Linotype" w:eastAsia="Times New Roman" w:hAnsi="Palatino Linotype" w:cs="Palatino Linotype"/>
          <w:i/>
          <w:iCs/>
          <w:sz w:val="24"/>
          <w:szCs w:val="24"/>
          <w:lang w:val="es-ES_tradnl" w:eastAsia="es-MX"/>
        </w:rPr>
        <w:t>,</w:t>
      </w:r>
      <w:r w:rsidRPr="007577D1">
        <w:rPr>
          <w:rFonts w:ascii="Palatino Linotype" w:eastAsia="Times New Roman" w:hAnsi="Palatino Linotype" w:cs="Palatino Linotype"/>
          <w:sz w:val="24"/>
          <w:szCs w:val="24"/>
          <w:lang w:val="es-ES_tradnl" w:eastAsia="es-MX"/>
        </w:rPr>
        <w:t xml:space="preserve"> </w:t>
      </w:r>
      <w:r w:rsidRPr="007577D1">
        <w:rPr>
          <w:rFonts w:ascii="Palatino Linotype" w:eastAsia="Times New Roman" w:hAnsi="Palatino Linotype" w:cs="Palatino Linotype"/>
          <w:color w:val="000000"/>
          <w:sz w:val="24"/>
          <w:szCs w:val="24"/>
          <w:lang w:val="es-ES_tradnl" w:eastAsia="es-MX"/>
        </w:rPr>
        <w:t xml:space="preserve">los cuales no se reproducen por </w:t>
      </w:r>
      <w:r w:rsidRPr="007577D1">
        <w:rPr>
          <w:rFonts w:ascii="Palatino Linotype" w:eastAsia="Times New Roman" w:hAnsi="Palatino Linotype" w:cs="Palatino Linotype"/>
          <w:color w:val="000000"/>
          <w:sz w:val="24"/>
          <w:szCs w:val="24"/>
          <w:lang w:val="es-ES_tradnl" w:eastAsia="es-MX"/>
        </w:rPr>
        <w:lastRenderedPageBreak/>
        <w:t>ser del conocimiento de las partes; no obstante, su contenido será motivo de análisis en el estudio correspondiente.</w:t>
      </w:r>
    </w:p>
    <w:p w14:paraId="162EEDFA" w14:textId="77777777" w:rsidR="001E6007" w:rsidRPr="007577D1" w:rsidRDefault="001E6007" w:rsidP="001E6007">
      <w:pPr>
        <w:spacing w:after="0" w:line="360" w:lineRule="auto"/>
        <w:contextualSpacing/>
        <w:jc w:val="both"/>
        <w:rPr>
          <w:rFonts w:ascii="Palatino Linotype" w:hAnsi="Palatino Linotype"/>
          <w:sz w:val="24"/>
          <w:szCs w:val="24"/>
        </w:rPr>
      </w:pPr>
    </w:p>
    <w:p w14:paraId="216C49E4" w14:textId="77777777" w:rsidR="001E6007" w:rsidRPr="007577D1" w:rsidRDefault="001E6007" w:rsidP="001E600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7577D1">
        <w:rPr>
          <w:rFonts w:ascii="Palatino Linotype" w:eastAsia="Times New Roman" w:hAnsi="Palatino Linotype" w:cs="Times New Roman"/>
          <w:b/>
          <w:color w:val="000000" w:themeColor="text1"/>
          <w:sz w:val="26"/>
          <w:szCs w:val="26"/>
          <w:lang w:val="es-ES_tradnl" w:eastAsia="es-MX"/>
        </w:rPr>
        <w:t>TERCERO. Del recurso de revisión.</w:t>
      </w:r>
    </w:p>
    <w:p w14:paraId="525B80E6" w14:textId="77777777" w:rsidR="001E6007" w:rsidRPr="007577D1" w:rsidRDefault="001E6007" w:rsidP="001E600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577D1">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veintiséis de febrero de dos mil veintiséis, el cual se registró con el expediente número </w:t>
      </w:r>
      <w:r w:rsidRPr="007577D1">
        <w:rPr>
          <w:rFonts w:ascii="Palatino Linotype" w:eastAsia="Times New Roman" w:hAnsi="Palatino Linotype" w:cs="Palatino Linotype"/>
          <w:b/>
          <w:color w:val="000000"/>
          <w:sz w:val="24"/>
          <w:szCs w:val="24"/>
          <w:lang w:val="es-ES_tradnl" w:eastAsia="es-MX"/>
        </w:rPr>
        <w:t>02695/INFOEM/IP/RR/2026</w:t>
      </w:r>
      <w:r w:rsidRPr="007577D1">
        <w:rPr>
          <w:rFonts w:ascii="Palatino Linotype" w:eastAsia="Times New Roman" w:hAnsi="Palatino Linotype" w:cs="Palatino Linotype"/>
          <w:color w:val="000000"/>
          <w:sz w:val="24"/>
          <w:szCs w:val="24"/>
          <w:lang w:val="es-ES_tradnl" w:eastAsia="es-MX"/>
        </w:rPr>
        <w:t>, manifestando lo siguiente:</w:t>
      </w:r>
    </w:p>
    <w:p w14:paraId="1B6CE5ED" w14:textId="77777777" w:rsidR="001E6007" w:rsidRPr="007577D1" w:rsidRDefault="001E6007" w:rsidP="001E6007">
      <w:pPr>
        <w:spacing w:after="0" w:line="240" w:lineRule="auto"/>
        <w:ind w:left="567" w:right="567"/>
        <w:contextualSpacing/>
        <w:jc w:val="both"/>
        <w:rPr>
          <w:rFonts w:ascii="Palatino Linotype" w:eastAsia="Times New Roman" w:hAnsi="Palatino Linotype" w:cs="Palatino Linotype"/>
          <w:b/>
          <w:sz w:val="24"/>
          <w:lang w:val="es-ES_tradnl" w:eastAsia="es-MX"/>
        </w:rPr>
      </w:pPr>
      <w:r w:rsidRPr="007577D1">
        <w:rPr>
          <w:rFonts w:ascii="Palatino Linotype" w:eastAsia="Times New Roman" w:hAnsi="Palatino Linotype" w:cs="Palatino Linotype"/>
          <w:b/>
          <w:sz w:val="24"/>
          <w:lang w:val="es-ES_tradnl" w:eastAsia="es-MX"/>
        </w:rPr>
        <w:t xml:space="preserve">Acto Impugnado </w:t>
      </w:r>
    </w:p>
    <w:p w14:paraId="3BBD7DEE" w14:textId="77777777" w:rsidR="001E6007" w:rsidRPr="007577D1" w:rsidRDefault="001E6007" w:rsidP="001E6007">
      <w:pPr>
        <w:ind w:left="567"/>
        <w:jc w:val="both"/>
        <w:rPr>
          <w:rFonts w:ascii="Palatino Linotype" w:eastAsia="Times New Roman" w:hAnsi="Palatino Linotype" w:cs="Times New Roman"/>
          <w:i/>
          <w:sz w:val="24"/>
          <w:szCs w:val="24"/>
          <w:lang w:eastAsia="es-MX"/>
        </w:rPr>
      </w:pPr>
      <w:r w:rsidRPr="007577D1">
        <w:rPr>
          <w:rFonts w:ascii="Palatino Linotype" w:hAnsi="Palatino Linotype"/>
          <w:i/>
          <w:color w:val="000000"/>
          <w:sz w:val="24"/>
          <w:szCs w:val="24"/>
        </w:rPr>
        <w:t xml:space="preserve">“Se impugna la respuesta emitida por la Unidad de Transparencia de la Secretaría de Educación, Ciencia, Tecnología e Innovación del Estado de México, contenida en el oficio número 22800007010000S/0149/UT/2026 de fecha 5 de febrero de 2026, notificada a través del Sistema de Acceso a la Información Mexiquense (SAIMEX). Dicha respuesta determinó la improcedencia de mi solicitud al considerar que mis requerimientos constituían "pronunciamientos subjetivos" y que lo que pretendía era el ejercicio del Derecho de Petición (artículo 8° constitucional) y no del Derecho de Acceso a la Información.” </w:t>
      </w:r>
      <w:r w:rsidRPr="007577D1">
        <w:rPr>
          <w:rFonts w:ascii="Palatino Linotype" w:eastAsia="Times New Roman" w:hAnsi="Palatino Linotype" w:cs="Palatino Linotype"/>
          <w:i/>
          <w:color w:val="000000"/>
          <w:sz w:val="24"/>
          <w:szCs w:val="24"/>
          <w:lang w:val="es-ES_tradnl" w:eastAsia="es-MX"/>
        </w:rPr>
        <w:t>(Sic)</w:t>
      </w:r>
    </w:p>
    <w:p w14:paraId="6F94DC37" w14:textId="77777777" w:rsidR="001E6007" w:rsidRPr="007577D1" w:rsidRDefault="001E6007" w:rsidP="001E6007">
      <w:pPr>
        <w:spacing w:after="0" w:line="240" w:lineRule="auto"/>
        <w:ind w:right="567"/>
        <w:contextualSpacing/>
        <w:jc w:val="both"/>
        <w:rPr>
          <w:rFonts w:ascii="Palatino Linotype" w:eastAsia="Times New Roman" w:hAnsi="Palatino Linotype" w:cs="Palatino Linotype"/>
          <w:b/>
          <w:sz w:val="24"/>
          <w:lang w:val="es-ES_tradnl" w:eastAsia="es-MX"/>
        </w:rPr>
      </w:pPr>
    </w:p>
    <w:p w14:paraId="3CD11222" w14:textId="77777777" w:rsidR="001E6007" w:rsidRPr="007577D1" w:rsidRDefault="001E6007" w:rsidP="001E6007">
      <w:pPr>
        <w:spacing w:after="0" w:line="240" w:lineRule="auto"/>
        <w:ind w:left="567" w:right="567"/>
        <w:contextualSpacing/>
        <w:jc w:val="both"/>
        <w:rPr>
          <w:rFonts w:ascii="Palatino Linotype" w:eastAsia="Times New Roman" w:hAnsi="Palatino Linotype" w:cs="Palatino Linotype"/>
          <w:b/>
          <w:sz w:val="24"/>
          <w:lang w:val="es-ES_tradnl" w:eastAsia="es-MX"/>
        </w:rPr>
      </w:pPr>
      <w:r w:rsidRPr="007577D1">
        <w:rPr>
          <w:rFonts w:ascii="Palatino Linotype" w:eastAsia="Times New Roman" w:hAnsi="Palatino Linotype" w:cs="Palatino Linotype"/>
          <w:b/>
          <w:sz w:val="24"/>
          <w:lang w:val="es-ES_tradnl" w:eastAsia="es-MX"/>
        </w:rPr>
        <w:t>Razones o Motivos de Inconformidad</w:t>
      </w:r>
    </w:p>
    <w:p w14:paraId="3BB16869" w14:textId="77777777" w:rsidR="001E6007" w:rsidRPr="007577D1" w:rsidRDefault="001E6007" w:rsidP="001E6007">
      <w:pPr>
        <w:spacing w:after="0" w:line="240" w:lineRule="auto"/>
        <w:ind w:left="567" w:right="567"/>
        <w:contextualSpacing/>
        <w:jc w:val="both"/>
        <w:rPr>
          <w:rFonts w:ascii="Palatino Linotype" w:eastAsia="Times New Roman" w:hAnsi="Palatino Linotype" w:cs="Palatino Linotype"/>
          <w:b/>
          <w:sz w:val="24"/>
          <w:szCs w:val="24"/>
          <w:lang w:val="es-ES_tradnl" w:eastAsia="es-MX"/>
        </w:rPr>
      </w:pPr>
      <w:r w:rsidRPr="007577D1">
        <w:rPr>
          <w:rFonts w:ascii="Palatino Linotype" w:eastAsia="Times New Roman" w:hAnsi="Palatino Linotype" w:cs="Palatino Linotype"/>
          <w:i/>
          <w:color w:val="000000"/>
          <w:sz w:val="24"/>
          <w:szCs w:val="24"/>
          <w:lang w:val="es-ES_tradnl" w:eastAsia="es-MX"/>
        </w:rPr>
        <w:t>“</w:t>
      </w:r>
      <w:r w:rsidRPr="007577D1">
        <w:rPr>
          <w:rFonts w:ascii="Palatino Linotype" w:hAnsi="Palatino Linotype"/>
          <w:i/>
          <w:color w:val="000000"/>
          <w:sz w:val="24"/>
          <w:szCs w:val="24"/>
        </w:rPr>
        <w:t xml:space="preserve">A. La respuesta se basa en una interpretación restrictiva y errónea del Derecho de Acceso a la Información. El sujeto obligado sostiene que mi solicitud es improcedente porque requería un "pronunciamiento" sobre gestiones realizadas y el estado procesal de una denuncia, lo que, según su criterio, escapa a la naturaleza del derecho de acceso a la información y corresponde al derecho de petición. Sin embargo, lo anterior es incorrecto por las siguientes razones: Existencia cierta del documento: En mi solicitud original no requerí una opinión ni una asesoría legal. Requerí información documental pública específica: el "oficio número SEP/CGEE/OEESEPMEX/2942/2025, de fecha 8 de diciembre de 2025" y los documentos derivados de las gestiones de ese oficio. Al citar un número de oficio, fecha y remitente, se acreditó la existencia de un documento que, por ministerio de ley, debe obrar en los archivos del sujeto obligado. Confusión entre "pronunciamiento" y "acceso a documentos que contienen información": El </w:t>
      </w:r>
      <w:r w:rsidRPr="007577D1">
        <w:rPr>
          <w:rFonts w:ascii="Palatino Linotype" w:hAnsi="Palatino Linotype"/>
          <w:i/>
          <w:color w:val="000000"/>
          <w:sz w:val="24"/>
          <w:szCs w:val="24"/>
        </w:rPr>
        <w:lastRenderedPageBreak/>
        <w:t xml:space="preserve">hecho de que un ciudadano pregunte por el contenido de un documento (es decir, qué dice el oficio, a quién se turnó y qué respuesta se le dio) no convierte la solicitud en una petición de opinión. El artículo 6° de la Constitución y la Ley de Transparencia local garantizan el acceso a la información contenida en los documentos. La Secretaría está obligada a proporcionar la versión pública del oficio solicitado y de los documentos subsecuentes; al negarse, está ocultando información que debería ser pública. Violación al principio de máxima publicidad: El sujeto obligado optó por la solución más fácil (declarar improcedente) en lugar de realizar una búsqueda exhaustiva en sus archivos. Al existir datos de identificación precisos (fecha y número de oficio), la Unidad de Transparencia debió turnar la solicitud al área competente (Coordinación de Asuntos Jurídicos) para que certificara si dicho oficio fue recibido y, en su caso, si se le dio trámite. B. La negativa vulnera el artículo 12 de la Ley de Transparencia Local. La respuesta cita el artículo 12 de la Ley de Transparencia local para justificar que no están obligados a procesar información. No obstante, el sujeto obligado omite que la misma ley establece que "Los sujetos obligados sólo proporcionarán la información pública que se les requiera y que obre en sus archivos". La obligación no es "procesar", sino buscar y entregar si obra en sus archivos. En este caso, la autoridad ni siquiera realizó una búsqueda efectiva. Se escudó en una supuesta falta de competencia temática sin agotar la búsqueda documental, lo que contraviene el criterio general de que los archivos públicos deben estar organizados para dar cuenta de la correspondencia recibida (como el oficio del Lic. Luis Alonso Rivera Castellanos). C. Existe un precedente claro: los documentos de trámite interno son información pública. Los oficios que se reciben de otras autoridades y los acuses de recibo o respuestas que genere la Secretaría son actos documentados derivados del ejercicio de sus facultades. Por lo tanto, son información pública. Mi solicitud no pedía que la Secretaría "investigara" por mí, sino que me entregara la versión pública de los documentos que ya posee. Por lo anteriormente expuesto, solicito respetuosamente al Instituto de Transparencia, Acceso a la Información Pública y Protección de Datos Personales del Estado de México y Municipios (INFOEM): PRIMERO: Revocar la respuesta contenida en el oficio 22800007010000S/0149/UT/2026. SEGUNDO: Ordenar a la Secretaría de Educación, Ciencia, Tecnología e Innovación del Estado de México que realice una búsqueda exhaustiva en todas sus unidades administrativas (especialmente en la Coordinación de Asuntos Jurídicos y la Oficialía de Partes) del oficio número SEP/CGEE/OEESEPMEX/2942/2025 y de todos los documentos que acrediten las gestiones realizadas respecto al mismo. TERCERO: Instruir al sujeto obligado para que entregue al recurrente, en un plazo no mayor a 10 días hábiles, las versiones </w:t>
      </w:r>
      <w:r w:rsidRPr="007577D1">
        <w:rPr>
          <w:rFonts w:ascii="Palatino Linotype" w:hAnsi="Palatino Linotype"/>
          <w:i/>
          <w:color w:val="000000"/>
          <w:sz w:val="24"/>
          <w:szCs w:val="24"/>
        </w:rPr>
        <w:lastRenderedPageBreak/>
        <w:t xml:space="preserve">públicas de la documentación encontrada, garantizando mi derecho de acceso a la información.” </w:t>
      </w:r>
      <w:r w:rsidRPr="007577D1">
        <w:rPr>
          <w:rFonts w:ascii="Palatino Linotype" w:eastAsia="Times New Roman" w:hAnsi="Palatino Linotype" w:cs="Palatino Linotype"/>
          <w:i/>
          <w:color w:val="000000"/>
          <w:sz w:val="24"/>
          <w:szCs w:val="24"/>
          <w:lang w:val="es-ES_tradnl" w:eastAsia="es-MX"/>
        </w:rPr>
        <w:t>(Sic)</w:t>
      </w:r>
    </w:p>
    <w:p w14:paraId="1FFF579E" w14:textId="77777777" w:rsidR="001E6007" w:rsidRPr="007577D1" w:rsidRDefault="001E6007" w:rsidP="001E6007">
      <w:pPr>
        <w:spacing w:after="0" w:line="240" w:lineRule="auto"/>
        <w:ind w:left="567" w:right="567"/>
        <w:contextualSpacing/>
        <w:jc w:val="both"/>
        <w:rPr>
          <w:rFonts w:ascii="Palatino Linotype" w:eastAsia="Times New Roman" w:hAnsi="Palatino Linotype" w:cs="Palatino Linotype"/>
          <w:b/>
          <w:i/>
          <w:color w:val="000000"/>
          <w:lang w:val="es-ES_tradnl" w:eastAsia="es-MX"/>
        </w:rPr>
      </w:pPr>
    </w:p>
    <w:p w14:paraId="21D10937" w14:textId="77777777" w:rsidR="001E6007" w:rsidRPr="007577D1" w:rsidRDefault="001E6007" w:rsidP="001E6007">
      <w:pPr>
        <w:spacing w:after="0" w:line="240" w:lineRule="auto"/>
        <w:ind w:left="567" w:right="567"/>
        <w:contextualSpacing/>
        <w:jc w:val="both"/>
        <w:rPr>
          <w:rFonts w:ascii="Palatino Linotype" w:eastAsia="Times New Roman" w:hAnsi="Palatino Linotype" w:cs="Palatino Linotype"/>
          <w:b/>
          <w:i/>
          <w:color w:val="000000"/>
          <w:lang w:val="es-ES_tradnl" w:eastAsia="es-MX"/>
        </w:rPr>
      </w:pPr>
    </w:p>
    <w:p w14:paraId="6B5B3B06" w14:textId="77777777" w:rsidR="001E6007" w:rsidRPr="007577D1" w:rsidRDefault="001E6007" w:rsidP="001E6007">
      <w:pPr>
        <w:spacing w:after="0" w:line="240" w:lineRule="auto"/>
        <w:ind w:right="567"/>
        <w:contextualSpacing/>
        <w:jc w:val="both"/>
        <w:rPr>
          <w:rFonts w:ascii="Palatino Linotype" w:eastAsia="Times New Roman" w:hAnsi="Palatino Linotype" w:cs="Palatino Linotype"/>
          <w:color w:val="000000"/>
          <w:lang w:val="es-ES_tradnl" w:eastAsia="es-MX"/>
        </w:rPr>
      </w:pPr>
    </w:p>
    <w:p w14:paraId="25F4504A" w14:textId="77777777" w:rsidR="001E6007" w:rsidRPr="007577D1" w:rsidRDefault="001E6007" w:rsidP="001E600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7577D1">
        <w:rPr>
          <w:rFonts w:ascii="Palatino Linotype" w:eastAsia="Times New Roman" w:hAnsi="Palatino Linotype" w:cs="Times New Roman"/>
          <w:b/>
          <w:color w:val="000000" w:themeColor="text1"/>
          <w:sz w:val="26"/>
          <w:szCs w:val="26"/>
          <w:lang w:val="es-ES_tradnl" w:eastAsia="es-MX"/>
        </w:rPr>
        <w:t>CUARTO. Del turno y admisión del recurso de revisión.</w:t>
      </w:r>
    </w:p>
    <w:p w14:paraId="28B8EB25" w14:textId="77777777" w:rsidR="001E6007" w:rsidRPr="007577D1" w:rsidRDefault="001E6007" w:rsidP="001E600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577D1">
        <w:rPr>
          <w:rFonts w:ascii="Palatino Linotype" w:eastAsia="Times New Roman" w:hAnsi="Palatino Linotype" w:cs="Palatino Linotype"/>
          <w:color w:val="000000"/>
          <w:sz w:val="24"/>
          <w:szCs w:val="24"/>
          <w:lang w:val="es-ES_tradnl" w:eastAsia="es-MX"/>
        </w:rPr>
        <w:t xml:space="preserve">Medio de impugnación que le fue turnado al </w:t>
      </w:r>
      <w:r w:rsidRPr="007577D1">
        <w:rPr>
          <w:rFonts w:ascii="Palatino Linotype" w:eastAsia="Times New Roman" w:hAnsi="Palatino Linotype" w:cs="Palatino Linotype"/>
          <w:b/>
          <w:color w:val="000000"/>
          <w:sz w:val="24"/>
          <w:szCs w:val="24"/>
          <w:lang w:val="es-ES_tradnl" w:eastAsia="es-MX"/>
        </w:rPr>
        <w:t>Comisionado Presidente José Martínez Vilchis</w:t>
      </w:r>
      <w:r w:rsidRPr="007577D1">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7577D1">
        <w:rPr>
          <w:rFonts w:ascii="Palatino Linotype" w:eastAsia="Times New Roman" w:hAnsi="Palatino Linotype" w:cs="Palatino Linotype"/>
          <w:b/>
          <w:color w:val="000000"/>
          <w:sz w:val="24"/>
          <w:szCs w:val="24"/>
          <w:lang w:val="es-ES_tradnl" w:eastAsia="es-MX"/>
        </w:rPr>
        <w:t xml:space="preserve"> cuatro de marzo  de dos mil veintiséis</w:t>
      </w:r>
      <w:r w:rsidRPr="007577D1">
        <w:rPr>
          <w:rFonts w:ascii="Palatino Linotype" w:eastAsia="Times New Roman" w:hAnsi="Palatino Linotype" w:cs="Palatino Linotype"/>
          <w:color w:val="000000"/>
          <w:sz w:val="24"/>
          <w:szCs w:val="24"/>
          <w:lang w:val="es-ES_tradnl" w:eastAsia="es-MX"/>
        </w:rPr>
        <w:t xml:space="preserve">, </w:t>
      </w:r>
      <w:r w:rsidRPr="007577D1">
        <w:rPr>
          <w:rFonts w:ascii="Palatino Linotype" w:eastAsia="Times New Roman" w:hAnsi="Palatino Linotype" w:cs="Palatino Linotype"/>
          <w:sz w:val="24"/>
          <w:szCs w:val="24"/>
          <w:lang w:val="es-ES_tradnl" w:eastAsia="es-MX"/>
        </w:rPr>
        <w:t>otorgándose</w:t>
      </w:r>
      <w:r w:rsidRPr="007577D1">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5921B020" w14:textId="77777777" w:rsidR="001E6007" w:rsidRPr="007577D1" w:rsidRDefault="001E6007" w:rsidP="001E600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C6E929D" w14:textId="77777777" w:rsidR="001E6007" w:rsidRPr="007577D1" w:rsidRDefault="001E6007" w:rsidP="001E600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7577D1">
        <w:rPr>
          <w:rFonts w:ascii="Palatino Linotype" w:eastAsia="Times New Roman" w:hAnsi="Palatino Linotype" w:cs="Times New Roman"/>
          <w:b/>
          <w:color w:val="000000" w:themeColor="text1"/>
          <w:sz w:val="26"/>
          <w:szCs w:val="26"/>
          <w:lang w:val="es-ES_tradnl" w:eastAsia="es-MX"/>
        </w:rPr>
        <w:t>QUINTO. De la etapa de instrucción.</w:t>
      </w:r>
    </w:p>
    <w:p w14:paraId="38FB8CD1" w14:textId="77777777" w:rsidR="001E6007" w:rsidRPr="007577D1" w:rsidRDefault="001E6007" w:rsidP="001E6007">
      <w:pPr>
        <w:spacing w:after="0" w:line="360" w:lineRule="auto"/>
        <w:contextualSpacing/>
        <w:jc w:val="both"/>
        <w:rPr>
          <w:rFonts w:ascii="Palatino Linotype" w:hAnsi="Palatino Linotype"/>
          <w:sz w:val="24"/>
          <w:szCs w:val="24"/>
        </w:rPr>
      </w:pPr>
      <w:r w:rsidRPr="007577D1">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Pr="007577D1">
        <w:rPr>
          <w:rFonts w:ascii="Palatino Linotype" w:eastAsia="Times New Roman" w:hAnsi="Palatino Linotype" w:cs="Palatino Linotype"/>
          <w:b/>
          <w:color w:val="000000"/>
          <w:sz w:val="24"/>
          <w:szCs w:val="24"/>
          <w:lang w:val="es-ES_tradnl" w:eastAsia="es-MX"/>
        </w:rPr>
        <w:t xml:space="preserve">rindió su Informe Justificado </w:t>
      </w:r>
      <w:r w:rsidRPr="007577D1">
        <w:rPr>
          <w:rFonts w:ascii="Palatino Linotype" w:eastAsia="Times New Roman" w:hAnsi="Palatino Linotype" w:cs="Palatino Linotype"/>
          <w:color w:val="000000"/>
          <w:sz w:val="24"/>
          <w:szCs w:val="24"/>
          <w:lang w:val="es-ES_tradnl" w:eastAsia="es-MX"/>
        </w:rPr>
        <w:t xml:space="preserve"> en fecha doce de marzo de dos mil veintiséis el cual fue puesto a la vista del Recurrente en fecha veintinueve de abril dos mil veintiséis. Por su parte, el Recurrente no realizo manifestaciones o alegatos.</w:t>
      </w:r>
    </w:p>
    <w:p w14:paraId="25560A77" w14:textId="77777777" w:rsidR="001E6007" w:rsidRPr="007577D1" w:rsidRDefault="001E6007" w:rsidP="001E600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0DC3737" w14:textId="77777777" w:rsidR="001E6007" w:rsidRPr="007577D1" w:rsidRDefault="001E6007" w:rsidP="001E600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7577D1">
        <w:rPr>
          <w:rFonts w:ascii="Palatino Linotype" w:eastAsia="Times New Roman" w:hAnsi="Palatino Linotype" w:cs="Times New Roman"/>
          <w:b/>
          <w:color w:val="000000" w:themeColor="text1"/>
          <w:sz w:val="26"/>
          <w:szCs w:val="26"/>
          <w:lang w:val="es-ES_tradnl" w:eastAsia="es-MX"/>
        </w:rPr>
        <w:t>SEXTO. Del cierre de instrucción.</w:t>
      </w:r>
    </w:p>
    <w:p w14:paraId="4B3F3DD4" w14:textId="77777777" w:rsidR="001E6007" w:rsidRPr="007577D1" w:rsidRDefault="001E6007" w:rsidP="001E600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577D1">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7577D1">
        <w:rPr>
          <w:rFonts w:ascii="Palatino Linotype" w:eastAsia="Times New Roman" w:hAnsi="Palatino Linotype" w:cs="Palatino Linotype"/>
          <w:b/>
          <w:color w:val="000000"/>
          <w:sz w:val="24"/>
          <w:szCs w:val="24"/>
          <w:lang w:val="es-ES_tradnl" w:eastAsia="es-MX"/>
        </w:rPr>
        <w:t xml:space="preserve"> </w:t>
      </w:r>
      <w:r w:rsidR="004B56AE" w:rsidRPr="007577D1">
        <w:rPr>
          <w:rFonts w:ascii="Palatino Linotype" w:eastAsia="Times New Roman" w:hAnsi="Palatino Linotype" w:cs="Palatino Linotype"/>
          <w:b/>
          <w:color w:val="000000"/>
          <w:sz w:val="24"/>
          <w:szCs w:val="24"/>
          <w:lang w:val="es-ES_tradnl" w:eastAsia="es-MX"/>
        </w:rPr>
        <w:t>diecinueve de mayo de dos mil veintiséis</w:t>
      </w:r>
      <w:r w:rsidRPr="007577D1">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5433C9CD" w14:textId="77777777" w:rsidR="001E6007" w:rsidRPr="007577D1" w:rsidRDefault="001E6007" w:rsidP="001E6007">
      <w:pPr>
        <w:spacing w:after="0" w:line="360" w:lineRule="auto"/>
        <w:jc w:val="both"/>
        <w:rPr>
          <w:rFonts w:ascii="Palatino Linotype" w:eastAsia="Times New Roman" w:hAnsi="Palatino Linotype" w:cs="Calibri"/>
          <w:sz w:val="24"/>
          <w:lang w:val="es-ES"/>
        </w:rPr>
      </w:pPr>
    </w:p>
    <w:p w14:paraId="61D1AADE" w14:textId="77777777" w:rsidR="001E6007" w:rsidRPr="007577D1" w:rsidRDefault="001E6007" w:rsidP="001E6007">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7577D1">
        <w:rPr>
          <w:rFonts w:ascii="Palatino Linotype" w:eastAsia="Times New Roman" w:hAnsi="Palatino Linotype" w:cs="Times New Roman"/>
          <w:b/>
          <w:color w:val="000000" w:themeColor="text1"/>
          <w:sz w:val="28"/>
          <w:szCs w:val="32"/>
          <w:lang w:val="es-ES_tradnl" w:eastAsia="es-ES"/>
        </w:rPr>
        <w:lastRenderedPageBreak/>
        <w:t>C O N S I D E R A N D O</w:t>
      </w:r>
    </w:p>
    <w:p w14:paraId="4394E7FB" w14:textId="77777777" w:rsidR="001E6007" w:rsidRPr="007577D1" w:rsidRDefault="001E6007" w:rsidP="001E600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2946026" w14:textId="77777777" w:rsidR="001E6007" w:rsidRPr="007577D1" w:rsidRDefault="001E6007" w:rsidP="001E600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7577D1">
        <w:rPr>
          <w:rFonts w:ascii="Palatino Linotype" w:eastAsia="Times New Roman" w:hAnsi="Palatino Linotype" w:cs="Times New Roman"/>
          <w:b/>
          <w:color w:val="000000" w:themeColor="text1"/>
          <w:sz w:val="26"/>
          <w:szCs w:val="26"/>
          <w:lang w:val="es-ES_tradnl" w:eastAsia="es-MX"/>
        </w:rPr>
        <w:t>PRIMERO. De la competencia.</w:t>
      </w:r>
    </w:p>
    <w:p w14:paraId="51397515" w14:textId="77777777" w:rsidR="001E6007" w:rsidRPr="007577D1" w:rsidRDefault="001E6007" w:rsidP="001E6007">
      <w:pPr>
        <w:spacing w:line="360" w:lineRule="auto"/>
        <w:jc w:val="both"/>
        <w:rPr>
          <w:rFonts w:ascii="Palatino Linotype" w:hAnsi="Palatino Linotype"/>
          <w:sz w:val="24"/>
          <w:szCs w:val="24"/>
        </w:rPr>
      </w:pPr>
      <w:r w:rsidRPr="007577D1">
        <w:rPr>
          <w:rFonts w:ascii="Palatino Linotype" w:hAnsi="Palatino Linotype"/>
          <w:sz w:val="24"/>
          <w:szCs w:val="24"/>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44D9A52" w14:textId="77777777" w:rsidR="001E6007" w:rsidRPr="007577D1" w:rsidRDefault="001E6007" w:rsidP="001E600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02600A6" w14:textId="77777777" w:rsidR="001E6007" w:rsidRPr="007577D1" w:rsidRDefault="001E6007" w:rsidP="001E600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7577D1">
        <w:rPr>
          <w:rFonts w:ascii="Palatino Linotype" w:eastAsia="Times New Roman" w:hAnsi="Palatino Linotype" w:cs="Times New Roman"/>
          <w:b/>
          <w:color w:val="000000" w:themeColor="text1"/>
          <w:sz w:val="26"/>
          <w:szCs w:val="26"/>
          <w:lang w:val="es-ES_tradnl" w:eastAsia="es-MX"/>
        </w:rPr>
        <w:t xml:space="preserve">SEGUNDO. Sobre los alcances del recurso de revisión. </w:t>
      </w:r>
    </w:p>
    <w:p w14:paraId="5CF3B75F" w14:textId="77777777" w:rsidR="001E6007" w:rsidRPr="007577D1" w:rsidRDefault="001E6007" w:rsidP="001E6007">
      <w:pPr>
        <w:spacing w:after="0" w:line="360" w:lineRule="auto"/>
        <w:jc w:val="both"/>
        <w:rPr>
          <w:rFonts w:ascii="Palatino Linotype" w:eastAsia="Times New Roman" w:hAnsi="Palatino Linotype" w:cs="Calibri"/>
          <w:sz w:val="24"/>
          <w:lang w:val="es-ES_tradnl" w:eastAsia="es-MX"/>
        </w:rPr>
      </w:pPr>
      <w:r w:rsidRPr="007577D1">
        <w:rPr>
          <w:rFonts w:ascii="Palatino Linotype" w:eastAsia="Times New Roman" w:hAnsi="Palatino Linotype" w:cs="Calibri"/>
          <w:sz w:val="24"/>
          <w:lang w:val="es-ES_tradnl" w:eastAsia="es-MX"/>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0CCE93E7" w14:textId="77777777" w:rsidR="001E6007" w:rsidRPr="007577D1" w:rsidRDefault="001E6007" w:rsidP="001E6007">
      <w:pPr>
        <w:spacing w:after="0" w:line="360" w:lineRule="auto"/>
        <w:jc w:val="both"/>
        <w:rPr>
          <w:rFonts w:ascii="Palatino Linotype" w:eastAsia="Times New Roman" w:hAnsi="Palatino Linotype" w:cs="Calibri"/>
          <w:sz w:val="24"/>
          <w:lang w:val="es-ES_tradnl" w:eastAsia="es-MX"/>
        </w:rPr>
      </w:pPr>
    </w:p>
    <w:p w14:paraId="6C0CB6F8" w14:textId="77777777" w:rsidR="001E6007" w:rsidRPr="007577D1" w:rsidRDefault="001E6007" w:rsidP="001E6007">
      <w:pPr>
        <w:autoSpaceDE w:val="0"/>
        <w:autoSpaceDN w:val="0"/>
        <w:adjustRightInd w:val="0"/>
        <w:spacing w:before="240"/>
        <w:rPr>
          <w:rFonts w:ascii="Palatino Linotype" w:hAnsi="Palatino Linotype" w:cs="Arial"/>
          <w:b/>
        </w:rPr>
      </w:pPr>
      <w:r w:rsidRPr="007577D1">
        <w:rPr>
          <w:rFonts w:ascii="Palatino Linotype" w:hAnsi="Palatino Linotype" w:cs="Arial"/>
          <w:b/>
          <w:sz w:val="28"/>
          <w:szCs w:val="28"/>
        </w:rPr>
        <w:t>TERCERO. Cuestiones de previo y especial pronunciamiento</w:t>
      </w:r>
    </w:p>
    <w:p w14:paraId="3ED42ED2" w14:textId="77777777" w:rsidR="001E6007" w:rsidRPr="007577D1" w:rsidRDefault="001E6007" w:rsidP="001E6007">
      <w:pPr>
        <w:autoSpaceDE w:val="0"/>
        <w:autoSpaceDN w:val="0"/>
        <w:adjustRightInd w:val="0"/>
        <w:spacing w:before="240" w:line="360" w:lineRule="auto"/>
        <w:jc w:val="both"/>
        <w:rPr>
          <w:rFonts w:ascii="Palatino Linotype" w:hAnsi="Palatino Linotype"/>
        </w:rPr>
      </w:pPr>
      <w:r w:rsidRPr="007577D1">
        <w:rPr>
          <w:rFonts w:ascii="Palatino Linotype" w:hAnsi="Palatino Linotype"/>
        </w:rPr>
        <w:lastRenderedPageBreak/>
        <w:t>El Recurso de Revisión en estudio contiene los elementos normativos de validez exigidos en la Ley de Transparencia y Acceso a la Información Pública del Estado de México y Municipios, establecidos en el artículo 180 que enuncia:</w:t>
      </w:r>
    </w:p>
    <w:p w14:paraId="6D150953" w14:textId="77777777" w:rsidR="001E6007" w:rsidRPr="007577D1" w:rsidRDefault="001E6007" w:rsidP="001E6007">
      <w:pPr>
        <w:autoSpaceDE w:val="0"/>
        <w:autoSpaceDN w:val="0"/>
        <w:adjustRightInd w:val="0"/>
        <w:spacing w:before="240" w:line="360" w:lineRule="auto"/>
        <w:ind w:left="360" w:firstLine="348"/>
        <w:jc w:val="both"/>
        <w:rPr>
          <w:rFonts w:ascii="Palatino Linotype" w:hAnsi="Palatino Linotype"/>
          <w:i/>
        </w:rPr>
      </w:pPr>
      <w:r w:rsidRPr="007577D1">
        <w:rPr>
          <w:rFonts w:ascii="Palatino Linotype" w:hAnsi="Palatino Linotype"/>
          <w:i/>
        </w:rPr>
        <w:t>“Artículo 180. El recurso de revisión contendrá:</w:t>
      </w:r>
    </w:p>
    <w:p w14:paraId="5B13A997" w14:textId="77777777" w:rsidR="001E6007" w:rsidRPr="007577D1" w:rsidRDefault="001E6007" w:rsidP="001E6007">
      <w:pPr>
        <w:numPr>
          <w:ilvl w:val="0"/>
          <w:numId w:val="2"/>
        </w:numPr>
        <w:autoSpaceDE w:val="0"/>
        <w:autoSpaceDN w:val="0"/>
        <w:adjustRightInd w:val="0"/>
        <w:spacing w:before="240" w:after="0" w:line="360" w:lineRule="auto"/>
        <w:jc w:val="both"/>
        <w:rPr>
          <w:rFonts w:ascii="Palatino Linotype" w:hAnsi="Palatino Linotype"/>
          <w:i/>
        </w:rPr>
      </w:pPr>
      <w:r w:rsidRPr="007577D1">
        <w:rPr>
          <w:rFonts w:ascii="Palatino Linotype" w:hAnsi="Palatino Linotype"/>
          <w:i/>
        </w:rPr>
        <w:t>EL sujeto obligado ante la cual se presentó la solicitud;</w:t>
      </w:r>
    </w:p>
    <w:p w14:paraId="1C5DEA30" w14:textId="77777777" w:rsidR="001E6007" w:rsidRPr="007577D1" w:rsidRDefault="001E6007" w:rsidP="001E6007">
      <w:pPr>
        <w:numPr>
          <w:ilvl w:val="0"/>
          <w:numId w:val="2"/>
        </w:numPr>
        <w:autoSpaceDE w:val="0"/>
        <w:autoSpaceDN w:val="0"/>
        <w:adjustRightInd w:val="0"/>
        <w:spacing w:before="240" w:after="0" w:line="360" w:lineRule="auto"/>
        <w:jc w:val="both"/>
        <w:rPr>
          <w:rFonts w:ascii="Palatino Linotype" w:hAnsi="Palatino Linotype"/>
          <w:i/>
        </w:rPr>
      </w:pPr>
      <w:r w:rsidRPr="007577D1">
        <w:rPr>
          <w:rFonts w:ascii="Palatino Linotype" w:hAnsi="Palatino Linotype"/>
          <w:i/>
        </w:rPr>
        <w:t>El nombre del solicitante que recurre o de su representante y, en su caso, del tercero interesado, así como la dirección o medio que señale para recibir notificaciones;</w:t>
      </w:r>
    </w:p>
    <w:p w14:paraId="59EDEF3B" w14:textId="77777777" w:rsidR="001E6007" w:rsidRPr="007577D1" w:rsidRDefault="001E6007" w:rsidP="001E6007">
      <w:pPr>
        <w:numPr>
          <w:ilvl w:val="0"/>
          <w:numId w:val="2"/>
        </w:numPr>
        <w:autoSpaceDE w:val="0"/>
        <w:autoSpaceDN w:val="0"/>
        <w:adjustRightInd w:val="0"/>
        <w:spacing w:before="240" w:after="0" w:line="360" w:lineRule="auto"/>
        <w:jc w:val="both"/>
        <w:rPr>
          <w:rFonts w:ascii="Palatino Linotype" w:hAnsi="Palatino Linotype"/>
          <w:i/>
        </w:rPr>
      </w:pPr>
      <w:r w:rsidRPr="007577D1">
        <w:rPr>
          <w:rFonts w:ascii="Palatino Linotype" w:hAnsi="Palatino Linotype"/>
          <w:i/>
        </w:rPr>
        <w:t>El número de folio de respuesta de la solicitud de acceso;</w:t>
      </w:r>
    </w:p>
    <w:p w14:paraId="17FF8254" w14:textId="77777777" w:rsidR="001E6007" w:rsidRPr="007577D1" w:rsidRDefault="001E6007" w:rsidP="001E6007">
      <w:pPr>
        <w:autoSpaceDE w:val="0"/>
        <w:autoSpaceDN w:val="0"/>
        <w:adjustRightInd w:val="0"/>
        <w:spacing w:before="240" w:line="360" w:lineRule="auto"/>
        <w:ind w:left="1080"/>
        <w:jc w:val="both"/>
        <w:rPr>
          <w:rFonts w:ascii="Palatino Linotype" w:hAnsi="Palatino Linotype"/>
          <w:i/>
        </w:rPr>
      </w:pPr>
      <w:r w:rsidRPr="007577D1">
        <w:rPr>
          <w:rFonts w:ascii="Palatino Linotype" w:hAnsi="Palatino Linotype"/>
          <w:i/>
        </w:rPr>
        <w:t>IV. La fecha en que fue notificada la respuesta al solicitante o tuvo conocimiento del acto reclamado, o de presentación de la solicitud, en caso de falta de respuesta;</w:t>
      </w:r>
    </w:p>
    <w:p w14:paraId="40378677" w14:textId="77777777" w:rsidR="001E6007" w:rsidRPr="007577D1" w:rsidRDefault="001E6007" w:rsidP="001E6007">
      <w:pPr>
        <w:autoSpaceDE w:val="0"/>
        <w:autoSpaceDN w:val="0"/>
        <w:adjustRightInd w:val="0"/>
        <w:spacing w:before="240" w:line="360" w:lineRule="auto"/>
        <w:ind w:left="732" w:firstLine="348"/>
        <w:jc w:val="both"/>
        <w:rPr>
          <w:rFonts w:ascii="Palatino Linotype" w:hAnsi="Palatino Linotype"/>
          <w:i/>
        </w:rPr>
      </w:pPr>
      <w:r w:rsidRPr="007577D1">
        <w:rPr>
          <w:rFonts w:ascii="Palatino Linotype" w:hAnsi="Palatino Linotype"/>
          <w:i/>
        </w:rPr>
        <w:t>V. El acto que se recurre;</w:t>
      </w:r>
    </w:p>
    <w:p w14:paraId="2D2E54AE" w14:textId="77777777" w:rsidR="001E6007" w:rsidRPr="007577D1" w:rsidRDefault="001E6007" w:rsidP="001E6007">
      <w:pPr>
        <w:autoSpaceDE w:val="0"/>
        <w:autoSpaceDN w:val="0"/>
        <w:adjustRightInd w:val="0"/>
        <w:spacing w:before="240" w:line="360" w:lineRule="auto"/>
        <w:ind w:left="732" w:firstLine="348"/>
        <w:jc w:val="both"/>
        <w:rPr>
          <w:rFonts w:ascii="Palatino Linotype" w:hAnsi="Palatino Linotype"/>
          <w:i/>
        </w:rPr>
      </w:pPr>
      <w:r w:rsidRPr="007577D1">
        <w:rPr>
          <w:rFonts w:ascii="Palatino Linotype" w:hAnsi="Palatino Linotype"/>
          <w:i/>
        </w:rPr>
        <w:t>VI. Las razones o motivos de inconformidad;</w:t>
      </w:r>
    </w:p>
    <w:p w14:paraId="65735BB2" w14:textId="77777777" w:rsidR="001E6007" w:rsidRPr="007577D1" w:rsidRDefault="001E6007" w:rsidP="001E6007">
      <w:pPr>
        <w:autoSpaceDE w:val="0"/>
        <w:autoSpaceDN w:val="0"/>
        <w:adjustRightInd w:val="0"/>
        <w:spacing w:before="240" w:line="360" w:lineRule="auto"/>
        <w:ind w:left="1080"/>
        <w:jc w:val="both"/>
        <w:rPr>
          <w:rFonts w:ascii="Palatino Linotype" w:hAnsi="Palatino Linotype"/>
          <w:i/>
        </w:rPr>
      </w:pPr>
      <w:r w:rsidRPr="007577D1">
        <w:rPr>
          <w:rFonts w:ascii="Palatino Linotype" w:hAnsi="Palatino Linotype"/>
          <w:i/>
        </w:rPr>
        <w:t>VII. La copia de la respuesta que se impugna y, en su caso, de la notificación correspondiente, en el caso de respuesta de la solicitud; y</w:t>
      </w:r>
    </w:p>
    <w:p w14:paraId="15919641" w14:textId="77777777" w:rsidR="001E6007" w:rsidRPr="007577D1" w:rsidRDefault="001E6007" w:rsidP="001E6007">
      <w:pPr>
        <w:autoSpaceDE w:val="0"/>
        <w:autoSpaceDN w:val="0"/>
        <w:adjustRightInd w:val="0"/>
        <w:spacing w:before="240" w:line="360" w:lineRule="auto"/>
        <w:ind w:left="732" w:firstLine="348"/>
        <w:jc w:val="both"/>
        <w:rPr>
          <w:rFonts w:ascii="Palatino Linotype" w:hAnsi="Palatino Linotype"/>
          <w:i/>
        </w:rPr>
      </w:pPr>
      <w:r w:rsidRPr="007577D1">
        <w:rPr>
          <w:rFonts w:ascii="Palatino Linotype" w:hAnsi="Palatino Linotype"/>
          <w:i/>
        </w:rPr>
        <w:t>VIII. Firma del recurrente, en su caso, cuando se presente por escrito, requisito sin el cual se dará trámite al recurso.</w:t>
      </w:r>
    </w:p>
    <w:p w14:paraId="0D3E063F" w14:textId="77777777" w:rsidR="001E6007" w:rsidRPr="007577D1" w:rsidRDefault="001E6007" w:rsidP="001E6007">
      <w:pPr>
        <w:autoSpaceDE w:val="0"/>
        <w:autoSpaceDN w:val="0"/>
        <w:adjustRightInd w:val="0"/>
        <w:spacing w:before="240" w:line="360" w:lineRule="auto"/>
        <w:ind w:left="1080"/>
        <w:jc w:val="both"/>
        <w:rPr>
          <w:rFonts w:ascii="Palatino Linotype" w:hAnsi="Palatino Linotype"/>
          <w:i/>
        </w:rPr>
      </w:pPr>
      <w:r w:rsidRPr="007577D1">
        <w:rPr>
          <w:rFonts w:ascii="Palatino Linotype" w:hAnsi="Palatino Linotype"/>
          <w:i/>
        </w:rPr>
        <w:t>Adicionalmente, se podrán anexar las pruebas y demás elementos que considere procedentes someter a juicio del Instituto.</w:t>
      </w:r>
    </w:p>
    <w:p w14:paraId="1F824F11" w14:textId="77777777" w:rsidR="001E6007" w:rsidRPr="007577D1" w:rsidRDefault="001E6007" w:rsidP="001E6007">
      <w:pPr>
        <w:autoSpaceDE w:val="0"/>
        <w:autoSpaceDN w:val="0"/>
        <w:adjustRightInd w:val="0"/>
        <w:spacing w:before="240" w:line="360" w:lineRule="auto"/>
        <w:ind w:left="732" w:firstLine="348"/>
        <w:jc w:val="both"/>
        <w:rPr>
          <w:rFonts w:ascii="Palatino Linotype" w:hAnsi="Palatino Linotype"/>
          <w:i/>
        </w:rPr>
      </w:pPr>
      <w:r w:rsidRPr="007577D1">
        <w:rPr>
          <w:rFonts w:ascii="Palatino Linotype" w:hAnsi="Palatino Linotype"/>
          <w:i/>
        </w:rPr>
        <w:t>En ningún caso será necesario que el particular ratifique el recurso de revisión interpuesto.</w:t>
      </w:r>
    </w:p>
    <w:p w14:paraId="65201125" w14:textId="77777777" w:rsidR="001E6007" w:rsidRPr="007577D1" w:rsidRDefault="001E6007" w:rsidP="001E6007">
      <w:pPr>
        <w:autoSpaceDE w:val="0"/>
        <w:autoSpaceDN w:val="0"/>
        <w:adjustRightInd w:val="0"/>
        <w:spacing w:before="240" w:line="360" w:lineRule="auto"/>
        <w:ind w:left="1080"/>
        <w:jc w:val="both"/>
        <w:rPr>
          <w:rFonts w:ascii="Palatino Linotype" w:hAnsi="Palatino Linotype"/>
          <w:b/>
          <w:i/>
          <w:u w:val="single"/>
        </w:rPr>
      </w:pPr>
      <w:r w:rsidRPr="007577D1">
        <w:rPr>
          <w:rFonts w:ascii="Palatino Linotype" w:hAnsi="Palatino Linotype"/>
          <w:b/>
          <w:i/>
          <w:u w:val="single"/>
        </w:rPr>
        <w:lastRenderedPageBreak/>
        <w:t>En caso de que el recurso se interponga de manera electrónica no será indispensable que contengan los requisitos establecidos en las fracciones II, IV, VII y VIII.” [Sic]</w:t>
      </w:r>
    </w:p>
    <w:p w14:paraId="1A3EADB5" w14:textId="77777777" w:rsidR="001E6007" w:rsidRPr="007577D1" w:rsidRDefault="001E6007" w:rsidP="001E6007">
      <w:pPr>
        <w:autoSpaceDE w:val="0"/>
        <w:autoSpaceDN w:val="0"/>
        <w:adjustRightInd w:val="0"/>
        <w:spacing w:before="240" w:line="360" w:lineRule="auto"/>
        <w:ind w:left="1080"/>
        <w:jc w:val="both"/>
        <w:rPr>
          <w:rFonts w:ascii="Palatino Linotype" w:hAnsi="Palatino Linotype"/>
          <w:b/>
          <w:i/>
          <w:u w:val="single"/>
        </w:rPr>
      </w:pPr>
    </w:p>
    <w:p w14:paraId="719AB67E" w14:textId="77777777" w:rsidR="001E6007" w:rsidRPr="007577D1" w:rsidRDefault="001E6007" w:rsidP="001E6007">
      <w:pPr>
        <w:spacing w:line="360" w:lineRule="auto"/>
        <w:jc w:val="both"/>
        <w:rPr>
          <w:rFonts w:ascii="Palatino Linotype" w:hAnsi="Palatino Linotype" w:cs="Arial"/>
        </w:rPr>
      </w:pPr>
      <w:r w:rsidRPr="007577D1">
        <w:rPr>
          <w:rFonts w:ascii="Palatino Linotype" w:hAnsi="Palatino Linotype" w:cs="Segoe UI"/>
        </w:rPr>
        <w:t xml:space="preserve">Cabe señalar que </w:t>
      </w:r>
      <w:r w:rsidRPr="007577D1">
        <w:rPr>
          <w:rFonts w:ascii="Palatino Linotype" w:hAnsi="Palatino Linotype" w:cs="Segoe UI"/>
          <w:b/>
        </w:rPr>
        <w:t>El Recurrente</w:t>
      </w:r>
      <w:r w:rsidRPr="007577D1">
        <w:rPr>
          <w:rFonts w:ascii="Palatino Linotype" w:hAnsi="Palatino Linotype" w:cs="Segoe UI"/>
        </w:rPr>
        <w:t xml:space="preserve"> </w:t>
      </w:r>
      <w:r w:rsidRPr="007577D1">
        <w:rPr>
          <w:rFonts w:ascii="Palatino Linotype" w:hAnsi="Palatino Linotype" w:cs="Segoe UI"/>
          <w:u w:val="single"/>
        </w:rPr>
        <w:t>ejerció su derecho mediante su nombre sin embargo es de establecer que, si bien fue de propio derecho de haberse realizado de manera anónima</w:t>
      </w:r>
      <w:r w:rsidRPr="007577D1">
        <w:rPr>
          <w:rFonts w:ascii="Palatino Linotype" w:hAnsi="Palatino Linotype"/>
        </w:rPr>
        <w:t xml:space="preserve">, no sería motivo para desechar las </w:t>
      </w:r>
      <w:r w:rsidRPr="007577D1">
        <w:rPr>
          <w:rFonts w:ascii="Palatino Linotype" w:hAnsi="Palatino Linotype" w:cs="Arial"/>
        </w:rPr>
        <w:t>solicitudes de acceso a la información pública conforme a lo previsto en el artículo 155, penúltimo párrafo de la Ley de Transparencia y Acceso a la Información Pública del Estado de México y Municipios que señala lo siguiente:</w:t>
      </w:r>
    </w:p>
    <w:p w14:paraId="5757F363" w14:textId="77777777" w:rsidR="001E6007" w:rsidRPr="007577D1" w:rsidRDefault="001E6007" w:rsidP="001E6007">
      <w:pPr>
        <w:spacing w:before="240" w:line="360" w:lineRule="auto"/>
        <w:ind w:left="851" w:right="851"/>
        <w:jc w:val="both"/>
        <w:rPr>
          <w:rFonts w:ascii="Palatino Linotype" w:hAnsi="Palatino Linotype" w:cs="Arial"/>
          <w:b/>
          <w:i/>
        </w:rPr>
      </w:pPr>
      <w:r w:rsidRPr="007577D1">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7577D1">
        <w:rPr>
          <w:rFonts w:ascii="Palatino Linotype" w:hAnsi="Palatino Linotype" w:cs="Arial"/>
          <w:b/>
          <w:i/>
        </w:rPr>
        <w:t>[Sic]</w:t>
      </w:r>
    </w:p>
    <w:p w14:paraId="6421014B" w14:textId="77777777" w:rsidR="001E6007" w:rsidRPr="007577D1" w:rsidRDefault="001E6007" w:rsidP="001E6007">
      <w:pPr>
        <w:spacing w:before="240" w:line="360" w:lineRule="auto"/>
        <w:ind w:left="851" w:right="851"/>
        <w:jc w:val="both"/>
        <w:rPr>
          <w:rFonts w:ascii="Palatino Linotype" w:hAnsi="Palatino Linotype" w:cs="Arial"/>
          <w:b/>
          <w:i/>
        </w:rPr>
      </w:pPr>
    </w:p>
    <w:p w14:paraId="613B7C67" w14:textId="77777777" w:rsidR="001E6007" w:rsidRPr="007577D1" w:rsidRDefault="001E6007" w:rsidP="001E6007">
      <w:pPr>
        <w:spacing w:line="360" w:lineRule="auto"/>
        <w:jc w:val="both"/>
        <w:rPr>
          <w:rFonts w:ascii="Palatino Linotype" w:hAnsi="Palatino Linotype"/>
        </w:rPr>
      </w:pPr>
      <w:r w:rsidRPr="007577D1">
        <w:rPr>
          <w:rFonts w:ascii="Palatino Linotype" w:hAnsi="Palatino Linotype"/>
        </w:rPr>
        <w:t xml:space="preserve">Robustece lo anterior se encuentra lo dispuesto en los artículos 6, Apartado A, fracciones III y IV de la Constitución Política de los Estados Unidos Mexicanos y 5 párrafos </w:t>
      </w:r>
      <w:r w:rsidRPr="007577D1">
        <w:rPr>
          <w:rFonts w:ascii="Palatino Linotype" w:hAnsi="Palatino Linotype" w:cs="Arial"/>
        </w:rPr>
        <w:t>vigésimo, vigésimo primero y vigésimo segundo</w:t>
      </w:r>
      <w:r w:rsidRPr="007577D1">
        <w:rPr>
          <w:rFonts w:ascii="Palatino Linotype" w:hAnsi="Palatino Linotype"/>
        </w:rPr>
        <w:t>, de la Constitución Política del Estado Libre y Soberano de México, se establece lo siguiente:</w:t>
      </w:r>
    </w:p>
    <w:p w14:paraId="4220534F" w14:textId="77777777" w:rsidR="001E6007" w:rsidRPr="007577D1" w:rsidRDefault="001E6007" w:rsidP="001E6007">
      <w:pPr>
        <w:spacing w:before="240" w:line="360" w:lineRule="auto"/>
        <w:ind w:left="851" w:right="851"/>
        <w:jc w:val="both"/>
        <w:rPr>
          <w:rFonts w:ascii="Palatino Linotype" w:hAnsi="Palatino Linotype"/>
          <w:b/>
          <w:i/>
          <w:u w:val="single"/>
        </w:rPr>
      </w:pPr>
      <w:r w:rsidRPr="007577D1">
        <w:rPr>
          <w:rFonts w:ascii="Palatino Linotype" w:hAnsi="Palatino Linotype"/>
          <w:b/>
          <w:i/>
          <w:u w:val="single"/>
        </w:rPr>
        <w:t>Constitución Política de los Estados Unidos Mexicanos</w:t>
      </w:r>
    </w:p>
    <w:p w14:paraId="6D28DA02" w14:textId="77777777" w:rsidR="001E6007" w:rsidRPr="007577D1" w:rsidRDefault="001E6007" w:rsidP="001E6007">
      <w:pPr>
        <w:spacing w:before="240" w:line="360" w:lineRule="auto"/>
        <w:ind w:left="851" w:right="851"/>
        <w:jc w:val="both"/>
        <w:rPr>
          <w:rFonts w:ascii="Palatino Linotype" w:hAnsi="Palatino Linotype"/>
          <w:i/>
        </w:rPr>
      </w:pPr>
      <w:r w:rsidRPr="007577D1">
        <w:rPr>
          <w:rFonts w:ascii="Palatino Linotype" w:hAnsi="Palatino Linotype"/>
          <w:b/>
          <w:i/>
        </w:rPr>
        <w:t>“Artículo 6</w:t>
      </w:r>
      <w:r w:rsidRPr="007577D1">
        <w:rPr>
          <w:rFonts w:ascii="Palatino Linotype" w:hAnsi="Palatino Linotype"/>
          <w:i/>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53407689" w14:textId="77777777" w:rsidR="001E6007" w:rsidRPr="007577D1" w:rsidRDefault="001E6007" w:rsidP="001E6007">
      <w:pPr>
        <w:spacing w:before="240" w:line="360" w:lineRule="auto"/>
        <w:ind w:left="851" w:right="851"/>
        <w:jc w:val="both"/>
        <w:rPr>
          <w:rFonts w:ascii="Palatino Linotype" w:hAnsi="Palatino Linotype"/>
          <w:i/>
        </w:rPr>
      </w:pPr>
      <w:r w:rsidRPr="007577D1">
        <w:rPr>
          <w:rFonts w:ascii="Palatino Linotype" w:hAnsi="Palatino Linotype"/>
          <w:i/>
        </w:rPr>
        <w:lastRenderedPageBreak/>
        <w:t>(…)</w:t>
      </w:r>
    </w:p>
    <w:p w14:paraId="6B1050B1" w14:textId="77777777" w:rsidR="001E6007" w:rsidRPr="007577D1" w:rsidRDefault="001E6007" w:rsidP="001E6007">
      <w:pPr>
        <w:spacing w:before="240" w:line="360" w:lineRule="auto"/>
        <w:ind w:left="851" w:right="851"/>
        <w:jc w:val="both"/>
        <w:rPr>
          <w:rFonts w:ascii="Palatino Linotype" w:hAnsi="Palatino Linotype"/>
          <w:i/>
        </w:rPr>
      </w:pPr>
      <w:r w:rsidRPr="007577D1">
        <w:rPr>
          <w:rFonts w:ascii="Palatino Linotype" w:hAnsi="Palatino Linotype"/>
          <w:i/>
        </w:rPr>
        <w:t xml:space="preserve">Para efectos de lo dispuesto en el presente artículo se observará lo siguiente: </w:t>
      </w:r>
    </w:p>
    <w:p w14:paraId="6BF477DB" w14:textId="77777777" w:rsidR="001E6007" w:rsidRPr="007577D1" w:rsidRDefault="001E6007" w:rsidP="001E6007">
      <w:pPr>
        <w:spacing w:before="240" w:line="360" w:lineRule="auto"/>
        <w:ind w:left="851" w:right="851"/>
        <w:jc w:val="both"/>
        <w:rPr>
          <w:rFonts w:ascii="Palatino Linotype" w:hAnsi="Palatino Linotype"/>
          <w:i/>
        </w:rPr>
      </w:pPr>
      <w:r w:rsidRPr="007577D1">
        <w:rPr>
          <w:rFonts w:ascii="Palatino Linotype" w:hAnsi="Palatino Linotype"/>
          <w:i/>
        </w:rPr>
        <w:t>A. Para el ejercicio del derecho de acceso a la información, la Federación, los Estados y el Distrito Federal, en el ámbito de sus respectivas competencias, se regirán por los siguientes principios y bases:</w:t>
      </w:r>
    </w:p>
    <w:p w14:paraId="1CA6F995" w14:textId="77777777" w:rsidR="001E6007" w:rsidRPr="007577D1" w:rsidRDefault="001E6007" w:rsidP="001E6007">
      <w:pPr>
        <w:spacing w:before="240" w:line="360" w:lineRule="auto"/>
        <w:ind w:left="851" w:right="851"/>
        <w:jc w:val="both"/>
        <w:rPr>
          <w:rFonts w:ascii="Palatino Linotype" w:hAnsi="Palatino Linotype"/>
          <w:i/>
        </w:rPr>
      </w:pPr>
      <w:r w:rsidRPr="007577D1">
        <w:rPr>
          <w:rFonts w:ascii="Palatino Linotype" w:hAnsi="Palatino Linotype"/>
          <w:i/>
        </w:rPr>
        <w:t>(…)</w:t>
      </w:r>
    </w:p>
    <w:p w14:paraId="4CC187B2" w14:textId="77777777" w:rsidR="001E6007" w:rsidRPr="007577D1" w:rsidRDefault="001E6007" w:rsidP="001E6007">
      <w:pPr>
        <w:spacing w:before="240" w:line="360" w:lineRule="auto"/>
        <w:ind w:left="851" w:right="851"/>
        <w:jc w:val="both"/>
        <w:rPr>
          <w:rFonts w:ascii="Palatino Linotype" w:hAnsi="Palatino Linotype"/>
          <w:i/>
        </w:rPr>
      </w:pPr>
      <w:r w:rsidRPr="007577D1">
        <w:rPr>
          <w:rFonts w:ascii="Palatino Linotype" w:hAnsi="Palatino Linotype"/>
          <w:i/>
        </w:rPr>
        <w:t xml:space="preserve">III. Toda persona, sin necesidad de acreditar interés alguno o justificar su utilización, tendrá acceso gratuito a la información pública, a sus datos personales o a la rectificación de éstos. </w:t>
      </w:r>
    </w:p>
    <w:p w14:paraId="377F84D7" w14:textId="77777777" w:rsidR="001E6007" w:rsidRPr="007577D1" w:rsidRDefault="001E6007" w:rsidP="001E6007">
      <w:pPr>
        <w:spacing w:before="240" w:line="360" w:lineRule="auto"/>
        <w:ind w:left="851" w:right="851"/>
        <w:jc w:val="both"/>
        <w:rPr>
          <w:rFonts w:ascii="Palatino Linotype" w:hAnsi="Palatino Linotype"/>
          <w:b/>
          <w:i/>
        </w:rPr>
      </w:pPr>
      <w:r w:rsidRPr="007577D1">
        <w:rPr>
          <w:rFonts w:ascii="Palatino Linotype" w:hAnsi="Palatino Linotype"/>
          <w:i/>
        </w:rPr>
        <w:t xml:space="preserve">IV. Se establecerán mecanismos de acceso a la información y procedimientos de revisión expeditos que se sustanciarán ante los organismos autónomos especializados e imparciales que establece esta Constitución.” </w:t>
      </w:r>
      <w:r w:rsidRPr="007577D1">
        <w:rPr>
          <w:rFonts w:ascii="Palatino Linotype" w:hAnsi="Palatino Linotype"/>
          <w:b/>
          <w:i/>
        </w:rPr>
        <w:t>[Sic]</w:t>
      </w:r>
    </w:p>
    <w:p w14:paraId="32180964" w14:textId="77777777" w:rsidR="001E6007" w:rsidRPr="007577D1" w:rsidRDefault="001E6007" w:rsidP="001E6007">
      <w:pPr>
        <w:spacing w:before="240" w:line="360" w:lineRule="auto"/>
        <w:ind w:left="851" w:right="851"/>
        <w:jc w:val="both"/>
        <w:rPr>
          <w:rFonts w:ascii="Palatino Linotype" w:hAnsi="Palatino Linotype"/>
          <w:b/>
          <w:i/>
          <w:u w:val="single"/>
        </w:rPr>
      </w:pPr>
      <w:r w:rsidRPr="007577D1">
        <w:rPr>
          <w:rFonts w:ascii="Palatino Linotype" w:hAnsi="Palatino Linotype"/>
          <w:b/>
          <w:i/>
          <w:u w:val="single"/>
        </w:rPr>
        <w:t>Constitución Política del Estado Libre y Soberano de México</w:t>
      </w:r>
    </w:p>
    <w:p w14:paraId="5F2D20A3" w14:textId="77777777" w:rsidR="001E6007" w:rsidRPr="007577D1" w:rsidRDefault="001E6007" w:rsidP="001E6007">
      <w:pPr>
        <w:spacing w:before="240" w:line="360" w:lineRule="auto"/>
        <w:ind w:left="851" w:right="851"/>
        <w:jc w:val="both"/>
        <w:rPr>
          <w:rFonts w:ascii="Palatino Linotype" w:hAnsi="Palatino Linotype"/>
          <w:i/>
        </w:rPr>
      </w:pPr>
      <w:r w:rsidRPr="007577D1">
        <w:rPr>
          <w:rFonts w:ascii="Palatino Linotype" w:hAnsi="Palatino Linotype"/>
          <w:i/>
        </w:rPr>
        <w:t>“</w:t>
      </w:r>
      <w:r w:rsidRPr="007577D1">
        <w:rPr>
          <w:rFonts w:ascii="Palatino Linotype" w:hAnsi="Palatino Linotype"/>
          <w:b/>
          <w:i/>
        </w:rPr>
        <w:t>Artículo 5</w:t>
      </w:r>
      <w:r w:rsidRPr="007577D1">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6149E8DA" w14:textId="77777777" w:rsidR="001E6007" w:rsidRPr="007577D1" w:rsidRDefault="001E6007" w:rsidP="001E6007">
      <w:pPr>
        <w:spacing w:before="240" w:line="360" w:lineRule="auto"/>
        <w:ind w:left="851" w:right="851"/>
        <w:jc w:val="both"/>
        <w:rPr>
          <w:rFonts w:ascii="Palatino Linotype" w:hAnsi="Palatino Linotype"/>
          <w:i/>
        </w:rPr>
      </w:pPr>
      <w:r w:rsidRPr="007577D1">
        <w:rPr>
          <w:rFonts w:ascii="Palatino Linotype" w:hAnsi="Palatino Linotype"/>
          <w:i/>
        </w:rPr>
        <w:t>(…)</w:t>
      </w:r>
    </w:p>
    <w:p w14:paraId="6B76D2A7" w14:textId="77777777" w:rsidR="001E6007" w:rsidRPr="007577D1" w:rsidRDefault="001E6007" w:rsidP="001E6007">
      <w:pPr>
        <w:spacing w:before="240" w:line="360" w:lineRule="auto"/>
        <w:ind w:left="851" w:right="851"/>
        <w:jc w:val="both"/>
        <w:rPr>
          <w:rFonts w:ascii="Palatino Linotype" w:hAnsi="Palatino Linotype"/>
          <w:b/>
          <w:i/>
        </w:rPr>
      </w:pPr>
      <w:proofErr w:type="gramStart"/>
      <w:r w:rsidRPr="007577D1">
        <w:rPr>
          <w:rFonts w:ascii="Palatino Linotype" w:hAnsi="Palatino Linotype"/>
          <w:i/>
        </w:rPr>
        <w:lastRenderedPageBreak/>
        <w:t>transparencia</w:t>
      </w:r>
      <w:proofErr w:type="gramEnd"/>
      <w:r w:rsidRPr="007577D1">
        <w:rPr>
          <w:rFonts w:ascii="Palatino Linotype" w:hAnsi="Palatino Linotype"/>
          <w:i/>
        </w:rPr>
        <w:t xml:space="preserve">, acceso a la información pública y a la protección de datos personales en posesión de los sujetos obligados en los términos que establezca la ley. (…)” </w:t>
      </w:r>
      <w:r w:rsidRPr="007577D1">
        <w:rPr>
          <w:rFonts w:ascii="Palatino Linotype" w:hAnsi="Palatino Linotype"/>
          <w:b/>
          <w:i/>
        </w:rPr>
        <w:t>[Sic]</w:t>
      </w:r>
    </w:p>
    <w:p w14:paraId="487C3A3E" w14:textId="77777777" w:rsidR="001E6007" w:rsidRPr="007577D1" w:rsidRDefault="001E6007" w:rsidP="001E6007">
      <w:pPr>
        <w:autoSpaceDE w:val="0"/>
        <w:autoSpaceDN w:val="0"/>
        <w:adjustRightInd w:val="0"/>
        <w:spacing w:before="240" w:line="360" w:lineRule="auto"/>
        <w:jc w:val="both"/>
        <w:rPr>
          <w:rFonts w:ascii="Palatino Linotype" w:hAnsi="Palatino Linotype" w:cs="Arial"/>
        </w:rPr>
      </w:pPr>
      <w:r w:rsidRPr="007577D1">
        <w:rPr>
          <w:rFonts w:ascii="Palatino Linotype" w:hAnsi="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7577D1">
        <w:rPr>
          <w:rFonts w:ascii="Palatino Linotype" w:hAnsi="Palatino Linotype"/>
          <w:b/>
          <w:u w:val="single"/>
        </w:rPr>
        <w:t>incluso, la solicitud de acceso a la información pueda ser anónima</w:t>
      </w:r>
      <w:r w:rsidRPr="007577D1">
        <w:rPr>
          <w:rFonts w:ascii="Palatino Linotype" w:hAnsi="Palatino Linotype"/>
        </w:rPr>
        <w:t xml:space="preserve"> o no contener un nombre que identifique al solicitante o que permita tener certeza sobre su identidad. </w:t>
      </w:r>
      <w:r w:rsidRPr="007577D1">
        <w:rPr>
          <w:rFonts w:ascii="Palatino Linotype" w:hAnsi="Palatino Linotype" w:cs="Arial"/>
        </w:rPr>
        <w:t xml:space="preserve">En conclusión, se cubrieron los requisitos de procedencia y </w:t>
      </w:r>
      <w:proofErr w:type="spellStart"/>
      <w:r w:rsidRPr="007577D1">
        <w:rPr>
          <w:rFonts w:ascii="Palatino Linotype" w:hAnsi="Palatino Linotype" w:cs="Arial"/>
        </w:rPr>
        <w:t>procedibilidad</w:t>
      </w:r>
      <w:proofErr w:type="spellEnd"/>
      <w:r w:rsidRPr="007577D1">
        <w:rPr>
          <w:rFonts w:ascii="Palatino Linotype" w:hAnsi="Palatino Linotype" w:cs="Arial"/>
        </w:rPr>
        <w:t xml:space="preserve"> y conforme a las constancias que obran en el expediente.</w:t>
      </w:r>
    </w:p>
    <w:p w14:paraId="60D333D0" w14:textId="77777777" w:rsidR="001E6007" w:rsidRPr="007577D1" w:rsidRDefault="001E6007" w:rsidP="001E6007">
      <w:pPr>
        <w:autoSpaceDE w:val="0"/>
        <w:autoSpaceDN w:val="0"/>
        <w:adjustRightInd w:val="0"/>
        <w:spacing w:before="240" w:line="360" w:lineRule="auto"/>
        <w:jc w:val="both"/>
        <w:rPr>
          <w:rFonts w:cs="Arial"/>
          <w:b/>
        </w:rPr>
      </w:pPr>
    </w:p>
    <w:p w14:paraId="2177A3DB" w14:textId="77777777" w:rsidR="001E6007" w:rsidRPr="007577D1" w:rsidRDefault="001E6007" w:rsidP="001E6007">
      <w:pPr>
        <w:keepNext/>
        <w:keepLines/>
        <w:spacing w:line="360" w:lineRule="auto"/>
        <w:jc w:val="both"/>
        <w:outlineLvl w:val="1"/>
        <w:rPr>
          <w:rFonts w:ascii="Palatino Linotype" w:hAnsi="Palatino Linotype"/>
          <w:b/>
          <w:color w:val="000000" w:themeColor="text1"/>
          <w:sz w:val="26"/>
          <w:szCs w:val="26"/>
          <w:lang w:val="es-ES_tradnl"/>
        </w:rPr>
      </w:pPr>
      <w:r w:rsidRPr="007577D1">
        <w:rPr>
          <w:rFonts w:ascii="Palatino Linotype" w:hAnsi="Palatino Linotype"/>
          <w:b/>
          <w:color w:val="000000" w:themeColor="text1"/>
          <w:sz w:val="26"/>
          <w:szCs w:val="26"/>
          <w:lang w:val="es-ES_tradnl"/>
        </w:rPr>
        <w:t>CUARTO. De las causas de improcedencia.</w:t>
      </w:r>
    </w:p>
    <w:p w14:paraId="05D5D49D" w14:textId="77777777" w:rsidR="001E6007" w:rsidRPr="007577D1" w:rsidRDefault="001E6007" w:rsidP="001E6007">
      <w:pPr>
        <w:spacing w:line="360" w:lineRule="auto"/>
        <w:contextualSpacing/>
        <w:jc w:val="both"/>
        <w:rPr>
          <w:rFonts w:ascii="Palatino Linotype" w:hAnsi="Palatino Linotype" w:cs="Palatino Linotype"/>
          <w:color w:val="000000"/>
          <w:lang w:val="es-ES_tradnl"/>
        </w:rPr>
      </w:pPr>
      <w:r w:rsidRPr="007577D1">
        <w:rPr>
          <w:rFonts w:ascii="Palatino Linotype" w:hAnsi="Palatino Linotype" w:cs="Palatino Linotype"/>
          <w:color w:val="000000"/>
          <w:lang w:val="es-ES_tradnl"/>
        </w:rPr>
        <w:t xml:space="preserve">En el procedimiento de acceso a la información y de los medios de impugnación de la materia, se advierten diversos supuestos de </w:t>
      </w:r>
      <w:proofErr w:type="spellStart"/>
      <w:r w:rsidRPr="007577D1">
        <w:rPr>
          <w:rFonts w:ascii="Palatino Linotype" w:hAnsi="Palatino Linotype" w:cs="Palatino Linotype"/>
          <w:color w:val="000000"/>
          <w:lang w:val="es-ES_tradnl"/>
        </w:rPr>
        <w:t>procedibilidad</w:t>
      </w:r>
      <w:proofErr w:type="spellEnd"/>
      <w:r w:rsidRPr="007577D1">
        <w:rPr>
          <w:rFonts w:ascii="Palatino Linotype" w:hAnsi="Palatino Linotype" w:cs="Palatino Linotype"/>
          <w:color w:val="000000"/>
          <w:lang w:val="es-ES_tradnl"/>
        </w:rPr>
        <w:t xml:space="preserve">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774A4C85" w14:textId="77777777" w:rsidR="001E6007" w:rsidRPr="007577D1" w:rsidRDefault="001E6007" w:rsidP="001E6007">
      <w:pPr>
        <w:spacing w:line="360" w:lineRule="auto"/>
        <w:contextualSpacing/>
        <w:jc w:val="both"/>
        <w:rPr>
          <w:rFonts w:ascii="Palatino Linotype" w:hAnsi="Palatino Linotype" w:cs="Palatino Linotype"/>
          <w:color w:val="000000"/>
          <w:lang w:val="es-ES_tradnl"/>
        </w:rPr>
      </w:pPr>
    </w:p>
    <w:p w14:paraId="78668113" w14:textId="77777777" w:rsidR="001E6007" w:rsidRPr="007577D1" w:rsidRDefault="001E6007" w:rsidP="001E6007">
      <w:pPr>
        <w:spacing w:line="360" w:lineRule="auto"/>
        <w:contextualSpacing/>
        <w:jc w:val="both"/>
        <w:rPr>
          <w:rFonts w:ascii="Palatino Linotype" w:hAnsi="Palatino Linotype" w:cs="Palatino Linotype"/>
          <w:color w:val="000000"/>
          <w:lang w:val="es-ES_tradnl"/>
        </w:rPr>
      </w:pPr>
      <w:r w:rsidRPr="007577D1">
        <w:rPr>
          <w:rFonts w:ascii="Palatino Linotype" w:hAnsi="Palatino Linotype" w:cs="Palatino Linotype"/>
          <w:color w:val="000000"/>
          <w:lang w:val="es-ES_tradnl"/>
        </w:rPr>
        <w:t xml:space="preserve">Por lo anterior, es una facultad legal entrar al estudio de las causas de improcedencia que hagan valer las partes o que se adviertan de oficio por este </w:t>
      </w:r>
      <w:proofErr w:type="spellStart"/>
      <w:r w:rsidRPr="007577D1">
        <w:rPr>
          <w:rFonts w:ascii="Palatino Linotype" w:hAnsi="Palatino Linotype" w:cs="Palatino Linotype"/>
          <w:color w:val="000000"/>
          <w:lang w:val="es-ES_tradnl"/>
        </w:rPr>
        <w:t>Resolutor</w:t>
      </w:r>
      <w:proofErr w:type="spellEnd"/>
      <w:r w:rsidRPr="007577D1">
        <w:rPr>
          <w:rFonts w:ascii="Palatino Linotype" w:hAnsi="Palatino Linotype" w:cs="Palatino Linotype"/>
          <w:color w:val="000000"/>
          <w:lang w:val="es-ES_tradnl"/>
        </w:rPr>
        <w:t xml:space="preserve"> y por ende objeto de análisis previo al estudio de fondo del asunto; presupuestos procesales de inicio o trámite de un proceso que dotan de seguridad jurídica las resoluciones, máxime que es una figura procesal adoptada en la </w:t>
      </w:r>
      <w:r w:rsidRPr="007577D1">
        <w:rPr>
          <w:rFonts w:ascii="Palatino Linotype" w:hAnsi="Palatino Linotype" w:cs="Palatino Linotype"/>
          <w:color w:val="000000"/>
          <w:lang w:val="es-ES_tradnl"/>
        </w:rPr>
        <w:lastRenderedPageBreak/>
        <w:t>ley de la materia</w:t>
      </w:r>
      <w:r w:rsidRPr="007577D1">
        <w:rPr>
          <w:rFonts w:ascii="Palatino Linotype" w:hAnsi="Palatino Linotype" w:cs="Palatino Linotype"/>
          <w:color w:val="000000"/>
          <w:vertAlign w:val="superscript"/>
          <w:lang w:val="es-ES_tradnl"/>
        </w:rPr>
        <w:footnoteReference w:id="1"/>
      </w:r>
      <w:r w:rsidRPr="007577D1">
        <w:rPr>
          <w:rFonts w:ascii="Palatino Linotype" w:hAnsi="Palatino Linotype" w:cs="Palatino Linotype"/>
          <w:color w:val="000000"/>
          <w:lang w:val="es-ES_tradnl"/>
        </w:rPr>
        <w:t>, la cual permite dilucidar alguna causal que impida el estudio y resolución, cuando una vez admitido el recurso de revisión se advierta una causa de improcedencia que permita sobreseerlo, sin estudiar el fondo del asunto.</w:t>
      </w:r>
    </w:p>
    <w:p w14:paraId="0F72B25D" w14:textId="77777777" w:rsidR="001E6007" w:rsidRPr="007577D1" w:rsidRDefault="001E6007" w:rsidP="001E6007">
      <w:pPr>
        <w:spacing w:line="360" w:lineRule="auto"/>
        <w:contextualSpacing/>
        <w:jc w:val="both"/>
        <w:rPr>
          <w:rFonts w:ascii="Palatino Linotype" w:hAnsi="Palatino Linotype" w:cs="Palatino Linotype"/>
          <w:color w:val="000000"/>
          <w:lang w:val="es-ES_tradnl"/>
        </w:rPr>
      </w:pPr>
    </w:p>
    <w:p w14:paraId="3E314206" w14:textId="77777777" w:rsidR="001E6007" w:rsidRPr="007577D1" w:rsidRDefault="001E6007" w:rsidP="001E6007">
      <w:pPr>
        <w:spacing w:line="360" w:lineRule="auto"/>
        <w:contextualSpacing/>
        <w:jc w:val="both"/>
        <w:rPr>
          <w:rFonts w:ascii="Palatino Linotype" w:hAnsi="Palatino Linotype" w:cs="Palatino Linotype"/>
          <w:color w:val="000000"/>
          <w:lang w:val="es-ES_tradnl"/>
        </w:rPr>
      </w:pPr>
      <w:r w:rsidRPr="007577D1">
        <w:rPr>
          <w:rFonts w:ascii="Palatino Linotype" w:hAnsi="Palatino Linotype" w:cs="Palatino Linotype"/>
          <w:color w:val="000000"/>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02BEA86A" w14:textId="77777777" w:rsidR="001E6007" w:rsidRPr="007577D1" w:rsidRDefault="001E6007" w:rsidP="001E600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7577D1">
        <w:rPr>
          <w:rFonts w:ascii="Palatino Linotype" w:eastAsia="Times New Roman" w:hAnsi="Palatino Linotype" w:cs="Times New Roman"/>
          <w:b/>
          <w:color w:val="000000" w:themeColor="text1"/>
          <w:sz w:val="26"/>
          <w:szCs w:val="26"/>
          <w:lang w:val="es-ES_tradnl" w:eastAsia="es-MX"/>
        </w:rPr>
        <w:lastRenderedPageBreak/>
        <w:t>QUINTO. Estudio y resolución del asunto.</w:t>
      </w:r>
    </w:p>
    <w:p w14:paraId="674FA1E1" w14:textId="77777777" w:rsidR="001E6007" w:rsidRPr="007577D1" w:rsidRDefault="001E6007" w:rsidP="001E600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577D1">
        <w:rPr>
          <w:rFonts w:ascii="Palatino Linotype" w:eastAsia="Times New Roman" w:hAnsi="Palatino Linotype" w:cs="Palatino Linotype"/>
          <w:color w:val="000000"/>
          <w:sz w:val="24"/>
          <w:szCs w:val="24"/>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7502177E" w14:textId="77777777" w:rsidR="001E6007" w:rsidRPr="007577D1" w:rsidRDefault="001E6007" w:rsidP="001E600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C4C3D0C" w14:textId="77777777" w:rsidR="001E6007" w:rsidRPr="007577D1" w:rsidRDefault="001E6007" w:rsidP="001E600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577D1">
        <w:rPr>
          <w:rFonts w:ascii="Palatino Linotype" w:eastAsia="Times New Roman" w:hAnsi="Palatino Linotype" w:cs="Palatino Linotype"/>
          <w:color w:val="000000"/>
          <w:sz w:val="24"/>
          <w:szCs w:val="24"/>
          <w:lang w:val="es-ES_tradnl" w:eastAsia="es-MX"/>
        </w:rPr>
        <w:t>Por tanto, es conveniente recordar que el hoy Recurrente requirió del Sujeto Obligado, de la actua</w:t>
      </w:r>
      <w:r w:rsidR="00C528E2" w:rsidRPr="007577D1">
        <w:rPr>
          <w:rFonts w:ascii="Palatino Linotype" w:eastAsia="Times New Roman" w:hAnsi="Palatino Linotype" w:cs="Palatino Linotype"/>
          <w:color w:val="000000"/>
          <w:sz w:val="24"/>
          <w:szCs w:val="24"/>
          <w:lang w:val="es-ES_tradnl" w:eastAsia="es-MX"/>
        </w:rPr>
        <w:t>l administración, lo siguiente:</w:t>
      </w:r>
    </w:p>
    <w:p w14:paraId="43CEF45D" w14:textId="77777777" w:rsidR="001E6007" w:rsidRPr="007577D1" w:rsidRDefault="001E6007" w:rsidP="001E6007">
      <w:pPr>
        <w:pStyle w:val="Prrafodelista"/>
        <w:numPr>
          <w:ilvl w:val="0"/>
          <w:numId w:val="7"/>
        </w:numPr>
        <w:contextualSpacing/>
        <w:rPr>
          <w:rFonts w:cs="Palatino Linotype"/>
          <w:color w:val="000000"/>
          <w:lang w:val="es-ES_tradnl" w:eastAsia="es-MX"/>
        </w:rPr>
      </w:pPr>
      <w:r w:rsidRPr="007577D1">
        <w:rPr>
          <w:rFonts w:cs="Palatino Linotype"/>
          <w:color w:val="000000"/>
          <w:lang w:val="es-ES_tradnl" w:eastAsia="es-MX"/>
        </w:rPr>
        <w:t xml:space="preserve">Del Oficio referido en solicitud </w:t>
      </w:r>
      <w:r w:rsidR="00A022F4" w:rsidRPr="007577D1">
        <w:rPr>
          <w:color w:val="000000"/>
        </w:rPr>
        <w:t>relacionado con la denuncia presentada</w:t>
      </w:r>
      <w:r w:rsidR="00C528E2" w:rsidRPr="007577D1">
        <w:rPr>
          <w:color w:val="000000"/>
        </w:rPr>
        <w:t xml:space="preserve"> contra el</w:t>
      </w:r>
      <w:r w:rsidR="00A022F4" w:rsidRPr="007577D1">
        <w:rPr>
          <w:color w:val="000000"/>
        </w:rPr>
        <w:t xml:space="preserve"> servidor público </w:t>
      </w:r>
      <w:r w:rsidR="00C528E2" w:rsidRPr="007577D1">
        <w:rPr>
          <w:color w:val="000000"/>
        </w:rPr>
        <w:t>referido en solicitud;</w:t>
      </w:r>
    </w:p>
    <w:p w14:paraId="75816920" w14:textId="77777777" w:rsidR="00A022F4" w:rsidRPr="007577D1" w:rsidRDefault="001E6007" w:rsidP="00A022F4">
      <w:pPr>
        <w:spacing w:after="0" w:line="360" w:lineRule="auto"/>
        <w:ind w:left="709"/>
        <w:contextualSpacing/>
        <w:jc w:val="both"/>
        <w:rPr>
          <w:rFonts w:ascii="Palatino Linotype" w:hAnsi="Palatino Linotype"/>
          <w:color w:val="000000"/>
          <w:sz w:val="24"/>
          <w:szCs w:val="24"/>
        </w:rPr>
      </w:pPr>
      <w:r w:rsidRPr="007577D1">
        <w:rPr>
          <w:rFonts w:ascii="Palatino Linotype" w:hAnsi="Palatino Linotype"/>
          <w:color w:val="000000"/>
          <w:sz w:val="24"/>
          <w:szCs w:val="24"/>
        </w:rPr>
        <w:t>- Se informe de manera detallada qué gestiones han si</w:t>
      </w:r>
      <w:r w:rsidR="00A022F4" w:rsidRPr="007577D1">
        <w:rPr>
          <w:rFonts w:ascii="Palatino Linotype" w:hAnsi="Palatino Linotype"/>
          <w:color w:val="000000"/>
          <w:sz w:val="24"/>
          <w:szCs w:val="24"/>
        </w:rPr>
        <w:t>do realizadas por l</w:t>
      </w:r>
      <w:r w:rsidRPr="007577D1">
        <w:rPr>
          <w:rFonts w:ascii="Palatino Linotype" w:hAnsi="Palatino Linotype"/>
          <w:color w:val="000000"/>
          <w:sz w:val="24"/>
          <w:szCs w:val="24"/>
        </w:rPr>
        <w:t xml:space="preserve">a Secretaría para dar trámite a la denuncia referida. </w:t>
      </w:r>
    </w:p>
    <w:p w14:paraId="00AAEC90" w14:textId="77777777" w:rsidR="00A022F4" w:rsidRPr="007577D1" w:rsidRDefault="001E6007" w:rsidP="00A022F4">
      <w:pPr>
        <w:spacing w:after="0" w:line="360" w:lineRule="auto"/>
        <w:ind w:left="709"/>
        <w:contextualSpacing/>
        <w:jc w:val="both"/>
        <w:rPr>
          <w:rFonts w:ascii="Palatino Linotype" w:hAnsi="Palatino Linotype"/>
          <w:color w:val="000000"/>
          <w:sz w:val="24"/>
          <w:szCs w:val="24"/>
        </w:rPr>
      </w:pPr>
      <w:r w:rsidRPr="007577D1">
        <w:rPr>
          <w:rFonts w:ascii="Palatino Linotype" w:hAnsi="Palatino Linotype"/>
          <w:color w:val="000000"/>
          <w:sz w:val="24"/>
          <w:szCs w:val="24"/>
        </w:rPr>
        <w:t xml:space="preserve">- Se proporcionen versiones públicas de los documentos mediante los cuales se hayan efectuado dichas gestiones. </w:t>
      </w:r>
    </w:p>
    <w:p w14:paraId="3841EE36" w14:textId="77777777" w:rsidR="001E6007" w:rsidRPr="007577D1" w:rsidRDefault="001E6007" w:rsidP="00A022F4">
      <w:pPr>
        <w:spacing w:after="0" w:line="360" w:lineRule="auto"/>
        <w:ind w:left="709"/>
        <w:contextualSpacing/>
        <w:jc w:val="both"/>
        <w:rPr>
          <w:rFonts w:ascii="Palatino Linotype" w:hAnsi="Palatino Linotype"/>
          <w:color w:val="000000"/>
          <w:sz w:val="24"/>
          <w:szCs w:val="24"/>
        </w:rPr>
      </w:pPr>
      <w:r w:rsidRPr="007577D1">
        <w:rPr>
          <w:rFonts w:ascii="Palatino Linotype" w:hAnsi="Palatino Linotype"/>
          <w:color w:val="000000"/>
          <w:sz w:val="24"/>
          <w:szCs w:val="24"/>
        </w:rPr>
        <w:t>- Se informe el estado procesal o administrativo actual en el que se encuentra la tramitación de dicha denuncia.</w:t>
      </w:r>
    </w:p>
    <w:p w14:paraId="545C534D" w14:textId="77777777" w:rsidR="001E6007" w:rsidRPr="007577D1" w:rsidRDefault="001E6007" w:rsidP="001E600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4F4936D" w14:textId="77777777" w:rsidR="001E6007" w:rsidRPr="007577D1" w:rsidRDefault="001E6007" w:rsidP="001E600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577D1">
        <w:rPr>
          <w:rFonts w:ascii="Palatino Linotype" w:eastAsia="Times New Roman" w:hAnsi="Palatino Linotype" w:cs="Palatino Linotype"/>
          <w:color w:val="000000"/>
          <w:sz w:val="24"/>
          <w:szCs w:val="24"/>
          <w:lang w:val="es-ES_tradnl" w:eastAsia="es-MX"/>
        </w:rPr>
        <w:t>Por lo que atento a la solicitud de información el Sujeto Obligado hizo entrega del siguiente archivo electrónico:</w:t>
      </w:r>
    </w:p>
    <w:p w14:paraId="65C8B05C" w14:textId="77777777" w:rsidR="00A022F4" w:rsidRPr="007577D1" w:rsidRDefault="00A022F4" w:rsidP="001E6007">
      <w:pPr>
        <w:spacing w:after="0" w:line="360" w:lineRule="auto"/>
        <w:contextualSpacing/>
        <w:jc w:val="both"/>
        <w:rPr>
          <w:rFonts w:ascii="Palatino Linotype" w:hAnsi="Palatino Linotype" w:cs="Arial"/>
          <w:b/>
          <w:bCs/>
          <w:sz w:val="24"/>
          <w:szCs w:val="24"/>
        </w:rPr>
      </w:pPr>
    </w:p>
    <w:p w14:paraId="5F22ABB0" w14:textId="77777777" w:rsidR="00A022F4" w:rsidRPr="007577D1" w:rsidRDefault="00A022F4" w:rsidP="001E6007">
      <w:pPr>
        <w:pStyle w:val="Prrafodelista"/>
        <w:numPr>
          <w:ilvl w:val="0"/>
          <w:numId w:val="8"/>
        </w:numPr>
        <w:contextualSpacing/>
        <w:rPr>
          <w:rFonts w:cs="Arial"/>
          <w:b/>
          <w:bCs/>
        </w:rPr>
      </w:pPr>
      <w:r w:rsidRPr="007577D1">
        <w:rPr>
          <w:rFonts w:cs="Arial"/>
          <w:b/>
          <w:bCs/>
        </w:rPr>
        <w:lastRenderedPageBreak/>
        <w:t xml:space="preserve">Respuesta_SPH_11.pdf: </w:t>
      </w:r>
      <w:r w:rsidRPr="007577D1">
        <w:rPr>
          <w:rFonts w:cs="Arial"/>
          <w:bCs/>
        </w:rPr>
        <w:t xml:space="preserve"> Soporte documental que consta de una foja en formato PDF de fecha veintitrés de enero de dos mil veintiséis por medio del cual la Coordinadora de Asuntos Jurídicos, Igualdad de Género y Erradicación de la Violencia por medio del cual </w:t>
      </w:r>
      <w:r w:rsidR="000E1C0D" w:rsidRPr="007577D1">
        <w:rPr>
          <w:rFonts w:cs="Arial"/>
          <w:bCs/>
        </w:rPr>
        <w:t xml:space="preserve">manifiesta que no se tiene conocimiento ni relación alguna con el documento generado en la solicitud. </w:t>
      </w:r>
    </w:p>
    <w:p w14:paraId="502158DA" w14:textId="77777777" w:rsidR="00A022F4" w:rsidRPr="007577D1" w:rsidRDefault="00A022F4" w:rsidP="00A022F4">
      <w:pPr>
        <w:ind w:left="360"/>
        <w:contextualSpacing/>
        <w:rPr>
          <w:rFonts w:cs="Arial"/>
          <w:b/>
          <w:bCs/>
        </w:rPr>
      </w:pPr>
    </w:p>
    <w:p w14:paraId="2A5A7BD6" w14:textId="77777777" w:rsidR="001E6007" w:rsidRPr="007577D1" w:rsidRDefault="00A022F4" w:rsidP="00C528E2">
      <w:pPr>
        <w:pStyle w:val="Prrafodelista"/>
        <w:numPr>
          <w:ilvl w:val="0"/>
          <w:numId w:val="8"/>
        </w:numPr>
        <w:ind w:left="1416" w:hanging="1056"/>
        <w:contextualSpacing/>
        <w:rPr>
          <w:rFonts w:cs="Arial"/>
          <w:b/>
          <w:bCs/>
        </w:rPr>
      </w:pPr>
      <w:r w:rsidRPr="007577D1">
        <w:rPr>
          <w:rFonts w:cs="Arial"/>
          <w:b/>
          <w:bCs/>
        </w:rPr>
        <w:t>RESPUESTA_UT_11.pdf</w:t>
      </w:r>
      <w:r w:rsidR="000E1C0D" w:rsidRPr="007577D1">
        <w:rPr>
          <w:rFonts w:cs="Arial"/>
          <w:b/>
          <w:bCs/>
        </w:rPr>
        <w:t xml:space="preserve">: </w:t>
      </w:r>
      <w:r w:rsidR="000E1C0D" w:rsidRPr="007577D1">
        <w:rPr>
          <w:rFonts w:cs="Arial"/>
          <w:bCs/>
        </w:rPr>
        <w:t xml:space="preserve"> Soporte documental que consta de cuatro fojas en formato PDF de fecha cinco de febrero de dos mil veintiséis por medio del cual el Titular de la Unidad de Transparencia manifiesta </w:t>
      </w:r>
      <w:r w:rsidR="000E1C0D" w:rsidRPr="007577D1">
        <w:t>que en la solicitud de información se observa, en primer lugar, que la información fue formulada a través de planteamientos subjetivos donde no se requiere un documento, sino, más bien, supone que este Sujeto Obligado lleve a cabo un pronunciamiento en relación a: “</w:t>
      </w:r>
      <w:r w:rsidR="000E1C0D" w:rsidRPr="007577D1">
        <w:rPr>
          <w:i/>
        </w:rPr>
        <w:t>Se informe de manera detallada</w:t>
      </w:r>
      <w:r w:rsidR="000E1C0D" w:rsidRPr="007577D1">
        <w:t xml:space="preserve"> … ” y “</w:t>
      </w:r>
      <w:r w:rsidR="000E1C0D" w:rsidRPr="007577D1">
        <w:rPr>
          <w:i/>
        </w:rPr>
        <w:t xml:space="preserve">Se informe el estado procesal o administrativo actual </w:t>
      </w:r>
      <w:r w:rsidR="000E1C0D" w:rsidRPr="007577D1">
        <w:t xml:space="preserve">… ” , en dicha lectura se identifica que realmente lo que pretende es que esta Dependencia responda sus cuestionamientos específicos; en segundo lugar se aprecia que dichas manifestaciones subjetivas no pueden ser atendidas mediante el Derecho de Acceso a la Información Pública, es decir, no existe materia de Derecho sobre él cual la Secretaría de Educación, Ciencia, Tecnología e Innovación o sujeto obligado diverso pueda entregar documentación alguna, pues se advierte qué, lo que se intenta ejercer no es un derecho de acceso a la información, sino al Derecho de Petición, donde se lleve a cabo un pronunciamiento específico, es decir, requiere que esta Secretaría realice un pronunciamiento respecto a cuestiones subjetivas; es menester precisar que </w:t>
      </w:r>
      <w:r w:rsidR="000E1C0D" w:rsidRPr="007577D1">
        <w:lastRenderedPageBreak/>
        <w:t>la naturaleza del Derecho de Acceso a la Información impide que se dé contestación a requerimientos que conllevan al pronunciamiento específico sobre variados temas, se brinde una asesoría legal o se requiera una consulta concreta, resultando inconcuso que su solicitud de información es improcedente porque el requerimiento consiste en un pronunciamiento sobre cuestionamientos derivados de juicios subjetivos.</w:t>
      </w:r>
    </w:p>
    <w:p w14:paraId="6C4D9602" w14:textId="77777777" w:rsidR="00A022F4" w:rsidRPr="007577D1" w:rsidRDefault="00A022F4" w:rsidP="001E6007">
      <w:pPr>
        <w:spacing w:after="0" w:line="360" w:lineRule="auto"/>
        <w:contextualSpacing/>
        <w:jc w:val="both"/>
        <w:rPr>
          <w:rFonts w:ascii="Palatino Linotype" w:eastAsia="Times New Roman" w:hAnsi="Palatino Linotype" w:cs="Palatino Linotype"/>
          <w:color w:val="000000"/>
          <w:sz w:val="24"/>
          <w:lang w:val="es-ES_tradnl" w:eastAsia="es-MX"/>
        </w:rPr>
      </w:pPr>
    </w:p>
    <w:p w14:paraId="7780BFB0" w14:textId="77777777" w:rsidR="001E6007" w:rsidRPr="007577D1" w:rsidRDefault="001E6007" w:rsidP="000E1C0D">
      <w:pPr>
        <w:spacing w:after="0" w:line="360" w:lineRule="auto"/>
        <w:contextualSpacing/>
        <w:jc w:val="both"/>
        <w:rPr>
          <w:rFonts w:ascii="Palatino Linotype" w:hAnsi="Palatino Linotype"/>
          <w:i/>
          <w:color w:val="000000"/>
          <w:sz w:val="24"/>
          <w:szCs w:val="24"/>
        </w:rPr>
      </w:pPr>
      <w:r w:rsidRPr="007577D1">
        <w:rPr>
          <w:rFonts w:ascii="Palatino Linotype" w:eastAsia="Times New Roman" w:hAnsi="Palatino Linotype" w:cs="Palatino Linotype"/>
          <w:color w:val="000000"/>
          <w:sz w:val="24"/>
          <w:lang w:val="es-ES_tradnl" w:eastAsia="es-MX"/>
        </w:rPr>
        <w:t xml:space="preserve">Ante la respuesta emitida por el Sujeto Obligado, el Recurrente consideró que su derecho a la información pública había sido conculcado, por lo que interpuso el recurso de revisión al rubro citado, señalando como acto impugnado </w:t>
      </w:r>
      <w:r w:rsidRPr="007577D1">
        <w:rPr>
          <w:rFonts w:ascii="Palatino Linotype" w:eastAsia="Times New Roman" w:hAnsi="Palatino Linotype" w:cs="Palatino Linotype"/>
          <w:i/>
          <w:color w:val="000000"/>
          <w:sz w:val="24"/>
          <w:szCs w:val="24"/>
          <w:lang w:val="es-ES_tradnl" w:eastAsia="es-MX"/>
        </w:rPr>
        <w:t>“</w:t>
      </w:r>
      <w:r w:rsidR="000E1C0D" w:rsidRPr="007577D1">
        <w:rPr>
          <w:rFonts w:ascii="Palatino Linotype" w:hAnsi="Palatino Linotype"/>
          <w:i/>
          <w:color w:val="000000"/>
          <w:sz w:val="24"/>
          <w:szCs w:val="24"/>
        </w:rPr>
        <w:t>Se impugna la respuesta emitida por la Unidad de Transparencia de la Secretaría de Educación, Ciencia, Tecnología e Innovación del Estado de México, contenida en el oficio número 22800007010000S/0149/UT/2026 de fecha 5 de febrero de 2026, notificada a través del Sistema de Acceso a la Información Mexiquense (SAIMEX). Dicha respuesta determinó la improcedencia de mi solicitud al considerar que mis requerimientos constituían "pronunciamientos subjetivos" y que lo que pretendía era el ejercicio del Derecho de Petición (artículo 8° constitucional) y no del Derecho de Acceso a la Información</w:t>
      </w:r>
      <w:r w:rsidRPr="007577D1">
        <w:rPr>
          <w:rFonts w:ascii="Palatino Linotype" w:hAnsi="Palatino Linotype"/>
          <w:i/>
          <w:color w:val="000000"/>
          <w:sz w:val="24"/>
          <w:szCs w:val="24"/>
        </w:rPr>
        <w:t>.”</w:t>
      </w:r>
      <w:r w:rsidRPr="007577D1">
        <w:rPr>
          <w:rFonts w:ascii="Palatino Linotype" w:eastAsia="Times New Roman" w:hAnsi="Palatino Linotype" w:cs="Palatino Linotype"/>
          <w:i/>
          <w:color w:val="000000"/>
          <w:sz w:val="24"/>
          <w:lang w:val="es-ES_tradnl" w:eastAsia="es-MX"/>
        </w:rPr>
        <w:t xml:space="preserve"> </w:t>
      </w:r>
      <w:r w:rsidRPr="007577D1">
        <w:rPr>
          <w:rFonts w:ascii="Palatino Linotype" w:eastAsia="Times New Roman" w:hAnsi="Palatino Linotype" w:cs="Palatino Linotype"/>
          <w:color w:val="000000"/>
          <w:sz w:val="24"/>
          <w:lang w:val="es-ES_tradnl" w:eastAsia="es-MX"/>
        </w:rPr>
        <w:t>y como motivos de inconformidad “</w:t>
      </w:r>
      <w:r w:rsidR="000E1C0D" w:rsidRPr="007577D1">
        <w:rPr>
          <w:rFonts w:ascii="Palatino Linotype" w:hAnsi="Palatino Linotype"/>
          <w:i/>
          <w:color w:val="000000"/>
          <w:sz w:val="24"/>
          <w:szCs w:val="24"/>
        </w:rPr>
        <w:t xml:space="preserve">A. La respuesta se basa en una interpretación restrictiva y errónea del Derecho de Acceso a la Información. El sujeto obligado sostiene que mi solicitud es improcedente porque requería un "pronunciamiento" sobre gestiones realizadas y el estado procesal de una denuncia, lo que, según su criterio, escapa a la naturaleza del derecho de acceso a la información y corresponde al derecho de petición. Sin embargo, lo anterior es incorrecto por las siguientes razones: Existencia cierta del documento: En mi solicitud original no requerí una opinión ni una asesoría legal. Requerí información documental pública específica: el "oficio número SEP/CGEE/OEESEPMEX/2942/2025, de fecha 8 de diciembre de 2025" y los </w:t>
      </w:r>
      <w:r w:rsidR="000E1C0D" w:rsidRPr="007577D1">
        <w:rPr>
          <w:rFonts w:ascii="Palatino Linotype" w:hAnsi="Palatino Linotype"/>
          <w:i/>
          <w:color w:val="000000"/>
          <w:sz w:val="24"/>
          <w:szCs w:val="24"/>
        </w:rPr>
        <w:lastRenderedPageBreak/>
        <w:t xml:space="preserve">documentos derivados de las gestiones de ese oficio. Al citar un número de oficio, fecha y remitente, se acreditó la existencia de un documento que, por ministerio de ley, debe obrar en los archivos del sujeto obligado. Confusión entre "pronunciamiento" y "acceso a documentos que contienen información": El hecho de que un ciudadano pregunte por el contenido de un documento (es decir, qué dice el oficio, a quién se turnó y qué respuesta se le dio) no convierte la solicitud en una petición de opinión. El artículo 6° de la Constitución y la Ley de Transparencia local garantizan el acceso a la información contenida en los documentos. La Secretaría está obligada a proporcionar la versión pública del oficio solicitado y de los documentos subsecuentes; al negarse, está ocultando información que debería ser pública. Violación al principio de máxima publicidad: El sujeto obligado optó por la solución más fácil (declarar improcedente) en lugar de realizar una búsqueda exhaustiva en sus archivos. Al existir datos de identificación precisos (fecha y número de oficio), la Unidad de Transparencia debió turnar la solicitud al área competente (Coordinación de Asuntos Jurídicos) para que certificara si dicho oficio fue recibido y, en su caso, si se le dio trámite. B. La negativa vulnera el artículo 12 de la Ley de Transparencia Local. La respuesta cita el artículo 12 de la Ley de Transparencia local para justificar que no están obligados a procesar información. No obstante, el sujeto obligado omite que la misma ley establece que "Los sujetos obligados sólo proporcionarán la información pública que se les requiera y que obre en sus archivos". La obligación no es "procesar", sino buscar y entregar si obra en sus archivos. En este caso, la autoridad ni siquiera realizó una búsqueda efectiva. Se escudó en una supuesta falta de competencia temática sin agotar la búsqueda documental, lo que contraviene el criterio general de que los archivos públicos deben estar organizados para dar cuenta de la correspondencia recibida (como el oficio del Lic. Luis Alonso Rivera Castellanos). C. Existe un precedente claro: los documentos de trámite interno son información pública. Los oficios que se reciben de otras autoridades y los acuses de recibo o respuestas que genere la Secretaría son actos documentados </w:t>
      </w:r>
      <w:r w:rsidR="000E1C0D" w:rsidRPr="007577D1">
        <w:rPr>
          <w:rFonts w:ascii="Palatino Linotype" w:hAnsi="Palatino Linotype"/>
          <w:i/>
          <w:color w:val="000000"/>
          <w:sz w:val="24"/>
          <w:szCs w:val="24"/>
        </w:rPr>
        <w:lastRenderedPageBreak/>
        <w:t>derivados del ejercicio de sus facultades. Por lo tanto, son información pública. Mi solicitud no pedía que la Secretaría "investigara" por mí, sino que me entregara la versión pública de los documentos que ya posee. Por lo anteriormente expuesto, solicito respetuosamente al Instituto de Transparencia, Acceso a la Información Pública y Protección de Datos Personales del Estado de México y Municipios (INFOEM): PRIMERO: Revocar la respuesta contenida en el oficio 22800007010000S/0149/UT/2026. SEGUNDO: Ordenar a la Secretaría de Educación, Ciencia, Tecnología e Innovación del Estado de México que realice una búsqueda exhaustiva en todas sus unidades administrativas (especialmente en la Coordinación de Asuntos Jurídicos y la Oficialía de Partes) del oficio número SEP/CGEE/OEESEPMEX/2942/2025 y de todos los documentos que acrediten las gestiones realizadas respecto al mismo. TERCERO: Instruir al sujeto obligado para que entregue al recurrente, en un plazo no mayor a 10 días hábiles, las versiones públicas de la documentación encontrada, garantizando mi derecho de acceso a la información</w:t>
      </w:r>
      <w:r w:rsidRPr="007577D1">
        <w:rPr>
          <w:rFonts w:ascii="Palatino Linotype" w:hAnsi="Palatino Linotype"/>
          <w:i/>
          <w:color w:val="000000"/>
          <w:sz w:val="24"/>
          <w:szCs w:val="24"/>
        </w:rPr>
        <w:t>.”</w:t>
      </w:r>
      <w:r w:rsidR="000E1C0D" w:rsidRPr="007577D1">
        <w:rPr>
          <w:rFonts w:ascii="Palatino Linotype" w:hAnsi="Palatino Linotype"/>
          <w:i/>
          <w:color w:val="000000"/>
          <w:sz w:val="24"/>
          <w:szCs w:val="24"/>
        </w:rPr>
        <w:t>.</w:t>
      </w:r>
    </w:p>
    <w:p w14:paraId="2146B19C" w14:textId="77777777" w:rsidR="000E1C0D" w:rsidRPr="007577D1" w:rsidRDefault="000E1C0D" w:rsidP="000E1C0D">
      <w:pPr>
        <w:spacing w:after="0" w:line="360" w:lineRule="auto"/>
        <w:contextualSpacing/>
        <w:jc w:val="both"/>
        <w:rPr>
          <w:rFonts w:ascii="Palatino Linotype" w:hAnsi="Palatino Linotype"/>
          <w:i/>
          <w:color w:val="000000"/>
          <w:sz w:val="24"/>
          <w:szCs w:val="24"/>
        </w:rPr>
      </w:pPr>
    </w:p>
    <w:p w14:paraId="30186C17" w14:textId="77777777" w:rsidR="001E6007" w:rsidRPr="007577D1" w:rsidRDefault="001E6007" w:rsidP="001E6007">
      <w:pPr>
        <w:spacing w:after="0" w:line="360" w:lineRule="auto"/>
        <w:contextualSpacing/>
        <w:jc w:val="both"/>
        <w:rPr>
          <w:rFonts w:ascii="Palatino Linotype" w:hAnsi="Palatino Linotype" w:cstheme="minorHAnsi"/>
          <w:b/>
          <w:color w:val="000000"/>
          <w:sz w:val="24"/>
          <w:szCs w:val="24"/>
        </w:rPr>
      </w:pPr>
      <w:r w:rsidRPr="007577D1">
        <w:rPr>
          <w:rFonts w:ascii="Palatino Linotype" w:hAnsi="Palatino Linotype" w:cstheme="minorHAnsi"/>
          <w:color w:val="000000"/>
          <w:sz w:val="24"/>
          <w:szCs w:val="24"/>
        </w:rPr>
        <w:t>Por lo que a efecto de no vulnerar el derecho al acceso a la información del Recurrente el Sujeto Obligado rindió su informe justificado por medio del cual ratifica su respuesta primigenia.</w:t>
      </w:r>
    </w:p>
    <w:p w14:paraId="33F76D99" w14:textId="77777777" w:rsidR="000E1C0D" w:rsidRPr="007577D1" w:rsidRDefault="000E1C0D" w:rsidP="001E6007">
      <w:pPr>
        <w:tabs>
          <w:tab w:val="left" w:pos="709"/>
        </w:tabs>
        <w:spacing w:after="0" w:line="360" w:lineRule="auto"/>
        <w:contextualSpacing/>
        <w:jc w:val="both"/>
        <w:rPr>
          <w:rFonts w:ascii="Palatino Linotype" w:hAnsi="Palatino Linotype" w:cs="Arial"/>
          <w:bCs/>
          <w:sz w:val="24"/>
          <w:szCs w:val="24"/>
        </w:rPr>
      </w:pPr>
    </w:p>
    <w:p w14:paraId="363445BF" w14:textId="77777777" w:rsidR="001E6007" w:rsidRPr="007577D1" w:rsidRDefault="001E6007" w:rsidP="001E6007">
      <w:pPr>
        <w:tabs>
          <w:tab w:val="left" w:pos="709"/>
        </w:tabs>
        <w:spacing w:after="0" w:line="360" w:lineRule="auto"/>
        <w:contextualSpacing/>
        <w:jc w:val="both"/>
        <w:rPr>
          <w:rFonts w:ascii="Palatino Linotype" w:eastAsia="Times New Roman" w:hAnsi="Palatino Linotype" w:cs="Arial"/>
          <w:sz w:val="24"/>
          <w:lang w:val="es-ES_tradnl" w:eastAsia="es-MX"/>
        </w:rPr>
      </w:pPr>
      <w:r w:rsidRPr="007577D1">
        <w:rPr>
          <w:rFonts w:ascii="Palatino Linotype" w:eastAsia="Times New Roman" w:hAnsi="Palatino Linotype" w:cs="Arial"/>
          <w:sz w:val="24"/>
          <w:lang w:val="es-ES_tradnl" w:eastAsia="es-MX"/>
        </w:rPr>
        <w:t>De lo anterior se debe señalar que el artículo 4, párrafo segundo de la Ley de Transparencia y Acceso a la Información Pública del Estado de México y Municipios, dispone:</w:t>
      </w:r>
    </w:p>
    <w:p w14:paraId="0E648EF3" w14:textId="77777777" w:rsidR="001E6007" w:rsidRPr="007577D1" w:rsidRDefault="001E6007" w:rsidP="001E6007">
      <w:pPr>
        <w:spacing w:after="0" w:line="360" w:lineRule="auto"/>
        <w:ind w:left="567" w:right="616"/>
        <w:jc w:val="both"/>
        <w:rPr>
          <w:rFonts w:ascii="Palatino Linotype" w:eastAsia="Times New Roman" w:hAnsi="Palatino Linotype" w:cs="Arial"/>
          <w:i/>
          <w:lang w:val="es-ES_tradnl" w:eastAsia="es-MX"/>
        </w:rPr>
      </w:pPr>
      <w:r w:rsidRPr="007577D1">
        <w:rPr>
          <w:rFonts w:ascii="Palatino Linotype" w:eastAsia="Times New Roman" w:hAnsi="Palatino Linotype" w:cs="Arial"/>
          <w:i/>
          <w:lang w:val="es-ES_tradnl" w:eastAsia="es-MX"/>
        </w:rPr>
        <w:t>“</w:t>
      </w:r>
      <w:r w:rsidRPr="007577D1">
        <w:rPr>
          <w:rFonts w:ascii="Palatino Linotype" w:eastAsia="Times New Roman" w:hAnsi="Palatino Linotype" w:cs="Arial"/>
          <w:b/>
          <w:i/>
          <w:lang w:val="es-ES_tradnl" w:eastAsia="es-MX"/>
        </w:rPr>
        <w:t xml:space="preserve">Artículo 4. </w:t>
      </w:r>
      <w:r w:rsidRPr="007577D1">
        <w:rPr>
          <w:rFonts w:ascii="Palatino Linotype" w:eastAsia="Times New Roman" w:hAnsi="Palatino Linotype" w:cs="Arial"/>
          <w:i/>
          <w:lang w:val="es-ES_tradnl" w:eastAsia="es-MX"/>
        </w:rPr>
        <w:t xml:space="preserve">… </w:t>
      </w:r>
    </w:p>
    <w:p w14:paraId="42CCBC98" w14:textId="77777777" w:rsidR="001E6007" w:rsidRPr="007577D1" w:rsidRDefault="001E6007" w:rsidP="001E6007">
      <w:pPr>
        <w:spacing w:after="0" w:line="360" w:lineRule="auto"/>
        <w:ind w:left="567" w:right="616"/>
        <w:jc w:val="both"/>
        <w:rPr>
          <w:rFonts w:ascii="Palatino Linotype" w:eastAsia="Times New Roman" w:hAnsi="Palatino Linotype" w:cs="Arial"/>
          <w:i/>
          <w:lang w:val="es-ES_tradnl" w:eastAsia="es-MX"/>
        </w:rPr>
      </w:pPr>
      <w:r w:rsidRPr="007577D1">
        <w:rPr>
          <w:rFonts w:ascii="Palatino Linotype" w:eastAsia="Times New Roman" w:hAnsi="Palatino Linotype" w:cs="Arial"/>
          <w:i/>
          <w:lang w:val="es-ES_tradnl" w:eastAsia="es-MX"/>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w:t>
      </w:r>
      <w:r w:rsidRPr="007577D1">
        <w:rPr>
          <w:rFonts w:ascii="Palatino Linotype" w:eastAsia="Times New Roman" w:hAnsi="Palatino Linotype" w:cs="Arial"/>
          <w:i/>
          <w:lang w:val="es-ES_tradnl" w:eastAsia="es-MX"/>
        </w:rPr>
        <w:lastRenderedPageBreak/>
        <w:t>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36BF586" w14:textId="77777777" w:rsidR="001E6007" w:rsidRPr="007577D1" w:rsidRDefault="001E6007" w:rsidP="001E6007">
      <w:pPr>
        <w:tabs>
          <w:tab w:val="left" w:pos="709"/>
        </w:tabs>
        <w:spacing w:after="0" w:line="360" w:lineRule="auto"/>
        <w:contextualSpacing/>
        <w:jc w:val="both"/>
        <w:rPr>
          <w:rFonts w:ascii="Palatino Linotype" w:eastAsia="Times New Roman" w:hAnsi="Palatino Linotype" w:cs="Arial"/>
          <w:sz w:val="24"/>
          <w:lang w:val="es-ES_tradnl" w:eastAsia="es-MX"/>
        </w:rPr>
      </w:pPr>
    </w:p>
    <w:p w14:paraId="1FB6FB82" w14:textId="77777777" w:rsidR="001E6007" w:rsidRPr="007577D1" w:rsidRDefault="001E6007" w:rsidP="001E6007">
      <w:pPr>
        <w:tabs>
          <w:tab w:val="left" w:pos="709"/>
        </w:tabs>
        <w:spacing w:after="0" w:line="360" w:lineRule="auto"/>
        <w:contextualSpacing/>
        <w:jc w:val="both"/>
        <w:rPr>
          <w:rFonts w:ascii="Palatino Linotype" w:eastAsia="Times New Roman" w:hAnsi="Palatino Linotype" w:cs="Arial"/>
          <w:sz w:val="24"/>
          <w:lang w:val="es-ES_tradnl" w:eastAsia="es-MX"/>
        </w:rPr>
      </w:pPr>
      <w:r w:rsidRPr="007577D1">
        <w:rPr>
          <w:rFonts w:ascii="Palatino Linotype" w:eastAsia="Times New Roman" w:hAnsi="Palatino Linotype" w:cs="Arial"/>
          <w:sz w:val="24"/>
          <w:lang w:val="es-ES_tradnl" w:eastAsia="es-MX"/>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49DB7E4C" w14:textId="77777777" w:rsidR="001E6007" w:rsidRPr="007577D1" w:rsidRDefault="001E6007" w:rsidP="001E6007">
      <w:pPr>
        <w:tabs>
          <w:tab w:val="left" w:pos="709"/>
        </w:tabs>
        <w:spacing w:after="0" w:line="360" w:lineRule="auto"/>
        <w:contextualSpacing/>
        <w:jc w:val="both"/>
        <w:rPr>
          <w:rFonts w:ascii="Palatino Linotype" w:eastAsia="Times New Roman" w:hAnsi="Palatino Linotype" w:cs="Arial"/>
          <w:sz w:val="24"/>
          <w:lang w:val="es-ES_tradnl" w:eastAsia="es-MX"/>
        </w:rPr>
      </w:pPr>
    </w:p>
    <w:p w14:paraId="0488FBCF" w14:textId="77777777" w:rsidR="001E6007" w:rsidRPr="007577D1" w:rsidRDefault="001E6007" w:rsidP="001E6007">
      <w:pPr>
        <w:tabs>
          <w:tab w:val="left" w:pos="709"/>
        </w:tabs>
        <w:spacing w:after="0" w:line="360" w:lineRule="auto"/>
        <w:contextualSpacing/>
        <w:jc w:val="both"/>
        <w:rPr>
          <w:rFonts w:ascii="Palatino Linotype" w:eastAsia="Times New Roman" w:hAnsi="Palatino Linotype" w:cs="Arial"/>
          <w:sz w:val="24"/>
          <w:lang w:val="es-ES_tradnl" w:eastAsia="es-MX"/>
        </w:rPr>
      </w:pPr>
      <w:r w:rsidRPr="007577D1">
        <w:rPr>
          <w:rFonts w:ascii="Palatino Linotype" w:eastAsia="Times New Roman" w:hAnsi="Palatino Linotype" w:cs="Arial"/>
          <w:sz w:val="24"/>
          <w:lang w:val="es-ES_tradnl" w:eastAsia="es-MX"/>
        </w:rPr>
        <w:t xml:space="preserve">En esta misma tesitura, el derecho de acceso a la información pública, consiste en que la información solicitada conste en un soporte documental en cualquiera de sus formas, a saber: </w:t>
      </w:r>
      <w:r w:rsidRPr="007577D1">
        <w:rPr>
          <w:rFonts w:ascii="Palatino Linotype" w:eastAsia="Times New Roman" w:hAnsi="Palatino Linotype" w:cs="Arial"/>
          <w:b/>
          <w:sz w:val="24"/>
          <w:u w:val="single"/>
          <w:lang w:val="es-ES_tradnl"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7577D1">
        <w:rPr>
          <w:rFonts w:ascii="Palatino Linotype" w:eastAsia="Times New Roman" w:hAnsi="Palatino Linotype" w:cs="Arial"/>
          <w:sz w:val="24"/>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1630F1A5" w14:textId="77777777" w:rsidR="001E6007" w:rsidRPr="007577D1" w:rsidRDefault="001E6007" w:rsidP="001E6007">
      <w:pPr>
        <w:spacing w:after="0" w:line="360" w:lineRule="auto"/>
        <w:ind w:left="567" w:right="616"/>
        <w:jc w:val="both"/>
        <w:rPr>
          <w:rFonts w:ascii="Palatino Linotype" w:eastAsia="Times New Roman" w:hAnsi="Palatino Linotype" w:cs="Arial"/>
          <w:i/>
          <w:lang w:val="es-ES_tradnl" w:eastAsia="es-MX"/>
        </w:rPr>
      </w:pPr>
      <w:r w:rsidRPr="007577D1">
        <w:rPr>
          <w:rFonts w:ascii="Palatino Linotype" w:eastAsia="Times New Roman" w:hAnsi="Palatino Linotype" w:cs="Arial"/>
          <w:i/>
          <w:lang w:val="es-ES_tradnl" w:eastAsia="es-MX"/>
        </w:rPr>
        <w:t>“</w:t>
      </w:r>
      <w:r w:rsidRPr="007577D1">
        <w:rPr>
          <w:rFonts w:ascii="Palatino Linotype" w:eastAsia="Times New Roman" w:hAnsi="Palatino Linotype" w:cs="Arial"/>
          <w:b/>
          <w:i/>
          <w:lang w:val="es-ES_tradnl" w:eastAsia="es-MX"/>
        </w:rPr>
        <w:t xml:space="preserve">Artículo 3. </w:t>
      </w:r>
      <w:r w:rsidRPr="007577D1">
        <w:rPr>
          <w:rFonts w:ascii="Palatino Linotype" w:eastAsia="Times New Roman" w:hAnsi="Palatino Linotype" w:cs="Arial"/>
          <w:i/>
          <w:lang w:val="es-ES_tradnl" w:eastAsia="es-MX"/>
        </w:rPr>
        <w:t>Para los efectos de la presente Ley se entenderá por:</w:t>
      </w:r>
    </w:p>
    <w:p w14:paraId="6EB2F851" w14:textId="77777777" w:rsidR="001E6007" w:rsidRPr="007577D1" w:rsidRDefault="001E6007" w:rsidP="001E6007">
      <w:pPr>
        <w:spacing w:after="0" w:line="360" w:lineRule="auto"/>
        <w:ind w:left="567" w:right="616"/>
        <w:jc w:val="both"/>
        <w:rPr>
          <w:rFonts w:ascii="Palatino Linotype" w:eastAsia="Times New Roman" w:hAnsi="Palatino Linotype" w:cs="Arial"/>
          <w:i/>
          <w:lang w:val="es-ES_tradnl" w:eastAsia="es-MX"/>
        </w:rPr>
      </w:pPr>
      <w:r w:rsidRPr="007577D1">
        <w:rPr>
          <w:rFonts w:ascii="Palatino Linotype" w:eastAsia="Times New Roman" w:hAnsi="Palatino Linotype" w:cs="Arial"/>
          <w:i/>
          <w:lang w:val="es-ES_tradnl" w:eastAsia="es-MX"/>
        </w:rPr>
        <w:t>(…)</w:t>
      </w:r>
    </w:p>
    <w:p w14:paraId="62ED302A" w14:textId="77777777" w:rsidR="001E6007" w:rsidRPr="007577D1" w:rsidRDefault="001E6007" w:rsidP="001E6007">
      <w:pPr>
        <w:spacing w:after="0" w:line="360" w:lineRule="auto"/>
        <w:ind w:left="567" w:right="616"/>
        <w:jc w:val="both"/>
        <w:rPr>
          <w:rFonts w:ascii="Palatino Linotype" w:eastAsia="Times New Roman" w:hAnsi="Palatino Linotype" w:cs="Arial"/>
          <w:i/>
          <w:lang w:val="es-ES_tradnl" w:eastAsia="es-MX"/>
        </w:rPr>
      </w:pPr>
      <w:r w:rsidRPr="007577D1">
        <w:rPr>
          <w:rFonts w:ascii="Palatino Linotype" w:eastAsia="Times New Roman" w:hAnsi="Palatino Linotype" w:cs="Arial"/>
          <w:b/>
          <w:i/>
          <w:lang w:val="es-ES_tradnl" w:eastAsia="es-MX"/>
        </w:rPr>
        <w:t>XI. Documento:</w:t>
      </w:r>
      <w:r w:rsidRPr="007577D1">
        <w:rPr>
          <w:rFonts w:ascii="Palatino Linotype" w:eastAsia="Times New Roman" w:hAnsi="Palatino Linotype" w:cs="Arial"/>
          <w:i/>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7577D1">
        <w:rPr>
          <w:rFonts w:ascii="Palatino Linotype" w:eastAsia="Times New Roman" w:hAnsi="Palatino Linotype" w:cs="Arial"/>
          <w:b/>
          <w:i/>
          <w:u w:val="single"/>
          <w:lang w:val="es-ES_tradnl" w:eastAsia="es-MX"/>
        </w:rPr>
        <w:t>registro que documente el ejercicio de las facultades, funciones y competencias de los sujetos obligados</w:t>
      </w:r>
      <w:r w:rsidRPr="007577D1">
        <w:rPr>
          <w:rFonts w:ascii="Palatino Linotype" w:eastAsia="Times New Roman" w:hAnsi="Palatino Linotype" w:cs="Arial"/>
          <w:i/>
          <w:u w:val="single"/>
          <w:lang w:val="es-ES_tradnl" w:eastAsia="es-MX"/>
        </w:rPr>
        <w:t>,</w:t>
      </w:r>
      <w:r w:rsidRPr="007577D1">
        <w:rPr>
          <w:rFonts w:ascii="Palatino Linotype" w:eastAsia="Times New Roman" w:hAnsi="Palatino Linotype" w:cs="Arial"/>
          <w:i/>
          <w:lang w:val="es-ES_tradnl" w:eastAsia="es-MX"/>
        </w:rPr>
        <w:t xml:space="preserve"> sus </w:t>
      </w:r>
      <w:r w:rsidRPr="007577D1">
        <w:rPr>
          <w:rFonts w:ascii="Palatino Linotype" w:eastAsia="Times New Roman" w:hAnsi="Palatino Linotype" w:cs="Arial"/>
          <w:i/>
          <w:lang w:val="es-ES_tradnl" w:eastAsia="es-MX"/>
        </w:rPr>
        <w:lastRenderedPageBreak/>
        <w:t xml:space="preserve">servidores públicos e integrantes, </w:t>
      </w:r>
      <w:r w:rsidRPr="007577D1">
        <w:rPr>
          <w:rFonts w:ascii="Palatino Linotype" w:eastAsia="Times New Roman" w:hAnsi="Palatino Linotype" w:cs="Arial"/>
          <w:b/>
          <w:i/>
          <w:u w:val="single"/>
          <w:lang w:val="es-ES_tradnl" w:eastAsia="es-MX"/>
        </w:rPr>
        <w:t>sin importar su fuente o fecha de elaboración.</w:t>
      </w:r>
      <w:r w:rsidRPr="007577D1">
        <w:rPr>
          <w:rFonts w:ascii="Palatino Linotype" w:eastAsia="Times New Roman" w:hAnsi="Palatino Linotype" w:cs="Arial"/>
          <w:i/>
          <w:lang w:val="es-ES_tradnl" w:eastAsia="es-MX"/>
        </w:rPr>
        <w:t xml:space="preserve"> Los documentos podrán estar en cualquier medio, sea escrito, impreso, sonoro, visual, electrónico, informático u holográfico;</w:t>
      </w:r>
    </w:p>
    <w:p w14:paraId="405D9519" w14:textId="77777777" w:rsidR="001E6007" w:rsidRPr="007577D1" w:rsidRDefault="001E6007" w:rsidP="001E6007">
      <w:pPr>
        <w:spacing w:after="0" w:line="360" w:lineRule="auto"/>
        <w:ind w:left="567" w:right="616"/>
        <w:jc w:val="both"/>
        <w:rPr>
          <w:rFonts w:ascii="Palatino Linotype" w:eastAsia="Times New Roman" w:hAnsi="Palatino Linotype" w:cs="Arial"/>
          <w:i/>
          <w:lang w:val="es-ES_tradnl" w:eastAsia="es-MX"/>
        </w:rPr>
      </w:pPr>
      <w:r w:rsidRPr="007577D1">
        <w:rPr>
          <w:rFonts w:ascii="Palatino Linotype" w:eastAsia="Times New Roman" w:hAnsi="Palatino Linotype" w:cs="Arial"/>
          <w:i/>
          <w:lang w:val="es-ES_tradnl" w:eastAsia="es-MX"/>
        </w:rPr>
        <w:t>(…)”</w:t>
      </w:r>
    </w:p>
    <w:p w14:paraId="612DB1C1" w14:textId="77777777" w:rsidR="001E6007" w:rsidRPr="007577D1" w:rsidRDefault="001E6007" w:rsidP="001E6007">
      <w:pPr>
        <w:spacing w:after="0" w:line="360" w:lineRule="auto"/>
        <w:ind w:left="567" w:right="616"/>
        <w:jc w:val="both"/>
        <w:rPr>
          <w:rFonts w:ascii="Palatino Linotype" w:eastAsia="Times New Roman" w:hAnsi="Palatino Linotype" w:cs="Arial"/>
          <w:i/>
          <w:lang w:val="es-ES_tradnl" w:eastAsia="es-MX"/>
        </w:rPr>
      </w:pPr>
    </w:p>
    <w:p w14:paraId="31091281" w14:textId="77777777" w:rsidR="002060C5" w:rsidRPr="007577D1" w:rsidRDefault="001E6007" w:rsidP="002060C5">
      <w:pPr>
        <w:spacing w:before="240" w:after="240" w:line="360" w:lineRule="auto"/>
        <w:ind w:right="49"/>
        <w:contextualSpacing/>
        <w:jc w:val="both"/>
        <w:rPr>
          <w:rFonts w:ascii="Palatino Linotype" w:eastAsia="MS Mincho" w:hAnsi="Palatino Linotype" w:cs="Calibri"/>
          <w:sz w:val="24"/>
          <w:lang w:val="es-ES_tradnl" w:eastAsia="es-MX"/>
        </w:rPr>
      </w:pPr>
      <w:r w:rsidRPr="007577D1">
        <w:rPr>
          <w:rFonts w:ascii="Palatino Linotype" w:eastAsia="Times New Roman" w:hAnsi="Palatino Linotype" w:cs="Arial"/>
          <w:sz w:val="24"/>
          <w:lang w:val="es-ES_tradnl" w:eastAsia="es-MX"/>
        </w:rPr>
        <w:t xml:space="preserve">Además, </w:t>
      </w:r>
      <w:r w:rsidRPr="007577D1">
        <w:rPr>
          <w:rFonts w:ascii="Palatino Linotype" w:eastAsia="MS Mincho" w:hAnsi="Palatino Linotype" w:cs="Calibri"/>
          <w:sz w:val="24"/>
          <w:lang w:val="es-ES_tradnl" w:eastAsia="es-MX"/>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4417AD17" w14:textId="77777777" w:rsidR="002060C5" w:rsidRPr="007577D1" w:rsidRDefault="002060C5" w:rsidP="002060C5">
      <w:pPr>
        <w:spacing w:before="240" w:after="240" w:line="360" w:lineRule="auto"/>
        <w:ind w:right="49"/>
        <w:contextualSpacing/>
        <w:jc w:val="both"/>
        <w:rPr>
          <w:rFonts w:ascii="Palatino Linotype" w:eastAsia="MS Mincho" w:hAnsi="Palatino Linotype" w:cs="Calibri"/>
          <w:sz w:val="24"/>
          <w:lang w:val="es-ES_tradnl" w:eastAsia="es-MX"/>
        </w:rPr>
      </w:pPr>
    </w:p>
    <w:p w14:paraId="5B58171B" w14:textId="77777777" w:rsidR="00C528E2" w:rsidRPr="007577D1" w:rsidRDefault="00C528E2" w:rsidP="00C528E2">
      <w:pPr>
        <w:spacing w:line="360" w:lineRule="auto"/>
        <w:jc w:val="both"/>
        <w:rPr>
          <w:rFonts w:ascii="Palatino Linotype" w:hAnsi="Palatino Linotype"/>
          <w:sz w:val="24"/>
          <w:szCs w:val="24"/>
        </w:rPr>
      </w:pPr>
      <w:r w:rsidRPr="007577D1">
        <w:rPr>
          <w:rFonts w:ascii="Palatino Linotype" w:hAnsi="Palatino Linotype"/>
          <w:sz w:val="24"/>
          <w:szCs w:val="24"/>
        </w:rPr>
        <w:t xml:space="preserve">De lo anterior, resulta oportuno traer a colación los artículos 39 fracciones I y III del Reglamento Interior de la Secretaria de Educación, Ciencia, Tecnología e innovación a fin de establecer que le corresponde a la Dirección de Relaciones Laborales es la unidad administrativa encargada de proporcionar asistencia jurídica al personal directivo de los planteles con el fin de garantizar el debido proceso previo a la emisión de actos que impliquen alguna sanción a su personal adscrito así como supervisar y vigilar la atención </w:t>
      </w:r>
      <w:r w:rsidRPr="007577D1">
        <w:rPr>
          <w:rFonts w:ascii="Palatino Linotype" w:hAnsi="Palatino Linotype"/>
          <w:sz w:val="24"/>
          <w:szCs w:val="24"/>
        </w:rPr>
        <w:lastRenderedPageBreak/>
        <w:t>de los procedimientos administrativos de los conflictos laborales que se susciten entre las personas servidoras públicas, conforme lo siguiente;</w:t>
      </w:r>
    </w:p>
    <w:p w14:paraId="5D7B5926" w14:textId="77777777" w:rsidR="00C528E2" w:rsidRPr="007577D1" w:rsidRDefault="00C528E2" w:rsidP="00C528E2">
      <w:pPr>
        <w:spacing w:line="360" w:lineRule="auto"/>
        <w:ind w:firstLine="708"/>
        <w:jc w:val="both"/>
        <w:rPr>
          <w:rFonts w:ascii="Palatino Linotype" w:hAnsi="Palatino Linotype"/>
          <w:i/>
          <w:sz w:val="24"/>
          <w:szCs w:val="24"/>
        </w:rPr>
      </w:pPr>
      <w:r w:rsidRPr="007577D1">
        <w:rPr>
          <w:rFonts w:ascii="Palatino Linotype" w:hAnsi="Palatino Linotype"/>
          <w:b/>
          <w:i/>
        </w:rPr>
        <w:t>Artículo 39</w:t>
      </w:r>
      <w:r w:rsidRPr="007577D1">
        <w:rPr>
          <w:rFonts w:ascii="Palatino Linotype" w:hAnsi="Palatino Linotype"/>
          <w:i/>
        </w:rPr>
        <w:t>. Corresponden a la Dirección de Relaciones Laborales las atribuciones siguientes:</w:t>
      </w:r>
    </w:p>
    <w:p w14:paraId="6017E7AF" w14:textId="77777777" w:rsidR="00C528E2" w:rsidRPr="007577D1" w:rsidRDefault="00C528E2" w:rsidP="00C528E2">
      <w:pPr>
        <w:spacing w:line="360" w:lineRule="auto"/>
        <w:ind w:left="708"/>
        <w:jc w:val="both"/>
        <w:rPr>
          <w:rFonts w:ascii="Palatino Linotype" w:hAnsi="Palatino Linotype"/>
          <w:i/>
        </w:rPr>
      </w:pPr>
      <w:r w:rsidRPr="007577D1">
        <w:rPr>
          <w:rFonts w:ascii="Palatino Linotype" w:hAnsi="Palatino Linotype"/>
          <w:i/>
        </w:rPr>
        <w:t xml:space="preserve">I. </w:t>
      </w:r>
      <w:r w:rsidRPr="007577D1">
        <w:rPr>
          <w:rFonts w:ascii="Palatino Linotype" w:hAnsi="Palatino Linotype"/>
          <w:b/>
          <w:i/>
        </w:rPr>
        <w:t>Proporcionar asistencia jurídica</w:t>
      </w:r>
      <w:r w:rsidRPr="007577D1">
        <w:rPr>
          <w:rFonts w:ascii="Palatino Linotype" w:hAnsi="Palatino Linotype"/>
          <w:i/>
        </w:rPr>
        <w:t xml:space="preserve"> a las unidades administrativas y </w:t>
      </w:r>
      <w:r w:rsidRPr="007577D1">
        <w:rPr>
          <w:rFonts w:ascii="Palatino Linotype" w:hAnsi="Palatino Linotype"/>
          <w:b/>
          <w:i/>
        </w:rPr>
        <w:t>al personal directivo de los planteles</w:t>
      </w:r>
      <w:r w:rsidRPr="007577D1">
        <w:rPr>
          <w:rFonts w:ascii="Palatino Linotype" w:hAnsi="Palatino Linotype"/>
          <w:i/>
        </w:rPr>
        <w:t xml:space="preserve">, quienes coadyuvarán con el personal que designen en la gestión colegiada de los asuntos en materia laboral, </w:t>
      </w:r>
      <w:r w:rsidRPr="007577D1">
        <w:rPr>
          <w:rFonts w:ascii="Palatino Linotype" w:hAnsi="Palatino Linotype"/>
          <w:i/>
          <w:u w:val="single"/>
        </w:rPr>
        <w:t>a fin de garantizar el debido proceso previo a la emisión de actos que impliquen alguna sanción a su personal adscrito</w:t>
      </w:r>
      <w:r w:rsidRPr="007577D1">
        <w:rPr>
          <w:rFonts w:ascii="Palatino Linotype" w:hAnsi="Palatino Linotype"/>
          <w:i/>
        </w:rPr>
        <w:t>;</w:t>
      </w:r>
    </w:p>
    <w:p w14:paraId="10201F76" w14:textId="77777777" w:rsidR="00C528E2" w:rsidRPr="007577D1" w:rsidRDefault="00C528E2" w:rsidP="00C528E2">
      <w:pPr>
        <w:spacing w:line="360" w:lineRule="auto"/>
        <w:ind w:left="708"/>
        <w:jc w:val="both"/>
        <w:rPr>
          <w:rFonts w:ascii="Palatino Linotype" w:hAnsi="Palatino Linotype"/>
          <w:i/>
        </w:rPr>
      </w:pPr>
      <w:r w:rsidRPr="007577D1">
        <w:rPr>
          <w:rFonts w:ascii="Palatino Linotype" w:hAnsi="Palatino Linotype"/>
          <w:i/>
        </w:rPr>
        <w:t>…</w:t>
      </w:r>
    </w:p>
    <w:p w14:paraId="3B63A126" w14:textId="77777777" w:rsidR="00C528E2" w:rsidRPr="007577D1" w:rsidRDefault="00C528E2" w:rsidP="00C528E2">
      <w:pPr>
        <w:spacing w:line="360" w:lineRule="auto"/>
        <w:ind w:left="708"/>
        <w:jc w:val="both"/>
        <w:rPr>
          <w:rFonts w:ascii="Palatino Linotype" w:hAnsi="Palatino Linotype"/>
          <w:i/>
          <w:sz w:val="24"/>
          <w:szCs w:val="24"/>
          <w:u w:val="single"/>
        </w:rPr>
      </w:pPr>
      <w:r w:rsidRPr="007577D1">
        <w:rPr>
          <w:rFonts w:ascii="Palatino Linotype" w:hAnsi="Palatino Linotype"/>
          <w:i/>
        </w:rPr>
        <w:t xml:space="preserve">III. </w:t>
      </w:r>
      <w:r w:rsidRPr="007577D1">
        <w:rPr>
          <w:rFonts w:ascii="Palatino Linotype" w:hAnsi="Palatino Linotype"/>
          <w:i/>
          <w:u w:val="single"/>
        </w:rPr>
        <w:t>Supervisar y vigilar la atención a los procedimientos administrativos y jurisdiccionales de los conflictos laborales que se susciten entre las personas servidoras públicas y/o personas servidoras públicas docentes y las autoridades de la Secretaría, conforme a las disposiciones jurídicas aplicables;</w:t>
      </w:r>
    </w:p>
    <w:p w14:paraId="7829F9E1" w14:textId="77777777" w:rsidR="00C528E2" w:rsidRPr="007577D1" w:rsidRDefault="00C528E2" w:rsidP="00C528E2">
      <w:pPr>
        <w:spacing w:line="360" w:lineRule="auto"/>
        <w:jc w:val="both"/>
        <w:rPr>
          <w:rFonts w:ascii="Palatino Linotype" w:hAnsi="Palatino Linotype"/>
          <w:i/>
        </w:rPr>
      </w:pPr>
    </w:p>
    <w:p w14:paraId="7D642D16" w14:textId="77777777" w:rsidR="00C528E2" w:rsidRPr="007577D1" w:rsidRDefault="00C528E2" w:rsidP="00C528E2">
      <w:pPr>
        <w:spacing w:line="360" w:lineRule="auto"/>
        <w:jc w:val="both"/>
        <w:rPr>
          <w:rFonts w:ascii="Palatino Linotype" w:hAnsi="Palatino Linotype"/>
          <w:sz w:val="24"/>
          <w:szCs w:val="24"/>
        </w:rPr>
      </w:pPr>
      <w:r w:rsidRPr="007577D1">
        <w:rPr>
          <w:rFonts w:ascii="Palatino Linotype" w:hAnsi="Palatino Linotype"/>
          <w:sz w:val="24"/>
          <w:szCs w:val="24"/>
        </w:rPr>
        <w:t xml:space="preserve">Ahora bien, conforme los artículos 12 y 14 del Reglamento Interno de la Secretaria de Educación en los que se advierte que el director general tiene las atribuciones de participar en los actos y procedimientos relacionados con la  permanencia y reconocimiento del personal docente conforme a las disposiciones legales aplicables, de acuerdo con lo siguiente; </w:t>
      </w:r>
    </w:p>
    <w:p w14:paraId="0722AB0B" w14:textId="77777777" w:rsidR="00C528E2" w:rsidRPr="007577D1" w:rsidRDefault="00C528E2" w:rsidP="00C528E2">
      <w:pPr>
        <w:spacing w:line="360" w:lineRule="auto"/>
        <w:ind w:left="708"/>
        <w:jc w:val="both"/>
        <w:rPr>
          <w:rFonts w:ascii="Palatino Linotype" w:hAnsi="Palatino Linotype"/>
          <w:i/>
        </w:rPr>
      </w:pPr>
      <w:r w:rsidRPr="007577D1">
        <w:rPr>
          <w:rFonts w:ascii="Palatino Linotype" w:hAnsi="Palatino Linotype"/>
          <w:b/>
          <w:i/>
        </w:rPr>
        <w:t>Artículo 12.-</w:t>
      </w:r>
      <w:r w:rsidRPr="007577D1">
        <w:rPr>
          <w:rFonts w:ascii="Palatino Linotype" w:hAnsi="Palatino Linotype"/>
          <w:i/>
        </w:rPr>
        <w:t xml:space="preserve"> Al frente de cada dirección general, habrá un director general, quien se auxiliará de los directores de área, subdirectores, jefes de departamento y demás servidores públicos que las necesidades del servicio requieran, de acuerdo a la organización interna aprobada por el Secretario y al presupuesto de egresos correspondiente.</w:t>
      </w:r>
    </w:p>
    <w:p w14:paraId="580876D3" w14:textId="77777777" w:rsidR="00C528E2" w:rsidRPr="007577D1" w:rsidRDefault="00C528E2" w:rsidP="00C528E2">
      <w:pPr>
        <w:spacing w:line="360" w:lineRule="auto"/>
        <w:ind w:left="708"/>
        <w:jc w:val="both"/>
        <w:rPr>
          <w:rFonts w:ascii="Palatino Linotype" w:hAnsi="Palatino Linotype"/>
          <w:i/>
        </w:rPr>
      </w:pPr>
    </w:p>
    <w:p w14:paraId="57C34E79" w14:textId="77777777" w:rsidR="00C528E2" w:rsidRPr="007577D1" w:rsidRDefault="00C528E2" w:rsidP="00C528E2">
      <w:pPr>
        <w:spacing w:line="360" w:lineRule="auto"/>
        <w:ind w:left="708"/>
        <w:jc w:val="both"/>
        <w:rPr>
          <w:rFonts w:ascii="Palatino Linotype" w:hAnsi="Palatino Linotype"/>
          <w:i/>
        </w:rPr>
      </w:pPr>
      <w:r w:rsidRPr="007577D1">
        <w:rPr>
          <w:rFonts w:ascii="Palatino Linotype" w:hAnsi="Palatino Linotype"/>
          <w:i/>
        </w:rPr>
        <w:lastRenderedPageBreak/>
        <w:t>Artículo 14.- Corresponde a los titulares de las direcciones generales el ejercicio de las siguientes atribuciones genéricas:</w:t>
      </w:r>
    </w:p>
    <w:p w14:paraId="7AA65F48" w14:textId="77777777" w:rsidR="00C528E2" w:rsidRPr="007577D1" w:rsidRDefault="00C528E2" w:rsidP="00C528E2">
      <w:pPr>
        <w:spacing w:line="360" w:lineRule="auto"/>
        <w:ind w:left="1416"/>
        <w:jc w:val="both"/>
        <w:rPr>
          <w:rFonts w:ascii="Palatino Linotype" w:hAnsi="Palatino Linotype"/>
          <w:i/>
        </w:rPr>
      </w:pPr>
      <w:r w:rsidRPr="007577D1">
        <w:rPr>
          <w:rFonts w:ascii="Palatino Linotype" w:hAnsi="Palatino Linotype"/>
          <w:i/>
        </w:rPr>
        <w:t xml:space="preserve">XIII. </w:t>
      </w:r>
      <w:r w:rsidRPr="007577D1">
        <w:rPr>
          <w:rFonts w:ascii="Palatino Linotype" w:hAnsi="Palatino Linotype"/>
          <w:i/>
          <w:u w:val="single"/>
        </w:rPr>
        <w:t>Participar, en su caso, en los actos y procedimientos relacionados con</w:t>
      </w:r>
      <w:r w:rsidRPr="007577D1">
        <w:rPr>
          <w:rFonts w:ascii="Palatino Linotype" w:hAnsi="Palatino Linotype"/>
          <w:i/>
        </w:rPr>
        <w:t xml:space="preserve"> el ingreso, promoción, </w:t>
      </w:r>
      <w:r w:rsidRPr="007577D1">
        <w:rPr>
          <w:rFonts w:ascii="Palatino Linotype" w:hAnsi="Palatino Linotype"/>
          <w:b/>
          <w:i/>
        </w:rPr>
        <w:t>permanencia</w:t>
      </w:r>
      <w:r w:rsidRPr="007577D1">
        <w:rPr>
          <w:rFonts w:ascii="Palatino Linotype" w:hAnsi="Palatino Linotype"/>
          <w:i/>
        </w:rPr>
        <w:t xml:space="preserve"> y reconocimiento del personal docente conforme a las disposiciones legales aplicables.</w:t>
      </w:r>
    </w:p>
    <w:p w14:paraId="5BA23980" w14:textId="77777777" w:rsidR="00C528E2" w:rsidRPr="007577D1" w:rsidRDefault="00C528E2" w:rsidP="00C528E2">
      <w:pPr>
        <w:spacing w:line="360" w:lineRule="auto"/>
        <w:jc w:val="both"/>
      </w:pPr>
    </w:p>
    <w:p w14:paraId="7984D683" w14:textId="77777777" w:rsidR="008F6B94" w:rsidRPr="007577D1" w:rsidRDefault="00C528E2" w:rsidP="008F6B94">
      <w:pPr>
        <w:spacing w:after="0" w:line="360" w:lineRule="auto"/>
        <w:jc w:val="both"/>
        <w:rPr>
          <w:rFonts w:ascii="Palatino Linotype" w:hAnsi="Palatino Linotype"/>
          <w:sz w:val="24"/>
          <w:szCs w:val="24"/>
        </w:rPr>
      </w:pPr>
      <w:r w:rsidRPr="007577D1">
        <w:rPr>
          <w:rFonts w:ascii="Palatino Linotype" w:hAnsi="Palatino Linotype"/>
          <w:sz w:val="24"/>
          <w:szCs w:val="24"/>
        </w:rPr>
        <w:t xml:space="preserve">Ahora bien, en términos </w:t>
      </w:r>
      <w:r w:rsidR="008F6B94" w:rsidRPr="007577D1">
        <w:rPr>
          <w:rFonts w:ascii="Palatino Linotype" w:hAnsi="Palatino Linotype"/>
          <w:sz w:val="24"/>
          <w:szCs w:val="24"/>
        </w:rPr>
        <w:t xml:space="preserve">del artículo 37 y 38  del ordenamiento en cita le corresponde a la Coordinación de Asuntos Jurídicos, Igualdad de Género y Erradicación de la Violencia presentar denuncias por hechos ilícitos y en su caso, denunciar, las infracciones o delitos que se cometan en las materias de su competencia, por lo que respecta la Secretaria Técnica  le corresponde en el ámbito de su competencia atender y dar seguimiento a las quejas y denuncias relacionadas con los servicios educativos que preste la Secretaría, conforme lo siguiente; </w:t>
      </w:r>
    </w:p>
    <w:p w14:paraId="782658D2" w14:textId="77777777" w:rsidR="008F6B94" w:rsidRPr="007577D1" w:rsidRDefault="008F6B94" w:rsidP="008F6B94">
      <w:pPr>
        <w:spacing w:after="0" w:line="360" w:lineRule="auto"/>
        <w:ind w:left="708"/>
        <w:jc w:val="both"/>
        <w:rPr>
          <w:rFonts w:ascii="Palatino Linotype" w:hAnsi="Palatino Linotype"/>
          <w:i/>
        </w:rPr>
      </w:pPr>
      <w:r w:rsidRPr="007577D1">
        <w:rPr>
          <w:rFonts w:ascii="Palatino Linotype" w:hAnsi="Palatino Linotype"/>
          <w:b/>
          <w:i/>
        </w:rPr>
        <w:t>Artículo 37.</w:t>
      </w:r>
      <w:r w:rsidRPr="007577D1">
        <w:rPr>
          <w:rFonts w:ascii="Palatino Linotype" w:hAnsi="Palatino Linotype"/>
          <w:i/>
        </w:rPr>
        <w:t xml:space="preserve"> Corresponden a la Coordinación de Asuntos Jurídicos, Igualdad de Género y Erradicación de la Violencia las atribuciones siguientes: </w:t>
      </w:r>
    </w:p>
    <w:p w14:paraId="722A6C98" w14:textId="77777777" w:rsidR="008F6B94" w:rsidRPr="007577D1" w:rsidRDefault="008F6B94" w:rsidP="008F6B94">
      <w:pPr>
        <w:spacing w:after="0" w:line="360" w:lineRule="auto"/>
        <w:ind w:left="708"/>
        <w:jc w:val="both"/>
        <w:rPr>
          <w:rFonts w:ascii="Palatino Linotype" w:hAnsi="Palatino Linotype"/>
          <w:i/>
        </w:rPr>
      </w:pPr>
      <w:r w:rsidRPr="007577D1">
        <w:rPr>
          <w:rFonts w:ascii="Palatino Linotype" w:hAnsi="Palatino Linotype"/>
          <w:i/>
        </w:rPr>
        <w:t>..</w:t>
      </w:r>
    </w:p>
    <w:p w14:paraId="6094EA3E" w14:textId="77777777" w:rsidR="008F6B94" w:rsidRPr="007577D1" w:rsidRDefault="008F6B94" w:rsidP="008F6B94">
      <w:pPr>
        <w:spacing w:after="0" w:line="360" w:lineRule="auto"/>
        <w:ind w:left="1416"/>
        <w:jc w:val="both"/>
        <w:rPr>
          <w:rFonts w:ascii="Palatino Linotype" w:hAnsi="Palatino Linotype"/>
          <w:i/>
        </w:rPr>
      </w:pPr>
      <w:r w:rsidRPr="007577D1">
        <w:rPr>
          <w:rFonts w:ascii="Palatino Linotype" w:hAnsi="Palatino Linotype"/>
          <w:i/>
        </w:rPr>
        <w:t>II. Presentar denuncias, querellas o desistimientos correspondientes ante el Ministerio Público por hechos ilícitos contra quien o quienes resulten responsables por la comisión de actos u omisiones en agravio de la Secretaría, cometidos en las unidades administrativas y planteles escolares; así como otorgar perdones legales que procedan, con la autorización de la persona titular de la Secretaría y, en su caso, de la Consejería Jurídica</w:t>
      </w:r>
    </w:p>
    <w:p w14:paraId="4BEB436F" w14:textId="77777777" w:rsidR="008F6B94" w:rsidRPr="007577D1" w:rsidRDefault="008F6B94" w:rsidP="008F6B94">
      <w:pPr>
        <w:spacing w:after="0" w:line="360" w:lineRule="auto"/>
        <w:ind w:left="1416"/>
        <w:jc w:val="both"/>
        <w:rPr>
          <w:rFonts w:ascii="Palatino Linotype" w:hAnsi="Palatino Linotype"/>
          <w:i/>
        </w:rPr>
      </w:pPr>
      <w:r w:rsidRPr="007577D1">
        <w:rPr>
          <w:rFonts w:ascii="Palatino Linotype" w:hAnsi="Palatino Linotype"/>
          <w:i/>
        </w:rPr>
        <w:t>…</w:t>
      </w:r>
    </w:p>
    <w:p w14:paraId="1B86DD48" w14:textId="77777777" w:rsidR="008F6B94" w:rsidRPr="007577D1" w:rsidRDefault="008F6B94" w:rsidP="008F6B94">
      <w:pPr>
        <w:spacing w:after="0" w:line="360" w:lineRule="auto"/>
        <w:ind w:left="1416"/>
        <w:jc w:val="both"/>
        <w:rPr>
          <w:rFonts w:ascii="Palatino Linotype" w:hAnsi="Palatino Linotype"/>
          <w:i/>
          <w:sz w:val="24"/>
          <w:szCs w:val="24"/>
        </w:rPr>
      </w:pPr>
      <w:r w:rsidRPr="007577D1">
        <w:rPr>
          <w:rFonts w:ascii="Palatino Linotype" w:hAnsi="Palatino Linotype"/>
          <w:i/>
        </w:rPr>
        <w:lastRenderedPageBreak/>
        <w:t>XIV. Definir los procedimientos y mecanismos para hacer del conocimiento a las autoridades competentes, y en su caso, denunciar, las infracciones o delitos que se cometan en las materias de su competencia;</w:t>
      </w:r>
    </w:p>
    <w:p w14:paraId="1FE3D279" w14:textId="77777777" w:rsidR="008F6B94" w:rsidRPr="007577D1" w:rsidRDefault="008F6B94" w:rsidP="008F6B94">
      <w:pPr>
        <w:spacing w:after="0" w:line="360" w:lineRule="auto"/>
        <w:jc w:val="both"/>
        <w:rPr>
          <w:rFonts w:ascii="Palatino Linotype" w:hAnsi="Palatino Linotype"/>
          <w:sz w:val="24"/>
          <w:szCs w:val="24"/>
        </w:rPr>
      </w:pPr>
    </w:p>
    <w:p w14:paraId="020E3218" w14:textId="77777777" w:rsidR="008F6B94" w:rsidRPr="007577D1" w:rsidRDefault="008F6B94" w:rsidP="008F6B94">
      <w:pPr>
        <w:spacing w:after="0" w:line="360" w:lineRule="auto"/>
        <w:ind w:firstLine="708"/>
        <w:jc w:val="both"/>
        <w:rPr>
          <w:rFonts w:ascii="Palatino Linotype" w:hAnsi="Palatino Linotype"/>
          <w:i/>
        </w:rPr>
      </w:pPr>
      <w:r w:rsidRPr="007577D1">
        <w:rPr>
          <w:rFonts w:ascii="Palatino Linotype" w:hAnsi="Palatino Linotype"/>
          <w:b/>
          <w:i/>
        </w:rPr>
        <w:t>Artículo 38</w:t>
      </w:r>
      <w:r w:rsidRPr="007577D1">
        <w:rPr>
          <w:rFonts w:ascii="Palatino Linotype" w:hAnsi="Palatino Linotype"/>
          <w:i/>
        </w:rPr>
        <w:t>. Corresponden a la Secretaría Técnica las atribuciones siguientes:</w:t>
      </w:r>
    </w:p>
    <w:p w14:paraId="75A476CA" w14:textId="77777777" w:rsidR="008F6B94" w:rsidRPr="007577D1" w:rsidRDefault="008F6B94" w:rsidP="008F6B94">
      <w:pPr>
        <w:spacing w:after="0" w:line="360" w:lineRule="auto"/>
        <w:ind w:firstLine="708"/>
        <w:jc w:val="both"/>
        <w:rPr>
          <w:rFonts w:ascii="Palatino Linotype" w:hAnsi="Palatino Linotype"/>
          <w:i/>
        </w:rPr>
      </w:pPr>
      <w:r w:rsidRPr="007577D1">
        <w:rPr>
          <w:rFonts w:ascii="Palatino Linotype" w:hAnsi="Palatino Linotype"/>
          <w:i/>
        </w:rPr>
        <w:t>…</w:t>
      </w:r>
    </w:p>
    <w:p w14:paraId="416E2CCE" w14:textId="77777777" w:rsidR="008F6B94" w:rsidRPr="007577D1" w:rsidRDefault="008F6B94" w:rsidP="008F6B94">
      <w:pPr>
        <w:spacing w:after="0" w:line="360" w:lineRule="auto"/>
        <w:ind w:left="708"/>
        <w:jc w:val="both"/>
        <w:rPr>
          <w:rFonts w:ascii="Palatino Linotype" w:hAnsi="Palatino Linotype"/>
          <w:sz w:val="24"/>
          <w:szCs w:val="24"/>
        </w:rPr>
      </w:pPr>
      <w:r w:rsidRPr="007577D1">
        <w:rPr>
          <w:rFonts w:ascii="Palatino Linotype" w:hAnsi="Palatino Linotype"/>
          <w:i/>
        </w:rPr>
        <w:t>V. Atender y dar seguimiento a las quejas y denuncias relacionadas con los servicios educativos que preste la Secretaría</w:t>
      </w:r>
      <w:r w:rsidRPr="007577D1">
        <w:rPr>
          <w:rFonts w:ascii="Palatino Linotype" w:hAnsi="Palatino Linotype"/>
        </w:rPr>
        <w:t>;</w:t>
      </w:r>
    </w:p>
    <w:p w14:paraId="3AB9AA56" w14:textId="77777777" w:rsidR="00C528E2" w:rsidRPr="007577D1" w:rsidRDefault="00C528E2" w:rsidP="00C528E2">
      <w:pPr>
        <w:spacing w:after="0" w:line="360" w:lineRule="auto"/>
        <w:jc w:val="both"/>
        <w:rPr>
          <w:rFonts w:ascii="Palatino Linotype" w:hAnsi="Palatino Linotype" w:cs="Arial"/>
          <w:sz w:val="24"/>
          <w:szCs w:val="24"/>
        </w:rPr>
      </w:pPr>
    </w:p>
    <w:p w14:paraId="7FC8745D" w14:textId="77777777" w:rsidR="008F6B94" w:rsidRPr="007577D1" w:rsidRDefault="00C528E2" w:rsidP="008F6B94">
      <w:pPr>
        <w:spacing w:line="360" w:lineRule="auto"/>
        <w:jc w:val="both"/>
        <w:rPr>
          <w:rFonts w:ascii="Palatino Linotype" w:eastAsia="Palatino Linotype" w:hAnsi="Palatino Linotype" w:cs="Palatino Linotype"/>
          <w:color w:val="000000"/>
        </w:rPr>
      </w:pPr>
      <w:r w:rsidRPr="007577D1">
        <w:rPr>
          <w:rFonts w:ascii="Palatino Linotype" w:hAnsi="Palatino Linotype" w:cs="Arial"/>
          <w:sz w:val="24"/>
          <w:szCs w:val="24"/>
        </w:rPr>
        <w:t xml:space="preserve">De lo anterior,  es de referir que mediante respuesta primigenia </w:t>
      </w:r>
      <w:r w:rsidR="008F6B94" w:rsidRPr="007577D1">
        <w:rPr>
          <w:rFonts w:ascii="Palatino Linotype" w:hAnsi="Palatino Linotype" w:cs="Arial"/>
          <w:bCs/>
          <w:sz w:val="24"/>
          <w:szCs w:val="24"/>
        </w:rPr>
        <w:t xml:space="preserve">la Coordinadora de Asuntos Jurídicos, Igualdad de Género y Erradicación de la Violencia por medio del cual manifiesta que </w:t>
      </w:r>
      <w:r w:rsidR="008F6B94" w:rsidRPr="007577D1">
        <w:rPr>
          <w:rFonts w:ascii="Palatino Linotype" w:hAnsi="Palatino Linotype" w:cs="Arial"/>
          <w:b/>
          <w:bCs/>
          <w:sz w:val="24"/>
          <w:szCs w:val="24"/>
        </w:rPr>
        <w:t>no se tiene conocimiento ni relación alguna con el documento generado en la solicitud</w:t>
      </w:r>
      <w:r w:rsidR="008F6B94" w:rsidRPr="007577D1">
        <w:rPr>
          <w:rFonts w:ascii="Palatino Linotype" w:eastAsia="Palatino Linotype" w:hAnsi="Palatino Linotype" w:cs="Palatino Linotype"/>
          <w:sz w:val="24"/>
          <w:szCs w:val="24"/>
        </w:rPr>
        <w:t>, resultando aplicable la siguiente tesis:</w:t>
      </w:r>
      <w:r w:rsidR="008F6B94" w:rsidRPr="007577D1">
        <w:rPr>
          <w:rFonts w:ascii="Palatino Linotype" w:eastAsia="Palatino Linotype" w:hAnsi="Palatino Linotype" w:cs="Palatino Linotype"/>
        </w:rPr>
        <w:t xml:space="preserve"> </w:t>
      </w:r>
    </w:p>
    <w:p w14:paraId="48250CCB" w14:textId="77777777" w:rsidR="008F6B94" w:rsidRPr="007577D1" w:rsidRDefault="008F6B94" w:rsidP="008F6B94">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7577D1">
        <w:rPr>
          <w:rFonts w:ascii="Palatino Linotype" w:eastAsia="Palatino Linotype" w:hAnsi="Palatino Linotype" w:cs="Palatino Linotype"/>
          <w:b/>
          <w:i/>
          <w:color w:val="000000"/>
        </w:rPr>
        <w:t>HECHOS NEGATIVOS, NO SON SUSCEPTIBLES DE DEMOSTRACIÓN.</w:t>
      </w:r>
    </w:p>
    <w:p w14:paraId="5068AF12" w14:textId="77777777" w:rsidR="008F6B94" w:rsidRPr="007577D1" w:rsidRDefault="008F6B94" w:rsidP="008F6B94">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7577D1">
        <w:rPr>
          <w:rFonts w:ascii="Palatino Linotype" w:eastAsia="Palatino Linotype" w:hAnsi="Palatino Linotype" w:cs="Palatino Linotype"/>
          <w:i/>
          <w:color w:val="000000"/>
        </w:rPr>
        <w:t>Tratándose de un hecho negativo, el Juez no tiene por qué invocar prueba alguna de la que se desprenda, ya que es bien sabido que esta clase de hechos no son susceptibles de demostración.</w:t>
      </w:r>
    </w:p>
    <w:p w14:paraId="5B1131E2" w14:textId="77777777" w:rsidR="008F6B94" w:rsidRPr="007577D1" w:rsidRDefault="008F6B94" w:rsidP="008F6B94">
      <w:pPr>
        <w:pBdr>
          <w:top w:val="nil"/>
          <w:left w:val="nil"/>
          <w:bottom w:val="nil"/>
          <w:right w:val="nil"/>
          <w:between w:val="nil"/>
        </w:pBdr>
        <w:ind w:left="1134" w:right="900"/>
        <w:jc w:val="both"/>
        <w:rPr>
          <w:rFonts w:ascii="Palatino Linotype" w:eastAsia="Palatino Linotype" w:hAnsi="Palatino Linotype" w:cs="Palatino Linotype"/>
          <w:i/>
          <w:color w:val="000000"/>
          <w:sz w:val="16"/>
          <w:szCs w:val="16"/>
        </w:rPr>
      </w:pPr>
      <w:r w:rsidRPr="007577D1">
        <w:rPr>
          <w:rFonts w:ascii="Palatino Linotype" w:eastAsia="Palatino Linotype" w:hAnsi="Palatino Linotype" w:cs="Palatino Linotype"/>
          <w:i/>
          <w:color w:val="000000"/>
          <w:sz w:val="16"/>
          <w:szCs w:val="16"/>
        </w:rPr>
        <w:t>Amparo en revisión 2022/61. José García Florín (Menor). 9 de octubre de 1961. Cinco votos. Ponente: José Rivera Pérez Campos</w:t>
      </w:r>
    </w:p>
    <w:p w14:paraId="3DB39DF8" w14:textId="77777777" w:rsidR="008F6B94" w:rsidRPr="007577D1" w:rsidRDefault="008F6B94" w:rsidP="008F6B94">
      <w:pPr>
        <w:spacing w:line="360" w:lineRule="auto"/>
        <w:jc w:val="both"/>
        <w:rPr>
          <w:rFonts w:ascii="Palatino Linotype" w:eastAsia="Palatino Linotype" w:hAnsi="Palatino Linotype" w:cs="Palatino Linotype"/>
          <w:color w:val="000000"/>
        </w:rPr>
      </w:pPr>
    </w:p>
    <w:p w14:paraId="2EBFF807" w14:textId="77777777" w:rsidR="00C528E2" w:rsidRPr="007577D1" w:rsidRDefault="008F6B94" w:rsidP="008F6B94">
      <w:pPr>
        <w:spacing w:line="360" w:lineRule="auto"/>
        <w:jc w:val="both"/>
        <w:rPr>
          <w:rFonts w:ascii="Palatino Linotype" w:hAnsi="Palatino Linotype" w:cs="Tahoma"/>
          <w:bCs/>
          <w:sz w:val="24"/>
          <w:szCs w:val="24"/>
          <w:lang w:eastAsia="es-ES"/>
        </w:rPr>
      </w:pPr>
      <w:r w:rsidRPr="007577D1">
        <w:rPr>
          <w:rFonts w:ascii="Palatino Linotype" w:eastAsia="Palatino Linotype" w:hAnsi="Palatino Linotype" w:cs="Palatino Linotype"/>
          <w:sz w:val="24"/>
          <w:szCs w:val="24"/>
        </w:rPr>
        <w:t xml:space="preserve">De lo que se desprende que es materialmente imposible realizar la entrega de alguna documental que no ha generado el </w:t>
      </w:r>
      <w:r w:rsidRPr="007577D1">
        <w:rPr>
          <w:rFonts w:ascii="Palatino Linotype" w:eastAsia="Palatino Linotype" w:hAnsi="Palatino Linotype" w:cs="Palatino Linotype"/>
          <w:b/>
          <w:sz w:val="24"/>
          <w:szCs w:val="24"/>
        </w:rPr>
        <w:t>SUJETO OBLIGADO</w:t>
      </w:r>
      <w:r w:rsidRPr="007577D1">
        <w:rPr>
          <w:rFonts w:ascii="Palatino Linotype" w:eastAsia="Palatino Linotype" w:hAnsi="Palatino Linotype" w:cs="Palatino Linotype"/>
          <w:sz w:val="24"/>
          <w:szCs w:val="24"/>
        </w:rPr>
        <w:t>.</w:t>
      </w:r>
      <w:r w:rsidRPr="007577D1">
        <w:rPr>
          <w:rFonts w:ascii="Palatino Linotype" w:eastAsia="Palatino Linotype" w:hAnsi="Palatino Linotype" w:cs="Palatino Linotype"/>
          <w:color w:val="000000"/>
          <w:sz w:val="24"/>
          <w:szCs w:val="24"/>
        </w:rPr>
        <w:t xml:space="preserve"> En este sentido este Instituto carece de facultades para dudar de la veracidad de la respuesta emitida pues no está facultado para pronunciarse sobre la veracidad de la información que los Sujetos </w:t>
      </w:r>
      <w:r w:rsidRPr="007577D1">
        <w:rPr>
          <w:rFonts w:ascii="Palatino Linotype" w:eastAsia="Palatino Linotype" w:hAnsi="Palatino Linotype" w:cs="Palatino Linotype"/>
          <w:color w:val="000000"/>
          <w:sz w:val="24"/>
          <w:szCs w:val="24"/>
        </w:rPr>
        <w:lastRenderedPageBreak/>
        <w:t>Obligados ponen a disposición de los solicitantes; situación que se aleja de las atribuciones de este Instituto.</w:t>
      </w:r>
      <w:r w:rsidRPr="007577D1">
        <w:rPr>
          <w:rFonts w:ascii="Palatino Linotype" w:hAnsi="Palatino Linotype" w:cs="Tahoma"/>
          <w:bCs/>
          <w:sz w:val="24"/>
          <w:szCs w:val="24"/>
          <w:lang w:eastAsia="es-ES"/>
        </w:rPr>
        <w:t xml:space="preserve"> </w:t>
      </w:r>
    </w:p>
    <w:p w14:paraId="159B0295" w14:textId="77777777" w:rsidR="008F6B94" w:rsidRPr="007577D1" w:rsidRDefault="008F6B94" w:rsidP="008F6B94">
      <w:pPr>
        <w:spacing w:line="360" w:lineRule="auto"/>
        <w:jc w:val="both"/>
        <w:rPr>
          <w:rFonts w:ascii="Palatino Linotype" w:hAnsi="Palatino Linotype" w:cs="Tahoma"/>
          <w:bCs/>
          <w:sz w:val="24"/>
          <w:szCs w:val="24"/>
          <w:lang w:eastAsia="es-ES"/>
        </w:rPr>
      </w:pPr>
    </w:p>
    <w:p w14:paraId="76BEC007" w14:textId="77777777" w:rsidR="008F6B94" w:rsidRPr="007577D1" w:rsidRDefault="008F6B94" w:rsidP="008F6B94">
      <w:pPr>
        <w:pStyle w:val="Prrafodelista"/>
        <w:tabs>
          <w:tab w:val="left" w:pos="426"/>
        </w:tabs>
        <w:spacing w:before="240" w:after="240"/>
        <w:ind w:left="0" w:right="51"/>
        <w:rPr>
          <w:color w:val="000000" w:themeColor="text1"/>
        </w:rPr>
      </w:pPr>
      <w:r w:rsidRPr="007577D1">
        <w:rPr>
          <w:rFonts w:cs="Arial"/>
        </w:rPr>
        <w:t>Bajo ese contexto, es de recordarse que, p</w:t>
      </w:r>
      <w:r w:rsidRPr="007577D1">
        <w:rPr>
          <w:color w:val="000000" w:themeColor="text1"/>
        </w:rPr>
        <w:t xml:space="preserve">ara atender las solicitudes de información, los Sujetos Obligados contarán con un área denominada </w:t>
      </w:r>
      <w:r w:rsidRPr="007577D1">
        <w:rPr>
          <w:b/>
          <w:bCs/>
          <w:color w:val="000000" w:themeColor="text1"/>
        </w:rPr>
        <w:t>Unidad de Transparencia</w:t>
      </w:r>
      <w:r w:rsidRPr="007577D1">
        <w:rPr>
          <w:color w:val="000000" w:themeColor="text1"/>
          <w:vertAlign w:val="superscript"/>
        </w:rPr>
        <w:footnoteReference w:id="2"/>
      </w:r>
      <w:r w:rsidRPr="007577D1">
        <w:rPr>
          <w:color w:val="000000" w:themeColor="text1"/>
        </w:rPr>
        <w:t xml:space="preserve">, la cual será presidida por un Titular, quien fungirá como enlace entre éstos y los solicitantes. Dicha Unidad </w:t>
      </w:r>
      <w:r w:rsidRPr="007577D1">
        <w:rPr>
          <w:b/>
          <w:bCs/>
          <w:color w:val="000000" w:themeColor="text1"/>
        </w:rPr>
        <w:t>será la encargada de tramitar internamente la solicitud de información</w:t>
      </w:r>
      <w:r w:rsidRPr="007577D1">
        <w:rPr>
          <w:color w:val="000000" w:themeColor="text1"/>
        </w:rPr>
        <w:t xml:space="preserve"> y tendrá la alta responsabilidad de verificar, en cada caso, que la misma no sea confidencial o reservada. Asimismo, contará con las facultades internas necesarias para </w:t>
      </w:r>
      <w:r w:rsidRPr="007577D1">
        <w:rPr>
          <w:b/>
          <w:bCs/>
          <w:color w:val="000000" w:themeColor="text1"/>
        </w:rPr>
        <w:t xml:space="preserve">gestionar la atención a las solicitudes de información </w:t>
      </w:r>
      <w:r w:rsidRPr="007577D1">
        <w:rPr>
          <w:color w:val="000000" w:themeColor="text1"/>
        </w:rPr>
        <w:t>en los términos de la Ley General y la Ley de Transparencia y Acceso a la Información Pública del Estado de México y Municipios</w:t>
      </w:r>
      <w:r w:rsidRPr="007577D1">
        <w:rPr>
          <w:color w:val="000000" w:themeColor="text1"/>
          <w:vertAlign w:val="superscript"/>
        </w:rPr>
        <w:footnoteReference w:id="3"/>
      </w:r>
      <w:r w:rsidRPr="007577D1">
        <w:rPr>
          <w:color w:val="000000" w:themeColor="text1"/>
        </w:rPr>
        <w:t>.</w:t>
      </w:r>
    </w:p>
    <w:p w14:paraId="0ED9CBB3" w14:textId="77777777" w:rsidR="008F6B94" w:rsidRPr="007577D1" w:rsidRDefault="008F6B94" w:rsidP="008F6B94">
      <w:pPr>
        <w:pStyle w:val="Prrafodelista"/>
        <w:tabs>
          <w:tab w:val="left" w:pos="426"/>
        </w:tabs>
        <w:spacing w:before="240" w:after="240"/>
        <w:ind w:left="0" w:right="51"/>
        <w:rPr>
          <w:color w:val="000000" w:themeColor="text1"/>
        </w:rPr>
      </w:pPr>
    </w:p>
    <w:p w14:paraId="54684EF1" w14:textId="77777777" w:rsidR="008F6B94" w:rsidRPr="007577D1" w:rsidRDefault="008F6B94" w:rsidP="008F6B94">
      <w:pPr>
        <w:pStyle w:val="Prrafodelista"/>
        <w:tabs>
          <w:tab w:val="left" w:pos="426"/>
        </w:tabs>
        <w:spacing w:before="240" w:after="240"/>
        <w:ind w:left="0" w:right="51"/>
        <w:rPr>
          <w:rFonts w:eastAsia="MS Mincho"/>
          <w:color w:val="000000"/>
        </w:rPr>
      </w:pPr>
      <w:r w:rsidRPr="007577D1">
        <w:t xml:space="preserve">De </w:t>
      </w:r>
      <w:r w:rsidRPr="007577D1">
        <w:rPr>
          <w:rFonts w:eastAsia="MS Mincho"/>
          <w:color w:val="000000"/>
        </w:rPr>
        <w:t>conformidad con lo dispuesto por el artículo 53 de la Ley de Transparencia y Acceso a la Información Pública del Estado de México y Municipios, las Unidades de Transparencia tendrán, entre sus atribuciones, las siguientes:</w:t>
      </w:r>
    </w:p>
    <w:p w14:paraId="40A9673E" w14:textId="77777777" w:rsidR="008F6B94" w:rsidRPr="007577D1" w:rsidRDefault="008F6B94" w:rsidP="008F6B94">
      <w:pPr>
        <w:pStyle w:val="Prrafodelista"/>
        <w:numPr>
          <w:ilvl w:val="1"/>
          <w:numId w:val="5"/>
        </w:numPr>
        <w:tabs>
          <w:tab w:val="left" w:pos="426"/>
        </w:tabs>
        <w:spacing w:before="240" w:after="240"/>
        <w:ind w:left="1134" w:right="51"/>
        <w:contextualSpacing/>
        <w:rPr>
          <w:rFonts w:eastAsia="MS Mincho"/>
          <w:i/>
          <w:iCs/>
          <w:color w:val="000000"/>
          <w:sz w:val="22"/>
          <w:szCs w:val="22"/>
        </w:rPr>
      </w:pPr>
      <w:r w:rsidRPr="007577D1">
        <w:rPr>
          <w:rFonts w:eastAsia="MS Mincho"/>
          <w:i/>
          <w:iCs/>
          <w:color w:val="000000"/>
          <w:sz w:val="22"/>
          <w:szCs w:val="22"/>
        </w:rPr>
        <w:t>Recibir, tramitar y dar respuesta a las solicitudes de acceso a la información;</w:t>
      </w:r>
    </w:p>
    <w:p w14:paraId="3DEA7A62" w14:textId="77777777" w:rsidR="008F6B94" w:rsidRPr="007577D1" w:rsidRDefault="008F6B94" w:rsidP="008F6B94">
      <w:pPr>
        <w:pStyle w:val="Prrafodelista"/>
        <w:numPr>
          <w:ilvl w:val="1"/>
          <w:numId w:val="5"/>
        </w:numPr>
        <w:tabs>
          <w:tab w:val="left" w:pos="426"/>
        </w:tabs>
        <w:spacing w:before="240" w:after="240"/>
        <w:ind w:left="1134" w:right="51"/>
        <w:contextualSpacing/>
        <w:rPr>
          <w:rFonts w:eastAsia="MS Mincho"/>
          <w:i/>
          <w:iCs/>
          <w:color w:val="000000"/>
          <w:sz w:val="22"/>
          <w:szCs w:val="22"/>
        </w:rPr>
      </w:pPr>
      <w:r w:rsidRPr="007577D1">
        <w:rPr>
          <w:rFonts w:eastAsia="MS Mincho"/>
          <w:i/>
          <w:iCs/>
          <w:color w:val="000000"/>
          <w:sz w:val="22"/>
          <w:szCs w:val="22"/>
        </w:rPr>
        <w:t xml:space="preserve">Realizar, con efectividad, los trámites internos necesarios para la atención de las solicitudes de acceso a la información; </w:t>
      </w:r>
    </w:p>
    <w:p w14:paraId="6765D8AB" w14:textId="77777777" w:rsidR="008F6B94" w:rsidRPr="007577D1" w:rsidRDefault="008F6B94" w:rsidP="008F6B94">
      <w:pPr>
        <w:pStyle w:val="Prrafodelista"/>
        <w:numPr>
          <w:ilvl w:val="1"/>
          <w:numId w:val="5"/>
        </w:numPr>
        <w:tabs>
          <w:tab w:val="left" w:pos="426"/>
        </w:tabs>
        <w:spacing w:before="240" w:after="240"/>
        <w:ind w:left="1134" w:right="51"/>
        <w:contextualSpacing/>
        <w:rPr>
          <w:rFonts w:eastAsia="MS Mincho"/>
          <w:i/>
          <w:iCs/>
          <w:color w:val="000000"/>
          <w:sz w:val="22"/>
          <w:szCs w:val="22"/>
        </w:rPr>
      </w:pPr>
      <w:r w:rsidRPr="007577D1">
        <w:rPr>
          <w:rFonts w:eastAsia="MS Mincho"/>
          <w:i/>
          <w:iCs/>
          <w:color w:val="000000"/>
          <w:sz w:val="22"/>
          <w:szCs w:val="22"/>
        </w:rPr>
        <w:t xml:space="preserve">Entregar, en su caso, a los particulares la información solicitada; y </w:t>
      </w:r>
    </w:p>
    <w:p w14:paraId="4935F482" w14:textId="77777777" w:rsidR="008F6B94" w:rsidRPr="007577D1" w:rsidRDefault="008F6B94" w:rsidP="008F6B94">
      <w:pPr>
        <w:pStyle w:val="Prrafodelista"/>
        <w:numPr>
          <w:ilvl w:val="1"/>
          <w:numId w:val="5"/>
        </w:numPr>
        <w:tabs>
          <w:tab w:val="left" w:pos="426"/>
        </w:tabs>
        <w:spacing w:before="240" w:after="240"/>
        <w:ind w:left="1134" w:right="51"/>
        <w:contextualSpacing/>
        <w:rPr>
          <w:i/>
          <w:iCs/>
          <w:color w:val="000000" w:themeColor="text1"/>
          <w:sz w:val="22"/>
          <w:szCs w:val="22"/>
        </w:rPr>
      </w:pPr>
      <w:r w:rsidRPr="007577D1">
        <w:rPr>
          <w:rFonts w:eastAsia="MS Mincho"/>
          <w:i/>
          <w:iCs/>
          <w:color w:val="000000"/>
          <w:sz w:val="22"/>
          <w:szCs w:val="22"/>
        </w:rPr>
        <w:lastRenderedPageBreak/>
        <w:t>Efectuar las notificaciones a los solicitantes.</w:t>
      </w:r>
    </w:p>
    <w:p w14:paraId="35F1F7A5" w14:textId="77777777" w:rsidR="008F6B94" w:rsidRPr="007577D1" w:rsidRDefault="008F6B94" w:rsidP="008F6B94">
      <w:pPr>
        <w:spacing w:line="360" w:lineRule="auto"/>
        <w:jc w:val="both"/>
        <w:rPr>
          <w:rFonts w:ascii="Palatino Linotype" w:hAnsi="Palatino Linotype"/>
        </w:rPr>
      </w:pPr>
    </w:p>
    <w:p w14:paraId="1EB6354F" w14:textId="77777777" w:rsidR="008F6B94" w:rsidRPr="007577D1" w:rsidRDefault="008F6B94" w:rsidP="008F6B94">
      <w:pPr>
        <w:spacing w:line="360" w:lineRule="auto"/>
        <w:jc w:val="both"/>
        <w:rPr>
          <w:rFonts w:ascii="Palatino Linotype" w:eastAsia="MS Mincho" w:hAnsi="Palatino Linotype"/>
          <w:color w:val="000000"/>
          <w:sz w:val="24"/>
          <w:szCs w:val="24"/>
        </w:rPr>
      </w:pPr>
      <w:r w:rsidRPr="007577D1">
        <w:rPr>
          <w:rFonts w:ascii="Palatino Linotype" w:hAnsi="Palatino Linotype"/>
          <w:sz w:val="24"/>
          <w:szCs w:val="24"/>
        </w:rPr>
        <w:t xml:space="preserve">De tal </w:t>
      </w:r>
      <w:r w:rsidRPr="007577D1">
        <w:rPr>
          <w:rFonts w:ascii="Palatino Linotype" w:eastAsia="MS Mincho" w:hAnsi="Palatino Linotype"/>
          <w:color w:val="000000"/>
          <w:sz w:val="24"/>
          <w:szCs w:val="24"/>
        </w:rPr>
        <w:t xml:space="preserve">manera que cada una de las áreas administrativas del </w:t>
      </w:r>
      <w:r w:rsidRPr="007577D1">
        <w:rPr>
          <w:rFonts w:ascii="Palatino Linotype" w:eastAsia="MS Mincho" w:hAnsi="Palatino Linotype"/>
          <w:b/>
          <w:bCs/>
          <w:color w:val="000000"/>
          <w:sz w:val="24"/>
          <w:szCs w:val="24"/>
        </w:rPr>
        <w:t>SUJETO OBLIGADO</w:t>
      </w:r>
      <w:r w:rsidRPr="007577D1">
        <w:rPr>
          <w:rFonts w:ascii="Palatino Linotype" w:eastAsia="MS Mincho" w:hAnsi="Palatino Linotype"/>
          <w:color w:val="000000"/>
          <w:sz w:val="24"/>
          <w:szCs w:val="24"/>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14:paraId="4F27CC4C" w14:textId="77777777" w:rsidR="008F6B94" w:rsidRPr="007577D1" w:rsidRDefault="008F6B94" w:rsidP="008F6B94">
      <w:pPr>
        <w:spacing w:line="360" w:lineRule="auto"/>
        <w:jc w:val="both"/>
        <w:rPr>
          <w:rFonts w:ascii="Palatino Linotype" w:eastAsia="MS Mincho" w:hAnsi="Palatino Linotype"/>
          <w:color w:val="000000"/>
          <w:sz w:val="24"/>
          <w:szCs w:val="24"/>
        </w:rPr>
      </w:pPr>
    </w:p>
    <w:p w14:paraId="44D56D14" w14:textId="77777777" w:rsidR="00FE16EE" w:rsidRPr="007577D1" w:rsidRDefault="008F6B94" w:rsidP="008F6B94">
      <w:pPr>
        <w:spacing w:line="360" w:lineRule="auto"/>
        <w:jc w:val="both"/>
        <w:rPr>
          <w:rFonts w:ascii="Palatino Linotype" w:hAnsi="Palatino Linotype"/>
          <w:color w:val="000000"/>
          <w:sz w:val="24"/>
          <w:szCs w:val="24"/>
          <w:u w:val="single"/>
        </w:rPr>
      </w:pPr>
      <w:r w:rsidRPr="007577D1">
        <w:rPr>
          <w:rFonts w:ascii="Palatino Linotype" w:eastAsia="MS Mincho" w:hAnsi="Palatino Linotype"/>
          <w:color w:val="000000"/>
          <w:sz w:val="24"/>
          <w:szCs w:val="24"/>
        </w:rPr>
        <w:t>Por lo que en uso de sus atribuciones la Titular de la Unidad de Transparencia dirigió la solicitud de información a la unidad administrativa que podía satisfacer las pretensiones del Recurrente sin embargo como se advierte en estudio</w:t>
      </w:r>
      <w:r w:rsidRPr="007577D1">
        <w:rPr>
          <w:rFonts w:ascii="Palatino Linotype" w:hAnsi="Palatino Linotype"/>
          <w:color w:val="000000"/>
          <w:sz w:val="24"/>
          <w:szCs w:val="24"/>
        </w:rPr>
        <w:t xml:space="preserve"> </w:t>
      </w:r>
      <w:r w:rsidR="00FE16EE" w:rsidRPr="007577D1">
        <w:rPr>
          <w:rFonts w:ascii="Palatino Linotype" w:hAnsi="Palatino Linotype"/>
          <w:sz w:val="24"/>
          <w:szCs w:val="24"/>
        </w:rPr>
        <w:t>la Secretaria Técnica  en el ámbito de su competencia atiende y da seguimiento a las quejas y denuncias relacionadas con los servicios educativos que preste la Secretaría y por otro lado conforme lo establecido por el artículo 95 de la Ley de Responsabilidades Administrativas del Estado de México y Municipios la investigación por presunta responsabilidad administrativa podría iniciarse mediante denuncia, por lo que dada la naturaleza de la solicitud no se advierte bajo que denuncia pudo haberse hecho en el oficio referido en solicitud, por lo que al no haberse turnado la solicitud de información a todas las unidades administrativas que en el ámbito de sus atribuciones podrían generar, poseer y administrar la información en un primer momento no se acredita la búsqueda exhaustiva y razonable de la información.</w:t>
      </w:r>
    </w:p>
    <w:p w14:paraId="4AC68091" w14:textId="77777777" w:rsidR="00FE16EE" w:rsidRPr="007577D1" w:rsidRDefault="00FE16EE" w:rsidP="008F6B94">
      <w:pPr>
        <w:spacing w:line="360" w:lineRule="auto"/>
        <w:jc w:val="both"/>
        <w:rPr>
          <w:rFonts w:ascii="Palatino Linotype" w:eastAsia="MS Mincho" w:hAnsi="Palatino Linotype"/>
          <w:color w:val="000000"/>
        </w:rPr>
      </w:pPr>
    </w:p>
    <w:p w14:paraId="3C3F0E85" w14:textId="77777777" w:rsidR="008F6B94" w:rsidRPr="007577D1" w:rsidRDefault="008F6B94" w:rsidP="008F6B94">
      <w:pPr>
        <w:pStyle w:val="Prrafodelista"/>
        <w:ind w:left="0"/>
        <w:rPr>
          <w:rFonts w:eastAsia="Calibri" w:cs="Arial"/>
        </w:rPr>
      </w:pPr>
      <w:r w:rsidRPr="007577D1">
        <w:rPr>
          <w:rFonts w:eastAsia="Palatino Linotype" w:cs="Palatino Linotype"/>
          <w:color w:val="000000"/>
        </w:rPr>
        <w:lastRenderedPageBreak/>
        <w:t xml:space="preserve">Lo anterior ocasiona que se vulnerara el derecho al acceso a la información pública del Recurrente pues </w:t>
      </w:r>
      <w:r w:rsidR="00FE16EE" w:rsidRPr="007577D1">
        <w:rPr>
          <w:rFonts w:eastAsia="Palatino Linotype" w:cs="Palatino Linotype"/>
          <w:color w:val="000000"/>
        </w:rPr>
        <w:t xml:space="preserve">no </w:t>
      </w:r>
      <w:r w:rsidRPr="007577D1">
        <w:rPr>
          <w:rFonts w:eastAsia="Palatino Linotype" w:cs="Palatino Linotype"/>
          <w:color w:val="000000"/>
        </w:rPr>
        <w:t>se realizó la búsqueda exhaustiva y razonable de la información, cuyo alcance se encuentra establecido en el Criterio Reiterado 02/19 emitido por el Pleno de este Organismo Garante, a saber:</w:t>
      </w:r>
    </w:p>
    <w:p w14:paraId="5A1CE7F8" w14:textId="77777777" w:rsidR="008F6B94" w:rsidRPr="007577D1" w:rsidRDefault="008F6B94" w:rsidP="008F6B94">
      <w:pPr>
        <w:spacing w:line="360" w:lineRule="auto"/>
        <w:ind w:left="567" w:right="706"/>
        <w:jc w:val="both"/>
        <w:rPr>
          <w:rFonts w:ascii="Palatino Linotype" w:eastAsia="Palatino Linotype" w:hAnsi="Palatino Linotype" w:cs="Palatino Linotype"/>
          <w:i/>
          <w:color w:val="000000"/>
        </w:rPr>
      </w:pPr>
      <w:r w:rsidRPr="007577D1">
        <w:rPr>
          <w:rFonts w:ascii="Palatino Linotype" w:eastAsia="Palatino Linotype" w:hAnsi="Palatino Linotype" w:cs="Palatino Linotype"/>
          <w:b/>
          <w:i/>
          <w:color w:val="000000"/>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7577D1">
        <w:rPr>
          <w:rFonts w:ascii="Palatino Linotype" w:eastAsia="Palatino Linotype" w:hAnsi="Palatino Linotype" w:cs="Palatino Linotype"/>
          <w:i/>
          <w:color w:val="000000"/>
        </w:rPr>
        <w:t xml:space="preserve">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w:t>
      </w:r>
      <w:r w:rsidRPr="007577D1">
        <w:rPr>
          <w:rFonts w:ascii="Palatino Linotype" w:eastAsia="Palatino Linotype" w:hAnsi="Palatino Linotype" w:cs="Palatino Linotype"/>
          <w:i/>
          <w:color w:val="000000"/>
        </w:rPr>
        <w:lastRenderedPageBreak/>
        <w:t>artículo 12 del mismo ordenamiento legal y, por tanto, los sujetos obligados no podrán excusarse de su ejercicio bajo el argumento de que ello conlleva una investigación.”</w:t>
      </w:r>
    </w:p>
    <w:p w14:paraId="21FC0543" w14:textId="77777777" w:rsidR="008F6B94" w:rsidRPr="007577D1" w:rsidRDefault="008F6B94" w:rsidP="008F6B94">
      <w:pPr>
        <w:spacing w:line="360" w:lineRule="auto"/>
        <w:jc w:val="both"/>
        <w:rPr>
          <w:rFonts w:ascii="Palatino Linotype" w:eastAsia="Palatino Linotype" w:hAnsi="Palatino Linotype" w:cs="Palatino Linotype"/>
          <w:color w:val="000000"/>
        </w:rPr>
      </w:pPr>
      <w:r w:rsidRPr="007577D1">
        <w:rPr>
          <w:rFonts w:ascii="Palatino Linotype" w:eastAsia="Palatino Linotype" w:hAnsi="Palatino Linotype" w:cs="Palatino Linotype"/>
          <w:color w:val="000000"/>
        </w:rPr>
        <w:t>En tal sentido, resulta aplicable el Criterio 02/17 emitido por el Peno del Instituto Nacional de Transparencia y Acceso a la Información y Protección de Datos Personales, de título y texto siguientes:</w:t>
      </w:r>
    </w:p>
    <w:p w14:paraId="5C62B1F5" w14:textId="77777777" w:rsidR="008F6B94" w:rsidRPr="007577D1" w:rsidRDefault="008F6B94" w:rsidP="008F6B94">
      <w:pPr>
        <w:spacing w:line="360" w:lineRule="auto"/>
        <w:ind w:left="851" w:right="851"/>
        <w:jc w:val="both"/>
        <w:rPr>
          <w:rFonts w:ascii="Palatino Linotype" w:eastAsia="Palatino Linotype" w:hAnsi="Palatino Linotype" w:cs="Palatino Linotype"/>
          <w:i/>
          <w:color w:val="000000"/>
        </w:rPr>
      </w:pPr>
      <w:r w:rsidRPr="007577D1">
        <w:rPr>
          <w:rFonts w:ascii="Palatino Linotype" w:eastAsia="Palatino Linotype" w:hAnsi="Palatino Linotype" w:cs="Palatino Linotype"/>
          <w:b/>
          <w:i/>
          <w:color w:val="000000"/>
        </w:rPr>
        <w:t xml:space="preserve">“Congruencia y exhaustividad. Sus alcances para garantizar el derecho de acceso a la información. </w:t>
      </w:r>
      <w:r w:rsidRPr="007577D1">
        <w:rPr>
          <w:rFonts w:ascii="Palatino Linotype" w:eastAsia="Palatino Linotype" w:hAnsi="Palatino Linotype" w:cs="Palatino Linotype"/>
          <w:i/>
          <w:color w:val="000000"/>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7577D1">
        <w:rPr>
          <w:rFonts w:ascii="Palatino Linotype" w:eastAsia="Palatino Linotype" w:hAnsi="Palatino Linotype" w:cs="Palatino Linotype"/>
          <w:b/>
          <w:i/>
          <w:color w:val="000000"/>
        </w:rPr>
        <w:t>la congruencia implica que exista concordancia entre el requerimiento formulado por el particular y la respuesta proporcionada por el sujeto obligado</w:t>
      </w:r>
      <w:r w:rsidRPr="007577D1">
        <w:rPr>
          <w:rFonts w:ascii="Palatino Linotype" w:eastAsia="Palatino Linotype" w:hAnsi="Palatino Linotype" w:cs="Palatino Linotype"/>
          <w:i/>
          <w:color w:val="000000"/>
        </w:rPr>
        <w:t xml:space="preserve">; mientras que </w:t>
      </w:r>
      <w:r w:rsidRPr="007577D1">
        <w:rPr>
          <w:rFonts w:ascii="Palatino Linotype" w:eastAsia="Palatino Linotype" w:hAnsi="Palatino Linotype" w:cs="Palatino Linotype"/>
          <w:b/>
          <w:i/>
          <w:color w:val="000000"/>
        </w:rPr>
        <w:t>la exhaustividad significa que dicha respuesta se refiera expresamente a cada uno de los puntos solicitados</w:t>
      </w:r>
      <w:r w:rsidRPr="007577D1">
        <w:rPr>
          <w:rFonts w:ascii="Palatino Linotype" w:eastAsia="Palatino Linotype" w:hAnsi="Palatino Linotype" w:cs="Palatino Linotype"/>
          <w:i/>
          <w:color w:val="000000"/>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5151DCF1" w14:textId="77777777" w:rsidR="00FE16EE" w:rsidRPr="007577D1" w:rsidRDefault="00FE16EE" w:rsidP="00C528E2">
      <w:pPr>
        <w:tabs>
          <w:tab w:val="left" w:pos="7938"/>
        </w:tabs>
        <w:spacing w:line="360" w:lineRule="auto"/>
        <w:jc w:val="both"/>
        <w:rPr>
          <w:rFonts w:ascii="Palatino Linotype" w:hAnsi="Palatino Linotype" w:cs="Arial"/>
          <w:sz w:val="24"/>
          <w:szCs w:val="24"/>
        </w:rPr>
      </w:pPr>
    </w:p>
    <w:p w14:paraId="4C95FAB1" w14:textId="77777777" w:rsidR="00C528E2" w:rsidRPr="007577D1" w:rsidRDefault="00C528E2" w:rsidP="00C528E2">
      <w:pPr>
        <w:tabs>
          <w:tab w:val="left" w:pos="7938"/>
        </w:tabs>
        <w:spacing w:line="360" w:lineRule="auto"/>
        <w:jc w:val="both"/>
        <w:rPr>
          <w:rFonts w:ascii="Palatino Linotype" w:hAnsi="Palatino Linotype" w:cs="Arial"/>
          <w:sz w:val="24"/>
          <w:szCs w:val="24"/>
          <w:lang w:val="es-419"/>
        </w:rPr>
      </w:pPr>
      <w:r w:rsidRPr="007577D1">
        <w:rPr>
          <w:rFonts w:ascii="Palatino Linotype" w:hAnsi="Palatino Linotype" w:cs="Arial"/>
          <w:sz w:val="24"/>
          <w:szCs w:val="24"/>
          <w:lang w:val="es-419"/>
        </w:rPr>
        <w:t>De lo anterior, el artículo 12 de la Ley de Transparencias y Acceso a la Información Pública del Estado de México y Municipios, establece que los sujetos obligados proporcionarán la información pública que se les requiera y esta obre en sus archivos, mismo precepto que a continuación se transcribe:</w:t>
      </w:r>
    </w:p>
    <w:p w14:paraId="30BF3CC8" w14:textId="77777777" w:rsidR="00C528E2" w:rsidRPr="007577D1" w:rsidRDefault="00C528E2" w:rsidP="00C528E2">
      <w:pPr>
        <w:pStyle w:val="Sinespaciado"/>
        <w:spacing w:line="360" w:lineRule="auto"/>
        <w:ind w:left="1211" w:right="567"/>
        <w:jc w:val="both"/>
        <w:rPr>
          <w:rFonts w:ascii="Palatino Linotype" w:hAnsi="Palatino Linotype"/>
          <w:i/>
        </w:rPr>
      </w:pPr>
      <w:r w:rsidRPr="007577D1">
        <w:rPr>
          <w:rFonts w:ascii="Palatino Linotype" w:hAnsi="Palatino Linotype"/>
        </w:rPr>
        <w:lastRenderedPageBreak/>
        <w:t>“</w:t>
      </w:r>
      <w:r w:rsidRPr="007577D1">
        <w:rPr>
          <w:rFonts w:ascii="Palatino Linotype" w:hAnsi="Palatino Linotype"/>
          <w:b/>
          <w:i/>
        </w:rPr>
        <w:t>Artículo 12.</w:t>
      </w:r>
      <w:r w:rsidRPr="007577D1">
        <w:rPr>
          <w:rFonts w:ascii="Palatino Linotype" w:hAnsi="Palatino Linotype"/>
          <w:i/>
        </w:rPr>
        <w:t xml:space="preserve"> Quienes generen, recopilen, administren, manejen, procesen, archiven o conserven información pública serán</w:t>
      </w:r>
    </w:p>
    <w:p w14:paraId="338B8E63" w14:textId="77777777" w:rsidR="00C528E2" w:rsidRPr="007577D1" w:rsidRDefault="00C528E2" w:rsidP="00C528E2">
      <w:pPr>
        <w:pStyle w:val="Prrafodelista"/>
        <w:tabs>
          <w:tab w:val="left" w:pos="1842"/>
        </w:tabs>
        <w:ind w:left="1211" w:right="49"/>
      </w:pPr>
      <w:r w:rsidRPr="007577D1">
        <w:rPr>
          <w:b/>
          <w:i/>
          <w:u w:val="single"/>
        </w:rPr>
        <w:t>Los sujetos obligados sólo proporcionarán la información pública que se les requiera y que obre en sus archivos</w:t>
      </w:r>
      <w:r w:rsidRPr="007577D1">
        <w:rPr>
          <w:i/>
        </w:rPr>
        <w:t xml:space="preserve">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0BE23B9E" w14:textId="77777777" w:rsidR="00C528E2" w:rsidRPr="007577D1" w:rsidRDefault="00C528E2" w:rsidP="00C528E2">
      <w:pPr>
        <w:spacing w:line="360" w:lineRule="auto"/>
        <w:contextualSpacing/>
        <w:jc w:val="both"/>
        <w:rPr>
          <w:rFonts w:ascii="Palatino Linotype" w:eastAsia="Palatino Linotype" w:hAnsi="Palatino Linotype" w:cs="Palatino Linotype"/>
          <w:b/>
          <w:sz w:val="24"/>
          <w:szCs w:val="24"/>
        </w:rPr>
      </w:pPr>
    </w:p>
    <w:p w14:paraId="0115D31A" w14:textId="77777777" w:rsidR="00C528E2" w:rsidRPr="007577D1" w:rsidRDefault="00C528E2" w:rsidP="00C528E2">
      <w:pPr>
        <w:tabs>
          <w:tab w:val="left" w:pos="3962"/>
        </w:tabs>
        <w:spacing w:line="360" w:lineRule="auto"/>
        <w:jc w:val="both"/>
        <w:rPr>
          <w:rFonts w:ascii="Palatino Linotype" w:eastAsia="Calibri" w:hAnsi="Palatino Linotype" w:cs="Tahoma"/>
          <w:bCs/>
          <w:sz w:val="24"/>
          <w:szCs w:val="24"/>
        </w:rPr>
      </w:pPr>
      <w:r w:rsidRPr="007577D1">
        <w:rPr>
          <w:rFonts w:ascii="Palatino Linotype" w:eastAsia="Calibri" w:hAnsi="Palatino Linotype" w:cs="Tahoma"/>
          <w:bCs/>
          <w:sz w:val="24"/>
          <w:szCs w:val="24"/>
        </w:rPr>
        <w:t>En este sentido, debido a que la información versa respecto a una persona determinada</w:t>
      </w:r>
      <w:r w:rsidR="00FE16EE" w:rsidRPr="007577D1">
        <w:rPr>
          <w:rFonts w:ascii="Palatino Linotype" w:eastAsia="Calibri" w:hAnsi="Palatino Linotype" w:cs="Tahoma"/>
          <w:bCs/>
          <w:sz w:val="24"/>
          <w:szCs w:val="24"/>
        </w:rPr>
        <w:t xml:space="preserve"> identificada plenamente mediante el oficio referido en solicitud</w:t>
      </w:r>
      <w:r w:rsidRPr="007577D1">
        <w:rPr>
          <w:rFonts w:ascii="Palatino Linotype" w:eastAsia="Calibri" w:hAnsi="Palatino Linotype" w:cs="Tahoma"/>
          <w:bCs/>
          <w:sz w:val="24"/>
          <w:szCs w:val="24"/>
        </w:rPr>
        <w:t xml:space="preserve">, </w:t>
      </w:r>
      <w:r w:rsidRPr="007577D1">
        <w:rPr>
          <w:rFonts w:ascii="Palatino Linotype" w:eastAsia="Calibri" w:hAnsi="Palatino Linotype" w:cs="Tahoma"/>
          <w:bCs/>
          <w:sz w:val="24"/>
          <w:szCs w:val="24"/>
          <w:u w:val="single"/>
        </w:rPr>
        <w:t>resulta necesario analizar si de ser el caso procede entregar el pronunciamiento respecto a la existencia o no de un procedimiento de responsabilidad</w:t>
      </w:r>
      <w:r w:rsidRPr="007577D1">
        <w:rPr>
          <w:rFonts w:ascii="Palatino Linotype" w:eastAsia="Calibri" w:hAnsi="Palatino Linotype" w:cs="Tahoma"/>
          <w:bCs/>
          <w:sz w:val="24"/>
          <w:szCs w:val="24"/>
        </w:rPr>
        <w:t>, conforme a lo siguiente:</w:t>
      </w:r>
    </w:p>
    <w:p w14:paraId="3D50307C" w14:textId="77777777" w:rsidR="00C528E2" w:rsidRPr="007577D1" w:rsidRDefault="00C528E2" w:rsidP="00C528E2">
      <w:pPr>
        <w:tabs>
          <w:tab w:val="left" w:pos="3962"/>
        </w:tabs>
        <w:spacing w:line="360" w:lineRule="auto"/>
        <w:jc w:val="both"/>
        <w:rPr>
          <w:rFonts w:ascii="Palatino Linotype" w:eastAsia="Calibri" w:hAnsi="Palatino Linotype" w:cs="Tahoma"/>
          <w:bCs/>
          <w:sz w:val="24"/>
          <w:szCs w:val="24"/>
        </w:rPr>
      </w:pPr>
    </w:p>
    <w:p w14:paraId="4860ED0C" w14:textId="77777777" w:rsidR="00C528E2" w:rsidRPr="007577D1" w:rsidRDefault="00C528E2" w:rsidP="00C528E2">
      <w:pPr>
        <w:pStyle w:val="Prrafodelista"/>
        <w:numPr>
          <w:ilvl w:val="0"/>
          <w:numId w:val="11"/>
        </w:numPr>
        <w:tabs>
          <w:tab w:val="left" w:pos="3962"/>
        </w:tabs>
        <w:ind w:left="426"/>
        <w:contextualSpacing/>
        <w:rPr>
          <w:rFonts w:cs="Tahoma"/>
          <w:b/>
          <w:bCs/>
        </w:rPr>
      </w:pPr>
      <w:r w:rsidRPr="007577D1">
        <w:rPr>
          <w:rFonts w:cs="Tahoma"/>
          <w:b/>
          <w:bCs/>
        </w:rPr>
        <w:t>Procedimiento de responsabilidad en trámite.</w:t>
      </w:r>
    </w:p>
    <w:p w14:paraId="4972CF28" w14:textId="77777777" w:rsidR="00C528E2" w:rsidRPr="007577D1" w:rsidRDefault="00C528E2" w:rsidP="00C528E2">
      <w:pPr>
        <w:tabs>
          <w:tab w:val="left" w:pos="3962"/>
        </w:tabs>
        <w:spacing w:line="360" w:lineRule="auto"/>
        <w:jc w:val="both"/>
        <w:rPr>
          <w:rFonts w:ascii="Palatino Linotype" w:eastAsia="Calibri" w:hAnsi="Palatino Linotype" w:cs="Tahoma"/>
          <w:bCs/>
          <w:sz w:val="24"/>
          <w:szCs w:val="24"/>
        </w:rPr>
      </w:pPr>
      <w:r w:rsidRPr="007577D1">
        <w:rPr>
          <w:rFonts w:ascii="Palatino Linotype" w:eastAsia="Calibri" w:hAnsi="Palatino Linotype" w:cs="Tahoma"/>
          <w:bCs/>
          <w:sz w:val="24"/>
          <w:szCs w:val="24"/>
        </w:rPr>
        <w:t>Al respecto, es necesario señalar que pronunciarse sobre la existencia de un procedimiento de posibles responsabilidades en trámite, podría afectar al posible responsable identificado, en el presente caso, ya que se daría a conocer la existencia de una investigación en contra, lo cual, generaría una percepción negativa de este, sin que se hubiere probado su responsabilidad o culpabilidad, lo cual dañaría, su honor y su derecho a la presunción inocencia e inclusive su actividad profesional, pues aún no se juntan los elementos necesarios para iniciar la segunda etapa del procedimiento.</w:t>
      </w:r>
    </w:p>
    <w:p w14:paraId="54821DA7" w14:textId="77777777" w:rsidR="00C528E2" w:rsidRPr="007577D1" w:rsidRDefault="00C528E2" w:rsidP="00C528E2">
      <w:pPr>
        <w:tabs>
          <w:tab w:val="left" w:pos="3962"/>
        </w:tabs>
        <w:spacing w:line="360" w:lineRule="auto"/>
        <w:jc w:val="both"/>
        <w:rPr>
          <w:rFonts w:ascii="Palatino Linotype" w:eastAsia="Calibri" w:hAnsi="Palatino Linotype" w:cs="Tahoma"/>
          <w:bCs/>
          <w:sz w:val="24"/>
          <w:szCs w:val="24"/>
        </w:rPr>
      </w:pPr>
    </w:p>
    <w:p w14:paraId="1EB86DA1" w14:textId="77777777" w:rsidR="00C528E2" w:rsidRPr="007577D1" w:rsidRDefault="00C528E2" w:rsidP="00C528E2">
      <w:pPr>
        <w:tabs>
          <w:tab w:val="left" w:pos="3962"/>
        </w:tabs>
        <w:spacing w:line="360" w:lineRule="auto"/>
        <w:jc w:val="both"/>
        <w:rPr>
          <w:rFonts w:ascii="Palatino Linotype" w:eastAsia="Calibri" w:hAnsi="Palatino Linotype" w:cs="Tahoma"/>
          <w:bCs/>
          <w:sz w:val="24"/>
          <w:szCs w:val="24"/>
        </w:rPr>
      </w:pPr>
      <w:r w:rsidRPr="007577D1">
        <w:rPr>
          <w:rFonts w:ascii="Palatino Linotype" w:eastAsia="Calibri" w:hAnsi="Palatino Linotype" w:cs="Tahoma"/>
          <w:bCs/>
          <w:sz w:val="24"/>
          <w:szCs w:val="24"/>
        </w:rPr>
        <w:lastRenderedPageBreak/>
        <w:t xml:space="preserve">Al respecto, por lo que hace al derecho al honor, la jurisprudencia número 1a./J. 118/2013 (10a.), emitida por la Primera Sala de la Suprema Corte de Justicia de la Nación, publicada en la Gaceta del Semanario Judicial de la Federación, Tomo I, Libro 3, de febrero de 2014, página 470, de la Décima Época, materia constitucional, dispone: </w:t>
      </w:r>
    </w:p>
    <w:p w14:paraId="24528ACA" w14:textId="77777777" w:rsidR="00C528E2" w:rsidRPr="007577D1" w:rsidRDefault="00C528E2" w:rsidP="00C528E2">
      <w:pPr>
        <w:ind w:left="567" w:right="567"/>
        <w:contextualSpacing/>
        <w:jc w:val="both"/>
        <w:rPr>
          <w:rFonts w:ascii="Palatino Linotype" w:eastAsia="Calibri" w:hAnsi="Palatino Linotype" w:cs="Tahoma"/>
          <w:bCs/>
          <w:i/>
          <w:iCs/>
        </w:rPr>
      </w:pPr>
      <w:r w:rsidRPr="007577D1">
        <w:rPr>
          <w:rFonts w:ascii="Palatino Linotype" w:eastAsia="Calibri" w:hAnsi="Palatino Linotype" w:cs="Tahoma"/>
          <w:b/>
          <w:bCs/>
          <w:i/>
          <w:iCs/>
        </w:rPr>
        <w:t xml:space="preserve">“DERECHO FUNDAMENTAL AL HONOR. SU DIMENSIÓN SUBJETIVA Y OBJETIVA. </w:t>
      </w:r>
      <w:r w:rsidRPr="007577D1">
        <w:rPr>
          <w:rFonts w:ascii="Palatino Linotype" w:eastAsia="Calibri" w:hAnsi="Palatino Linotype" w:cs="Tahoma"/>
          <w:bCs/>
          <w:i/>
          <w:iCs/>
        </w:rPr>
        <w:t>A juicio de esta Primera Sala de la Suprema Corte de Justicia de la Nación, es posible definir al honor como el concepto que la persona tiene de sí misma o que los demás se han formado de ella, en virtud de su proceder o de la expresión de su calidad ética y social. Todo individuo, al vivir en sociedad, tiene el derecho de ser respetado y considerado y, correlativamente, tiene la obligación de respetar a aquellos que lo rodean. En el campo jurídico esta necesidad se traduce en un derecho que involucra la facultad que tiene cada individuo de pedir que se le trate en forma decorosa y la obligación de los demás de responder a este tratamiento. Por lo general, existen dos formas de sentir y entender el honor: a) en el aspecto subjetivo o ético, el honor se basa en un sentimiento íntimo que se exterioriza por la afirmación que la persona hace de su propia dignidad; y b) en el aspecto objetivo, externo o social, como la estimación interpersonal que la persona tiene por sus cualidades morales y profesionales dentro de la comunidad. En el aspecto subjetivo, el honor es lesionado por todo aquello que lastima el sentimiento de la propia dignidad. En el aspecto objetivo, el honor es lesionado por todo aquello que afecta a la reputación que la persona merece, es decir, el derecho a que otros no condicionen negativamente la opinión que los demás hayan de formarse de nosotros.”</w:t>
      </w:r>
    </w:p>
    <w:p w14:paraId="0DA31DEF" w14:textId="77777777" w:rsidR="00C528E2" w:rsidRPr="007577D1" w:rsidRDefault="00C528E2" w:rsidP="00C528E2">
      <w:pPr>
        <w:tabs>
          <w:tab w:val="left" w:pos="3962"/>
        </w:tabs>
        <w:spacing w:line="360" w:lineRule="auto"/>
        <w:jc w:val="both"/>
        <w:rPr>
          <w:rFonts w:ascii="Palatino Linotype" w:eastAsia="Calibri" w:hAnsi="Palatino Linotype" w:cs="Tahoma"/>
          <w:bCs/>
          <w:sz w:val="24"/>
          <w:szCs w:val="24"/>
        </w:rPr>
      </w:pPr>
    </w:p>
    <w:p w14:paraId="45C0164B" w14:textId="77777777" w:rsidR="00C528E2" w:rsidRPr="007577D1" w:rsidRDefault="00C528E2" w:rsidP="00C528E2">
      <w:pPr>
        <w:tabs>
          <w:tab w:val="left" w:pos="3962"/>
        </w:tabs>
        <w:spacing w:line="360" w:lineRule="auto"/>
        <w:jc w:val="both"/>
        <w:rPr>
          <w:rFonts w:ascii="Palatino Linotype" w:eastAsia="Calibri" w:hAnsi="Palatino Linotype" w:cs="Tahoma"/>
          <w:bCs/>
          <w:sz w:val="24"/>
          <w:szCs w:val="24"/>
        </w:rPr>
      </w:pPr>
      <w:r w:rsidRPr="007577D1">
        <w:rPr>
          <w:rFonts w:ascii="Palatino Linotype" w:eastAsia="Calibri" w:hAnsi="Palatino Linotype" w:cs="Tahoma"/>
          <w:bCs/>
          <w:sz w:val="24"/>
          <w:szCs w:val="24"/>
        </w:rPr>
        <w:t>Por otra parte, debe señalarse que conforme al artículo 20, inciso B, numeral I, de la Constitución Política de los Estados Unidos Mexicanos, un derecho que tiene toda persona imputada, es a que se presuma su inocencia mientras no se declare su responsabilidad mediante una resolución, donde compruebe su culpabilidad. Dicha situación, se encuentra regulada, de la misma manera, en Declaración Universal de los Derechos Humanos, así como, el Pacto Internacional de Derechos Civiles y Políticos y la Convención Americana sobre Derechos Humanos.</w:t>
      </w:r>
    </w:p>
    <w:p w14:paraId="7524051F" w14:textId="77777777" w:rsidR="00C528E2" w:rsidRPr="007577D1" w:rsidRDefault="00C528E2" w:rsidP="00C528E2">
      <w:pPr>
        <w:tabs>
          <w:tab w:val="left" w:pos="3962"/>
        </w:tabs>
        <w:spacing w:line="360" w:lineRule="auto"/>
        <w:jc w:val="both"/>
        <w:rPr>
          <w:rFonts w:ascii="Palatino Linotype" w:eastAsia="Calibri" w:hAnsi="Palatino Linotype" w:cs="Tahoma"/>
          <w:bCs/>
          <w:sz w:val="24"/>
          <w:szCs w:val="24"/>
        </w:rPr>
      </w:pPr>
      <w:r w:rsidRPr="007577D1">
        <w:rPr>
          <w:rFonts w:ascii="Palatino Linotype" w:eastAsia="Calibri" w:hAnsi="Palatino Linotype" w:cs="Tahoma"/>
          <w:bCs/>
          <w:sz w:val="24"/>
          <w:szCs w:val="24"/>
        </w:rPr>
        <w:lastRenderedPageBreak/>
        <w:t>En ese contexto, la tesis aislada número 2a. XXXV/2007, emitida por la Segunda Sala de la Suprema Corte de Justicia de la Nación, publicada en la Gaceta del Semanario Judicial de la Federación, Tomo XXV, de mayo de dos mil siete, página 1186, de la Novena Época, materia constitucional y penal, establece:</w:t>
      </w:r>
    </w:p>
    <w:p w14:paraId="01E57A37" w14:textId="77777777" w:rsidR="00C528E2" w:rsidRPr="007577D1" w:rsidRDefault="00C528E2" w:rsidP="00C528E2">
      <w:pPr>
        <w:ind w:left="567" w:right="567"/>
        <w:contextualSpacing/>
        <w:jc w:val="both"/>
        <w:rPr>
          <w:rFonts w:ascii="Palatino Linotype" w:eastAsia="Calibri" w:hAnsi="Palatino Linotype" w:cs="Tahoma"/>
          <w:bCs/>
          <w:i/>
          <w:iCs/>
        </w:rPr>
      </w:pPr>
      <w:r w:rsidRPr="007577D1">
        <w:rPr>
          <w:rFonts w:ascii="Palatino Linotype" w:eastAsia="Calibri" w:hAnsi="Palatino Linotype" w:cs="Tahoma"/>
          <w:b/>
          <w:bCs/>
          <w:i/>
          <w:iCs/>
        </w:rPr>
        <w:t xml:space="preserve">“PRESUNCIÓN DE INOCENCIA. ALCANCES DE ESE PRINCIPIO CONSTITUCIONAL. </w:t>
      </w:r>
      <w:r w:rsidRPr="007577D1">
        <w:rPr>
          <w:rFonts w:ascii="Palatino Linotype" w:eastAsia="Calibri" w:hAnsi="Palatino Linotype" w:cs="Tahoma"/>
          <w:bCs/>
          <w:i/>
          <w:iCs/>
        </w:rPr>
        <w:t>El principio de presunción de inocencia que en materia procesal penal impone la obligación de arrojar la carga de la prueba al acusador, es un derecho fundamental que la Constitución Política de los Estados Unidos Mexicanos reconoce y garantiza en general, cuyo alcance trasciende la órbita del debido proceso, pues con su aplicación se garantiza la protección de otros derechos fundamentales como son la dignidad humana, la libertad, la honra y el buen nombre, que podrían resultar vulnerados por actuaciones penales o disciplinarias irregulares. En consecuencia, este principio opera también en las situaciones extraprocesales y constituye el derecho a recibir la consideración y el trato de "no autor o no partícipe" en un hecho de carácter delictivo o en otro tipo de infracciones mientras no se demuestre la culpabilidad; por ende, otorga el derecho a que no se apliquen las consecuencias a los efectos jurídicos privativos vinculados a tales hechos, en cualquier materia.”</w:t>
      </w:r>
    </w:p>
    <w:p w14:paraId="5B8E3E82" w14:textId="77777777" w:rsidR="00C528E2" w:rsidRPr="007577D1" w:rsidRDefault="00C528E2" w:rsidP="00C528E2">
      <w:pPr>
        <w:tabs>
          <w:tab w:val="left" w:pos="3962"/>
        </w:tabs>
        <w:spacing w:line="360" w:lineRule="auto"/>
        <w:jc w:val="both"/>
        <w:rPr>
          <w:rFonts w:ascii="Palatino Linotype" w:eastAsia="Calibri" w:hAnsi="Palatino Linotype" w:cs="Tahoma"/>
          <w:bCs/>
          <w:sz w:val="24"/>
          <w:szCs w:val="24"/>
        </w:rPr>
      </w:pPr>
    </w:p>
    <w:p w14:paraId="7B00F9B6" w14:textId="77777777" w:rsidR="00C528E2" w:rsidRPr="007577D1" w:rsidRDefault="00C528E2" w:rsidP="00C528E2">
      <w:pPr>
        <w:tabs>
          <w:tab w:val="left" w:pos="3962"/>
        </w:tabs>
        <w:spacing w:line="360" w:lineRule="auto"/>
        <w:jc w:val="both"/>
        <w:rPr>
          <w:rFonts w:ascii="Palatino Linotype" w:eastAsia="Calibri" w:hAnsi="Palatino Linotype" w:cs="Tahoma"/>
          <w:bCs/>
          <w:sz w:val="24"/>
          <w:szCs w:val="24"/>
        </w:rPr>
      </w:pPr>
      <w:r w:rsidRPr="007577D1">
        <w:rPr>
          <w:rFonts w:ascii="Palatino Linotype" w:eastAsia="Calibri" w:hAnsi="Palatino Linotype" w:cs="Tahoma"/>
          <w:bCs/>
          <w:sz w:val="24"/>
          <w:szCs w:val="24"/>
        </w:rPr>
        <w:t>Como se observa, el Alto Tribunal sostiene que el principio de presunción de inocencia va más allá del ámbito estrictamente procesal, en aras de proteger la esfera jurídica de las personas que se ve en peligro ante actuaciones arbitrarias por parte del poder público. Así, dicho principio guarda también una faceta “extraprocesal” que se materializa a través de un trato de inocente para el inculpado mientras no se demuestre su culpabilidad.</w:t>
      </w:r>
    </w:p>
    <w:p w14:paraId="6F78AEF4" w14:textId="77777777" w:rsidR="00C528E2" w:rsidRPr="007577D1" w:rsidRDefault="00C528E2" w:rsidP="00C528E2">
      <w:pPr>
        <w:tabs>
          <w:tab w:val="left" w:pos="3962"/>
        </w:tabs>
        <w:spacing w:line="360" w:lineRule="auto"/>
        <w:jc w:val="both"/>
        <w:rPr>
          <w:rFonts w:ascii="Palatino Linotype" w:eastAsia="Calibri" w:hAnsi="Palatino Linotype" w:cs="Tahoma"/>
          <w:bCs/>
          <w:sz w:val="24"/>
          <w:szCs w:val="24"/>
        </w:rPr>
      </w:pPr>
    </w:p>
    <w:p w14:paraId="03DCBFF4" w14:textId="77777777" w:rsidR="00C528E2" w:rsidRPr="007577D1" w:rsidRDefault="00C528E2" w:rsidP="00C528E2">
      <w:pPr>
        <w:tabs>
          <w:tab w:val="left" w:pos="3962"/>
        </w:tabs>
        <w:spacing w:line="360" w:lineRule="auto"/>
        <w:jc w:val="both"/>
        <w:rPr>
          <w:rFonts w:ascii="Palatino Linotype" w:eastAsia="Calibri" w:hAnsi="Palatino Linotype" w:cs="Tahoma"/>
          <w:bCs/>
          <w:sz w:val="24"/>
          <w:szCs w:val="24"/>
        </w:rPr>
      </w:pPr>
      <w:r w:rsidRPr="007577D1">
        <w:rPr>
          <w:rFonts w:ascii="Palatino Linotype" w:eastAsia="Calibri" w:hAnsi="Palatino Linotype" w:cs="Tahoma"/>
          <w:bCs/>
          <w:sz w:val="24"/>
          <w:szCs w:val="24"/>
        </w:rPr>
        <w:t xml:space="preserve">Conforme a lo anterior, </w:t>
      </w:r>
      <w:r w:rsidRPr="007577D1">
        <w:rPr>
          <w:rFonts w:ascii="Palatino Linotype" w:eastAsia="Calibri" w:hAnsi="Palatino Linotype" w:cs="Tahoma"/>
          <w:bCs/>
          <w:sz w:val="24"/>
          <w:szCs w:val="24"/>
          <w:u w:val="single"/>
        </w:rPr>
        <w:t>pronunciarse sobre la existencia de un procedimiento en trámite, daría a conocer la existencia de un procedimiento de probable responsabilidad, y la ciudadanía podría generar un juicio negativo, en contra del servidor público</w:t>
      </w:r>
      <w:r w:rsidRPr="007577D1">
        <w:rPr>
          <w:rFonts w:ascii="Palatino Linotype" w:eastAsia="Calibri" w:hAnsi="Palatino Linotype" w:cs="Tahoma"/>
          <w:bCs/>
          <w:sz w:val="24"/>
          <w:szCs w:val="24"/>
        </w:rPr>
        <w:t xml:space="preserve"> </w:t>
      </w:r>
      <w:r w:rsidRPr="007577D1">
        <w:rPr>
          <w:rFonts w:ascii="Palatino Linotype" w:eastAsia="Calibri" w:hAnsi="Palatino Linotype" w:cs="Tahoma"/>
          <w:bCs/>
          <w:sz w:val="24"/>
          <w:szCs w:val="24"/>
          <w:u w:val="single"/>
        </w:rPr>
        <w:t>involucrado,</w:t>
      </w:r>
      <w:r w:rsidRPr="007577D1">
        <w:rPr>
          <w:rFonts w:ascii="Palatino Linotype" w:eastAsia="Calibri" w:hAnsi="Palatino Linotype" w:cs="Tahoma"/>
          <w:bCs/>
          <w:sz w:val="24"/>
          <w:szCs w:val="24"/>
        </w:rPr>
        <w:t xml:space="preserve"> </w:t>
      </w:r>
      <w:r w:rsidRPr="007577D1">
        <w:rPr>
          <w:rFonts w:ascii="Palatino Linotype" w:eastAsia="Calibri" w:hAnsi="Palatino Linotype" w:cs="Tahoma"/>
          <w:bCs/>
          <w:sz w:val="24"/>
          <w:szCs w:val="24"/>
        </w:rPr>
        <w:lastRenderedPageBreak/>
        <w:t>sin que se hayan reunido los elementos para establecer que si son probables responsables, con lo cual, se vería afectado de manera directa, su honor y derecho a la presunción de inocencia.</w:t>
      </w:r>
    </w:p>
    <w:p w14:paraId="46BCAA1D" w14:textId="77777777" w:rsidR="00750905" w:rsidRPr="007577D1" w:rsidRDefault="00750905" w:rsidP="00C528E2">
      <w:pPr>
        <w:tabs>
          <w:tab w:val="left" w:pos="3962"/>
        </w:tabs>
        <w:spacing w:line="360" w:lineRule="auto"/>
        <w:jc w:val="both"/>
        <w:rPr>
          <w:rFonts w:ascii="Palatino Linotype" w:eastAsia="Calibri" w:hAnsi="Palatino Linotype" w:cs="Tahoma"/>
          <w:bCs/>
          <w:sz w:val="24"/>
          <w:szCs w:val="24"/>
        </w:rPr>
      </w:pPr>
    </w:p>
    <w:p w14:paraId="4ED6F666" w14:textId="77777777" w:rsidR="00C528E2" w:rsidRPr="007577D1" w:rsidRDefault="00C528E2" w:rsidP="00C528E2">
      <w:pPr>
        <w:tabs>
          <w:tab w:val="left" w:pos="3962"/>
        </w:tabs>
        <w:spacing w:line="360" w:lineRule="auto"/>
        <w:jc w:val="both"/>
        <w:rPr>
          <w:rFonts w:ascii="Palatino Linotype" w:eastAsia="Calibri" w:hAnsi="Palatino Linotype" w:cs="Tahoma"/>
          <w:bCs/>
          <w:sz w:val="24"/>
          <w:szCs w:val="24"/>
        </w:rPr>
      </w:pPr>
      <w:r w:rsidRPr="007577D1">
        <w:rPr>
          <w:rFonts w:ascii="Palatino Linotype" w:eastAsia="Calibri" w:hAnsi="Palatino Linotype" w:cs="Tahoma"/>
          <w:bCs/>
          <w:sz w:val="24"/>
          <w:szCs w:val="24"/>
        </w:rPr>
        <w:t>Así, toda vez que realizar el pronunciamiento afectaría el derecho al honor, buena imagen y presunción de inocencia del servidor público, se considera que deberá clasificarlo en términos del artículo 143, fracción I, de la Ley de Transparencia y Acceso a la Información Pública del Estado de México y Municipios.</w:t>
      </w:r>
    </w:p>
    <w:p w14:paraId="27B7750F" w14:textId="77777777" w:rsidR="00C528E2" w:rsidRPr="007577D1" w:rsidRDefault="00C528E2" w:rsidP="00C528E2">
      <w:pPr>
        <w:autoSpaceDE w:val="0"/>
        <w:autoSpaceDN w:val="0"/>
        <w:spacing w:line="360" w:lineRule="auto"/>
        <w:jc w:val="both"/>
        <w:rPr>
          <w:rFonts w:ascii="Palatino Linotype" w:hAnsi="Palatino Linotype" w:cs="Tahoma"/>
          <w:b/>
          <w:sz w:val="24"/>
          <w:szCs w:val="24"/>
          <w:u w:val="single"/>
        </w:rPr>
      </w:pPr>
    </w:p>
    <w:p w14:paraId="4412774C" w14:textId="77777777" w:rsidR="00C528E2" w:rsidRPr="007577D1" w:rsidRDefault="00C528E2" w:rsidP="00C528E2">
      <w:pPr>
        <w:spacing w:line="360" w:lineRule="auto"/>
        <w:jc w:val="both"/>
        <w:rPr>
          <w:rFonts w:ascii="Palatino Linotype" w:hAnsi="Palatino Linotype" w:cs="Tahoma"/>
          <w:sz w:val="24"/>
          <w:szCs w:val="24"/>
        </w:rPr>
      </w:pPr>
      <w:r w:rsidRPr="007577D1">
        <w:rPr>
          <w:rFonts w:ascii="Palatino Linotype" w:hAnsi="Palatino Linotype" w:cs="Tahoma"/>
          <w:sz w:val="24"/>
          <w:szCs w:val="24"/>
        </w:rPr>
        <w:t>En ese contexto, resulta necesario, los artículos 3°, fracción XII y 8°, fracción VI, de la Ley General de Transparencia y Acceso a la Información Pública vigente a la fecha de la solicitud, relacionados con los diversos 3°, fracción XXII y 9°, fracción VII, de la Ley de Transparencia y Acceso a la Información Pública del Estado de México, establecen lo siguiente:</w:t>
      </w:r>
    </w:p>
    <w:p w14:paraId="137776F4" w14:textId="77777777" w:rsidR="00C528E2" w:rsidRPr="007577D1" w:rsidRDefault="00C528E2" w:rsidP="00C528E2">
      <w:pPr>
        <w:pStyle w:val="Prrafodelista"/>
        <w:numPr>
          <w:ilvl w:val="0"/>
          <w:numId w:val="10"/>
        </w:numPr>
        <w:contextualSpacing/>
        <w:rPr>
          <w:rFonts w:cs="Tahoma"/>
          <w:b/>
        </w:rPr>
      </w:pPr>
      <w:r w:rsidRPr="007577D1">
        <w:rPr>
          <w:rFonts w:cs="Tahoma"/>
          <w:b/>
        </w:rPr>
        <w:t xml:space="preserve">Principio de Máxima Publicidad: </w:t>
      </w:r>
      <w:r w:rsidRPr="007577D1">
        <w:rPr>
          <w:rFonts w:cs="Tahoma"/>
        </w:rPr>
        <w:t>Precisa que toda la información en posesión de los entes sujetos a las Leyes de Transparencia es pública, completa, oportuna y accesible, sujeta a un claro régimen de excepciones.</w:t>
      </w:r>
    </w:p>
    <w:p w14:paraId="691B2809" w14:textId="77777777" w:rsidR="00C528E2" w:rsidRPr="007577D1" w:rsidRDefault="00C528E2" w:rsidP="00C528E2">
      <w:pPr>
        <w:pStyle w:val="Prrafodelista"/>
        <w:rPr>
          <w:rFonts w:cs="Tahoma"/>
          <w:b/>
        </w:rPr>
      </w:pPr>
    </w:p>
    <w:p w14:paraId="51DBC05A" w14:textId="77777777" w:rsidR="00C528E2" w:rsidRPr="007577D1" w:rsidRDefault="00C528E2" w:rsidP="00C528E2">
      <w:pPr>
        <w:pStyle w:val="Prrafodelista"/>
        <w:numPr>
          <w:ilvl w:val="0"/>
          <w:numId w:val="10"/>
        </w:numPr>
        <w:contextualSpacing/>
        <w:rPr>
          <w:rFonts w:cs="Tahoma"/>
          <w:b/>
        </w:rPr>
      </w:pPr>
      <w:r w:rsidRPr="007577D1">
        <w:rPr>
          <w:rFonts w:cs="Tahoma"/>
          <w:b/>
        </w:rPr>
        <w:t xml:space="preserve">Información de Interés Público: </w:t>
      </w:r>
      <w:r w:rsidRPr="007577D1">
        <w:rPr>
          <w:rFonts w:cs="Tahoma"/>
        </w:rPr>
        <w:t>Es aquella que resulta relevante o beneficiosa para la sociedad y no simplemente de interés individual, cuya divulgación resulta útil para que el público comprenda las actividades que llevan a cabo los sujetos obligados.</w:t>
      </w:r>
    </w:p>
    <w:p w14:paraId="766F29CA" w14:textId="77777777" w:rsidR="00C528E2" w:rsidRPr="007577D1" w:rsidRDefault="00C528E2" w:rsidP="00C528E2">
      <w:pPr>
        <w:autoSpaceDE w:val="0"/>
        <w:autoSpaceDN w:val="0"/>
        <w:spacing w:line="360" w:lineRule="auto"/>
        <w:jc w:val="both"/>
        <w:rPr>
          <w:rFonts w:ascii="Palatino Linotype" w:hAnsi="Palatino Linotype" w:cs="Tahoma"/>
          <w:bCs/>
          <w:sz w:val="24"/>
          <w:szCs w:val="24"/>
        </w:rPr>
      </w:pPr>
    </w:p>
    <w:p w14:paraId="21A31635" w14:textId="77777777" w:rsidR="00C528E2" w:rsidRPr="007577D1" w:rsidRDefault="00C528E2" w:rsidP="00C528E2">
      <w:pPr>
        <w:spacing w:line="360" w:lineRule="auto"/>
        <w:jc w:val="both"/>
        <w:rPr>
          <w:rFonts w:ascii="Palatino Linotype" w:hAnsi="Palatino Linotype" w:cs="Tahoma"/>
          <w:sz w:val="24"/>
          <w:szCs w:val="24"/>
        </w:rPr>
      </w:pPr>
      <w:r w:rsidRPr="007577D1">
        <w:rPr>
          <w:rFonts w:ascii="Palatino Linotype" w:hAnsi="Palatino Linotype" w:cs="Tahoma"/>
          <w:sz w:val="24"/>
          <w:szCs w:val="24"/>
        </w:rPr>
        <w:t>Como se logra observar, el interés público está íntimamente relacionado, con el principio de máxima publicidad y las excepciones a la clasificación de la información; lo anterior, pues existe un interés general de la sociedad de conocer sobre los actos de corrupción y las posibles violaciones a derechos humanos, pues no son afectaciones que se dan en lo individual, sino que existe un detrimento en un grupo o en la población en general.</w:t>
      </w:r>
    </w:p>
    <w:p w14:paraId="0897B16B" w14:textId="77777777" w:rsidR="00C528E2" w:rsidRPr="007577D1" w:rsidRDefault="00C528E2" w:rsidP="00C528E2">
      <w:pPr>
        <w:spacing w:line="360" w:lineRule="auto"/>
        <w:jc w:val="both"/>
        <w:rPr>
          <w:rFonts w:ascii="Palatino Linotype" w:hAnsi="Palatino Linotype" w:cs="Tahoma"/>
          <w:sz w:val="24"/>
          <w:szCs w:val="24"/>
        </w:rPr>
      </w:pPr>
    </w:p>
    <w:p w14:paraId="3E7E1842" w14:textId="77777777" w:rsidR="00C528E2" w:rsidRPr="007577D1" w:rsidRDefault="00C528E2" w:rsidP="00C528E2">
      <w:pPr>
        <w:tabs>
          <w:tab w:val="left" w:pos="3962"/>
        </w:tabs>
        <w:spacing w:line="360" w:lineRule="auto"/>
        <w:jc w:val="both"/>
        <w:rPr>
          <w:rFonts w:ascii="Palatino Linotype" w:eastAsia="Calibri" w:hAnsi="Palatino Linotype" w:cs="Tahoma"/>
          <w:bCs/>
          <w:sz w:val="24"/>
          <w:szCs w:val="24"/>
        </w:rPr>
      </w:pPr>
    </w:p>
    <w:p w14:paraId="06757346" w14:textId="77777777" w:rsidR="00C528E2" w:rsidRPr="007577D1" w:rsidRDefault="00C528E2" w:rsidP="00C528E2">
      <w:pPr>
        <w:pStyle w:val="Prrafodelista"/>
        <w:numPr>
          <w:ilvl w:val="0"/>
          <w:numId w:val="12"/>
        </w:numPr>
        <w:tabs>
          <w:tab w:val="left" w:pos="3962"/>
        </w:tabs>
        <w:ind w:left="426"/>
        <w:contextualSpacing/>
        <w:rPr>
          <w:rFonts w:cs="Tahoma"/>
          <w:b/>
          <w:bCs/>
        </w:rPr>
      </w:pPr>
      <w:r w:rsidRPr="007577D1">
        <w:rPr>
          <w:rFonts w:cs="Tahoma"/>
          <w:b/>
          <w:bCs/>
        </w:rPr>
        <w:t>Procedimiento concluido por falta administrativa no grave.</w:t>
      </w:r>
    </w:p>
    <w:p w14:paraId="62D3E8FE" w14:textId="77777777" w:rsidR="00C528E2" w:rsidRPr="007577D1" w:rsidRDefault="00C528E2" w:rsidP="00C528E2">
      <w:pPr>
        <w:spacing w:line="360" w:lineRule="auto"/>
        <w:jc w:val="both"/>
        <w:rPr>
          <w:rFonts w:ascii="Palatino Linotype" w:eastAsia="Calibri" w:hAnsi="Palatino Linotype" w:cs="Tahoma"/>
          <w:b/>
          <w:iCs/>
          <w:sz w:val="24"/>
          <w:szCs w:val="24"/>
          <w:lang w:eastAsia="es-ES_tradnl"/>
        </w:rPr>
      </w:pPr>
      <w:r w:rsidRPr="007577D1">
        <w:rPr>
          <w:rFonts w:ascii="Palatino Linotype" w:eastAsia="Calibri" w:hAnsi="Palatino Linotype" w:cs="Tahoma"/>
          <w:iCs/>
          <w:sz w:val="24"/>
          <w:szCs w:val="24"/>
          <w:lang w:eastAsia="es-ES_tradnl"/>
        </w:rPr>
        <w:t>En ese sentido, emitir un pronunciamiento sobre la existencia de un procedimiento de responsabilidad por faltas no graves</w:t>
      </w:r>
      <w:r w:rsidRPr="007577D1">
        <w:rPr>
          <w:rFonts w:ascii="Palatino Linotype" w:eastAsia="Calibri" w:hAnsi="Palatino Linotype" w:cs="Tahoma"/>
          <w:b/>
          <w:iCs/>
          <w:sz w:val="24"/>
          <w:szCs w:val="24"/>
          <w:lang w:eastAsia="es-ES_tradnl"/>
        </w:rPr>
        <w:t xml:space="preserve">, </w:t>
      </w:r>
      <w:r w:rsidRPr="007577D1">
        <w:rPr>
          <w:rFonts w:ascii="Palatino Linotype" w:eastAsia="Calibri" w:hAnsi="Palatino Linotype" w:cs="Tahoma"/>
          <w:iCs/>
          <w:sz w:val="24"/>
          <w:szCs w:val="24"/>
          <w:lang w:eastAsia="es-ES_tradnl"/>
        </w:rPr>
        <w:t>concluido</w:t>
      </w:r>
      <w:r w:rsidRPr="007577D1">
        <w:rPr>
          <w:rFonts w:ascii="Palatino Linotype" w:eastAsia="Calibri" w:hAnsi="Palatino Linotype" w:cs="Tahoma"/>
          <w:b/>
          <w:iCs/>
          <w:sz w:val="24"/>
          <w:szCs w:val="24"/>
          <w:lang w:eastAsia="es-ES_tradnl"/>
        </w:rPr>
        <w:t xml:space="preserve">, </w:t>
      </w:r>
      <w:r w:rsidRPr="007577D1">
        <w:rPr>
          <w:rFonts w:ascii="Palatino Linotype" w:eastAsia="Calibri" w:hAnsi="Palatino Linotype" w:cs="Tahoma"/>
          <w:iCs/>
          <w:sz w:val="24"/>
          <w:szCs w:val="24"/>
          <w:lang w:eastAsia="es-ES_tradnl"/>
        </w:rPr>
        <w:t xml:space="preserve">en caso de que existiera, </w:t>
      </w:r>
      <w:r w:rsidRPr="007577D1">
        <w:rPr>
          <w:rFonts w:ascii="Palatino Linotype" w:eastAsia="Calibri" w:hAnsi="Palatino Linotype" w:cs="Tahoma"/>
          <w:b/>
          <w:iCs/>
          <w:sz w:val="24"/>
          <w:szCs w:val="24"/>
          <w:lang w:eastAsia="es-ES_tradnl"/>
        </w:rPr>
        <w:t xml:space="preserve">podría afectar su honor, buen nombre y su imagen del servidor público. </w:t>
      </w:r>
      <w:r w:rsidRPr="007577D1">
        <w:rPr>
          <w:rFonts w:ascii="Palatino Linotype" w:hAnsi="Palatino Linotype"/>
          <w:sz w:val="24"/>
          <w:szCs w:val="24"/>
        </w:rPr>
        <w:t>Al respecto, la Suprema Corte de Justicia de la Nación ha reconocido como derechos fundamentales de las personas, el derecho a la intimidad y a la propia imagen, en el siguiente criterio:</w:t>
      </w:r>
    </w:p>
    <w:p w14:paraId="769E4AB0" w14:textId="77777777" w:rsidR="00C528E2" w:rsidRPr="007577D1" w:rsidRDefault="00C528E2" w:rsidP="00C82CF6">
      <w:pPr>
        <w:ind w:left="567" w:right="567"/>
        <w:jc w:val="both"/>
        <w:rPr>
          <w:rFonts w:ascii="Palatino Linotype" w:hAnsi="Palatino Linotype" w:cs="Arial"/>
          <w:b/>
          <w:i/>
          <w:color w:val="000000"/>
        </w:rPr>
      </w:pPr>
      <w:r w:rsidRPr="007577D1">
        <w:rPr>
          <w:rFonts w:ascii="Palatino Linotype" w:hAnsi="Palatino Linotype" w:cs="Arial"/>
          <w:bCs/>
          <w:i/>
          <w:color w:val="000000"/>
        </w:rPr>
        <w:t>“</w:t>
      </w:r>
      <w:r w:rsidRPr="007577D1">
        <w:rPr>
          <w:rFonts w:ascii="Palatino Linotype" w:hAnsi="Palatino Linotype" w:cs="Arial"/>
          <w:b/>
          <w:bCs/>
          <w:i/>
          <w:color w:val="000000"/>
        </w:rPr>
        <w:t xml:space="preserve">DERECHOS A LA INTIMIDAD, PROPIA IMAGEN, IDENTIDAD PERSONAL Y SEXUAL. CONSTITUYEN DERECHOS DE DEFENSA Y GARANTÍA ESENCIAL PARA LA CONDICIÓN HUMANA.  </w:t>
      </w:r>
      <w:r w:rsidRPr="007577D1">
        <w:rPr>
          <w:rFonts w:ascii="Palatino Linotype" w:hAnsi="Palatino Linotype" w:cs="Arial"/>
          <w:i/>
          <w:color w:val="000000"/>
        </w:rPr>
        <w:t xml:space="preserve">Dentro de los derechos personalísimos se encuentran necesariamente comprendidos el </w:t>
      </w:r>
      <w:r w:rsidRPr="007577D1">
        <w:rPr>
          <w:rFonts w:ascii="Palatino Linotype" w:hAnsi="Palatino Linotype" w:cs="Arial"/>
          <w:b/>
          <w:i/>
          <w:color w:val="000000"/>
        </w:rPr>
        <w:t>derecho a la intimidad y a la propia imagen</w:t>
      </w:r>
      <w:r w:rsidRPr="007577D1">
        <w:rPr>
          <w:rFonts w:ascii="Palatino Linotype" w:hAnsi="Palatino Linotype" w:cs="Arial"/>
          <w:i/>
          <w:color w:val="000000"/>
        </w:rPr>
        <w:t xml:space="preserve">, así como a la </w:t>
      </w:r>
      <w:r w:rsidRPr="007577D1">
        <w:rPr>
          <w:rFonts w:ascii="Palatino Linotype" w:hAnsi="Palatino Linotype" w:cs="Arial"/>
          <w:b/>
          <w:i/>
          <w:color w:val="000000"/>
        </w:rPr>
        <w:t>identidad personal</w:t>
      </w:r>
      <w:r w:rsidRPr="007577D1">
        <w:rPr>
          <w:rFonts w:ascii="Palatino Linotype" w:hAnsi="Palatino Linotype" w:cs="Arial"/>
          <w:i/>
          <w:color w:val="000000"/>
        </w:rPr>
        <w:t xml:space="preserve"> y sexual; entendiéndose por el primero, </w:t>
      </w:r>
      <w:r w:rsidRPr="007577D1">
        <w:rPr>
          <w:rFonts w:ascii="Palatino Linotype" w:hAnsi="Palatino Linotype" w:cs="Arial"/>
          <w:b/>
          <w:i/>
          <w:color w:val="000000"/>
        </w:rPr>
        <w:t>el derecho del individuo a no ser conocido por otros en ciertos aspectos de su vida</w:t>
      </w:r>
      <w:r w:rsidRPr="007577D1">
        <w:rPr>
          <w:rFonts w:ascii="Palatino Linotype" w:hAnsi="Palatino Linotype" w:cs="Arial"/>
          <w:i/>
          <w:color w:val="000000"/>
        </w:rPr>
        <w:t xml:space="preserve"> y, </w:t>
      </w:r>
      <w:r w:rsidRPr="007577D1">
        <w:rPr>
          <w:rFonts w:ascii="Palatino Linotype" w:hAnsi="Palatino Linotype" w:cs="Arial"/>
          <w:b/>
          <w:i/>
          <w:color w:val="000000"/>
        </w:rPr>
        <w:t>por ende, el poder de decisión sobre la publicidad o información de datos relativos a su persona</w:t>
      </w:r>
      <w:r w:rsidRPr="007577D1">
        <w:rPr>
          <w:rFonts w:ascii="Palatino Linotype" w:hAnsi="Palatino Linotype" w:cs="Arial"/>
          <w:i/>
          <w:color w:val="000000"/>
        </w:rPr>
        <w:t>, familia, pensamientos o sentimientos;</w:t>
      </w:r>
      <w:r w:rsidRPr="007577D1">
        <w:rPr>
          <w:rFonts w:ascii="Palatino Linotype" w:hAnsi="Palatino Linotype" w:cs="Arial"/>
          <w:b/>
          <w:i/>
          <w:color w:val="000000"/>
        </w:rPr>
        <w:t xml:space="preserve"> </w:t>
      </w:r>
      <w:r w:rsidRPr="007577D1">
        <w:rPr>
          <w:rFonts w:ascii="Palatino Linotype" w:hAnsi="Palatino Linotype" w:cs="Arial"/>
          <w:i/>
          <w:color w:val="000000"/>
        </w:rPr>
        <w:t xml:space="preserve">a la </w:t>
      </w:r>
      <w:r w:rsidRPr="007577D1">
        <w:rPr>
          <w:rFonts w:ascii="Palatino Linotype" w:hAnsi="Palatino Linotype" w:cs="Arial"/>
          <w:b/>
          <w:i/>
          <w:color w:val="000000"/>
        </w:rPr>
        <w:t>propia imagen, como aquel derecho de decidir, en forma libre, sobre la manera en que elige mostrarse frente a los demás</w:t>
      </w:r>
      <w:r w:rsidRPr="007577D1">
        <w:rPr>
          <w:rFonts w:ascii="Palatino Linotype" w:hAnsi="Palatino Linotype" w:cs="Arial"/>
          <w:i/>
          <w:color w:val="000000"/>
        </w:rPr>
        <w:t xml:space="preserve">; a la identidad personal, entendida como el derecho de todo individuo a ser uno mismo, en la propia conciencia y en la opinión de los demás, es decir, es la forma en que se ve a sí mismo y se proyecta en la sociedad, de acuerdo con sus caracteres físicos e internos y sus acciones, que lo individualizan </w:t>
      </w:r>
      <w:r w:rsidRPr="007577D1">
        <w:rPr>
          <w:rFonts w:ascii="Palatino Linotype" w:hAnsi="Palatino Linotype" w:cs="Arial"/>
          <w:i/>
          <w:color w:val="000000"/>
        </w:rPr>
        <w:lastRenderedPageBreak/>
        <w:t xml:space="preserve">ante la sociedad y permiten identificarlo; y que implica, por tanto, la identidad sexual, al ser la manera en que cada individuo se proyecta frente a sí y ante la sociedad desde su perspectiva sexual, no sólo en cuanto a sus preferencias sexuales sino, primordialmente, en cuanto a cómo se percibe él, con base en sus sentimientos y convicciones más profundos de pertenencia o no al sexo que legalmente le fue asignado al nacer y que, de acuerdo a ese ajuste personalísimo en el desarrollo de cada individuo, proyectará su vida en todos los ámbitos, privado y público, por lo que al ser la sexualidad un elemento esencial de la persona y de su psique, la autodeterminación sexual forma parte de ese ámbito propio y reservado de lo íntimo, la parte de la vida que se desea mantener fuera del alcance de terceros o del conocimiento público. Por consiguiente, </w:t>
      </w:r>
      <w:r w:rsidRPr="007577D1">
        <w:rPr>
          <w:rFonts w:ascii="Palatino Linotype" w:hAnsi="Palatino Linotype" w:cs="Arial"/>
          <w:b/>
          <w:i/>
          <w:color w:val="000000"/>
        </w:rPr>
        <w:t>al constituir derechos inherentes a la persona, fuera de la injerencia de los demás, se configuran como derechos de defensa y garantía esencial para la condición humana, ya que pueden reclamarse tanto en defensa de la intimidad violada o amenazada, como exigir del Estado que prevenga la existencia de eventuales intromisiones que los lesionen por lo que, si bien no son absolutos, sólo por ley podrá justificarse su intromisión, siempre que medie un interés superior.</w:t>
      </w:r>
      <w:r w:rsidRPr="007577D1">
        <w:rPr>
          <w:rFonts w:ascii="Palatino Linotype" w:hAnsi="Palatino Linotype" w:cs="Arial"/>
          <w:i/>
          <w:color w:val="000000"/>
        </w:rPr>
        <w:t>”</w:t>
      </w:r>
    </w:p>
    <w:p w14:paraId="31A429CA" w14:textId="77777777" w:rsidR="00C528E2" w:rsidRPr="007577D1" w:rsidRDefault="00C528E2" w:rsidP="00C528E2">
      <w:pPr>
        <w:spacing w:line="360" w:lineRule="auto"/>
        <w:jc w:val="both"/>
        <w:rPr>
          <w:rFonts w:ascii="Palatino Linotype" w:hAnsi="Palatino Linotype"/>
          <w:b/>
          <w:sz w:val="24"/>
          <w:szCs w:val="24"/>
        </w:rPr>
      </w:pPr>
      <w:r w:rsidRPr="007577D1">
        <w:rPr>
          <w:rFonts w:ascii="Palatino Linotype" w:hAnsi="Palatino Linotype"/>
          <w:sz w:val="24"/>
          <w:szCs w:val="24"/>
        </w:rPr>
        <w:t xml:space="preserve">En ese sentido, es derecho de todo individuo a no ser conocido por otros en ciertos aspectos de su vida y, por ende, el poder de decisión sobre la publicidad o información de datos relativos a su persona </w:t>
      </w:r>
      <w:r w:rsidRPr="007577D1">
        <w:rPr>
          <w:rFonts w:ascii="Palatino Linotype" w:hAnsi="Palatino Linotype"/>
          <w:b/>
          <w:sz w:val="24"/>
          <w:szCs w:val="24"/>
        </w:rPr>
        <w:t>(</w:t>
      </w:r>
      <w:r w:rsidRPr="007577D1">
        <w:rPr>
          <w:rFonts w:ascii="Palatino Linotype" w:hAnsi="Palatino Linotype"/>
          <w:sz w:val="24"/>
          <w:szCs w:val="24"/>
        </w:rPr>
        <w:t>derecho a la intimidad).</w:t>
      </w:r>
      <w:r w:rsidRPr="007577D1">
        <w:rPr>
          <w:rFonts w:ascii="Palatino Linotype" w:hAnsi="Palatino Linotype"/>
          <w:b/>
          <w:sz w:val="24"/>
          <w:szCs w:val="24"/>
        </w:rPr>
        <w:t xml:space="preserve"> </w:t>
      </w:r>
      <w:r w:rsidRPr="007577D1">
        <w:rPr>
          <w:rFonts w:ascii="Palatino Linotype" w:hAnsi="Palatino Linotype"/>
          <w:sz w:val="24"/>
          <w:szCs w:val="24"/>
        </w:rPr>
        <w:t>Asimismo, el derecho a la propia imagen es el derecho de decidir, de forma libre, sobre la manera en que elige mostrarse frente a los demás.</w:t>
      </w:r>
    </w:p>
    <w:p w14:paraId="01E3FAEF" w14:textId="77777777" w:rsidR="00C528E2" w:rsidRPr="007577D1" w:rsidRDefault="00C528E2" w:rsidP="00C528E2">
      <w:pPr>
        <w:spacing w:line="360" w:lineRule="auto"/>
        <w:jc w:val="both"/>
        <w:rPr>
          <w:rFonts w:ascii="Palatino Linotype" w:hAnsi="Palatino Linotype" w:cs="Arial"/>
          <w:sz w:val="24"/>
          <w:szCs w:val="24"/>
        </w:rPr>
      </w:pPr>
    </w:p>
    <w:p w14:paraId="221E606B" w14:textId="77777777" w:rsidR="00C528E2" w:rsidRPr="007577D1" w:rsidRDefault="00C528E2" w:rsidP="00C528E2">
      <w:pPr>
        <w:spacing w:line="360" w:lineRule="auto"/>
        <w:ind w:right="-1"/>
        <w:jc w:val="both"/>
        <w:rPr>
          <w:rFonts w:ascii="Palatino Linotype" w:hAnsi="Palatino Linotype"/>
          <w:sz w:val="24"/>
          <w:szCs w:val="24"/>
        </w:rPr>
      </w:pPr>
      <w:r w:rsidRPr="007577D1">
        <w:rPr>
          <w:rFonts w:ascii="Palatino Linotype" w:hAnsi="Palatino Linotype" w:cs="Arial"/>
          <w:bCs/>
          <w:iCs/>
          <w:sz w:val="24"/>
          <w:szCs w:val="24"/>
        </w:rPr>
        <w:t xml:space="preserve">Por otro lado, en cuanto al </w:t>
      </w:r>
      <w:r w:rsidRPr="007577D1">
        <w:rPr>
          <w:rFonts w:ascii="Palatino Linotype" w:hAnsi="Palatino Linotype" w:cs="Arial"/>
          <w:b/>
          <w:bCs/>
          <w:iCs/>
          <w:sz w:val="24"/>
          <w:szCs w:val="24"/>
        </w:rPr>
        <w:t>derecho al honor</w:t>
      </w:r>
      <w:r w:rsidRPr="007577D1">
        <w:rPr>
          <w:rFonts w:ascii="Palatino Linotype" w:hAnsi="Palatino Linotype" w:cs="Arial"/>
          <w:bCs/>
          <w:iCs/>
          <w:sz w:val="24"/>
          <w:szCs w:val="24"/>
        </w:rPr>
        <w:t xml:space="preserve">, </w:t>
      </w:r>
      <w:r w:rsidRPr="007577D1">
        <w:rPr>
          <w:rFonts w:ascii="Palatino Linotype" w:hAnsi="Palatino Linotype"/>
          <w:sz w:val="24"/>
          <w:szCs w:val="24"/>
        </w:rPr>
        <w:t xml:space="preserve">la jurisprudencia número 1a./J. 118/2013 (10a.), emitida por la Primera Sala de la Suprema Corte de Justicia de la Nación, publicada en la Gaceta del Semanario Judicial de la Federación, Tomo I, Libro 3, de febrero de 2014, página 470, de la Décima Época, materia constitucional, dispone: </w:t>
      </w:r>
    </w:p>
    <w:p w14:paraId="0265A831" w14:textId="77777777" w:rsidR="00C528E2" w:rsidRPr="007577D1" w:rsidRDefault="00C528E2" w:rsidP="00C528E2">
      <w:pPr>
        <w:autoSpaceDE w:val="0"/>
        <w:autoSpaceDN w:val="0"/>
        <w:adjustRightInd w:val="0"/>
        <w:ind w:left="567" w:right="567"/>
        <w:jc w:val="both"/>
        <w:rPr>
          <w:rFonts w:ascii="Palatino Linotype" w:eastAsia="Batang" w:hAnsi="Palatino Linotype" w:cs="Arial"/>
          <w:b/>
          <w:i/>
        </w:rPr>
      </w:pPr>
      <w:r w:rsidRPr="007577D1">
        <w:rPr>
          <w:rFonts w:ascii="Palatino Linotype" w:eastAsia="Batang" w:hAnsi="Palatino Linotype" w:cs="Arial"/>
          <w:i/>
        </w:rPr>
        <w:t>“</w:t>
      </w:r>
      <w:r w:rsidRPr="007577D1">
        <w:rPr>
          <w:rFonts w:ascii="Palatino Linotype" w:eastAsia="Batang" w:hAnsi="Palatino Linotype" w:cs="Arial"/>
          <w:b/>
          <w:i/>
        </w:rPr>
        <w:t xml:space="preserve">DERECHO FUNDAMENTAL AL HONOR. SU DIMENSIÓN SUBJETIVA Y OBJETIVA. </w:t>
      </w:r>
      <w:r w:rsidRPr="007577D1">
        <w:rPr>
          <w:rFonts w:ascii="Palatino Linotype" w:eastAsia="Batang" w:hAnsi="Palatino Linotype" w:cs="Arial"/>
          <w:i/>
        </w:rPr>
        <w:t xml:space="preserve">A juicio de esta Primera Sala de la Suprema Corte de Justicia de la Nación, es posible definir al honor como el </w:t>
      </w:r>
      <w:r w:rsidRPr="007577D1">
        <w:rPr>
          <w:rFonts w:ascii="Palatino Linotype" w:eastAsia="Batang" w:hAnsi="Palatino Linotype" w:cs="Arial"/>
          <w:b/>
          <w:i/>
        </w:rPr>
        <w:t xml:space="preserve">concepto que la persona tiene de sí misma o que los demás se han formado de ella, en virtud de su proceder o de la expresión de su calidad </w:t>
      </w:r>
      <w:r w:rsidRPr="007577D1">
        <w:rPr>
          <w:rFonts w:ascii="Palatino Linotype" w:eastAsia="Batang" w:hAnsi="Palatino Linotype" w:cs="Arial"/>
          <w:b/>
          <w:i/>
        </w:rPr>
        <w:lastRenderedPageBreak/>
        <w:t>ética y social.</w:t>
      </w:r>
      <w:r w:rsidRPr="007577D1">
        <w:rPr>
          <w:rFonts w:ascii="Palatino Linotype" w:eastAsia="Batang" w:hAnsi="Palatino Linotype" w:cs="Arial"/>
          <w:i/>
        </w:rPr>
        <w:t xml:space="preserve"> Todo individuo, al vivir en sociedad, tiene el derecho de ser respetado y considerado y, correlativamente, tiene la obligación de respetar a aquellos que lo rodean. En el campo jurídico esta necesidad se traduce en un derecho que involucra la facultad que tiene cada individuo de pedir que se le trate en forma decorosa y la obligación de los demás de responder a este tratamiento. Por lo general, existen dos formas de sentir y entender el honor: a) en el aspecto subjetivo o ético, el honor se basa en un sentimiento íntimo que se exterioriza por la afirmación que la persona hace de su propia dignidad; y b) en el aspecto objetivo, externo o social, como la estimación interpersonal que la persona tiene por sus cualidades morales y profesionales dentro de la comunidad. En el aspecto subjetivo, el honor es lesionado por todo aquello que lastima el sentimiento de la propia dignidad. En el aspecto objetivo, el honor es lesionado por todo aquello que afecta a la reputación que la persona merece, es decir, el derecho a que otros no condicionen negativamente la opinión que los demás hayan de formarse de nosotros.”</w:t>
      </w:r>
    </w:p>
    <w:p w14:paraId="10F21694" w14:textId="77777777" w:rsidR="00C528E2" w:rsidRPr="007577D1" w:rsidRDefault="00C528E2" w:rsidP="00C528E2">
      <w:pPr>
        <w:autoSpaceDE w:val="0"/>
        <w:autoSpaceDN w:val="0"/>
        <w:adjustRightInd w:val="0"/>
        <w:spacing w:line="360" w:lineRule="auto"/>
        <w:jc w:val="both"/>
        <w:rPr>
          <w:rFonts w:ascii="Palatino Linotype" w:eastAsia="Batang" w:hAnsi="Palatino Linotype" w:cs="Arial"/>
          <w:bCs/>
          <w:iCs/>
        </w:rPr>
      </w:pPr>
    </w:p>
    <w:p w14:paraId="3258D6C7" w14:textId="77777777" w:rsidR="00C528E2" w:rsidRPr="007577D1" w:rsidRDefault="00C528E2" w:rsidP="00C528E2">
      <w:pPr>
        <w:autoSpaceDE w:val="0"/>
        <w:autoSpaceDN w:val="0"/>
        <w:adjustRightInd w:val="0"/>
        <w:spacing w:line="360" w:lineRule="auto"/>
        <w:jc w:val="both"/>
        <w:rPr>
          <w:rFonts w:ascii="Palatino Linotype" w:eastAsia="Batang" w:hAnsi="Palatino Linotype" w:cs="Arial"/>
          <w:sz w:val="24"/>
          <w:szCs w:val="24"/>
        </w:rPr>
      </w:pPr>
      <w:r w:rsidRPr="007577D1">
        <w:rPr>
          <w:rFonts w:ascii="Palatino Linotype" w:eastAsia="Batang" w:hAnsi="Palatino Linotype" w:cs="Arial"/>
          <w:bCs/>
          <w:iCs/>
          <w:sz w:val="24"/>
          <w:szCs w:val="24"/>
        </w:rPr>
        <w:t xml:space="preserve">De la tesis transcrita se desprende que </w:t>
      </w:r>
      <w:r w:rsidRPr="007577D1">
        <w:rPr>
          <w:rFonts w:ascii="Palatino Linotype" w:eastAsia="Batang" w:hAnsi="Palatino Linotype" w:cs="Arial"/>
          <w:sz w:val="24"/>
          <w:szCs w:val="24"/>
        </w:rPr>
        <w:t xml:space="preserve">el honor es el concepto que la persona tiene de sí misma o que los demás se han formado de ella, en virtud de su proceder o de la expresión de su calidad ética y social. </w:t>
      </w:r>
      <w:r w:rsidRPr="007577D1">
        <w:rPr>
          <w:rFonts w:ascii="Palatino Linotype" w:hAnsi="Palatino Linotype"/>
          <w:sz w:val="24"/>
          <w:szCs w:val="24"/>
        </w:rPr>
        <w:t>Adicionalmente, en relación a este derecho [al honor], el máximo tribual también ha señalado que aunque no esté expresamente contenido en la Carta Magna, ésta obliga su tutela en términos de lo previsto en el artículo 1° Constitucional, como se muestra en la tesis aislada número I.5o.C.4 K (10a.), emitida por Tribunales Colegiados de Circuito, publicada en el Semanario Judicial de la Federación y su Gaceta, Tomo 2, Libro XXI, de junio de 2013, página 1258, de la Décima Época, materia constitucional, de rubro y texto siguiente:</w:t>
      </w:r>
    </w:p>
    <w:p w14:paraId="153464D1" w14:textId="77777777" w:rsidR="00C528E2" w:rsidRPr="007577D1" w:rsidRDefault="00C528E2" w:rsidP="00C528E2">
      <w:pPr>
        <w:tabs>
          <w:tab w:val="left" w:pos="8363"/>
        </w:tabs>
        <w:ind w:left="567" w:right="616"/>
        <w:jc w:val="both"/>
        <w:rPr>
          <w:rFonts w:ascii="Palatino Linotype" w:hAnsi="Palatino Linotype"/>
          <w:b/>
          <w:i/>
        </w:rPr>
      </w:pPr>
      <w:r w:rsidRPr="007577D1">
        <w:rPr>
          <w:rFonts w:ascii="Palatino Linotype" w:hAnsi="Palatino Linotype"/>
          <w:i/>
        </w:rPr>
        <w:t>“</w:t>
      </w:r>
      <w:r w:rsidRPr="007577D1">
        <w:rPr>
          <w:rFonts w:ascii="Palatino Linotype" w:hAnsi="Palatino Linotype"/>
          <w:b/>
          <w:i/>
        </w:rPr>
        <w:t xml:space="preserve">DERECHOS AL HONOR, A LA INTIMIDAD Y A LA PROPIA IMAGEN. CONSTITUYEN DERECHOS HUMANOS QUE SE PROTEGEN A TRAVÉS DEL ACTUAL MARCO CONSTITUCIONAL. </w:t>
      </w:r>
      <w:r w:rsidRPr="007577D1">
        <w:rPr>
          <w:rFonts w:ascii="Palatino Linotype" w:hAnsi="Palatino Linotype"/>
          <w:i/>
        </w:rPr>
        <w:t xml:space="preserve">Si conforme a las características que conforman a los derechos humanos, éstos no recaen sobre cosas materiales, sino que otorgan acción para lograr que el Estado respete los derechos garantizados, y se consideran esenciales e inherentes al ser humano y derivados de su propia naturaleza, resulta lógico que los atributos de la </w:t>
      </w:r>
      <w:r w:rsidRPr="007577D1">
        <w:rPr>
          <w:rFonts w:ascii="Palatino Linotype" w:hAnsi="Palatino Linotype"/>
          <w:i/>
        </w:rPr>
        <w:lastRenderedPageBreak/>
        <w:t xml:space="preserve">personalidad se enlacen directamente con tales derechos, pues los mencionados atributos tienen una coincidencia con las libertades protegidas por los derechos del hombre como son los concernientes al honor, a la intimidad y a la propia imagen que constituyen derechos subjetivos del ser humano, en tanto que son inseparables de su titular, quien nace con ellos, y el Estado debe reconocerlos. Como no recaen sobre bienes materiales, sino sobre la personalidad de los individuos, son generales porque corresponden a todos los seres humanos, y no pueden considerarse renunciables, transmisibles o prescriptibles, porque son inherentes a la persona misma, es decir, son intrínsecos al sujeto quien no puede vivir sin ellos. Ahora, del contenido expreso del artículo 1o. constitucional se advierte que nuestro país actualmente adopta una protección amplia de los derechos humanos, mediante el reconocimiento claro del principio pro </w:t>
      </w:r>
      <w:proofErr w:type="spellStart"/>
      <w:r w:rsidRPr="007577D1">
        <w:rPr>
          <w:rFonts w:ascii="Palatino Linotype" w:hAnsi="Palatino Linotype"/>
          <w:i/>
        </w:rPr>
        <w:t>personae</w:t>
      </w:r>
      <w:proofErr w:type="spellEnd"/>
      <w:r w:rsidRPr="007577D1">
        <w:rPr>
          <w:rFonts w:ascii="Palatino Linotype" w:hAnsi="Palatino Linotype"/>
          <w:i/>
        </w:rPr>
        <w:t>, como rector de la interpretación y aplicación de las normas jurídicas, en aquellas que favorezcan y brinden mayor protección a las personas, aunado a que también precisa de manera clara la obligación de observar los tratados internacionales firmados por el Estado Mexicano al momento de aplicar e interpretar las normas jurídicas en las que se vea involucrado este tipo de derechos, como son los señalados atributos de la personalidad conforme a la Convención Americana sobre Derechos Humanos y el Pacto Internacional de Derechos Civiles y Políticos, y en casos en los que se involucra la posible afectación por daño moral de un atributo de la personalidad -en su vertiente del derecho al honor- debe aplicarse la tutela y protección consagrada en los principios reconocidos al efecto en nuestra Carta Magna, con independencia de que no exista una referencia expresa en el texto constitucional hacia la salvaguarda concreta del citado atributo, pues la obligación de protección deriva de disposiciones contenidas en dos tipos de ordenamientos superiores -Constitución y tratados internacionales- con los que cuenta el Estado Mexicano.”</w:t>
      </w:r>
    </w:p>
    <w:p w14:paraId="160C5535" w14:textId="77777777" w:rsidR="00C528E2" w:rsidRPr="007577D1" w:rsidRDefault="00C528E2" w:rsidP="00C528E2">
      <w:pPr>
        <w:autoSpaceDE w:val="0"/>
        <w:autoSpaceDN w:val="0"/>
        <w:adjustRightInd w:val="0"/>
        <w:spacing w:line="360" w:lineRule="auto"/>
        <w:jc w:val="both"/>
        <w:rPr>
          <w:rFonts w:ascii="Palatino Linotype" w:eastAsia="Batang" w:hAnsi="Palatino Linotype" w:cs="Arial"/>
        </w:rPr>
      </w:pPr>
    </w:p>
    <w:p w14:paraId="722D9D54" w14:textId="77777777" w:rsidR="00C528E2" w:rsidRPr="007577D1" w:rsidRDefault="00C528E2" w:rsidP="00C528E2">
      <w:pPr>
        <w:autoSpaceDE w:val="0"/>
        <w:autoSpaceDN w:val="0"/>
        <w:adjustRightInd w:val="0"/>
        <w:spacing w:line="360" w:lineRule="auto"/>
        <w:jc w:val="both"/>
        <w:rPr>
          <w:rFonts w:ascii="Palatino Linotype" w:eastAsia="Batang" w:hAnsi="Palatino Linotype" w:cs="Arial"/>
          <w:sz w:val="24"/>
          <w:szCs w:val="24"/>
        </w:rPr>
      </w:pPr>
      <w:r w:rsidRPr="007577D1">
        <w:rPr>
          <w:rFonts w:ascii="Palatino Linotype" w:eastAsia="Batang" w:hAnsi="Palatino Linotype" w:cs="Arial"/>
          <w:sz w:val="24"/>
          <w:szCs w:val="24"/>
        </w:rPr>
        <w:t>De igual manera, la Convención Americana sobre los Derechos Humanos, en su artículo 11, establece que toda persona tiene derecho al respeto de su honra y al reconocimiento de su dignidad; que nadie puede ser objeto de injerencias arbitrarias o abusivas en su vida privada, en la de su familia, en su domicilio o en su correspondencia, ni de ataques ilegales a su honra o reputación; y que toda persona tiene derecho a la protección de la ley contra esas injerencias o esos ataques.</w:t>
      </w:r>
    </w:p>
    <w:p w14:paraId="5AF99FDE" w14:textId="77777777" w:rsidR="00C528E2" w:rsidRPr="007577D1" w:rsidRDefault="00C528E2" w:rsidP="00C528E2">
      <w:pPr>
        <w:autoSpaceDE w:val="0"/>
        <w:autoSpaceDN w:val="0"/>
        <w:adjustRightInd w:val="0"/>
        <w:spacing w:line="360" w:lineRule="auto"/>
        <w:jc w:val="both"/>
        <w:rPr>
          <w:rFonts w:ascii="Palatino Linotype" w:eastAsia="Batang" w:hAnsi="Palatino Linotype" w:cs="Arial"/>
          <w:sz w:val="24"/>
          <w:szCs w:val="24"/>
        </w:rPr>
      </w:pPr>
    </w:p>
    <w:p w14:paraId="3576E755" w14:textId="77777777" w:rsidR="00C528E2" w:rsidRPr="007577D1" w:rsidRDefault="00C528E2" w:rsidP="00C528E2">
      <w:pPr>
        <w:autoSpaceDE w:val="0"/>
        <w:autoSpaceDN w:val="0"/>
        <w:adjustRightInd w:val="0"/>
        <w:spacing w:line="360" w:lineRule="auto"/>
        <w:jc w:val="both"/>
        <w:rPr>
          <w:rFonts w:ascii="Palatino Linotype" w:eastAsia="Batang" w:hAnsi="Palatino Linotype" w:cs="Arial"/>
          <w:sz w:val="24"/>
          <w:szCs w:val="24"/>
        </w:rPr>
      </w:pPr>
      <w:r w:rsidRPr="007577D1">
        <w:rPr>
          <w:rFonts w:ascii="Palatino Linotype" w:eastAsia="Batang" w:hAnsi="Palatino Linotype" w:cs="Arial"/>
          <w:sz w:val="24"/>
          <w:szCs w:val="24"/>
        </w:rPr>
        <w:lastRenderedPageBreak/>
        <w:t>En ese contexto, conforme al artículo 50 de la Ley de Responsabilidades Administrativas del Estado de México y Municipios, establece que incurrirá en una falta administrativa no grave, aquellos servidores públicos cuyos actos y omisiones incumplan o transgredan el cumplimiento de sus funciones, atribuciones o comisiones, la atención de instrucciones, presentar en tiempo y forma las declaraciones de situación patrimonial y de intereses, el cuidado de documentación, la rendición de cuentas sobre el ejercicio de sus funciones, entre otras.</w:t>
      </w:r>
    </w:p>
    <w:p w14:paraId="2D957FFF" w14:textId="77777777" w:rsidR="00C528E2" w:rsidRPr="007577D1" w:rsidRDefault="00C528E2" w:rsidP="00C528E2">
      <w:pPr>
        <w:autoSpaceDE w:val="0"/>
        <w:autoSpaceDN w:val="0"/>
        <w:adjustRightInd w:val="0"/>
        <w:spacing w:line="360" w:lineRule="auto"/>
        <w:jc w:val="both"/>
        <w:rPr>
          <w:rFonts w:ascii="Palatino Linotype" w:eastAsia="Batang" w:hAnsi="Palatino Linotype" w:cs="Arial"/>
          <w:sz w:val="24"/>
          <w:szCs w:val="24"/>
        </w:rPr>
      </w:pPr>
    </w:p>
    <w:p w14:paraId="5B5C247D" w14:textId="77777777" w:rsidR="00C528E2" w:rsidRPr="007577D1" w:rsidRDefault="00C528E2" w:rsidP="00C528E2">
      <w:pPr>
        <w:autoSpaceDE w:val="0"/>
        <w:autoSpaceDN w:val="0"/>
        <w:adjustRightInd w:val="0"/>
        <w:spacing w:line="360" w:lineRule="auto"/>
        <w:jc w:val="both"/>
        <w:rPr>
          <w:rFonts w:ascii="Palatino Linotype" w:eastAsia="Batang" w:hAnsi="Palatino Linotype" w:cs="Arial"/>
          <w:sz w:val="24"/>
          <w:szCs w:val="24"/>
        </w:rPr>
      </w:pPr>
      <w:r w:rsidRPr="007577D1">
        <w:rPr>
          <w:rFonts w:ascii="Palatino Linotype" w:eastAsia="Batang" w:hAnsi="Palatino Linotype" w:cs="Arial"/>
          <w:sz w:val="24"/>
          <w:szCs w:val="24"/>
        </w:rPr>
        <w:t xml:space="preserve">Como se logra observar, </w:t>
      </w:r>
      <w:r w:rsidRPr="007577D1">
        <w:rPr>
          <w:rFonts w:ascii="Palatino Linotype" w:eastAsia="Batang" w:hAnsi="Palatino Linotype" w:cs="Arial"/>
          <w:b/>
          <w:sz w:val="24"/>
          <w:szCs w:val="24"/>
        </w:rPr>
        <w:t>las faltas no graves</w:t>
      </w:r>
      <w:r w:rsidRPr="007577D1">
        <w:rPr>
          <w:rFonts w:ascii="Palatino Linotype" w:eastAsia="Batang" w:hAnsi="Palatino Linotype" w:cs="Arial"/>
          <w:sz w:val="24"/>
          <w:szCs w:val="24"/>
        </w:rPr>
        <w:t>, son aquellas que cometen los servidores públicos por incumplimiento a sus funciones, o bien, a sus obligaciones y, por lo tanto, las consecuencias recaen directamente en contra, de este, al no haber una afectación a terceros (personas físicas, morales, instituciones públicas u otros trabajadores), ni haber un detrimento en el erario.</w:t>
      </w:r>
    </w:p>
    <w:p w14:paraId="78F0BADB" w14:textId="77777777" w:rsidR="00C528E2" w:rsidRPr="007577D1" w:rsidRDefault="00C528E2" w:rsidP="00C528E2">
      <w:pPr>
        <w:autoSpaceDE w:val="0"/>
        <w:autoSpaceDN w:val="0"/>
        <w:adjustRightInd w:val="0"/>
        <w:spacing w:line="360" w:lineRule="auto"/>
        <w:jc w:val="both"/>
        <w:rPr>
          <w:rFonts w:ascii="Palatino Linotype" w:eastAsia="Batang" w:hAnsi="Palatino Linotype" w:cs="Arial"/>
          <w:sz w:val="24"/>
          <w:szCs w:val="24"/>
        </w:rPr>
      </w:pPr>
    </w:p>
    <w:p w14:paraId="463D4F88" w14:textId="77777777" w:rsidR="00C528E2" w:rsidRPr="007577D1" w:rsidRDefault="00C528E2" w:rsidP="00C528E2">
      <w:pPr>
        <w:autoSpaceDE w:val="0"/>
        <w:autoSpaceDN w:val="0"/>
        <w:adjustRightInd w:val="0"/>
        <w:spacing w:line="360" w:lineRule="auto"/>
        <w:jc w:val="both"/>
        <w:rPr>
          <w:rFonts w:ascii="Palatino Linotype" w:eastAsia="Batang" w:hAnsi="Palatino Linotype" w:cs="Arial"/>
          <w:sz w:val="24"/>
          <w:szCs w:val="24"/>
        </w:rPr>
      </w:pPr>
      <w:r w:rsidRPr="007577D1">
        <w:rPr>
          <w:rFonts w:ascii="Palatino Linotype" w:eastAsia="Batang" w:hAnsi="Palatino Linotype" w:cs="Arial"/>
          <w:sz w:val="24"/>
          <w:szCs w:val="24"/>
        </w:rPr>
        <w:t>Así, se puede advertir que dichas faltas</w:t>
      </w:r>
      <w:r w:rsidRPr="007577D1">
        <w:rPr>
          <w:rFonts w:ascii="Palatino Linotype" w:eastAsia="Batang" w:hAnsi="Palatino Linotype" w:cs="Arial"/>
          <w:b/>
          <w:sz w:val="24"/>
          <w:szCs w:val="24"/>
        </w:rPr>
        <w:t xml:space="preserve">, no tienen una trascendencia social, </w:t>
      </w:r>
      <w:r w:rsidRPr="007577D1">
        <w:rPr>
          <w:rFonts w:ascii="Palatino Linotype" w:eastAsia="Batang" w:hAnsi="Palatino Linotype" w:cs="Arial"/>
          <w:sz w:val="24"/>
          <w:szCs w:val="24"/>
        </w:rPr>
        <w:t xml:space="preserve">pues no existe un daño externo, sino que únicamente la atañe al servidor público en cuestión. </w:t>
      </w:r>
      <w:r w:rsidRPr="007577D1">
        <w:rPr>
          <w:rFonts w:ascii="Palatino Linotype" w:hAnsi="Palatino Linotype" w:cs="Arial"/>
          <w:sz w:val="24"/>
          <w:szCs w:val="24"/>
          <w:u w:val="single"/>
        </w:rPr>
        <w:t>Por lo expuesto, se desprende que dar a conocer pronunciamiento respecto a la existencia de un procedimiento de responsabilidad administrativa no grave, en su caso que exista, constituye información confidencial que afecta su esfera privada</w:t>
      </w:r>
      <w:r w:rsidRPr="007577D1">
        <w:rPr>
          <w:rFonts w:ascii="Palatino Linotype" w:hAnsi="Palatino Linotype" w:cs="Arial"/>
          <w:sz w:val="24"/>
          <w:szCs w:val="24"/>
        </w:rPr>
        <w:t xml:space="preserve">, puesto que podría generar una percepción negativa de éste, ocasionando un perjuicio en su </w:t>
      </w:r>
      <w:r w:rsidRPr="007577D1">
        <w:rPr>
          <w:rFonts w:ascii="Palatino Linotype" w:hAnsi="Palatino Linotype" w:cs="Arial"/>
          <w:b/>
          <w:sz w:val="24"/>
          <w:szCs w:val="24"/>
        </w:rPr>
        <w:t>honor, intimidad y buena imagen</w:t>
      </w:r>
      <w:r w:rsidRPr="007577D1">
        <w:rPr>
          <w:rFonts w:ascii="Palatino Linotype" w:hAnsi="Palatino Linotype" w:cs="Arial"/>
          <w:sz w:val="24"/>
          <w:szCs w:val="24"/>
        </w:rPr>
        <w:t>, pues como se precisó la afectación es para el propio servidor público, situación que no afecta a terceros.</w:t>
      </w:r>
    </w:p>
    <w:p w14:paraId="3920E481" w14:textId="77777777" w:rsidR="00C528E2" w:rsidRPr="007577D1" w:rsidRDefault="00C528E2" w:rsidP="00C528E2">
      <w:pPr>
        <w:autoSpaceDE w:val="0"/>
        <w:autoSpaceDN w:val="0"/>
        <w:adjustRightInd w:val="0"/>
        <w:spacing w:line="360" w:lineRule="auto"/>
        <w:jc w:val="both"/>
        <w:rPr>
          <w:rFonts w:ascii="Palatino Linotype" w:hAnsi="Palatino Linotype" w:cs="Arial"/>
          <w:sz w:val="24"/>
          <w:szCs w:val="24"/>
        </w:rPr>
      </w:pPr>
    </w:p>
    <w:p w14:paraId="3DEB095F" w14:textId="77777777" w:rsidR="00C528E2" w:rsidRPr="007577D1" w:rsidRDefault="00C528E2" w:rsidP="00C528E2">
      <w:pPr>
        <w:autoSpaceDE w:val="0"/>
        <w:autoSpaceDN w:val="0"/>
        <w:adjustRightInd w:val="0"/>
        <w:spacing w:line="360" w:lineRule="auto"/>
        <w:jc w:val="both"/>
        <w:rPr>
          <w:rFonts w:ascii="Palatino Linotype" w:hAnsi="Palatino Linotype" w:cs="Arial"/>
          <w:sz w:val="24"/>
          <w:szCs w:val="24"/>
        </w:rPr>
      </w:pPr>
      <w:r w:rsidRPr="007577D1">
        <w:rPr>
          <w:rFonts w:ascii="Palatino Linotype" w:hAnsi="Palatino Linotype" w:cs="Arial"/>
          <w:sz w:val="24"/>
          <w:szCs w:val="24"/>
        </w:rPr>
        <w:t xml:space="preserve">Por lo que, proporcionar el pronunciamiento, podría generar un juicio por parte de la sociedad, afectando su prestigio y su buen nombre, pues la sociedad podría calificar a dicho servidor público, con prerrogativas que lo desestimen. </w:t>
      </w:r>
    </w:p>
    <w:p w14:paraId="7CD3598D" w14:textId="77777777" w:rsidR="00C528E2" w:rsidRPr="007577D1" w:rsidRDefault="00C528E2" w:rsidP="00C528E2">
      <w:pPr>
        <w:autoSpaceDE w:val="0"/>
        <w:autoSpaceDN w:val="0"/>
        <w:adjustRightInd w:val="0"/>
        <w:spacing w:line="360" w:lineRule="auto"/>
        <w:jc w:val="both"/>
        <w:rPr>
          <w:rFonts w:ascii="Palatino Linotype" w:hAnsi="Palatino Linotype" w:cs="Arial"/>
          <w:sz w:val="24"/>
          <w:szCs w:val="24"/>
        </w:rPr>
      </w:pPr>
    </w:p>
    <w:p w14:paraId="75C4CB4F" w14:textId="66B2BC43" w:rsidR="00225E82" w:rsidRPr="007577D1" w:rsidRDefault="00225E82" w:rsidP="00225E82">
      <w:pPr>
        <w:tabs>
          <w:tab w:val="left" w:pos="3962"/>
        </w:tabs>
        <w:spacing w:line="360" w:lineRule="auto"/>
        <w:jc w:val="both"/>
        <w:rPr>
          <w:rFonts w:ascii="Palatino Linotype" w:hAnsi="Palatino Linotype" w:cs="Tahoma"/>
          <w:b/>
          <w:bCs/>
          <w:sz w:val="24"/>
          <w:szCs w:val="24"/>
        </w:rPr>
      </w:pPr>
      <w:r w:rsidRPr="007577D1">
        <w:rPr>
          <w:rFonts w:ascii="Palatino Linotype" w:hAnsi="Palatino Linotype" w:cs="Tahoma"/>
          <w:b/>
          <w:bCs/>
          <w:sz w:val="24"/>
          <w:szCs w:val="24"/>
        </w:rPr>
        <w:t>Procedimiento concluido absolutorio.</w:t>
      </w:r>
    </w:p>
    <w:p w14:paraId="19B88F3C" w14:textId="77777777" w:rsidR="00225E82" w:rsidRPr="007577D1" w:rsidRDefault="00225E82" w:rsidP="00225E82">
      <w:pPr>
        <w:tabs>
          <w:tab w:val="left" w:pos="3962"/>
        </w:tabs>
        <w:spacing w:line="360" w:lineRule="auto"/>
        <w:jc w:val="both"/>
        <w:rPr>
          <w:rFonts w:ascii="Palatino Linotype" w:hAnsi="Palatino Linotype" w:cs="Tahoma"/>
          <w:bCs/>
          <w:iCs/>
          <w:sz w:val="24"/>
          <w:szCs w:val="24"/>
        </w:rPr>
      </w:pPr>
      <w:r w:rsidRPr="007577D1">
        <w:rPr>
          <w:rFonts w:ascii="Palatino Linotype" w:hAnsi="Palatino Linotype" w:cs="Tahoma"/>
          <w:bCs/>
          <w:iCs/>
          <w:sz w:val="24"/>
          <w:szCs w:val="24"/>
        </w:rPr>
        <w:t>Al respecto, es señalar que pronunciarse sobre la existencia de un procedimiento de responsabilidad concluido absolutorio, podría generar una percepción negativa, pues si bien, no se le sancionó, lo cierto es que daría a conocer que fue investigado por la Contraloría Municipal, lo cual podría afectar su honor, intimidad, buena imagen y nombre, así como a su vida privada.</w:t>
      </w:r>
    </w:p>
    <w:p w14:paraId="585BBC40" w14:textId="77777777" w:rsidR="00225E82" w:rsidRPr="007577D1" w:rsidRDefault="00225E82" w:rsidP="00225E82">
      <w:pPr>
        <w:tabs>
          <w:tab w:val="left" w:pos="3962"/>
        </w:tabs>
        <w:spacing w:line="360" w:lineRule="auto"/>
        <w:jc w:val="both"/>
        <w:rPr>
          <w:rFonts w:ascii="Palatino Linotype" w:hAnsi="Palatino Linotype" w:cs="Tahoma"/>
          <w:bCs/>
          <w:iCs/>
          <w:sz w:val="24"/>
          <w:szCs w:val="24"/>
        </w:rPr>
      </w:pPr>
    </w:p>
    <w:p w14:paraId="5251B9B7" w14:textId="77777777" w:rsidR="00225E82" w:rsidRPr="007577D1" w:rsidRDefault="00225E82" w:rsidP="00225E82">
      <w:pPr>
        <w:tabs>
          <w:tab w:val="left" w:pos="3962"/>
        </w:tabs>
        <w:spacing w:line="360" w:lineRule="auto"/>
        <w:jc w:val="both"/>
        <w:rPr>
          <w:rFonts w:ascii="Palatino Linotype" w:hAnsi="Palatino Linotype" w:cs="Tahoma"/>
          <w:bCs/>
          <w:sz w:val="24"/>
          <w:szCs w:val="24"/>
        </w:rPr>
      </w:pPr>
      <w:r w:rsidRPr="007577D1">
        <w:rPr>
          <w:rFonts w:ascii="Palatino Linotype" w:hAnsi="Palatino Linotype" w:cs="Tahoma"/>
          <w:bCs/>
          <w:sz w:val="24"/>
          <w:szCs w:val="24"/>
        </w:rPr>
        <w:t xml:space="preserve">Por lo que, en su caso, resulta de igual forma procedente la clasificación en términos del artículo 143, fracción I, de la Ley de Transparencia y Acceso a la Información Pública del Estado de México y Municipios, del pronunciamiento de la existencia o no del procedimiento de responsabilidad administrativa concluido absolutorio, instaurado en contra de la servidora pública. </w:t>
      </w:r>
    </w:p>
    <w:p w14:paraId="244E92D9" w14:textId="77777777" w:rsidR="00225E82" w:rsidRPr="007577D1" w:rsidRDefault="00225E82" w:rsidP="00225E82">
      <w:pPr>
        <w:tabs>
          <w:tab w:val="left" w:pos="3962"/>
        </w:tabs>
        <w:spacing w:line="360" w:lineRule="auto"/>
        <w:jc w:val="both"/>
        <w:rPr>
          <w:rFonts w:ascii="Palatino Linotype" w:hAnsi="Palatino Linotype" w:cs="Tahoma"/>
          <w:bCs/>
          <w:sz w:val="24"/>
          <w:szCs w:val="24"/>
        </w:rPr>
      </w:pPr>
    </w:p>
    <w:p w14:paraId="756461DA" w14:textId="77777777" w:rsidR="00225E82" w:rsidRPr="007577D1" w:rsidRDefault="00225E82" w:rsidP="00225E82">
      <w:pPr>
        <w:tabs>
          <w:tab w:val="left" w:pos="3962"/>
        </w:tabs>
        <w:spacing w:line="360" w:lineRule="auto"/>
        <w:jc w:val="both"/>
        <w:rPr>
          <w:rFonts w:ascii="Palatino Linotype" w:hAnsi="Palatino Linotype" w:cs="Tahoma"/>
          <w:b/>
          <w:bCs/>
          <w:sz w:val="24"/>
          <w:szCs w:val="24"/>
        </w:rPr>
      </w:pPr>
      <w:r w:rsidRPr="007577D1">
        <w:rPr>
          <w:rFonts w:ascii="Palatino Linotype" w:hAnsi="Palatino Linotype" w:cs="Tahoma"/>
          <w:b/>
          <w:bCs/>
          <w:sz w:val="24"/>
          <w:szCs w:val="24"/>
        </w:rPr>
        <w:t>Procedimiento concluido por faltas administrativas graves.</w:t>
      </w:r>
    </w:p>
    <w:p w14:paraId="270ACBED" w14:textId="77777777" w:rsidR="00225E82" w:rsidRPr="007577D1" w:rsidRDefault="00225E82" w:rsidP="00225E82">
      <w:pPr>
        <w:tabs>
          <w:tab w:val="left" w:pos="3962"/>
        </w:tabs>
        <w:spacing w:line="360" w:lineRule="auto"/>
        <w:jc w:val="both"/>
        <w:rPr>
          <w:rFonts w:ascii="Palatino Linotype" w:hAnsi="Palatino Linotype" w:cs="Tahoma"/>
          <w:b/>
          <w:bCs/>
          <w:iCs/>
          <w:sz w:val="24"/>
          <w:szCs w:val="24"/>
        </w:rPr>
      </w:pPr>
      <w:r w:rsidRPr="007577D1">
        <w:rPr>
          <w:rFonts w:ascii="Palatino Linotype" w:hAnsi="Palatino Linotype" w:cs="Tahoma"/>
          <w:bCs/>
          <w:iCs/>
          <w:sz w:val="24"/>
          <w:szCs w:val="24"/>
        </w:rPr>
        <w:t xml:space="preserve">Al respecto, cabe señalar que, si bien entregar el pronunciamiento respecto a la existencia de un procedimiento de sanción administrativa, podría generar una percepción negativa </w:t>
      </w:r>
      <w:r w:rsidRPr="007577D1">
        <w:rPr>
          <w:rFonts w:ascii="Palatino Linotype" w:hAnsi="Palatino Linotype" w:cs="Tahoma"/>
          <w:bCs/>
          <w:iCs/>
          <w:sz w:val="24"/>
          <w:szCs w:val="24"/>
        </w:rPr>
        <w:lastRenderedPageBreak/>
        <w:t xml:space="preserve">de éste, ocasionando un perjuicio en su </w:t>
      </w:r>
      <w:r w:rsidRPr="007577D1">
        <w:rPr>
          <w:rFonts w:ascii="Palatino Linotype" w:hAnsi="Palatino Linotype" w:cs="Tahoma"/>
          <w:b/>
          <w:bCs/>
          <w:iCs/>
          <w:sz w:val="24"/>
          <w:szCs w:val="24"/>
        </w:rPr>
        <w:t xml:space="preserve">honor, intimidad, buena imagen y nombre, así como a su vida privada, </w:t>
      </w:r>
      <w:r w:rsidRPr="007577D1">
        <w:rPr>
          <w:rFonts w:ascii="Palatino Linotype" w:hAnsi="Palatino Linotype" w:cs="Tahoma"/>
          <w:bCs/>
          <w:iCs/>
          <w:sz w:val="24"/>
          <w:szCs w:val="24"/>
        </w:rPr>
        <w:t xml:space="preserve">también lo es, que en el presente caso se trataría de </w:t>
      </w:r>
      <w:r w:rsidRPr="007577D1">
        <w:rPr>
          <w:rFonts w:ascii="Palatino Linotype" w:hAnsi="Palatino Linotype" w:cs="Tahoma"/>
          <w:b/>
          <w:bCs/>
          <w:iCs/>
          <w:sz w:val="24"/>
          <w:szCs w:val="24"/>
        </w:rPr>
        <w:t>faltas graves.</w:t>
      </w:r>
    </w:p>
    <w:p w14:paraId="643E13F2" w14:textId="77777777" w:rsidR="00225E82" w:rsidRPr="007577D1" w:rsidRDefault="00225E82" w:rsidP="00225E82">
      <w:pPr>
        <w:tabs>
          <w:tab w:val="left" w:pos="3962"/>
        </w:tabs>
        <w:spacing w:line="360" w:lineRule="auto"/>
        <w:jc w:val="both"/>
        <w:rPr>
          <w:rFonts w:ascii="Palatino Linotype" w:hAnsi="Palatino Linotype" w:cs="Tahoma"/>
          <w:b/>
          <w:bCs/>
          <w:iCs/>
          <w:sz w:val="24"/>
          <w:szCs w:val="24"/>
        </w:rPr>
      </w:pPr>
    </w:p>
    <w:p w14:paraId="3C900461" w14:textId="77777777" w:rsidR="00225E82" w:rsidRPr="007577D1" w:rsidRDefault="00225E82" w:rsidP="00225E82">
      <w:pPr>
        <w:tabs>
          <w:tab w:val="left" w:pos="3962"/>
        </w:tabs>
        <w:spacing w:line="360" w:lineRule="auto"/>
        <w:jc w:val="both"/>
        <w:rPr>
          <w:rFonts w:ascii="Palatino Linotype" w:hAnsi="Palatino Linotype" w:cs="Tahoma"/>
          <w:bCs/>
          <w:iCs/>
          <w:sz w:val="24"/>
          <w:szCs w:val="24"/>
        </w:rPr>
      </w:pPr>
      <w:r w:rsidRPr="007577D1">
        <w:rPr>
          <w:rFonts w:ascii="Palatino Linotype" w:hAnsi="Palatino Linotype" w:cs="Tahoma"/>
          <w:bCs/>
          <w:iCs/>
          <w:sz w:val="24"/>
          <w:szCs w:val="24"/>
        </w:rPr>
        <w:t xml:space="preserve">Al respecto, en términos del artículo 52 y 82 de la Ley de Responsabilidades Administrativas del Estado de México y Municipios, establece que son faltas administrativas graves, cuando un servidor público cometa cohecho, peculado, desvío de recursos públicos, abuso de funciones, realizar hostigamiento y acoso sexual, enriquecimiento oculto, </w:t>
      </w:r>
      <w:r w:rsidRPr="007577D1">
        <w:rPr>
          <w:rFonts w:ascii="Palatino Linotype" w:hAnsi="Palatino Linotype" w:cs="Tahoma"/>
          <w:b/>
          <w:iCs/>
          <w:sz w:val="24"/>
          <w:szCs w:val="24"/>
        </w:rPr>
        <w:t>tráfico de influencias</w:t>
      </w:r>
      <w:r w:rsidRPr="007577D1">
        <w:rPr>
          <w:rFonts w:ascii="Palatino Linotype" w:hAnsi="Palatino Linotype" w:cs="Tahoma"/>
          <w:bCs/>
          <w:iCs/>
          <w:sz w:val="24"/>
          <w:szCs w:val="24"/>
        </w:rPr>
        <w:t>, entre otros, los cuales recaer en diversas sanciones, entre las que se encuentran la destitución o en su caso, la sanción económica.</w:t>
      </w:r>
    </w:p>
    <w:p w14:paraId="7C04D26E" w14:textId="77777777" w:rsidR="00225E82" w:rsidRPr="007577D1" w:rsidRDefault="00225E82" w:rsidP="00225E82">
      <w:pPr>
        <w:tabs>
          <w:tab w:val="left" w:pos="3962"/>
        </w:tabs>
        <w:spacing w:line="360" w:lineRule="auto"/>
        <w:jc w:val="both"/>
        <w:rPr>
          <w:rFonts w:ascii="Palatino Linotype" w:hAnsi="Palatino Linotype" w:cs="Tahoma"/>
          <w:bCs/>
          <w:iCs/>
          <w:sz w:val="24"/>
          <w:szCs w:val="24"/>
        </w:rPr>
      </w:pPr>
    </w:p>
    <w:p w14:paraId="6009B3F4" w14:textId="77777777" w:rsidR="00225E82" w:rsidRPr="007577D1" w:rsidRDefault="00225E82" w:rsidP="00225E82">
      <w:pPr>
        <w:tabs>
          <w:tab w:val="left" w:pos="3962"/>
        </w:tabs>
        <w:spacing w:line="360" w:lineRule="auto"/>
        <w:jc w:val="both"/>
        <w:rPr>
          <w:rFonts w:ascii="Palatino Linotype" w:hAnsi="Palatino Linotype" w:cs="Tahoma"/>
          <w:bCs/>
          <w:iCs/>
          <w:sz w:val="24"/>
          <w:szCs w:val="24"/>
        </w:rPr>
      </w:pPr>
      <w:r w:rsidRPr="007577D1">
        <w:rPr>
          <w:rFonts w:ascii="Palatino Linotype" w:hAnsi="Palatino Linotype" w:cs="Tahoma"/>
          <w:bCs/>
          <w:iCs/>
          <w:sz w:val="24"/>
          <w:szCs w:val="24"/>
        </w:rPr>
        <w:t>Además, cabe señalar que la mayoría de dichas conductas, se encuentran reguladas en el Título Sexto Delitos por Hechos de Corrupción, del Código Penal del Estado de México, en donde se prevé como delitos el abuso de autoridad, uso ilícito de atribuciones, ejercicio abusivo de funciones, cohecho, peculado y enriquecimiento ilícito.</w:t>
      </w:r>
    </w:p>
    <w:p w14:paraId="6F498A5A" w14:textId="77777777" w:rsidR="00225E82" w:rsidRPr="007577D1" w:rsidRDefault="00225E82" w:rsidP="00225E82">
      <w:pPr>
        <w:spacing w:line="360" w:lineRule="auto"/>
        <w:jc w:val="both"/>
        <w:rPr>
          <w:rFonts w:ascii="Palatino Linotype" w:hAnsi="Palatino Linotype"/>
          <w:sz w:val="24"/>
          <w:szCs w:val="24"/>
        </w:rPr>
      </w:pPr>
    </w:p>
    <w:p w14:paraId="734DA26B" w14:textId="77777777" w:rsidR="00225E82" w:rsidRPr="007577D1" w:rsidRDefault="00225E82" w:rsidP="00225E82">
      <w:pPr>
        <w:spacing w:line="360" w:lineRule="auto"/>
        <w:jc w:val="both"/>
        <w:rPr>
          <w:rFonts w:ascii="Palatino Linotype" w:hAnsi="Palatino Linotype"/>
          <w:sz w:val="24"/>
          <w:szCs w:val="24"/>
        </w:rPr>
      </w:pPr>
      <w:r w:rsidRPr="007577D1">
        <w:rPr>
          <w:rFonts w:ascii="Palatino Linotype" w:hAnsi="Palatino Linotype"/>
          <w:sz w:val="24"/>
          <w:szCs w:val="24"/>
        </w:rPr>
        <w:t>Conforme a lo anterior, se logra vislumbrar que las faltas administrativas graves, causan un perjuicio de manera externa, esto es, a terceras personas o bien, a la hacienda o erario público; por lo que, se podría considerar que existe una trascendencia social, para dar a conocer dicha información, además que se relacionan dichas conductas con actos de corrupción, conforme a la normatividad citada en el párrafo previo.</w:t>
      </w:r>
    </w:p>
    <w:p w14:paraId="045CC94D" w14:textId="77777777" w:rsidR="00225E82" w:rsidRPr="007577D1" w:rsidRDefault="00225E82" w:rsidP="00225E82">
      <w:pPr>
        <w:tabs>
          <w:tab w:val="left" w:pos="3962"/>
        </w:tabs>
        <w:spacing w:line="360" w:lineRule="auto"/>
        <w:jc w:val="both"/>
        <w:rPr>
          <w:rFonts w:ascii="Palatino Linotype" w:hAnsi="Palatino Linotype" w:cs="Tahoma"/>
          <w:bCs/>
          <w:iCs/>
          <w:sz w:val="24"/>
          <w:szCs w:val="24"/>
        </w:rPr>
      </w:pPr>
    </w:p>
    <w:p w14:paraId="76A34E22" w14:textId="77777777" w:rsidR="00225E82" w:rsidRPr="007577D1" w:rsidRDefault="00225E82" w:rsidP="00225E82">
      <w:pPr>
        <w:tabs>
          <w:tab w:val="left" w:pos="3962"/>
        </w:tabs>
        <w:spacing w:line="360" w:lineRule="auto"/>
        <w:jc w:val="both"/>
        <w:rPr>
          <w:rFonts w:ascii="Palatino Linotype" w:hAnsi="Palatino Linotype" w:cs="Tahoma"/>
          <w:bCs/>
          <w:iCs/>
          <w:sz w:val="24"/>
          <w:szCs w:val="24"/>
        </w:rPr>
      </w:pPr>
      <w:r w:rsidRPr="007577D1">
        <w:rPr>
          <w:rFonts w:ascii="Palatino Linotype" w:hAnsi="Palatino Linotype" w:cs="Tahoma"/>
          <w:bCs/>
          <w:iCs/>
          <w:sz w:val="24"/>
          <w:szCs w:val="24"/>
        </w:rPr>
        <w:lastRenderedPageBreak/>
        <w:t xml:space="preserve">En ese orden de ideas, si bien el nombre de los servidores públicos sancionados por un procedimientos de responsabilidades administrativas por faltas graves, en caso de existir, podrían generar una percepción negativa de este, ocasionando un perjuicio en su honor, intimidad y buena imagen de un trabajador gubernamental, también lo es que </w:t>
      </w:r>
      <w:r w:rsidRPr="007577D1">
        <w:rPr>
          <w:rFonts w:ascii="Palatino Linotype" w:hAnsi="Palatino Linotype" w:cs="Tahoma"/>
          <w:b/>
          <w:bCs/>
          <w:iCs/>
          <w:sz w:val="24"/>
          <w:szCs w:val="24"/>
        </w:rPr>
        <w:t>existe un interés público en darlas a conoce</w:t>
      </w:r>
      <w:r w:rsidRPr="007577D1">
        <w:rPr>
          <w:rFonts w:ascii="Palatino Linotype" w:hAnsi="Palatino Linotype" w:cs="Tahoma"/>
          <w:bCs/>
          <w:iCs/>
          <w:sz w:val="24"/>
          <w:szCs w:val="24"/>
        </w:rPr>
        <w:t>r, pues establecen que el actuar de un servidor público, en ejercicio de sus atribuciones, fue en contra de las disposiciones normativas aplicables y que causaron un perjuicio a otras personas o al erario público.</w:t>
      </w:r>
    </w:p>
    <w:p w14:paraId="71F97346" w14:textId="77777777" w:rsidR="00225E82" w:rsidRPr="007577D1" w:rsidRDefault="00225E82" w:rsidP="00225E82">
      <w:pPr>
        <w:tabs>
          <w:tab w:val="left" w:pos="3962"/>
        </w:tabs>
        <w:spacing w:line="360" w:lineRule="auto"/>
        <w:jc w:val="both"/>
        <w:rPr>
          <w:rFonts w:ascii="Palatino Linotype" w:hAnsi="Palatino Linotype" w:cs="Tahoma"/>
          <w:bCs/>
          <w:iCs/>
          <w:sz w:val="24"/>
          <w:szCs w:val="24"/>
        </w:rPr>
      </w:pPr>
    </w:p>
    <w:p w14:paraId="09C82744" w14:textId="77777777" w:rsidR="00225E82" w:rsidRPr="007577D1" w:rsidRDefault="00225E82" w:rsidP="00225E82">
      <w:pPr>
        <w:tabs>
          <w:tab w:val="left" w:pos="3962"/>
        </w:tabs>
        <w:spacing w:line="360" w:lineRule="auto"/>
        <w:jc w:val="both"/>
        <w:rPr>
          <w:rFonts w:ascii="Palatino Linotype" w:hAnsi="Palatino Linotype" w:cs="Tahoma"/>
          <w:bCs/>
          <w:sz w:val="24"/>
          <w:szCs w:val="24"/>
        </w:rPr>
      </w:pPr>
      <w:r w:rsidRPr="007577D1">
        <w:rPr>
          <w:rFonts w:ascii="Palatino Linotype" w:hAnsi="Palatino Linotype" w:cs="Tahoma"/>
          <w:bCs/>
          <w:sz w:val="24"/>
          <w:szCs w:val="24"/>
        </w:rPr>
        <w:t xml:space="preserve">Ante tales circunstancias, se desprende que, en el caso concreto, sobreviene una </w:t>
      </w:r>
      <w:r w:rsidRPr="007577D1">
        <w:rPr>
          <w:rFonts w:ascii="Palatino Linotype" w:hAnsi="Palatino Linotype" w:cs="Tahoma"/>
          <w:b/>
          <w:bCs/>
          <w:sz w:val="24"/>
          <w:szCs w:val="24"/>
        </w:rPr>
        <w:t>colisión de derechos fundamentales,</w:t>
      </w:r>
      <w:r w:rsidRPr="007577D1">
        <w:rPr>
          <w:rFonts w:ascii="Palatino Linotype" w:hAnsi="Palatino Linotype" w:cs="Tahoma"/>
          <w:bCs/>
          <w:sz w:val="24"/>
          <w:szCs w:val="24"/>
        </w:rPr>
        <w:t xml:space="preserve"> esto es, por una parte, se tiene el derecho de acceso a la información del Particular para conocer la información en análisis, y por la otra, el derecho a la protección de la vida privada de un servidor público, lo cual implica dar a conocer información confidencial consistente en dar a conocer que estuvo inmerso en un procedimiento de responsabilidad administrativa de falta grave.</w:t>
      </w:r>
    </w:p>
    <w:p w14:paraId="5E96FF4B" w14:textId="77777777" w:rsidR="00225E82" w:rsidRPr="007577D1" w:rsidRDefault="00225E82" w:rsidP="00225E82">
      <w:pPr>
        <w:tabs>
          <w:tab w:val="left" w:pos="3962"/>
        </w:tabs>
        <w:spacing w:line="360" w:lineRule="auto"/>
        <w:jc w:val="both"/>
        <w:rPr>
          <w:rFonts w:ascii="Palatino Linotype" w:hAnsi="Palatino Linotype" w:cs="Tahoma"/>
          <w:bCs/>
          <w:sz w:val="24"/>
          <w:szCs w:val="24"/>
        </w:rPr>
      </w:pPr>
    </w:p>
    <w:p w14:paraId="61CCC4CC" w14:textId="77777777" w:rsidR="00225E82" w:rsidRPr="007577D1" w:rsidRDefault="00225E82" w:rsidP="00225E82">
      <w:pPr>
        <w:tabs>
          <w:tab w:val="left" w:pos="3962"/>
        </w:tabs>
        <w:spacing w:line="360" w:lineRule="auto"/>
        <w:jc w:val="both"/>
        <w:rPr>
          <w:rFonts w:ascii="Palatino Linotype" w:hAnsi="Palatino Linotype" w:cs="Tahoma"/>
          <w:bCs/>
          <w:sz w:val="24"/>
          <w:szCs w:val="24"/>
        </w:rPr>
      </w:pPr>
      <w:r w:rsidRPr="007577D1">
        <w:rPr>
          <w:rFonts w:ascii="Palatino Linotype" w:hAnsi="Palatino Linotype" w:cs="Tahoma"/>
          <w:bCs/>
          <w:sz w:val="24"/>
          <w:szCs w:val="24"/>
        </w:rPr>
        <w:t>Sobre el particular, debe señalarse que, en un sistema jurídico racional, el contenido de ciertos derechos fundamentales no es absoluto y la colisión entre derechos fundamentales debe resolverse mediante una ponderación que determine el derecho que ha de prevalecer en el caso concretó, y no apelando a reglas de prioridad entre normas.</w:t>
      </w:r>
    </w:p>
    <w:p w14:paraId="07A6BD2D" w14:textId="77777777" w:rsidR="00225E82" w:rsidRPr="007577D1" w:rsidRDefault="00225E82" w:rsidP="00225E82">
      <w:pPr>
        <w:tabs>
          <w:tab w:val="left" w:pos="3962"/>
        </w:tabs>
        <w:spacing w:line="360" w:lineRule="auto"/>
        <w:jc w:val="both"/>
        <w:rPr>
          <w:rFonts w:ascii="Palatino Linotype" w:hAnsi="Palatino Linotype" w:cs="Tahoma"/>
          <w:bCs/>
          <w:sz w:val="24"/>
          <w:szCs w:val="24"/>
        </w:rPr>
      </w:pPr>
    </w:p>
    <w:p w14:paraId="22B40C84" w14:textId="77777777" w:rsidR="00225E82" w:rsidRPr="007577D1" w:rsidRDefault="00225E82" w:rsidP="00225E82">
      <w:pPr>
        <w:tabs>
          <w:tab w:val="left" w:pos="3962"/>
        </w:tabs>
        <w:spacing w:line="360" w:lineRule="auto"/>
        <w:jc w:val="both"/>
        <w:rPr>
          <w:rFonts w:ascii="Palatino Linotype" w:hAnsi="Palatino Linotype" w:cs="Tahoma"/>
          <w:bCs/>
          <w:sz w:val="24"/>
          <w:szCs w:val="24"/>
        </w:rPr>
      </w:pPr>
      <w:r w:rsidRPr="007577D1">
        <w:rPr>
          <w:rFonts w:ascii="Palatino Linotype" w:hAnsi="Palatino Linotype" w:cs="Tahoma"/>
          <w:bCs/>
          <w:sz w:val="24"/>
          <w:szCs w:val="24"/>
        </w:rPr>
        <w:t xml:space="preserve">Por cuanto hace a la colisión entre el derecho a la información y el derecho a la intimidad o a la vida privada, el Poder Judicial de la Federación ha sostenido la </w:t>
      </w:r>
      <w:r w:rsidRPr="007577D1">
        <w:rPr>
          <w:rFonts w:ascii="Palatino Linotype" w:hAnsi="Palatino Linotype" w:cs="Tahoma"/>
          <w:b/>
          <w:bCs/>
          <w:sz w:val="24"/>
          <w:szCs w:val="24"/>
        </w:rPr>
        <w:t xml:space="preserve">necesidad de </w:t>
      </w:r>
      <w:r w:rsidRPr="007577D1">
        <w:rPr>
          <w:rFonts w:ascii="Palatino Linotype" w:hAnsi="Palatino Linotype" w:cs="Tahoma"/>
          <w:b/>
          <w:bCs/>
          <w:sz w:val="24"/>
          <w:szCs w:val="24"/>
        </w:rPr>
        <w:lastRenderedPageBreak/>
        <w:t xml:space="preserve">resolver el conflicto apuntado mediante el ejercicio de ponderación; además, que el interés público que tenga cierta información, será concepto legitimador de las intromisiones en la intimidad o la vida privada, en donde este derecho debe ceder a favor del derecho a comunicar y recibir información, atendiendo a las circunstancias de cada caso en concreto, </w:t>
      </w:r>
      <w:r w:rsidRPr="007577D1">
        <w:rPr>
          <w:rFonts w:ascii="Palatino Linotype" w:hAnsi="Palatino Linotype" w:cs="Tahoma"/>
          <w:bCs/>
          <w:sz w:val="24"/>
          <w:szCs w:val="24"/>
        </w:rPr>
        <w:t>tal y como se desprende de la tesis 1a. XLIII/2010, emitida por la Primera Sala de la Suprema Corte de Justicia de la Nación, publicada en el Semanario Judicial de la Federación y su Gaceta, Tomo XXXI, página 928, de marzo de 2010, Novena Época, materia constitucional.</w:t>
      </w:r>
    </w:p>
    <w:p w14:paraId="7050DB06" w14:textId="77777777" w:rsidR="00225E82" w:rsidRPr="007577D1" w:rsidRDefault="00225E82" w:rsidP="00225E82">
      <w:pPr>
        <w:tabs>
          <w:tab w:val="left" w:pos="3962"/>
        </w:tabs>
        <w:spacing w:line="360" w:lineRule="auto"/>
        <w:jc w:val="both"/>
        <w:rPr>
          <w:rFonts w:ascii="Palatino Linotype" w:hAnsi="Palatino Linotype" w:cs="Tahoma"/>
          <w:bCs/>
          <w:iCs/>
          <w:sz w:val="24"/>
          <w:szCs w:val="24"/>
        </w:rPr>
      </w:pPr>
      <w:r w:rsidRPr="007577D1">
        <w:rPr>
          <w:rFonts w:ascii="Palatino Linotype" w:hAnsi="Palatino Linotype" w:cs="Tahoma"/>
          <w:bCs/>
          <w:sz w:val="24"/>
          <w:szCs w:val="24"/>
        </w:rPr>
        <w:t>En ese mismo sentido y atendiendo a la naturaleza del derecho a la protección de datos personales, por analogía, este debe ceder cuando exista un interés público mayor de acuerdo a las circunstancias del caso.</w:t>
      </w:r>
      <w:r w:rsidRPr="007577D1">
        <w:rPr>
          <w:rFonts w:ascii="Palatino Linotype" w:hAnsi="Palatino Linotype" w:cs="Tahoma"/>
          <w:bCs/>
          <w:iCs/>
          <w:sz w:val="24"/>
          <w:szCs w:val="24"/>
        </w:rPr>
        <w:t xml:space="preserve"> Señalado lo anterior, resulta necesario realizar una ponderación de los dos intereses jurídicos tutelados que convergen en la controversia que se dirime; para lo cual, el artículo </w:t>
      </w:r>
      <w:r w:rsidRPr="007577D1">
        <w:rPr>
          <w:rFonts w:ascii="Palatino Linotype" w:hAnsi="Palatino Linotype" w:cs="Tahoma"/>
          <w:bCs/>
          <w:sz w:val="24"/>
          <w:szCs w:val="24"/>
        </w:rPr>
        <w:t>184 de la Ley de Transparencia y Acceso a la Información Pública del Estado de México y Municipios</w:t>
      </w:r>
      <w:r w:rsidRPr="007577D1">
        <w:rPr>
          <w:rFonts w:ascii="Palatino Linotype" w:hAnsi="Palatino Linotype" w:cs="Tahoma"/>
          <w:bCs/>
          <w:iCs/>
          <w:sz w:val="24"/>
          <w:szCs w:val="24"/>
        </w:rPr>
        <w:t xml:space="preserve"> prevé que cuando exista una colisión de derechos, este Instituto, al resolver el recurso de revisión, debe aplicar una prueba de interés público con base en elementos de idoneidad, necesidad y proporcionalidad. Para estos efectos, se entenderá por: </w:t>
      </w:r>
    </w:p>
    <w:p w14:paraId="68EF626C" w14:textId="77777777" w:rsidR="00225E82" w:rsidRPr="007577D1" w:rsidRDefault="00225E82" w:rsidP="00225E82">
      <w:pPr>
        <w:numPr>
          <w:ilvl w:val="0"/>
          <w:numId w:val="14"/>
        </w:numPr>
        <w:tabs>
          <w:tab w:val="left" w:pos="3962"/>
        </w:tabs>
        <w:spacing w:after="0" w:line="360" w:lineRule="auto"/>
        <w:jc w:val="both"/>
        <w:rPr>
          <w:rFonts w:ascii="Palatino Linotype" w:hAnsi="Palatino Linotype" w:cs="Tahoma"/>
          <w:bCs/>
          <w:iCs/>
          <w:sz w:val="24"/>
          <w:szCs w:val="24"/>
        </w:rPr>
      </w:pPr>
      <w:r w:rsidRPr="007577D1">
        <w:rPr>
          <w:rFonts w:ascii="Palatino Linotype" w:hAnsi="Palatino Linotype" w:cs="Tahoma"/>
          <w:b/>
          <w:bCs/>
          <w:iCs/>
          <w:sz w:val="24"/>
          <w:szCs w:val="24"/>
        </w:rPr>
        <w:t>Idoneidad:</w:t>
      </w:r>
      <w:r w:rsidRPr="007577D1">
        <w:rPr>
          <w:rFonts w:ascii="Palatino Linotype" w:hAnsi="Palatino Linotype" w:cs="Tahoma"/>
          <w:bCs/>
          <w:iCs/>
          <w:sz w:val="24"/>
          <w:szCs w:val="24"/>
        </w:rPr>
        <w:t xml:space="preserve"> La legitimidad del derecho adoptado como preferente, que sea el adecuado para el logro de un fin constitucionalmente válido o apto para conseguir el fin pretendido;</w:t>
      </w:r>
    </w:p>
    <w:p w14:paraId="429FC325" w14:textId="77777777" w:rsidR="00225E82" w:rsidRPr="007577D1" w:rsidRDefault="00225E82" w:rsidP="00225E82">
      <w:pPr>
        <w:tabs>
          <w:tab w:val="left" w:pos="3962"/>
        </w:tabs>
        <w:spacing w:line="360" w:lineRule="auto"/>
        <w:jc w:val="both"/>
        <w:rPr>
          <w:rFonts w:ascii="Palatino Linotype" w:hAnsi="Palatino Linotype" w:cs="Tahoma"/>
          <w:bCs/>
          <w:iCs/>
          <w:sz w:val="24"/>
          <w:szCs w:val="24"/>
        </w:rPr>
      </w:pPr>
    </w:p>
    <w:p w14:paraId="060E2A3A" w14:textId="77777777" w:rsidR="00225E82" w:rsidRPr="007577D1" w:rsidRDefault="00225E82" w:rsidP="00225E82">
      <w:pPr>
        <w:numPr>
          <w:ilvl w:val="0"/>
          <w:numId w:val="14"/>
        </w:numPr>
        <w:tabs>
          <w:tab w:val="left" w:pos="3962"/>
        </w:tabs>
        <w:spacing w:after="0" w:line="360" w:lineRule="auto"/>
        <w:jc w:val="both"/>
        <w:rPr>
          <w:rFonts w:ascii="Palatino Linotype" w:hAnsi="Palatino Linotype" w:cs="Tahoma"/>
          <w:bCs/>
          <w:iCs/>
          <w:sz w:val="24"/>
          <w:szCs w:val="24"/>
        </w:rPr>
      </w:pPr>
      <w:r w:rsidRPr="007577D1">
        <w:rPr>
          <w:rFonts w:ascii="Palatino Linotype" w:hAnsi="Palatino Linotype" w:cs="Tahoma"/>
          <w:b/>
          <w:bCs/>
          <w:iCs/>
          <w:sz w:val="24"/>
          <w:szCs w:val="24"/>
        </w:rPr>
        <w:t>Necesidad:</w:t>
      </w:r>
      <w:r w:rsidRPr="007577D1">
        <w:rPr>
          <w:rFonts w:ascii="Palatino Linotype" w:hAnsi="Palatino Linotype" w:cs="Tahoma"/>
          <w:bCs/>
          <w:iCs/>
          <w:sz w:val="24"/>
          <w:szCs w:val="24"/>
        </w:rPr>
        <w:t xml:space="preserve"> La falta de un medio alternativo menos lesivo a la apertura de la información, para satisfacer el interés público, y</w:t>
      </w:r>
    </w:p>
    <w:p w14:paraId="6876A6FE" w14:textId="77777777" w:rsidR="00225E82" w:rsidRPr="007577D1" w:rsidRDefault="00225E82" w:rsidP="00225E82">
      <w:pPr>
        <w:tabs>
          <w:tab w:val="left" w:pos="3962"/>
        </w:tabs>
        <w:spacing w:line="360" w:lineRule="auto"/>
        <w:jc w:val="both"/>
        <w:rPr>
          <w:rFonts w:ascii="Palatino Linotype" w:hAnsi="Palatino Linotype" w:cs="Tahoma"/>
          <w:bCs/>
          <w:iCs/>
          <w:sz w:val="24"/>
          <w:szCs w:val="24"/>
        </w:rPr>
      </w:pPr>
    </w:p>
    <w:p w14:paraId="2AF159C2" w14:textId="77777777" w:rsidR="00225E82" w:rsidRPr="007577D1" w:rsidRDefault="00225E82" w:rsidP="00225E82">
      <w:pPr>
        <w:numPr>
          <w:ilvl w:val="0"/>
          <w:numId w:val="14"/>
        </w:numPr>
        <w:tabs>
          <w:tab w:val="left" w:pos="3962"/>
        </w:tabs>
        <w:spacing w:after="0" w:line="360" w:lineRule="auto"/>
        <w:jc w:val="both"/>
        <w:rPr>
          <w:rFonts w:ascii="Palatino Linotype" w:hAnsi="Palatino Linotype" w:cs="Tahoma"/>
          <w:bCs/>
          <w:iCs/>
          <w:sz w:val="24"/>
          <w:szCs w:val="24"/>
        </w:rPr>
      </w:pPr>
      <w:r w:rsidRPr="007577D1">
        <w:rPr>
          <w:rFonts w:ascii="Palatino Linotype" w:hAnsi="Palatino Linotype" w:cs="Tahoma"/>
          <w:b/>
          <w:bCs/>
          <w:iCs/>
          <w:sz w:val="24"/>
          <w:szCs w:val="24"/>
        </w:rPr>
        <w:t>Proporcionalidad:</w:t>
      </w:r>
      <w:r w:rsidRPr="007577D1">
        <w:rPr>
          <w:rFonts w:ascii="Palatino Linotype" w:hAnsi="Palatino Linotype" w:cs="Tahoma"/>
          <w:bCs/>
          <w:iCs/>
          <w:sz w:val="24"/>
          <w:szCs w:val="24"/>
        </w:rPr>
        <w:t xml:space="preserve"> El equilibrio entre perjuicio y beneficio a favor del interés público, a fin de que la decisión tomada represente un beneficio mayor al perjuicio que podría causar a la población.</w:t>
      </w:r>
    </w:p>
    <w:p w14:paraId="080D2825" w14:textId="77777777" w:rsidR="00225E82" w:rsidRPr="007577D1" w:rsidRDefault="00225E82" w:rsidP="00225E82">
      <w:pPr>
        <w:tabs>
          <w:tab w:val="left" w:pos="3962"/>
        </w:tabs>
        <w:spacing w:line="360" w:lineRule="auto"/>
        <w:jc w:val="both"/>
        <w:rPr>
          <w:rFonts w:ascii="Palatino Linotype" w:hAnsi="Palatino Linotype" w:cs="Tahoma"/>
          <w:bCs/>
          <w:sz w:val="24"/>
          <w:szCs w:val="24"/>
        </w:rPr>
      </w:pPr>
    </w:p>
    <w:p w14:paraId="7BC9BD8C" w14:textId="77777777" w:rsidR="00225E82" w:rsidRPr="007577D1" w:rsidRDefault="00225E82" w:rsidP="00225E82">
      <w:pPr>
        <w:tabs>
          <w:tab w:val="left" w:pos="3962"/>
        </w:tabs>
        <w:spacing w:line="360" w:lineRule="auto"/>
        <w:jc w:val="both"/>
        <w:rPr>
          <w:rFonts w:ascii="Palatino Linotype" w:hAnsi="Palatino Linotype" w:cs="Tahoma"/>
          <w:bCs/>
          <w:sz w:val="24"/>
          <w:szCs w:val="24"/>
        </w:rPr>
      </w:pPr>
      <w:r w:rsidRPr="007577D1">
        <w:rPr>
          <w:rFonts w:ascii="Palatino Linotype" w:hAnsi="Palatino Linotype" w:cs="Tahoma"/>
          <w:bCs/>
          <w:sz w:val="24"/>
          <w:szCs w:val="24"/>
        </w:rPr>
        <w:t>En ese orden de ideas, resulta procedente analizar cada uno de los elementos referidos, partiendo de que, en el caso concreto, se estima como preferente el derecho de acceso a la información, bajo las consideraciones que se verterán a continuación.</w:t>
      </w:r>
    </w:p>
    <w:p w14:paraId="0579A736" w14:textId="77777777" w:rsidR="00225E82" w:rsidRPr="007577D1" w:rsidRDefault="00225E82" w:rsidP="00225E82">
      <w:pPr>
        <w:tabs>
          <w:tab w:val="left" w:pos="3962"/>
        </w:tabs>
        <w:spacing w:line="360" w:lineRule="auto"/>
        <w:jc w:val="both"/>
        <w:rPr>
          <w:rFonts w:ascii="Palatino Linotype" w:hAnsi="Palatino Linotype" w:cs="Tahoma"/>
          <w:bCs/>
          <w:sz w:val="24"/>
          <w:szCs w:val="24"/>
        </w:rPr>
      </w:pPr>
    </w:p>
    <w:p w14:paraId="27108621" w14:textId="77777777" w:rsidR="00225E82" w:rsidRPr="007577D1" w:rsidRDefault="00225E82" w:rsidP="00225E82">
      <w:pPr>
        <w:tabs>
          <w:tab w:val="left" w:pos="3962"/>
        </w:tabs>
        <w:spacing w:line="360" w:lineRule="auto"/>
        <w:jc w:val="both"/>
        <w:rPr>
          <w:rFonts w:ascii="Palatino Linotype" w:hAnsi="Palatino Linotype" w:cs="Tahoma"/>
          <w:b/>
          <w:bCs/>
          <w:iCs/>
          <w:sz w:val="24"/>
          <w:szCs w:val="24"/>
        </w:rPr>
      </w:pPr>
      <w:r w:rsidRPr="007577D1">
        <w:rPr>
          <w:rFonts w:ascii="Palatino Linotype" w:hAnsi="Palatino Linotype" w:cs="Tahoma"/>
          <w:b/>
          <w:bCs/>
          <w:iCs/>
          <w:sz w:val="24"/>
          <w:szCs w:val="24"/>
        </w:rPr>
        <w:t>a) Idoneidad</w:t>
      </w:r>
      <w:r w:rsidRPr="007577D1">
        <w:rPr>
          <w:rFonts w:ascii="Palatino Linotype" w:hAnsi="Palatino Linotype" w:cs="Tahoma"/>
          <w:bCs/>
          <w:sz w:val="24"/>
          <w:szCs w:val="24"/>
        </w:rPr>
        <w:t>. El presente asunto representa un caso en el que el ejercicio del derecho de acceso a la información se contrapone al derecho a la vida privada; los cuales se encuentran reconocidos en el plano constitucional, en igualdad de características para los gobernados.</w:t>
      </w:r>
    </w:p>
    <w:p w14:paraId="3FF66CB7" w14:textId="77777777" w:rsidR="00225E82" w:rsidRPr="007577D1" w:rsidRDefault="00225E82" w:rsidP="00225E82">
      <w:pPr>
        <w:tabs>
          <w:tab w:val="left" w:pos="3962"/>
        </w:tabs>
        <w:spacing w:line="360" w:lineRule="auto"/>
        <w:jc w:val="both"/>
        <w:rPr>
          <w:rFonts w:ascii="Palatino Linotype" w:hAnsi="Palatino Linotype" w:cs="Tahoma"/>
          <w:b/>
          <w:bCs/>
          <w:iCs/>
          <w:sz w:val="24"/>
          <w:szCs w:val="24"/>
        </w:rPr>
      </w:pPr>
    </w:p>
    <w:p w14:paraId="6BB58251" w14:textId="77777777" w:rsidR="00225E82" w:rsidRPr="007577D1" w:rsidRDefault="00225E82" w:rsidP="00225E82">
      <w:pPr>
        <w:tabs>
          <w:tab w:val="left" w:pos="3962"/>
        </w:tabs>
        <w:spacing w:line="360" w:lineRule="auto"/>
        <w:jc w:val="both"/>
        <w:rPr>
          <w:rFonts w:ascii="Palatino Linotype" w:hAnsi="Palatino Linotype" w:cs="Tahoma"/>
          <w:bCs/>
          <w:iCs/>
          <w:sz w:val="24"/>
          <w:szCs w:val="24"/>
        </w:rPr>
      </w:pPr>
      <w:r w:rsidRPr="007577D1">
        <w:rPr>
          <w:rFonts w:ascii="Palatino Linotype" w:hAnsi="Palatino Linotype" w:cs="Tahoma"/>
          <w:bCs/>
          <w:iCs/>
          <w:sz w:val="24"/>
          <w:szCs w:val="24"/>
        </w:rPr>
        <w:t>Ahora bien, respecto al derecho al honor y a la privacidad, es establecido que cuando se hace referencia a servidores públicos, el umbral de protección del derecho a su honor debe permitir el más amplio control ciudadano sobre el ejercicio de sus funciones, porque el funcionario público se expone voluntariamente al escrutinio de la sociedad al asumir ciertas responsabilidades profesionales -lo que conlleva naturalmente mayores riesgos de sufrir afectaciones en su honor- y porque su condición le permite tener mayor influencia social y acceder con facilidad a los medios de comunicación para dar explicaciones o reaccionar ante hechos que lo involucren.</w:t>
      </w:r>
    </w:p>
    <w:p w14:paraId="2D555576" w14:textId="77777777" w:rsidR="00225E82" w:rsidRPr="007577D1" w:rsidRDefault="00225E82" w:rsidP="00225E82">
      <w:pPr>
        <w:tabs>
          <w:tab w:val="left" w:pos="3962"/>
        </w:tabs>
        <w:spacing w:line="360" w:lineRule="auto"/>
        <w:jc w:val="both"/>
        <w:rPr>
          <w:rFonts w:ascii="Palatino Linotype" w:hAnsi="Palatino Linotype" w:cs="Tahoma"/>
          <w:b/>
          <w:bCs/>
          <w:iCs/>
          <w:sz w:val="24"/>
          <w:szCs w:val="24"/>
        </w:rPr>
      </w:pPr>
    </w:p>
    <w:p w14:paraId="3DBC6968" w14:textId="77777777" w:rsidR="00225E82" w:rsidRPr="007577D1" w:rsidRDefault="00225E82" w:rsidP="00225E82">
      <w:pPr>
        <w:tabs>
          <w:tab w:val="left" w:pos="3962"/>
        </w:tabs>
        <w:spacing w:line="360" w:lineRule="auto"/>
        <w:jc w:val="both"/>
        <w:rPr>
          <w:rFonts w:ascii="Palatino Linotype" w:hAnsi="Palatino Linotype" w:cs="Tahoma"/>
          <w:bCs/>
          <w:iCs/>
          <w:sz w:val="24"/>
          <w:szCs w:val="24"/>
        </w:rPr>
      </w:pPr>
      <w:r w:rsidRPr="007577D1">
        <w:rPr>
          <w:rFonts w:ascii="Palatino Linotype" w:hAnsi="Palatino Linotype" w:cs="Tahoma"/>
          <w:bCs/>
          <w:iCs/>
          <w:sz w:val="24"/>
          <w:szCs w:val="24"/>
        </w:rPr>
        <w:t>Así, se advierte que aquellas personas con responsabilidades públicas mantienen la protección derivada del derecho al honor incluso cuando no estén actuando en carácter de particulares, pero las implicaciones de esta protección deben ser ponderadas con las que derivan del interés en un debate abierto sobre los asuntos públicos.</w:t>
      </w:r>
    </w:p>
    <w:p w14:paraId="002496F3" w14:textId="77777777" w:rsidR="00225E82" w:rsidRPr="007577D1" w:rsidRDefault="00225E82" w:rsidP="00225E82">
      <w:pPr>
        <w:tabs>
          <w:tab w:val="left" w:pos="3962"/>
        </w:tabs>
        <w:spacing w:line="360" w:lineRule="auto"/>
        <w:jc w:val="both"/>
        <w:rPr>
          <w:rFonts w:ascii="Palatino Linotype" w:hAnsi="Palatino Linotype" w:cs="Tahoma"/>
          <w:bCs/>
          <w:iCs/>
          <w:sz w:val="24"/>
          <w:szCs w:val="24"/>
        </w:rPr>
      </w:pPr>
    </w:p>
    <w:p w14:paraId="16BF856D" w14:textId="77777777" w:rsidR="00225E82" w:rsidRPr="007577D1" w:rsidRDefault="00225E82" w:rsidP="00225E82">
      <w:pPr>
        <w:tabs>
          <w:tab w:val="left" w:pos="3962"/>
        </w:tabs>
        <w:spacing w:line="360" w:lineRule="auto"/>
        <w:jc w:val="both"/>
        <w:rPr>
          <w:rFonts w:ascii="Palatino Linotype" w:hAnsi="Palatino Linotype" w:cs="Tahoma"/>
          <w:bCs/>
          <w:iCs/>
          <w:sz w:val="24"/>
          <w:szCs w:val="24"/>
        </w:rPr>
      </w:pPr>
      <w:r w:rsidRPr="007577D1">
        <w:rPr>
          <w:rFonts w:ascii="Palatino Linotype" w:hAnsi="Palatino Linotype" w:cs="Tahoma"/>
          <w:bCs/>
          <w:iCs/>
          <w:sz w:val="24"/>
          <w:szCs w:val="24"/>
        </w:rPr>
        <w:t xml:space="preserve">En ese sentido, el hecho de que los servidores públicos concluyan sus funciones, no implica que termine el mayor nivel de tolerancia frente a la crítica de su desempeño, es decir, no significa que una vez que el servidor público termine su encargo, debe estar vedado publicar información </w:t>
      </w:r>
      <w:r w:rsidRPr="007577D1">
        <w:rPr>
          <w:rFonts w:ascii="Palatino Linotype" w:hAnsi="Palatino Linotype" w:cs="Tahoma"/>
          <w:b/>
          <w:bCs/>
          <w:iCs/>
          <w:sz w:val="24"/>
          <w:szCs w:val="24"/>
        </w:rPr>
        <w:t>respecto de su desempeño</w:t>
      </w:r>
      <w:r w:rsidRPr="007577D1">
        <w:rPr>
          <w:rFonts w:ascii="Palatino Linotype" w:hAnsi="Palatino Linotype" w:cs="Tahoma"/>
          <w:bCs/>
          <w:iCs/>
          <w:sz w:val="24"/>
          <w:szCs w:val="24"/>
        </w:rPr>
        <w:t xml:space="preserve"> o que se termine el mayor nivel de tolerancia que debe tener frente a la crítica, sino que ese mayor nivel de tolerancia, sólo se tiene frente a la información de interés público.</w:t>
      </w:r>
    </w:p>
    <w:p w14:paraId="4C6E7353" w14:textId="77777777" w:rsidR="00225E82" w:rsidRPr="007577D1" w:rsidRDefault="00225E82" w:rsidP="00225E82">
      <w:pPr>
        <w:tabs>
          <w:tab w:val="left" w:pos="3962"/>
        </w:tabs>
        <w:spacing w:line="360" w:lineRule="auto"/>
        <w:jc w:val="both"/>
        <w:rPr>
          <w:rFonts w:ascii="Palatino Linotype" w:hAnsi="Palatino Linotype" w:cs="Tahoma"/>
          <w:bCs/>
          <w:iCs/>
          <w:sz w:val="24"/>
          <w:szCs w:val="24"/>
        </w:rPr>
      </w:pPr>
    </w:p>
    <w:p w14:paraId="444B1F5C" w14:textId="77777777" w:rsidR="00225E82" w:rsidRPr="007577D1" w:rsidRDefault="00225E82" w:rsidP="00225E82">
      <w:pPr>
        <w:tabs>
          <w:tab w:val="left" w:pos="3962"/>
        </w:tabs>
        <w:spacing w:line="360" w:lineRule="auto"/>
        <w:jc w:val="both"/>
        <w:rPr>
          <w:rFonts w:ascii="Palatino Linotype" w:hAnsi="Palatino Linotype" w:cs="Tahoma"/>
          <w:bCs/>
          <w:iCs/>
          <w:sz w:val="24"/>
          <w:szCs w:val="24"/>
        </w:rPr>
      </w:pPr>
      <w:r w:rsidRPr="007577D1">
        <w:rPr>
          <w:rFonts w:ascii="Palatino Linotype" w:hAnsi="Palatino Linotype" w:cs="Tahoma"/>
          <w:bCs/>
          <w:iCs/>
          <w:sz w:val="24"/>
          <w:szCs w:val="24"/>
        </w:rPr>
        <w:t xml:space="preserve">Lo anterior, ya que como se precisó en párrafos anteriores, proporcionar la información de referencia, garantizaría la rendición de cuentas por parte del </w:t>
      </w:r>
      <w:r w:rsidRPr="007577D1">
        <w:rPr>
          <w:rFonts w:ascii="Palatino Linotype" w:hAnsi="Palatino Linotype" w:cs="Tahoma"/>
          <w:bCs/>
          <w:iCs/>
          <w:sz w:val="24"/>
          <w:szCs w:val="24"/>
          <w:lang w:val="es-ES_tradnl"/>
        </w:rPr>
        <w:t>Órgano Interno de Control</w:t>
      </w:r>
      <w:r w:rsidRPr="007577D1">
        <w:rPr>
          <w:rFonts w:ascii="Palatino Linotype" w:hAnsi="Palatino Linotype" w:cs="Tahoma"/>
          <w:bCs/>
          <w:iCs/>
          <w:sz w:val="24"/>
          <w:szCs w:val="24"/>
        </w:rPr>
        <w:t xml:space="preserve"> y del Tribunal de Justicia Administrativa del Estado de México, relativo a su actuación, teniendo como consecuencia que los ciudadanos tengan confianza en sus autoridades, al poder conocer el nombre de los servidores públicos que fueron sancionados por una falta grave.</w:t>
      </w:r>
    </w:p>
    <w:p w14:paraId="10FEE12B" w14:textId="77777777" w:rsidR="00225E82" w:rsidRPr="007577D1" w:rsidRDefault="00225E82" w:rsidP="00225E82">
      <w:pPr>
        <w:tabs>
          <w:tab w:val="left" w:pos="3962"/>
        </w:tabs>
        <w:spacing w:line="360" w:lineRule="auto"/>
        <w:jc w:val="both"/>
        <w:rPr>
          <w:rFonts w:ascii="Palatino Linotype" w:hAnsi="Palatino Linotype" w:cs="Tahoma"/>
          <w:bCs/>
          <w:iCs/>
          <w:sz w:val="24"/>
          <w:szCs w:val="24"/>
        </w:rPr>
      </w:pPr>
    </w:p>
    <w:p w14:paraId="1D10F2CF" w14:textId="77777777" w:rsidR="00225E82" w:rsidRPr="007577D1" w:rsidRDefault="00225E82" w:rsidP="00225E82">
      <w:pPr>
        <w:tabs>
          <w:tab w:val="left" w:pos="3962"/>
        </w:tabs>
        <w:spacing w:line="360" w:lineRule="auto"/>
        <w:jc w:val="both"/>
        <w:rPr>
          <w:rFonts w:ascii="Palatino Linotype" w:hAnsi="Palatino Linotype" w:cs="Tahoma"/>
          <w:bCs/>
          <w:iCs/>
          <w:sz w:val="24"/>
          <w:szCs w:val="24"/>
        </w:rPr>
      </w:pPr>
      <w:r w:rsidRPr="007577D1">
        <w:rPr>
          <w:rFonts w:ascii="Palatino Linotype" w:hAnsi="Palatino Linotype" w:cs="Tahoma"/>
          <w:bCs/>
          <w:iCs/>
          <w:sz w:val="24"/>
          <w:szCs w:val="24"/>
        </w:rPr>
        <w:t xml:space="preserve">Además, que, con dicha información, se estaría revelando que el desempeño de estos, no fue conforme a derecho, asimismo, de dar a conocer que los referidos acreditaron que </w:t>
      </w:r>
      <w:r w:rsidRPr="007577D1">
        <w:rPr>
          <w:rFonts w:ascii="Palatino Linotype" w:hAnsi="Palatino Linotype" w:cs="Tahoma"/>
          <w:bCs/>
          <w:iCs/>
          <w:sz w:val="24"/>
          <w:szCs w:val="24"/>
        </w:rPr>
        <w:lastRenderedPageBreak/>
        <w:t>había cometido faltas graves e inclusive actos de corrupción. Con base en lo anterior, se considera que el principio que se debe adoptar en el presente asunto es el que subyace en el derecho fundamental de acceso a la información, puesto que a través de éste se busca no sólo satisfacer un interés individual, sino la necesidad de la colectividad de estar en posibilidad de evaluar el desempeño de los servidores públicos y autoridades.</w:t>
      </w:r>
    </w:p>
    <w:p w14:paraId="2E3FADEA" w14:textId="77777777" w:rsidR="00225E82" w:rsidRPr="007577D1" w:rsidRDefault="00225E82" w:rsidP="00225E82">
      <w:pPr>
        <w:tabs>
          <w:tab w:val="left" w:pos="3962"/>
        </w:tabs>
        <w:spacing w:line="360" w:lineRule="auto"/>
        <w:jc w:val="both"/>
        <w:rPr>
          <w:rFonts w:ascii="Palatino Linotype" w:hAnsi="Palatino Linotype" w:cs="Tahoma"/>
          <w:bCs/>
          <w:iCs/>
          <w:sz w:val="24"/>
          <w:szCs w:val="24"/>
        </w:rPr>
      </w:pPr>
    </w:p>
    <w:p w14:paraId="5BFFC51F" w14:textId="77777777" w:rsidR="00225E82" w:rsidRPr="007577D1" w:rsidRDefault="00225E82" w:rsidP="00225E82">
      <w:pPr>
        <w:tabs>
          <w:tab w:val="left" w:pos="3962"/>
        </w:tabs>
        <w:spacing w:line="360" w:lineRule="auto"/>
        <w:jc w:val="both"/>
        <w:rPr>
          <w:rFonts w:ascii="Palatino Linotype" w:hAnsi="Palatino Linotype" w:cs="Tahoma"/>
          <w:bCs/>
          <w:iCs/>
          <w:sz w:val="24"/>
          <w:szCs w:val="24"/>
        </w:rPr>
      </w:pPr>
      <w:r w:rsidRPr="007577D1">
        <w:rPr>
          <w:rFonts w:ascii="Palatino Linotype" w:hAnsi="Palatino Linotype" w:cs="Tahoma"/>
          <w:b/>
          <w:bCs/>
          <w:iCs/>
          <w:sz w:val="24"/>
          <w:szCs w:val="24"/>
        </w:rPr>
        <w:t xml:space="preserve">b) Necesidad: </w:t>
      </w:r>
      <w:r w:rsidRPr="007577D1">
        <w:rPr>
          <w:rFonts w:ascii="Palatino Linotype" w:hAnsi="Palatino Linotype" w:cs="Tahoma"/>
          <w:bCs/>
          <w:iCs/>
          <w:sz w:val="24"/>
          <w:szCs w:val="24"/>
        </w:rPr>
        <w:t>Por otra parte, este Instituto observa que también se actualiza el principio de necesidad, ya que no existe un medio menos oneroso para lograr el fin válido, pues se estima necesaria la difusión, en caso de existir, de la información requerida, es decir, del nombre de los servidores públicos sancionados, pues se relacionan con el ejercicio de sus funciones de los cargos ocupados, a fin de que los ciudadanos identifiquen el tipo de desempeño efectuado por el trabajador, en el ejercicio de sus atribuciones, con la finalidad de calificar su actuar, ello con independencia de que el funcionario también revista el carácter de persona física identificada e identificable, pues, tal como se hizo alusión en el análisis que precede, la protección de sus datos personales queda supeditada al interés mayor de conocer los motivos y circunstancias que dieron origen a las posibles responsabilidades administrativas instauradas en su contra, que en su caso obren en los archivos.</w:t>
      </w:r>
    </w:p>
    <w:p w14:paraId="7E3A0B4D" w14:textId="77777777" w:rsidR="00225E82" w:rsidRPr="007577D1" w:rsidRDefault="00225E82" w:rsidP="00225E82">
      <w:pPr>
        <w:tabs>
          <w:tab w:val="left" w:pos="3962"/>
        </w:tabs>
        <w:spacing w:line="360" w:lineRule="auto"/>
        <w:jc w:val="both"/>
        <w:rPr>
          <w:rFonts w:ascii="Palatino Linotype" w:hAnsi="Palatino Linotype" w:cs="Tahoma"/>
          <w:bCs/>
          <w:iCs/>
          <w:sz w:val="24"/>
          <w:szCs w:val="24"/>
        </w:rPr>
      </w:pPr>
    </w:p>
    <w:p w14:paraId="13D08F66" w14:textId="77777777" w:rsidR="00225E82" w:rsidRPr="007577D1" w:rsidRDefault="00225E82" w:rsidP="00225E82">
      <w:pPr>
        <w:tabs>
          <w:tab w:val="left" w:pos="3962"/>
        </w:tabs>
        <w:spacing w:line="360" w:lineRule="auto"/>
        <w:jc w:val="both"/>
        <w:rPr>
          <w:rFonts w:ascii="Palatino Linotype" w:hAnsi="Palatino Linotype" w:cs="Tahoma"/>
          <w:bCs/>
          <w:iCs/>
          <w:sz w:val="24"/>
          <w:szCs w:val="24"/>
        </w:rPr>
      </w:pPr>
      <w:r w:rsidRPr="007577D1">
        <w:rPr>
          <w:rFonts w:ascii="Palatino Linotype" w:hAnsi="Palatino Linotype" w:cs="Tahoma"/>
          <w:bCs/>
          <w:iCs/>
          <w:sz w:val="24"/>
          <w:szCs w:val="24"/>
        </w:rPr>
        <w:t xml:space="preserve">Además, ello permite evaluar la actuación tanto del Tribunal de Justicia Administrativa del Estado de México, como del </w:t>
      </w:r>
      <w:r w:rsidRPr="007577D1">
        <w:rPr>
          <w:rFonts w:ascii="Palatino Linotype" w:hAnsi="Palatino Linotype" w:cs="Tahoma"/>
          <w:bCs/>
          <w:iCs/>
          <w:sz w:val="24"/>
          <w:szCs w:val="24"/>
          <w:lang w:val="es-ES_tradnl"/>
        </w:rPr>
        <w:t>Órgano Interno de Control</w:t>
      </w:r>
      <w:r w:rsidRPr="007577D1">
        <w:rPr>
          <w:rFonts w:ascii="Palatino Linotype" w:hAnsi="Palatino Linotype" w:cs="Tahoma"/>
          <w:bCs/>
          <w:iCs/>
          <w:sz w:val="24"/>
          <w:szCs w:val="24"/>
        </w:rPr>
        <w:t xml:space="preserve">, pues se podrá advertir la forma en la que ejercieron las funciones que legalmente tienen conferidas. Lo anterior, considerando que sólo por esta vía se podría lograr el acceso a la información </w:t>
      </w:r>
      <w:r w:rsidRPr="007577D1">
        <w:rPr>
          <w:rFonts w:ascii="Palatino Linotype" w:hAnsi="Palatino Linotype" w:cs="Tahoma"/>
          <w:bCs/>
          <w:iCs/>
          <w:sz w:val="24"/>
          <w:szCs w:val="24"/>
        </w:rPr>
        <w:lastRenderedPageBreak/>
        <w:t>correspondiente a los documentos del interés del Particular, para garantizar la rendición de cuentas sobre su actuación, así como, la de los servidores públicos sancionados.</w:t>
      </w:r>
    </w:p>
    <w:p w14:paraId="4319EA6F" w14:textId="77777777" w:rsidR="00225E82" w:rsidRPr="007577D1" w:rsidRDefault="00225E82" w:rsidP="00225E82">
      <w:pPr>
        <w:tabs>
          <w:tab w:val="left" w:pos="3962"/>
        </w:tabs>
        <w:spacing w:line="360" w:lineRule="auto"/>
        <w:jc w:val="both"/>
        <w:rPr>
          <w:rFonts w:ascii="Palatino Linotype" w:hAnsi="Palatino Linotype" w:cs="Tahoma"/>
          <w:bCs/>
          <w:iCs/>
          <w:sz w:val="24"/>
          <w:szCs w:val="24"/>
        </w:rPr>
      </w:pPr>
    </w:p>
    <w:p w14:paraId="54438EDF" w14:textId="77777777" w:rsidR="00225E82" w:rsidRPr="007577D1" w:rsidRDefault="00225E82" w:rsidP="00225E82">
      <w:pPr>
        <w:tabs>
          <w:tab w:val="left" w:pos="3962"/>
        </w:tabs>
        <w:spacing w:line="360" w:lineRule="auto"/>
        <w:jc w:val="both"/>
        <w:rPr>
          <w:rFonts w:ascii="Palatino Linotype" w:hAnsi="Palatino Linotype" w:cs="Tahoma"/>
          <w:bCs/>
          <w:iCs/>
          <w:sz w:val="24"/>
          <w:szCs w:val="24"/>
        </w:rPr>
      </w:pPr>
      <w:r w:rsidRPr="007577D1">
        <w:rPr>
          <w:rFonts w:ascii="Palatino Linotype" w:hAnsi="Palatino Linotype" w:cs="Tahoma"/>
          <w:bCs/>
          <w:iCs/>
          <w:sz w:val="24"/>
          <w:szCs w:val="24"/>
        </w:rPr>
        <w:t xml:space="preserve">Situación que se robustece, con el hecho de que el </w:t>
      </w:r>
      <w:r w:rsidRPr="007577D1">
        <w:rPr>
          <w:rFonts w:ascii="Palatino Linotype" w:hAnsi="Palatino Linotype" w:cs="Tahoma"/>
          <w:bCs/>
          <w:iCs/>
          <w:sz w:val="24"/>
          <w:szCs w:val="24"/>
          <w:u w:val="single"/>
        </w:rPr>
        <w:t>artículo 27 de la Ley General de Responsabilidades Administrativas, cuarto párrafo, específica que se hará público, las constancias de sanciones o de inhabilitación que se encuentren firmes, en contra de los servidores públicos que hayan sido sancionados por actos vinculados con faltas administrativas graves; de la misma manera, lo prevé el artículo 28, de la Ley de Responsabilidades Administrativas del Estado de México.</w:t>
      </w:r>
    </w:p>
    <w:p w14:paraId="3ECCE617" w14:textId="77777777" w:rsidR="00225E82" w:rsidRPr="007577D1" w:rsidRDefault="00225E82" w:rsidP="00225E82">
      <w:pPr>
        <w:tabs>
          <w:tab w:val="left" w:pos="3962"/>
        </w:tabs>
        <w:spacing w:line="360" w:lineRule="auto"/>
        <w:jc w:val="both"/>
        <w:rPr>
          <w:rFonts w:ascii="Palatino Linotype" w:hAnsi="Palatino Linotype" w:cs="Tahoma"/>
          <w:bCs/>
          <w:iCs/>
          <w:sz w:val="24"/>
          <w:szCs w:val="24"/>
        </w:rPr>
      </w:pPr>
    </w:p>
    <w:p w14:paraId="55A3DB78" w14:textId="77777777" w:rsidR="00225E82" w:rsidRPr="007577D1" w:rsidRDefault="00225E82" w:rsidP="00225E82">
      <w:pPr>
        <w:tabs>
          <w:tab w:val="left" w:pos="3962"/>
        </w:tabs>
        <w:spacing w:line="360" w:lineRule="auto"/>
        <w:jc w:val="both"/>
        <w:rPr>
          <w:rFonts w:ascii="Palatino Linotype" w:hAnsi="Palatino Linotype" w:cs="Tahoma"/>
          <w:bCs/>
          <w:iCs/>
          <w:sz w:val="24"/>
          <w:szCs w:val="24"/>
        </w:rPr>
      </w:pPr>
      <w:r w:rsidRPr="007577D1">
        <w:rPr>
          <w:rFonts w:ascii="Palatino Linotype" w:hAnsi="Palatino Linotype" w:cs="Tahoma"/>
          <w:bCs/>
          <w:iCs/>
          <w:sz w:val="24"/>
          <w:szCs w:val="24"/>
        </w:rPr>
        <w:t>En tal virtud, por la trascendencia social de la materia del requerimiento, el derecho de acceso a la información deberá prevalecer sobre el derecho a la privacidad; aunado, a que, por disposición legal, la información relacionada con faltas graves de servidores públicos, guardan el carácter de público.</w:t>
      </w:r>
    </w:p>
    <w:p w14:paraId="0A275FA4" w14:textId="77777777" w:rsidR="00225E82" w:rsidRPr="007577D1" w:rsidRDefault="00225E82" w:rsidP="00225E82">
      <w:pPr>
        <w:tabs>
          <w:tab w:val="left" w:pos="3962"/>
        </w:tabs>
        <w:spacing w:line="360" w:lineRule="auto"/>
        <w:jc w:val="both"/>
        <w:rPr>
          <w:rFonts w:ascii="Palatino Linotype" w:hAnsi="Palatino Linotype" w:cs="Tahoma"/>
          <w:b/>
          <w:bCs/>
          <w:iCs/>
          <w:sz w:val="24"/>
          <w:szCs w:val="24"/>
        </w:rPr>
      </w:pPr>
    </w:p>
    <w:p w14:paraId="238CD046" w14:textId="77777777" w:rsidR="00225E82" w:rsidRPr="007577D1" w:rsidRDefault="00225E82" w:rsidP="00225E82">
      <w:pPr>
        <w:tabs>
          <w:tab w:val="left" w:pos="3962"/>
        </w:tabs>
        <w:spacing w:line="360" w:lineRule="auto"/>
        <w:jc w:val="both"/>
        <w:rPr>
          <w:rFonts w:ascii="Palatino Linotype" w:hAnsi="Palatino Linotype" w:cs="Tahoma"/>
          <w:bCs/>
          <w:iCs/>
          <w:sz w:val="24"/>
          <w:szCs w:val="24"/>
        </w:rPr>
      </w:pPr>
      <w:r w:rsidRPr="007577D1">
        <w:rPr>
          <w:rFonts w:ascii="Palatino Linotype" w:hAnsi="Palatino Linotype" w:cs="Tahoma"/>
          <w:b/>
          <w:bCs/>
          <w:iCs/>
          <w:sz w:val="24"/>
          <w:szCs w:val="24"/>
        </w:rPr>
        <w:t>c) Proporcionalidad en sentido estricto:</w:t>
      </w:r>
      <w:r w:rsidRPr="007577D1">
        <w:rPr>
          <w:rFonts w:ascii="Palatino Linotype" w:hAnsi="Palatino Linotype" w:cs="Tahoma"/>
          <w:bCs/>
          <w:iCs/>
          <w:sz w:val="24"/>
          <w:szCs w:val="24"/>
        </w:rPr>
        <w:t xml:space="preserve"> El sacrificio de la protección del nombre de los servidores públicos, en caso de que haya sido sujeto a proceso y cuente con una resolución condenatoria por haber cometido faltas administrativas graves, relacionadas con el desempeño de sus funciones, como medio para lograr el fin válido señalado, se justifica en razón de que se satisface el interés público en conocer el desempeño de sus funciones como trabajador gubernamental, esto es, que no actuó conforme a derecho, así como, la actividad desplegada por las autoridades correspondientes, en el trámite de </w:t>
      </w:r>
      <w:r w:rsidRPr="007577D1">
        <w:rPr>
          <w:rFonts w:ascii="Palatino Linotype" w:hAnsi="Palatino Linotype" w:cs="Tahoma"/>
          <w:bCs/>
          <w:iCs/>
          <w:sz w:val="24"/>
          <w:szCs w:val="24"/>
        </w:rPr>
        <w:lastRenderedPageBreak/>
        <w:t>dichos asuntos. Además, que como se precisó en párrafos previos, dichas faltas recaen en una afectación, para terceras personas, o bien, al erario público.</w:t>
      </w:r>
    </w:p>
    <w:p w14:paraId="6C1EE205" w14:textId="77777777" w:rsidR="00225E82" w:rsidRPr="007577D1" w:rsidRDefault="00225E82" w:rsidP="00225E82">
      <w:pPr>
        <w:tabs>
          <w:tab w:val="left" w:pos="3962"/>
        </w:tabs>
        <w:spacing w:line="360" w:lineRule="auto"/>
        <w:jc w:val="both"/>
        <w:rPr>
          <w:rFonts w:ascii="Palatino Linotype" w:hAnsi="Palatino Linotype" w:cs="Tahoma"/>
          <w:bCs/>
          <w:iCs/>
          <w:sz w:val="24"/>
          <w:szCs w:val="24"/>
        </w:rPr>
      </w:pPr>
    </w:p>
    <w:p w14:paraId="77D1DCCA" w14:textId="77777777" w:rsidR="00225E82" w:rsidRPr="007577D1" w:rsidRDefault="00225E82" w:rsidP="00225E82">
      <w:pPr>
        <w:tabs>
          <w:tab w:val="left" w:pos="3962"/>
        </w:tabs>
        <w:spacing w:line="360" w:lineRule="auto"/>
        <w:jc w:val="both"/>
        <w:rPr>
          <w:rFonts w:ascii="Palatino Linotype" w:hAnsi="Palatino Linotype" w:cs="Tahoma"/>
          <w:bCs/>
          <w:iCs/>
          <w:sz w:val="24"/>
          <w:szCs w:val="24"/>
        </w:rPr>
      </w:pPr>
      <w:r w:rsidRPr="007577D1">
        <w:rPr>
          <w:rFonts w:ascii="Palatino Linotype" w:hAnsi="Palatino Linotype" w:cs="Tahoma"/>
          <w:bCs/>
          <w:iCs/>
          <w:sz w:val="24"/>
          <w:szCs w:val="24"/>
        </w:rPr>
        <w:t>De esta manera, se logra un mayor beneficio en proporción del otro derecho que se verá restringido, logrando publicitar información que es de interés público, por lo que, se advierte que el daño que se causaría con su difusión es menor a aquél que se causaría con su resguardo.</w:t>
      </w:r>
    </w:p>
    <w:p w14:paraId="49101EB4" w14:textId="77777777" w:rsidR="00225E82" w:rsidRPr="007577D1" w:rsidRDefault="00225E82" w:rsidP="00225E82">
      <w:pPr>
        <w:tabs>
          <w:tab w:val="left" w:pos="3962"/>
        </w:tabs>
        <w:spacing w:line="360" w:lineRule="auto"/>
        <w:jc w:val="both"/>
        <w:rPr>
          <w:rFonts w:ascii="Palatino Linotype" w:hAnsi="Palatino Linotype" w:cs="Tahoma"/>
          <w:bCs/>
          <w:iCs/>
          <w:sz w:val="24"/>
          <w:szCs w:val="24"/>
        </w:rPr>
      </w:pPr>
      <w:r w:rsidRPr="007577D1">
        <w:rPr>
          <w:rFonts w:ascii="Palatino Linotype" w:hAnsi="Palatino Linotype" w:cs="Tahoma"/>
          <w:bCs/>
          <w:iCs/>
          <w:sz w:val="24"/>
          <w:szCs w:val="24"/>
        </w:rPr>
        <w:t>En ese orden de ideas, es posible advertir un margen de beneficio mayor al favorecer el derecho de acceso a la información, respecto del derecho a la vida privada; por lo que, la intervención que subsume este ejercicio de ponderación apunta a la obtención de mayores efectos positivos y una afectación menor en la esfera de privacidad de los servidores públicos.</w:t>
      </w:r>
    </w:p>
    <w:p w14:paraId="0A76B9D5" w14:textId="77777777" w:rsidR="00225E82" w:rsidRPr="007577D1" w:rsidRDefault="00225E82" w:rsidP="00225E82">
      <w:pPr>
        <w:tabs>
          <w:tab w:val="left" w:pos="3962"/>
        </w:tabs>
        <w:spacing w:line="360" w:lineRule="auto"/>
        <w:jc w:val="both"/>
        <w:rPr>
          <w:rFonts w:ascii="Palatino Linotype" w:hAnsi="Palatino Linotype" w:cs="Tahoma"/>
          <w:bCs/>
          <w:iCs/>
          <w:sz w:val="24"/>
          <w:szCs w:val="24"/>
        </w:rPr>
      </w:pPr>
    </w:p>
    <w:p w14:paraId="07C3DD13" w14:textId="77777777" w:rsidR="00225E82" w:rsidRPr="007577D1" w:rsidRDefault="00225E82" w:rsidP="00225E82">
      <w:pPr>
        <w:tabs>
          <w:tab w:val="left" w:pos="3962"/>
        </w:tabs>
        <w:spacing w:line="360" w:lineRule="auto"/>
        <w:jc w:val="both"/>
        <w:rPr>
          <w:rFonts w:ascii="Palatino Linotype" w:hAnsi="Palatino Linotype" w:cs="Tahoma"/>
          <w:bCs/>
          <w:iCs/>
          <w:sz w:val="24"/>
          <w:szCs w:val="24"/>
        </w:rPr>
      </w:pPr>
      <w:r w:rsidRPr="007577D1">
        <w:rPr>
          <w:rFonts w:ascii="Palatino Linotype" w:hAnsi="Palatino Linotype" w:cs="Tahoma"/>
          <w:bCs/>
          <w:iCs/>
          <w:sz w:val="24"/>
          <w:szCs w:val="24"/>
        </w:rPr>
        <w:t>Asimismo se robustece con el hecho de que la difusión de la información solicitada contribuiría a garantizar el ejercicio de acceso a la información, a favorecer la rendición de cuentas a los ciudadanos, de manera que puedan valorar el desempeño de los sujetos obligados y servidores públicos, además de fortalecer el escrutinio ciudadano sobre las actividades sustantivas de los sujetos obligados, en cumplimiento a los objetivos previstos en el artículo 2 de la Ley Federal de Transparencia y Acceso a la Información Pública.</w:t>
      </w:r>
    </w:p>
    <w:p w14:paraId="0004DA54" w14:textId="77777777" w:rsidR="00225E82" w:rsidRPr="007577D1" w:rsidRDefault="00225E82" w:rsidP="00225E82">
      <w:pPr>
        <w:tabs>
          <w:tab w:val="left" w:pos="3962"/>
        </w:tabs>
        <w:spacing w:line="360" w:lineRule="auto"/>
        <w:jc w:val="both"/>
        <w:rPr>
          <w:rFonts w:ascii="Palatino Linotype" w:hAnsi="Palatino Linotype" w:cs="Tahoma"/>
          <w:bCs/>
          <w:iCs/>
          <w:sz w:val="24"/>
          <w:szCs w:val="24"/>
        </w:rPr>
      </w:pPr>
    </w:p>
    <w:p w14:paraId="55387360" w14:textId="77777777" w:rsidR="00225E82" w:rsidRPr="007577D1" w:rsidRDefault="00225E82" w:rsidP="00225E82">
      <w:pPr>
        <w:tabs>
          <w:tab w:val="left" w:pos="3962"/>
        </w:tabs>
        <w:spacing w:line="360" w:lineRule="auto"/>
        <w:jc w:val="both"/>
        <w:rPr>
          <w:rFonts w:ascii="Palatino Linotype" w:hAnsi="Palatino Linotype" w:cs="Tahoma"/>
          <w:b/>
          <w:bCs/>
          <w:iCs/>
          <w:sz w:val="24"/>
          <w:szCs w:val="24"/>
        </w:rPr>
      </w:pPr>
      <w:r w:rsidRPr="007577D1">
        <w:rPr>
          <w:rFonts w:ascii="Palatino Linotype" w:hAnsi="Palatino Linotype" w:cs="Tahoma"/>
          <w:bCs/>
          <w:iCs/>
          <w:sz w:val="24"/>
          <w:szCs w:val="24"/>
        </w:rPr>
        <w:lastRenderedPageBreak/>
        <w:t xml:space="preserve">Por tanto, se concluye que, al tenor de la ponderación realizada, se cumple con los tres elementos para darle preminencia, en el caso concreto, </w:t>
      </w:r>
      <w:r w:rsidRPr="007577D1">
        <w:rPr>
          <w:rFonts w:ascii="Palatino Linotype" w:hAnsi="Palatino Linotype" w:cs="Tahoma"/>
          <w:b/>
          <w:bCs/>
          <w:iCs/>
          <w:sz w:val="24"/>
          <w:szCs w:val="24"/>
        </w:rPr>
        <w:t>al derecho de acceso a la información.</w:t>
      </w:r>
    </w:p>
    <w:p w14:paraId="71AEFFD1" w14:textId="77777777" w:rsidR="00225E82" w:rsidRPr="007577D1" w:rsidRDefault="00225E82" w:rsidP="00225E82">
      <w:pPr>
        <w:tabs>
          <w:tab w:val="left" w:pos="3962"/>
        </w:tabs>
        <w:spacing w:line="360" w:lineRule="auto"/>
        <w:jc w:val="both"/>
        <w:rPr>
          <w:rFonts w:ascii="Palatino Linotype" w:hAnsi="Palatino Linotype" w:cs="Tahoma"/>
          <w:b/>
          <w:bCs/>
          <w:iCs/>
          <w:sz w:val="24"/>
          <w:szCs w:val="24"/>
        </w:rPr>
      </w:pPr>
    </w:p>
    <w:p w14:paraId="6198E9BD" w14:textId="77777777" w:rsidR="00225E82" w:rsidRPr="007577D1" w:rsidRDefault="00225E82" w:rsidP="00225E82">
      <w:pPr>
        <w:tabs>
          <w:tab w:val="left" w:pos="3962"/>
        </w:tabs>
        <w:spacing w:line="360" w:lineRule="auto"/>
        <w:jc w:val="both"/>
        <w:rPr>
          <w:rFonts w:ascii="Palatino Linotype" w:hAnsi="Palatino Linotype" w:cs="Tahoma"/>
          <w:bCs/>
          <w:iCs/>
          <w:sz w:val="24"/>
          <w:szCs w:val="24"/>
          <w:u w:val="single"/>
          <w:lang w:val="es-ES_tradnl"/>
        </w:rPr>
      </w:pPr>
      <w:r w:rsidRPr="007577D1">
        <w:rPr>
          <w:rFonts w:ascii="Palatino Linotype" w:hAnsi="Palatino Linotype" w:cs="Tahoma"/>
          <w:bCs/>
          <w:iCs/>
          <w:sz w:val="24"/>
          <w:szCs w:val="24"/>
        </w:rPr>
        <w:t xml:space="preserve">Por lo expuesto, se determina que, </w:t>
      </w:r>
      <w:r w:rsidRPr="007577D1">
        <w:rPr>
          <w:rFonts w:ascii="Palatino Linotype" w:hAnsi="Palatino Linotype" w:cs="Tahoma"/>
          <w:bCs/>
          <w:iCs/>
          <w:sz w:val="24"/>
          <w:szCs w:val="24"/>
          <w:u w:val="single"/>
        </w:rPr>
        <w:t xml:space="preserve">en caso de existir procedimientos de responsabilidades administrativas por faltas graves concluidos, si bien </w:t>
      </w:r>
      <w:r w:rsidRPr="007577D1">
        <w:rPr>
          <w:rFonts w:ascii="Palatino Linotype" w:hAnsi="Palatino Linotype" w:cs="Tahoma"/>
          <w:bCs/>
          <w:iCs/>
          <w:sz w:val="24"/>
          <w:szCs w:val="24"/>
          <w:u w:val="single"/>
          <w:lang w:val="es-ES_tradnl"/>
        </w:rPr>
        <w:t xml:space="preserve">la difusión de la documentación afectaría los derechos a la confidencialidad, a la privacidad, al honor y a la propia imagen, también lo es que </w:t>
      </w:r>
      <w:r w:rsidRPr="007577D1">
        <w:rPr>
          <w:rFonts w:ascii="Palatino Linotype" w:hAnsi="Palatino Linotype" w:cs="Tahoma"/>
          <w:b/>
          <w:bCs/>
          <w:iCs/>
          <w:sz w:val="24"/>
          <w:szCs w:val="24"/>
          <w:u w:val="single"/>
          <w:lang w:val="es-ES_tradnl"/>
        </w:rPr>
        <w:t>tratándose de asuntos relacionados con actos de corrupción, al ser faltas graves, tales prerrogativas quedan supeditadas al interés mayor de conocer tales eventualidades</w:t>
      </w:r>
      <w:r w:rsidRPr="007577D1">
        <w:rPr>
          <w:rFonts w:ascii="Palatino Linotype" w:hAnsi="Palatino Linotype" w:cs="Tahoma"/>
          <w:bCs/>
          <w:iCs/>
          <w:sz w:val="24"/>
          <w:szCs w:val="24"/>
          <w:u w:val="single"/>
          <w:lang w:val="es-ES_tradnl"/>
        </w:rPr>
        <w:t xml:space="preserve"> y por lo tanto no precede su clasificación en términos del artículo 143, fracción I de la Ley de la materia.</w:t>
      </w:r>
    </w:p>
    <w:p w14:paraId="424BD865" w14:textId="77777777" w:rsidR="00113C68" w:rsidRPr="007577D1" w:rsidRDefault="00113C68" w:rsidP="00225E82">
      <w:pPr>
        <w:tabs>
          <w:tab w:val="left" w:pos="3962"/>
        </w:tabs>
        <w:spacing w:line="360" w:lineRule="auto"/>
        <w:jc w:val="both"/>
        <w:rPr>
          <w:rFonts w:ascii="Palatino Linotype" w:hAnsi="Palatino Linotype" w:cs="Tahoma"/>
          <w:bCs/>
          <w:iCs/>
          <w:sz w:val="24"/>
          <w:szCs w:val="24"/>
          <w:u w:val="single"/>
          <w:lang w:val="es-ES_tradnl"/>
        </w:rPr>
      </w:pPr>
    </w:p>
    <w:p w14:paraId="72B96145" w14:textId="77777777" w:rsidR="00225E82" w:rsidRPr="007577D1" w:rsidRDefault="00225E82" w:rsidP="00225E82">
      <w:pPr>
        <w:autoSpaceDE w:val="0"/>
        <w:autoSpaceDN w:val="0"/>
        <w:adjustRightInd w:val="0"/>
        <w:spacing w:line="360" w:lineRule="auto"/>
        <w:jc w:val="both"/>
        <w:rPr>
          <w:rFonts w:ascii="Palatino Linotype" w:hAnsi="Palatino Linotype" w:cs="Tahoma"/>
          <w:bCs/>
          <w:sz w:val="24"/>
          <w:szCs w:val="24"/>
        </w:rPr>
      </w:pPr>
      <w:r w:rsidRPr="007577D1">
        <w:rPr>
          <w:rFonts w:ascii="Palatino Linotype" w:hAnsi="Palatino Linotype" w:cs="Tahoma"/>
          <w:bCs/>
          <w:sz w:val="24"/>
          <w:szCs w:val="24"/>
        </w:rPr>
        <w:t>Para el caso, de que con documentación referida, se haya iniciado algún procedimiento de responsabilidad que se encuentre en trámite, o bien, se encuentren concluidos y se haya determinado alguna responsabilidad no grave o la absolución, deberá clasificar el pronunciamiento en sentido afirmativo o negativo, sobre la existencia de alguno de estos, en términos del artículo 143, fracción I, de la Ley de Transparencia y Acceso a la Información Pública del Estado de México y Municipios.</w:t>
      </w:r>
    </w:p>
    <w:p w14:paraId="4CD59850" w14:textId="77777777" w:rsidR="00225E82" w:rsidRPr="007577D1" w:rsidRDefault="00225E82" w:rsidP="00225E82">
      <w:pPr>
        <w:autoSpaceDE w:val="0"/>
        <w:autoSpaceDN w:val="0"/>
        <w:adjustRightInd w:val="0"/>
        <w:spacing w:line="360" w:lineRule="auto"/>
        <w:jc w:val="both"/>
        <w:rPr>
          <w:rFonts w:ascii="Palatino Linotype" w:hAnsi="Palatino Linotype" w:cs="Arial"/>
          <w:sz w:val="24"/>
          <w:szCs w:val="24"/>
        </w:rPr>
      </w:pPr>
    </w:p>
    <w:p w14:paraId="394125D5" w14:textId="77777777" w:rsidR="00C528E2" w:rsidRPr="007577D1" w:rsidRDefault="00C528E2" w:rsidP="00C528E2">
      <w:pPr>
        <w:autoSpaceDE w:val="0"/>
        <w:autoSpaceDN w:val="0"/>
        <w:adjustRightInd w:val="0"/>
        <w:spacing w:line="360" w:lineRule="auto"/>
        <w:jc w:val="both"/>
        <w:rPr>
          <w:rFonts w:ascii="Palatino Linotype" w:eastAsia="Palatino Linotype" w:hAnsi="Palatino Linotype" w:cs="Palatino Linotype"/>
          <w:sz w:val="24"/>
          <w:szCs w:val="24"/>
        </w:rPr>
      </w:pPr>
      <w:r w:rsidRPr="007577D1">
        <w:rPr>
          <w:rFonts w:ascii="Palatino Linotype" w:hAnsi="Palatino Linotype" w:cs="Arial"/>
          <w:sz w:val="24"/>
          <w:szCs w:val="24"/>
        </w:rPr>
        <w:t>Por lo cual, resulta dable ordenar a</w:t>
      </w:r>
      <w:r w:rsidRPr="007577D1">
        <w:rPr>
          <w:rFonts w:ascii="Palatino Linotype" w:eastAsia="Palatino Linotype" w:hAnsi="Palatino Linotype" w:cs="Palatino Linotype"/>
          <w:sz w:val="24"/>
          <w:szCs w:val="24"/>
        </w:rPr>
        <w:t xml:space="preserve">cuerdo por medio del cual el Comité de Transparencia, clasifique como confidencial el pronunciamiento en sentido afirmativo o negativo en términos de los artículos 49 fracción II, 132 fracción II, 143 fracción I y 149 de la Ley de </w:t>
      </w:r>
      <w:r w:rsidRPr="007577D1">
        <w:rPr>
          <w:rFonts w:ascii="Palatino Linotype" w:eastAsia="Palatino Linotype" w:hAnsi="Palatino Linotype" w:cs="Palatino Linotype"/>
          <w:sz w:val="24"/>
          <w:szCs w:val="24"/>
        </w:rPr>
        <w:lastRenderedPageBreak/>
        <w:t>Transparencia y Acceso a la Información Pública del Estado de México y Municipios; respecto de la existencia o no de procedimientos administrativos en contra del servidor público referido en la solicitud de información, que se encuentre en trámite o concluidos en donde se determinó que no existió responsabilidad administrativa y aquellos concluidos con sanción por falta administrativa no grave</w:t>
      </w:r>
      <w:r w:rsidR="00C82CF6" w:rsidRPr="007577D1">
        <w:rPr>
          <w:rFonts w:ascii="Palatino Linotype" w:eastAsia="Palatino Linotype" w:hAnsi="Palatino Linotype" w:cs="Palatino Linotype"/>
          <w:sz w:val="24"/>
          <w:szCs w:val="24"/>
        </w:rPr>
        <w:t xml:space="preserve"> al quince de enero de dos mil veintiséis</w:t>
      </w:r>
      <w:r w:rsidRPr="007577D1">
        <w:rPr>
          <w:rFonts w:ascii="Palatino Linotype" w:eastAsia="Palatino Linotype" w:hAnsi="Palatino Linotype" w:cs="Palatino Linotype"/>
          <w:sz w:val="24"/>
          <w:szCs w:val="24"/>
        </w:rPr>
        <w:t>.</w:t>
      </w:r>
    </w:p>
    <w:p w14:paraId="13551E05" w14:textId="77777777" w:rsidR="002060C5" w:rsidRPr="007577D1" w:rsidRDefault="002060C5" w:rsidP="002060C5">
      <w:pPr>
        <w:spacing w:before="240" w:after="240" w:line="360" w:lineRule="auto"/>
        <w:ind w:right="49"/>
        <w:contextualSpacing/>
        <w:jc w:val="both"/>
        <w:rPr>
          <w:rFonts w:ascii="Palatino Linotype" w:eastAsia="MS Mincho" w:hAnsi="Palatino Linotype" w:cs="Calibri"/>
          <w:sz w:val="24"/>
          <w:lang w:val="es-ES_tradnl" w:eastAsia="es-MX"/>
        </w:rPr>
      </w:pPr>
    </w:p>
    <w:p w14:paraId="436D5DCA" w14:textId="77777777" w:rsidR="001E6007" w:rsidRPr="007577D1" w:rsidRDefault="001E6007" w:rsidP="001E6007">
      <w:pPr>
        <w:tabs>
          <w:tab w:val="left" w:pos="709"/>
        </w:tabs>
        <w:spacing w:before="240" w:line="360" w:lineRule="auto"/>
        <w:ind w:right="51"/>
        <w:jc w:val="both"/>
        <w:rPr>
          <w:rFonts w:ascii="Palatino Linotype" w:hAnsi="Palatino Linotype"/>
          <w:sz w:val="24"/>
          <w:szCs w:val="24"/>
        </w:rPr>
      </w:pPr>
      <w:r w:rsidRPr="007577D1">
        <w:rPr>
          <w:rFonts w:ascii="Palatino Linotype" w:hAnsi="Palatino Linotype"/>
          <w:iCs/>
          <w:sz w:val="24"/>
          <w:szCs w:val="24"/>
        </w:rPr>
        <w:t xml:space="preserve">En mérito de lo expuesto </w:t>
      </w:r>
      <w:r w:rsidRPr="007577D1">
        <w:rPr>
          <w:rFonts w:ascii="Palatino Linotype" w:hAnsi="Palatino Linotype"/>
          <w:sz w:val="24"/>
          <w:szCs w:val="24"/>
        </w:rPr>
        <w:t xml:space="preserve">en líneas anteriores, resultan </w:t>
      </w:r>
      <w:r w:rsidRPr="007577D1">
        <w:rPr>
          <w:rFonts w:ascii="Palatino Linotype" w:hAnsi="Palatino Linotype"/>
          <w:i/>
          <w:sz w:val="24"/>
          <w:szCs w:val="24"/>
        </w:rPr>
        <w:t>fundados</w:t>
      </w:r>
      <w:r w:rsidRPr="007577D1">
        <w:rPr>
          <w:rFonts w:ascii="Palatino Linotype" w:hAnsi="Palatino Linotype"/>
          <w:sz w:val="24"/>
          <w:szCs w:val="24"/>
        </w:rPr>
        <w:t xml:space="preserve"> los motivos de inconformidad vertidos por </w:t>
      </w:r>
      <w:r w:rsidRPr="007577D1">
        <w:rPr>
          <w:rFonts w:ascii="Palatino Linotype" w:hAnsi="Palatino Linotype"/>
          <w:b/>
          <w:sz w:val="24"/>
          <w:szCs w:val="24"/>
        </w:rPr>
        <w:t xml:space="preserve">el Recurrente, </w:t>
      </w:r>
      <w:r w:rsidRPr="007577D1">
        <w:rPr>
          <w:rFonts w:ascii="Palatino Linotype" w:hAnsi="Palatino Linotype"/>
          <w:sz w:val="24"/>
          <w:szCs w:val="24"/>
        </w:rPr>
        <w:t xml:space="preserve">por ello con fundamento en la </w:t>
      </w:r>
      <w:r w:rsidR="00C82CF6" w:rsidRPr="007577D1">
        <w:rPr>
          <w:rFonts w:ascii="Palatino Linotype" w:hAnsi="Palatino Linotype"/>
          <w:i/>
          <w:sz w:val="24"/>
          <w:szCs w:val="24"/>
        </w:rPr>
        <w:t xml:space="preserve">primera </w:t>
      </w:r>
      <w:r w:rsidRPr="007577D1">
        <w:rPr>
          <w:rFonts w:ascii="Palatino Linotype" w:hAnsi="Palatino Linotype"/>
          <w:i/>
          <w:sz w:val="24"/>
          <w:szCs w:val="24"/>
        </w:rPr>
        <w:t>hipótesis</w:t>
      </w:r>
      <w:r w:rsidRPr="007577D1">
        <w:rPr>
          <w:rFonts w:ascii="Palatino Linotype" w:hAnsi="Palatino Linotype"/>
          <w:sz w:val="24"/>
          <w:szCs w:val="24"/>
        </w:rPr>
        <w:t xml:space="preserve"> del artículo 186 fracción III de la Ley de Transparencia y Acceso a la Información Pública del Estado de México y Municipios, se </w:t>
      </w:r>
      <w:r w:rsidR="00C82CF6" w:rsidRPr="007577D1">
        <w:rPr>
          <w:rFonts w:ascii="Palatino Linotype" w:hAnsi="Palatino Linotype"/>
          <w:b/>
          <w:sz w:val="24"/>
          <w:szCs w:val="24"/>
        </w:rPr>
        <w:t>REVOCA</w:t>
      </w:r>
      <w:r w:rsidRPr="007577D1">
        <w:rPr>
          <w:rFonts w:ascii="Palatino Linotype" w:hAnsi="Palatino Linotype"/>
          <w:b/>
          <w:sz w:val="24"/>
          <w:szCs w:val="24"/>
        </w:rPr>
        <w:t xml:space="preserve"> </w:t>
      </w:r>
      <w:r w:rsidRPr="007577D1">
        <w:rPr>
          <w:rFonts w:ascii="Palatino Linotype" w:hAnsi="Palatino Linotype"/>
          <w:sz w:val="24"/>
          <w:szCs w:val="24"/>
        </w:rPr>
        <w:t>l</w:t>
      </w:r>
      <w:r w:rsidRPr="007577D1">
        <w:rPr>
          <w:szCs w:val="24"/>
        </w:rPr>
        <w:t>a</w:t>
      </w:r>
      <w:r w:rsidRPr="007577D1">
        <w:rPr>
          <w:rFonts w:ascii="Palatino Linotype" w:hAnsi="Palatino Linotype"/>
          <w:sz w:val="24"/>
          <w:szCs w:val="24"/>
        </w:rPr>
        <w:t xml:space="preserve"> respuesta a la solicitud de información</w:t>
      </w:r>
      <w:r w:rsidRPr="007577D1">
        <w:rPr>
          <w:rFonts w:ascii="Verdana" w:hAnsi="Verdana"/>
          <w:b/>
          <w:bCs/>
          <w:color w:val="FF0000"/>
        </w:rPr>
        <w:t xml:space="preserve"> </w:t>
      </w:r>
      <w:r w:rsidR="00C82CF6" w:rsidRPr="007577D1">
        <w:rPr>
          <w:rFonts w:ascii="Palatino Linotype" w:hAnsi="Palatino Linotype"/>
          <w:b/>
          <w:bCs/>
          <w:sz w:val="24"/>
          <w:szCs w:val="24"/>
        </w:rPr>
        <w:t>00011/SECTI/IP/2026</w:t>
      </w:r>
      <w:r w:rsidR="00C82CF6" w:rsidRPr="007577D1">
        <w:rPr>
          <w:rFonts w:ascii="Verdana" w:hAnsi="Verdana"/>
          <w:b/>
          <w:bCs/>
        </w:rPr>
        <w:t xml:space="preserve"> </w:t>
      </w:r>
      <w:r w:rsidRPr="007577D1">
        <w:rPr>
          <w:rFonts w:ascii="Palatino Linotype" w:hAnsi="Palatino Linotype"/>
          <w:b/>
          <w:bCs/>
        </w:rPr>
        <w:t>que</w:t>
      </w:r>
      <w:r w:rsidRPr="007577D1">
        <w:rPr>
          <w:rFonts w:ascii="Verdana" w:hAnsi="Verdana"/>
          <w:b/>
          <w:bCs/>
        </w:rPr>
        <w:t xml:space="preserve"> </w:t>
      </w:r>
      <w:r w:rsidRPr="007577D1">
        <w:rPr>
          <w:rFonts w:ascii="Palatino Linotype" w:hAnsi="Palatino Linotype"/>
          <w:sz w:val="24"/>
          <w:szCs w:val="24"/>
        </w:rPr>
        <w:t xml:space="preserve">ha sido materia del presente fallo. </w:t>
      </w:r>
    </w:p>
    <w:p w14:paraId="55B3DC28" w14:textId="77777777" w:rsidR="001E6007" w:rsidRPr="007577D1" w:rsidRDefault="001E6007" w:rsidP="001E6007">
      <w:pPr>
        <w:pStyle w:val="Prrafodelista"/>
        <w:spacing w:before="240" w:after="240"/>
        <w:ind w:left="0"/>
      </w:pPr>
      <w:r w:rsidRPr="007577D1">
        <w:t xml:space="preserve">Por lo antes expuesto y fundado es de resolverse y, </w:t>
      </w:r>
    </w:p>
    <w:p w14:paraId="7011D933" w14:textId="77777777" w:rsidR="001E6007" w:rsidRPr="007577D1" w:rsidRDefault="001E6007" w:rsidP="001E6007">
      <w:pPr>
        <w:pStyle w:val="Prrafodelista"/>
        <w:spacing w:before="240" w:after="240"/>
        <w:ind w:left="0"/>
      </w:pPr>
    </w:p>
    <w:p w14:paraId="77C65E3A" w14:textId="77777777" w:rsidR="001E6007" w:rsidRPr="007577D1" w:rsidRDefault="001E6007" w:rsidP="001E6007">
      <w:pPr>
        <w:spacing w:before="240" w:line="360" w:lineRule="auto"/>
        <w:jc w:val="center"/>
        <w:rPr>
          <w:rFonts w:ascii="Palatino Linotype" w:eastAsia="Times New Roman" w:hAnsi="Palatino Linotype"/>
          <w:b/>
          <w:bCs/>
          <w:spacing w:val="60"/>
          <w:sz w:val="28"/>
          <w:szCs w:val="28"/>
          <w:lang w:val="es-ES_tradnl"/>
        </w:rPr>
      </w:pPr>
      <w:r w:rsidRPr="007577D1">
        <w:rPr>
          <w:rFonts w:ascii="Palatino Linotype" w:eastAsia="Times New Roman" w:hAnsi="Palatino Linotype"/>
          <w:b/>
          <w:bCs/>
          <w:spacing w:val="60"/>
          <w:sz w:val="28"/>
          <w:szCs w:val="28"/>
          <w:lang w:val="es-ES_tradnl"/>
        </w:rPr>
        <w:t>SE    RESUELVE</w:t>
      </w:r>
    </w:p>
    <w:p w14:paraId="1019DC12" w14:textId="77777777" w:rsidR="001E6007" w:rsidRPr="007577D1" w:rsidRDefault="001E6007" w:rsidP="001E6007">
      <w:pPr>
        <w:spacing w:before="240" w:line="360" w:lineRule="auto"/>
        <w:jc w:val="center"/>
        <w:rPr>
          <w:rFonts w:ascii="Palatino Linotype" w:eastAsia="Times New Roman" w:hAnsi="Palatino Linotype"/>
          <w:b/>
          <w:bCs/>
          <w:spacing w:val="60"/>
          <w:sz w:val="28"/>
          <w:szCs w:val="28"/>
          <w:lang w:val="es-ES_tradnl"/>
        </w:rPr>
      </w:pPr>
    </w:p>
    <w:p w14:paraId="4B1C61E6" w14:textId="77777777" w:rsidR="001E6007" w:rsidRPr="007577D1" w:rsidRDefault="001E6007" w:rsidP="001E6007">
      <w:pPr>
        <w:spacing w:before="240" w:line="360" w:lineRule="auto"/>
        <w:jc w:val="both"/>
        <w:rPr>
          <w:rFonts w:ascii="Palatino Linotype" w:hAnsi="Palatino Linotype" w:cs="Arial"/>
          <w:sz w:val="24"/>
        </w:rPr>
      </w:pPr>
      <w:r w:rsidRPr="007577D1">
        <w:rPr>
          <w:rFonts w:ascii="Palatino Linotype" w:hAnsi="Palatino Linotype" w:cs="Arial"/>
          <w:b/>
          <w:sz w:val="24"/>
          <w:szCs w:val="24"/>
          <w:lang w:val="es-ES_tradnl"/>
        </w:rPr>
        <w:t>PRIMERO.</w:t>
      </w:r>
      <w:r w:rsidRPr="007577D1">
        <w:rPr>
          <w:rFonts w:ascii="Palatino Linotype" w:hAnsi="Palatino Linotype" w:cs="Arial"/>
          <w:sz w:val="24"/>
          <w:szCs w:val="24"/>
          <w:lang w:val="es-ES_tradnl"/>
        </w:rPr>
        <w:t xml:space="preserve"> </w:t>
      </w:r>
      <w:r w:rsidRPr="007577D1">
        <w:rPr>
          <w:rFonts w:ascii="Palatino Linotype" w:hAnsi="Palatino Linotype" w:cs="Arial"/>
          <w:sz w:val="24"/>
          <w:szCs w:val="24"/>
        </w:rPr>
        <w:t xml:space="preserve">Se </w:t>
      </w:r>
      <w:r w:rsidR="00C82CF6" w:rsidRPr="007577D1">
        <w:rPr>
          <w:rFonts w:ascii="Palatino Linotype" w:hAnsi="Palatino Linotype" w:cs="Arial"/>
          <w:b/>
          <w:sz w:val="24"/>
          <w:szCs w:val="24"/>
        </w:rPr>
        <w:t xml:space="preserve">REVOCA </w:t>
      </w:r>
      <w:r w:rsidRPr="007577D1">
        <w:rPr>
          <w:rFonts w:ascii="Palatino Linotype" w:hAnsi="Palatino Linotype" w:cs="Arial"/>
          <w:sz w:val="24"/>
          <w:szCs w:val="24"/>
        </w:rPr>
        <w:t xml:space="preserve">la respuesta entregada por </w:t>
      </w:r>
      <w:r w:rsidRPr="007577D1">
        <w:rPr>
          <w:rFonts w:ascii="Palatino Linotype" w:hAnsi="Palatino Linotype" w:cs="Arial"/>
          <w:b/>
          <w:sz w:val="24"/>
          <w:szCs w:val="24"/>
        </w:rPr>
        <w:t xml:space="preserve">EL SUJETO OBLIGADO, </w:t>
      </w:r>
      <w:r w:rsidRPr="007577D1">
        <w:rPr>
          <w:rFonts w:ascii="Palatino Linotype" w:hAnsi="Palatino Linotype" w:cs="Arial"/>
          <w:sz w:val="24"/>
          <w:szCs w:val="24"/>
        </w:rPr>
        <w:t>a la solicitud de información</w:t>
      </w:r>
      <w:r w:rsidRPr="007577D1">
        <w:rPr>
          <w:rFonts w:cs="Arial"/>
          <w:szCs w:val="24"/>
        </w:rPr>
        <w:t xml:space="preserve"> con</w:t>
      </w:r>
      <w:r w:rsidRPr="007577D1">
        <w:rPr>
          <w:rFonts w:ascii="Palatino Linotype" w:hAnsi="Palatino Linotype" w:cs="Arial"/>
          <w:sz w:val="24"/>
          <w:szCs w:val="24"/>
        </w:rPr>
        <w:t xml:space="preserve"> número </w:t>
      </w:r>
      <w:r w:rsidR="00C82CF6" w:rsidRPr="007577D1">
        <w:rPr>
          <w:rFonts w:ascii="Palatino Linotype" w:hAnsi="Palatino Linotype"/>
          <w:b/>
          <w:bCs/>
          <w:sz w:val="24"/>
          <w:szCs w:val="24"/>
        </w:rPr>
        <w:t>00011/SECTI/IP/2026</w:t>
      </w:r>
      <w:r w:rsidR="00C82CF6" w:rsidRPr="007577D1">
        <w:rPr>
          <w:rFonts w:ascii="Verdana" w:hAnsi="Verdana"/>
          <w:b/>
          <w:bCs/>
        </w:rPr>
        <w:t xml:space="preserve"> </w:t>
      </w:r>
      <w:r w:rsidRPr="007577D1">
        <w:rPr>
          <w:rFonts w:ascii="Palatino Linotype" w:hAnsi="Palatino Linotype" w:cs="Arial"/>
          <w:sz w:val="24"/>
        </w:rPr>
        <w:t xml:space="preserve">por resultar fundados los motivos de inconformidad que arguye </w:t>
      </w:r>
      <w:r w:rsidRPr="007577D1">
        <w:rPr>
          <w:rFonts w:ascii="Palatino Linotype" w:hAnsi="Palatino Linotype" w:cs="Arial"/>
          <w:b/>
          <w:sz w:val="24"/>
        </w:rPr>
        <w:t xml:space="preserve">EL RECURRENTE, </w:t>
      </w:r>
      <w:r w:rsidRPr="007577D1">
        <w:rPr>
          <w:rFonts w:ascii="Palatino Linotype" w:hAnsi="Palatino Linotype" w:cs="Arial"/>
          <w:sz w:val="24"/>
        </w:rPr>
        <w:t xml:space="preserve">en términos del </w:t>
      </w:r>
      <w:r w:rsidRPr="007577D1">
        <w:rPr>
          <w:rFonts w:ascii="Palatino Linotype" w:hAnsi="Palatino Linotype" w:cs="Arial"/>
          <w:b/>
          <w:sz w:val="24"/>
        </w:rPr>
        <w:t xml:space="preserve">Considerando QUINTO </w:t>
      </w:r>
      <w:r w:rsidRPr="007577D1">
        <w:rPr>
          <w:rFonts w:ascii="Palatino Linotype" w:hAnsi="Palatino Linotype" w:cs="Arial"/>
          <w:sz w:val="24"/>
        </w:rPr>
        <w:t xml:space="preserve">de la presente resolución. </w:t>
      </w:r>
    </w:p>
    <w:p w14:paraId="1AE499B6" w14:textId="77777777" w:rsidR="001E6007" w:rsidRPr="007577D1" w:rsidRDefault="001E6007" w:rsidP="001E6007">
      <w:pPr>
        <w:spacing w:line="360" w:lineRule="auto"/>
        <w:jc w:val="both"/>
        <w:rPr>
          <w:rFonts w:ascii="Palatino Linotype" w:hAnsi="Palatino Linotype" w:cs="Arial"/>
          <w:sz w:val="24"/>
          <w:szCs w:val="24"/>
        </w:rPr>
      </w:pPr>
      <w:r w:rsidRPr="007577D1">
        <w:rPr>
          <w:rFonts w:ascii="Palatino Linotype" w:hAnsi="Palatino Linotype" w:cs="Arial"/>
          <w:b/>
          <w:sz w:val="24"/>
          <w:szCs w:val="24"/>
          <w:lang w:val="es-ES_tradnl"/>
        </w:rPr>
        <w:lastRenderedPageBreak/>
        <w:t>SEGUNDO.</w:t>
      </w:r>
      <w:r w:rsidRPr="007577D1">
        <w:rPr>
          <w:rFonts w:ascii="Palatino Linotype" w:hAnsi="Palatino Linotype" w:cs="Arial"/>
          <w:sz w:val="24"/>
          <w:szCs w:val="24"/>
        </w:rPr>
        <w:t xml:space="preserve"> Se </w:t>
      </w:r>
      <w:r w:rsidRPr="007577D1">
        <w:rPr>
          <w:rFonts w:ascii="Palatino Linotype" w:hAnsi="Palatino Linotype" w:cs="Arial"/>
          <w:b/>
          <w:sz w:val="24"/>
          <w:szCs w:val="24"/>
        </w:rPr>
        <w:t>ORDENA</w:t>
      </w:r>
      <w:r w:rsidRPr="007577D1">
        <w:rPr>
          <w:rFonts w:ascii="Palatino Linotype" w:hAnsi="Palatino Linotype" w:cs="Arial"/>
          <w:sz w:val="24"/>
          <w:szCs w:val="24"/>
        </w:rPr>
        <w:t xml:space="preserve"> al </w:t>
      </w:r>
      <w:r w:rsidRPr="007577D1">
        <w:rPr>
          <w:rFonts w:ascii="Palatino Linotype" w:hAnsi="Palatino Linotype" w:cs="Arial"/>
          <w:b/>
          <w:sz w:val="24"/>
          <w:szCs w:val="24"/>
        </w:rPr>
        <w:t>SUJETO OBLIGADO</w:t>
      </w:r>
      <w:r w:rsidRPr="007577D1">
        <w:rPr>
          <w:rFonts w:ascii="Palatino Linotype" w:hAnsi="Palatino Linotype" w:cs="Arial"/>
          <w:sz w:val="24"/>
          <w:szCs w:val="24"/>
        </w:rPr>
        <w:t xml:space="preserve"> haga entrega al</w:t>
      </w:r>
      <w:r w:rsidRPr="007577D1">
        <w:rPr>
          <w:rFonts w:ascii="Palatino Linotype" w:hAnsi="Palatino Linotype" w:cs="Arial"/>
          <w:b/>
          <w:sz w:val="24"/>
          <w:szCs w:val="24"/>
        </w:rPr>
        <w:t xml:space="preserve"> RECURRENTE </w:t>
      </w:r>
      <w:r w:rsidRPr="007577D1">
        <w:rPr>
          <w:rFonts w:ascii="Palatino Linotype" w:hAnsi="Palatino Linotype" w:cs="Arial"/>
          <w:sz w:val="24"/>
          <w:szCs w:val="24"/>
        </w:rPr>
        <w:t xml:space="preserve">en términos del Considerando </w:t>
      </w:r>
      <w:r w:rsidRPr="007577D1">
        <w:rPr>
          <w:rFonts w:ascii="Palatino Linotype" w:hAnsi="Palatino Linotype" w:cs="Arial"/>
          <w:b/>
          <w:sz w:val="24"/>
          <w:szCs w:val="24"/>
        </w:rPr>
        <w:t xml:space="preserve">QUINTO </w:t>
      </w:r>
      <w:r w:rsidRPr="007577D1">
        <w:rPr>
          <w:rFonts w:ascii="Palatino Linotype" w:hAnsi="Palatino Linotype" w:cs="Arial"/>
          <w:sz w:val="24"/>
          <w:szCs w:val="24"/>
        </w:rPr>
        <w:t>de esta resolución</w:t>
      </w:r>
      <w:r w:rsidRPr="007577D1">
        <w:rPr>
          <w:rFonts w:ascii="Palatino Linotype" w:hAnsi="Palatino Linotype" w:cs="Arial"/>
          <w:b/>
          <w:sz w:val="24"/>
          <w:szCs w:val="24"/>
        </w:rPr>
        <w:t xml:space="preserve">, </w:t>
      </w:r>
      <w:r w:rsidRPr="007577D1">
        <w:rPr>
          <w:rFonts w:ascii="Palatino Linotype" w:hAnsi="Palatino Linotype" w:cs="Arial"/>
          <w:sz w:val="24"/>
          <w:szCs w:val="24"/>
        </w:rPr>
        <w:t xml:space="preserve">a través del Sistema de Acceso a la Información Mexiquense </w:t>
      </w:r>
      <w:r w:rsidRPr="007577D1">
        <w:rPr>
          <w:rFonts w:ascii="Palatino Linotype" w:hAnsi="Palatino Linotype" w:cs="Arial"/>
          <w:b/>
          <w:sz w:val="24"/>
          <w:szCs w:val="24"/>
        </w:rPr>
        <w:t>(SAIMEX),</w:t>
      </w:r>
      <w:r w:rsidR="000E1F2D" w:rsidRPr="007577D1">
        <w:rPr>
          <w:rFonts w:ascii="Palatino Linotype" w:hAnsi="Palatino Linotype" w:cs="Arial"/>
          <w:b/>
          <w:sz w:val="24"/>
          <w:szCs w:val="24"/>
        </w:rPr>
        <w:t xml:space="preserve"> </w:t>
      </w:r>
      <w:r w:rsidR="000E1F2D" w:rsidRPr="007577D1">
        <w:rPr>
          <w:rFonts w:ascii="Palatino Linotype" w:hAnsi="Palatino Linotype"/>
          <w:sz w:val="24"/>
          <w:szCs w:val="24"/>
        </w:rPr>
        <w:t>de</w:t>
      </w:r>
      <w:r w:rsidRPr="007577D1">
        <w:rPr>
          <w:rFonts w:ascii="Palatino Linotype" w:hAnsi="Palatino Linotype"/>
          <w:color w:val="000000"/>
          <w:sz w:val="24"/>
          <w:szCs w:val="24"/>
        </w:rPr>
        <w:t xml:space="preserve"> </w:t>
      </w:r>
      <w:r w:rsidRPr="007577D1">
        <w:rPr>
          <w:rFonts w:ascii="Palatino Linotype" w:hAnsi="Palatino Linotype" w:cs="Arial"/>
          <w:sz w:val="24"/>
          <w:szCs w:val="24"/>
        </w:rPr>
        <w:t xml:space="preserve">lo siguiente: </w:t>
      </w:r>
    </w:p>
    <w:p w14:paraId="4EE996D6" w14:textId="77777777" w:rsidR="00C528E2" w:rsidRPr="007577D1" w:rsidRDefault="00C528E2" w:rsidP="00C528E2">
      <w:pPr>
        <w:pStyle w:val="Prrafodelista"/>
        <w:numPr>
          <w:ilvl w:val="3"/>
          <w:numId w:val="13"/>
        </w:numPr>
        <w:spacing w:after="160"/>
        <w:ind w:left="1418" w:hanging="992"/>
        <w:contextualSpacing/>
        <w:rPr>
          <w:color w:val="000000"/>
        </w:rPr>
      </w:pPr>
      <w:r w:rsidRPr="007577D1">
        <w:rPr>
          <w:rFonts w:cs="Arial"/>
        </w:rPr>
        <w:t>A</w:t>
      </w:r>
      <w:r w:rsidRPr="007577D1">
        <w:rPr>
          <w:rFonts w:eastAsia="Palatino Linotype" w:cs="Palatino Linotype"/>
        </w:rPr>
        <w:t xml:space="preserve">cuerdo por medio del cual el Comité de Transparencia, </w:t>
      </w:r>
      <w:r w:rsidRPr="007577D1">
        <w:rPr>
          <w:rFonts w:eastAsia="Palatino Linotype" w:cs="Palatino Linotype"/>
          <w:u w:val="single"/>
        </w:rPr>
        <w:t>clasifique como confidencial el pronunciamiento en sentido afirmativo o negativo</w:t>
      </w:r>
      <w:r w:rsidRPr="007577D1">
        <w:rPr>
          <w:rFonts w:eastAsia="Palatino Linotype" w:cs="Palatino Linotype"/>
        </w:rPr>
        <w:t xml:space="preserve"> en términos de los artículos 49 fracción II, 132 fracción II, 143 fracción I y 149 de la Ley de Transparencia y Acceso a la Información Pública del Estado de México y Municipios; respecto de la existencia o no de procedimientos administrativos en contra del servidor público referido en la solicitud de información, que se encuentre en trámite o concluidos en donde se determinó que no existió responsabilidad administrativa y aquellos concluidos con sanción por falta administrativa no grave</w:t>
      </w:r>
      <w:r w:rsidR="000E1F2D" w:rsidRPr="007577D1">
        <w:rPr>
          <w:rFonts w:eastAsia="Palatino Linotype" w:cs="Palatino Linotype"/>
        </w:rPr>
        <w:t xml:space="preserve"> al quince de enero de dos mil veintiséis</w:t>
      </w:r>
      <w:r w:rsidRPr="007577D1">
        <w:rPr>
          <w:rFonts w:eastAsia="Palatino Linotype" w:cs="Palatino Linotype"/>
        </w:rPr>
        <w:t>.</w:t>
      </w:r>
    </w:p>
    <w:p w14:paraId="724C60A9" w14:textId="77777777" w:rsidR="00F33A34" w:rsidRPr="007577D1" w:rsidRDefault="00F33A34" w:rsidP="00F33A34">
      <w:pPr>
        <w:pStyle w:val="Prrafodelista"/>
        <w:spacing w:after="160"/>
        <w:ind w:left="1418"/>
        <w:contextualSpacing/>
        <w:rPr>
          <w:color w:val="000000"/>
        </w:rPr>
      </w:pPr>
    </w:p>
    <w:p w14:paraId="77253A30" w14:textId="77777777" w:rsidR="00F33A34" w:rsidRPr="007577D1" w:rsidRDefault="00F33A34" w:rsidP="00C528E2">
      <w:pPr>
        <w:pStyle w:val="Prrafodelista"/>
        <w:numPr>
          <w:ilvl w:val="3"/>
          <w:numId w:val="13"/>
        </w:numPr>
        <w:spacing w:after="160"/>
        <w:ind w:left="1418" w:hanging="992"/>
        <w:contextualSpacing/>
        <w:rPr>
          <w:color w:val="000000"/>
        </w:rPr>
      </w:pPr>
      <w:r w:rsidRPr="007577D1">
        <w:rPr>
          <w:color w:val="000000"/>
        </w:rPr>
        <w:t>Soporte documental que dé cuenta de las gestiones realizadas por el Sujeto Obligado para dar trámite a la denuncia referida en solicitud al quince de enero de dos mil veintiséis.</w:t>
      </w:r>
    </w:p>
    <w:p w14:paraId="6A363AF2" w14:textId="77777777" w:rsidR="001E6007" w:rsidRPr="007577D1" w:rsidRDefault="001E6007" w:rsidP="001E6007">
      <w:pPr>
        <w:autoSpaceDE w:val="0"/>
        <w:autoSpaceDN w:val="0"/>
        <w:adjustRightInd w:val="0"/>
        <w:rPr>
          <w:i/>
          <w:iCs/>
        </w:rPr>
      </w:pPr>
    </w:p>
    <w:p w14:paraId="3D804B54" w14:textId="77777777" w:rsidR="00C82CF6" w:rsidRPr="007577D1" w:rsidRDefault="00264C5E" w:rsidP="00264C5E">
      <w:pPr>
        <w:pStyle w:val="INFOEM"/>
        <w:ind w:left="708"/>
        <w:rPr>
          <w:szCs w:val="22"/>
        </w:rPr>
      </w:pPr>
      <w:r w:rsidRPr="007577D1">
        <w:rPr>
          <w:szCs w:val="22"/>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7DD6A131" w14:textId="77777777" w:rsidR="000D4B95" w:rsidRPr="007577D1" w:rsidRDefault="000D4B95" w:rsidP="000D4B95">
      <w:pPr>
        <w:spacing w:after="0" w:line="360" w:lineRule="auto"/>
        <w:ind w:left="426"/>
        <w:jc w:val="both"/>
        <w:rPr>
          <w:rFonts w:ascii="Palatino Linotype" w:hAnsi="Palatino Linotype" w:cs="Tahoma"/>
          <w:bCs/>
          <w:i/>
        </w:rPr>
      </w:pPr>
      <w:r w:rsidRPr="007577D1">
        <w:rPr>
          <w:rFonts w:ascii="Palatino Linotype" w:hAnsi="Palatino Linotype" w:cs="Tahoma"/>
          <w:i/>
        </w:rPr>
        <w:lastRenderedPageBreak/>
        <w:t xml:space="preserve">Para el caso que, </w:t>
      </w:r>
      <w:r w:rsidRPr="007577D1">
        <w:rPr>
          <w:rFonts w:ascii="Palatino Linotype" w:hAnsi="Palatino Linotype" w:cs="Tahoma"/>
          <w:b/>
          <w:i/>
        </w:rPr>
        <w:t>existiera algún procedimiento</w:t>
      </w:r>
      <w:r w:rsidRPr="007577D1">
        <w:rPr>
          <w:rFonts w:ascii="Palatino Linotype" w:hAnsi="Palatino Linotype" w:cs="Tahoma"/>
          <w:i/>
        </w:rPr>
        <w:t xml:space="preserve"> </w:t>
      </w:r>
      <w:r w:rsidRPr="007577D1">
        <w:rPr>
          <w:rFonts w:ascii="Palatino Linotype" w:hAnsi="Palatino Linotype" w:cs="Tahoma"/>
          <w:b/>
          <w:i/>
        </w:rPr>
        <w:t>de responsabilidades administrativas graves</w:t>
      </w:r>
      <w:r w:rsidR="00AF35FD" w:rsidRPr="007577D1">
        <w:rPr>
          <w:rFonts w:ascii="Palatino Linotype" w:hAnsi="Palatino Linotype" w:cs="Tahoma"/>
          <w:b/>
          <w:i/>
        </w:rPr>
        <w:t xml:space="preserve"> </w:t>
      </w:r>
      <w:proofErr w:type="gramStart"/>
      <w:r w:rsidR="00AF35FD" w:rsidRPr="007577D1">
        <w:rPr>
          <w:rFonts w:ascii="Palatino Linotype" w:hAnsi="Palatino Linotype" w:cs="Tahoma"/>
          <w:b/>
          <w:i/>
        </w:rPr>
        <w:t>condenatorios</w:t>
      </w:r>
      <w:proofErr w:type="gramEnd"/>
      <w:r w:rsidRPr="007577D1">
        <w:rPr>
          <w:rFonts w:ascii="Palatino Linotype" w:hAnsi="Palatino Linotype" w:cs="Tahoma"/>
          <w:i/>
        </w:rPr>
        <w:t xml:space="preserve"> concluido </w:t>
      </w:r>
      <w:r w:rsidRPr="007577D1">
        <w:rPr>
          <w:rFonts w:ascii="Palatino Linotype" w:hAnsi="Palatino Linotype" w:cs="Tahoma"/>
          <w:bCs/>
          <w:i/>
        </w:rPr>
        <w:t>deberá entregar los documentos solicitados en versión pública.</w:t>
      </w:r>
    </w:p>
    <w:p w14:paraId="2DF2C02D" w14:textId="77777777" w:rsidR="000D4B95" w:rsidRPr="007577D1" w:rsidRDefault="000D4B95" w:rsidP="00264C5E">
      <w:pPr>
        <w:pStyle w:val="INFOEM"/>
        <w:ind w:left="708"/>
        <w:rPr>
          <w:szCs w:val="22"/>
        </w:rPr>
      </w:pPr>
    </w:p>
    <w:p w14:paraId="54C33D10" w14:textId="77777777" w:rsidR="001E6007" w:rsidRPr="007577D1" w:rsidRDefault="001E6007" w:rsidP="001E6007">
      <w:pPr>
        <w:spacing w:after="0" w:line="360" w:lineRule="auto"/>
        <w:jc w:val="both"/>
        <w:rPr>
          <w:rFonts w:ascii="Palatino Linotype" w:hAnsi="Palatino Linotype" w:cstheme="minorHAnsi"/>
          <w:sz w:val="24"/>
          <w:szCs w:val="24"/>
        </w:rPr>
      </w:pPr>
      <w:r w:rsidRPr="007577D1">
        <w:rPr>
          <w:rFonts w:ascii="Palatino Linotype" w:eastAsia="Times New Roman" w:hAnsi="Palatino Linotype" w:cs="Arial"/>
          <w:b/>
          <w:sz w:val="28"/>
          <w:szCs w:val="24"/>
          <w:lang w:eastAsia="es-ES"/>
        </w:rPr>
        <w:t>TERCERO</w:t>
      </w:r>
      <w:r w:rsidRPr="007577D1">
        <w:rPr>
          <w:rFonts w:ascii="Palatino Linotype" w:eastAsia="Times New Roman" w:hAnsi="Palatino Linotype" w:cs="Arial"/>
          <w:b/>
          <w:sz w:val="24"/>
          <w:szCs w:val="24"/>
          <w:lang w:eastAsia="es-ES"/>
        </w:rPr>
        <w:t>.</w:t>
      </w:r>
      <w:r w:rsidRPr="007577D1">
        <w:rPr>
          <w:rFonts w:ascii="Palatino Linotype" w:eastAsia="Times New Roman" w:hAnsi="Palatino Linotype" w:cs="Arial"/>
          <w:sz w:val="24"/>
          <w:szCs w:val="24"/>
          <w:lang w:eastAsia="es-ES"/>
        </w:rPr>
        <w:t xml:space="preserve"> </w:t>
      </w:r>
      <w:r w:rsidRPr="007577D1">
        <w:rPr>
          <w:rFonts w:ascii="Palatino Linotype" w:hAnsi="Palatino Linotype" w:cstheme="minorHAnsi"/>
          <w:b/>
          <w:sz w:val="24"/>
          <w:szCs w:val="24"/>
        </w:rPr>
        <w:t>NOTIFÍQUESE</w:t>
      </w:r>
      <w:r w:rsidRPr="007577D1">
        <w:rPr>
          <w:rFonts w:ascii="Palatino Linotype" w:hAnsi="Palatino Linotype" w:cstheme="minorHAnsi"/>
          <w:i/>
          <w:sz w:val="24"/>
          <w:szCs w:val="24"/>
        </w:rPr>
        <w:t xml:space="preserve"> </w:t>
      </w:r>
      <w:r w:rsidRPr="007577D1">
        <w:rPr>
          <w:rFonts w:ascii="Palatino Linotype" w:hAnsi="Palatino Linotype" w:cstheme="minorHAnsi"/>
          <w:sz w:val="24"/>
          <w:szCs w:val="24"/>
        </w:rPr>
        <w:t xml:space="preserve">la presente resolución al Titular de la Unidad de Transparencia del Sujeto Obligado, vía </w:t>
      </w:r>
      <w:r w:rsidRPr="007577D1">
        <w:rPr>
          <w:rFonts w:ascii="Palatino Linotype" w:hAnsi="Palatino Linotype" w:cs="Arial"/>
          <w:sz w:val="24"/>
          <w:szCs w:val="24"/>
        </w:rPr>
        <w:t xml:space="preserve">Sistema de Acceso a la Información Mexiquense </w:t>
      </w:r>
      <w:r w:rsidRPr="007577D1">
        <w:rPr>
          <w:rFonts w:ascii="Palatino Linotype" w:hAnsi="Palatino Linotype" w:cs="Arial"/>
          <w:b/>
          <w:sz w:val="24"/>
          <w:szCs w:val="24"/>
        </w:rPr>
        <w:t xml:space="preserve">(SAIMEX) </w:t>
      </w:r>
      <w:r w:rsidRPr="007577D1">
        <w:rPr>
          <w:rFonts w:ascii="Palatino Linotype" w:hAnsi="Palatino Linotype" w:cstheme="minorHAnsi"/>
          <w:sz w:val="24"/>
          <w:szCs w:val="24"/>
        </w:rPr>
        <w:t>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10A69EC" w14:textId="77777777" w:rsidR="001E6007" w:rsidRPr="007577D1" w:rsidRDefault="001E6007" w:rsidP="001E6007">
      <w:pPr>
        <w:spacing w:after="0" w:line="360" w:lineRule="auto"/>
        <w:jc w:val="both"/>
        <w:rPr>
          <w:rFonts w:ascii="Palatino Linotype" w:hAnsi="Palatino Linotype" w:cstheme="minorHAnsi"/>
          <w:sz w:val="24"/>
          <w:szCs w:val="24"/>
        </w:rPr>
      </w:pPr>
    </w:p>
    <w:p w14:paraId="678E7E24" w14:textId="77777777" w:rsidR="001E6007" w:rsidRPr="007577D1" w:rsidRDefault="001E6007" w:rsidP="001E6007">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7577D1">
        <w:rPr>
          <w:rFonts w:ascii="Palatino Linotype" w:eastAsia="Times New Roman" w:hAnsi="Palatino Linotype" w:cs="Arial"/>
          <w:b/>
          <w:sz w:val="26"/>
          <w:szCs w:val="26"/>
          <w:lang w:eastAsia="es-ES"/>
        </w:rPr>
        <w:t>CUARTO.</w:t>
      </w:r>
      <w:r w:rsidRPr="007577D1">
        <w:rPr>
          <w:rFonts w:ascii="Palatino Linotype" w:eastAsia="Times New Roman" w:hAnsi="Palatino Linotype" w:cs="Arial"/>
          <w:b/>
          <w:sz w:val="24"/>
          <w:szCs w:val="24"/>
          <w:lang w:eastAsia="es-ES"/>
        </w:rPr>
        <w:t xml:space="preserve"> </w:t>
      </w:r>
      <w:r w:rsidRPr="007577D1">
        <w:rPr>
          <w:rFonts w:ascii="Palatino Linotype" w:eastAsia="Times New Roman" w:hAnsi="Palatino Linotype" w:cs="Arial"/>
          <w:sz w:val="24"/>
          <w:szCs w:val="24"/>
          <w:lang w:val="es-ES" w:eastAsia="es-ES"/>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608A0B22" w14:textId="77777777" w:rsidR="001E6007" w:rsidRPr="007577D1" w:rsidRDefault="001E6007" w:rsidP="001E6007">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2ADA124F" w14:textId="77777777" w:rsidR="001E6007" w:rsidRPr="007577D1" w:rsidRDefault="001E6007" w:rsidP="001E6007">
      <w:pPr>
        <w:autoSpaceDE w:val="0"/>
        <w:autoSpaceDN w:val="0"/>
        <w:adjustRightInd w:val="0"/>
        <w:spacing w:line="360" w:lineRule="auto"/>
        <w:jc w:val="both"/>
      </w:pPr>
      <w:r w:rsidRPr="007577D1">
        <w:rPr>
          <w:rFonts w:ascii="Palatino Linotype" w:hAnsi="Palatino Linotype" w:cs="Arial"/>
          <w:b/>
          <w:sz w:val="28"/>
          <w:szCs w:val="28"/>
        </w:rPr>
        <w:t xml:space="preserve">QUINTO. </w:t>
      </w:r>
      <w:r w:rsidRPr="007577D1">
        <w:rPr>
          <w:rFonts w:ascii="Palatino Linotype" w:eastAsia="Times New Roman" w:hAnsi="Palatino Linotype" w:cs="Arial"/>
          <w:b/>
          <w:sz w:val="24"/>
          <w:szCs w:val="24"/>
          <w:lang w:eastAsia="es-ES"/>
        </w:rPr>
        <w:t xml:space="preserve">NOTIFÍQUESE </w:t>
      </w:r>
      <w:r w:rsidRPr="007577D1">
        <w:rPr>
          <w:rFonts w:ascii="Palatino Linotype" w:eastAsia="Times New Roman" w:hAnsi="Palatino Linotype" w:cs="Arial"/>
          <w:sz w:val="24"/>
          <w:szCs w:val="24"/>
          <w:lang w:eastAsia="es-ES"/>
        </w:rPr>
        <w:t xml:space="preserve">la presente resolución al </w:t>
      </w:r>
      <w:r w:rsidRPr="007577D1">
        <w:rPr>
          <w:rFonts w:ascii="Palatino Linotype" w:eastAsia="Times New Roman" w:hAnsi="Palatino Linotype" w:cs="Arial"/>
          <w:b/>
          <w:sz w:val="24"/>
          <w:szCs w:val="24"/>
          <w:lang w:eastAsia="es-ES"/>
        </w:rPr>
        <w:t xml:space="preserve">RECURRENTE vía </w:t>
      </w:r>
      <w:r w:rsidRPr="007577D1">
        <w:rPr>
          <w:rFonts w:ascii="Palatino Linotype" w:hAnsi="Palatino Linotype" w:cs="Arial"/>
          <w:sz w:val="24"/>
          <w:szCs w:val="24"/>
        </w:rPr>
        <w:t xml:space="preserve">Sistema de Acceso a la Información Mexiquense </w:t>
      </w:r>
      <w:r w:rsidRPr="007577D1">
        <w:rPr>
          <w:rFonts w:ascii="Palatino Linotype" w:hAnsi="Palatino Linotype" w:cs="Arial"/>
          <w:b/>
          <w:sz w:val="24"/>
          <w:szCs w:val="24"/>
        </w:rPr>
        <w:t xml:space="preserve">(SAIMEX) </w:t>
      </w:r>
      <w:r w:rsidRPr="007577D1">
        <w:rPr>
          <w:rFonts w:ascii="Palatino Linotype" w:hAnsi="Palatino Linotype" w:cs="Arial"/>
          <w:sz w:val="24"/>
          <w:szCs w:val="24"/>
        </w:rPr>
        <w:t xml:space="preserve">y hágase de su conocimiento que en caso de considerar que la presente resolución le causa algún perjuicio, podrá interponer el juicio de amparo, en los términos de las leyes aplicables de acuerdo con lo estipulado en </w:t>
      </w:r>
      <w:r w:rsidRPr="007577D1">
        <w:rPr>
          <w:rFonts w:ascii="Palatino Linotype" w:hAnsi="Palatino Linotype" w:cs="Arial"/>
          <w:sz w:val="24"/>
          <w:szCs w:val="24"/>
        </w:rPr>
        <w:lastRenderedPageBreak/>
        <w:t>el artículo 196 de la Ley de Transparencia y Acceso a la Información Pública del Estado de México y Municipios</w:t>
      </w:r>
      <w:r w:rsidRPr="007577D1">
        <w:t>.</w:t>
      </w:r>
    </w:p>
    <w:p w14:paraId="0AFD3D50" w14:textId="77777777" w:rsidR="001E6007" w:rsidRPr="007577D1" w:rsidRDefault="001E6007" w:rsidP="001E6007">
      <w:pPr>
        <w:autoSpaceDE w:val="0"/>
        <w:autoSpaceDN w:val="0"/>
        <w:adjustRightInd w:val="0"/>
        <w:spacing w:line="360" w:lineRule="auto"/>
        <w:jc w:val="both"/>
        <w:rPr>
          <w:rFonts w:ascii="Palatino Linotype" w:eastAsia="Times New Roman" w:hAnsi="Palatino Linotype" w:cs="Times New Roman"/>
          <w:b/>
          <w:bCs/>
          <w:color w:val="222222"/>
          <w:sz w:val="24"/>
          <w:szCs w:val="24"/>
          <w:shd w:val="clear" w:color="auto" w:fill="FFFFFF"/>
          <w:lang w:eastAsia="es-ES"/>
        </w:rPr>
      </w:pPr>
    </w:p>
    <w:p w14:paraId="3025ED05" w14:textId="08F06678" w:rsidR="001E6007" w:rsidRPr="007577D1" w:rsidRDefault="001E6007" w:rsidP="001E6007">
      <w:pPr>
        <w:spacing w:after="0" w:line="360" w:lineRule="auto"/>
        <w:jc w:val="both"/>
        <w:rPr>
          <w:rFonts w:ascii="Palatino Linotype" w:eastAsia="Times New Roman" w:hAnsi="Palatino Linotype" w:cs="Arial"/>
          <w:sz w:val="24"/>
          <w:szCs w:val="24"/>
          <w:lang w:eastAsia="es-MX"/>
        </w:rPr>
      </w:pPr>
      <w:r w:rsidRPr="007577D1">
        <w:rPr>
          <w:rFonts w:ascii="Palatino Linotype" w:eastAsia="Times New Roman" w:hAnsi="Palatino Linotype" w:cs="Arial"/>
          <w:sz w:val="24"/>
          <w:szCs w:val="24"/>
          <w:lang w:val="es-ES_tradnl" w:eastAsia="es-MX"/>
        </w:rPr>
        <w:t xml:space="preserve">ASÍ LO RESUELVE, POR </w:t>
      </w:r>
      <w:r w:rsidRPr="007577D1">
        <w:rPr>
          <w:rFonts w:ascii="Palatino Linotype" w:eastAsia="Times New Roman" w:hAnsi="Palatino Linotype" w:cs="Arial"/>
          <w:b/>
          <w:bCs/>
          <w:sz w:val="24"/>
          <w:szCs w:val="24"/>
          <w:lang w:val="es-ES_tradnl" w:eastAsia="es-MX"/>
        </w:rPr>
        <w:t>UNANIMIDAD DE VOTOS</w:t>
      </w:r>
      <w:r w:rsidRPr="007577D1">
        <w:rPr>
          <w:rFonts w:ascii="Palatino Linotype" w:eastAsia="Times New Roman" w:hAnsi="Palatino Linotype" w:cs="Arial"/>
          <w:sz w:val="24"/>
          <w:szCs w:val="24"/>
          <w:lang w:val="es-ES_tradnl" w:eastAsia="es-MX"/>
        </w:rPr>
        <w:t xml:space="preserve"> EL PLENO DEL</w:t>
      </w:r>
      <w:r w:rsidRPr="007577D1">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7577D1">
        <w:rPr>
          <w:rFonts w:ascii="Palatino Linotype" w:eastAsia="Times New Roman" w:hAnsi="Palatino Linotype" w:cs="Arial"/>
          <w:sz w:val="24"/>
          <w:szCs w:val="24"/>
          <w:lang w:val="es-ES_tradnl" w:eastAsia="es-MX"/>
        </w:rPr>
        <w:t>, CONFORMADO POR LOS COMISIONADOS JOSÉ MARTÍNEZ VILCHIS, MARÍA DEL ROSARIO MEJÍA AYALA</w:t>
      </w:r>
      <w:r w:rsidR="000A1881" w:rsidRPr="007577D1">
        <w:rPr>
          <w:rFonts w:ascii="Palatino Linotype" w:eastAsia="Times New Roman" w:hAnsi="Palatino Linotype" w:cs="Arial"/>
          <w:sz w:val="24"/>
          <w:szCs w:val="24"/>
          <w:lang w:val="es-ES_tradnl" w:eastAsia="es-MX"/>
        </w:rPr>
        <w:t xml:space="preserve"> (</w:t>
      </w:r>
      <w:r w:rsidR="000A1881" w:rsidRPr="007577D1">
        <w:rPr>
          <w:rFonts w:ascii="Palatino Linotype" w:eastAsia="Times New Roman" w:hAnsi="Palatino Linotype" w:cs="Arial"/>
          <w:sz w:val="24"/>
          <w:szCs w:val="24"/>
          <w:u w:val="single"/>
          <w:lang w:val="es-ES_tradnl" w:eastAsia="es-MX"/>
        </w:rPr>
        <w:t>VOTO PARTICULAR)</w:t>
      </w:r>
      <w:r w:rsidR="00247DF6" w:rsidRPr="007577D1">
        <w:rPr>
          <w:rFonts w:ascii="Palatino Linotype" w:eastAsia="Times New Roman" w:hAnsi="Palatino Linotype" w:cs="Arial"/>
          <w:sz w:val="24"/>
          <w:szCs w:val="24"/>
          <w:lang w:val="es-ES_tradnl" w:eastAsia="es-MX"/>
        </w:rPr>
        <w:t xml:space="preserve">, </w:t>
      </w:r>
      <w:r w:rsidRPr="007577D1">
        <w:rPr>
          <w:rFonts w:ascii="Palatino Linotype" w:eastAsia="Times New Roman" w:hAnsi="Palatino Linotype" w:cs="Arial"/>
          <w:sz w:val="24"/>
          <w:szCs w:val="24"/>
          <w:lang w:val="es-ES_tradnl" w:eastAsia="es-MX"/>
        </w:rPr>
        <w:t xml:space="preserve">SHARON CRISTINA MORALES MARTÍNEZ, LUIS GUSTAVO PARRA NORIEGA </w:t>
      </w:r>
      <w:r w:rsidR="000A1881" w:rsidRPr="007577D1">
        <w:rPr>
          <w:rFonts w:ascii="Palatino Linotype" w:eastAsia="Times New Roman" w:hAnsi="Palatino Linotype" w:cs="Arial"/>
          <w:sz w:val="24"/>
          <w:szCs w:val="24"/>
          <w:lang w:val="es-ES_tradnl" w:eastAsia="es-MX"/>
        </w:rPr>
        <w:t>(</w:t>
      </w:r>
      <w:r w:rsidR="000A1881" w:rsidRPr="007577D1">
        <w:rPr>
          <w:rFonts w:ascii="Palatino Linotype" w:eastAsia="Times New Roman" w:hAnsi="Palatino Linotype" w:cs="Arial"/>
          <w:sz w:val="24"/>
          <w:szCs w:val="24"/>
          <w:u w:val="single"/>
          <w:lang w:val="es-ES_tradnl" w:eastAsia="es-MX"/>
        </w:rPr>
        <w:t>VOTO PARTICULAR)</w:t>
      </w:r>
      <w:r w:rsidR="000A1881" w:rsidRPr="007577D1">
        <w:rPr>
          <w:rFonts w:ascii="Palatino Linotype" w:eastAsia="Times New Roman" w:hAnsi="Palatino Linotype" w:cs="Arial"/>
          <w:sz w:val="24"/>
          <w:szCs w:val="24"/>
          <w:lang w:val="es-ES_tradnl" w:eastAsia="es-MX"/>
        </w:rPr>
        <w:t xml:space="preserve">, </w:t>
      </w:r>
      <w:r w:rsidRPr="007577D1">
        <w:rPr>
          <w:rFonts w:ascii="Palatino Linotype" w:eastAsia="Times New Roman" w:hAnsi="Palatino Linotype" w:cs="Arial"/>
          <w:sz w:val="24"/>
          <w:szCs w:val="24"/>
          <w:lang w:val="es-ES_tradnl" w:eastAsia="es-MX"/>
        </w:rPr>
        <w:t>Y GUADALUPE RAMÍREZ PEÑA, EN LA</w:t>
      </w:r>
      <w:r w:rsidRPr="007577D1">
        <w:rPr>
          <w:rFonts w:ascii="Palatino Linotype" w:eastAsia="Times New Roman" w:hAnsi="Palatino Linotype" w:cs="Arial"/>
          <w:sz w:val="24"/>
          <w:szCs w:val="24"/>
          <w:lang w:val="es-419" w:eastAsia="es-MX"/>
        </w:rPr>
        <w:t xml:space="preserve"> </w:t>
      </w:r>
      <w:r w:rsidR="00CD7BA2" w:rsidRPr="007577D1">
        <w:rPr>
          <w:rFonts w:ascii="Palatino Linotype" w:eastAsia="Times New Roman" w:hAnsi="Palatino Linotype" w:cs="Arial"/>
          <w:b/>
          <w:bCs/>
          <w:sz w:val="24"/>
          <w:szCs w:val="24"/>
          <w:lang w:val="es-419" w:eastAsia="es-MX"/>
        </w:rPr>
        <w:t xml:space="preserve">DÉCIMA </w:t>
      </w:r>
      <w:r w:rsidRPr="007577D1">
        <w:rPr>
          <w:rFonts w:ascii="Palatino Linotype" w:eastAsia="Times New Roman" w:hAnsi="Palatino Linotype" w:cs="Arial"/>
          <w:b/>
          <w:bCs/>
          <w:sz w:val="24"/>
          <w:szCs w:val="24"/>
          <w:lang w:val="es-419" w:eastAsia="es-MX"/>
        </w:rPr>
        <w:t xml:space="preserve">OCTAVA SESIÓN ORDINARIA CELEBRADA EL </w:t>
      </w:r>
      <w:r w:rsidR="00CD7BA2" w:rsidRPr="007577D1">
        <w:rPr>
          <w:rFonts w:ascii="Palatino Linotype" w:eastAsia="Times New Roman" w:hAnsi="Palatino Linotype" w:cs="Arial"/>
          <w:b/>
          <w:bCs/>
          <w:sz w:val="24"/>
          <w:szCs w:val="24"/>
          <w:lang w:val="es-419" w:eastAsia="es-MX"/>
        </w:rPr>
        <w:t>VEINTE DE MAYO DE DOS MIL VEINTISÉIS</w:t>
      </w:r>
      <w:r w:rsidRPr="007577D1">
        <w:rPr>
          <w:rFonts w:ascii="Palatino Linotype" w:eastAsia="Times New Roman" w:hAnsi="Palatino Linotype" w:cs="Arial"/>
          <w:b/>
          <w:bCs/>
          <w:sz w:val="24"/>
          <w:szCs w:val="24"/>
          <w:lang w:val="es-ES_tradnl" w:eastAsia="es-MX"/>
        </w:rPr>
        <w:t xml:space="preserve">, </w:t>
      </w:r>
      <w:r w:rsidRPr="007577D1">
        <w:rPr>
          <w:rFonts w:ascii="Palatino Linotype" w:eastAsia="Times New Roman" w:hAnsi="Palatino Linotype" w:cs="Arial"/>
          <w:sz w:val="24"/>
          <w:szCs w:val="24"/>
          <w:lang w:val="es-ES_tradnl" w:eastAsia="es-MX"/>
        </w:rPr>
        <w:t>ANTE EL SECRETARIO TÉCNICO DEL PLENO, ALEXIS TAPIA RAMÍREZ. --------------------------------------------------------------------</w:t>
      </w:r>
    </w:p>
    <w:p w14:paraId="3A02B32E" w14:textId="77777777" w:rsidR="001E6007" w:rsidRPr="00F444C4" w:rsidRDefault="001E6007" w:rsidP="001E6007">
      <w:pPr>
        <w:spacing w:after="0" w:line="360" w:lineRule="auto"/>
        <w:jc w:val="both"/>
        <w:rPr>
          <w:rFonts w:ascii="Palatino Linotype" w:eastAsia="Times New Roman" w:hAnsi="Palatino Linotype" w:cs="Arial"/>
          <w:sz w:val="20"/>
          <w:lang w:val="es-ES_tradnl" w:eastAsia="es-MX"/>
        </w:rPr>
      </w:pPr>
      <w:r w:rsidRPr="007577D1">
        <w:rPr>
          <w:rFonts w:ascii="Palatino Linotype" w:eastAsia="Times New Roman" w:hAnsi="Palatino Linotype" w:cs="Arial"/>
          <w:sz w:val="20"/>
          <w:lang w:val="es-ES_tradnl" w:eastAsia="es-MX"/>
        </w:rPr>
        <w:t>JMV/CCR/NJMB</w:t>
      </w:r>
    </w:p>
    <w:p w14:paraId="14A0C7CD" w14:textId="77777777" w:rsidR="001E6007" w:rsidRPr="00F444C4" w:rsidRDefault="001E6007" w:rsidP="001E6007">
      <w:pPr>
        <w:spacing w:after="0" w:line="360" w:lineRule="auto"/>
        <w:jc w:val="both"/>
        <w:rPr>
          <w:rFonts w:ascii="Palatino Linotype" w:eastAsia="Times New Roman" w:hAnsi="Palatino Linotype" w:cs="Arial"/>
          <w:sz w:val="20"/>
          <w:lang w:val="es-ES_tradnl" w:eastAsia="es-MX"/>
        </w:rPr>
      </w:pPr>
    </w:p>
    <w:p w14:paraId="771DC003" w14:textId="77777777" w:rsidR="001E6007" w:rsidRPr="00F444C4" w:rsidRDefault="001E6007" w:rsidP="001E6007">
      <w:pPr>
        <w:spacing w:after="0" w:line="360" w:lineRule="auto"/>
        <w:jc w:val="both"/>
        <w:rPr>
          <w:rFonts w:ascii="Palatino Linotype" w:eastAsia="Times New Roman" w:hAnsi="Palatino Linotype" w:cs="Arial"/>
          <w:sz w:val="20"/>
          <w:lang w:val="es-ES_tradnl" w:eastAsia="es-MX"/>
        </w:rPr>
      </w:pPr>
    </w:p>
    <w:p w14:paraId="4B5C2A4D" w14:textId="77777777" w:rsidR="001E6007" w:rsidRPr="00F444C4" w:rsidRDefault="001E6007" w:rsidP="001E600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9CFA583" w14:textId="77777777" w:rsidR="001E6007" w:rsidRPr="00F444C4" w:rsidRDefault="001E6007" w:rsidP="001E600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E0D6EC1" w14:textId="77777777" w:rsidR="001E6007" w:rsidRPr="00F444C4" w:rsidRDefault="001E6007" w:rsidP="001E600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45EA5A1" w14:textId="77777777" w:rsidR="001E6007" w:rsidRPr="00F444C4" w:rsidRDefault="001E6007" w:rsidP="001E600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E04B7DA" w14:textId="77777777" w:rsidR="001E6007" w:rsidRPr="00F444C4" w:rsidRDefault="001E6007" w:rsidP="001E600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60E0009" w14:textId="77777777" w:rsidR="001E6007" w:rsidRPr="00F444C4" w:rsidRDefault="001E6007" w:rsidP="001E600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2242AF0" w14:textId="77777777" w:rsidR="001E6007" w:rsidRPr="00F444C4" w:rsidRDefault="001E6007" w:rsidP="001E600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09038F0" w14:textId="77777777" w:rsidR="001E6007" w:rsidRPr="00F444C4" w:rsidRDefault="001E6007" w:rsidP="001E600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7E543D9" w14:textId="77777777" w:rsidR="001E6007" w:rsidRPr="00F444C4" w:rsidRDefault="001E6007" w:rsidP="001E600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168D4FD" w14:textId="77777777" w:rsidR="001E6007" w:rsidRPr="00F444C4" w:rsidRDefault="001E6007" w:rsidP="001E6007">
      <w:pPr>
        <w:spacing w:after="0" w:line="360" w:lineRule="auto"/>
        <w:jc w:val="both"/>
        <w:rPr>
          <w:rFonts w:ascii="Palatino Linotype" w:eastAsia="Times New Roman" w:hAnsi="Palatino Linotype" w:cs="Calibri"/>
          <w:sz w:val="24"/>
          <w:lang w:val="es-ES_tradnl" w:eastAsia="es-MX"/>
        </w:rPr>
      </w:pPr>
    </w:p>
    <w:p w14:paraId="0DBFE31A" w14:textId="77777777" w:rsidR="001E6007" w:rsidRPr="00F444C4" w:rsidRDefault="001E6007" w:rsidP="001E6007">
      <w:pPr>
        <w:spacing w:after="0" w:line="360" w:lineRule="auto"/>
        <w:jc w:val="both"/>
        <w:rPr>
          <w:rFonts w:ascii="Palatino Linotype" w:eastAsia="Times New Roman" w:hAnsi="Palatino Linotype" w:cs="Calibri"/>
          <w:sz w:val="24"/>
          <w:lang w:val="es-ES_tradnl" w:eastAsia="es-MX"/>
        </w:rPr>
      </w:pPr>
    </w:p>
    <w:p w14:paraId="15781339" w14:textId="77777777" w:rsidR="001E6007" w:rsidRPr="00F444C4" w:rsidRDefault="001E6007" w:rsidP="001E6007">
      <w:pPr>
        <w:spacing w:after="0" w:line="360" w:lineRule="auto"/>
        <w:jc w:val="both"/>
        <w:rPr>
          <w:rFonts w:ascii="Palatino Linotype" w:eastAsia="Times New Roman" w:hAnsi="Palatino Linotype" w:cs="Calibri"/>
          <w:sz w:val="24"/>
          <w:lang w:val="es-ES_tradnl" w:eastAsia="es-MX"/>
        </w:rPr>
      </w:pPr>
    </w:p>
    <w:p w14:paraId="3A861CB7" w14:textId="77777777" w:rsidR="001E6007" w:rsidRPr="00F444C4" w:rsidRDefault="001E6007" w:rsidP="001E6007">
      <w:pPr>
        <w:spacing w:after="0" w:line="360" w:lineRule="auto"/>
        <w:jc w:val="both"/>
        <w:rPr>
          <w:rFonts w:ascii="Palatino Linotype" w:eastAsia="Times New Roman" w:hAnsi="Palatino Linotype" w:cs="Calibri"/>
          <w:sz w:val="24"/>
          <w:lang w:val="es-ES_tradnl" w:eastAsia="es-MX"/>
        </w:rPr>
      </w:pPr>
    </w:p>
    <w:p w14:paraId="46087C5C" w14:textId="77777777" w:rsidR="001E6007" w:rsidRDefault="001E6007" w:rsidP="001E6007"/>
    <w:p w14:paraId="4E97B421" w14:textId="77777777" w:rsidR="001E6007" w:rsidRDefault="001E6007" w:rsidP="001E6007"/>
    <w:p w14:paraId="2CE6469B" w14:textId="77777777" w:rsidR="001E6007" w:rsidRDefault="001E6007" w:rsidP="001E6007"/>
    <w:p w14:paraId="192F8260" w14:textId="77777777" w:rsidR="001E6007" w:rsidRDefault="001E6007" w:rsidP="001E6007"/>
    <w:p w14:paraId="4EA95D17" w14:textId="77777777" w:rsidR="001E6007" w:rsidRDefault="001E6007" w:rsidP="001E6007"/>
    <w:p w14:paraId="52650862" w14:textId="77777777" w:rsidR="001E6007" w:rsidRDefault="001E6007" w:rsidP="001E6007"/>
    <w:p w14:paraId="08FF66F4" w14:textId="77777777" w:rsidR="001E6007" w:rsidRDefault="001E6007" w:rsidP="001E6007"/>
    <w:p w14:paraId="491D5FD4" w14:textId="77777777" w:rsidR="001E6007" w:rsidRDefault="001E6007" w:rsidP="001E6007"/>
    <w:p w14:paraId="06F222E8" w14:textId="77777777" w:rsidR="001E6007" w:rsidRDefault="001E6007" w:rsidP="001E6007"/>
    <w:p w14:paraId="1231DE6C" w14:textId="77777777" w:rsidR="001E6007" w:rsidRDefault="001E6007" w:rsidP="001E6007"/>
    <w:p w14:paraId="1E2E9B4B" w14:textId="77777777" w:rsidR="001E6007" w:rsidRDefault="001E6007" w:rsidP="001E6007"/>
    <w:p w14:paraId="7D085FB6" w14:textId="77777777" w:rsidR="001E6007" w:rsidRDefault="001E6007" w:rsidP="001E6007"/>
    <w:p w14:paraId="454CD6A8" w14:textId="77777777" w:rsidR="001E6007" w:rsidRDefault="001E6007" w:rsidP="001E6007"/>
    <w:p w14:paraId="2FD3C984" w14:textId="77777777" w:rsidR="001E6007" w:rsidRDefault="001E6007" w:rsidP="001E6007"/>
    <w:p w14:paraId="6AE6A8AA" w14:textId="77777777" w:rsidR="00AF2F2F" w:rsidRDefault="00AF2F2F"/>
    <w:sectPr w:rsidR="00AF2F2F" w:rsidSect="00A022F4">
      <w:headerReference w:type="even" r:id="rId7"/>
      <w:headerReference w:type="default" r:id="rId8"/>
      <w:footerReference w:type="default" r:id="rId9"/>
      <w:headerReference w:type="first" r:id="rId10"/>
      <w:footerReference w:type="first" r:id="rId11"/>
      <w:pgSz w:w="12240" w:h="15840"/>
      <w:pgMar w:top="2977" w:right="1134" w:bottom="1191" w:left="1752" w:header="709"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5CE639" w14:textId="77777777" w:rsidR="00257A67" w:rsidRDefault="00257A67" w:rsidP="001E6007">
      <w:pPr>
        <w:spacing w:after="0" w:line="240" w:lineRule="auto"/>
      </w:pPr>
      <w:r>
        <w:separator/>
      </w:r>
    </w:p>
  </w:endnote>
  <w:endnote w:type="continuationSeparator" w:id="0">
    <w:p w14:paraId="0EB0276D" w14:textId="77777777" w:rsidR="00257A67" w:rsidRDefault="00257A67" w:rsidP="001E6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05BE7" w14:textId="77777777" w:rsidR="00C82CF6" w:rsidRPr="00871A91" w:rsidRDefault="00C82CF6" w:rsidP="00A022F4">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D15053">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D15053">
      <w:rPr>
        <w:rFonts w:ascii="Palatino Linotype" w:hAnsi="Palatino Linotype"/>
        <w:b/>
        <w:bCs/>
        <w:noProof/>
        <w:sz w:val="20"/>
      </w:rPr>
      <w:t>49</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F1928" w14:textId="77777777" w:rsidR="00C82CF6" w:rsidRPr="00871A91" w:rsidRDefault="00C82CF6" w:rsidP="00A022F4">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D15053">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D15053">
      <w:rPr>
        <w:rFonts w:ascii="Palatino Linotype" w:hAnsi="Palatino Linotype"/>
        <w:b/>
        <w:bCs/>
        <w:noProof/>
        <w:sz w:val="20"/>
      </w:rPr>
      <w:t>49</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79052A" w14:textId="77777777" w:rsidR="00257A67" w:rsidRDefault="00257A67" w:rsidP="001E6007">
      <w:pPr>
        <w:spacing w:after="0" w:line="240" w:lineRule="auto"/>
      </w:pPr>
      <w:r>
        <w:separator/>
      </w:r>
    </w:p>
  </w:footnote>
  <w:footnote w:type="continuationSeparator" w:id="0">
    <w:p w14:paraId="223FB38F" w14:textId="77777777" w:rsidR="00257A67" w:rsidRDefault="00257A67" w:rsidP="001E6007">
      <w:pPr>
        <w:spacing w:after="0" w:line="240" w:lineRule="auto"/>
      </w:pPr>
      <w:r>
        <w:continuationSeparator/>
      </w:r>
    </w:p>
  </w:footnote>
  <w:footnote w:id="1">
    <w:p w14:paraId="162C21A6" w14:textId="77777777" w:rsidR="00C82CF6" w:rsidRPr="0031280C" w:rsidRDefault="00C82CF6" w:rsidP="001E6007">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3613AB4E" w14:textId="77777777" w:rsidR="00C82CF6" w:rsidRPr="0031280C" w:rsidRDefault="00C82CF6" w:rsidP="001E6007">
      <w:pPr>
        <w:rPr>
          <w:rFonts w:cs="Palatino Linotype"/>
          <w:color w:val="000000"/>
          <w:sz w:val="20"/>
          <w:szCs w:val="20"/>
        </w:rPr>
      </w:pPr>
    </w:p>
    <w:p w14:paraId="2B9FAC8C" w14:textId="77777777" w:rsidR="00C82CF6" w:rsidRPr="0031280C" w:rsidRDefault="00C82CF6" w:rsidP="001E6007">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27AB4F34" w14:textId="77777777" w:rsidR="00C82CF6" w:rsidRPr="00783A97" w:rsidRDefault="00C82CF6" w:rsidP="001E6007">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31280C">
        <w:rPr>
          <w:rFonts w:cs="Palatino Linotype"/>
          <w:i/>
          <w:sz w:val="20"/>
          <w:szCs w:val="20"/>
        </w:rPr>
        <w:t>concesoria</w:t>
      </w:r>
      <w:proofErr w:type="spellEnd"/>
      <w:r w:rsidRPr="0031280C">
        <w:rPr>
          <w:rFonts w:cs="Palatino Linotype"/>
          <w:i/>
          <w:sz w:val="20"/>
          <w:szCs w:val="20"/>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720A3748" w14:textId="77777777" w:rsidR="00C82CF6" w:rsidRPr="00FA182C" w:rsidRDefault="00C82CF6" w:rsidP="008F6B94">
      <w:pPr>
        <w:pStyle w:val="Textonotapie"/>
        <w:rPr>
          <w:rFonts w:ascii="Palatino Linotype" w:hAnsi="Palatino Linotype"/>
          <w:sz w:val="18"/>
          <w:szCs w:val="18"/>
        </w:rPr>
      </w:pPr>
      <w:r>
        <w:rPr>
          <w:rStyle w:val="Refdenotaalpie"/>
        </w:rPr>
        <w:footnoteRef/>
      </w:r>
      <w:r>
        <w:t xml:space="preserve"> </w:t>
      </w:r>
      <w:r w:rsidRPr="00FA182C">
        <w:rPr>
          <w:rFonts w:ascii="Palatino Linotype" w:hAnsi="Palatino Linotype"/>
          <w:sz w:val="18"/>
          <w:szCs w:val="18"/>
        </w:rPr>
        <w:t>Artículo 50, Ley de Transparencia y Acceso a la Información Pública del Estado de México y Municipios.</w:t>
      </w:r>
    </w:p>
  </w:footnote>
  <w:footnote w:id="3">
    <w:p w14:paraId="0CF7CA9B" w14:textId="77777777" w:rsidR="00C82CF6" w:rsidRDefault="00C82CF6" w:rsidP="008F6B94">
      <w:pPr>
        <w:pStyle w:val="Textonotapie"/>
      </w:pPr>
      <w:r w:rsidRPr="00FA182C">
        <w:rPr>
          <w:rStyle w:val="Refdenotaalpie"/>
          <w:rFonts w:ascii="Palatino Linotype" w:hAnsi="Palatino Linotype"/>
          <w:sz w:val="18"/>
          <w:szCs w:val="18"/>
        </w:rPr>
        <w:footnoteRef/>
      </w:r>
      <w:r w:rsidRPr="00FA182C">
        <w:rPr>
          <w:rFonts w:ascii="Palatino Linotype" w:hAnsi="Palatino Linotype"/>
          <w:sz w:val="18"/>
          <w:szCs w:val="18"/>
        </w:rPr>
        <w:t xml:space="preserve"> Artículo 51,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5A8D8" w14:textId="77777777" w:rsidR="00C82CF6" w:rsidRDefault="00257A67">
    <w:pPr>
      <w:pStyle w:val="Encabezado"/>
    </w:pPr>
    <w:r>
      <w:rPr>
        <w:noProof/>
        <w:lang w:val="es-MX" w:eastAsia="es-MX"/>
      </w:rPr>
      <w:pict w14:anchorId="637D31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style="position:absolute;left:0;text-align:left;margin-left:0;margin-top:0;width:609.4pt;height:793.75pt;z-index:-251657216;mso-wrap-edited:f;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C82CF6" w:rsidRPr="00B17577" w14:paraId="65761404" w14:textId="77777777" w:rsidTr="00A022F4">
      <w:trPr>
        <w:trHeight w:val="227"/>
      </w:trPr>
      <w:tc>
        <w:tcPr>
          <w:tcW w:w="5103" w:type="dxa"/>
          <w:hideMark/>
        </w:tcPr>
        <w:p w14:paraId="55CD1610" w14:textId="77777777" w:rsidR="00C82CF6" w:rsidRPr="00F70BDE" w:rsidRDefault="00C82CF6" w:rsidP="00A022F4">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37D4455F" w14:textId="77777777" w:rsidR="00C82CF6" w:rsidRPr="00F70BDE" w:rsidRDefault="00C82CF6" w:rsidP="00A022F4">
          <w:pPr>
            <w:spacing w:after="120" w:line="240" w:lineRule="auto"/>
            <w:ind w:right="71"/>
            <w:jc w:val="right"/>
            <w:rPr>
              <w:rFonts w:ascii="Palatino Linotype" w:hAnsi="Palatino Linotype" w:cs="Arial"/>
              <w:b/>
              <w:sz w:val="24"/>
              <w:szCs w:val="24"/>
            </w:rPr>
          </w:pPr>
          <w:r w:rsidRPr="00F70BDE">
            <w:rPr>
              <w:rFonts w:ascii="Palatino Linotype" w:hAnsi="Palatino Linotype" w:cs="Arial"/>
              <w:b/>
              <w:bCs/>
              <w:sz w:val="24"/>
              <w:szCs w:val="24"/>
            </w:rPr>
            <w:t>0</w:t>
          </w:r>
          <w:r>
            <w:rPr>
              <w:rFonts w:ascii="Palatino Linotype" w:hAnsi="Palatino Linotype" w:cs="Arial"/>
              <w:b/>
              <w:bCs/>
              <w:sz w:val="24"/>
              <w:szCs w:val="24"/>
            </w:rPr>
            <w:t>2695/INFOEM/IP/RR/2026</w:t>
          </w:r>
        </w:p>
      </w:tc>
    </w:tr>
    <w:tr w:rsidR="00C82CF6" w14:paraId="747F7C1E" w14:textId="77777777" w:rsidTr="00A022F4">
      <w:trPr>
        <w:trHeight w:val="242"/>
      </w:trPr>
      <w:tc>
        <w:tcPr>
          <w:tcW w:w="5103" w:type="dxa"/>
          <w:hideMark/>
        </w:tcPr>
        <w:p w14:paraId="7DEADABB" w14:textId="77777777" w:rsidR="00C82CF6" w:rsidRPr="00F70BDE" w:rsidRDefault="00C82CF6" w:rsidP="00A022F4">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35D62CBF" w14:textId="77777777" w:rsidR="00C82CF6" w:rsidRPr="00F70BDE" w:rsidRDefault="00C82CF6" w:rsidP="00A022F4">
          <w:pPr>
            <w:spacing w:after="120" w:line="240" w:lineRule="auto"/>
            <w:ind w:left="-81" w:right="71"/>
            <w:jc w:val="right"/>
            <w:rPr>
              <w:rFonts w:ascii="Palatino Linotype" w:hAnsi="Palatino Linotype" w:cs="Arial"/>
              <w:sz w:val="24"/>
              <w:szCs w:val="24"/>
            </w:rPr>
          </w:pPr>
          <w:r w:rsidRPr="00F610B4">
            <w:rPr>
              <w:rFonts w:ascii="Palatino Linotype" w:hAnsi="Palatino Linotype"/>
              <w:b/>
              <w:bCs/>
              <w:color w:val="000000"/>
              <w:sz w:val="24"/>
              <w:szCs w:val="24"/>
            </w:rPr>
            <w:t>Secretaría de Educación, Ciencia, Tecnología e Innovación</w:t>
          </w:r>
        </w:p>
      </w:tc>
    </w:tr>
    <w:tr w:rsidR="00C82CF6" w:rsidRPr="00F63239" w14:paraId="772792C6" w14:textId="77777777" w:rsidTr="00A022F4">
      <w:trPr>
        <w:trHeight w:val="342"/>
      </w:trPr>
      <w:tc>
        <w:tcPr>
          <w:tcW w:w="5103" w:type="dxa"/>
          <w:hideMark/>
        </w:tcPr>
        <w:p w14:paraId="59C977D8" w14:textId="77777777" w:rsidR="00C82CF6" w:rsidRPr="00F70BDE" w:rsidRDefault="00C82CF6" w:rsidP="00A022F4">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21077782" w14:textId="77777777" w:rsidR="00C82CF6" w:rsidRPr="00F70BDE" w:rsidRDefault="00C82CF6" w:rsidP="00A022F4">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36806821" w14:textId="77777777" w:rsidR="00C82CF6" w:rsidRPr="00F70BDE" w:rsidRDefault="00C82CF6" w:rsidP="00A022F4">
          <w:pPr>
            <w:spacing w:after="120" w:line="240" w:lineRule="auto"/>
            <w:ind w:left="-486" w:right="71" w:firstLine="567"/>
            <w:jc w:val="right"/>
            <w:rPr>
              <w:rFonts w:ascii="Palatino Linotype" w:hAnsi="Palatino Linotype" w:cs="Arial"/>
              <w:sz w:val="24"/>
              <w:szCs w:val="24"/>
            </w:rPr>
          </w:pPr>
        </w:p>
      </w:tc>
    </w:tr>
  </w:tbl>
  <w:p w14:paraId="4436BF80" w14:textId="77777777" w:rsidR="00C82CF6" w:rsidRPr="00871A91" w:rsidRDefault="00257A67">
    <w:pPr>
      <w:pStyle w:val="Encabezado"/>
      <w:rPr>
        <w:sz w:val="2"/>
      </w:rPr>
    </w:pPr>
    <w:r>
      <w:rPr>
        <w:noProof/>
        <w:lang w:val="es-MX" w:eastAsia="es-MX"/>
      </w:rPr>
      <w:pict w14:anchorId="54D54E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style="position:absolute;left:0;text-align:left;margin-left:-81.55pt;margin-top:-142.95pt;width:609.4pt;height:793.75pt;z-index:-251656192;mso-wrap-edited:f;mso-position-horizontal-relative:margin;mso-position-vertical-relative:margin" o:allowincell="f">
          <v:imagedata r:id="rId1" o:title=""/>
          <w10:wrap anchorx="margin" anchory="margin"/>
        </v:shape>
      </w:pict>
    </w:r>
    <w:r w:rsidR="00C82CF6">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C82CF6" w:rsidRPr="00F70BDE" w14:paraId="19F244E0" w14:textId="77777777" w:rsidTr="00A022F4">
      <w:trPr>
        <w:trHeight w:val="227"/>
      </w:trPr>
      <w:tc>
        <w:tcPr>
          <w:tcW w:w="5103" w:type="dxa"/>
          <w:hideMark/>
        </w:tcPr>
        <w:p w14:paraId="160FD795" w14:textId="77777777" w:rsidR="00C82CF6" w:rsidRPr="00F70BDE" w:rsidRDefault="00C82CF6" w:rsidP="00A022F4">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78CE35C8" w14:textId="77777777" w:rsidR="00C82CF6" w:rsidRPr="00F70BDE" w:rsidRDefault="00C82CF6" w:rsidP="00A022F4">
          <w:pPr>
            <w:spacing w:after="120" w:line="240" w:lineRule="auto"/>
            <w:ind w:left="-486" w:right="68" w:firstLine="558"/>
            <w:jc w:val="right"/>
            <w:rPr>
              <w:rFonts w:ascii="Palatino Linotype" w:hAnsi="Palatino Linotype" w:cs="Arial"/>
              <w:b/>
              <w:bCs/>
              <w:sz w:val="24"/>
              <w:szCs w:val="24"/>
            </w:rPr>
          </w:pPr>
          <w:r w:rsidRPr="00F70BDE">
            <w:rPr>
              <w:rFonts w:ascii="Palatino Linotype" w:hAnsi="Palatino Linotype" w:cs="Arial"/>
              <w:b/>
              <w:bCs/>
              <w:sz w:val="24"/>
              <w:szCs w:val="24"/>
            </w:rPr>
            <w:t>0</w:t>
          </w:r>
          <w:r>
            <w:rPr>
              <w:rFonts w:ascii="Palatino Linotype" w:hAnsi="Palatino Linotype" w:cs="Arial"/>
              <w:b/>
              <w:bCs/>
              <w:sz w:val="24"/>
              <w:szCs w:val="24"/>
            </w:rPr>
            <w:t>2695/INFOEM/IP/RR/2026</w:t>
          </w:r>
        </w:p>
      </w:tc>
    </w:tr>
    <w:tr w:rsidR="00C82CF6" w:rsidRPr="00F70BDE" w14:paraId="56CF1EA2" w14:textId="77777777" w:rsidTr="00A022F4">
      <w:trPr>
        <w:trHeight w:val="227"/>
      </w:trPr>
      <w:tc>
        <w:tcPr>
          <w:tcW w:w="5103" w:type="dxa"/>
        </w:tcPr>
        <w:p w14:paraId="7E490BBB" w14:textId="77777777" w:rsidR="00C82CF6" w:rsidRPr="00F70BDE" w:rsidRDefault="00C82CF6" w:rsidP="00A022F4">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5353F447" w14:textId="6360550F" w:rsidR="00C82CF6" w:rsidRPr="00893BF2" w:rsidRDefault="00D15053" w:rsidP="00A022F4">
          <w:pPr>
            <w:jc w:val="right"/>
            <w:rPr>
              <w:rFonts w:ascii="Palatino Linotype" w:hAnsi="Palatino Linotype"/>
              <w:sz w:val="24"/>
              <w:szCs w:val="24"/>
            </w:rPr>
          </w:pPr>
          <w:r>
            <w:rPr>
              <w:rFonts w:ascii="Palatino Linotype" w:hAnsi="Palatino Linotype"/>
              <w:sz w:val="24"/>
              <w:szCs w:val="24"/>
            </w:rPr>
            <w:t>XXXXXXX</w:t>
          </w:r>
        </w:p>
      </w:tc>
    </w:tr>
    <w:tr w:rsidR="00C82CF6" w:rsidRPr="00F70BDE" w14:paraId="2718EBA8" w14:textId="77777777" w:rsidTr="00A022F4">
      <w:trPr>
        <w:trHeight w:val="242"/>
      </w:trPr>
      <w:tc>
        <w:tcPr>
          <w:tcW w:w="5103" w:type="dxa"/>
          <w:hideMark/>
        </w:tcPr>
        <w:p w14:paraId="62D71AB2" w14:textId="77777777" w:rsidR="00C82CF6" w:rsidRPr="00F70BDE" w:rsidRDefault="00C82CF6" w:rsidP="00A022F4">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71280371" w14:textId="77777777" w:rsidR="00C82CF6" w:rsidRPr="00F610B4" w:rsidRDefault="00C82CF6" w:rsidP="00A022F4">
          <w:pPr>
            <w:spacing w:after="120" w:line="240" w:lineRule="auto"/>
            <w:ind w:left="-70" w:right="68"/>
            <w:jc w:val="right"/>
            <w:rPr>
              <w:rFonts w:ascii="Palatino Linotype" w:hAnsi="Palatino Linotype" w:cs="Arial"/>
              <w:sz w:val="24"/>
              <w:szCs w:val="24"/>
            </w:rPr>
          </w:pPr>
          <w:r w:rsidRPr="00F610B4">
            <w:rPr>
              <w:rFonts w:ascii="Palatino Linotype" w:hAnsi="Palatino Linotype"/>
              <w:b/>
              <w:bCs/>
              <w:color w:val="000000"/>
              <w:sz w:val="24"/>
              <w:szCs w:val="24"/>
            </w:rPr>
            <w:t>Secretaría de Educación, Ciencia, Tecnología e Innovación</w:t>
          </w:r>
        </w:p>
      </w:tc>
    </w:tr>
    <w:tr w:rsidR="00C82CF6" w:rsidRPr="00F70BDE" w14:paraId="474CEAE4" w14:textId="77777777" w:rsidTr="00A022F4">
      <w:trPr>
        <w:trHeight w:val="342"/>
      </w:trPr>
      <w:tc>
        <w:tcPr>
          <w:tcW w:w="5103" w:type="dxa"/>
          <w:hideMark/>
        </w:tcPr>
        <w:p w14:paraId="02154B33" w14:textId="77777777" w:rsidR="00C82CF6" w:rsidRPr="00F70BDE" w:rsidRDefault="00C82CF6" w:rsidP="00A022F4">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05F29BBA" w14:textId="77777777" w:rsidR="00C82CF6" w:rsidRPr="00F70BDE" w:rsidRDefault="00C82CF6" w:rsidP="00A022F4">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6CDBFFC3" w14:textId="77777777" w:rsidR="00C82CF6" w:rsidRPr="00871A91" w:rsidRDefault="00C82CF6">
    <w:pPr>
      <w:pStyle w:val="Encabezado"/>
      <w:rPr>
        <w:sz w:val="2"/>
      </w:rPr>
    </w:pPr>
    <w:r>
      <w:rPr>
        <w:noProof/>
        <w:lang w:val="es-MX" w:eastAsia="es-MX"/>
      </w:rPr>
      <w:drawing>
        <wp:anchor distT="0" distB="0" distL="114300" distR="114300" simplePos="0" relativeHeight="251661312" behindDoc="1" locked="0" layoutInCell="0" allowOverlap="1" wp14:anchorId="35F079DE" wp14:editId="65800A7E">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73B85"/>
    <w:multiLevelType w:val="hybridMultilevel"/>
    <w:tmpl w:val="CE10F530"/>
    <w:lvl w:ilvl="0" w:tplc="D2DE16A2">
      <w:start w:val="1"/>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793547"/>
    <w:multiLevelType w:val="multilevel"/>
    <w:tmpl w:val="33023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A1F06"/>
    <w:multiLevelType w:val="multilevel"/>
    <w:tmpl w:val="CAACE13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07506F"/>
    <w:multiLevelType w:val="hybridMultilevel"/>
    <w:tmpl w:val="4612760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4B34058"/>
    <w:multiLevelType w:val="hybridMultilevel"/>
    <w:tmpl w:val="6730FA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7C97B02"/>
    <w:multiLevelType w:val="hybridMultilevel"/>
    <w:tmpl w:val="DD2EDE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FA7557F"/>
    <w:multiLevelType w:val="hybridMultilevel"/>
    <w:tmpl w:val="960A7966"/>
    <w:lvl w:ilvl="0" w:tplc="4C9A0A18">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7"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8" w15:restartNumberingAfterBreak="0">
    <w:nsid w:val="3398076E"/>
    <w:multiLevelType w:val="hybridMultilevel"/>
    <w:tmpl w:val="1674AA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4D208CF"/>
    <w:multiLevelType w:val="hybridMultilevel"/>
    <w:tmpl w:val="6466FCC6"/>
    <w:lvl w:ilvl="0" w:tplc="C8169A16">
      <w:start w:val="1"/>
      <w:numFmt w:val="bullet"/>
      <w:lvlText w:val=""/>
      <w:lvlJc w:val="left"/>
      <w:pPr>
        <w:ind w:left="720" w:hanging="360"/>
      </w:pPr>
      <w:rPr>
        <w:rFonts w:ascii="Symbol" w:hAnsi="Symbol" w:hint="default"/>
        <w:b/>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3F154260"/>
    <w:multiLevelType w:val="hybridMultilevel"/>
    <w:tmpl w:val="49A23F4A"/>
    <w:lvl w:ilvl="0" w:tplc="FFFFFFFF">
      <w:start w:val="1"/>
      <w:numFmt w:val="decimal"/>
      <w:lvlText w:val="%1."/>
      <w:lvlJc w:val="left"/>
      <w:pPr>
        <w:ind w:left="0" w:firstLine="0"/>
      </w:pPr>
      <w:rPr>
        <w:rFonts w:ascii="Palatino Linotype" w:hAnsi="Palatino Linotype" w:hint="default"/>
        <w:b/>
        <w:i w:val="0"/>
        <w:sz w:val="24"/>
      </w:rPr>
    </w:lvl>
    <w:lvl w:ilvl="1" w:tplc="70529978">
      <w:start w:val="1"/>
      <w:numFmt w:val="upperRoman"/>
      <w:lvlText w:val="%2."/>
      <w:lvlJc w:val="right"/>
      <w:pPr>
        <w:ind w:left="1440" w:hanging="360"/>
      </w:pPr>
      <w:rPr>
        <w:b/>
        <w:bCs/>
      </w:rPr>
    </w:lvl>
    <w:lvl w:ilvl="2" w:tplc="FFFFFFFF">
      <w:start w:val="1"/>
      <w:numFmt w:val="bullet"/>
      <w:lvlText w:val=""/>
      <w:lvlJc w:val="left"/>
      <w:pPr>
        <w:ind w:left="2340" w:hanging="360"/>
      </w:pPr>
      <w:rPr>
        <w:rFonts w:ascii="Wingdings" w:hAnsi="Wingdings" w:cs="Wingdings" w:hint="default"/>
        <w:strike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A82B51"/>
    <w:multiLevelType w:val="hybridMultilevel"/>
    <w:tmpl w:val="12AA75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9C25EDD"/>
    <w:multiLevelType w:val="hybridMultilevel"/>
    <w:tmpl w:val="22D8068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0">
    <w:nsid w:val="59E4576E"/>
    <w:multiLevelType w:val="hybridMultilevel"/>
    <w:tmpl w:val="2E7EDCE2"/>
    <w:lvl w:ilvl="0" w:tplc="FDBCE1BA">
      <w:start w:val="1"/>
      <w:numFmt w:val="bullet"/>
      <w:lvlText w:val="-"/>
      <w:lvlJc w:val="left"/>
      <w:pPr>
        <w:ind w:left="1080" w:hanging="360"/>
      </w:pPr>
      <w:rPr>
        <w:rFonts w:ascii="Palatino Linotype" w:eastAsia="Times New Roman" w:hAnsi="Palatino Linotype"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 w15:restartNumberingAfterBreak="0">
    <w:nsid w:val="623719EA"/>
    <w:multiLevelType w:val="hybridMultilevel"/>
    <w:tmpl w:val="BD46C3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3"/>
  </w:num>
  <w:num w:numId="4">
    <w:abstractNumId w:val="1"/>
  </w:num>
  <w:num w:numId="5">
    <w:abstractNumId w:val="10"/>
  </w:num>
  <w:num w:numId="6">
    <w:abstractNumId w:val="5"/>
  </w:num>
  <w:num w:numId="7">
    <w:abstractNumId w:val="3"/>
  </w:num>
  <w:num w:numId="8">
    <w:abstractNumId w:val="0"/>
  </w:num>
  <w:num w:numId="9">
    <w:abstractNumId w:val="6"/>
  </w:num>
  <w:num w:numId="10">
    <w:abstractNumId w:val="12"/>
  </w:num>
  <w:num w:numId="11">
    <w:abstractNumId w:val="11"/>
  </w:num>
  <w:num w:numId="12">
    <w:abstractNumId w:val="14"/>
  </w:num>
  <w:num w:numId="13">
    <w:abstractNumId w:val="2"/>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007"/>
    <w:rsid w:val="000A1881"/>
    <w:rsid w:val="000A5DF0"/>
    <w:rsid w:val="000D1025"/>
    <w:rsid w:val="000D4B95"/>
    <w:rsid w:val="000E1C0D"/>
    <w:rsid w:val="000E1F2D"/>
    <w:rsid w:val="000E3F86"/>
    <w:rsid w:val="00113C68"/>
    <w:rsid w:val="001B11C5"/>
    <w:rsid w:val="001E6007"/>
    <w:rsid w:val="002060C5"/>
    <w:rsid w:val="00225E82"/>
    <w:rsid w:val="00243DC0"/>
    <w:rsid w:val="00247DF6"/>
    <w:rsid w:val="00257A67"/>
    <w:rsid w:val="00264C5E"/>
    <w:rsid w:val="002A45A5"/>
    <w:rsid w:val="0034568D"/>
    <w:rsid w:val="00404E75"/>
    <w:rsid w:val="004459E4"/>
    <w:rsid w:val="00475B3C"/>
    <w:rsid w:val="004B56AE"/>
    <w:rsid w:val="00535EC5"/>
    <w:rsid w:val="00565452"/>
    <w:rsid w:val="00575A8F"/>
    <w:rsid w:val="00740FD1"/>
    <w:rsid w:val="00750905"/>
    <w:rsid w:val="007577D1"/>
    <w:rsid w:val="008F6B94"/>
    <w:rsid w:val="00A022F4"/>
    <w:rsid w:val="00A17EF2"/>
    <w:rsid w:val="00A24366"/>
    <w:rsid w:val="00A863BA"/>
    <w:rsid w:val="00AF2F2F"/>
    <w:rsid w:val="00AF35FD"/>
    <w:rsid w:val="00C432E9"/>
    <w:rsid w:val="00C528E2"/>
    <w:rsid w:val="00C82CF6"/>
    <w:rsid w:val="00CD7BA2"/>
    <w:rsid w:val="00CE5C9C"/>
    <w:rsid w:val="00D15053"/>
    <w:rsid w:val="00D42491"/>
    <w:rsid w:val="00E646DA"/>
    <w:rsid w:val="00F33A34"/>
    <w:rsid w:val="00F60886"/>
    <w:rsid w:val="00FE16EE"/>
    <w:rsid w:val="00FE5B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92C4E7A"/>
  <w15:chartTrackingRefBased/>
  <w15:docId w15:val="{6732B78E-E429-4DC3-AE6F-8F55839D0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600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E6007"/>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1E6007"/>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1E6007"/>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1E6007"/>
    <w:rPr>
      <w:rFonts w:ascii="Times New Roman" w:eastAsia="Times New Roman"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1E6007"/>
    <w:pPr>
      <w:spacing w:after="0" w:line="360" w:lineRule="auto"/>
      <w:ind w:left="709"/>
      <w:jc w:val="both"/>
    </w:pPr>
    <w:rPr>
      <w:rFonts w:ascii="Palatino Linotype" w:eastAsia="Times New Roman" w:hAnsi="Palatino Linotype"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1E6007"/>
    <w:rPr>
      <w:rFonts w:ascii="Palatino Linotype" w:eastAsia="Times New Roman" w:hAnsi="Palatino Linotype" w:cs="Times New Roman"/>
      <w:sz w:val="24"/>
      <w:szCs w:val="24"/>
      <w:lang w:val="es-ES"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1E6007"/>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1E6007"/>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1E6007"/>
    <w:rPr>
      <w:vertAlign w:val="superscript"/>
    </w:rPr>
  </w:style>
  <w:style w:type="character" w:styleId="Hipervnculo">
    <w:name w:val="Hyperlink"/>
    <w:basedOn w:val="Fuentedeprrafopredeter"/>
    <w:uiPriority w:val="99"/>
    <w:semiHidden/>
    <w:unhideWhenUsed/>
    <w:rsid w:val="001E6007"/>
    <w:rPr>
      <w:color w:val="0000FF"/>
      <w:u w:val="single"/>
    </w:rPr>
  </w:style>
  <w:style w:type="paragraph" w:styleId="Sinespaciado">
    <w:name w:val="No Spacing"/>
    <w:aliases w:val="Francesa,INAI"/>
    <w:link w:val="SinespaciadoCar"/>
    <w:uiPriority w:val="1"/>
    <w:qFormat/>
    <w:rsid w:val="00C528E2"/>
    <w:pPr>
      <w:spacing w:after="0" w:line="240" w:lineRule="auto"/>
    </w:pPr>
  </w:style>
  <w:style w:type="character" w:customStyle="1" w:styleId="SinespaciadoCar">
    <w:name w:val="Sin espaciado Car"/>
    <w:aliases w:val="Francesa Car,INAI Car"/>
    <w:link w:val="Sinespaciado"/>
    <w:uiPriority w:val="1"/>
    <w:locked/>
    <w:rsid w:val="00C528E2"/>
  </w:style>
  <w:style w:type="paragraph" w:customStyle="1" w:styleId="INFOEM">
    <w:name w:val="INFOEM"/>
    <w:basedOn w:val="Normal"/>
    <w:qFormat/>
    <w:rsid w:val="00264C5E"/>
    <w:pPr>
      <w:spacing w:before="240" w:line="360" w:lineRule="auto"/>
      <w:ind w:left="851" w:right="851"/>
      <w:jc w:val="both"/>
    </w:pPr>
    <w:rPr>
      <w:rFonts w:ascii="Palatino Linotype" w:hAnsi="Palatino Linotype"/>
      <w:i/>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49</Pages>
  <Words>12172</Words>
  <Characters>66952</Characters>
  <Application>Microsoft Office Word</Application>
  <DocSecurity>0</DocSecurity>
  <Lines>557</Lines>
  <Paragraphs>157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78967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6</cp:revision>
  <cp:lastPrinted>2026-05-22T16:15:00Z</cp:lastPrinted>
  <dcterms:created xsi:type="dcterms:W3CDTF">2026-05-20T23:06:00Z</dcterms:created>
  <dcterms:modified xsi:type="dcterms:W3CDTF">2026-05-27T20:34:00Z</dcterms:modified>
</cp:coreProperties>
</file>