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5B3F4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B3F4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5B3F42">
        <w:rPr>
          <w:rFonts w:ascii="Palatino Linotype" w:eastAsia="Palatino Linotype" w:hAnsi="Palatino Linotype" w:cs="Palatino Linotype"/>
          <w:sz w:val="22"/>
          <w:szCs w:val="22"/>
        </w:rPr>
        <w:t>catorce de enero de dos mil veintiséis</w:t>
      </w:r>
      <w:r w:rsidRPr="005B3F42">
        <w:rPr>
          <w:rFonts w:ascii="Palatino Linotype" w:eastAsia="Palatino Linotype" w:hAnsi="Palatino Linotype" w:cs="Palatino Linotype"/>
          <w:sz w:val="22"/>
          <w:szCs w:val="22"/>
        </w:rPr>
        <w:t xml:space="preserve">. </w:t>
      </w:r>
    </w:p>
    <w:p w14:paraId="13FC4B2B" w14:textId="77777777" w:rsidR="00532AE4" w:rsidRPr="005B3F42" w:rsidRDefault="00532AE4">
      <w:pPr>
        <w:spacing w:line="360" w:lineRule="auto"/>
        <w:jc w:val="both"/>
        <w:rPr>
          <w:rFonts w:ascii="Palatino Linotype" w:eastAsia="Palatino Linotype" w:hAnsi="Palatino Linotype" w:cs="Palatino Linotype"/>
          <w:b/>
          <w:sz w:val="22"/>
          <w:szCs w:val="22"/>
        </w:rPr>
      </w:pPr>
    </w:p>
    <w:p w14:paraId="50DC799A" w14:textId="6D754446"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 xml:space="preserve">Visto </w:t>
      </w:r>
      <w:r w:rsidRPr="005B3F42">
        <w:rPr>
          <w:rFonts w:ascii="Palatino Linotype" w:eastAsia="Palatino Linotype" w:hAnsi="Palatino Linotype" w:cs="Palatino Linotype"/>
          <w:sz w:val="22"/>
          <w:szCs w:val="22"/>
        </w:rPr>
        <w:t xml:space="preserve">el expediente relativo al recurso de revisión </w:t>
      </w:r>
      <w:r w:rsidR="00E55CFA" w:rsidRPr="005B3F42">
        <w:rPr>
          <w:rFonts w:ascii="Palatino Linotype" w:eastAsia="Palatino Linotype" w:hAnsi="Palatino Linotype" w:cs="Palatino Linotype"/>
          <w:b/>
          <w:sz w:val="22"/>
          <w:szCs w:val="22"/>
        </w:rPr>
        <w:t>1333</w:t>
      </w:r>
      <w:r w:rsidR="00BB1677" w:rsidRPr="005B3F42">
        <w:rPr>
          <w:rFonts w:ascii="Palatino Linotype" w:eastAsia="Palatino Linotype" w:hAnsi="Palatino Linotype" w:cs="Palatino Linotype"/>
          <w:b/>
          <w:sz w:val="22"/>
          <w:szCs w:val="22"/>
        </w:rPr>
        <w:t>9</w:t>
      </w:r>
      <w:r w:rsidRPr="005B3F42">
        <w:rPr>
          <w:rFonts w:ascii="Palatino Linotype" w:eastAsia="Palatino Linotype" w:hAnsi="Palatino Linotype" w:cs="Palatino Linotype"/>
          <w:b/>
          <w:sz w:val="22"/>
          <w:szCs w:val="22"/>
        </w:rPr>
        <w:t>/INFOEM/IP/RR/2025</w:t>
      </w:r>
      <w:r w:rsidRPr="005B3F42">
        <w:rPr>
          <w:rFonts w:ascii="Palatino Linotype" w:eastAsia="Palatino Linotype" w:hAnsi="Palatino Linotype" w:cs="Palatino Linotype"/>
          <w:sz w:val="22"/>
          <w:szCs w:val="22"/>
        </w:rPr>
        <w:t xml:space="preserve">, </w:t>
      </w:r>
      <w:r w:rsidRPr="005B3F42">
        <w:rPr>
          <w:rFonts w:ascii="Palatino Linotype" w:eastAsia="Palatino Linotype" w:hAnsi="Palatino Linotype" w:cs="Palatino Linotype"/>
        </w:rPr>
        <w:t xml:space="preserve">interpuesto </w:t>
      </w:r>
      <w:r w:rsidR="0061438F" w:rsidRPr="005B3F42">
        <w:rPr>
          <w:rFonts w:ascii="Palatino Linotype" w:eastAsia="Palatino Linotype" w:hAnsi="Palatino Linotype" w:cs="Palatino Linotype"/>
        </w:rPr>
        <w:t xml:space="preserve">por </w:t>
      </w:r>
      <w:r w:rsidR="00F053B3">
        <w:rPr>
          <w:rFonts w:ascii="Palatino Linotype" w:eastAsia="Palatino Linotype" w:hAnsi="Palatino Linotype" w:cs="Palatino Linotype"/>
          <w:b/>
          <w:sz w:val="21"/>
          <w:szCs w:val="21"/>
        </w:rPr>
        <w:t xml:space="preserve">XXXXXX XXXXXXX </w:t>
      </w:r>
      <w:proofErr w:type="spellStart"/>
      <w:r w:rsidR="00F053B3">
        <w:rPr>
          <w:rFonts w:ascii="Palatino Linotype" w:eastAsia="Palatino Linotype" w:hAnsi="Palatino Linotype" w:cs="Palatino Linotype"/>
          <w:b/>
          <w:sz w:val="21"/>
          <w:szCs w:val="21"/>
        </w:rPr>
        <w:t>XXXXXXX</w:t>
      </w:r>
      <w:proofErr w:type="spellEnd"/>
      <w:r w:rsidRPr="005B3F42">
        <w:rPr>
          <w:rFonts w:ascii="Palatino Linotype" w:eastAsia="Palatino Linotype" w:hAnsi="Palatino Linotype" w:cs="Palatino Linotype"/>
          <w:b/>
        </w:rPr>
        <w:t>,</w:t>
      </w:r>
      <w:r w:rsidRPr="005B3F42">
        <w:rPr>
          <w:rFonts w:ascii="Palatino Linotype" w:eastAsia="Palatino Linotype" w:hAnsi="Palatino Linotype" w:cs="Palatino Linotype"/>
        </w:rPr>
        <w:t xml:space="preserve"> en lo sucesivo la parte </w:t>
      </w:r>
      <w:r w:rsidRPr="005B3F42">
        <w:rPr>
          <w:rFonts w:ascii="Palatino Linotype" w:eastAsia="Palatino Linotype" w:hAnsi="Palatino Linotype" w:cs="Palatino Linotype"/>
          <w:b/>
        </w:rPr>
        <w:t>RECURRENTE</w:t>
      </w:r>
      <w:r w:rsidRPr="005B3F42">
        <w:rPr>
          <w:rFonts w:ascii="Palatino Linotype" w:eastAsia="Palatino Linotype" w:hAnsi="Palatino Linotype" w:cs="Palatino Linotype"/>
          <w:b/>
          <w:sz w:val="22"/>
          <w:szCs w:val="22"/>
        </w:rPr>
        <w:t xml:space="preserve">, </w:t>
      </w:r>
      <w:r w:rsidRPr="005B3F42">
        <w:rPr>
          <w:rFonts w:ascii="Palatino Linotype" w:eastAsia="Palatino Linotype" w:hAnsi="Palatino Linotype" w:cs="Palatino Linotype"/>
          <w:sz w:val="22"/>
          <w:szCs w:val="22"/>
        </w:rPr>
        <w:t>en contra de la falta de respuesta a la solicitud de acceso a la información con número de folio</w:t>
      </w:r>
      <w:r w:rsidRPr="005B3F42">
        <w:rPr>
          <w:rFonts w:ascii="Verdana" w:eastAsia="Verdana" w:hAnsi="Verdana" w:cs="Verdana"/>
          <w:b/>
          <w:sz w:val="22"/>
          <w:szCs w:val="22"/>
        </w:rPr>
        <w:t> </w:t>
      </w:r>
      <w:r w:rsidR="00BB1677" w:rsidRPr="005B3F42">
        <w:rPr>
          <w:rFonts w:ascii="Palatino Linotype" w:eastAsia="Palatino Linotype" w:hAnsi="Palatino Linotype" w:cs="Palatino Linotype"/>
          <w:b/>
        </w:rPr>
        <w:t>00694/TEPOTZOT/IP/2025</w:t>
      </w:r>
      <w:r w:rsidR="00EF743D" w:rsidRPr="005B3F42">
        <w:rPr>
          <w:rFonts w:ascii="Palatino Linotype" w:eastAsia="Palatino Linotype" w:hAnsi="Palatino Linotype" w:cs="Palatino Linotype"/>
          <w:b/>
        </w:rPr>
        <w:t xml:space="preserve">, </w:t>
      </w:r>
      <w:r w:rsidRPr="005B3F42">
        <w:rPr>
          <w:rFonts w:ascii="Palatino Linotype" w:eastAsia="Palatino Linotype" w:hAnsi="Palatino Linotype" w:cs="Palatino Linotype"/>
          <w:sz w:val="22"/>
          <w:szCs w:val="22"/>
        </w:rPr>
        <w:t xml:space="preserve">por parte del </w:t>
      </w:r>
      <w:r w:rsidR="00024779" w:rsidRPr="005B3F42">
        <w:rPr>
          <w:rFonts w:ascii="Palatino Linotype" w:eastAsia="Palatino Linotype" w:hAnsi="Palatino Linotype" w:cs="Palatino Linotype"/>
          <w:b/>
          <w:sz w:val="22"/>
          <w:szCs w:val="22"/>
        </w:rPr>
        <w:t>Ayuntamiento de T</w:t>
      </w:r>
      <w:r w:rsidR="00E55CFA" w:rsidRPr="005B3F42">
        <w:rPr>
          <w:rFonts w:ascii="Palatino Linotype" w:eastAsia="Palatino Linotype" w:hAnsi="Palatino Linotype" w:cs="Palatino Linotype"/>
          <w:b/>
          <w:sz w:val="22"/>
          <w:szCs w:val="22"/>
        </w:rPr>
        <w:t>epotzotlán</w:t>
      </w:r>
      <w:r w:rsidR="00390FDA" w:rsidRPr="005B3F42">
        <w:rPr>
          <w:rFonts w:ascii="Palatino Linotype" w:eastAsia="Palatino Linotype" w:hAnsi="Palatino Linotype" w:cs="Palatino Linotype"/>
          <w:b/>
          <w:sz w:val="22"/>
          <w:szCs w:val="22"/>
        </w:rPr>
        <w:t>,</w:t>
      </w:r>
      <w:r w:rsidRPr="005B3F42">
        <w:rPr>
          <w:rFonts w:ascii="Palatino Linotype" w:eastAsia="Palatino Linotype" w:hAnsi="Palatino Linotype" w:cs="Palatino Linotype"/>
          <w:sz w:val="22"/>
          <w:szCs w:val="22"/>
        </w:rPr>
        <w:t xml:space="preserve"> en lo sucesivo el </w:t>
      </w:r>
      <w:r w:rsidRPr="005B3F42">
        <w:rPr>
          <w:rFonts w:ascii="Palatino Linotype" w:eastAsia="Palatino Linotype" w:hAnsi="Palatino Linotype" w:cs="Palatino Linotype"/>
          <w:b/>
          <w:sz w:val="22"/>
          <w:szCs w:val="22"/>
        </w:rPr>
        <w:t xml:space="preserve">SUJETO OBLIGADO; </w:t>
      </w:r>
      <w:r w:rsidRPr="005B3F4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B3F4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A N T E C E D E N T E S:</w:t>
      </w:r>
    </w:p>
    <w:p w14:paraId="77D7A248" w14:textId="77777777" w:rsidR="00532AE4" w:rsidRPr="005B3F4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2190F2A"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 xml:space="preserve">1. Solicitud de acceso a la información. </w:t>
      </w:r>
      <w:r w:rsidR="00EE5E30" w:rsidRPr="005B3F42">
        <w:rPr>
          <w:rFonts w:ascii="Palatino Linotype" w:eastAsia="Palatino Linotype" w:hAnsi="Palatino Linotype" w:cs="Palatino Linotype"/>
          <w:sz w:val="22"/>
          <w:szCs w:val="22"/>
        </w:rPr>
        <w:t xml:space="preserve">Con fecha </w:t>
      </w:r>
      <w:r w:rsidR="00BB1677" w:rsidRPr="005B3F42">
        <w:rPr>
          <w:rFonts w:ascii="Palatino Linotype" w:eastAsia="Palatino Linotype" w:hAnsi="Palatino Linotype" w:cs="Palatino Linotype"/>
          <w:b/>
          <w:sz w:val="22"/>
          <w:szCs w:val="22"/>
        </w:rPr>
        <w:t>seis</w:t>
      </w:r>
      <w:r w:rsidR="0012087F" w:rsidRPr="005B3F42">
        <w:rPr>
          <w:rFonts w:ascii="Palatino Linotype" w:eastAsia="Palatino Linotype" w:hAnsi="Palatino Linotype" w:cs="Palatino Linotype"/>
          <w:b/>
          <w:sz w:val="22"/>
          <w:szCs w:val="22"/>
        </w:rPr>
        <w:t xml:space="preserve"> de noviembre</w:t>
      </w:r>
      <w:r w:rsidR="00111565" w:rsidRPr="005B3F42">
        <w:rPr>
          <w:rFonts w:ascii="Palatino Linotype" w:eastAsia="Palatino Linotype" w:hAnsi="Palatino Linotype" w:cs="Palatino Linotype"/>
          <w:b/>
          <w:sz w:val="22"/>
          <w:szCs w:val="22"/>
        </w:rPr>
        <w:t xml:space="preserve"> </w:t>
      </w:r>
      <w:r w:rsidRPr="005B3F42">
        <w:rPr>
          <w:rFonts w:ascii="Palatino Linotype" w:eastAsia="Palatino Linotype" w:hAnsi="Palatino Linotype" w:cs="Palatino Linotype"/>
          <w:b/>
          <w:sz w:val="22"/>
          <w:szCs w:val="22"/>
        </w:rPr>
        <w:t>de dos mil veinticinco</w:t>
      </w:r>
      <w:r w:rsidRPr="005B3F42">
        <w:rPr>
          <w:rFonts w:ascii="Palatino Linotype" w:eastAsia="Palatino Linotype" w:hAnsi="Palatino Linotype" w:cs="Palatino Linotype"/>
          <w:sz w:val="22"/>
          <w:szCs w:val="22"/>
        </w:rPr>
        <w:t xml:space="preserve">, la parte </w:t>
      </w:r>
      <w:r w:rsidRPr="005B3F42">
        <w:rPr>
          <w:rFonts w:ascii="Palatino Linotype" w:eastAsia="Palatino Linotype" w:hAnsi="Palatino Linotype" w:cs="Palatino Linotype"/>
          <w:b/>
          <w:sz w:val="22"/>
          <w:szCs w:val="22"/>
        </w:rPr>
        <w:t xml:space="preserve">RECURRENTE </w:t>
      </w:r>
      <w:r w:rsidRPr="005B3F42">
        <w:rPr>
          <w:rFonts w:ascii="Palatino Linotype" w:eastAsia="Palatino Linotype" w:hAnsi="Palatino Linotype" w:cs="Palatino Linotype"/>
          <w:sz w:val="22"/>
          <w:szCs w:val="22"/>
        </w:rPr>
        <w:t xml:space="preserve">formuló a través del Sistema de Acceso a la Información Mexiquense, en adelante </w:t>
      </w:r>
      <w:r w:rsidRPr="005B3F42">
        <w:rPr>
          <w:rFonts w:ascii="Palatino Linotype" w:eastAsia="Palatino Linotype" w:hAnsi="Palatino Linotype" w:cs="Palatino Linotype"/>
          <w:b/>
          <w:sz w:val="22"/>
          <w:szCs w:val="22"/>
        </w:rPr>
        <w:t>SAIMEX,</w:t>
      </w:r>
      <w:r w:rsidRPr="005B3F42">
        <w:rPr>
          <w:rFonts w:ascii="Palatino Linotype" w:eastAsia="Palatino Linotype" w:hAnsi="Palatino Linotype" w:cs="Palatino Linotype"/>
          <w:sz w:val="22"/>
          <w:szCs w:val="22"/>
        </w:rPr>
        <w:t xml:space="preserve"> solicitud de información al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requiriéndole lo siguiente:</w:t>
      </w:r>
    </w:p>
    <w:p w14:paraId="1F89FE73"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0BF34AC3" w14:textId="0D08062C" w:rsidR="00532AE4" w:rsidRPr="005B3F42" w:rsidRDefault="00A76F12">
      <w:pPr>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w:t>
      </w:r>
      <w:r w:rsidR="00BB1677" w:rsidRPr="005B3F42">
        <w:rPr>
          <w:rFonts w:ascii="Palatino Linotype" w:eastAsia="Palatino Linotype" w:hAnsi="Palatino Linotype" w:cs="Palatino Linotype"/>
          <w:i/>
          <w:sz w:val="22"/>
          <w:szCs w:val="22"/>
        </w:rPr>
        <w:t>Solicito el documento que compruebe y acredite los estudios en topografía del C. ISRAEL JIMENEZ VAZQUEZ adscrito al área de Desarrollo Urbano dichos estudios deben estar basados en carrera universitaria o técnica en topografía, geomática o ingeniería topográfica ya que dicho ciudadano ocupa ese cargo en dicha área.</w:t>
      </w:r>
      <w:r w:rsidRPr="005B3F42">
        <w:rPr>
          <w:rFonts w:ascii="Palatino Linotype" w:eastAsia="Palatino Linotype" w:hAnsi="Palatino Linotype" w:cs="Palatino Linotype"/>
          <w:i/>
          <w:sz w:val="22"/>
          <w:szCs w:val="22"/>
        </w:rPr>
        <w:t>” (Sic)</w:t>
      </w:r>
    </w:p>
    <w:p w14:paraId="0F87CB2C" w14:textId="77777777" w:rsidR="00532AE4" w:rsidRPr="005B3F4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 xml:space="preserve">Modalidad elegida para la entrega de la información: </w:t>
      </w:r>
      <w:r w:rsidRPr="005B3F42">
        <w:rPr>
          <w:rFonts w:ascii="Palatino Linotype" w:eastAsia="Palatino Linotype" w:hAnsi="Palatino Linotype" w:cs="Palatino Linotype"/>
          <w:sz w:val="22"/>
          <w:szCs w:val="22"/>
        </w:rPr>
        <w:t>a través del SAIMEX.</w:t>
      </w:r>
    </w:p>
    <w:p w14:paraId="36A8F811"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B3F42" w:rsidRDefault="00D763D8">
      <w:pPr>
        <w:spacing w:line="360" w:lineRule="auto"/>
        <w:jc w:val="both"/>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 xml:space="preserve">2. </w:t>
      </w:r>
      <w:r w:rsidR="00A76F12" w:rsidRPr="005B3F42">
        <w:rPr>
          <w:rFonts w:ascii="Palatino Linotype" w:eastAsia="Palatino Linotype" w:hAnsi="Palatino Linotype" w:cs="Palatino Linotype"/>
          <w:b/>
          <w:sz w:val="22"/>
          <w:szCs w:val="22"/>
        </w:rPr>
        <w:t xml:space="preserve">Respuesta. </w:t>
      </w:r>
      <w:r w:rsidR="00A76F12" w:rsidRPr="005B3F42">
        <w:rPr>
          <w:rFonts w:ascii="Palatino Linotype" w:eastAsia="Palatino Linotype" w:hAnsi="Palatino Linotype" w:cs="Palatino Linotype"/>
          <w:sz w:val="22"/>
          <w:szCs w:val="22"/>
        </w:rPr>
        <w:t xml:space="preserve">El </w:t>
      </w:r>
      <w:r w:rsidR="00A76F12" w:rsidRPr="005B3F42">
        <w:rPr>
          <w:rFonts w:ascii="Palatino Linotype" w:eastAsia="Palatino Linotype" w:hAnsi="Palatino Linotype" w:cs="Palatino Linotype"/>
          <w:b/>
          <w:sz w:val="22"/>
          <w:szCs w:val="22"/>
        </w:rPr>
        <w:t xml:space="preserve">SUJETO OBLIGADO </w:t>
      </w:r>
      <w:r w:rsidR="00A76F12" w:rsidRPr="005B3F42">
        <w:rPr>
          <w:rFonts w:ascii="Palatino Linotype" w:eastAsia="Palatino Linotype" w:hAnsi="Palatino Linotype" w:cs="Palatino Linotype"/>
          <w:sz w:val="22"/>
          <w:szCs w:val="22"/>
        </w:rPr>
        <w:t xml:space="preserve">fue omiso en proporcionar respuesta. </w:t>
      </w:r>
    </w:p>
    <w:p w14:paraId="66730054"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64E077EC" w14:textId="37991C69" w:rsidR="00532AE4" w:rsidRPr="005B3F42" w:rsidRDefault="008869C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lastRenderedPageBreak/>
        <w:t>3</w:t>
      </w:r>
      <w:r w:rsidR="00A76F12" w:rsidRPr="005B3F42">
        <w:rPr>
          <w:rFonts w:ascii="Palatino Linotype" w:eastAsia="Palatino Linotype" w:hAnsi="Palatino Linotype" w:cs="Palatino Linotype"/>
          <w:b/>
          <w:sz w:val="22"/>
          <w:szCs w:val="22"/>
        </w:rPr>
        <w:t xml:space="preserve">. Interposición del recurso de revisión. </w:t>
      </w:r>
      <w:r w:rsidR="00A76F12" w:rsidRPr="005B3F42">
        <w:rPr>
          <w:rFonts w:ascii="Palatino Linotype" w:eastAsia="Palatino Linotype" w:hAnsi="Palatino Linotype" w:cs="Palatino Linotype"/>
          <w:sz w:val="22"/>
          <w:szCs w:val="22"/>
        </w:rPr>
        <w:t xml:space="preserve">Inconforme la parte solicitante con la falta de respuesta del </w:t>
      </w:r>
      <w:r w:rsidR="00A76F12" w:rsidRPr="005B3F42">
        <w:rPr>
          <w:rFonts w:ascii="Palatino Linotype" w:eastAsia="Palatino Linotype" w:hAnsi="Palatino Linotype" w:cs="Palatino Linotype"/>
          <w:b/>
          <w:sz w:val="22"/>
          <w:szCs w:val="22"/>
        </w:rPr>
        <w:t>SUJETO OBLIGADO</w:t>
      </w:r>
      <w:r w:rsidR="00A76F12" w:rsidRPr="005B3F42">
        <w:rPr>
          <w:rFonts w:ascii="Palatino Linotype" w:eastAsia="Palatino Linotype" w:hAnsi="Palatino Linotype" w:cs="Palatino Linotype"/>
          <w:sz w:val="22"/>
          <w:szCs w:val="22"/>
        </w:rPr>
        <w:t xml:space="preserve">, interpuso recurso de revisión a través del SAIMEX en fecha </w:t>
      </w:r>
      <w:r w:rsidR="0012087F" w:rsidRPr="005B3F42">
        <w:rPr>
          <w:rFonts w:ascii="Palatino Linotype" w:eastAsia="Palatino Linotype" w:hAnsi="Palatino Linotype" w:cs="Palatino Linotype"/>
          <w:b/>
          <w:sz w:val="22"/>
          <w:szCs w:val="22"/>
        </w:rPr>
        <w:t>uno de diciembre</w:t>
      </w:r>
      <w:r w:rsidR="00A76F12" w:rsidRPr="005B3F42">
        <w:rPr>
          <w:rFonts w:ascii="Palatino Linotype" w:eastAsia="Palatino Linotype" w:hAnsi="Palatino Linotype" w:cs="Palatino Linotype"/>
          <w:b/>
          <w:sz w:val="22"/>
          <w:szCs w:val="22"/>
        </w:rPr>
        <w:t xml:space="preserve"> de dos mil veinticinco</w:t>
      </w:r>
      <w:r w:rsidR="00A76F12" w:rsidRPr="005B3F42">
        <w:rPr>
          <w:rFonts w:ascii="Palatino Linotype" w:eastAsia="Palatino Linotype" w:hAnsi="Palatino Linotype" w:cs="Palatino Linotype"/>
          <w:sz w:val="22"/>
          <w:szCs w:val="22"/>
        </w:rPr>
        <w:t>, expresando lo siguiente:</w:t>
      </w:r>
    </w:p>
    <w:p w14:paraId="126577AC"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59ACBA47" w14:textId="7204E0F4" w:rsidR="00532AE4" w:rsidRPr="005B3F42" w:rsidRDefault="00A76F12">
      <w:pPr>
        <w:spacing w:line="360" w:lineRule="auto"/>
        <w:ind w:left="567" w:right="616"/>
        <w:jc w:val="both"/>
        <w:rPr>
          <w:rFonts w:ascii="Palatino Linotype" w:eastAsia="Palatino Linotype" w:hAnsi="Palatino Linotype" w:cs="Palatino Linotype"/>
          <w:b/>
          <w:i/>
          <w:sz w:val="22"/>
          <w:szCs w:val="22"/>
        </w:rPr>
      </w:pPr>
      <w:r w:rsidRPr="005B3F42">
        <w:rPr>
          <w:rFonts w:ascii="Palatino Linotype" w:eastAsia="Palatino Linotype" w:hAnsi="Palatino Linotype" w:cs="Palatino Linotype"/>
          <w:b/>
          <w:sz w:val="22"/>
          <w:szCs w:val="22"/>
        </w:rPr>
        <w:t xml:space="preserve">a) Acto impugnado. </w:t>
      </w:r>
      <w:r w:rsidRPr="005B3F42">
        <w:rPr>
          <w:rFonts w:ascii="Palatino Linotype" w:eastAsia="Palatino Linotype" w:hAnsi="Palatino Linotype" w:cs="Palatino Linotype"/>
          <w:i/>
          <w:sz w:val="22"/>
          <w:szCs w:val="22"/>
        </w:rPr>
        <w:t>“</w:t>
      </w:r>
      <w:r w:rsidR="00BB1677" w:rsidRPr="005B3F42">
        <w:rPr>
          <w:rFonts w:ascii="Palatino Linotype" w:eastAsia="Palatino Linotype" w:hAnsi="Palatino Linotype" w:cs="Palatino Linotype"/>
          <w:i/>
          <w:sz w:val="22"/>
          <w:szCs w:val="22"/>
        </w:rPr>
        <w:t xml:space="preserve">Solicito el documento que compruebe y acredite los estudios en topografía del C. ISRAEL JIMENEZ VAZQUEZ adscrito al área de Desarrollo Urbano dichos estudios deben estar basados en carrera universitaria o técnica en topografía, geomática o ingeniería topográfica ya que dicho ciudadano ocupa ese cargo en dicha área. El Ayuntamiento de Tepotzotlán no entregó la información, no previno, no emitió prórroga, no clasificó ni respondió dentro del plazo legal de 15 días hábiles previsto en el artículo 148 de la </w:t>
      </w:r>
      <w:proofErr w:type="spellStart"/>
      <w:r w:rsidR="00BB1677" w:rsidRPr="005B3F42">
        <w:rPr>
          <w:rFonts w:ascii="Palatino Linotype" w:eastAsia="Palatino Linotype" w:hAnsi="Palatino Linotype" w:cs="Palatino Linotype"/>
          <w:i/>
          <w:sz w:val="22"/>
          <w:szCs w:val="22"/>
        </w:rPr>
        <w:t>LTAIPEMyM</w:t>
      </w:r>
      <w:proofErr w:type="spellEnd"/>
      <w:r w:rsidR="00BB1677" w:rsidRPr="005B3F42">
        <w:rPr>
          <w:rFonts w:ascii="Palatino Linotype" w:eastAsia="Palatino Linotype" w:hAnsi="Palatino Linotype" w:cs="Palatino Linotype"/>
          <w:i/>
          <w:sz w:val="22"/>
          <w:szCs w:val="22"/>
        </w:rPr>
        <w:t xml:space="preserve">. Ante esta falta de respuesta, se actualiza la causal prevista en el artículo 151, fracción II de la </w:t>
      </w:r>
      <w:proofErr w:type="spellStart"/>
      <w:r w:rsidR="00BB1677" w:rsidRPr="005B3F42">
        <w:rPr>
          <w:rFonts w:ascii="Palatino Linotype" w:eastAsia="Palatino Linotype" w:hAnsi="Palatino Linotype" w:cs="Palatino Linotype"/>
          <w:i/>
          <w:sz w:val="22"/>
          <w:szCs w:val="22"/>
        </w:rPr>
        <w:t>LTAIPEMyM</w:t>
      </w:r>
      <w:proofErr w:type="spellEnd"/>
      <w:r w:rsidR="00BB1677" w:rsidRPr="005B3F42">
        <w:rPr>
          <w:rFonts w:ascii="Palatino Linotype" w:eastAsia="Palatino Linotype" w:hAnsi="Palatino Linotype" w:cs="Palatino Linotype"/>
          <w:i/>
          <w:sz w:val="22"/>
          <w:szCs w:val="22"/>
        </w:rPr>
        <w:t>: negativa de acceso por silencio del sujeto obligado.</w:t>
      </w:r>
      <w:r w:rsidRPr="005B3F42">
        <w:rPr>
          <w:rFonts w:ascii="Palatino Linotype" w:eastAsia="Palatino Linotype" w:hAnsi="Palatino Linotype" w:cs="Palatino Linotype"/>
          <w:i/>
          <w:sz w:val="22"/>
          <w:szCs w:val="22"/>
        </w:rPr>
        <w:t>” (Sic)</w:t>
      </w:r>
    </w:p>
    <w:p w14:paraId="527329DB" w14:textId="77777777" w:rsidR="00532AE4" w:rsidRPr="005B3F42" w:rsidRDefault="00532AE4">
      <w:pPr>
        <w:spacing w:line="360" w:lineRule="auto"/>
        <w:ind w:left="567" w:right="616"/>
        <w:rPr>
          <w:rFonts w:ascii="Palatino Linotype" w:eastAsia="Palatino Linotype" w:hAnsi="Palatino Linotype" w:cs="Palatino Linotype"/>
          <w:b/>
          <w:sz w:val="22"/>
          <w:szCs w:val="22"/>
        </w:rPr>
      </w:pPr>
    </w:p>
    <w:p w14:paraId="27199E43" w14:textId="3125585E" w:rsidR="00532AE4" w:rsidRPr="005B3F42" w:rsidRDefault="00A76F12">
      <w:pPr>
        <w:spacing w:line="360"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sz w:val="22"/>
          <w:szCs w:val="22"/>
        </w:rPr>
        <w:t xml:space="preserve">b) Motivos de inconformidad. </w:t>
      </w:r>
      <w:r w:rsidRPr="005B3F42">
        <w:rPr>
          <w:rFonts w:ascii="Palatino Linotype" w:eastAsia="Palatino Linotype" w:hAnsi="Palatino Linotype" w:cs="Palatino Linotype"/>
          <w:i/>
          <w:sz w:val="22"/>
          <w:szCs w:val="22"/>
        </w:rPr>
        <w:t>“</w:t>
      </w:r>
      <w:r w:rsidR="00BB1677" w:rsidRPr="005B3F42">
        <w:rPr>
          <w:rFonts w:ascii="Palatino Linotype" w:eastAsia="Palatino Linotype" w:hAnsi="Palatino Linotype" w:cs="Palatino Linotype"/>
          <w:i/>
          <w:sz w:val="22"/>
          <w:szCs w:val="22"/>
        </w:rPr>
        <w:t xml:space="preserve">La omisión del Ayuntamiento de Tepotzotlán vulnera mi derecho de acceso a la información consagrado en: Artículo 6º Constitucional, Artículos 4 y 11 de la </w:t>
      </w:r>
      <w:proofErr w:type="spellStart"/>
      <w:r w:rsidR="00BB1677" w:rsidRPr="005B3F42">
        <w:rPr>
          <w:rFonts w:ascii="Palatino Linotype" w:eastAsia="Palatino Linotype" w:hAnsi="Palatino Linotype" w:cs="Palatino Linotype"/>
          <w:i/>
          <w:sz w:val="22"/>
          <w:szCs w:val="22"/>
        </w:rPr>
        <w:t>LTAIPEMyM</w:t>
      </w:r>
      <w:proofErr w:type="spellEnd"/>
      <w:r w:rsidR="00BB1677" w:rsidRPr="005B3F42">
        <w:rPr>
          <w:rFonts w:ascii="Palatino Linotype" w:eastAsia="Palatino Linotype" w:hAnsi="Palatino Linotype" w:cs="Palatino Linotype"/>
          <w:i/>
          <w:sz w:val="22"/>
          <w:szCs w:val="22"/>
        </w:rPr>
        <w:t xml:space="preserve"> (máxima publicidad y carácter público de la información en posesión de sujetos obligados), Artículo 127 (obligación de responder), Artículo 148 (plazo máximo para responder), Artículo 151, fracción II (silencio = negativa), Artículos 30, fracción I, II y III (obligación de publicar: estructura orgánica, perfiles de puestos, </w:t>
      </w:r>
      <w:proofErr w:type="spellStart"/>
      <w:r w:rsidR="00BB1677" w:rsidRPr="005B3F42">
        <w:rPr>
          <w:rFonts w:ascii="Palatino Linotype" w:eastAsia="Palatino Linotype" w:hAnsi="Palatino Linotype" w:cs="Palatino Linotype"/>
          <w:i/>
          <w:sz w:val="22"/>
          <w:szCs w:val="22"/>
        </w:rPr>
        <w:t>currícula</w:t>
      </w:r>
      <w:proofErr w:type="spellEnd"/>
      <w:r w:rsidR="00BB1677" w:rsidRPr="005B3F42">
        <w:rPr>
          <w:rFonts w:ascii="Palatino Linotype" w:eastAsia="Palatino Linotype" w:hAnsi="Palatino Linotype" w:cs="Palatino Linotype"/>
          <w:i/>
          <w:sz w:val="22"/>
          <w:szCs w:val="22"/>
        </w:rPr>
        <w:t xml:space="preserve">, experiencia y formación de los servidores públicos). La información solicitada es pública por naturaleza, porque se refiere a: Documentos que acreditan la formación profesional de un servidor público en un cargo técnico, Requisitos y perfil del puesto, Documentos relacionados con las competencias profesionales para ejercer funciones en desarrollo urbano. Dicha información no encuadra en ninguna causal de reserva del artículo 155 de la </w:t>
      </w:r>
      <w:proofErr w:type="spellStart"/>
      <w:r w:rsidR="00BB1677" w:rsidRPr="005B3F42">
        <w:rPr>
          <w:rFonts w:ascii="Palatino Linotype" w:eastAsia="Palatino Linotype" w:hAnsi="Palatino Linotype" w:cs="Palatino Linotype"/>
          <w:i/>
          <w:sz w:val="22"/>
          <w:szCs w:val="22"/>
        </w:rPr>
        <w:t>LTAIPEMyM</w:t>
      </w:r>
      <w:proofErr w:type="spellEnd"/>
      <w:r w:rsidR="00BB1677" w:rsidRPr="005B3F42">
        <w:rPr>
          <w:rFonts w:ascii="Palatino Linotype" w:eastAsia="Palatino Linotype" w:hAnsi="Palatino Linotype" w:cs="Palatino Linotype"/>
          <w:i/>
          <w:sz w:val="22"/>
          <w:szCs w:val="22"/>
        </w:rPr>
        <w:t xml:space="preserve">. La falta de </w:t>
      </w:r>
      <w:r w:rsidR="00BB1677" w:rsidRPr="005B3F42">
        <w:rPr>
          <w:rFonts w:ascii="Palatino Linotype" w:eastAsia="Palatino Linotype" w:hAnsi="Palatino Linotype" w:cs="Palatino Linotype"/>
          <w:i/>
          <w:sz w:val="22"/>
          <w:szCs w:val="22"/>
        </w:rPr>
        <w:lastRenderedPageBreak/>
        <w:t xml:space="preserve">respuesta afecta directamente mi derecho a conocer si el servidor público acredita los estudios necesarios para el cargo que ocupa, lo cual forma parte del control ciudadano, combate a la corrupción y verificación del mérito y profesionalización del servicio público Con fundamento en los artículos 152 a 158 de la </w:t>
      </w:r>
      <w:proofErr w:type="spellStart"/>
      <w:r w:rsidR="00BB1677" w:rsidRPr="005B3F42">
        <w:rPr>
          <w:rFonts w:ascii="Palatino Linotype" w:eastAsia="Palatino Linotype" w:hAnsi="Palatino Linotype" w:cs="Palatino Linotype"/>
          <w:i/>
          <w:sz w:val="22"/>
          <w:szCs w:val="22"/>
        </w:rPr>
        <w:t>LTAIPEMyM</w:t>
      </w:r>
      <w:proofErr w:type="spellEnd"/>
      <w:r w:rsidR="00BB1677" w:rsidRPr="005B3F42">
        <w:rPr>
          <w:rFonts w:ascii="Palatino Linotype" w:eastAsia="Palatino Linotype" w:hAnsi="Palatino Linotype" w:cs="Palatino Linotype"/>
          <w:i/>
          <w:sz w:val="22"/>
          <w:szCs w:val="22"/>
        </w:rPr>
        <w:t xml:space="preserve">, respetuosamente solicito al INFOEM: 1. Admitir el presente recurso contra la omisión del Ayuntamiento de Tepotzotlán. 2. Requerir al sujeto obligado a emitir respuesta fundada, motivada, completa y congruente, entregando: Constancia, título, diploma, certificado, cédula profesional o documento oficial que acredite estudios en topografía, geomática o ingeniería topográfica del C. Israel Jiménez Vázquez, adscrito a Desarrollo Urbano. En caso de que el servidor no cuente con dichos documentos, el Ayuntamiento deberá manifestarlo expresamente como lo exige el principio de veracidad. 3. Ordenar que la respuesta se otorgue cumpliendo los principios de máxima publicidad, exhaustividad, legalidad y certeza. 4. Se imponga, en su caso, la medida de apremio o inicio de procedimiento de responsabilidad administrativa previsto en el artículo 169 de la </w:t>
      </w:r>
      <w:proofErr w:type="spellStart"/>
      <w:r w:rsidR="00BB1677" w:rsidRPr="005B3F42">
        <w:rPr>
          <w:rFonts w:ascii="Palatino Linotype" w:eastAsia="Palatino Linotype" w:hAnsi="Palatino Linotype" w:cs="Palatino Linotype"/>
          <w:i/>
          <w:sz w:val="22"/>
          <w:szCs w:val="22"/>
        </w:rPr>
        <w:t>LTAIPEMyM</w:t>
      </w:r>
      <w:proofErr w:type="spellEnd"/>
      <w:r w:rsidR="00BB1677" w:rsidRPr="005B3F42">
        <w:rPr>
          <w:rFonts w:ascii="Palatino Linotype" w:eastAsia="Palatino Linotype" w:hAnsi="Palatino Linotype" w:cs="Palatino Linotype"/>
          <w:i/>
          <w:sz w:val="22"/>
          <w:szCs w:val="22"/>
        </w:rPr>
        <w:t>, por incumplimiento reiterado de obligaciones de transparencia.</w:t>
      </w:r>
      <w:r w:rsidRPr="005B3F42">
        <w:rPr>
          <w:rFonts w:ascii="Palatino Linotype" w:eastAsia="Palatino Linotype" w:hAnsi="Palatino Linotype" w:cs="Palatino Linotype"/>
          <w:i/>
          <w:sz w:val="22"/>
          <w:szCs w:val="22"/>
        </w:rPr>
        <w:t>” (Sic)</w:t>
      </w:r>
    </w:p>
    <w:p w14:paraId="1CD932CE" w14:textId="77777777" w:rsidR="00532AE4" w:rsidRPr="005B3F4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B3F42" w:rsidRDefault="008869C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4</w:t>
      </w:r>
      <w:r w:rsidR="00A76F12" w:rsidRPr="005B3F42">
        <w:rPr>
          <w:rFonts w:ascii="Palatino Linotype" w:eastAsia="Palatino Linotype" w:hAnsi="Palatino Linotype" w:cs="Palatino Linotype"/>
          <w:b/>
          <w:sz w:val="22"/>
          <w:szCs w:val="22"/>
        </w:rPr>
        <w:t xml:space="preserve">. Turno. </w:t>
      </w:r>
      <w:r w:rsidR="00A76F12" w:rsidRPr="005B3F4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B3F42">
        <w:rPr>
          <w:rFonts w:ascii="Palatino Linotype" w:eastAsia="Palatino Linotype" w:hAnsi="Palatino Linotype" w:cs="Palatino Linotype"/>
          <w:b/>
          <w:sz w:val="22"/>
          <w:szCs w:val="22"/>
        </w:rPr>
        <w:t>Guadalupe Ramírez Peña</w:t>
      </w:r>
      <w:r w:rsidR="00A76F12" w:rsidRPr="005B3F4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6F47DF3C" w14:textId="288FB665" w:rsidR="00532AE4" w:rsidRPr="005B3F42" w:rsidRDefault="008869C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5</w:t>
      </w:r>
      <w:r w:rsidR="00A76F12" w:rsidRPr="005B3F42">
        <w:rPr>
          <w:rFonts w:ascii="Palatino Linotype" w:eastAsia="Palatino Linotype" w:hAnsi="Palatino Linotype" w:cs="Palatino Linotype"/>
          <w:b/>
          <w:sz w:val="22"/>
          <w:szCs w:val="22"/>
        </w:rPr>
        <w:t xml:space="preserve">. Admisión. </w:t>
      </w:r>
      <w:r w:rsidR="000672C5" w:rsidRPr="005B3F42">
        <w:rPr>
          <w:rFonts w:ascii="Palatino Linotype" w:eastAsia="Palatino Linotype" w:hAnsi="Palatino Linotype" w:cs="Palatino Linotype"/>
          <w:sz w:val="22"/>
          <w:szCs w:val="22"/>
        </w:rPr>
        <w:t xml:space="preserve">En </w:t>
      </w:r>
      <w:r w:rsidR="00A8506B" w:rsidRPr="005B3F42">
        <w:rPr>
          <w:rFonts w:ascii="Palatino Linotype" w:eastAsia="Palatino Linotype" w:hAnsi="Palatino Linotype" w:cs="Palatino Linotype"/>
          <w:sz w:val="22"/>
          <w:szCs w:val="22"/>
        </w:rPr>
        <w:t xml:space="preserve">fecha </w:t>
      </w:r>
      <w:r w:rsidR="00914E95" w:rsidRPr="005B3F42">
        <w:rPr>
          <w:rFonts w:ascii="Palatino Linotype" w:eastAsia="Palatino Linotype" w:hAnsi="Palatino Linotype" w:cs="Palatino Linotype"/>
          <w:b/>
          <w:sz w:val="22"/>
          <w:szCs w:val="22"/>
        </w:rPr>
        <w:t>dos</w:t>
      </w:r>
      <w:r w:rsidR="000672C5" w:rsidRPr="005B3F42">
        <w:rPr>
          <w:rFonts w:ascii="Palatino Linotype" w:eastAsia="Palatino Linotype" w:hAnsi="Palatino Linotype" w:cs="Palatino Linotype"/>
          <w:b/>
          <w:sz w:val="22"/>
          <w:szCs w:val="22"/>
        </w:rPr>
        <w:t xml:space="preserve"> de diciembre</w:t>
      </w:r>
      <w:r w:rsidR="00A8506B" w:rsidRPr="005B3F42">
        <w:rPr>
          <w:rFonts w:ascii="Palatino Linotype" w:eastAsia="Palatino Linotype" w:hAnsi="Palatino Linotype" w:cs="Palatino Linotype"/>
          <w:b/>
          <w:sz w:val="22"/>
          <w:szCs w:val="22"/>
        </w:rPr>
        <w:t xml:space="preserve"> de dos mil veinticinco</w:t>
      </w:r>
      <w:r w:rsidR="00A8506B" w:rsidRPr="005B3F42">
        <w:rPr>
          <w:rFonts w:ascii="Palatino Linotype" w:eastAsia="Palatino Linotype" w:hAnsi="Palatino Linotype" w:cs="Palatino Linotype"/>
          <w:sz w:val="22"/>
          <w:szCs w:val="22"/>
        </w:rPr>
        <w:t>,</w:t>
      </w:r>
      <w:r w:rsidR="000E7889" w:rsidRPr="005B3F42">
        <w:rPr>
          <w:rFonts w:ascii="Palatino Linotype" w:eastAsia="Palatino Linotype" w:hAnsi="Palatino Linotype" w:cs="Palatino Linotype"/>
          <w:sz w:val="22"/>
          <w:szCs w:val="22"/>
        </w:rPr>
        <w:t xml:space="preserve"> </w:t>
      </w:r>
      <w:r w:rsidR="00A76F12" w:rsidRPr="005B3F4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5B3F42" w:rsidRDefault="008869C2">
      <w:pPr>
        <w:widowControl w:val="0"/>
        <w:spacing w:line="360" w:lineRule="auto"/>
        <w:ind w:right="49"/>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lastRenderedPageBreak/>
        <w:t>6</w:t>
      </w:r>
      <w:r w:rsidR="00A76F12" w:rsidRPr="005B3F42">
        <w:rPr>
          <w:rFonts w:ascii="Palatino Linotype" w:eastAsia="Palatino Linotype" w:hAnsi="Palatino Linotype" w:cs="Palatino Linotype"/>
          <w:b/>
          <w:sz w:val="22"/>
          <w:szCs w:val="22"/>
        </w:rPr>
        <w:t>. Manifestaciones</w:t>
      </w:r>
      <w:r w:rsidR="00A76F12" w:rsidRPr="005B3F4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07DC21F" w:rsidR="00532AE4" w:rsidRPr="005B3F42" w:rsidRDefault="00BB1677">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noProof/>
          <w:sz w:val="22"/>
          <w:szCs w:val="22"/>
          <w:lang w:val="es-MX"/>
        </w:rPr>
        <w:drawing>
          <wp:inline distT="0" distB="0" distL="0" distR="0" wp14:anchorId="638CF2BB" wp14:editId="0B7DA090">
            <wp:extent cx="5612130" cy="15843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4325"/>
                    </a:xfrm>
                    <a:prstGeom prst="rect">
                      <a:avLst/>
                    </a:prstGeom>
                  </pic:spPr>
                </pic:pic>
              </a:graphicData>
            </a:graphic>
          </wp:inline>
        </w:drawing>
      </w:r>
      <w:r w:rsidR="00A76F12" w:rsidRPr="005B3F42">
        <w:rPr>
          <w:rFonts w:ascii="Palatino Linotype" w:eastAsia="Palatino Linotype" w:hAnsi="Palatino Linotype" w:cs="Palatino Linotype"/>
          <w:sz w:val="22"/>
          <w:szCs w:val="22"/>
        </w:rPr>
        <w:t xml:space="preserve"> </w:t>
      </w:r>
    </w:p>
    <w:p w14:paraId="2DD31F10" w14:textId="6109DC33" w:rsidR="00532AE4" w:rsidRPr="005B3F42" w:rsidRDefault="008869C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7</w:t>
      </w:r>
      <w:r w:rsidR="00A76F12" w:rsidRPr="005B3F42">
        <w:rPr>
          <w:rFonts w:ascii="Palatino Linotype" w:eastAsia="Palatino Linotype" w:hAnsi="Palatino Linotype" w:cs="Palatino Linotype"/>
          <w:b/>
          <w:sz w:val="22"/>
          <w:szCs w:val="22"/>
        </w:rPr>
        <w:t xml:space="preserve">. Cierre de instrucción. </w:t>
      </w:r>
      <w:r w:rsidR="00A76F12" w:rsidRPr="005B3F4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40BD5" w:rsidRPr="005B3F42">
        <w:rPr>
          <w:rFonts w:ascii="Palatino Linotype" w:eastAsia="Palatino Linotype" w:hAnsi="Palatino Linotype" w:cs="Palatino Linotype"/>
          <w:b/>
          <w:sz w:val="22"/>
          <w:szCs w:val="22"/>
        </w:rPr>
        <w:t>quince</w:t>
      </w:r>
      <w:r w:rsidR="00A3559A" w:rsidRPr="005B3F42">
        <w:rPr>
          <w:rFonts w:ascii="Palatino Linotype" w:eastAsia="Palatino Linotype" w:hAnsi="Palatino Linotype" w:cs="Palatino Linotype"/>
          <w:b/>
          <w:sz w:val="22"/>
          <w:szCs w:val="22"/>
        </w:rPr>
        <w:t xml:space="preserve"> de diciembre</w:t>
      </w:r>
      <w:r w:rsidR="00A76F12" w:rsidRPr="005B3F42">
        <w:rPr>
          <w:rFonts w:ascii="Palatino Linotype" w:eastAsia="Palatino Linotype" w:hAnsi="Palatino Linotype" w:cs="Palatino Linotype"/>
          <w:b/>
          <w:sz w:val="22"/>
          <w:szCs w:val="22"/>
        </w:rPr>
        <w:t xml:space="preserve"> de dos mil veinticinco</w:t>
      </w:r>
      <w:r w:rsidR="00A76F12" w:rsidRPr="005B3F4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B3F42" w:rsidRDefault="00A76F12">
      <w:pPr>
        <w:widowControl w:val="0"/>
        <w:spacing w:line="360" w:lineRule="auto"/>
        <w:jc w:val="center"/>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II. C O N S I D E R A N D O S</w:t>
      </w:r>
    </w:p>
    <w:p w14:paraId="04E1DD04" w14:textId="77777777" w:rsidR="00532AE4" w:rsidRPr="005B3F4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B3F42" w:rsidRDefault="00A76F12" w:rsidP="005231DC">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Primero. Competencia.</w:t>
      </w:r>
      <w:r w:rsidRPr="005B3F4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B3F42">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5B3F42">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5B3F42">
        <w:rPr>
          <w:rFonts w:ascii="Palatino Linotype" w:eastAsia="Palatino Linotype" w:hAnsi="Palatino Linotype" w:cs="Palatino Linotype"/>
          <w:sz w:val="22"/>
          <w:szCs w:val="22"/>
        </w:rPr>
        <w:t>;</w:t>
      </w:r>
      <w:r w:rsidR="005231DC" w:rsidRPr="005B3F42">
        <w:rPr>
          <w:rFonts w:ascii="Palatino Linotype" w:eastAsia="Palatino Linotype" w:hAnsi="Palatino Linotype" w:cs="Palatino Linotype"/>
          <w:sz w:val="22"/>
          <w:szCs w:val="22"/>
        </w:rPr>
        <w:t xml:space="preserve"> </w:t>
      </w:r>
      <w:r w:rsidRPr="005B3F4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 xml:space="preserve">Segundo. Oportunidad y Procedibilidad del Recurso de Revisión. </w:t>
      </w:r>
      <w:r w:rsidRPr="005B3F42">
        <w:rPr>
          <w:rFonts w:ascii="Palatino Linotype" w:eastAsia="Palatino Linotype" w:hAnsi="Palatino Linotype" w:cs="Palatino Linotype"/>
          <w:sz w:val="22"/>
          <w:szCs w:val="22"/>
        </w:rPr>
        <w:t>Por cuanto hace a la oportunidad del recurso de revisión</w:t>
      </w:r>
      <w:r w:rsidRPr="005B3F42">
        <w:rPr>
          <w:rFonts w:ascii="Palatino Linotype" w:eastAsia="Palatino Linotype" w:hAnsi="Palatino Linotype" w:cs="Palatino Linotype"/>
          <w:b/>
          <w:sz w:val="22"/>
          <w:szCs w:val="22"/>
        </w:rPr>
        <w:t xml:space="preserve"> </w:t>
      </w:r>
      <w:r w:rsidRPr="005B3F4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Derivado de lo anterior, se constituye la figura jurídica de la </w:t>
      </w:r>
      <w:r w:rsidRPr="005B3F42">
        <w:rPr>
          <w:rFonts w:ascii="Palatino Linotype" w:eastAsia="Palatino Linotype" w:hAnsi="Palatino Linotype" w:cs="Palatino Linotype"/>
          <w:b/>
          <w:sz w:val="22"/>
          <w:szCs w:val="22"/>
        </w:rPr>
        <w:t>NEGATIVA FICTA</w:t>
      </w:r>
      <w:r w:rsidRPr="005B3F4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De tal manera, en el presente recurso de revisión se actualizó la negativa ficta por parte del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al no haber respondido a la parte </w:t>
      </w:r>
      <w:r w:rsidRPr="005B3F42">
        <w:rPr>
          <w:rFonts w:ascii="Palatino Linotype" w:eastAsia="Palatino Linotype" w:hAnsi="Palatino Linotype" w:cs="Palatino Linotype"/>
          <w:b/>
          <w:sz w:val="22"/>
          <w:szCs w:val="22"/>
        </w:rPr>
        <w:t>RECURRENTE</w:t>
      </w:r>
      <w:r w:rsidRPr="005B3F4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5B3F42">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Si a ello se le suma lo previsto en el párrafo segundo del artículo 178, párrafo segundo</w:t>
      </w:r>
      <w:r w:rsidRPr="005B3F42">
        <w:rPr>
          <w:rFonts w:ascii="Palatino Linotype" w:eastAsia="Palatino Linotype" w:hAnsi="Palatino Linotype" w:cs="Palatino Linotype"/>
          <w:sz w:val="22"/>
          <w:szCs w:val="22"/>
          <w:vertAlign w:val="superscript"/>
        </w:rPr>
        <w:footnoteReference w:id="1"/>
      </w:r>
      <w:r w:rsidRPr="005B3F4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B3F42" w:rsidRDefault="00532AE4">
      <w:pPr>
        <w:spacing w:line="360" w:lineRule="auto"/>
        <w:jc w:val="both"/>
        <w:rPr>
          <w:i/>
          <w:sz w:val="22"/>
          <w:szCs w:val="22"/>
        </w:rPr>
      </w:pPr>
    </w:p>
    <w:p w14:paraId="4BB01BE0" w14:textId="77777777" w:rsidR="00532AE4" w:rsidRPr="005B3F42" w:rsidRDefault="00A76F12">
      <w:pPr>
        <w:ind w:left="567" w:right="616"/>
        <w:jc w:val="both"/>
        <w:rPr>
          <w:rFonts w:ascii="Palatino Linotype" w:eastAsia="Palatino Linotype" w:hAnsi="Palatino Linotype" w:cs="Palatino Linotype"/>
          <w:b/>
          <w:i/>
          <w:sz w:val="22"/>
          <w:szCs w:val="22"/>
        </w:rPr>
      </w:pPr>
      <w:r w:rsidRPr="005B3F42">
        <w:rPr>
          <w:rFonts w:ascii="Palatino Linotype" w:eastAsia="Palatino Linotype" w:hAnsi="Palatino Linotype" w:cs="Palatino Linotype"/>
          <w:i/>
          <w:sz w:val="22"/>
          <w:szCs w:val="22"/>
        </w:rPr>
        <w:t>“</w:t>
      </w:r>
      <w:r w:rsidRPr="005B3F42">
        <w:rPr>
          <w:rFonts w:ascii="Palatino Linotype" w:eastAsia="Palatino Linotype" w:hAnsi="Palatino Linotype" w:cs="Palatino Linotype"/>
          <w:b/>
          <w:i/>
          <w:sz w:val="22"/>
          <w:szCs w:val="22"/>
        </w:rPr>
        <w:t>CRITERIO 0001-15 NEGATIVA FICTA. PLAZO PARA INTERPONER EL RECURSO DE REVISIÓN TRATÁNDOSE DE</w:t>
      </w:r>
      <w:r w:rsidRPr="005B3F4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B3F42" w:rsidRDefault="00532AE4">
      <w:pPr>
        <w:ind w:left="567" w:right="851"/>
        <w:jc w:val="both"/>
        <w:rPr>
          <w:rFonts w:ascii="Palatino Linotype" w:eastAsia="Palatino Linotype" w:hAnsi="Palatino Linotype" w:cs="Palatino Linotype"/>
          <w:i/>
          <w:sz w:val="22"/>
          <w:szCs w:val="22"/>
        </w:rPr>
      </w:pPr>
    </w:p>
    <w:p w14:paraId="76E26C4F" w14:textId="169CE5C8" w:rsidR="00532AE4" w:rsidRPr="005B3F4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B3F42">
        <w:rPr>
          <w:rFonts w:ascii="Palatino Linotype" w:eastAsia="Palatino Linotype" w:hAnsi="Palatino Linotype" w:cs="Palatino Linotype"/>
          <w:b/>
          <w:sz w:val="22"/>
          <w:szCs w:val="22"/>
        </w:rPr>
        <w:t>EL</w:t>
      </w:r>
      <w:r w:rsidRPr="005B3F42">
        <w:rPr>
          <w:rFonts w:ascii="Palatino Linotype" w:eastAsia="Palatino Linotype" w:hAnsi="Palatino Linotype" w:cs="Palatino Linotype"/>
          <w:sz w:val="22"/>
          <w:szCs w:val="22"/>
        </w:rPr>
        <w:t xml:space="preserve"> </w:t>
      </w:r>
      <w:r w:rsidRPr="005B3F42">
        <w:rPr>
          <w:rFonts w:ascii="Palatino Linotype" w:eastAsia="Palatino Linotype" w:hAnsi="Palatino Linotype" w:cs="Palatino Linotype"/>
          <w:b/>
          <w:sz w:val="22"/>
          <w:szCs w:val="22"/>
        </w:rPr>
        <w:t>SAIMEX</w:t>
      </w:r>
      <w:r w:rsidRPr="005B3F42">
        <w:rPr>
          <w:rFonts w:ascii="Palatino Linotype" w:eastAsia="Palatino Linotype" w:hAnsi="Palatino Linotype" w:cs="Palatino Linotype"/>
          <w:sz w:val="22"/>
          <w:szCs w:val="22"/>
        </w:rPr>
        <w:t>.</w:t>
      </w:r>
    </w:p>
    <w:p w14:paraId="1C27DB56" w14:textId="40163621" w:rsidR="00B503D1" w:rsidRPr="005B3F4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B3F42">
        <w:rPr>
          <w:rFonts w:ascii="Palatino Linotype" w:eastAsia="Palatino Linotype" w:hAnsi="Palatino Linotype" w:cs="Palatino Linotype"/>
          <w:b/>
          <w:sz w:val="22"/>
          <w:szCs w:val="22"/>
        </w:rPr>
        <w:t>RECURRENTE</w:t>
      </w:r>
      <w:r w:rsidRPr="005B3F4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B3F42" w:rsidRDefault="00A76F12">
      <w:pPr>
        <w:ind w:left="567" w:right="616"/>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i/>
          <w:sz w:val="22"/>
          <w:szCs w:val="22"/>
        </w:rPr>
        <w:t>“</w:t>
      </w:r>
      <w:r w:rsidRPr="005B3F42">
        <w:rPr>
          <w:rFonts w:ascii="Palatino Linotype" w:eastAsia="Palatino Linotype" w:hAnsi="Palatino Linotype" w:cs="Palatino Linotype"/>
          <w:b/>
          <w:sz w:val="22"/>
          <w:szCs w:val="22"/>
        </w:rPr>
        <w:t>Artículo 179.</w:t>
      </w:r>
      <w:r w:rsidRPr="005B3F4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B3F42">
        <w:rPr>
          <w:rFonts w:ascii="Palatino Linotype" w:eastAsia="Palatino Linotype" w:hAnsi="Palatino Linotype" w:cs="Palatino Linotype"/>
          <w:sz w:val="22"/>
          <w:szCs w:val="22"/>
        </w:rPr>
        <w:t> </w:t>
      </w:r>
    </w:p>
    <w:p w14:paraId="7ACAE181" w14:textId="77777777" w:rsidR="00532AE4" w:rsidRPr="005B3F42" w:rsidRDefault="00A76F12">
      <w:pPr>
        <w:ind w:left="567" w:right="616"/>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w:t>
      </w:r>
    </w:p>
    <w:p w14:paraId="543A0FF7" w14:textId="77777777" w:rsidR="00532AE4" w:rsidRPr="005B3F42" w:rsidRDefault="00A76F12">
      <w:pPr>
        <w:numPr>
          <w:ilvl w:val="0"/>
          <w:numId w:val="4"/>
        </w:numPr>
        <w:ind w:left="567" w:right="616" w:firstLine="0"/>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B3F4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B3F42" w:rsidRDefault="00A76F12">
      <w:pPr>
        <w:tabs>
          <w:tab w:val="left" w:pos="8647"/>
        </w:tabs>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 xml:space="preserve">Tercero. Materia de la revisión. </w:t>
      </w:r>
      <w:r w:rsidRPr="005B3F42">
        <w:rPr>
          <w:rFonts w:ascii="Palatino Linotype" w:eastAsia="Palatino Linotype" w:hAnsi="Palatino Linotype" w:cs="Palatino Linotype"/>
          <w:sz w:val="22"/>
          <w:szCs w:val="22"/>
        </w:rPr>
        <w:t xml:space="preserve">Este Organismo Garante procede del análisis de los agravios hechos valer por la parte </w:t>
      </w:r>
      <w:r w:rsidRPr="005B3F42">
        <w:rPr>
          <w:rFonts w:ascii="Palatino Linotype" w:eastAsia="Palatino Linotype" w:hAnsi="Palatino Linotype" w:cs="Palatino Linotype"/>
          <w:b/>
          <w:sz w:val="22"/>
          <w:szCs w:val="22"/>
        </w:rPr>
        <w:t>Recurrente</w:t>
      </w:r>
      <w:r w:rsidRPr="005B3F4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B3F4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 xml:space="preserve">Cuarto. Estudio del asunto. </w:t>
      </w:r>
      <w:r w:rsidRPr="005B3F4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B3F42">
        <w:rPr>
          <w:rFonts w:ascii="Palatino Linotype" w:eastAsia="Palatino Linotype" w:hAnsi="Palatino Linotype" w:cs="Palatino Linotype"/>
          <w:b/>
          <w:sz w:val="22"/>
          <w:szCs w:val="22"/>
        </w:rPr>
        <w:t xml:space="preserve">Sujeto Obligado </w:t>
      </w:r>
      <w:r w:rsidRPr="005B3F42">
        <w:rPr>
          <w:rFonts w:ascii="Palatino Linotype" w:eastAsia="Palatino Linotype" w:hAnsi="Palatino Linotype" w:cs="Palatino Linotype"/>
          <w:sz w:val="22"/>
          <w:szCs w:val="22"/>
        </w:rPr>
        <w:t xml:space="preserve">no dio respuesta a la solicitud de información planteada por la parte </w:t>
      </w:r>
      <w:r w:rsidRPr="005B3F42">
        <w:rPr>
          <w:rFonts w:ascii="Palatino Linotype" w:eastAsia="Palatino Linotype" w:hAnsi="Palatino Linotype" w:cs="Palatino Linotype"/>
          <w:b/>
          <w:sz w:val="22"/>
          <w:szCs w:val="22"/>
        </w:rPr>
        <w:t>Recurrente</w:t>
      </w:r>
      <w:r w:rsidRPr="005B3F42">
        <w:rPr>
          <w:rFonts w:ascii="Palatino Linotype" w:eastAsia="Palatino Linotype" w:hAnsi="Palatino Linotype" w:cs="Palatino Linotype"/>
          <w:sz w:val="22"/>
          <w:szCs w:val="22"/>
        </w:rPr>
        <w:t xml:space="preserve">, lo que se traduce como la configuración de la </w:t>
      </w:r>
      <w:r w:rsidRPr="005B3F42">
        <w:rPr>
          <w:rFonts w:ascii="Palatino Linotype" w:eastAsia="Palatino Linotype" w:hAnsi="Palatino Linotype" w:cs="Palatino Linotype"/>
          <w:b/>
          <w:sz w:val="22"/>
          <w:szCs w:val="22"/>
        </w:rPr>
        <w:t>negativa ficta</w:t>
      </w:r>
      <w:r w:rsidRPr="005B3F42">
        <w:rPr>
          <w:rFonts w:ascii="Palatino Linotype" w:eastAsia="Palatino Linotype" w:hAnsi="Palatino Linotype" w:cs="Palatino Linotype"/>
          <w:sz w:val="22"/>
          <w:szCs w:val="22"/>
        </w:rPr>
        <w:t xml:space="preserve">, situación que demuestra la existencia del acto impugnado y procedencia del motivo </w:t>
      </w:r>
      <w:r w:rsidRPr="005B3F42">
        <w:rPr>
          <w:rFonts w:ascii="Palatino Linotype" w:eastAsia="Palatino Linotype" w:hAnsi="Palatino Linotype" w:cs="Palatino Linotype"/>
          <w:sz w:val="22"/>
          <w:szCs w:val="22"/>
        </w:rPr>
        <w:lastRenderedPageBreak/>
        <w:t xml:space="preserve">de inconformidad, que en términos generales consistente en que 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B3F42">
        <w:rPr>
          <w:rFonts w:ascii="Palatino Linotype" w:eastAsia="Palatino Linotype" w:hAnsi="Palatino Linotype" w:cs="Palatino Linotype"/>
          <w:b/>
          <w:sz w:val="22"/>
          <w:szCs w:val="22"/>
        </w:rPr>
        <w:t>Recurrente</w:t>
      </w:r>
      <w:r w:rsidRPr="005B3F42">
        <w:rPr>
          <w:rFonts w:ascii="Palatino Linotype" w:eastAsia="Palatino Linotype" w:hAnsi="Palatino Linotype" w:cs="Palatino Linotype"/>
          <w:sz w:val="22"/>
          <w:szCs w:val="22"/>
        </w:rPr>
        <w:t xml:space="preserve">, se advierte que requirió al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le proporcionara, información consistente en lo siguiente:</w:t>
      </w:r>
    </w:p>
    <w:p w14:paraId="35279DFB" w14:textId="033C12F5" w:rsidR="00532AE4" w:rsidRPr="005B3F42"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w:t>
      </w:r>
      <w:r w:rsidR="00BB1677" w:rsidRPr="005B3F42">
        <w:rPr>
          <w:rFonts w:ascii="Palatino Linotype" w:eastAsia="Palatino Linotype" w:hAnsi="Palatino Linotype" w:cs="Palatino Linotype"/>
          <w:i/>
          <w:sz w:val="22"/>
          <w:szCs w:val="22"/>
        </w:rPr>
        <w:t xml:space="preserve">Solicito el documento que compruebe y acredite los estudios en topografía del C. ISRAEL JIMENEZ VAZQUEZ adscrito al área de Desarrollo Urbano dichos estudios deben estar basados en carrera universitaria o técnica en topografía, geomática o ingeniería topográfica ya que dicho ciudadano ocupa ese cargo en dicha </w:t>
      </w:r>
      <w:proofErr w:type="spellStart"/>
      <w:r w:rsidR="00BB1677" w:rsidRPr="005B3F42">
        <w:rPr>
          <w:rFonts w:ascii="Palatino Linotype" w:eastAsia="Palatino Linotype" w:hAnsi="Palatino Linotype" w:cs="Palatino Linotype"/>
          <w:i/>
          <w:sz w:val="22"/>
          <w:szCs w:val="22"/>
        </w:rPr>
        <w:t>área.</w:t>
      </w:r>
      <w:r w:rsidR="009C3B23" w:rsidRPr="005B3F42">
        <w:rPr>
          <w:rFonts w:ascii="Palatino Linotype" w:eastAsia="Palatino Linotype" w:hAnsi="Palatino Linotype" w:cs="Palatino Linotype"/>
          <w:i/>
          <w:sz w:val="22"/>
          <w:szCs w:val="22"/>
        </w:rPr>
        <w:t>”</w:t>
      </w:r>
      <w:r w:rsidRPr="005B3F42">
        <w:rPr>
          <w:rFonts w:ascii="Palatino Linotype" w:eastAsia="Palatino Linotype" w:hAnsi="Palatino Linotype" w:cs="Palatino Linotype"/>
          <w:i/>
          <w:sz w:val="22"/>
          <w:szCs w:val="22"/>
        </w:rPr>
        <w:t>Sic</w:t>
      </w:r>
      <w:proofErr w:type="spellEnd"/>
      <w:r w:rsidRPr="005B3F42">
        <w:rPr>
          <w:rFonts w:ascii="Palatino Linotype" w:eastAsia="Palatino Linotype" w:hAnsi="Palatino Linotype" w:cs="Palatino Linotype"/>
          <w:i/>
          <w:sz w:val="22"/>
          <w:szCs w:val="22"/>
        </w:rPr>
        <w:t>)</w:t>
      </w:r>
    </w:p>
    <w:p w14:paraId="4BE46D97" w14:textId="77777777" w:rsidR="00532AE4" w:rsidRPr="005B3F4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B3F42" w:rsidRDefault="00A76F12">
      <w:pPr>
        <w:tabs>
          <w:tab w:val="left" w:pos="709"/>
        </w:tabs>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B3F4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B3F4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B3F4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B3F4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B3F4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B3F4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B3F4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B3F4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w:t>
      </w:r>
    </w:p>
    <w:p w14:paraId="54E0C206" w14:textId="77777777" w:rsidR="00532AE4" w:rsidRPr="005B3F42" w:rsidRDefault="00A76F12">
      <w:pPr>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“Artículo 6o.</w:t>
      </w:r>
    </w:p>
    <w:p w14:paraId="4D803AB1" w14:textId="77777777" w:rsidR="00532AE4" w:rsidRPr="005B3F42" w:rsidRDefault="00A76F12">
      <w:pPr>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w:t>
      </w:r>
    </w:p>
    <w:p w14:paraId="4B588253" w14:textId="77777777" w:rsidR="00532AE4" w:rsidRPr="005B3F42" w:rsidRDefault="00A76F12">
      <w:pPr>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A. Para el ejercicio del derecho de acceso a la información, la Federación y </w:t>
      </w:r>
      <w:r w:rsidRPr="005B3F42">
        <w:rPr>
          <w:rFonts w:ascii="Palatino Linotype" w:eastAsia="Palatino Linotype" w:hAnsi="Palatino Linotype" w:cs="Palatino Linotype"/>
          <w:b/>
          <w:i/>
          <w:sz w:val="22"/>
          <w:szCs w:val="22"/>
          <w:u w:val="single"/>
        </w:rPr>
        <w:t>las entidades federativas</w:t>
      </w:r>
      <w:r w:rsidRPr="005B3F42">
        <w:rPr>
          <w:rFonts w:ascii="Palatino Linotype" w:eastAsia="Palatino Linotype" w:hAnsi="Palatino Linotype" w:cs="Palatino Linotype"/>
          <w:b/>
          <w:i/>
          <w:sz w:val="22"/>
          <w:szCs w:val="22"/>
        </w:rPr>
        <w:t>,</w:t>
      </w:r>
      <w:r w:rsidRPr="005B3F4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B3F42" w:rsidRDefault="00A76F12">
      <w:pPr>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 </w:t>
      </w:r>
      <w:r w:rsidRPr="005B3F4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B3F42">
        <w:rPr>
          <w:rFonts w:ascii="Palatino Linotype" w:eastAsia="Palatino Linotype" w:hAnsi="Palatino Linotype" w:cs="Palatino Linotype"/>
          <w:i/>
          <w:sz w:val="22"/>
          <w:szCs w:val="22"/>
        </w:rPr>
        <w:t xml:space="preserve"> Ejecutivo, Legislativo </w:t>
      </w:r>
      <w:r w:rsidRPr="005B3F42">
        <w:rPr>
          <w:rFonts w:ascii="Palatino Linotype" w:eastAsia="Palatino Linotype" w:hAnsi="Palatino Linotype" w:cs="Palatino Linotype"/>
          <w:b/>
          <w:i/>
          <w:sz w:val="22"/>
          <w:szCs w:val="22"/>
          <w:u w:val="single"/>
        </w:rPr>
        <w:t>y Judicial</w:t>
      </w:r>
      <w:r w:rsidRPr="005B3F4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B3F42">
        <w:rPr>
          <w:rFonts w:ascii="Palatino Linotype" w:eastAsia="Palatino Linotype" w:hAnsi="Palatino Linotype" w:cs="Palatino Linotype"/>
          <w:b/>
          <w:i/>
          <w:sz w:val="22"/>
          <w:szCs w:val="22"/>
        </w:rPr>
        <w:t>es pública y sólo podrá ser reservada temporalmente por razones de interés público y seguridad nacional,</w:t>
      </w:r>
      <w:r w:rsidRPr="005B3F4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B3F42" w:rsidRDefault="00A76F12">
      <w:pPr>
        <w:spacing w:line="276" w:lineRule="auto"/>
        <w:ind w:left="567" w:right="851"/>
        <w:jc w:val="both"/>
        <w:rPr>
          <w:rFonts w:ascii="Palatino Linotype" w:eastAsia="Palatino Linotype" w:hAnsi="Palatino Linotype" w:cs="Palatino Linotype"/>
          <w:b/>
          <w:i/>
          <w:sz w:val="22"/>
          <w:szCs w:val="22"/>
        </w:rPr>
      </w:pPr>
      <w:r w:rsidRPr="005B3F42">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5B3F42" w:rsidRDefault="00A76F12">
      <w:pPr>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III. </w:t>
      </w:r>
      <w:r w:rsidRPr="005B3F4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B3F4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B3F42" w:rsidRDefault="00A76F12">
      <w:pPr>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IV.</w:t>
      </w:r>
      <w:r w:rsidRPr="005B3F4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B3F42" w:rsidRDefault="00A76F12">
      <w:pPr>
        <w:spacing w:line="276" w:lineRule="auto"/>
        <w:ind w:left="567" w:right="851"/>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V. </w:t>
      </w:r>
      <w:r w:rsidRPr="005B3F4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B3F4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B3F4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B3F42" w:rsidRDefault="00A76F12">
      <w:pPr>
        <w:tabs>
          <w:tab w:val="left" w:pos="709"/>
        </w:tabs>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B3F4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w:t>
      </w:r>
      <w:r w:rsidRPr="005B3F4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B3F42">
        <w:rPr>
          <w:rFonts w:ascii="Palatino Linotype" w:eastAsia="Palatino Linotype" w:hAnsi="Palatino Linotype" w:cs="Palatino Linotype"/>
          <w:i/>
          <w:sz w:val="22"/>
          <w:szCs w:val="22"/>
        </w:rPr>
        <w:t>:</w:t>
      </w:r>
    </w:p>
    <w:p w14:paraId="275F2B94"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B3F42">
        <w:rPr>
          <w:rFonts w:ascii="Palatino Linotype" w:eastAsia="Palatino Linotype" w:hAnsi="Palatino Linotype" w:cs="Palatino Linotype"/>
          <w:b/>
          <w:i/>
          <w:sz w:val="22"/>
          <w:szCs w:val="22"/>
        </w:rPr>
        <w:t>I.</w:t>
      </w:r>
      <w:r w:rsidRPr="005B3F42">
        <w:rPr>
          <w:rFonts w:ascii="Palatino Linotype" w:eastAsia="Palatino Linotype" w:hAnsi="Palatino Linotype" w:cs="Palatino Linotype"/>
          <w:i/>
          <w:sz w:val="22"/>
          <w:szCs w:val="22"/>
        </w:rPr>
        <w:t xml:space="preserve"> El Poder Ejecutivo del Estado de México, las dependencias, organismos auxiliares,</w:t>
      </w:r>
      <w:r w:rsidRPr="005B3F42">
        <w:rPr>
          <w:rFonts w:ascii="Palatino Linotype" w:eastAsia="Palatino Linotype" w:hAnsi="Palatino Linotype" w:cs="Palatino Linotype"/>
          <w:b/>
          <w:i/>
          <w:sz w:val="22"/>
          <w:szCs w:val="22"/>
        </w:rPr>
        <w:t xml:space="preserve"> </w:t>
      </w:r>
      <w:r w:rsidRPr="005B3F4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lastRenderedPageBreak/>
        <w:t>II.</w:t>
      </w:r>
      <w:r w:rsidRPr="005B3F4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III.</w:t>
      </w:r>
      <w:r w:rsidRPr="005B3F4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B3F4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V.</w:t>
      </w:r>
      <w:r w:rsidRPr="005B3F42">
        <w:rPr>
          <w:rFonts w:ascii="Palatino Linotype" w:eastAsia="Palatino Linotype" w:hAnsi="Palatino Linotype" w:cs="Palatino Linotype"/>
          <w:i/>
          <w:sz w:val="22"/>
          <w:szCs w:val="22"/>
        </w:rPr>
        <w:t xml:space="preserve"> Los órganos autónomos;</w:t>
      </w:r>
    </w:p>
    <w:p w14:paraId="47FBCC3D"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VI.</w:t>
      </w:r>
      <w:r w:rsidRPr="005B3F4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VII.</w:t>
      </w:r>
      <w:r w:rsidRPr="005B3F4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VIII.</w:t>
      </w:r>
      <w:r w:rsidRPr="005B3F4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IX.</w:t>
      </w:r>
      <w:r w:rsidRPr="005B3F4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X.</w:t>
      </w:r>
      <w:r w:rsidRPr="005B3F4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XI.</w:t>
      </w:r>
      <w:r w:rsidRPr="005B3F4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B3F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B3F42">
        <w:rPr>
          <w:rFonts w:ascii="Palatino Linotype" w:eastAsia="Palatino Linotype" w:hAnsi="Palatino Linotype" w:cs="Palatino Linotype"/>
          <w:i/>
          <w:sz w:val="22"/>
          <w:szCs w:val="22"/>
        </w:rPr>
        <w:t>.”</w:t>
      </w:r>
    </w:p>
    <w:p w14:paraId="6AA3AC33"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B3F4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B3F4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B3F4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B3F4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5B3F42">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5B3F4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Sirve de sustento a lo anterior, el precepto legal en cita:</w:t>
      </w:r>
    </w:p>
    <w:p w14:paraId="0E6F8D37"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B3F42" w:rsidRDefault="00A76F12">
      <w:pPr>
        <w:spacing w:line="276" w:lineRule="auto"/>
        <w:ind w:left="567" w:right="902"/>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w:t>
      </w:r>
      <w:r w:rsidRPr="005B3F4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B3F4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B3F42" w:rsidRDefault="00A76F12">
      <w:pPr>
        <w:spacing w:line="276" w:lineRule="auto"/>
        <w:ind w:left="567" w:right="902"/>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B3F4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En mérito de lo expuesto, es claro que en este caso 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B3F42">
        <w:rPr>
          <w:rFonts w:ascii="Palatino Linotype" w:eastAsia="Palatino Linotype" w:hAnsi="Palatino Linotype" w:cs="Palatino Linotype"/>
          <w:b/>
          <w:sz w:val="22"/>
          <w:szCs w:val="22"/>
        </w:rPr>
        <w:t>el Sujeto Obligado</w:t>
      </w:r>
      <w:r w:rsidRPr="005B3F42">
        <w:rPr>
          <w:rFonts w:ascii="Palatino Linotype" w:eastAsia="Palatino Linotype" w:hAnsi="Palatino Linotype" w:cs="Palatino Linotype"/>
          <w:sz w:val="22"/>
          <w:szCs w:val="22"/>
        </w:rPr>
        <w:t>; por lo que, en caso de no atender de manera positiva</w:t>
      </w:r>
      <w:r w:rsidRPr="005B3F42">
        <w:rPr>
          <w:rFonts w:ascii="Palatino Linotype" w:eastAsia="Palatino Linotype" w:hAnsi="Palatino Linotype" w:cs="Palatino Linotype"/>
          <w:sz w:val="22"/>
          <w:szCs w:val="22"/>
          <w:vertAlign w:val="superscript"/>
        </w:rPr>
        <w:footnoteReference w:id="2"/>
      </w:r>
      <w:r w:rsidRPr="005B3F4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B3F4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De la clasificación de la información.</w:t>
      </w:r>
    </w:p>
    <w:p w14:paraId="7CB72775" w14:textId="77777777" w:rsidR="00532AE4" w:rsidRPr="005B3F4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B3F42" w:rsidRDefault="00A76F12">
      <w:pPr>
        <w:spacing w:line="360" w:lineRule="auto"/>
        <w:ind w:right="5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B3F4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B3F42" w:rsidRDefault="00A76F12">
      <w:pPr>
        <w:spacing w:line="276" w:lineRule="auto"/>
        <w:ind w:left="851" w:right="900"/>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lastRenderedPageBreak/>
        <w:t xml:space="preserve">“Artículo 91. </w:t>
      </w:r>
      <w:r w:rsidRPr="005B3F4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B3F4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B3F4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“Artículo 140. </w:t>
      </w:r>
      <w:r w:rsidRPr="005B3F4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 </w:t>
      </w:r>
      <w:r w:rsidRPr="005B3F4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II. </w:t>
      </w:r>
      <w:r w:rsidRPr="005B3F4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III. </w:t>
      </w:r>
      <w:r w:rsidRPr="005B3F4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IV. </w:t>
      </w:r>
      <w:r w:rsidRPr="005B3F4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V. </w:t>
      </w:r>
      <w:r w:rsidRPr="005B3F4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1. </w:t>
      </w:r>
      <w:r w:rsidRPr="005B3F4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2. </w:t>
      </w:r>
      <w:r w:rsidRPr="005B3F42">
        <w:rPr>
          <w:rFonts w:ascii="Palatino Linotype" w:eastAsia="Palatino Linotype" w:hAnsi="Palatino Linotype" w:cs="Palatino Linotype"/>
          <w:i/>
          <w:sz w:val="22"/>
          <w:szCs w:val="22"/>
        </w:rPr>
        <w:t>La recaudación de las contribuciones.</w:t>
      </w:r>
    </w:p>
    <w:p w14:paraId="4CD54AA9"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lastRenderedPageBreak/>
        <w:t xml:space="preserve">VI. </w:t>
      </w:r>
      <w:r w:rsidRPr="005B3F4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VII. </w:t>
      </w:r>
      <w:r w:rsidRPr="005B3F4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VIII</w:t>
      </w:r>
      <w:r w:rsidRPr="005B3F4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B3F42">
        <w:rPr>
          <w:rFonts w:ascii="Palatino Linotype" w:eastAsia="Palatino Linotype" w:hAnsi="Palatino Linotype" w:cs="Palatino Linotype"/>
          <w:b/>
          <w:i/>
          <w:sz w:val="22"/>
          <w:szCs w:val="22"/>
        </w:rPr>
        <w:t>;</w:t>
      </w:r>
    </w:p>
    <w:p w14:paraId="20A105A2"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IX. </w:t>
      </w:r>
      <w:r w:rsidRPr="005B3F4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X. </w:t>
      </w:r>
      <w:r w:rsidRPr="005B3F4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XI. </w:t>
      </w:r>
      <w:r w:rsidRPr="005B3F4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w:t>
      </w:r>
    </w:p>
    <w:p w14:paraId="7E7180B7"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Artículo 143. </w:t>
      </w:r>
      <w:r w:rsidRPr="005B3F4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 </w:t>
      </w:r>
      <w:r w:rsidRPr="005B3F4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II. </w:t>
      </w:r>
      <w:r w:rsidRPr="005B3F4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lastRenderedPageBreak/>
        <w:t xml:space="preserve">III. </w:t>
      </w:r>
      <w:r w:rsidRPr="005B3F4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B3F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B3F4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B3F4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Se reciba una solicitud de acceso a la información;</w:t>
      </w:r>
    </w:p>
    <w:p w14:paraId="54E32C40" w14:textId="77777777" w:rsidR="00532AE4" w:rsidRPr="005B3F4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Se determine mediante resolución de autoridad competente; y/o</w:t>
      </w:r>
    </w:p>
    <w:p w14:paraId="2A2574F5" w14:textId="77777777" w:rsidR="00532AE4" w:rsidRPr="005B3F4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B3F4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B3F42" w:rsidRDefault="00A76F12">
      <w:pPr>
        <w:spacing w:line="360" w:lineRule="auto"/>
        <w:ind w:right="5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5B3F42">
        <w:rPr>
          <w:rFonts w:ascii="Palatino Linotype" w:eastAsia="Palatino Linotype" w:hAnsi="Palatino Linotype" w:cs="Palatino Linotype"/>
          <w:sz w:val="22"/>
          <w:szCs w:val="22"/>
        </w:rPr>
        <w:lastRenderedPageBreak/>
        <w:t>o revoque la misma, como se desprende de los artículos 59 fracción V</w:t>
      </w:r>
      <w:r w:rsidRPr="005B3F42">
        <w:rPr>
          <w:rFonts w:ascii="Palatino Linotype" w:eastAsia="Palatino Linotype" w:hAnsi="Palatino Linotype" w:cs="Palatino Linotype"/>
          <w:sz w:val="22"/>
          <w:szCs w:val="22"/>
          <w:vertAlign w:val="superscript"/>
        </w:rPr>
        <w:footnoteReference w:id="3"/>
      </w:r>
      <w:r w:rsidRPr="005B3F42">
        <w:rPr>
          <w:rFonts w:ascii="Palatino Linotype" w:eastAsia="Palatino Linotype" w:hAnsi="Palatino Linotype" w:cs="Palatino Linotype"/>
          <w:sz w:val="22"/>
          <w:szCs w:val="22"/>
        </w:rPr>
        <w:t>, 53 fracción X</w:t>
      </w:r>
      <w:r w:rsidRPr="005B3F42">
        <w:rPr>
          <w:rFonts w:ascii="Palatino Linotype" w:eastAsia="Palatino Linotype" w:hAnsi="Palatino Linotype" w:cs="Palatino Linotype"/>
          <w:sz w:val="22"/>
          <w:szCs w:val="22"/>
          <w:vertAlign w:val="superscript"/>
        </w:rPr>
        <w:footnoteReference w:id="4"/>
      </w:r>
      <w:r w:rsidRPr="005B3F42">
        <w:rPr>
          <w:rFonts w:ascii="Palatino Linotype" w:eastAsia="Palatino Linotype" w:hAnsi="Palatino Linotype" w:cs="Palatino Linotype"/>
          <w:sz w:val="22"/>
          <w:szCs w:val="22"/>
        </w:rPr>
        <w:t>, y 49 fracciones II y VIII</w:t>
      </w:r>
      <w:r w:rsidRPr="005B3F42">
        <w:rPr>
          <w:rFonts w:ascii="Palatino Linotype" w:eastAsia="Palatino Linotype" w:hAnsi="Palatino Linotype" w:cs="Palatino Linotype"/>
          <w:sz w:val="22"/>
          <w:szCs w:val="22"/>
          <w:vertAlign w:val="superscript"/>
        </w:rPr>
        <w:footnoteReference w:id="5"/>
      </w:r>
      <w:r w:rsidRPr="005B3F4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B3F4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Bajo tales consideraciones, este Organismo Garante no omite señalar que, si 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advierte que la información solicitada contiene </w:t>
      </w:r>
      <w:r w:rsidRPr="005B3F42">
        <w:rPr>
          <w:rFonts w:ascii="Palatino Linotype" w:eastAsia="Palatino Linotype" w:hAnsi="Palatino Linotype" w:cs="Palatino Linotype"/>
          <w:b/>
          <w:sz w:val="22"/>
          <w:szCs w:val="22"/>
        </w:rPr>
        <w:t>datos personales</w:t>
      </w:r>
      <w:r w:rsidRPr="005B3F42">
        <w:rPr>
          <w:rFonts w:ascii="Palatino Linotype" w:eastAsia="Palatino Linotype" w:hAnsi="Palatino Linotype" w:cs="Palatino Linotype"/>
          <w:sz w:val="22"/>
          <w:szCs w:val="22"/>
        </w:rPr>
        <w:t xml:space="preserve"> que sean susceptibles de ser </w:t>
      </w:r>
      <w:r w:rsidRPr="005B3F42">
        <w:rPr>
          <w:rFonts w:ascii="Palatino Linotype" w:eastAsia="Palatino Linotype" w:hAnsi="Palatino Linotype" w:cs="Palatino Linotype"/>
          <w:b/>
          <w:sz w:val="22"/>
          <w:szCs w:val="22"/>
        </w:rPr>
        <w:t xml:space="preserve">clasificados como confidenciales, </w:t>
      </w:r>
      <w:r w:rsidRPr="005B3F42">
        <w:rPr>
          <w:rFonts w:ascii="Palatino Linotype" w:eastAsia="Palatino Linotype" w:hAnsi="Palatino Linotype" w:cs="Palatino Linotype"/>
          <w:sz w:val="22"/>
          <w:szCs w:val="22"/>
        </w:rPr>
        <w:t>o, si por otro lado</w:t>
      </w:r>
      <w:r w:rsidRPr="005B3F42">
        <w:rPr>
          <w:rFonts w:ascii="Palatino Linotype" w:eastAsia="Palatino Linotype" w:hAnsi="Palatino Linotype" w:cs="Palatino Linotype"/>
          <w:b/>
          <w:sz w:val="22"/>
          <w:szCs w:val="22"/>
        </w:rPr>
        <w:t>, por su propia y especial naturaleza,</w:t>
      </w:r>
      <w:r w:rsidRPr="005B3F42">
        <w:rPr>
          <w:rFonts w:ascii="Palatino Linotype" w:eastAsia="Palatino Linotype" w:hAnsi="Palatino Linotype" w:cs="Palatino Linotype"/>
          <w:sz w:val="22"/>
          <w:szCs w:val="22"/>
        </w:rPr>
        <w:t xml:space="preserve"> encuadra en alguno de los </w:t>
      </w:r>
      <w:r w:rsidRPr="005B3F42">
        <w:rPr>
          <w:rFonts w:ascii="Palatino Linotype" w:eastAsia="Palatino Linotype" w:hAnsi="Palatino Linotype" w:cs="Palatino Linotype"/>
          <w:b/>
          <w:sz w:val="22"/>
          <w:szCs w:val="22"/>
        </w:rPr>
        <w:t>supuestos de reserva o de confidencialidad en su totalidad</w:t>
      </w:r>
      <w:r w:rsidRPr="005B3F42">
        <w:rPr>
          <w:rFonts w:ascii="Palatino Linotype" w:eastAsia="Palatino Linotype" w:hAnsi="Palatino Linotype" w:cs="Palatino Linotype"/>
          <w:sz w:val="22"/>
          <w:szCs w:val="22"/>
        </w:rPr>
        <w:t>, deberá emitir, un</w:t>
      </w:r>
      <w:r w:rsidRPr="005B3F42">
        <w:rPr>
          <w:rFonts w:ascii="Palatino Linotype" w:eastAsia="Palatino Linotype" w:hAnsi="Palatino Linotype" w:cs="Palatino Linotype"/>
          <w:b/>
          <w:sz w:val="22"/>
          <w:szCs w:val="22"/>
        </w:rPr>
        <w:t xml:space="preserve"> Acuerdo de Clasificación </w:t>
      </w:r>
      <w:r w:rsidRPr="005B3F42">
        <w:rPr>
          <w:rFonts w:ascii="Palatino Linotype" w:eastAsia="Palatino Linotype" w:hAnsi="Palatino Linotype" w:cs="Palatino Linotype"/>
          <w:sz w:val="22"/>
          <w:szCs w:val="22"/>
        </w:rPr>
        <w:t>debidamente fundado y motivado que</w:t>
      </w:r>
      <w:r w:rsidRPr="005B3F42">
        <w:rPr>
          <w:rFonts w:ascii="Palatino Linotype" w:eastAsia="Palatino Linotype" w:hAnsi="Palatino Linotype" w:cs="Palatino Linotype"/>
          <w:b/>
          <w:sz w:val="22"/>
          <w:szCs w:val="22"/>
        </w:rPr>
        <w:t xml:space="preserve"> sustente la clasificación parcial, a través de la versión pública que emita,</w:t>
      </w:r>
      <w:r w:rsidRPr="005B3F4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B3F4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De la clasificación parcial de la información.</w:t>
      </w:r>
    </w:p>
    <w:p w14:paraId="6CDBD4F4" w14:textId="77777777" w:rsidR="00532AE4" w:rsidRPr="005B3F4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5B3F42">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B3F4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De la clasificación de información como reservada.</w:t>
      </w:r>
    </w:p>
    <w:p w14:paraId="2F50165E" w14:textId="77777777" w:rsidR="00532AE4" w:rsidRPr="005B3F4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B3F42" w:rsidRDefault="00A76F12">
      <w:pPr>
        <w:spacing w:line="360" w:lineRule="auto"/>
        <w:ind w:right="5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B3F4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B3F4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La divulgación de la información representa un </w:t>
      </w:r>
      <w:r w:rsidRPr="005B3F42">
        <w:rPr>
          <w:rFonts w:ascii="Palatino Linotype" w:eastAsia="Palatino Linotype" w:hAnsi="Palatino Linotype" w:cs="Palatino Linotype"/>
          <w:b/>
          <w:sz w:val="22"/>
          <w:szCs w:val="22"/>
        </w:rPr>
        <w:t>riesgo real, demostrable e identificable del perjuicio significativo al interés público o a la seguridad pública</w:t>
      </w:r>
      <w:r w:rsidRPr="005B3F42">
        <w:rPr>
          <w:rFonts w:ascii="Palatino Linotype" w:eastAsia="Palatino Linotype" w:hAnsi="Palatino Linotype" w:cs="Palatino Linotype"/>
          <w:sz w:val="22"/>
          <w:szCs w:val="22"/>
        </w:rPr>
        <w:t>;</w:t>
      </w:r>
    </w:p>
    <w:p w14:paraId="4FC20933" w14:textId="77777777" w:rsidR="00532AE4" w:rsidRPr="005B3F4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B3F4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5B3F4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Siendo pertinente aclarar que, la información que se clasifica bajo la premisa de reservada, </w:t>
      </w:r>
      <w:r w:rsidRPr="005B3F42">
        <w:rPr>
          <w:rFonts w:ascii="Palatino Linotype" w:eastAsia="Palatino Linotype" w:hAnsi="Palatino Linotype" w:cs="Palatino Linotype"/>
          <w:b/>
          <w:sz w:val="22"/>
          <w:szCs w:val="22"/>
        </w:rPr>
        <w:t>no pierde el carácter de pública</w:t>
      </w:r>
      <w:r w:rsidRPr="005B3F42">
        <w:rPr>
          <w:rFonts w:ascii="Palatino Linotype" w:eastAsia="Palatino Linotype" w:hAnsi="Palatino Linotype" w:cs="Palatino Linotype"/>
          <w:sz w:val="22"/>
          <w:szCs w:val="22"/>
        </w:rPr>
        <w:t xml:space="preserve">, sino que </w:t>
      </w:r>
      <w:r w:rsidRPr="005B3F42">
        <w:rPr>
          <w:rFonts w:ascii="Palatino Linotype" w:eastAsia="Palatino Linotype" w:hAnsi="Palatino Linotype" w:cs="Palatino Linotype"/>
          <w:b/>
          <w:sz w:val="22"/>
          <w:szCs w:val="22"/>
        </w:rPr>
        <w:t>se reserva temporalmente</w:t>
      </w:r>
      <w:r w:rsidRPr="005B3F42">
        <w:rPr>
          <w:rFonts w:ascii="Palatino Linotype" w:eastAsia="Palatino Linotype" w:hAnsi="Palatino Linotype" w:cs="Palatino Linotype"/>
          <w:sz w:val="22"/>
          <w:szCs w:val="22"/>
        </w:rPr>
        <w:t xml:space="preserve"> </w:t>
      </w:r>
      <w:r w:rsidRPr="005B3F42">
        <w:rPr>
          <w:rFonts w:ascii="Palatino Linotype" w:eastAsia="Palatino Linotype" w:hAnsi="Palatino Linotype" w:cs="Palatino Linotype"/>
          <w:b/>
          <w:sz w:val="22"/>
          <w:szCs w:val="22"/>
        </w:rPr>
        <w:t>del conocimiento público</w:t>
      </w:r>
      <w:r w:rsidRPr="005B3F42">
        <w:rPr>
          <w:rFonts w:ascii="Palatino Linotype" w:eastAsia="Palatino Linotype" w:hAnsi="Palatino Linotype" w:cs="Palatino Linotype"/>
          <w:sz w:val="22"/>
          <w:szCs w:val="22"/>
        </w:rPr>
        <w:t xml:space="preserve">, es decir, que, </w:t>
      </w:r>
      <w:r w:rsidRPr="005B3F42">
        <w:rPr>
          <w:rFonts w:ascii="Palatino Linotype" w:eastAsia="Palatino Linotype" w:hAnsi="Palatino Linotype" w:cs="Palatino Linotype"/>
          <w:b/>
          <w:sz w:val="22"/>
          <w:szCs w:val="22"/>
        </w:rPr>
        <w:t>por un tiempo determinado</w:t>
      </w:r>
      <w:r w:rsidRPr="005B3F4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B3F4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B3F4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B3F42" w:rsidRDefault="00A76F12">
      <w:pPr>
        <w:tabs>
          <w:tab w:val="left" w:pos="709"/>
        </w:tabs>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5B3F42">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5B3F4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B3F42" w:rsidRDefault="00A76F12">
      <w:pPr>
        <w:spacing w:line="360" w:lineRule="auto"/>
        <w:ind w:right="5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B3F42">
        <w:rPr>
          <w:rFonts w:ascii="Palatino Linotype" w:eastAsia="Palatino Linotype" w:hAnsi="Palatino Linotype" w:cs="Palatino Linotype"/>
          <w:sz w:val="22"/>
          <w:szCs w:val="22"/>
          <w:vertAlign w:val="superscript"/>
        </w:rPr>
        <w:footnoteReference w:id="6"/>
      </w:r>
      <w:r w:rsidRPr="005B3F4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B3F4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B3F4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De la declaratoria de inexistencia de la información</w:t>
      </w:r>
      <w:r w:rsidRPr="005B3F42">
        <w:rPr>
          <w:rFonts w:ascii="Palatino Linotype" w:eastAsia="Palatino Linotype" w:hAnsi="Palatino Linotype" w:cs="Palatino Linotype"/>
          <w:sz w:val="22"/>
          <w:szCs w:val="22"/>
        </w:rPr>
        <w:t>.</w:t>
      </w:r>
    </w:p>
    <w:p w14:paraId="2CE06287" w14:textId="77777777" w:rsidR="00532AE4" w:rsidRPr="005B3F4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Por otro lado, estima prudente señalar al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5B3F42">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B3F42" w:rsidRDefault="00A76F12">
      <w:pPr>
        <w:spacing w:line="276" w:lineRule="auto"/>
        <w:ind w:left="567" w:right="902"/>
        <w:jc w:val="both"/>
        <w:rPr>
          <w:rFonts w:ascii="Palatino Linotype" w:eastAsia="Palatino Linotype" w:hAnsi="Palatino Linotype" w:cs="Palatino Linotype"/>
          <w:i/>
          <w:sz w:val="22"/>
          <w:szCs w:val="22"/>
        </w:rPr>
      </w:pPr>
      <w:r w:rsidRPr="005B3F42">
        <w:rPr>
          <w:rFonts w:ascii="Palatino Linotype" w:eastAsia="Palatino Linotype" w:hAnsi="Palatino Linotype" w:cs="Palatino Linotype"/>
          <w:b/>
          <w:i/>
          <w:sz w:val="22"/>
          <w:szCs w:val="22"/>
        </w:rPr>
        <w:t xml:space="preserve">“INEXISTENCIA DE LA INFORMACIÓN. SUPUESTOS PARA EMITIR LA RESOLUCIÓN DE LA. </w:t>
      </w:r>
      <w:r w:rsidRPr="005B3F4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5B3F42">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B3F4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 xml:space="preserve">En mérito de todo lo expuesto, ante lo </w:t>
      </w:r>
      <w:r w:rsidRPr="005B3F42">
        <w:rPr>
          <w:rFonts w:ascii="Palatino Linotype" w:eastAsia="Palatino Linotype" w:hAnsi="Palatino Linotype" w:cs="Palatino Linotype"/>
          <w:b/>
          <w:sz w:val="22"/>
          <w:szCs w:val="22"/>
        </w:rPr>
        <w:t>FUNDADO</w:t>
      </w:r>
      <w:r w:rsidRPr="005B3F4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B3F42">
        <w:rPr>
          <w:rFonts w:ascii="Palatino Linotype" w:eastAsia="Palatino Linotype" w:hAnsi="Palatino Linotype" w:cs="Palatino Linotype"/>
          <w:b/>
          <w:sz w:val="22"/>
          <w:szCs w:val="22"/>
        </w:rPr>
        <w:t>ORDENAR</w:t>
      </w:r>
      <w:r w:rsidRPr="005B3F42">
        <w:rPr>
          <w:rFonts w:ascii="Palatino Linotype" w:eastAsia="Palatino Linotype" w:hAnsi="Palatino Linotype" w:cs="Palatino Linotype"/>
          <w:sz w:val="22"/>
          <w:szCs w:val="22"/>
        </w:rPr>
        <w:t xml:space="preserve"> al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B3F42" w:rsidRDefault="00A76F12">
      <w:pPr>
        <w:spacing w:line="360" w:lineRule="auto"/>
        <w:ind w:right="49"/>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sz w:val="22"/>
          <w:szCs w:val="22"/>
        </w:rPr>
        <w:t>Finalmente, es de señalar que, como ya se mencionó el</w:t>
      </w:r>
      <w:r w:rsidRPr="005B3F42">
        <w:rPr>
          <w:rFonts w:ascii="Palatino Linotype" w:eastAsia="Palatino Linotype" w:hAnsi="Palatino Linotype" w:cs="Palatino Linotype"/>
          <w:b/>
          <w:sz w:val="22"/>
          <w:szCs w:val="22"/>
        </w:rPr>
        <w:t xml:space="preserve"> Sujeto Obligado</w:t>
      </w:r>
      <w:r w:rsidRPr="005B3F4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B3F42">
        <w:rPr>
          <w:rFonts w:ascii="Palatino Linotype" w:eastAsia="Palatino Linotype" w:hAnsi="Palatino Linotype" w:cs="Palatino Linotype"/>
          <w:b/>
          <w:sz w:val="22"/>
          <w:szCs w:val="22"/>
        </w:rPr>
        <w:t xml:space="preserve"> </w:t>
      </w:r>
      <w:r w:rsidRPr="005B3F4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B3F4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B3F4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B3F42">
        <w:rPr>
          <w:rFonts w:ascii="Palatino Linotype" w:eastAsia="Palatino Linotype" w:hAnsi="Palatino Linotype" w:cs="Palatino Linotype"/>
          <w:sz w:val="22"/>
          <w:szCs w:val="22"/>
        </w:rPr>
        <w:t xml:space="preserve">Así, con fundamento en lo prescrito en los artículos </w:t>
      </w:r>
      <w:r w:rsidR="009100C5" w:rsidRPr="005B3F4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B3F4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B3F4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B3F4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III. R E S U E L V E</w:t>
      </w:r>
    </w:p>
    <w:p w14:paraId="170B47A5" w14:textId="77777777" w:rsidR="00532AE4" w:rsidRPr="005B3F4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B3F42" w:rsidRDefault="00A76F12">
      <w:pPr>
        <w:spacing w:line="360" w:lineRule="auto"/>
        <w:ind w:right="49"/>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lastRenderedPageBreak/>
        <w:t xml:space="preserve">Primero. </w:t>
      </w:r>
      <w:r w:rsidRPr="005B3F42">
        <w:rPr>
          <w:rFonts w:ascii="Palatino Linotype" w:eastAsia="Palatino Linotype" w:hAnsi="Palatino Linotype" w:cs="Palatino Linotype"/>
          <w:sz w:val="22"/>
          <w:szCs w:val="22"/>
        </w:rPr>
        <w:t xml:space="preserve">Resultan </w:t>
      </w:r>
      <w:r w:rsidRPr="005B3F42">
        <w:rPr>
          <w:rFonts w:ascii="Palatino Linotype" w:eastAsia="Palatino Linotype" w:hAnsi="Palatino Linotype" w:cs="Palatino Linotype"/>
          <w:b/>
          <w:sz w:val="22"/>
          <w:szCs w:val="22"/>
        </w:rPr>
        <w:t>FUNDADOS</w:t>
      </w:r>
      <w:r w:rsidRPr="005B3F42">
        <w:rPr>
          <w:rFonts w:ascii="Palatino Linotype" w:eastAsia="Palatino Linotype" w:hAnsi="Palatino Linotype" w:cs="Palatino Linotype"/>
          <w:sz w:val="22"/>
          <w:szCs w:val="22"/>
        </w:rPr>
        <w:t xml:space="preserve"> los motivos de inconformidad de la parte </w:t>
      </w:r>
      <w:r w:rsidRPr="005B3F42">
        <w:rPr>
          <w:rFonts w:ascii="Palatino Linotype" w:eastAsia="Palatino Linotype" w:hAnsi="Palatino Linotype" w:cs="Palatino Linotype"/>
          <w:b/>
          <w:sz w:val="22"/>
          <w:szCs w:val="22"/>
        </w:rPr>
        <w:t>Recurrente</w:t>
      </w:r>
      <w:r w:rsidRPr="005B3F42">
        <w:rPr>
          <w:rFonts w:ascii="Palatino Linotype" w:eastAsia="Palatino Linotype" w:hAnsi="Palatino Linotype" w:cs="Palatino Linotype"/>
          <w:sz w:val="22"/>
          <w:szCs w:val="22"/>
        </w:rPr>
        <w:t xml:space="preserve">, en términos del </w:t>
      </w:r>
      <w:r w:rsidRPr="005B3F42">
        <w:rPr>
          <w:rFonts w:ascii="Palatino Linotype" w:eastAsia="Palatino Linotype" w:hAnsi="Palatino Linotype" w:cs="Palatino Linotype"/>
          <w:b/>
          <w:sz w:val="22"/>
          <w:szCs w:val="22"/>
        </w:rPr>
        <w:t>Considerando Cuarto</w:t>
      </w:r>
      <w:r w:rsidRPr="005B3F42">
        <w:rPr>
          <w:rFonts w:ascii="Palatino Linotype" w:eastAsia="Palatino Linotype" w:hAnsi="Palatino Linotype" w:cs="Palatino Linotype"/>
          <w:sz w:val="22"/>
          <w:szCs w:val="22"/>
        </w:rPr>
        <w:t xml:space="preserve"> de la presente resolución.</w:t>
      </w:r>
    </w:p>
    <w:p w14:paraId="6A06B418" w14:textId="77777777" w:rsidR="00532AE4" w:rsidRPr="005B3F42" w:rsidRDefault="00532AE4">
      <w:pPr>
        <w:spacing w:line="360" w:lineRule="auto"/>
        <w:ind w:right="49"/>
        <w:jc w:val="both"/>
        <w:rPr>
          <w:rFonts w:ascii="Palatino Linotype" w:eastAsia="Palatino Linotype" w:hAnsi="Palatino Linotype" w:cs="Palatino Linotype"/>
          <w:sz w:val="22"/>
          <w:szCs w:val="22"/>
        </w:rPr>
      </w:pPr>
    </w:p>
    <w:p w14:paraId="1E37E133" w14:textId="64DADAD5" w:rsidR="00532AE4" w:rsidRPr="005B3F4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B3F42">
        <w:rPr>
          <w:rFonts w:ascii="Palatino Linotype" w:eastAsia="Palatino Linotype" w:hAnsi="Palatino Linotype" w:cs="Palatino Linotype"/>
          <w:b/>
          <w:sz w:val="22"/>
          <w:szCs w:val="22"/>
        </w:rPr>
        <w:t>Segundo.</w:t>
      </w:r>
      <w:r w:rsidRPr="005B3F42">
        <w:rPr>
          <w:rFonts w:ascii="Palatino Linotype" w:eastAsia="Palatino Linotype" w:hAnsi="Palatino Linotype" w:cs="Palatino Linotype"/>
          <w:sz w:val="22"/>
          <w:szCs w:val="22"/>
        </w:rPr>
        <w:t xml:space="preserve"> Se</w:t>
      </w:r>
      <w:r w:rsidRPr="005B3F42">
        <w:rPr>
          <w:rFonts w:ascii="Palatino Linotype" w:eastAsia="Palatino Linotype" w:hAnsi="Palatino Linotype" w:cs="Palatino Linotype"/>
          <w:b/>
          <w:sz w:val="22"/>
          <w:szCs w:val="22"/>
        </w:rPr>
        <w:t xml:space="preserve"> Ordena </w:t>
      </w:r>
      <w:r w:rsidRPr="005B3F42">
        <w:rPr>
          <w:rFonts w:ascii="Palatino Linotype" w:eastAsia="Palatino Linotype" w:hAnsi="Palatino Linotype" w:cs="Palatino Linotype"/>
          <w:sz w:val="22"/>
          <w:szCs w:val="22"/>
        </w:rPr>
        <w:t xml:space="preserve">al </w:t>
      </w:r>
      <w:r w:rsidRPr="005B3F42">
        <w:rPr>
          <w:rFonts w:ascii="Palatino Linotype" w:eastAsia="Palatino Linotype" w:hAnsi="Palatino Linotype" w:cs="Palatino Linotype"/>
          <w:b/>
          <w:sz w:val="22"/>
          <w:szCs w:val="22"/>
        </w:rPr>
        <w:t xml:space="preserve">Sujeto Obligado </w:t>
      </w:r>
      <w:r w:rsidRPr="005B3F42">
        <w:rPr>
          <w:rFonts w:ascii="Palatino Linotype" w:eastAsia="Palatino Linotype" w:hAnsi="Palatino Linotype" w:cs="Palatino Linotype"/>
          <w:sz w:val="22"/>
          <w:szCs w:val="22"/>
        </w:rPr>
        <w:t xml:space="preserve">dé trámite, vía </w:t>
      </w:r>
      <w:r w:rsidRPr="005B3F42">
        <w:rPr>
          <w:rFonts w:ascii="Palatino Linotype" w:eastAsia="Palatino Linotype" w:hAnsi="Palatino Linotype" w:cs="Palatino Linotype"/>
          <w:b/>
          <w:sz w:val="22"/>
          <w:szCs w:val="22"/>
        </w:rPr>
        <w:t xml:space="preserve">Sistema de Acceso a la Información Mexiquense </w:t>
      </w:r>
      <w:r w:rsidRPr="005B3F42">
        <w:rPr>
          <w:rFonts w:ascii="Palatino Linotype" w:eastAsia="Palatino Linotype" w:hAnsi="Palatino Linotype" w:cs="Palatino Linotype"/>
          <w:sz w:val="22"/>
          <w:szCs w:val="22"/>
        </w:rPr>
        <w:t xml:space="preserve">a la solicitud de acceso a la información pública </w:t>
      </w:r>
      <w:r w:rsidR="00BB1677" w:rsidRPr="005B3F42">
        <w:rPr>
          <w:rFonts w:ascii="Palatino Linotype" w:eastAsia="Palatino Linotype" w:hAnsi="Palatino Linotype" w:cs="Palatino Linotype"/>
          <w:b/>
          <w:sz w:val="22"/>
          <w:szCs w:val="22"/>
        </w:rPr>
        <w:t xml:space="preserve">00694/TEPOTZOT/IP/2025 </w:t>
      </w:r>
      <w:r w:rsidRPr="005B3F42">
        <w:rPr>
          <w:rFonts w:ascii="Palatino Linotype" w:eastAsia="Palatino Linotype" w:hAnsi="Palatino Linotype" w:cs="Palatino Linotype"/>
          <w:sz w:val="22"/>
          <w:szCs w:val="22"/>
        </w:rPr>
        <w:t xml:space="preserve">que dio origen al recurso de revisión </w:t>
      </w:r>
      <w:r w:rsidR="00B04425" w:rsidRPr="005B3F42">
        <w:rPr>
          <w:rFonts w:ascii="Palatino Linotype" w:eastAsia="Palatino Linotype" w:hAnsi="Palatino Linotype" w:cs="Palatino Linotype"/>
          <w:b/>
          <w:sz w:val="22"/>
          <w:szCs w:val="22"/>
        </w:rPr>
        <w:t>1333</w:t>
      </w:r>
      <w:r w:rsidR="00BB1677" w:rsidRPr="005B3F42">
        <w:rPr>
          <w:rFonts w:ascii="Palatino Linotype" w:eastAsia="Palatino Linotype" w:hAnsi="Palatino Linotype" w:cs="Palatino Linotype"/>
          <w:b/>
          <w:sz w:val="22"/>
          <w:szCs w:val="22"/>
        </w:rPr>
        <w:t>9</w:t>
      </w:r>
      <w:r w:rsidRPr="005B3F42">
        <w:rPr>
          <w:rFonts w:ascii="Palatino Linotype" w:eastAsia="Palatino Linotype" w:hAnsi="Palatino Linotype" w:cs="Palatino Linotype"/>
          <w:b/>
          <w:sz w:val="22"/>
          <w:szCs w:val="22"/>
        </w:rPr>
        <w:t xml:space="preserve">/INFOEM/IP/RR/2025 </w:t>
      </w:r>
      <w:r w:rsidRPr="005B3F42">
        <w:rPr>
          <w:rFonts w:ascii="Palatino Linotype" w:eastAsia="Palatino Linotype" w:hAnsi="Palatino Linotype" w:cs="Palatino Linotype"/>
          <w:sz w:val="22"/>
          <w:szCs w:val="22"/>
        </w:rPr>
        <w:t xml:space="preserve">en términos del </w:t>
      </w:r>
      <w:r w:rsidRPr="005B3F42">
        <w:rPr>
          <w:rFonts w:ascii="Palatino Linotype" w:eastAsia="Palatino Linotype" w:hAnsi="Palatino Linotype" w:cs="Palatino Linotype"/>
          <w:b/>
          <w:sz w:val="22"/>
          <w:szCs w:val="22"/>
        </w:rPr>
        <w:t>Considerando Cuarto</w:t>
      </w:r>
      <w:r w:rsidRPr="005B3F4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B3F4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B3F42">
        <w:rPr>
          <w:rFonts w:ascii="Palatino Linotype" w:eastAsia="Palatino Linotype" w:hAnsi="Palatino Linotype" w:cs="Palatino Linotype"/>
          <w:b/>
          <w:sz w:val="22"/>
          <w:szCs w:val="22"/>
        </w:rPr>
        <w:t>Tercero.</w:t>
      </w:r>
      <w:r w:rsidRPr="005B3F42">
        <w:rPr>
          <w:rFonts w:ascii="Palatino Linotype" w:eastAsia="Palatino Linotype" w:hAnsi="Palatino Linotype" w:cs="Palatino Linotype"/>
          <w:sz w:val="22"/>
          <w:szCs w:val="22"/>
        </w:rPr>
        <w:t xml:space="preserve"> </w:t>
      </w:r>
      <w:r w:rsidRPr="005B3F42">
        <w:rPr>
          <w:rFonts w:ascii="Palatino Linotype" w:eastAsia="Palatino Linotype" w:hAnsi="Palatino Linotype" w:cs="Palatino Linotype"/>
          <w:b/>
          <w:sz w:val="22"/>
          <w:szCs w:val="22"/>
        </w:rPr>
        <w:t xml:space="preserve">Notifíquese vía Sistema de Acceso a la Información Mexiquense </w:t>
      </w:r>
      <w:r w:rsidRPr="005B3F42">
        <w:rPr>
          <w:rFonts w:ascii="Palatino Linotype" w:eastAsia="Palatino Linotype" w:hAnsi="Palatino Linotype" w:cs="Palatino Linotype"/>
          <w:sz w:val="22"/>
          <w:szCs w:val="22"/>
        </w:rPr>
        <w:t>la presente resolución al T</w:t>
      </w:r>
      <w:r w:rsidRPr="005B3F42">
        <w:rPr>
          <w:rFonts w:ascii="Palatino Linotype" w:eastAsia="Palatino Linotype" w:hAnsi="Palatino Linotype" w:cs="Palatino Linotype"/>
          <w:b/>
          <w:sz w:val="22"/>
          <w:szCs w:val="22"/>
        </w:rPr>
        <w:t xml:space="preserve">itular de la Unidad de Transparencia </w:t>
      </w:r>
      <w:r w:rsidRPr="005B3F42">
        <w:rPr>
          <w:rFonts w:ascii="Palatino Linotype" w:eastAsia="Palatino Linotype" w:hAnsi="Palatino Linotype" w:cs="Palatino Linotype"/>
          <w:sz w:val="22"/>
          <w:szCs w:val="22"/>
        </w:rPr>
        <w:t xml:space="preserve">del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B3F4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Cuarto. Notifíquese</w:t>
      </w:r>
      <w:r w:rsidRPr="005B3F42">
        <w:rPr>
          <w:rFonts w:ascii="Palatino Linotype" w:eastAsia="Palatino Linotype" w:hAnsi="Palatino Linotype" w:cs="Palatino Linotype"/>
          <w:sz w:val="22"/>
          <w:szCs w:val="22"/>
        </w:rPr>
        <w:t>,</w:t>
      </w:r>
      <w:r w:rsidRPr="005B3F42">
        <w:rPr>
          <w:rFonts w:ascii="Palatino Linotype" w:eastAsia="Palatino Linotype" w:hAnsi="Palatino Linotype" w:cs="Palatino Linotype"/>
          <w:b/>
          <w:sz w:val="22"/>
          <w:szCs w:val="22"/>
        </w:rPr>
        <w:t xml:space="preserve"> </w:t>
      </w:r>
      <w:r w:rsidRPr="005B3F42">
        <w:rPr>
          <w:rFonts w:ascii="Palatino Linotype" w:eastAsia="Palatino Linotype" w:hAnsi="Palatino Linotype" w:cs="Palatino Linotype"/>
          <w:sz w:val="22"/>
          <w:szCs w:val="22"/>
        </w:rPr>
        <w:t xml:space="preserve">vía </w:t>
      </w:r>
      <w:r w:rsidRPr="005B3F42">
        <w:rPr>
          <w:rFonts w:ascii="Palatino Linotype" w:eastAsia="Palatino Linotype" w:hAnsi="Palatino Linotype" w:cs="Palatino Linotype"/>
          <w:b/>
          <w:sz w:val="22"/>
          <w:szCs w:val="22"/>
        </w:rPr>
        <w:t>Sistema de Acceso a la Información Mexiquense</w:t>
      </w:r>
      <w:r w:rsidRPr="005B3F42">
        <w:rPr>
          <w:rFonts w:ascii="Palatino Linotype" w:eastAsia="Palatino Linotype" w:hAnsi="Palatino Linotype" w:cs="Palatino Linotype"/>
          <w:sz w:val="22"/>
          <w:szCs w:val="22"/>
        </w:rPr>
        <w:t xml:space="preserve">, a la parte </w:t>
      </w:r>
      <w:r w:rsidRPr="005B3F42">
        <w:rPr>
          <w:rFonts w:ascii="Palatino Linotype" w:eastAsia="Palatino Linotype" w:hAnsi="Palatino Linotype" w:cs="Palatino Linotype"/>
          <w:b/>
          <w:sz w:val="22"/>
          <w:szCs w:val="22"/>
        </w:rPr>
        <w:t xml:space="preserve">Recurrente </w:t>
      </w:r>
      <w:r w:rsidRPr="005B3F4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B3F4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B3F42" w:rsidRDefault="00A76F12">
      <w:pPr>
        <w:spacing w:line="360" w:lineRule="auto"/>
        <w:jc w:val="both"/>
        <w:rPr>
          <w:rFonts w:ascii="Palatino Linotype" w:eastAsia="Palatino Linotype" w:hAnsi="Palatino Linotype" w:cs="Palatino Linotype"/>
          <w:sz w:val="22"/>
          <w:szCs w:val="22"/>
        </w:rPr>
      </w:pPr>
      <w:r w:rsidRPr="005B3F42">
        <w:rPr>
          <w:rFonts w:ascii="Palatino Linotype" w:eastAsia="Palatino Linotype" w:hAnsi="Palatino Linotype" w:cs="Palatino Linotype"/>
          <w:b/>
          <w:sz w:val="22"/>
          <w:szCs w:val="22"/>
        </w:rPr>
        <w:t xml:space="preserve">Quinto. Notifíquese </w:t>
      </w:r>
      <w:r w:rsidRPr="005B3F42">
        <w:rPr>
          <w:rFonts w:ascii="Palatino Linotype" w:eastAsia="Palatino Linotype" w:hAnsi="Palatino Linotype" w:cs="Palatino Linotype"/>
          <w:sz w:val="22"/>
          <w:szCs w:val="22"/>
        </w:rPr>
        <w:t xml:space="preserve">a la parte </w:t>
      </w:r>
      <w:r w:rsidRPr="005B3F42">
        <w:rPr>
          <w:rFonts w:ascii="Palatino Linotype" w:eastAsia="Palatino Linotype" w:hAnsi="Palatino Linotype" w:cs="Palatino Linotype"/>
          <w:b/>
          <w:sz w:val="22"/>
          <w:szCs w:val="22"/>
        </w:rPr>
        <w:t xml:space="preserve">Recurrente </w:t>
      </w:r>
      <w:r w:rsidRPr="005B3F42">
        <w:rPr>
          <w:rFonts w:ascii="Palatino Linotype" w:eastAsia="Palatino Linotype" w:hAnsi="Palatino Linotype" w:cs="Palatino Linotype"/>
          <w:sz w:val="22"/>
          <w:szCs w:val="22"/>
        </w:rPr>
        <w:t xml:space="preserve">que la respuesta que dé el </w:t>
      </w:r>
      <w:r w:rsidRPr="005B3F42">
        <w:rPr>
          <w:rFonts w:ascii="Palatino Linotype" w:eastAsia="Palatino Linotype" w:hAnsi="Palatino Linotype" w:cs="Palatino Linotype"/>
          <w:b/>
          <w:sz w:val="22"/>
          <w:szCs w:val="22"/>
        </w:rPr>
        <w:t>Sujeto Obligado</w:t>
      </w:r>
      <w:r w:rsidRPr="005B3F4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B3F4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B3F42" w:rsidRDefault="00A76F12">
      <w:pPr>
        <w:spacing w:line="360" w:lineRule="auto"/>
        <w:jc w:val="both"/>
        <w:rPr>
          <w:rFonts w:ascii="Palatino Linotype" w:eastAsia="Palatino Linotype" w:hAnsi="Palatino Linotype" w:cs="Palatino Linotype"/>
          <w:b/>
          <w:sz w:val="22"/>
          <w:szCs w:val="22"/>
        </w:rPr>
      </w:pPr>
      <w:r w:rsidRPr="005B3F42">
        <w:rPr>
          <w:rFonts w:ascii="Palatino Linotype" w:eastAsia="Palatino Linotype" w:hAnsi="Palatino Linotype" w:cs="Palatino Linotype"/>
          <w:b/>
          <w:sz w:val="22"/>
          <w:szCs w:val="22"/>
        </w:rPr>
        <w:t xml:space="preserve">Sexto. Gírese </w:t>
      </w:r>
      <w:r w:rsidRPr="005B3F42">
        <w:rPr>
          <w:rFonts w:ascii="Palatino Linotype" w:eastAsia="Palatino Linotype" w:hAnsi="Palatino Linotype" w:cs="Palatino Linotype"/>
          <w:sz w:val="22"/>
          <w:szCs w:val="22"/>
        </w:rPr>
        <w:t xml:space="preserve">oficio a la </w:t>
      </w:r>
      <w:r w:rsidRPr="005B3F42">
        <w:rPr>
          <w:rFonts w:ascii="Palatino Linotype" w:eastAsia="Palatino Linotype" w:hAnsi="Palatino Linotype" w:cs="Palatino Linotype"/>
          <w:b/>
          <w:sz w:val="22"/>
          <w:szCs w:val="22"/>
        </w:rPr>
        <w:t>Secretaría Técnica del Pleno</w:t>
      </w:r>
      <w:r w:rsidRPr="005B3F4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B3F42">
        <w:rPr>
          <w:rFonts w:ascii="Palatino Linotype" w:eastAsia="Palatino Linotype" w:hAnsi="Palatino Linotype" w:cs="Palatino Linotype"/>
          <w:b/>
          <w:sz w:val="22"/>
          <w:szCs w:val="22"/>
        </w:rPr>
        <w:t xml:space="preserve"> </w:t>
      </w:r>
      <w:r w:rsidRPr="005B3F42">
        <w:rPr>
          <w:rFonts w:ascii="Palatino Linotype" w:eastAsia="Palatino Linotype" w:hAnsi="Palatino Linotype" w:cs="Palatino Linotype"/>
          <w:sz w:val="22"/>
          <w:szCs w:val="22"/>
        </w:rPr>
        <w:t>de la presente resolución.</w:t>
      </w:r>
      <w:r w:rsidRPr="005B3F42">
        <w:rPr>
          <w:rFonts w:ascii="Palatino Linotype" w:eastAsia="Palatino Linotype" w:hAnsi="Palatino Linotype" w:cs="Palatino Linotype"/>
          <w:b/>
          <w:sz w:val="22"/>
          <w:szCs w:val="22"/>
        </w:rPr>
        <w:t xml:space="preserve"> </w:t>
      </w:r>
    </w:p>
    <w:p w14:paraId="7F049394" w14:textId="77777777" w:rsidR="00532AE4" w:rsidRPr="005B3F4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336589" w:rsidRDefault="00A76F12">
      <w:pPr>
        <w:spacing w:line="360" w:lineRule="auto"/>
        <w:ind w:right="49"/>
        <w:jc w:val="both"/>
        <w:rPr>
          <w:rFonts w:ascii="Palatino Linotype" w:eastAsia="Palatino Linotype" w:hAnsi="Palatino Linotype" w:cs="Palatino Linotype"/>
          <w:sz w:val="22"/>
          <w:szCs w:val="22"/>
        </w:rPr>
        <w:sectPr w:rsidR="00532AE4" w:rsidRPr="0033658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B3F4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5B3F42">
        <w:rPr>
          <w:rFonts w:ascii="Palatino Linotype" w:eastAsia="Palatino Linotype" w:hAnsi="Palatino Linotype" w:cs="Palatino Linotype"/>
          <w:sz w:val="22"/>
          <w:szCs w:val="22"/>
        </w:rPr>
        <w:t>PRIMERA</w:t>
      </w:r>
      <w:r w:rsidRPr="005B3F42">
        <w:rPr>
          <w:rFonts w:ascii="Palatino Linotype" w:eastAsia="Palatino Linotype" w:hAnsi="Palatino Linotype" w:cs="Palatino Linotype"/>
          <w:sz w:val="22"/>
          <w:szCs w:val="22"/>
        </w:rPr>
        <w:t xml:space="preserve"> SESIÓN ORDINARIA CELEBRADA EL </w:t>
      </w:r>
      <w:r w:rsidR="00DF5516" w:rsidRPr="005B3F42">
        <w:rPr>
          <w:rFonts w:ascii="Palatino Linotype" w:eastAsia="Palatino Linotype" w:hAnsi="Palatino Linotype" w:cs="Palatino Linotype"/>
          <w:sz w:val="22"/>
          <w:szCs w:val="22"/>
        </w:rPr>
        <w:t>CATORCE DE ENERO DE DOS MIL VEINTISÉIS</w:t>
      </w:r>
      <w:r w:rsidRPr="005B3F42">
        <w:rPr>
          <w:rFonts w:ascii="Palatino Linotype" w:eastAsia="Palatino Linotype" w:hAnsi="Palatino Linotype" w:cs="Palatino Linotype"/>
          <w:sz w:val="22"/>
          <w:szCs w:val="22"/>
        </w:rPr>
        <w:t>, ANTE EL SECRETARIO TÉCNICO DEL PLENO ALEXIS TAPIA RAMÍREZ.</w:t>
      </w:r>
      <w:r w:rsidRPr="00336589">
        <w:rPr>
          <w:rFonts w:ascii="Palatino Linotype" w:eastAsia="Palatino Linotype" w:hAnsi="Palatino Linotype" w:cs="Palatino Linotype"/>
          <w:sz w:val="22"/>
          <w:szCs w:val="22"/>
        </w:rPr>
        <w:t xml:space="preserve"> </w:t>
      </w:r>
    </w:p>
    <w:p w14:paraId="74E02134" w14:textId="77777777" w:rsidR="00532AE4" w:rsidRPr="00336589"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36589" w:rsidRDefault="00532AE4">
      <w:pPr>
        <w:rPr>
          <w:sz w:val="22"/>
          <w:szCs w:val="22"/>
        </w:rPr>
      </w:pPr>
    </w:p>
    <w:sectPr w:rsidR="00532AE4" w:rsidRPr="0033658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9713" w14:textId="77777777" w:rsidR="0009481E" w:rsidRDefault="0009481E">
      <w:r>
        <w:separator/>
      </w:r>
    </w:p>
  </w:endnote>
  <w:endnote w:type="continuationSeparator" w:id="0">
    <w:p w14:paraId="28D79D9E" w14:textId="77777777" w:rsidR="0009481E" w:rsidRDefault="0009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29D7FDB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3F4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3F4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36EECE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3F4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3F4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BB29" w14:textId="77777777" w:rsidR="0009481E" w:rsidRDefault="0009481E">
      <w:r>
        <w:separator/>
      </w:r>
    </w:p>
  </w:footnote>
  <w:footnote w:type="continuationSeparator" w:id="0">
    <w:p w14:paraId="4A297566" w14:textId="77777777" w:rsidR="0009481E" w:rsidRDefault="0009481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7EA172E" w:rsidR="00532AE4" w:rsidRDefault="00E55CFA"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1333</w:t>
          </w:r>
          <w:r w:rsidR="00BB1677">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D82620C" w:rsidR="00532AE4" w:rsidRDefault="00BB1677"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13339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9B1AFBD" w:rsidR="00532AE4" w:rsidRDefault="00F053B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0994601">
    <w:abstractNumId w:val="2"/>
  </w:num>
  <w:num w:numId="2" w16cid:durableId="1504510069">
    <w:abstractNumId w:val="4"/>
  </w:num>
  <w:num w:numId="3" w16cid:durableId="1337028246">
    <w:abstractNumId w:val="0"/>
  </w:num>
  <w:num w:numId="4" w16cid:durableId="2123262806">
    <w:abstractNumId w:val="1"/>
  </w:num>
  <w:num w:numId="5" w16cid:durableId="1344088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672C5"/>
    <w:rsid w:val="0009481E"/>
    <w:rsid w:val="00095E46"/>
    <w:rsid w:val="0009768A"/>
    <w:rsid w:val="00097E14"/>
    <w:rsid w:val="000A27C2"/>
    <w:rsid w:val="000B2D33"/>
    <w:rsid w:val="000B42A5"/>
    <w:rsid w:val="000E1DD7"/>
    <w:rsid w:val="000E7889"/>
    <w:rsid w:val="00111565"/>
    <w:rsid w:val="0012087F"/>
    <w:rsid w:val="00160B51"/>
    <w:rsid w:val="00182B72"/>
    <w:rsid w:val="001E0FB7"/>
    <w:rsid w:val="0021726A"/>
    <w:rsid w:val="002222E9"/>
    <w:rsid w:val="002275D9"/>
    <w:rsid w:val="002502E3"/>
    <w:rsid w:val="00256FA6"/>
    <w:rsid w:val="002839FA"/>
    <w:rsid w:val="002859C5"/>
    <w:rsid w:val="0029155A"/>
    <w:rsid w:val="002A005F"/>
    <w:rsid w:val="002B2F77"/>
    <w:rsid w:val="003352D2"/>
    <w:rsid w:val="00336589"/>
    <w:rsid w:val="00390FDA"/>
    <w:rsid w:val="003A1F72"/>
    <w:rsid w:val="003A5E74"/>
    <w:rsid w:val="003F5B61"/>
    <w:rsid w:val="00440AF2"/>
    <w:rsid w:val="00452503"/>
    <w:rsid w:val="0049221F"/>
    <w:rsid w:val="004B5CF1"/>
    <w:rsid w:val="004F703B"/>
    <w:rsid w:val="00502898"/>
    <w:rsid w:val="005043C3"/>
    <w:rsid w:val="005231DC"/>
    <w:rsid w:val="00532AE4"/>
    <w:rsid w:val="005A79AC"/>
    <w:rsid w:val="005B3F42"/>
    <w:rsid w:val="0061438F"/>
    <w:rsid w:val="006E680C"/>
    <w:rsid w:val="006F4F00"/>
    <w:rsid w:val="0071274F"/>
    <w:rsid w:val="007576B0"/>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425"/>
    <w:rsid w:val="00B10389"/>
    <w:rsid w:val="00B267B6"/>
    <w:rsid w:val="00B30D2B"/>
    <w:rsid w:val="00B33431"/>
    <w:rsid w:val="00B503D1"/>
    <w:rsid w:val="00B64FEA"/>
    <w:rsid w:val="00BB1677"/>
    <w:rsid w:val="00BC6C53"/>
    <w:rsid w:val="00BD2189"/>
    <w:rsid w:val="00C24C97"/>
    <w:rsid w:val="00C5586C"/>
    <w:rsid w:val="00D11150"/>
    <w:rsid w:val="00D21D23"/>
    <w:rsid w:val="00D65E9E"/>
    <w:rsid w:val="00D763D8"/>
    <w:rsid w:val="00DA70B4"/>
    <w:rsid w:val="00DD2558"/>
    <w:rsid w:val="00DD32DE"/>
    <w:rsid w:val="00DD5465"/>
    <w:rsid w:val="00DE2CA6"/>
    <w:rsid w:val="00DF5516"/>
    <w:rsid w:val="00E22397"/>
    <w:rsid w:val="00E23DB9"/>
    <w:rsid w:val="00E27793"/>
    <w:rsid w:val="00E40BD5"/>
    <w:rsid w:val="00E55CFA"/>
    <w:rsid w:val="00E733A4"/>
    <w:rsid w:val="00E94299"/>
    <w:rsid w:val="00EE5E30"/>
    <w:rsid w:val="00EF743D"/>
    <w:rsid w:val="00F053B3"/>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01A8F7B-2A42-495B-BC32-9D5BE28EAE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6879</Words>
  <Characters>37839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2026-01-16T17:23:00Z</cp:lastPrinted>
  <dcterms:created xsi:type="dcterms:W3CDTF">2026-03-18T19:31:00Z</dcterms:created>
  <dcterms:modified xsi:type="dcterms:W3CDTF">2026-03-18T19:31:00Z</dcterms:modified>
</cp:coreProperties>
</file>