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C7F" w:rsidRPr="00D6064C" w:rsidRDefault="00EF4452" w:rsidP="00D6064C">
      <w:pPr>
        <w:spacing w:line="360" w:lineRule="auto"/>
        <w:jc w:val="both"/>
        <w:rPr>
          <w:rFonts w:ascii="Palatino Linotype" w:eastAsia="Palatino Linotype" w:hAnsi="Palatino Linotype" w:cs="Palatino Linotype"/>
          <w:color w:val="000000" w:themeColor="text1"/>
        </w:rPr>
      </w:pPr>
      <w:bookmarkStart w:id="0" w:name="_GoBack"/>
      <w:bookmarkEnd w:id="0"/>
      <w:r w:rsidRPr="00D6064C">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D6064C">
        <w:rPr>
          <w:rFonts w:ascii="Palatino Linotype" w:eastAsia="Palatino Linotype" w:hAnsi="Palatino Linotype" w:cs="Palatino Linotype"/>
          <w:b/>
          <w:color w:val="000000" w:themeColor="text1"/>
        </w:rPr>
        <w:t xml:space="preserve">de fecha catorce (14) </w:t>
      </w:r>
      <w:r w:rsidR="00D6064C" w:rsidRPr="00157555">
        <w:rPr>
          <w:rFonts w:ascii="Palatino Linotype" w:eastAsia="Palatino Linotype" w:hAnsi="Palatino Linotype" w:cs="Palatino Linotype"/>
          <w:b/>
          <w:color w:val="000000" w:themeColor="text1"/>
        </w:rPr>
        <w:t xml:space="preserve">de </w:t>
      </w:r>
      <w:r w:rsidR="00D6064C">
        <w:rPr>
          <w:rFonts w:ascii="Palatino Linotype" w:eastAsia="Palatino Linotype" w:hAnsi="Palatino Linotype" w:cs="Palatino Linotype"/>
          <w:b/>
          <w:color w:val="000000" w:themeColor="text1"/>
        </w:rPr>
        <w:t xml:space="preserve">enero </w:t>
      </w:r>
      <w:r w:rsidR="00D6064C" w:rsidRPr="00157555">
        <w:rPr>
          <w:rFonts w:ascii="Palatino Linotype" w:eastAsia="Palatino Linotype" w:hAnsi="Palatino Linotype" w:cs="Palatino Linotype"/>
          <w:b/>
          <w:color w:val="000000" w:themeColor="text1"/>
        </w:rPr>
        <w:t xml:space="preserve">de dos mil </w:t>
      </w:r>
      <w:r w:rsidR="00D6064C">
        <w:rPr>
          <w:rFonts w:ascii="Palatino Linotype" w:eastAsia="Palatino Linotype" w:hAnsi="Palatino Linotype" w:cs="Palatino Linotype"/>
          <w:b/>
          <w:color w:val="000000" w:themeColor="text1"/>
        </w:rPr>
        <w:t>veintiséis</w:t>
      </w:r>
      <w:r w:rsidRPr="00D6064C">
        <w:rPr>
          <w:rFonts w:ascii="Palatino Linotype" w:eastAsia="Palatino Linotype" w:hAnsi="Palatino Linotype" w:cs="Palatino Linotype"/>
          <w:b/>
          <w:bCs/>
          <w:color w:val="000000" w:themeColor="text1"/>
        </w:rPr>
        <w:t>.</w:t>
      </w:r>
    </w:p>
    <w:p w:rsidR="008E1C7F" w:rsidRPr="00D6064C" w:rsidRDefault="008E1C7F" w:rsidP="00D6064C">
      <w:pPr>
        <w:spacing w:line="360" w:lineRule="auto"/>
        <w:jc w:val="both"/>
        <w:rPr>
          <w:rFonts w:ascii="Palatino Linotype" w:eastAsia="Palatino Linotype" w:hAnsi="Palatino Linotype" w:cs="Palatino Linotype"/>
          <w:b/>
          <w:bCs/>
          <w:color w:val="000000" w:themeColor="text1"/>
        </w:rPr>
      </w:pPr>
    </w:p>
    <w:p w:rsidR="008E1C7F" w:rsidRPr="00D6064C" w:rsidRDefault="00EF4452" w:rsidP="00D6064C">
      <w:pPr>
        <w:spacing w:line="360" w:lineRule="auto"/>
        <w:jc w:val="both"/>
        <w:rPr>
          <w:rFonts w:ascii="Palatino Linotype" w:eastAsia="Palatino Linotype" w:hAnsi="Palatino Linotype" w:cs="Palatino Linotype"/>
          <w:color w:val="000000" w:themeColor="text1"/>
        </w:rPr>
      </w:pPr>
      <w:bookmarkStart w:id="1" w:name="_heading=h.gjdgxs" w:colFirst="0" w:colLast="0"/>
      <w:bookmarkEnd w:id="1"/>
      <w:r w:rsidRPr="00D6064C">
        <w:rPr>
          <w:rFonts w:ascii="Palatino Linotype" w:eastAsia="Palatino Linotype" w:hAnsi="Palatino Linotype" w:cs="Palatino Linotype"/>
          <w:b/>
          <w:bCs/>
          <w:color w:val="000000" w:themeColor="text1"/>
        </w:rPr>
        <w:t>VISTO</w:t>
      </w:r>
      <w:r w:rsidRPr="00D6064C">
        <w:rPr>
          <w:rFonts w:ascii="Palatino Linotype" w:eastAsia="Palatino Linotype" w:hAnsi="Palatino Linotype" w:cs="Palatino Linotype"/>
          <w:color w:val="000000" w:themeColor="text1"/>
        </w:rPr>
        <w:t xml:space="preserve"> el expediente electrónico formado con motivo del recurso de revisión </w:t>
      </w:r>
      <w:r w:rsidRPr="00D6064C">
        <w:rPr>
          <w:rFonts w:ascii="Palatino Linotype" w:eastAsia="Palatino Linotype" w:hAnsi="Palatino Linotype" w:cs="Palatino Linotype"/>
          <w:b/>
          <w:bCs/>
          <w:color w:val="000000" w:themeColor="text1"/>
        </w:rPr>
        <w:t xml:space="preserve">09933/INFOEM/IP/RR/2025 </w:t>
      </w:r>
      <w:r w:rsidRPr="00D6064C">
        <w:rPr>
          <w:rFonts w:ascii="Palatino Linotype" w:eastAsia="Palatino Linotype" w:hAnsi="Palatino Linotype" w:cs="Palatino Linotype"/>
          <w:color w:val="000000" w:themeColor="text1"/>
        </w:rPr>
        <w:t xml:space="preserve">promovido por </w:t>
      </w:r>
      <w:r w:rsidRPr="00D6064C">
        <w:rPr>
          <w:rFonts w:ascii="Palatino Linotype" w:eastAsia="Palatino Linotype" w:hAnsi="Palatino Linotype" w:cs="Palatino Linotype"/>
          <w:b/>
          <w:bCs/>
          <w:color w:val="000000" w:themeColor="text1"/>
        </w:rPr>
        <w:t>una persona que no proporcionó datos de identificación</w:t>
      </w:r>
      <w:r w:rsidRPr="00D6064C">
        <w:rPr>
          <w:rFonts w:ascii="Palatino Linotype" w:eastAsia="Palatino Linotype" w:hAnsi="Palatino Linotype" w:cs="Palatino Linotype"/>
          <w:color w:val="000000" w:themeColor="text1"/>
        </w:rPr>
        <w:t>, a través del</w:t>
      </w:r>
      <w:r w:rsidRPr="00D6064C">
        <w:rPr>
          <w:rFonts w:ascii="Palatino Linotype" w:eastAsia="Palatino Linotype" w:hAnsi="Palatino Linotype" w:cs="Palatino Linotype"/>
          <w:b/>
          <w:bCs/>
          <w:color w:val="000000" w:themeColor="text1"/>
        </w:rPr>
        <w:t xml:space="preserve"> Sistema de Acceso a la Información Mexiquense (SAIMEX),</w:t>
      </w:r>
      <w:r w:rsidRPr="00D6064C">
        <w:rPr>
          <w:rFonts w:ascii="Palatino Linotype" w:eastAsia="Palatino Linotype" w:hAnsi="Palatino Linotype" w:cs="Palatino Linotype"/>
          <w:color w:val="000000" w:themeColor="text1"/>
        </w:rPr>
        <w:t xml:space="preserve"> a quien en lo sucesivo se identificará como </w:t>
      </w:r>
      <w:r w:rsidRPr="00D6064C">
        <w:rPr>
          <w:rFonts w:ascii="Palatino Linotype" w:eastAsia="Palatino Linotype" w:hAnsi="Palatino Linotype" w:cs="Palatino Linotype"/>
          <w:b/>
          <w:bCs/>
          <w:color w:val="000000" w:themeColor="text1"/>
        </w:rPr>
        <w:t>EL RECURRENTE</w:t>
      </w:r>
      <w:r w:rsidRPr="00D6064C">
        <w:rPr>
          <w:rFonts w:ascii="Palatino Linotype" w:eastAsia="Palatino Linotype" w:hAnsi="Palatino Linotype" w:cs="Palatino Linotype"/>
          <w:color w:val="000000" w:themeColor="text1"/>
        </w:rPr>
        <w:t xml:space="preserve">, en contra de la respuesta del </w:t>
      </w:r>
      <w:r w:rsidRPr="00D6064C">
        <w:rPr>
          <w:rFonts w:ascii="Palatino Linotype" w:eastAsia="Palatino Linotype" w:hAnsi="Palatino Linotype" w:cs="Palatino Linotype"/>
          <w:b/>
          <w:bCs/>
          <w:color w:val="000000" w:themeColor="text1"/>
        </w:rPr>
        <w:t xml:space="preserve">Ayuntamiento de Zinacantepec, </w:t>
      </w:r>
      <w:r w:rsidRPr="00D6064C">
        <w:rPr>
          <w:rFonts w:ascii="Palatino Linotype" w:eastAsia="Palatino Linotype" w:hAnsi="Palatino Linotype" w:cs="Palatino Linotype"/>
          <w:color w:val="000000" w:themeColor="text1"/>
        </w:rPr>
        <w:t>en adelante el</w:t>
      </w:r>
      <w:r w:rsidRPr="00D6064C">
        <w:rPr>
          <w:rFonts w:ascii="Palatino Linotype" w:eastAsia="Palatino Linotype" w:hAnsi="Palatino Linotype" w:cs="Palatino Linotype"/>
          <w:b/>
          <w:bCs/>
          <w:color w:val="000000" w:themeColor="text1"/>
        </w:rPr>
        <w:t xml:space="preserve"> SUJETO OBLIGADO</w:t>
      </w:r>
      <w:r w:rsidRPr="00D6064C">
        <w:rPr>
          <w:rFonts w:ascii="Palatino Linotype" w:eastAsia="Palatino Linotype" w:hAnsi="Palatino Linotype" w:cs="Palatino Linotype"/>
          <w:color w:val="000000" w:themeColor="text1"/>
        </w:rPr>
        <w:t>, por lo que se procede a dictar la presente resolución, con base en los siguientes:</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spacing w:line="360" w:lineRule="auto"/>
        <w:jc w:val="center"/>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A N T E C E D E N T E S</w:t>
      </w: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EF4452" w:rsidP="00D6064C">
      <w:pPr>
        <w:numPr>
          <w:ilvl w:val="0"/>
          <w:numId w:val="12"/>
        </w:numPr>
        <w:spacing w:line="360" w:lineRule="auto"/>
        <w:ind w:left="0" w:firstLine="0"/>
        <w:jc w:val="both"/>
        <w:rPr>
          <w:rFonts w:ascii="Palatino Linotype" w:hAnsi="Palatino Linotype"/>
          <w:color w:val="000000" w:themeColor="text1"/>
        </w:rPr>
      </w:pPr>
      <w:r w:rsidRPr="00D6064C">
        <w:rPr>
          <w:rFonts w:ascii="Palatino Linotype" w:eastAsia="Palatino Linotype" w:hAnsi="Palatino Linotype" w:cs="Palatino Linotype"/>
          <w:color w:val="000000" w:themeColor="text1"/>
        </w:rPr>
        <w:t xml:space="preserve">El fecha </w:t>
      </w:r>
      <w:r w:rsidRPr="00D6064C">
        <w:rPr>
          <w:rFonts w:ascii="Palatino Linotype" w:eastAsia="Palatino Linotype" w:hAnsi="Palatino Linotype" w:cs="Palatino Linotype"/>
          <w:b/>
          <w:bCs/>
          <w:color w:val="000000" w:themeColor="text1"/>
        </w:rPr>
        <w:t>veintisiete de junio de dos mil veinticinco</w:t>
      </w:r>
      <w:r w:rsidRPr="00D6064C">
        <w:rPr>
          <w:rFonts w:ascii="Palatino Linotype" w:eastAsia="Palatino Linotype" w:hAnsi="Palatino Linotype" w:cs="Palatino Linotype"/>
          <w:color w:val="000000" w:themeColor="text1"/>
        </w:rPr>
        <w:t xml:space="preserve">, </w:t>
      </w:r>
      <w:r w:rsidRPr="00D6064C">
        <w:rPr>
          <w:rFonts w:ascii="Palatino Linotype" w:eastAsia="Palatino Linotype" w:hAnsi="Palatino Linotype" w:cs="Palatino Linotype"/>
          <w:b/>
          <w:bCs/>
          <w:color w:val="000000" w:themeColor="text1"/>
        </w:rPr>
        <w:t>EL RECURRENTE,</w:t>
      </w:r>
      <w:r w:rsidRPr="00D6064C">
        <w:rPr>
          <w:rFonts w:ascii="Palatino Linotype" w:eastAsia="Palatino Linotype" w:hAnsi="Palatino Linotype" w:cs="Palatino Linotype"/>
          <w:color w:val="000000" w:themeColor="text1"/>
        </w:rPr>
        <w:t xml:space="preserve"> ante el </w:t>
      </w:r>
      <w:r w:rsidRPr="00D6064C">
        <w:rPr>
          <w:rFonts w:ascii="Palatino Linotype" w:eastAsia="Palatino Linotype" w:hAnsi="Palatino Linotype" w:cs="Palatino Linotype"/>
          <w:b/>
          <w:bCs/>
          <w:color w:val="000000" w:themeColor="text1"/>
        </w:rPr>
        <w:t>SUJETO OBLIGADO</w:t>
      </w:r>
      <w:r w:rsidRPr="00D6064C">
        <w:rPr>
          <w:rFonts w:ascii="Palatino Linotype" w:eastAsia="Palatino Linotype" w:hAnsi="Palatino Linotype" w:cs="Palatino Linotype"/>
          <w:color w:val="000000" w:themeColor="text1"/>
        </w:rPr>
        <w:t xml:space="preserve"> vía Sistema de Acceso a la Información Mexiquense (</w:t>
      </w:r>
      <w:r w:rsidRPr="00D6064C">
        <w:rPr>
          <w:rFonts w:ascii="Palatino Linotype" w:eastAsia="Palatino Linotype" w:hAnsi="Palatino Linotype" w:cs="Palatino Linotype"/>
          <w:b/>
          <w:bCs/>
          <w:color w:val="000000" w:themeColor="text1"/>
        </w:rPr>
        <w:t>SAIMEX)</w:t>
      </w:r>
      <w:r w:rsidRPr="00D6064C">
        <w:rPr>
          <w:rFonts w:ascii="Palatino Linotype" w:eastAsia="Palatino Linotype" w:hAnsi="Palatino Linotype" w:cs="Palatino Linotype"/>
          <w:color w:val="000000" w:themeColor="text1"/>
        </w:rPr>
        <w:t xml:space="preserve">, presentó las solicitudes de información registrada con el folio </w:t>
      </w:r>
      <w:r w:rsidR="00D6064C">
        <w:rPr>
          <w:rFonts w:ascii="Palatino Linotype" w:eastAsia="Palatino Linotype" w:hAnsi="Palatino Linotype" w:cs="Palatino Linotype"/>
          <w:b/>
          <w:bCs/>
          <w:color w:val="000000" w:themeColor="text1"/>
        </w:rPr>
        <w:t>00535/ZINACANT/IP/2025</w:t>
      </w:r>
      <w:r w:rsidRPr="00D6064C">
        <w:rPr>
          <w:rFonts w:ascii="Palatino Linotype" w:eastAsia="Palatino Linotype" w:hAnsi="Palatino Linotype" w:cs="Palatino Linotype"/>
          <w:b/>
          <w:bCs/>
          <w:color w:val="000000" w:themeColor="text1"/>
        </w:rPr>
        <w:t xml:space="preserve">, </w:t>
      </w:r>
      <w:r w:rsidRPr="00D6064C">
        <w:rPr>
          <w:rFonts w:ascii="Palatino Linotype" w:eastAsia="Palatino Linotype" w:hAnsi="Palatino Linotype" w:cs="Palatino Linotype"/>
          <w:color w:val="000000" w:themeColor="text1"/>
        </w:rPr>
        <w:t>en la que se solicitó lo siguiente:</w:t>
      </w:r>
    </w:p>
    <w:p w:rsidR="008E1C7F" w:rsidRPr="00D6064C" w:rsidRDefault="008E1C7F" w:rsidP="00D6064C">
      <w:pPr>
        <w:jc w:val="both"/>
        <w:rPr>
          <w:rFonts w:ascii="Palatino Linotype" w:eastAsia="Palatino Linotype" w:hAnsi="Palatino Linotype" w:cs="Palatino Linotype"/>
          <w:i/>
          <w:iCs/>
          <w:color w:val="000000" w:themeColor="text1"/>
        </w:rPr>
      </w:pPr>
    </w:p>
    <w:p w:rsidR="008E1C7F" w:rsidRPr="00D6064C" w:rsidRDefault="00EF4452" w:rsidP="00D6064C">
      <w:pPr>
        <w:jc w:val="both"/>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i/>
          <w:iCs/>
          <w:color w:val="000000" w:themeColor="text1"/>
        </w:rPr>
        <w:t xml:space="preserve"> “solicito los oficios firmados por los directores, coordinadores o quienes sean para poder pedir prorroga remitidos a la titular de transparencia, asi mismo solicito los oficios de respuesta por parte de la unidad de transparencia otorgando dicha prorroga esto con sustento del acta del comite de transparencia en donde se aprueben las mencionadas prorrogas. esto de todas las solicitudes del año 2025”(Sic).</w:t>
      </w:r>
    </w:p>
    <w:p w:rsidR="008E1C7F" w:rsidRDefault="008E1C7F" w:rsidP="00D6064C">
      <w:pPr>
        <w:jc w:val="both"/>
        <w:rPr>
          <w:rFonts w:ascii="Palatino Linotype" w:eastAsia="Palatino Linotype" w:hAnsi="Palatino Linotype" w:cs="Palatino Linotype"/>
          <w:i/>
          <w:iCs/>
          <w:color w:val="000000" w:themeColor="text1"/>
        </w:rPr>
      </w:pPr>
    </w:p>
    <w:p w:rsidR="00AB63B5" w:rsidRPr="00D6064C" w:rsidRDefault="00AB63B5" w:rsidP="00D6064C">
      <w:pPr>
        <w:jc w:val="both"/>
        <w:rPr>
          <w:rFonts w:ascii="Palatino Linotype" w:eastAsia="Palatino Linotype" w:hAnsi="Palatino Linotype" w:cs="Palatino Linotype"/>
          <w:i/>
          <w:iCs/>
          <w:color w:val="000000" w:themeColor="text1"/>
        </w:rPr>
      </w:pPr>
    </w:p>
    <w:p w:rsidR="008E1C7F" w:rsidRPr="00D6064C" w:rsidRDefault="00EF4452" w:rsidP="00D6064C">
      <w:pPr>
        <w:numPr>
          <w:ilvl w:val="0"/>
          <w:numId w:val="8"/>
        </w:numP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b/>
          <w:bCs/>
          <w:color w:val="000000" w:themeColor="text1"/>
        </w:rPr>
        <w:lastRenderedPageBreak/>
        <w:t>Modalidad de entrega</w:t>
      </w:r>
      <w:r w:rsidRPr="00D6064C">
        <w:rPr>
          <w:rFonts w:ascii="Palatino Linotype" w:eastAsia="Palatino Linotype" w:hAnsi="Palatino Linotype" w:cs="Palatino Linotype"/>
          <w:color w:val="000000" w:themeColor="text1"/>
        </w:rPr>
        <w:t xml:space="preserve">: </w:t>
      </w:r>
      <w:r w:rsidRPr="00D6064C">
        <w:rPr>
          <w:rFonts w:ascii="Palatino Linotype" w:eastAsia="Palatino Linotype" w:hAnsi="Palatino Linotype" w:cs="Palatino Linotype"/>
          <w:i/>
          <w:iCs/>
          <w:color w:val="000000" w:themeColor="text1"/>
        </w:rPr>
        <w:t xml:space="preserve">por medio del Sistema de Acceso a la Información </w:t>
      </w:r>
      <w:r w:rsidRPr="00D6064C">
        <w:rPr>
          <w:rFonts w:ascii="Palatino Linotype" w:eastAsia="Palatino Linotype" w:hAnsi="Palatino Linotype" w:cs="Palatino Linotype"/>
          <w:color w:val="000000" w:themeColor="text1"/>
        </w:rPr>
        <w:t>(</w:t>
      </w:r>
      <w:r w:rsidRPr="00D6064C">
        <w:rPr>
          <w:rFonts w:ascii="Palatino Linotype" w:eastAsia="Palatino Linotype" w:hAnsi="Palatino Linotype" w:cs="Palatino Linotype"/>
          <w:b/>
          <w:bCs/>
          <w:color w:val="000000" w:themeColor="text1"/>
        </w:rPr>
        <w:t>SAIMEX).</w:t>
      </w:r>
    </w:p>
    <w:p w:rsidR="008E1C7F" w:rsidRPr="00D6064C" w:rsidRDefault="008E1C7F" w:rsidP="00D6064C">
      <w:pPr>
        <w:spacing w:line="360" w:lineRule="auto"/>
        <w:jc w:val="both"/>
        <w:rPr>
          <w:rFonts w:ascii="Palatino Linotype" w:eastAsia="Palatino Linotype" w:hAnsi="Palatino Linotype" w:cs="Palatino Linotype"/>
          <w:i/>
          <w:iCs/>
          <w:color w:val="000000" w:themeColor="text1"/>
        </w:rPr>
      </w:pPr>
    </w:p>
    <w:p w:rsidR="008E1C7F" w:rsidRPr="00D6064C" w:rsidRDefault="00EF4452" w:rsidP="00D6064C">
      <w:pPr>
        <w:numPr>
          <w:ilvl w:val="0"/>
          <w:numId w:val="11"/>
        </w:numP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En fecha </w:t>
      </w:r>
      <w:r w:rsidRPr="00D6064C">
        <w:rPr>
          <w:rFonts w:ascii="Palatino Linotype" w:eastAsia="Palatino Linotype" w:hAnsi="Palatino Linotype" w:cs="Palatino Linotype"/>
          <w:b/>
          <w:bCs/>
          <w:color w:val="000000" w:themeColor="text1"/>
        </w:rPr>
        <w:t>doce de agosto de dos mil veinticinco</w:t>
      </w:r>
      <w:r w:rsidRPr="00D6064C">
        <w:rPr>
          <w:rFonts w:ascii="Palatino Linotype" w:eastAsia="Palatino Linotype" w:hAnsi="Palatino Linotype" w:cs="Palatino Linotype"/>
          <w:color w:val="000000" w:themeColor="text1"/>
        </w:rPr>
        <w:t xml:space="preserve">, el </w:t>
      </w:r>
      <w:r w:rsidRPr="00D6064C">
        <w:rPr>
          <w:rFonts w:ascii="Palatino Linotype" w:eastAsia="Palatino Linotype" w:hAnsi="Palatino Linotype" w:cs="Palatino Linotype"/>
          <w:b/>
          <w:bCs/>
          <w:color w:val="000000" w:themeColor="text1"/>
        </w:rPr>
        <w:t>SUJETO OBLIGADO</w:t>
      </w:r>
      <w:r w:rsidRPr="00D6064C">
        <w:rPr>
          <w:rFonts w:ascii="Palatino Linotype" w:eastAsia="Palatino Linotype" w:hAnsi="Palatino Linotype" w:cs="Palatino Linotype"/>
          <w:color w:val="000000" w:themeColor="text1"/>
        </w:rPr>
        <w:t xml:space="preserve"> dio respuesta a la solicitud de información adjuntando dos  archivos digitales en formato pdf  de los que se desglosa su contenido grosso modo:</w:t>
      </w:r>
    </w:p>
    <w:p w:rsidR="008E1C7F" w:rsidRPr="00D6064C" w:rsidRDefault="00EF4452" w:rsidP="00D6064C">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color w:val="000000" w:themeColor="text1"/>
        </w:rPr>
        <w:t>RESPUESTA SOLICITUD 535.pdf</w:t>
      </w:r>
      <w:r w:rsidRPr="00D6064C">
        <w:rPr>
          <w:rFonts w:ascii="Palatino Linotype" w:eastAsia="Palatino Linotype" w:hAnsi="Palatino Linotype" w:cs="Palatino Linotype"/>
          <w:color w:val="000000" w:themeColor="text1"/>
        </w:rPr>
        <w:t xml:space="preserve"> : </w:t>
      </w:r>
      <w:r w:rsidRPr="00D6064C">
        <w:rPr>
          <w:rFonts w:ascii="Palatino Linotype" w:eastAsia="Palatino Linotype" w:hAnsi="Palatino Linotype" w:cs="Palatino Linotype"/>
          <w:i/>
          <w:iCs/>
          <w:color w:val="000000" w:themeColor="text1"/>
        </w:rPr>
        <w:t>Donde el titular de  la Unidad de Transparencia Informa que el Comité de Transparencia aprobó la ampliación por 7 días hábiles de las solicitudes ingresadas a través del SAIMEX como un mecanismo de eficiencia en los procesos de atención a los requerimiento ciudadanos, considerando la carga de trabajo de las unidades administrativas.</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numPr>
          <w:ilvl w:val="0"/>
          <w:numId w:val="11"/>
        </w:numP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En fecha </w:t>
      </w:r>
      <w:r w:rsidRPr="00D6064C">
        <w:rPr>
          <w:rFonts w:ascii="Palatino Linotype" w:eastAsia="Palatino Linotype" w:hAnsi="Palatino Linotype" w:cs="Palatino Linotype"/>
          <w:b/>
          <w:bCs/>
          <w:color w:val="000000" w:themeColor="text1"/>
        </w:rPr>
        <w:t>veintidós de agosto de dos mil veinticinco</w:t>
      </w:r>
      <w:r w:rsidRPr="00D6064C">
        <w:rPr>
          <w:rFonts w:ascii="Palatino Linotype" w:eastAsia="Palatino Linotype" w:hAnsi="Palatino Linotype" w:cs="Palatino Linotype"/>
          <w:color w:val="000000" w:themeColor="text1"/>
        </w:rPr>
        <w:t>, el particular interpuso el recurso de revisión en contra de la respuesta, manifestando :</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AB63B5" w:rsidRDefault="00AB63B5" w:rsidP="00AB63B5">
      <w:pPr>
        <w:pStyle w:val="Prrafodelista"/>
        <w:numPr>
          <w:ilvl w:val="0"/>
          <w:numId w:val="17"/>
        </w:numPr>
        <w:jc w:val="both"/>
        <w:rPr>
          <w:rFonts w:ascii="Palatino Linotype" w:eastAsia="Palatino Linotype" w:hAnsi="Palatino Linotype" w:cs="Palatino Linotype"/>
          <w:b/>
          <w:bCs/>
          <w:i/>
          <w:iCs/>
          <w:color w:val="000000" w:themeColor="text1"/>
        </w:rPr>
      </w:pPr>
      <w:r w:rsidRPr="00AB63B5">
        <w:rPr>
          <w:rFonts w:ascii="Palatino Linotype" w:eastAsia="Palatino Linotype" w:hAnsi="Palatino Linotype" w:cs="Palatino Linotype"/>
          <w:b/>
          <w:bCs/>
          <w:color w:val="000000" w:themeColor="text1"/>
        </w:rPr>
        <w:t>ACTO IMPUGNADO:</w:t>
      </w:r>
      <w:r w:rsidRPr="00AB63B5">
        <w:rPr>
          <w:rFonts w:ascii="Palatino Linotype" w:eastAsia="Palatino Linotype" w:hAnsi="Palatino Linotype" w:cs="Palatino Linotype"/>
          <w:b/>
          <w:bCs/>
          <w:i/>
          <w:iCs/>
          <w:color w:val="000000" w:themeColor="text1"/>
        </w:rPr>
        <w:t xml:space="preserve"> </w:t>
      </w:r>
    </w:p>
    <w:p w:rsidR="008E1C7F" w:rsidRPr="00D6064C" w:rsidRDefault="00EF4452" w:rsidP="00AB63B5">
      <w:pPr>
        <w:ind w:firstLine="36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i/>
          <w:iCs/>
          <w:color w:val="000000" w:themeColor="text1"/>
        </w:rPr>
        <w:t>“NO ENTREGA INFORMACION” (Sic)</w:t>
      </w:r>
    </w:p>
    <w:p w:rsidR="008E1C7F" w:rsidRPr="00D6064C" w:rsidRDefault="008E1C7F" w:rsidP="00D6064C">
      <w:pPr>
        <w:jc w:val="both"/>
        <w:rPr>
          <w:rFonts w:ascii="Palatino Linotype" w:eastAsia="Palatino Linotype" w:hAnsi="Palatino Linotype" w:cs="Palatino Linotype"/>
          <w:i/>
          <w:iCs/>
          <w:color w:val="000000" w:themeColor="text1"/>
        </w:rPr>
      </w:pPr>
    </w:p>
    <w:p w:rsidR="008E1C7F" w:rsidRPr="00AB63B5" w:rsidRDefault="00AB63B5" w:rsidP="00AB63B5">
      <w:pPr>
        <w:pStyle w:val="Prrafodelista"/>
        <w:numPr>
          <w:ilvl w:val="0"/>
          <w:numId w:val="17"/>
        </w:numPr>
        <w:jc w:val="both"/>
        <w:rPr>
          <w:rFonts w:ascii="Palatino Linotype" w:eastAsia="Palatino Linotype" w:hAnsi="Palatino Linotype" w:cs="Palatino Linotype"/>
          <w:b/>
          <w:bCs/>
          <w:color w:val="000000" w:themeColor="text1"/>
        </w:rPr>
      </w:pPr>
      <w:r w:rsidRPr="00AB63B5">
        <w:rPr>
          <w:rFonts w:ascii="Palatino Linotype" w:eastAsia="Palatino Linotype" w:hAnsi="Palatino Linotype" w:cs="Palatino Linotype"/>
          <w:b/>
          <w:bCs/>
          <w:color w:val="000000" w:themeColor="text1"/>
        </w:rPr>
        <w:t>RAZONES O MOTIVOS DE INCONFORMIDAD:</w:t>
      </w:r>
    </w:p>
    <w:p w:rsidR="008E1C7F" w:rsidRPr="00D6064C" w:rsidRDefault="00EF4452" w:rsidP="00AB63B5">
      <w:pPr>
        <w:ind w:firstLine="36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“NO ENTREGA INFORMACION” (Sic)</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AB63B5" w:rsidP="00D6064C">
      <w:pPr>
        <w:numPr>
          <w:ilvl w:val="0"/>
          <w:numId w:val="1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2" w:name="_heading=h.30j0zll" w:colFirst="0" w:colLast="0"/>
      <w:bookmarkEnd w:id="2"/>
      <w:r>
        <w:rPr>
          <w:rFonts w:ascii="Palatino Linotype" w:eastAsia="Palatino Linotype" w:hAnsi="Palatino Linotype" w:cs="Palatino Linotype"/>
          <w:color w:val="000000" w:themeColor="text1"/>
        </w:rPr>
        <w:t>La Comisionada p</w:t>
      </w:r>
      <w:r w:rsidR="00EF4452" w:rsidRPr="00D6064C">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del </w:t>
      </w:r>
      <w:r w:rsidR="00EF4452" w:rsidRPr="00D6064C">
        <w:rPr>
          <w:rFonts w:ascii="Palatino Linotype" w:eastAsia="Palatino Linotype" w:hAnsi="Palatino Linotype" w:cs="Palatino Linotype"/>
          <w:b/>
          <w:bCs/>
          <w:color w:val="000000" w:themeColor="text1"/>
        </w:rPr>
        <w:t>veinticinco de agosto de dos mil veinticinco</w:t>
      </w:r>
      <w:r w:rsidR="00EF4452" w:rsidRPr="00D6064C">
        <w:rPr>
          <w:rFonts w:ascii="Palatino Linotype" w:eastAsia="Palatino Linotype" w:hAnsi="Palatino Linotype" w:cs="Palatino Linotype"/>
          <w:color w:val="000000" w:themeColor="text1"/>
        </w:rPr>
        <w:t xml:space="preserve">, puso a disposición de las partes el  expediente electrónico vía Sistema de Acceso a la Información Mexiquense </w:t>
      </w:r>
      <w:r w:rsidR="00EF4452" w:rsidRPr="00D6064C">
        <w:rPr>
          <w:rFonts w:ascii="Palatino Linotype" w:eastAsia="Palatino Linotype" w:hAnsi="Palatino Linotype" w:cs="Palatino Linotype"/>
          <w:b/>
          <w:bCs/>
          <w:color w:val="000000" w:themeColor="text1"/>
        </w:rPr>
        <w:t xml:space="preserve">SAIMEX </w:t>
      </w:r>
      <w:r w:rsidR="00EF4452" w:rsidRPr="00D6064C">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correspondiera a los casos concretos, de esta forma para que el </w:t>
      </w:r>
      <w:r w:rsidR="00EF4452" w:rsidRPr="00D6064C">
        <w:rPr>
          <w:rFonts w:ascii="Palatino Linotype" w:eastAsia="Palatino Linotype" w:hAnsi="Palatino Linotype" w:cs="Palatino Linotype"/>
          <w:b/>
          <w:bCs/>
          <w:color w:val="000000" w:themeColor="text1"/>
        </w:rPr>
        <w:t>SUJETO OBLIGADO</w:t>
      </w:r>
      <w:r w:rsidR="00EF4452" w:rsidRPr="00D6064C">
        <w:rPr>
          <w:rFonts w:ascii="Palatino Linotype" w:eastAsia="Palatino Linotype" w:hAnsi="Palatino Linotype" w:cs="Palatino Linotype"/>
          <w:color w:val="000000" w:themeColor="text1"/>
        </w:rPr>
        <w:t xml:space="preserve"> presentará el Informe Justificado procedente.</w:t>
      </w:r>
    </w:p>
    <w:p w:rsidR="008E1C7F" w:rsidRPr="00D6064C" w:rsidRDefault="00EF4452" w:rsidP="00D6064C">
      <w:pPr>
        <w:numPr>
          <w:ilvl w:val="0"/>
          <w:numId w:val="1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b/>
          <w:bCs/>
          <w:color w:val="000000" w:themeColor="text1"/>
        </w:rPr>
        <w:lastRenderedPageBreak/>
        <w:t>EL SUJETO OBLIGADO</w:t>
      </w:r>
      <w:r w:rsidRPr="00D6064C">
        <w:rPr>
          <w:rFonts w:ascii="Palatino Linotype" w:eastAsia="Palatino Linotype" w:hAnsi="Palatino Linotype" w:cs="Palatino Linotype"/>
          <w:color w:val="000000" w:themeColor="text1"/>
        </w:rPr>
        <w:t xml:space="preserve"> al rendir su Informe Justificado en fecha dos de septiembre de la presente anualidad, entregó siete archivos en formato pdf y que medularmente contienen lo siguiente: </w:t>
      </w:r>
    </w:p>
    <w:p w:rsidR="008E1C7F" w:rsidRPr="00D6064C" w:rsidRDefault="00EF4452" w:rsidP="00AB63B5">
      <w:pPr>
        <w:pBdr>
          <w:top w:val="nil"/>
          <w:left w:val="nil"/>
          <w:bottom w:val="nil"/>
          <w:right w:val="nil"/>
          <w:between w:val="nil"/>
        </w:pBdr>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color w:val="000000" w:themeColor="text1"/>
        </w:rPr>
        <w:t xml:space="preserve"> </w:t>
      </w:r>
      <w:r w:rsidRPr="00D6064C">
        <w:rPr>
          <w:rFonts w:ascii="Palatino Linotype" w:eastAsia="Palatino Linotype" w:hAnsi="Palatino Linotype" w:cs="Palatino Linotype"/>
          <w:b/>
          <w:bCs/>
          <w:color w:val="000000" w:themeColor="text1"/>
        </w:rPr>
        <w:t xml:space="preserve">02 ORD CT ZINA 2025.pdf: </w:t>
      </w:r>
      <w:r w:rsidRPr="00D6064C">
        <w:rPr>
          <w:rFonts w:ascii="Palatino Linotype" w:eastAsia="Palatino Linotype" w:hAnsi="Palatino Linotype" w:cs="Palatino Linotype"/>
          <w:i/>
          <w:iCs/>
          <w:color w:val="000000" w:themeColor="text1"/>
        </w:rPr>
        <w:t>Donde en fecha siete de febrero de dos mil veinticinco, el Comité de transparencia acuerda la prórroga de las solicitudes de información 00027 AL 00040 recibidas del  día 30 de enero al 06 de febrero de dos mil veinticinco por un plazo de siete días hábiles. Así mismo señala que del primero al treinta y uno de enero de dos mil veinticinco ingresaron veintiséis solicitudes de acceso a la información pública, mismas que fueron atendidas de acuerdo a los plazos y términos señalados por la Ley de Transparencia.</w:t>
      </w:r>
    </w:p>
    <w:p w:rsidR="008E1C7F" w:rsidRPr="00D6064C" w:rsidRDefault="008E1C7F" w:rsidP="00D6064C">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8E1C7F" w:rsidRPr="00D6064C" w:rsidRDefault="00EF4452" w:rsidP="00D6064C">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color w:val="000000" w:themeColor="text1"/>
        </w:rPr>
        <w:t xml:space="preserve">03 ORD CT ZINA 2025.pdf: </w:t>
      </w:r>
      <w:r w:rsidRPr="00D6064C">
        <w:rPr>
          <w:rFonts w:ascii="Palatino Linotype" w:eastAsia="Palatino Linotype" w:hAnsi="Palatino Linotype" w:cs="Palatino Linotype"/>
          <w:i/>
          <w:iCs/>
          <w:color w:val="000000" w:themeColor="text1"/>
        </w:rPr>
        <w:t>Donde en fecha siete de marzo de dos mil veinticinco, el Comité de transparencia acuerda la prórroga de las solicitudes de información 00041 AL 00056  recibidas del  día  08 de febrero al 06 de marzo de dos mil veinticinco por un plazo de siete días hábiles</w:t>
      </w:r>
    </w:p>
    <w:p w:rsidR="008E1C7F" w:rsidRPr="00D6064C" w:rsidRDefault="008E1C7F" w:rsidP="00D6064C">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8E1C7F" w:rsidRPr="00D6064C" w:rsidRDefault="00EF4452" w:rsidP="00D6064C">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 xml:space="preserve">04 ORD CT ZINA 2025.pdf: </w:t>
      </w:r>
      <w:r w:rsidRPr="00D6064C">
        <w:rPr>
          <w:rFonts w:ascii="Palatino Linotype" w:eastAsia="Palatino Linotype" w:hAnsi="Palatino Linotype" w:cs="Palatino Linotype"/>
          <w:i/>
          <w:iCs/>
          <w:color w:val="000000" w:themeColor="text1"/>
        </w:rPr>
        <w:t>Donde en fecha once de abril de dos mil veinticinco, el Comité de transparencia acuerda la prórroga de las solicitudes de información 00057 AL 000280 recibidas del  día  07 de marzo al 10 de abril de dos mil veinticinco por un plazo de siete días hábiles</w:t>
      </w:r>
    </w:p>
    <w:p w:rsidR="008E1C7F" w:rsidRPr="00D6064C" w:rsidRDefault="00EF4452" w:rsidP="00D6064C">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ab/>
      </w:r>
    </w:p>
    <w:p w:rsidR="008E1C7F" w:rsidRPr="00D6064C" w:rsidRDefault="00EF4452" w:rsidP="00D6064C">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05 ORD CT ZINA 2025.pdf:</w:t>
      </w:r>
      <w:r w:rsidRPr="00D6064C">
        <w:rPr>
          <w:rFonts w:ascii="Palatino Linotype" w:eastAsia="Palatino Linotype" w:hAnsi="Palatino Linotype" w:cs="Palatino Linotype"/>
          <w:i/>
          <w:iCs/>
          <w:color w:val="000000" w:themeColor="text1"/>
        </w:rPr>
        <w:t xml:space="preserve"> Donde en fecha nueve de mayo de dos mil veinticinco, el Comité de transparencia acuerda la prórroga de las solicitudes de información 00281 AL 000361 recibidas del  día  11 de abril  al 08 de mayo de dos mil veinticinco por un plazo de siete días hábiles</w:t>
      </w:r>
    </w:p>
    <w:p w:rsidR="008E1C7F" w:rsidRPr="00D6064C" w:rsidRDefault="00EF4452" w:rsidP="00D6064C">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ab/>
      </w:r>
      <w:r w:rsidRPr="00D6064C">
        <w:rPr>
          <w:rFonts w:ascii="Palatino Linotype" w:eastAsia="Palatino Linotype" w:hAnsi="Palatino Linotype" w:cs="Palatino Linotype"/>
          <w:b/>
          <w:bCs/>
          <w:color w:val="000000" w:themeColor="text1"/>
        </w:rPr>
        <w:tab/>
      </w:r>
    </w:p>
    <w:p w:rsidR="008E1C7F" w:rsidRPr="00D6064C" w:rsidRDefault="00EF4452" w:rsidP="00D6064C">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06 ORD CT ZINA 2025.pdf:</w:t>
      </w:r>
      <w:r w:rsidRPr="00D6064C">
        <w:rPr>
          <w:rFonts w:ascii="Palatino Linotype" w:eastAsia="Palatino Linotype" w:hAnsi="Palatino Linotype" w:cs="Palatino Linotype"/>
          <w:i/>
          <w:iCs/>
          <w:color w:val="000000" w:themeColor="text1"/>
        </w:rPr>
        <w:t xml:space="preserve"> Donde en fecha seis de junio de dos mil veinticinco, el Comité de transparencia acuerda la prórroga de las solicitudes de información 00362 al 000416  recibidas del  día  09 de mayo al 05 de junio de dos mil veinticinco por un plazo de siete días hábiles.</w:t>
      </w:r>
    </w:p>
    <w:p w:rsidR="008E1C7F" w:rsidRPr="00D6064C" w:rsidRDefault="00EF4452" w:rsidP="00D6064C">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lastRenderedPageBreak/>
        <w:t>07 ORD CT ZINA 2025.pdf:</w:t>
      </w:r>
      <w:r w:rsidRPr="00D6064C">
        <w:rPr>
          <w:rFonts w:ascii="Palatino Linotype" w:eastAsia="Palatino Linotype" w:hAnsi="Palatino Linotype" w:cs="Palatino Linotype"/>
          <w:i/>
          <w:iCs/>
          <w:color w:val="000000" w:themeColor="text1"/>
        </w:rPr>
        <w:t xml:space="preserve"> Donde en fecha once de julio de dos mil veinticinco, el Comité de transparencia acuerda la prórroga de las solicitudes de información 00417 al 000555  recibidas del  día  06 de junio al 10 de julio de dos mil veinticinco por un plazo de siete días hábiles.</w:t>
      </w:r>
    </w:p>
    <w:p w:rsidR="008E1C7F" w:rsidRPr="00D6064C" w:rsidRDefault="00EF4452" w:rsidP="00D6064C">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ab/>
      </w:r>
      <w:r w:rsidRPr="00D6064C">
        <w:rPr>
          <w:rFonts w:ascii="Palatino Linotype" w:eastAsia="Palatino Linotype" w:hAnsi="Palatino Linotype" w:cs="Palatino Linotype"/>
          <w:b/>
          <w:bCs/>
          <w:color w:val="000000" w:themeColor="text1"/>
        </w:rPr>
        <w:tab/>
      </w:r>
    </w:p>
    <w:p w:rsidR="008E1C7F" w:rsidRPr="00D6064C" w:rsidRDefault="00EF4452" w:rsidP="00D6064C">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 xml:space="preserve">IJ 9933 2025.pdf: </w:t>
      </w:r>
      <w:r w:rsidRPr="00D6064C">
        <w:rPr>
          <w:rFonts w:ascii="Palatino Linotype" w:eastAsia="Palatino Linotype" w:hAnsi="Palatino Linotype" w:cs="Palatino Linotype"/>
          <w:i/>
          <w:iCs/>
          <w:color w:val="000000" w:themeColor="text1"/>
        </w:rPr>
        <w:t>Donde el titular de la Unidad de Transparencia señala que en respuesta omitió adjuntar las actas del Comité de Transparencia relativas a acordar las prórrogas para la atención de las solicitudes de información, mismas actas que adjunta.</w:t>
      </w:r>
    </w:p>
    <w:p w:rsidR="008E1C7F" w:rsidRPr="00D6064C" w:rsidRDefault="008E1C7F" w:rsidP="00D6064C">
      <w:pPr>
        <w:pBdr>
          <w:top w:val="nil"/>
          <w:left w:val="nil"/>
          <w:bottom w:val="nil"/>
          <w:right w:val="nil"/>
          <w:between w:val="nil"/>
        </w:pBdr>
        <w:rPr>
          <w:rFonts w:ascii="Palatino Linotype" w:eastAsia="Palatino Linotype" w:hAnsi="Palatino Linotype" w:cs="Palatino Linotype"/>
          <w:color w:val="000000" w:themeColor="text1"/>
        </w:rPr>
      </w:pPr>
    </w:p>
    <w:p w:rsidR="008E1C7F" w:rsidRPr="00D6064C" w:rsidRDefault="00EF4452" w:rsidP="00D6064C">
      <w:pPr>
        <w:numPr>
          <w:ilvl w:val="0"/>
          <w:numId w:val="1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Por su parte, </w:t>
      </w:r>
      <w:r w:rsidRPr="00D6064C">
        <w:rPr>
          <w:rFonts w:ascii="Palatino Linotype" w:eastAsia="Palatino Linotype" w:hAnsi="Palatino Linotype" w:cs="Palatino Linotype"/>
          <w:b/>
          <w:bCs/>
          <w:color w:val="000000" w:themeColor="text1"/>
        </w:rPr>
        <w:t>LA RECURRENTE</w:t>
      </w:r>
      <w:r w:rsidRPr="00D6064C">
        <w:rPr>
          <w:rFonts w:ascii="Palatino Linotype" w:eastAsia="Palatino Linotype" w:hAnsi="Palatino Linotype" w:cs="Palatino Linotype"/>
          <w:color w:val="000000" w:themeColor="text1"/>
        </w:rPr>
        <w:t xml:space="preserve"> dejó de realizar manifestaciones que a su derecho convinieran y asistieran.</w:t>
      </w:r>
    </w:p>
    <w:p w:rsidR="008E1C7F" w:rsidRPr="00D6064C" w:rsidRDefault="008E1C7F" w:rsidP="00D6064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numPr>
          <w:ilvl w:val="0"/>
          <w:numId w:val="14"/>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color w:val="000000" w:themeColor="text1"/>
        </w:rPr>
        <w:t xml:space="preserve">En </w:t>
      </w:r>
      <w:r w:rsidRPr="00D6064C">
        <w:rPr>
          <w:rFonts w:ascii="Palatino Linotype" w:eastAsia="Palatino Linotype" w:hAnsi="Palatino Linotype" w:cs="Palatino Linotype"/>
          <w:b/>
          <w:bCs/>
          <w:color w:val="000000" w:themeColor="text1"/>
        </w:rPr>
        <w:t>fecha once de diciembre de dos mil veinticinco</w:t>
      </w:r>
      <w:r w:rsidRPr="00D6064C">
        <w:rPr>
          <w:rFonts w:ascii="Palatino Linotype" w:eastAsia="Palatino Linotype" w:hAnsi="Palatino Linotype" w:cs="Palatino Linotype"/>
          <w:color w:val="000000" w:themeColor="text1"/>
        </w:rPr>
        <w:t>, se acordó ampliar el término para resolver el presente asunto.</w:t>
      </w:r>
    </w:p>
    <w:p w:rsidR="008E1C7F" w:rsidRPr="00D6064C" w:rsidRDefault="008E1C7F" w:rsidP="00D6064C">
      <w:pPr>
        <w:pBdr>
          <w:top w:val="nil"/>
          <w:left w:val="nil"/>
          <w:bottom w:val="nil"/>
          <w:right w:val="nil"/>
          <w:between w:val="nil"/>
        </w:pBdr>
        <w:rPr>
          <w:rFonts w:ascii="Palatino Linotype" w:eastAsia="Palatino Linotype" w:hAnsi="Palatino Linotype" w:cs="Palatino Linotype"/>
          <w:b/>
          <w:bCs/>
          <w:color w:val="000000" w:themeColor="text1"/>
        </w:rPr>
      </w:pPr>
    </w:p>
    <w:p w:rsidR="008E1C7F" w:rsidRPr="00D6064C" w:rsidRDefault="00EF4452" w:rsidP="00D6064C">
      <w:pPr>
        <w:numPr>
          <w:ilvl w:val="0"/>
          <w:numId w:val="1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AB63B5" w:rsidP="00D6064C">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Finalmente, la Comisionada p</w:t>
      </w:r>
      <w:r w:rsidR="00EF4452" w:rsidRPr="00D6064C">
        <w:rPr>
          <w:rFonts w:ascii="Palatino Linotype" w:eastAsia="Palatino Linotype" w:hAnsi="Palatino Linotype" w:cs="Palatino Linotype"/>
          <w:color w:val="000000" w:themeColor="text1"/>
        </w:rPr>
        <w:t>onente mediante acuerdo de fecha</w:t>
      </w:r>
      <w:r w:rsidR="00EF4452" w:rsidRPr="00D6064C">
        <w:rPr>
          <w:rFonts w:ascii="Palatino Linotype" w:eastAsia="Palatino Linotype" w:hAnsi="Palatino Linotype" w:cs="Palatino Linotype"/>
          <w:b/>
          <w:bCs/>
          <w:color w:val="000000" w:themeColor="text1"/>
        </w:rPr>
        <w:t xml:space="preserve"> </w:t>
      </w:r>
      <w:r w:rsidR="00EF4452" w:rsidRPr="00D6064C">
        <w:rPr>
          <w:rFonts w:ascii="Palatino Linotype" w:eastAsia="Palatino Linotype" w:hAnsi="Palatino Linotype" w:cs="Palatino Linotype"/>
          <w:b/>
          <w:bCs/>
          <w:color w:val="000000" w:themeColor="text1"/>
          <w:highlight w:val="white"/>
        </w:rPr>
        <w:t>once de diciembre de dos mil veinticinco</w:t>
      </w:r>
      <w:r w:rsidR="00EF4452" w:rsidRPr="00D6064C">
        <w:rPr>
          <w:rFonts w:ascii="Palatino Linotype" w:eastAsia="Palatino Linotype" w:hAnsi="Palatino Linotype" w:cs="Palatino Linotype"/>
          <w:color w:val="000000" w:themeColor="text1"/>
          <w:highlight w:val="white"/>
        </w:rPr>
        <w:t xml:space="preserve">, decretó el cierre de instrucción </w:t>
      </w:r>
      <w:r w:rsidR="00EF4452" w:rsidRPr="00D6064C">
        <w:rPr>
          <w:rFonts w:ascii="Palatino Linotype" w:eastAsia="Palatino Linotype" w:hAnsi="Palatino Linotype" w:cs="Palatino Linotype"/>
          <w:color w:val="000000" w:themeColor="text1"/>
        </w:rPr>
        <w:t>del expediente.</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lastRenderedPageBreak/>
        <w:t xml:space="preserve">En razón de que fue debidamente sustanciado el expediente electrónico y no existiendo diligencia pendiente de desahogo, se emite la resolución que conforme a Derecho proceda: </w:t>
      </w:r>
    </w:p>
    <w:p w:rsidR="008E1C7F"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spacing w:line="360" w:lineRule="auto"/>
        <w:jc w:val="center"/>
        <w:rPr>
          <w:rFonts w:ascii="Palatino Linotype" w:eastAsia="Palatino Linotype" w:hAnsi="Palatino Linotype" w:cs="Palatino Linotype"/>
          <w:b/>
          <w:bCs/>
          <w:color w:val="000000" w:themeColor="text1"/>
        </w:rPr>
      </w:pPr>
      <w:bookmarkStart w:id="3" w:name="_heading=h.3znysh7" w:colFirst="0" w:colLast="0"/>
      <w:bookmarkEnd w:id="3"/>
      <w:r w:rsidRPr="00D6064C">
        <w:rPr>
          <w:rFonts w:ascii="Palatino Linotype" w:eastAsia="Palatino Linotype" w:hAnsi="Palatino Linotype" w:cs="Palatino Linotype"/>
          <w:b/>
          <w:bCs/>
          <w:color w:val="000000" w:themeColor="text1"/>
        </w:rPr>
        <w:t>C O N S I D E R A N D O</w:t>
      </w:r>
    </w:p>
    <w:p w:rsidR="008E1C7F" w:rsidRPr="00D6064C" w:rsidRDefault="008E1C7F" w:rsidP="00D6064C">
      <w:pPr>
        <w:spacing w:line="360" w:lineRule="auto"/>
        <w:jc w:val="center"/>
        <w:rPr>
          <w:rFonts w:ascii="Palatino Linotype" w:eastAsia="Palatino Linotype" w:hAnsi="Palatino Linotype" w:cs="Palatino Linotype"/>
          <w:b/>
          <w:bCs/>
          <w:color w:val="000000" w:themeColor="text1"/>
        </w:rPr>
      </w:pPr>
    </w:p>
    <w:p w:rsidR="008E1C7F" w:rsidRPr="00D6064C" w:rsidRDefault="00EF4452" w:rsidP="00D6064C">
      <w:pPr>
        <w:keepNext/>
        <w:keepLines/>
        <w:spacing w:line="360" w:lineRule="auto"/>
        <w:rPr>
          <w:rFonts w:ascii="Palatino Linotype" w:eastAsia="Palatino Linotype" w:hAnsi="Palatino Linotype" w:cs="Palatino Linotype"/>
          <w:b/>
          <w:bCs/>
          <w:color w:val="000000" w:themeColor="text1"/>
        </w:rPr>
      </w:pPr>
      <w:bookmarkStart w:id="4" w:name="_heading=h.2et92p0" w:colFirst="0" w:colLast="0"/>
      <w:bookmarkEnd w:id="4"/>
      <w:r w:rsidRPr="00D6064C">
        <w:rPr>
          <w:rFonts w:ascii="Palatino Linotype" w:eastAsia="Palatino Linotype" w:hAnsi="Palatino Linotype" w:cs="Palatino Linotype"/>
          <w:b/>
          <w:bCs/>
          <w:color w:val="000000" w:themeColor="text1"/>
        </w:rPr>
        <w:t>PRIMERO. De la competencia</w:t>
      </w:r>
    </w:p>
    <w:p w:rsidR="008E1C7F" w:rsidRPr="00D6064C" w:rsidRDefault="00EF4452" w:rsidP="00D6064C">
      <w:pPr>
        <w:numPr>
          <w:ilvl w:val="0"/>
          <w:numId w:val="15"/>
        </w:numPr>
        <w:spacing w:line="360" w:lineRule="auto"/>
        <w:ind w:left="0" w:firstLine="0"/>
        <w:jc w:val="both"/>
        <w:rPr>
          <w:rFonts w:ascii="Palatino Linotype" w:eastAsia="Palatino Linotype" w:hAnsi="Palatino Linotype" w:cs="Palatino Linotype"/>
          <w:color w:val="000000" w:themeColor="text1"/>
        </w:rPr>
      </w:pPr>
      <w:bookmarkStart w:id="5" w:name="_heading=h.tyjcwt" w:colFirst="0" w:colLast="0"/>
      <w:bookmarkEnd w:id="5"/>
      <w:r w:rsidRPr="00D6064C">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tabs>
          <w:tab w:val="left" w:pos="426"/>
        </w:tabs>
        <w:spacing w:line="360" w:lineRule="auto"/>
        <w:jc w:val="both"/>
        <w:rPr>
          <w:rFonts w:ascii="Palatino Linotype" w:eastAsia="Palatino Linotype" w:hAnsi="Palatino Linotype" w:cs="Palatino Linotype"/>
          <w:b/>
          <w:bCs/>
          <w:color w:val="000000" w:themeColor="text1"/>
        </w:rPr>
      </w:pPr>
      <w:bookmarkStart w:id="6" w:name="_heading=h.3dy6vkm" w:colFirst="0" w:colLast="0"/>
      <w:bookmarkEnd w:id="6"/>
      <w:r w:rsidRPr="00D6064C">
        <w:rPr>
          <w:rFonts w:ascii="Palatino Linotype" w:eastAsia="Palatino Linotype" w:hAnsi="Palatino Linotype" w:cs="Palatino Linotype"/>
          <w:b/>
          <w:bCs/>
          <w:color w:val="000000" w:themeColor="text1"/>
        </w:rPr>
        <w:t>SEGUNDO. De la procedencia.</w:t>
      </w:r>
    </w:p>
    <w:p w:rsidR="008E1C7F" w:rsidRPr="00D6064C" w:rsidRDefault="00EF4452" w:rsidP="00D6064C">
      <w:pPr>
        <w:numPr>
          <w:ilvl w:val="0"/>
          <w:numId w:val="16"/>
        </w:numPr>
        <w:spacing w:line="360" w:lineRule="auto"/>
        <w:ind w:left="0" w:firstLine="0"/>
        <w:jc w:val="both"/>
        <w:rPr>
          <w:rFonts w:ascii="Palatino Linotype" w:hAnsi="Palatino Linotype"/>
          <w:color w:val="000000" w:themeColor="text1"/>
        </w:rPr>
      </w:pPr>
      <w:bookmarkStart w:id="7" w:name="_heading=h.1t3h5sf" w:colFirst="0" w:colLast="0"/>
      <w:bookmarkEnd w:id="7"/>
      <w:r w:rsidRPr="00D6064C">
        <w:rPr>
          <w:rFonts w:ascii="Palatino Linotype" w:eastAsia="Palatino Linotype" w:hAnsi="Palatino Linotype" w:cs="Palatino Linotype"/>
          <w:color w:val="000000" w:themeColor="text1"/>
        </w:rPr>
        <w:t>Este Órgano Garante considera que el medio de impugnación reúne los requisitos de procedencia toda vez que; los recursos fueron presentados dentro del plazo establecido en el artículo 178 de la Ley de Transparencia y Acceso a la Información Pública del Estado de México y Municipios; asimismo no se tiene conocimiento que se encuentre en trámite algún medio de defensa presentado por el Recurrente ante otra instancia.</w:t>
      </w:r>
    </w:p>
    <w:p w:rsidR="008E1C7F" w:rsidRPr="00D6064C" w:rsidRDefault="00EF4452" w:rsidP="00D6064C">
      <w:pPr>
        <w:numPr>
          <w:ilvl w:val="0"/>
          <w:numId w:val="16"/>
        </w:numP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lastRenderedPageBreak/>
        <w:t xml:space="preserve">Por otra parte, de la revisión al expediente electrónico del </w:t>
      </w:r>
      <w:r w:rsidRPr="00D6064C">
        <w:rPr>
          <w:rFonts w:ascii="Palatino Linotype" w:eastAsia="Palatino Linotype" w:hAnsi="Palatino Linotype" w:cs="Palatino Linotype"/>
          <w:b/>
          <w:bCs/>
          <w:color w:val="000000" w:themeColor="text1"/>
        </w:rPr>
        <w:t>SAIMEX</w:t>
      </w:r>
      <w:r w:rsidRPr="00D6064C">
        <w:rPr>
          <w:rFonts w:ascii="Palatino Linotype" w:eastAsia="Palatino Linotype" w:hAnsi="Palatino Linotype" w:cs="Palatino Linotype"/>
          <w:color w:val="000000" w:themeColor="text1"/>
        </w:rPr>
        <w:t xml:space="preserve"> se desprende que la parte solicitante, en ejercicio de su derecho de acceso a la información pública en el expediente que se revisa, tanto en la solicitud de información como en el recurso de revisión </w:t>
      </w:r>
      <w:r w:rsidRPr="00D6064C">
        <w:rPr>
          <w:rFonts w:ascii="Palatino Linotype" w:eastAsia="Palatino Linotype" w:hAnsi="Palatino Linotype" w:cs="Palatino Linotype"/>
          <w:b/>
          <w:bCs/>
          <w:color w:val="000000" w:themeColor="text1"/>
        </w:rPr>
        <w:t>no proporcionó ningún nombre, seudónimo o carácter para ser identificado, ni se tiene certeza de su identidad</w:t>
      </w:r>
      <w:r w:rsidRPr="00D6064C">
        <w:rPr>
          <w:rFonts w:ascii="Palatino Linotype" w:eastAsia="Palatino Linotype" w:hAnsi="Palatino Linotype" w:cs="Palatino Linotype"/>
          <w:color w:val="000000" w:themeColor="text1"/>
        </w:rPr>
        <w:t>; sin embargo, es importante señalar también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rsidR="008E1C7F" w:rsidRPr="00D6064C" w:rsidRDefault="008E1C7F" w:rsidP="00D6064C">
      <w:pPr>
        <w:pBdr>
          <w:top w:val="nil"/>
          <w:left w:val="nil"/>
          <w:bottom w:val="nil"/>
          <w:right w:val="nil"/>
          <w:between w:val="nil"/>
        </w:pBdr>
        <w:tabs>
          <w:tab w:val="left" w:pos="426"/>
        </w:tabs>
        <w:spacing w:line="360" w:lineRule="auto"/>
        <w:rPr>
          <w:rFonts w:ascii="Palatino Linotype" w:eastAsia="Palatino Linotype" w:hAnsi="Palatino Linotype" w:cs="Palatino Linotype"/>
          <w:color w:val="000000" w:themeColor="text1"/>
        </w:rPr>
      </w:pPr>
    </w:p>
    <w:p w:rsidR="008E1C7F" w:rsidRPr="00D6064C" w:rsidRDefault="00EF4452" w:rsidP="00D6064C">
      <w:pPr>
        <w:numPr>
          <w:ilvl w:val="0"/>
          <w:numId w:val="16"/>
        </w:numPr>
        <w:tabs>
          <w:tab w:val="left" w:pos="426"/>
        </w:tabs>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Esto es así, ya que de conformidad con los artículos 6, Apartado A, fracciones III y IV de la Constitución Política de los Estados Unidos Mexicanos y 5, párrafos vigésimo, vigésimo primero y vigésimo segundo, 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8E1C7F" w:rsidRPr="00D6064C" w:rsidRDefault="008E1C7F" w:rsidP="00D6064C">
      <w:pPr>
        <w:pBdr>
          <w:top w:val="nil"/>
          <w:left w:val="nil"/>
          <w:bottom w:val="nil"/>
          <w:right w:val="nil"/>
          <w:between w:val="nil"/>
        </w:pBdr>
        <w:rPr>
          <w:rFonts w:ascii="Palatino Linotype" w:eastAsia="Palatino Linotype" w:hAnsi="Palatino Linotype" w:cs="Palatino Linotype"/>
          <w:color w:val="000000" w:themeColor="text1"/>
        </w:rPr>
      </w:pPr>
    </w:p>
    <w:p w:rsidR="008E1C7F" w:rsidRPr="00D6064C" w:rsidRDefault="00EF4452" w:rsidP="00D6064C">
      <w:pPr>
        <w:numPr>
          <w:ilvl w:val="0"/>
          <w:numId w:val="16"/>
        </w:numPr>
        <w:tabs>
          <w:tab w:val="left" w:pos="426"/>
        </w:tabs>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w:t>
      </w:r>
      <w:r w:rsidRPr="00D6064C">
        <w:rPr>
          <w:rFonts w:ascii="Palatino Linotype" w:eastAsia="Palatino Linotype" w:hAnsi="Palatino Linotype" w:cs="Palatino Linotype"/>
          <w:color w:val="000000" w:themeColor="text1"/>
        </w:rPr>
        <w:lastRenderedPageBreak/>
        <w:t>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E1C7F" w:rsidRPr="00D6064C" w:rsidRDefault="008E1C7F" w:rsidP="00D6064C">
      <w:pPr>
        <w:pBdr>
          <w:top w:val="nil"/>
          <w:left w:val="nil"/>
          <w:bottom w:val="nil"/>
          <w:right w:val="nil"/>
          <w:between w:val="nil"/>
        </w:pBdr>
        <w:tabs>
          <w:tab w:val="left" w:pos="426"/>
        </w:tabs>
        <w:spacing w:line="360" w:lineRule="auto"/>
        <w:rPr>
          <w:rFonts w:ascii="Palatino Linotype" w:eastAsia="Palatino Linotype" w:hAnsi="Palatino Linotype" w:cs="Palatino Linotype"/>
          <w:color w:val="000000" w:themeColor="text1"/>
        </w:rPr>
      </w:pPr>
    </w:p>
    <w:p w:rsidR="008E1C7F" w:rsidRPr="00D6064C" w:rsidRDefault="00EF4452" w:rsidP="00D6064C">
      <w:pPr>
        <w:numPr>
          <w:ilvl w:val="0"/>
          <w:numId w:val="16"/>
        </w:numPr>
        <w:tabs>
          <w:tab w:val="left" w:pos="426"/>
        </w:tabs>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8E1C7F" w:rsidRPr="00D6064C" w:rsidRDefault="008E1C7F" w:rsidP="00D6064C">
      <w:pPr>
        <w:pBdr>
          <w:top w:val="nil"/>
          <w:left w:val="nil"/>
          <w:bottom w:val="nil"/>
          <w:right w:val="nil"/>
          <w:between w:val="nil"/>
        </w:pBdr>
        <w:tabs>
          <w:tab w:val="left" w:pos="426"/>
        </w:tabs>
        <w:spacing w:line="360" w:lineRule="auto"/>
        <w:rPr>
          <w:rFonts w:ascii="Palatino Linotype" w:eastAsia="Palatino Linotype" w:hAnsi="Palatino Linotype" w:cs="Palatino Linotype"/>
          <w:color w:val="000000" w:themeColor="text1"/>
        </w:rPr>
      </w:pPr>
    </w:p>
    <w:p w:rsidR="008E1C7F" w:rsidRPr="00D6064C" w:rsidRDefault="00EF4452" w:rsidP="00D6064C">
      <w:pPr>
        <w:numPr>
          <w:ilvl w:val="0"/>
          <w:numId w:val="16"/>
        </w:numPr>
        <w:tabs>
          <w:tab w:val="left" w:pos="426"/>
        </w:tabs>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Por lo que el nombre del </w:t>
      </w:r>
      <w:r w:rsidRPr="00D6064C">
        <w:rPr>
          <w:rFonts w:ascii="Palatino Linotype" w:eastAsia="Palatino Linotype" w:hAnsi="Palatino Linotype" w:cs="Palatino Linotype"/>
          <w:b/>
          <w:bCs/>
          <w:color w:val="000000" w:themeColor="text1"/>
        </w:rPr>
        <w:t>SOLICITANTE</w:t>
      </w:r>
      <w:r w:rsidRPr="00D6064C">
        <w:rPr>
          <w:rFonts w:ascii="Palatino Linotype" w:eastAsia="Palatino Linotype" w:hAnsi="Palatino Linotype" w:cs="Palatino Linotype"/>
          <w:color w:val="000000" w:themeColor="text1"/>
        </w:rPr>
        <w:t xml:space="preserve"> y subsecuente </w:t>
      </w:r>
      <w:r w:rsidRPr="00D6064C">
        <w:rPr>
          <w:rFonts w:ascii="Palatino Linotype" w:eastAsia="Palatino Linotype" w:hAnsi="Palatino Linotype" w:cs="Palatino Linotype"/>
          <w:b/>
          <w:bCs/>
          <w:color w:val="000000" w:themeColor="text1"/>
        </w:rPr>
        <w:t>RECURRENTE</w:t>
      </w:r>
      <w:r w:rsidRPr="00D6064C">
        <w:rPr>
          <w:rFonts w:ascii="Palatino Linotype" w:eastAsia="Palatino Linotype" w:hAnsi="Palatino Linotype" w:cs="Palatino Linotype"/>
          <w:color w:val="000000" w:themeColor="text1"/>
        </w:rPr>
        <w:t xml:space="preserv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8E1C7F" w:rsidRPr="00D6064C" w:rsidRDefault="008E1C7F" w:rsidP="00D6064C">
      <w:pPr>
        <w:pBdr>
          <w:top w:val="nil"/>
          <w:left w:val="nil"/>
          <w:bottom w:val="nil"/>
          <w:right w:val="nil"/>
          <w:between w:val="nil"/>
        </w:pBdr>
        <w:rPr>
          <w:rFonts w:ascii="Palatino Linotype" w:eastAsia="Palatino Linotype" w:hAnsi="Palatino Linotype" w:cs="Palatino Linotype"/>
          <w:color w:val="000000" w:themeColor="text1"/>
        </w:rPr>
      </w:pPr>
    </w:p>
    <w:p w:rsidR="008E1C7F" w:rsidRPr="00D6064C" w:rsidRDefault="00EF4452" w:rsidP="00D6064C">
      <w:pPr>
        <w:numPr>
          <w:ilvl w:val="0"/>
          <w:numId w:val="16"/>
        </w:numPr>
        <w:spacing w:line="360" w:lineRule="auto"/>
        <w:ind w:left="0" w:firstLine="0"/>
        <w:jc w:val="both"/>
        <w:rPr>
          <w:rFonts w:ascii="Palatino Linotype" w:hAnsi="Palatino Linotype"/>
          <w:color w:val="000000" w:themeColor="text1"/>
        </w:rPr>
      </w:pPr>
      <w:r w:rsidRPr="00D6064C">
        <w:rPr>
          <w:rFonts w:ascii="Palatino Linotype" w:eastAsia="Palatino Linotype" w:hAnsi="Palatino Linotype" w:cs="Palatino Linotype"/>
          <w:color w:val="000000" w:themeColor="text1"/>
        </w:rPr>
        <w:t>Por otro lado el escrito contiene las formalidades previstas en el artículo 180 último párrafo de la citada Ley de la materia, por lo que es procedente que este Instituto conozca y resuelva el presente recurso.</w:t>
      </w: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EF4452" w:rsidP="00D6064C">
      <w:pPr>
        <w:keepNext/>
        <w:keepLines/>
        <w:spacing w:line="360" w:lineRule="auto"/>
        <w:rPr>
          <w:rFonts w:ascii="Palatino Linotype" w:eastAsia="Palatino Linotype" w:hAnsi="Palatino Linotype" w:cs="Palatino Linotype"/>
          <w:b/>
          <w:bCs/>
          <w:color w:val="000000" w:themeColor="text1"/>
        </w:rPr>
      </w:pPr>
      <w:bookmarkStart w:id="8" w:name="_heading=h.4d34og8" w:colFirst="0" w:colLast="0"/>
      <w:bookmarkEnd w:id="8"/>
      <w:r w:rsidRPr="00D6064C">
        <w:rPr>
          <w:rFonts w:ascii="Palatino Linotype" w:eastAsia="Palatino Linotype" w:hAnsi="Palatino Linotype" w:cs="Palatino Linotype"/>
          <w:b/>
          <w:bCs/>
          <w:color w:val="000000" w:themeColor="text1"/>
        </w:rPr>
        <w:t xml:space="preserve">TERCERO. Del planteamiento de la </w:t>
      </w:r>
      <w:r w:rsidRPr="00D6064C">
        <w:rPr>
          <w:rFonts w:ascii="Palatino Linotype" w:eastAsia="Palatino Linotype" w:hAnsi="Palatino Linotype" w:cs="Palatino Linotype"/>
          <w:b/>
          <w:bCs/>
          <w:i/>
          <w:iCs/>
          <w:color w:val="000000" w:themeColor="text1"/>
        </w:rPr>
        <w:t>Litis</w:t>
      </w:r>
      <w:r w:rsidRPr="00D6064C">
        <w:rPr>
          <w:rFonts w:ascii="Palatino Linotype" w:eastAsia="Palatino Linotype" w:hAnsi="Palatino Linotype" w:cs="Palatino Linotype"/>
          <w:b/>
          <w:bCs/>
          <w:color w:val="000000" w:themeColor="text1"/>
        </w:rPr>
        <w:t>.</w:t>
      </w:r>
    </w:p>
    <w:p w:rsidR="008E1C7F" w:rsidRPr="00D6064C" w:rsidRDefault="00EF4452" w:rsidP="00D6064C">
      <w:pPr>
        <w:numPr>
          <w:ilvl w:val="0"/>
          <w:numId w:val="2"/>
        </w:numPr>
        <w:spacing w:line="360" w:lineRule="auto"/>
        <w:ind w:left="0" w:firstLine="0"/>
        <w:jc w:val="both"/>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color w:val="000000" w:themeColor="text1"/>
        </w:rPr>
        <w:t>De las constancias en el expediente al rubro indicado, se desprende que el particular solicitó:</w:t>
      </w:r>
    </w:p>
    <w:p w:rsidR="008E1C7F" w:rsidRPr="00D6064C" w:rsidRDefault="00EF4452" w:rsidP="00D6064C">
      <w:pPr>
        <w:numPr>
          <w:ilvl w:val="0"/>
          <w:numId w:val="10"/>
        </w:numPr>
        <w:pBdr>
          <w:top w:val="nil"/>
          <w:left w:val="nil"/>
          <w:bottom w:val="nil"/>
          <w:right w:val="nil"/>
          <w:between w:val="nil"/>
        </w:pBdr>
        <w:spacing w:line="360" w:lineRule="auto"/>
        <w:ind w:left="0" w:firstLine="0"/>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Oficios dirigidos a la Unidad de Transparencia donde titulares de las diferentes áreas soliciten prórroga para atender los requerimientos de información.</w:t>
      </w:r>
    </w:p>
    <w:p w:rsidR="008E1C7F" w:rsidRPr="00D6064C" w:rsidRDefault="00EF4452" w:rsidP="00D6064C">
      <w:pPr>
        <w:numPr>
          <w:ilvl w:val="0"/>
          <w:numId w:val="10"/>
        </w:numPr>
        <w:pBdr>
          <w:top w:val="nil"/>
          <w:left w:val="nil"/>
          <w:bottom w:val="nil"/>
          <w:right w:val="nil"/>
          <w:between w:val="nil"/>
        </w:pBdr>
        <w:spacing w:line="360" w:lineRule="auto"/>
        <w:ind w:left="0" w:firstLine="0"/>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Oficios donde titular de  la Unidad de Transparencia informe la aprobación a las solicitudes de prórroga de las diferentes áreas.</w:t>
      </w:r>
    </w:p>
    <w:p w:rsidR="008E1C7F" w:rsidRPr="00D6064C" w:rsidRDefault="00EF4452" w:rsidP="00D6064C">
      <w:pPr>
        <w:numPr>
          <w:ilvl w:val="0"/>
          <w:numId w:val="10"/>
        </w:numPr>
        <w:pBdr>
          <w:top w:val="nil"/>
          <w:left w:val="nil"/>
          <w:bottom w:val="nil"/>
          <w:right w:val="nil"/>
          <w:between w:val="nil"/>
        </w:pBdr>
        <w:spacing w:line="360" w:lineRule="auto"/>
        <w:ind w:left="0" w:firstLine="0"/>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lastRenderedPageBreak/>
        <w:t>Acuerdos del Comité de Transparencia para aprobar las prórrogas solicitadas por las diferentes áreas.</w:t>
      </w:r>
    </w:p>
    <w:p w:rsidR="008E1C7F" w:rsidRPr="00D6064C" w:rsidRDefault="008E1C7F" w:rsidP="00D6064C">
      <w:pPr>
        <w:spacing w:line="360" w:lineRule="auto"/>
        <w:jc w:val="center"/>
        <w:rPr>
          <w:rFonts w:ascii="Palatino Linotype" w:eastAsia="Palatino Linotype" w:hAnsi="Palatino Linotype" w:cs="Palatino Linotype"/>
          <w:i/>
          <w:iCs/>
          <w:color w:val="000000" w:themeColor="text1"/>
        </w:rPr>
      </w:pPr>
    </w:p>
    <w:p w:rsidR="008E1C7F" w:rsidRPr="00D6064C" w:rsidRDefault="00EF4452" w:rsidP="00D6064C">
      <w:pPr>
        <w:numPr>
          <w:ilvl w:val="0"/>
          <w:numId w:val="2"/>
        </w:numPr>
        <w:pBdr>
          <w:top w:val="nil"/>
          <w:left w:val="nil"/>
          <w:bottom w:val="nil"/>
          <w:right w:val="nil"/>
          <w:between w:val="nil"/>
        </w:pBdr>
        <w:tabs>
          <w:tab w:val="left" w:pos="851"/>
        </w:tabs>
        <w:spacing w:line="360" w:lineRule="auto"/>
        <w:ind w:left="0" w:firstLine="0"/>
        <w:jc w:val="both"/>
        <w:rPr>
          <w:rFonts w:ascii="Palatino Linotype" w:hAnsi="Palatino Linotype"/>
          <w:color w:val="000000" w:themeColor="text1"/>
        </w:rPr>
      </w:pPr>
      <w:r w:rsidRPr="00D6064C">
        <w:rPr>
          <w:rFonts w:ascii="Palatino Linotype" w:eastAsia="Palatino Linotype" w:hAnsi="Palatino Linotype" w:cs="Palatino Linotype"/>
          <w:color w:val="000000" w:themeColor="text1"/>
        </w:rPr>
        <w:t>En respuesta el Sujeto Obligado, remitió los archivos ya descritos en el numeral 2 del presente, por lo que, inconforme con la respuesta, se interpuso el recurso de revisión, argumentando sustancialmente la negativa a la entrega de la información.</w:t>
      </w:r>
    </w:p>
    <w:p w:rsidR="008E1C7F" w:rsidRPr="00D6064C" w:rsidRDefault="00EF4452" w:rsidP="00D6064C">
      <w:pPr>
        <w:jc w:val="both"/>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color w:val="000000" w:themeColor="text1"/>
        </w:rPr>
        <w:tab/>
      </w:r>
      <w:r w:rsidRPr="00D6064C">
        <w:rPr>
          <w:rFonts w:ascii="Palatino Linotype" w:eastAsia="Palatino Linotype" w:hAnsi="Palatino Linotype" w:cs="Palatino Linotype"/>
          <w:i/>
          <w:iCs/>
          <w:color w:val="000000" w:themeColor="text1"/>
        </w:rPr>
        <w:t xml:space="preserve"> </w:t>
      </w:r>
    </w:p>
    <w:p w:rsidR="008E1C7F" w:rsidRPr="00D6064C" w:rsidRDefault="00EF4452" w:rsidP="00D6064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En dichas condiciones, la </w:t>
      </w:r>
      <w:r w:rsidRPr="00D6064C">
        <w:rPr>
          <w:rFonts w:ascii="Palatino Linotype" w:eastAsia="Palatino Linotype" w:hAnsi="Palatino Linotype" w:cs="Palatino Linotype"/>
          <w:i/>
          <w:iCs/>
          <w:color w:val="000000" w:themeColor="text1"/>
        </w:rPr>
        <w:t>Litis</w:t>
      </w:r>
      <w:r w:rsidRPr="00D6064C">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D6064C">
        <w:rPr>
          <w:rFonts w:ascii="Palatino Linotype" w:eastAsia="Palatino Linotype" w:hAnsi="Palatino Linotype" w:cs="Palatino Linotype"/>
          <w:b/>
          <w:bCs/>
          <w:color w:val="000000" w:themeColor="text1"/>
        </w:rPr>
        <w:t xml:space="preserve">fracción I </w:t>
      </w:r>
      <w:r w:rsidRPr="00D6064C">
        <w:rPr>
          <w:rFonts w:ascii="Palatino Linotype" w:eastAsia="Palatino Linotype" w:hAnsi="Palatino Linotype" w:cs="Palatino Linotype"/>
          <w:color w:val="000000" w:themeColor="text1"/>
        </w:rPr>
        <w:t>de la Ley</w:t>
      </w:r>
      <w:r w:rsidRPr="00D6064C">
        <w:rPr>
          <w:rFonts w:ascii="Palatino Linotype" w:eastAsia="Palatino Linotype" w:hAnsi="Palatino Linotype" w:cs="Palatino Linotype"/>
          <w:b/>
          <w:bCs/>
          <w:color w:val="000000" w:themeColor="text1"/>
        </w:rPr>
        <w:t xml:space="preserve"> de Transparencia y Acceso a la Información Pública del Estado de </w:t>
      </w:r>
      <w:r w:rsidRPr="00D6064C">
        <w:rPr>
          <w:rFonts w:ascii="Palatino Linotype" w:eastAsia="Palatino Linotype" w:hAnsi="Palatino Linotype" w:cs="Palatino Linotype"/>
          <w:color w:val="000000" w:themeColor="text1"/>
        </w:rPr>
        <w:t>México</w:t>
      </w:r>
      <w:r w:rsidRPr="00D6064C">
        <w:rPr>
          <w:rFonts w:ascii="Palatino Linotype" w:eastAsia="Palatino Linotype" w:hAnsi="Palatino Linotype" w:cs="Palatino Linotype"/>
          <w:b/>
          <w:bCs/>
          <w:color w:val="000000" w:themeColor="text1"/>
        </w:rPr>
        <w:t xml:space="preserve"> y Municipios</w:t>
      </w:r>
      <w:r w:rsidR="00606E1C" w:rsidRPr="00D6064C">
        <w:rPr>
          <w:rFonts w:ascii="Palatino Linotype" w:eastAsia="Palatino Linotype" w:hAnsi="Palatino Linotype" w:cs="Palatino Linotype"/>
          <w:color w:val="000000" w:themeColor="text1"/>
        </w:rPr>
        <w:t>; que</w:t>
      </w:r>
      <w:r w:rsidRPr="00D6064C">
        <w:rPr>
          <w:rFonts w:ascii="Palatino Linotype" w:eastAsia="Palatino Linotype" w:hAnsi="Palatino Linotype" w:cs="Palatino Linotype"/>
          <w:color w:val="000000" w:themeColor="text1"/>
        </w:rPr>
        <w:t xml:space="preserve"> determina la hipótesis jurídica relativa a </w:t>
      </w:r>
      <w:r w:rsidR="00606E1C" w:rsidRPr="00D6064C">
        <w:rPr>
          <w:rFonts w:ascii="Palatino Linotype" w:eastAsia="Palatino Linotype" w:hAnsi="Palatino Linotype" w:cs="Palatino Linotype"/>
          <w:color w:val="000000" w:themeColor="text1"/>
        </w:rPr>
        <w:t>la negativa</w:t>
      </w:r>
      <w:r w:rsidRPr="00D6064C">
        <w:rPr>
          <w:rFonts w:ascii="Palatino Linotype" w:eastAsia="Palatino Linotype" w:hAnsi="Palatino Linotype" w:cs="Palatino Linotype"/>
          <w:color w:val="000000" w:themeColor="text1"/>
        </w:rPr>
        <w:t xml:space="preserve"> a la entrega </w:t>
      </w:r>
      <w:r w:rsidR="00606E1C" w:rsidRPr="00D6064C">
        <w:rPr>
          <w:rFonts w:ascii="Palatino Linotype" w:eastAsia="Palatino Linotype" w:hAnsi="Palatino Linotype" w:cs="Palatino Linotype"/>
          <w:color w:val="000000" w:themeColor="text1"/>
        </w:rPr>
        <w:t>de la</w:t>
      </w:r>
      <w:r w:rsidRPr="00D6064C">
        <w:rPr>
          <w:rFonts w:ascii="Palatino Linotype" w:eastAsia="Palatino Linotype" w:hAnsi="Palatino Linotype" w:cs="Palatino Linotype"/>
          <w:color w:val="000000" w:themeColor="text1"/>
        </w:rPr>
        <w:t xml:space="preserve"> información; de lo cual se dolió </w:t>
      </w:r>
      <w:r w:rsidRPr="00D6064C">
        <w:rPr>
          <w:rFonts w:ascii="Palatino Linotype" w:eastAsia="Palatino Linotype" w:hAnsi="Palatino Linotype" w:cs="Palatino Linotype"/>
          <w:b/>
          <w:bCs/>
          <w:color w:val="000000" w:themeColor="text1"/>
        </w:rPr>
        <w:t xml:space="preserve">EL RECURRENTE </w:t>
      </w:r>
      <w:r w:rsidRPr="00D6064C">
        <w:rPr>
          <w:rFonts w:ascii="Palatino Linotype" w:eastAsia="Palatino Linotype" w:hAnsi="Palatino Linotype" w:cs="Palatino Linotype"/>
          <w:color w:val="000000" w:themeColor="text1"/>
        </w:rPr>
        <w:t>al momento de interponer su inconformidad.</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De modo tal que el recurso de revisión se abocará en determinar si el </w:t>
      </w:r>
      <w:r w:rsidRPr="00D6064C">
        <w:rPr>
          <w:rFonts w:ascii="Palatino Linotype" w:eastAsia="Palatino Linotype" w:hAnsi="Palatino Linotype" w:cs="Palatino Linotype"/>
          <w:b/>
          <w:bCs/>
          <w:color w:val="000000" w:themeColor="text1"/>
        </w:rPr>
        <w:t>SUJETO OBLIGADO</w:t>
      </w:r>
      <w:r w:rsidRPr="00D6064C">
        <w:rPr>
          <w:rFonts w:ascii="Palatino Linotype" w:eastAsia="Palatino Linotype" w:hAnsi="Palatino Linotype" w:cs="Palatino Linotype"/>
          <w:color w:val="000000" w:themeColor="text1"/>
        </w:rPr>
        <w:t xml:space="preserve"> con sus respuestas ciertamente actualiza las causales de procedencia</w:t>
      </w:r>
      <w:r w:rsidRPr="00D6064C">
        <w:rPr>
          <w:rFonts w:ascii="Palatino Linotype" w:eastAsia="Palatino Linotype" w:hAnsi="Palatino Linotype" w:cs="Palatino Linotype"/>
          <w:b/>
          <w:bCs/>
          <w:color w:val="000000" w:themeColor="text1"/>
        </w:rPr>
        <w:t xml:space="preserve"> </w:t>
      </w:r>
      <w:r w:rsidRPr="00D6064C">
        <w:rPr>
          <w:rFonts w:ascii="Palatino Linotype" w:eastAsia="Palatino Linotype" w:hAnsi="Palatino Linotype" w:cs="Palatino Linotype"/>
          <w:color w:val="000000" w:themeColor="text1"/>
        </w:rPr>
        <w:t>antes señaladas;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8E1C7F" w:rsidRPr="00D6064C" w:rsidRDefault="008E1C7F" w:rsidP="00D6064C">
      <w:pPr>
        <w:pBdr>
          <w:top w:val="nil"/>
          <w:left w:val="nil"/>
          <w:bottom w:val="nil"/>
          <w:right w:val="nil"/>
          <w:between w:val="nil"/>
        </w:pBdr>
        <w:rPr>
          <w:rFonts w:ascii="Palatino Linotype" w:eastAsia="Palatino Linotype" w:hAnsi="Palatino Linotype" w:cs="Palatino Linotype"/>
          <w:color w:val="000000" w:themeColor="text1"/>
        </w:rPr>
      </w:pPr>
    </w:p>
    <w:p w:rsidR="008E1C7F" w:rsidRPr="00D6064C" w:rsidRDefault="008E1C7F" w:rsidP="00D6064C">
      <w:pPr>
        <w:pBdr>
          <w:top w:val="nil"/>
          <w:left w:val="nil"/>
          <w:bottom w:val="nil"/>
          <w:right w:val="nil"/>
          <w:between w:val="nil"/>
        </w:pBdr>
        <w:rPr>
          <w:rFonts w:ascii="Palatino Linotype" w:eastAsia="Palatino Linotype" w:hAnsi="Palatino Linotype" w:cs="Palatino Linotype"/>
          <w:color w:val="000000" w:themeColor="text1"/>
        </w:rPr>
      </w:pPr>
    </w:p>
    <w:p w:rsidR="008E1C7F" w:rsidRPr="00D6064C" w:rsidRDefault="00EF4452" w:rsidP="00D6064C">
      <w:pPr>
        <w:keepNext/>
        <w:keepLines/>
        <w:spacing w:line="360" w:lineRule="auto"/>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lastRenderedPageBreak/>
        <w:t>CUARTO. Del estudio y resolución del asunto</w:t>
      </w:r>
    </w:p>
    <w:p w:rsidR="008E1C7F" w:rsidRPr="00D6064C" w:rsidRDefault="00EF4452" w:rsidP="00D6064C">
      <w:pPr>
        <w:keepNext/>
        <w:keepLines/>
        <w:numPr>
          <w:ilvl w:val="0"/>
          <w:numId w:val="1"/>
        </w:numPr>
        <w:spacing w:after="240" w:line="360" w:lineRule="auto"/>
        <w:ind w:left="0" w:firstLine="0"/>
        <w:rPr>
          <w:rFonts w:ascii="Palatino Linotype" w:eastAsia="Palatino Linotype" w:hAnsi="Palatino Linotype" w:cs="Palatino Linotype"/>
          <w:b/>
          <w:bCs/>
          <w:color w:val="000000" w:themeColor="text1"/>
        </w:rPr>
      </w:pPr>
      <w:bookmarkStart w:id="9" w:name="_heading=h.2s8eyo1" w:colFirst="0" w:colLast="0"/>
      <w:bookmarkEnd w:id="9"/>
      <w:r w:rsidRPr="00D6064C">
        <w:rPr>
          <w:rFonts w:ascii="Palatino Linotype" w:eastAsia="Palatino Linotype" w:hAnsi="Palatino Linotype" w:cs="Palatino Linotype"/>
          <w:b/>
          <w:bCs/>
          <w:color w:val="000000" w:themeColor="text1"/>
        </w:rPr>
        <w:t>Del derecho de acceso a la información.</w:t>
      </w:r>
    </w:p>
    <w:p w:rsidR="008E1C7F" w:rsidRPr="00D6064C" w:rsidRDefault="00EF4452" w:rsidP="00D6064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Definiendo el Derecho de Acceso a la Información Pública como: </w:t>
      </w:r>
      <w:r w:rsidRPr="00D6064C">
        <w:rPr>
          <w:rFonts w:ascii="Palatino Linotype" w:eastAsia="Palatino Linotype" w:hAnsi="Palatino Linotype" w:cs="Palatino Linotype"/>
          <w:i/>
          <w:iCs/>
          <w:color w:val="000000" w:themeColor="text1"/>
        </w:rPr>
        <w:t>La igualdad de oportunidades para recibir, buscar e impartir información</w:t>
      </w:r>
      <w:r w:rsidRPr="00D6064C">
        <w:rPr>
          <w:rFonts w:ascii="Palatino Linotype" w:eastAsia="Palatino Linotype" w:hAnsi="Palatino Linotype" w:cs="Palatino Linotype"/>
          <w:i/>
          <w:iCs/>
          <w:color w:val="000000" w:themeColor="text1"/>
          <w:vertAlign w:val="superscript"/>
        </w:rPr>
        <w:footnoteReference w:id="1"/>
      </w:r>
      <w:r w:rsidRPr="00D6064C">
        <w:rPr>
          <w:rFonts w:ascii="Palatino Linotype" w:eastAsia="Palatino Linotype" w:hAnsi="Palatino Linotype" w:cs="Palatino Linotype"/>
          <w:i/>
          <w:iCs/>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6064C">
        <w:rPr>
          <w:rFonts w:ascii="Palatino Linotype" w:eastAsia="Palatino Linotype" w:hAnsi="Palatino Linotype" w:cs="Palatino Linotype"/>
          <w:i/>
          <w:iCs/>
          <w:color w:val="000000" w:themeColor="text1"/>
          <w:vertAlign w:val="superscript"/>
        </w:rPr>
        <w:footnoteReference w:id="2"/>
      </w:r>
      <w:r w:rsidRPr="00D6064C">
        <w:rPr>
          <w:rFonts w:ascii="Palatino Linotype" w:eastAsia="Palatino Linotype" w:hAnsi="Palatino Linotype" w:cs="Palatino Linotype"/>
          <w:color w:val="000000" w:themeColor="text1"/>
        </w:rPr>
        <w:t>que se constituye como una herramienta fundamental para ejercer</w:t>
      </w:r>
      <w:r w:rsidRPr="00D6064C">
        <w:rPr>
          <w:rFonts w:ascii="Palatino Linotype" w:eastAsia="Palatino Linotype" w:hAnsi="Palatino Linotype" w:cs="Palatino Linotype"/>
          <w:i/>
          <w:iCs/>
          <w:color w:val="000000" w:themeColor="text1"/>
        </w:rPr>
        <w:t xml:space="preserve"> el control democrático de las gestiones estatales, de forma tal que puedan cuestionar, indagar y considerar si se está dando un adecuado cumplimiento a las funciones públicas,</w:t>
      </w:r>
      <w:r w:rsidRPr="00D6064C">
        <w:rPr>
          <w:rFonts w:ascii="Palatino Linotype" w:eastAsia="Palatino Linotype" w:hAnsi="Palatino Linotype" w:cs="Palatino Linotype"/>
          <w:i/>
          <w:iCs/>
          <w:color w:val="000000" w:themeColor="text1"/>
          <w:vertAlign w:val="superscript"/>
        </w:rPr>
        <w:footnoteReference w:id="3"/>
      </w:r>
      <w:r w:rsidRPr="00D6064C">
        <w:rPr>
          <w:rFonts w:ascii="Palatino Linotype" w:eastAsia="Palatino Linotype" w:hAnsi="Palatino Linotype" w:cs="Palatino Linotype"/>
          <w:color w:val="000000" w:themeColor="text1"/>
        </w:rPr>
        <w:t>fomentando</w:t>
      </w:r>
      <w:r w:rsidRPr="00D6064C">
        <w:rPr>
          <w:rFonts w:ascii="Palatino Linotype" w:eastAsia="Palatino Linotype" w:hAnsi="Palatino Linotype" w:cs="Palatino Linotype"/>
          <w:i/>
          <w:iCs/>
          <w:color w:val="000000" w:themeColor="text1"/>
        </w:rPr>
        <w:t xml:space="preserve"> la transparencia de las actividades estatales y </w:t>
      </w:r>
      <w:r w:rsidRPr="00D6064C">
        <w:rPr>
          <w:rFonts w:ascii="Palatino Linotype" w:eastAsia="Palatino Linotype" w:hAnsi="Palatino Linotype" w:cs="Palatino Linotype"/>
          <w:color w:val="000000" w:themeColor="text1"/>
        </w:rPr>
        <w:t>promoviendo</w:t>
      </w:r>
      <w:r w:rsidRPr="00D6064C">
        <w:rPr>
          <w:rFonts w:ascii="Palatino Linotype" w:eastAsia="Palatino Linotype" w:hAnsi="Palatino Linotype" w:cs="Palatino Linotype"/>
          <w:i/>
          <w:iCs/>
          <w:color w:val="000000" w:themeColor="text1"/>
        </w:rPr>
        <w:t xml:space="preserve"> la responsabilidad de los funcionarios sobre su gestión pública,</w:t>
      </w:r>
      <w:r w:rsidRPr="00D6064C">
        <w:rPr>
          <w:rFonts w:ascii="Palatino Linotype" w:eastAsia="Palatino Linotype" w:hAnsi="Palatino Linotype" w:cs="Palatino Linotype"/>
          <w:i/>
          <w:iCs/>
          <w:color w:val="000000" w:themeColor="text1"/>
          <w:vertAlign w:val="superscript"/>
        </w:rPr>
        <w:footnoteReference w:id="4"/>
      </w:r>
      <w:r w:rsidRPr="00D6064C">
        <w:rPr>
          <w:rFonts w:ascii="Palatino Linotype" w:eastAsia="Palatino Linotype" w:hAnsi="Palatino Linotype" w:cs="Palatino Linotype"/>
          <w:color w:val="000000" w:themeColor="text1"/>
        </w:rPr>
        <w:t>que permite</w:t>
      </w:r>
      <w:r w:rsidRPr="00D6064C">
        <w:rPr>
          <w:rFonts w:ascii="Palatino Linotype" w:eastAsia="Palatino Linotype" w:hAnsi="Palatino Linotype" w:cs="Palatino Linotype"/>
          <w:i/>
          <w:iCs/>
          <w:color w:val="000000" w:themeColor="text1"/>
        </w:rPr>
        <w:t xml:space="preserve"> saber qué están haciendo los gobiernos por sus pueblos, sin lo cual la verdad languidecería y la participación en el gobierno permanecería fragmentada.</w:t>
      </w:r>
    </w:p>
    <w:p w:rsidR="008E1C7F" w:rsidRPr="00D6064C" w:rsidRDefault="00EF4452" w:rsidP="00D6064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lastRenderedPageBreak/>
        <w:t>En México, además de los derechos, están reconocidas las garantías para su protección, en ese sentido el párrafo tercero de artículo primero de la Constitución Política de los Estados Unidos Mexicanos dispone lo siguiente:</w:t>
      </w:r>
    </w:p>
    <w:p w:rsidR="008E1C7F" w:rsidRPr="00D6064C" w:rsidRDefault="00EF4452" w:rsidP="00D6064C">
      <w:pP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w:t>
      </w:r>
      <w:r w:rsidRPr="00D6064C">
        <w:rPr>
          <w:rFonts w:ascii="Palatino Linotype" w:eastAsia="Palatino Linotype" w:hAnsi="Palatino Linotype" w:cs="Palatino Linotype"/>
          <w:b/>
          <w:bCs/>
          <w:i/>
          <w:iCs/>
          <w:color w:val="000000" w:themeColor="text1"/>
        </w:rPr>
        <w:t>Artículo 1.-</w:t>
      </w:r>
      <w:r w:rsidRPr="00D6064C">
        <w:rPr>
          <w:rFonts w:ascii="Palatino Linotype" w:eastAsia="Palatino Linotype" w:hAnsi="Palatino Linotype" w:cs="Palatino Linotype"/>
          <w:i/>
          <w:iCs/>
          <w:color w:val="000000" w:themeColor="text1"/>
        </w:rPr>
        <w:t xml:space="preserve"> </w:t>
      </w:r>
    </w:p>
    <w:p w:rsidR="008E1C7F" w:rsidRPr="00D6064C" w:rsidRDefault="00EF4452" w:rsidP="00D6064C">
      <w:pP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w:t>
      </w:r>
    </w:p>
    <w:p w:rsidR="008E1C7F" w:rsidRPr="00D6064C" w:rsidRDefault="00EF4452" w:rsidP="00D6064C">
      <w:pP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Todas las</w:t>
      </w:r>
      <w:r w:rsidRPr="00D6064C">
        <w:rPr>
          <w:rFonts w:ascii="Palatino Linotype" w:eastAsia="Palatino Linotype" w:hAnsi="Palatino Linotype" w:cs="Palatino Linotype"/>
          <w:color w:val="000000" w:themeColor="text1"/>
        </w:rPr>
        <w:t xml:space="preserve"> </w:t>
      </w:r>
      <w:r w:rsidRPr="00D6064C">
        <w:rPr>
          <w:rFonts w:ascii="Palatino Linotype" w:eastAsia="Palatino Linotype" w:hAnsi="Palatino Linotype" w:cs="Palatino Linotype"/>
          <w:i/>
          <w:iCs/>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E1C7F" w:rsidRPr="00D6064C" w:rsidRDefault="00EF4452" w:rsidP="00D6064C">
      <w:pPr>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i/>
          <w:iCs/>
          <w:color w:val="000000" w:themeColor="text1"/>
        </w:rPr>
        <w:t>(…)</w:t>
      </w:r>
      <w:r w:rsidRPr="00D6064C">
        <w:rPr>
          <w:rFonts w:ascii="Palatino Linotype" w:eastAsia="Palatino Linotype" w:hAnsi="Palatino Linotype" w:cs="Palatino Linotype"/>
          <w:color w:val="000000" w:themeColor="text1"/>
        </w:rPr>
        <w:t>”.</w:t>
      </w:r>
    </w:p>
    <w:p w:rsidR="008E1C7F" w:rsidRDefault="008E1C7F" w:rsidP="00D6064C">
      <w:pPr>
        <w:jc w:val="both"/>
        <w:rPr>
          <w:rFonts w:ascii="Palatino Linotype" w:eastAsia="Palatino Linotype" w:hAnsi="Palatino Linotype" w:cs="Palatino Linotype"/>
          <w:b/>
          <w:bCs/>
          <w:color w:val="000000" w:themeColor="text1"/>
        </w:rPr>
      </w:pPr>
    </w:p>
    <w:p w:rsidR="00AB63B5" w:rsidRPr="00D6064C" w:rsidRDefault="00AB63B5" w:rsidP="00D6064C">
      <w:pPr>
        <w:jc w:val="both"/>
        <w:rPr>
          <w:rFonts w:ascii="Palatino Linotype" w:eastAsia="Palatino Linotype" w:hAnsi="Palatino Linotype" w:cs="Palatino Linotype"/>
          <w:b/>
          <w:bCs/>
          <w:color w:val="000000" w:themeColor="text1"/>
        </w:rPr>
      </w:pPr>
    </w:p>
    <w:p w:rsidR="008E1C7F" w:rsidRPr="00D6064C" w:rsidRDefault="00EF4452" w:rsidP="00D6064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8E1C7F" w:rsidRPr="00D6064C" w:rsidRDefault="00EF4452" w:rsidP="00D6064C">
      <w:pPr>
        <w:tabs>
          <w:tab w:val="left" w:pos="7938"/>
        </w:tabs>
        <w:spacing w:after="240"/>
        <w:jc w:val="both"/>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Constitución Política de los Estados Unidos Mexicanos</w:t>
      </w:r>
    </w:p>
    <w:p w:rsidR="008E1C7F" w:rsidRPr="00D6064C" w:rsidRDefault="00EF4452" w:rsidP="00D6064C">
      <w:pPr>
        <w:tabs>
          <w:tab w:val="left" w:pos="7938"/>
        </w:tabs>
        <w:spacing w:before="240" w:after="240"/>
        <w:jc w:val="both"/>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“Artículo 6.</w:t>
      </w:r>
    </w:p>
    <w:p w:rsidR="008E1C7F" w:rsidRPr="00D6064C" w:rsidRDefault="00EF4452" w:rsidP="00D6064C">
      <w:pPr>
        <w:tabs>
          <w:tab w:val="left" w:pos="7938"/>
        </w:tabs>
        <w:spacing w:before="240" w:after="24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w:t>
      </w:r>
    </w:p>
    <w:p w:rsidR="008E1C7F" w:rsidRPr="00D6064C" w:rsidRDefault="00EF4452" w:rsidP="00D6064C">
      <w:pPr>
        <w:tabs>
          <w:tab w:val="left" w:pos="7938"/>
        </w:tabs>
        <w:spacing w:before="240" w:after="24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lastRenderedPageBreak/>
        <w:t>Para efectos de lo dispuesto en el presente artículo se observará lo siguiente:</w:t>
      </w:r>
    </w:p>
    <w:p w:rsidR="008E1C7F" w:rsidRPr="00D6064C" w:rsidRDefault="00EF4452" w:rsidP="00D6064C">
      <w:pPr>
        <w:tabs>
          <w:tab w:val="left" w:pos="7938"/>
        </w:tabs>
        <w:spacing w:before="240" w:after="240"/>
        <w:jc w:val="both"/>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A</w:t>
      </w:r>
      <w:r w:rsidRPr="00D6064C">
        <w:rPr>
          <w:rFonts w:ascii="Palatino Linotype" w:eastAsia="Palatino Linotype" w:hAnsi="Palatino Linotype" w:cs="Palatino Linotype"/>
          <w:i/>
          <w:iCs/>
          <w:color w:val="000000" w:themeColor="text1"/>
        </w:rPr>
        <w:t xml:space="preserve">. </w:t>
      </w:r>
      <w:r w:rsidRPr="00D6064C">
        <w:rPr>
          <w:rFonts w:ascii="Palatino Linotype" w:eastAsia="Palatino Linotype" w:hAnsi="Palatino Linotype" w:cs="Palatino Linotype"/>
          <w:b/>
          <w:bCs/>
          <w:i/>
          <w:iCs/>
          <w:color w:val="000000" w:themeColor="text1"/>
        </w:rPr>
        <w:t>Para el ejercicio del derecho de acceso a la información</w:t>
      </w:r>
      <w:r w:rsidRPr="00D6064C">
        <w:rPr>
          <w:rFonts w:ascii="Palatino Linotype" w:eastAsia="Palatino Linotype" w:hAnsi="Palatino Linotype" w:cs="Palatino Linotype"/>
          <w:i/>
          <w:iCs/>
          <w:color w:val="000000" w:themeColor="text1"/>
        </w:rPr>
        <w:t xml:space="preserve">, la Federación y </w:t>
      </w:r>
      <w:r w:rsidRPr="00D6064C">
        <w:rPr>
          <w:rFonts w:ascii="Palatino Linotype" w:eastAsia="Palatino Linotype" w:hAnsi="Palatino Linotype" w:cs="Palatino Linotype"/>
          <w:b/>
          <w:bCs/>
          <w:i/>
          <w:iCs/>
          <w:color w:val="000000" w:themeColor="text1"/>
        </w:rPr>
        <w:t>las entidades federativas, en el ámbito de sus respectivas competencias, se regirán por los siguientes principios y bases:</w:t>
      </w:r>
    </w:p>
    <w:p w:rsidR="008E1C7F" w:rsidRPr="00D6064C" w:rsidRDefault="00EF4452" w:rsidP="00D6064C">
      <w:pPr>
        <w:tabs>
          <w:tab w:val="left" w:pos="7938"/>
        </w:tabs>
        <w:spacing w:before="240" w:after="24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i/>
          <w:iCs/>
          <w:color w:val="000000" w:themeColor="text1"/>
        </w:rPr>
        <w:t>I. Toda la información en posesión de cualquier</w:t>
      </w:r>
      <w:r w:rsidRPr="00D6064C">
        <w:rPr>
          <w:rFonts w:ascii="Palatino Linotype" w:eastAsia="Palatino Linotype" w:hAnsi="Palatino Linotype" w:cs="Palatino Linotype"/>
          <w:i/>
          <w:iCs/>
          <w:color w:val="000000" w:themeColor="text1"/>
        </w:rPr>
        <w:t xml:space="preserve"> </w:t>
      </w:r>
      <w:r w:rsidRPr="00D6064C">
        <w:rPr>
          <w:rFonts w:ascii="Palatino Linotype" w:eastAsia="Palatino Linotype" w:hAnsi="Palatino Linotype" w:cs="Palatino Linotype"/>
          <w:b/>
          <w:bCs/>
          <w:i/>
          <w:iCs/>
          <w:color w:val="000000" w:themeColor="text1"/>
        </w:rPr>
        <w:t>autoridad</w:t>
      </w:r>
      <w:r w:rsidRPr="00D6064C">
        <w:rPr>
          <w:rFonts w:ascii="Palatino Linotype" w:eastAsia="Palatino Linotype" w:hAnsi="Palatino Linotype" w:cs="Palatino Linotype"/>
          <w:i/>
          <w:iCs/>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6064C">
        <w:rPr>
          <w:rFonts w:ascii="Palatino Linotype" w:eastAsia="Palatino Linotype" w:hAnsi="Palatino Linotype" w:cs="Palatino Linotype"/>
          <w:b/>
          <w:bCs/>
          <w:i/>
          <w:iCs/>
          <w:color w:val="000000" w:themeColor="text1"/>
        </w:rPr>
        <w:t>municipal</w:t>
      </w:r>
      <w:r w:rsidRPr="00D6064C">
        <w:rPr>
          <w:rFonts w:ascii="Palatino Linotype" w:eastAsia="Palatino Linotype" w:hAnsi="Palatino Linotype" w:cs="Palatino Linotype"/>
          <w:i/>
          <w:iCs/>
          <w:color w:val="000000" w:themeColor="text1"/>
        </w:rPr>
        <w:t xml:space="preserve">, </w:t>
      </w:r>
      <w:r w:rsidRPr="00D6064C">
        <w:rPr>
          <w:rFonts w:ascii="Palatino Linotype" w:eastAsia="Palatino Linotype" w:hAnsi="Palatino Linotype" w:cs="Palatino Linotype"/>
          <w:b/>
          <w:bCs/>
          <w:i/>
          <w:iCs/>
          <w:color w:val="000000" w:themeColor="text1"/>
        </w:rPr>
        <w:t>es pública</w:t>
      </w:r>
      <w:r w:rsidRPr="00D6064C">
        <w:rPr>
          <w:rFonts w:ascii="Palatino Linotype" w:eastAsia="Palatino Linotype" w:hAnsi="Palatino Linotype" w:cs="Palatino Linotype"/>
          <w:i/>
          <w:iCs/>
          <w:color w:val="000000" w:themeColor="text1"/>
        </w:rPr>
        <w:t xml:space="preserve"> y sólo podrá ser reservada temporalmente por razones de interés público y seguridad nacional, en los términos que fijen las leyes. </w:t>
      </w:r>
      <w:r w:rsidRPr="00D6064C">
        <w:rPr>
          <w:rFonts w:ascii="Palatino Linotype" w:eastAsia="Palatino Linotype" w:hAnsi="Palatino Linotype" w:cs="Palatino Linotype"/>
          <w:b/>
          <w:bCs/>
          <w:i/>
          <w:iCs/>
          <w:color w:val="000000" w:themeColor="text1"/>
        </w:rPr>
        <w:t>En la interpretación de este derecho deberá prevalecer el principio de máxima publicidad. Los sujetos obligados deberán documentar todo acto que derive del ejercicio de sus facultades, competencias o funciones</w:t>
      </w:r>
      <w:r w:rsidRPr="00D6064C">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8E1C7F" w:rsidRPr="00D6064C" w:rsidRDefault="008E1C7F" w:rsidP="00D6064C">
      <w:pPr>
        <w:tabs>
          <w:tab w:val="left" w:pos="567"/>
          <w:tab w:val="left" w:pos="7938"/>
        </w:tabs>
        <w:spacing w:before="240"/>
        <w:jc w:val="both"/>
        <w:rPr>
          <w:rFonts w:ascii="Palatino Linotype" w:eastAsia="Palatino Linotype" w:hAnsi="Palatino Linotype" w:cs="Palatino Linotype"/>
          <w:b/>
          <w:bCs/>
          <w:i/>
          <w:iCs/>
          <w:color w:val="000000" w:themeColor="text1"/>
        </w:rPr>
      </w:pPr>
    </w:p>
    <w:p w:rsidR="008E1C7F" w:rsidRPr="00D6064C" w:rsidRDefault="00EF4452" w:rsidP="00D6064C">
      <w:pPr>
        <w:tabs>
          <w:tab w:val="left" w:pos="7938"/>
        </w:tabs>
        <w:spacing w:after="240"/>
        <w:jc w:val="both"/>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Constitución Política del Estado Libre y Soberano de México</w:t>
      </w:r>
    </w:p>
    <w:p w:rsidR="008E1C7F" w:rsidRPr="00D6064C" w:rsidRDefault="00EF4452" w:rsidP="00D6064C">
      <w:pPr>
        <w:tabs>
          <w:tab w:val="left" w:pos="7938"/>
        </w:tabs>
        <w:spacing w:before="240" w:after="24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i/>
          <w:iCs/>
          <w:color w:val="000000" w:themeColor="text1"/>
        </w:rPr>
        <w:t>“Artículo 5</w:t>
      </w:r>
      <w:r w:rsidRPr="00D6064C">
        <w:rPr>
          <w:rFonts w:ascii="Palatino Linotype" w:eastAsia="Palatino Linotype" w:hAnsi="Palatino Linotype" w:cs="Palatino Linotype"/>
          <w:i/>
          <w:iCs/>
          <w:color w:val="000000" w:themeColor="text1"/>
        </w:rPr>
        <w:t xml:space="preserve">.- </w:t>
      </w:r>
    </w:p>
    <w:p w:rsidR="008E1C7F" w:rsidRPr="00D6064C" w:rsidRDefault="00EF4452" w:rsidP="00D6064C">
      <w:pPr>
        <w:tabs>
          <w:tab w:val="left" w:pos="7938"/>
        </w:tabs>
        <w:spacing w:before="240" w:after="24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w:t>
      </w:r>
    </w:p>
    <w:p w:rsidR="008E1C7F" w:rsidRPr="00D6064C" w:rsidRDefault="00EF4452" w:rsidP="00D6064C">
      <w:pPr>
        <w:tabs>
          <w:tab w:val="left" w:pos="7938"/>
        </w:tabs>
        <w:spacing w:before="240" w:after="24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i/>
          <w:iCs/>
          <w:color w:val="000000" w:themeColor="text1"/>
        </w:rPr>
        <w:t>El derecho a la información será garantizado por el Estado. La ley establecerá las previsiones que permitan asegurar la protección, el respeto y la difusión de este derecho</w:t>
      </w:r>
      <w:r w:rsidRPr="00D6064C">
        <w:rPr>
          <w:rFonts w:ascii="Palatino Linotype" w:eastAsia="Palatino Linotype" w:hAnsi="Palatino Linotype" w:cs="Palatino Linotype"/>
          <w:i/>
          <w:iCs/>
          <w:color w:val="000000" w:themeColor="text1"/>
        </w:rPr>
        <w:t>.</w:t>
      </w:r>
    </w:p>
    <w:p w:rsidR="008E1C7F" w:rsidRPr="00D6064C" w:rsidRDefault="00EF4452" w:rsidP="00D6064C">
      <w:pPr>
        <w:tabs>
          <w:tab w:val="left" w:pos="7938"/>
        </w:tabs>
        <w:spacing w:before="240" w:after="24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E1C7F" w:rsidRPr="00D6064C" w:rsidRDefault="008E1C7F" w:rsidP="00D6064C">
      <w:pPr>
        <w:tabs>
          <w:tab w:val="left" w:pos="7938"/>
        </w:tabs>
        <w:spacing w:before="240" w:after="240"/>
        <w:jc w:val="both"/>
        <w:rPr>
          <w:rFonts w:ascii="Palatino Linotype" w:eastAsia="Palatino Linotype" w:hAnsi="Palatino Linotype" w:cs="Palatino Linotype"/>
          <w:i/>
          <w:iCs/>
          <w:color w:val="000000" w:themeColor="text1"/>
        </w:rPr>
      </w:pPr>
    </w:p>
    <w:p w:rsidR="008E1C7F" w:rsidRPr="00D6064C" w:rsidRDefault="00EF4452" w:rsidP="00D6064C">
      <w:pPr>
        <w:tabs>
          <w:tab w:val="left" w:pos="7938"/>
        </w:tabs>
        <w:spacing w:before="240" w:after="24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i/>
          <w:iCs/>
          <w:color w:val="000000" w:themeColor="text1"/>
        </w:rPr>
        <w:t>Este derecho se regirá por los principios y bases siguientes</w:t>
      </w:r>
      <w:r w:rsidRPr="00D6064C">
        <w:rPr>
          <w:rFonts w:ascii="Palatino Linotype" w:eastAsia="Palatino Linotype" w:hAnsi="Palatino Linotype" w:cs="Palatino Linotype"/>
          <w:i/>
          <w:iCs/>
          <w:color w:val="000000" w:themeColor="text1"/>
        </w:rPr>
        <w:t>:</w:t>
      </w:r>
    </w:p>
    <w:p w:rsidR="008E1C7F" w:rsidRPr="00D6064C" w:rsidRDefault="00EF4452" w:rsidP="00D6064C">
      <w:pPr>
        <w:tabs>
          <w:tab w:val="left" w:pos="7938"/>
        </w:tabs>
        <w:spacing w:before="240" w:after="24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i/>
          <w:iCs/>
          <w:color w:val="000000" w:themeColor="text1"/>
        </w:rPr>
        <w:t>I. Toda la información en posesión de cualquier autoridad, entidad, órgano y organismos de los</w:t>
      </w:r>
      <w:r w:rsidRPr="00D6064C">
        <w:rPr>
          <w:rFonts w:ascii="Palatino Linotype" w:eastAsia="Palatino Linotype" w:hAnsi="Palatino Linotype" w:cs="Palatino Linotype"/>
          <w:i/>
          <w:iCs/>
          <w:color w:val="000000" w:themeColor="text1"/>
        </w:rPr>
        <w:t xml:space="preserve"> Poderes Ejecutivo, Legislativo y Judicial, órganos autónomos, partidos políticos, fideicomisos y fondos públicos estatales y </w:t>
      </w:r>
      <w:r w:rsidRPr="00D6064C">
        <w:rPr>
          <w:rFonts w:ascii="Palatino Linotype" w:eastAsia="Palatino Linotype" w:hAnsi="Palatino Linotype" w:cs="Palatino Linotype"/>
          <w:b/>
          <w:bCs/>
          <w:i/>
          <w:iCs/>
          <w:color w:val="000000" w:themeColor="text1"/>
        </w:rPr>
        <w:t>municipales</w:t>
      </w:r>
      <w:r w:rsidRPr="00D6064C">
        <w:rPr>
          <w:rFonts w:ascii="Palatino Linotype" w:eastAsia="Palatino Linotype" w:hAnsi="Palatino Linotype" w:cs="Palatino Linotype"/>
          <w:i/>
          <w:iCs/>
          <w:color w:val="000000" w:themeColor="text1"/>
        </w:rPr>
        <w:t xml:space="preserve">, así como del gobierno y de la administración pública </w:t>
      </w:r>
      <w:r w:rsidRPr="00D6064C">
        <w:rPr>
          <w:rFonts w:ascii="Palatino Linotype" w:eastAsia="Palatino Linotype" w:hAnsi="Palatino Linotype" w:cs="Palatino Linotype"/>
          <w:i/>
          <w:iCs/>
          <w:color w:val="000000" w:themeColor="text1"/>
        </w:rPr>
        <w:lastRenderedPageBreak/>
        <w:t xml:space="preserve">municipal y sus organismos descentralizados, asimismo de cualquier persona física, jurídica colectiva o sindicato que reciba y ejerza recursos públicos o realice actos de autoridad en el ámbito estatal y municipal, </w:t>
      </w:r>
      <w:r w:rsidRPr="00D6064C">
        <w:rPr>
          <w:rFonts w:ascii="Palatino Linotype" w:eastAsia="Palatino Linotype" w:hAnsi="Palatino Linotype" w:cs="Palatino Linotype"/>
          <w:b/>
          <w:bCs/>
          <w:i/>
          <w:iCs/>
          <w:color w:val="000000" w:themeColor="text1"/>
        </w:rPr>
        <w:t>es pública</w:t>
      </w:r>
      <w:r w:rsidRPr="00D6064C">
        <w:rPr>
          <w:rFonts w:ascii="Palatino Linotype" w:eastAsia="Palatino Linotype" w:hAnsi="Palatino Linotype" w:cs="Palatino Linotype"/>
          <w:i/>
          <w:iCs/>
          <w:color w:val="000000" w:themeColor="text1"/>
        </w:rPr>
        <w:t xml:space="preserve"> y sólo podrá ser reservada temporalmente por razones previstas en la Constitución Política de los Estados Unidos Mexicanos de interés público y seguridad, en los términos que fijen las leyes. </w:t>
      </w:r>
      <w:r w:rsidRPr="00D6064C">
        <w:rPr>
          <w:rFonts w:ascii="Palatino Linotype" w:eastAsia="Palatino Linotype" w:hAnsi="Palatino Linotype" w:cs="Palatino Linotype"/>
          <w:b/>
          <w:bCs/>
          <w:i/>
          <w:iCs/>
          <w:color w:val="000000" w:themeColor="text1"/>
        </w:rPr>
        <w:t>En la interpretación de este derecho deberá prevalecer el principio de máxima publicidad</w:t>
      </w:r>
      <w:r w:rsidRPr="00D6064C">
        <w:rPr>
          <w:rFonts w:ascii="Palatino Linotype" w:eastAsia="Palatino Linotype" w:hAnsi="Palatino Linotype" w:cs="Palatino Linotype"/>
          <w:i/>
          <w:iCs/>
          <w:color w:val="000000" w:themeColor="text1"/>
        </w:rPr>
        <w:t xml:space="preserve">. </w:t>
      </w:r>
      <w:r w:rsidRPr="00D6064C">
        <w:rPr>
          <w:rFonts w:ascii="Palatino Linotype" w:eastAsia="Palatino Linotype" w:hAnsi="Palatino Linotype" w:cs="Palatino Linotype"/>
          <w:b/>
          <w:bCs/>
          <w:i/>
          <w:iCs/>
          <w:color w:val="000000" w:themeColor="text1"/>
        </w:rPr>
        <w:t>Los sujetos obligados deberán documentar todo acto que derive del ejercicio de sus facultades, competencias o funciones</w:t>
      </w:r>
      <w:r w:rsidRPr="00D6064C">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8E1C7F" w:rsidRPr="00D6064C" w:rsidRDefault="008E1C7F" w:rsidP="00D6064C">
      <w:pPr>
        <w:tabs>
          <w:tab w:val="left" w:pos="567"/>
        </w:tabs>
        <w:spacing w:before="240" w:after="240"/>
        <w:jc w:val="both"/>
        <w:rPr>
          <w:rFonts w:ascii="Palatino Linotype" w:eastAsia="Palatino Linotype" w:hAnsi="Palatino Linotype" w:cs="Palatino Linotype"/>
          <w:b/>
          <w:bCs/>
          <w:i/>
          <w:iCs/>
          <w:color w:val="000000" w:themeColor="text1"/>
        </w:rPr>
      </w:pPr>
    </w:p>
    <w:p w:rsidR="008E1C7F" w:rsidRPr="00D6064C" w:rsidRDefault="00EF4452" w:rsidP="00D6064C">
      <w:pPr>
        <w:numPr>
          <w:ilvl w:val="0"/>
          <w:numId w:val="2"/>
        </w:numPr>
        <w:spacing w:before="240"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D6064C">
        <w:rPr>
          <w:rFonts w:ascii="Palatino Linotype" w:eastAsia="Palatino Linotype" w:hAnsi="Palatino Linotype" w:cs="Palatino Linotype"/>
          <w:i/>
          <w:iCs/>
          <w:color w:val="000000" w:themeColor="text1"/>
        </w:rPr>
        <w:t>por los principios de simplicidad, rapidez gratuidad del procedimiento, auxilio y orientación a los particulares</w:t>
      </w:r>
      <w:r w:rsidRPr="00D6064C">
        <w:rPr>
          <w:rFonts w:ascii="Palatino Linotype" w:eastAsia="Palatino Linotype" w:hAnsi="Palatino Linotype" w:cs="Palatino Linotype"/>
          <w:color w:val="000000" w:themeColor="text1"/>
        </w:rPr>
        <w:t>, contemplando el derecho de las personas con discapacidad y hablantes de lengua indígena.</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D6064C">
        <w:rPr>
          <w:rFonts w:ascii="Palatino Linotype" w:eastAsia="Palatino Linotype" w:hAnsi="Palatino Linotype" w:cs="Palatino Linotype"/>
          <w:i/>
          <w:iCs/>
          <w:color w:val="000000" w:themeColor="text1"/>
        </w:rPr>
        <w:t>solicitudes de acceso a la información</w:t>
      </w:r>
      <w:r w:rsidRPr="00D6064C">
        <w:rPr>
          <w:rFonts w:ascii="Palatino Linotype" w:eastAsia="Palatino Linotype" w:hAnsi="Palatino Linotype" w:cs="Palatino Linotype"/>
          <w:color w:val="000000" w:themeColor="text1"/>
        </w:rPr>
        <w:t>.</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numPr>
          <w:ilvl w:val="0"/>
          <w:numId w:val="2"/>
        </w:numPr>
        <w:spacing w:line="360" w:lineRule="auto"/>
        <w:ind w:left="0" w:firstLine="0"/>
        <w:jc w:val="both"/>
        <w:rPr>
          <w:rFonts w:ascii="Palatino Linotype" w:eastAsia="Palatino Linotype" w:hAnsi="Palatino Linotype" w:cs="Palatino Linotype"/>
          <w:color w:val="000000" w:themeColor="text1"/>
        </w:rPr>
      </w:pPr>
      <w:bookmarkStart w:id="10" w:name="_heading=h.17dp8vu" w:colFirst="0" w:colLast="0"/>
      <w:bookmarkEnd w:id="10"/>
      <w:r w:rsidRPr="00D6064C">
        <w:rPr>
          <w:rFonts w:ascii="Palatino Linotype" w:eastAsia="Palatino Linotype" w:hAnsi="Palatino Linotype" w:cs="Palatino Linotype"/>
          <w:color w:val="000000" w:themeColor="text1"/>
        </w:rPr>
        <w:t xml:space="preserve">Así entonces, se procede analizar, en primer lugar, si el </w:t>
      </w:r>
      <w:r w:rsidRPr="00D6064C">
        <w:rPr>
          <w:rFonts w:ascii="Palatino Linotype" w:eastAsia="Palatino Linotype" w:hAnsi="Palatino Linotype" w:cs="Palatino Linotype"/>
          <w:b/>
          <w:bCs/>
          <w:color w:val="000000" w:themeColor="text1"/>
        </w:rPr>
        <w:t>SUJETO OBLIGADO</w:t>
      </w:r>
      <w:r w:rsidRPr="00D6064C">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keepNext/>
        <w:keepLines/>
        <w:numPr>
          <w:ilvl w:val="0"/>
          <w:numId w:val="1"/>
        </w:numPr>
        <w:pBdr>
          <w:top w:val="nil"/>
          <w:left w:val="nil"/>
          <w:bottom w:val="nil"/>
          <w:right w:val="nil"/>
          <w:between w:val="nil"/>
        </w:pBdr>
        <w:spacing w:after="240"/>
        <w:ind w:left="0" w:firstLine="0"/>
        <w:rPr>
          <w:rFonts w:ascii="Palatino Linotype" w:eastAsia="Palatino Linotype" w:hAnsi="Palatino Linotype" w:cs="Palatino Linotype"/>
          <w:b/>
          <w:bCs/>
          <w:color w:val="000000" w:themeColor="text1"/>
        </w:rPr>
      </w:pPr>
      <w:bookmarkStart w:id="11" w:name="_heading=h.3rdcrjn" w:colFirst="0" w:colLast="0"/>
      <w:bookmarkEnd w:id="11"/>
      <w:r w:rsidRPr="00D6064C">
        <w:rPr>
          <w:rFonts w:ascii="Palatino Linotype" w:eastAsia="Palatino Linotype" w:hAnsi="Palatino Linotype" w:cs="Palatino Linotype"/>
          <w:b/>
          <w:bCs/>
          <w:color w:val="000000" w:themeColor="text1"/>
        </w:rPr>
        <w:lastRenderedPageBreak/>
        <w:t xml:space="preserve"> De la información solicitada y la respuesta del SUJETO OBLIGADO</w:t>
      </w:r>
    </w:p>
    <w:p w:rsidR="008E1C7F" w:rsidRPr="00D6064C" w:rsidRDefault="00EF4452" w:rsidP="00D6064C">
      <w:pPr>
        <w:numPr>
          <w:ilvl w:val="0"/>
          <w:numId w:val="4"/>
        </w:numPr>
        <w:spacing w:line="360" w:lineRule="auto"/>
        <w:ind w:left="0" w:firstLine="0"/>
        <w:jc w:val="both"/>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color w:val="000000" w:themeColor="text1"/>
        </w:rPr>
        <w:t xml:space="preserve">Cabe recordar dentro de la solicitud que dio origen al presente Recurso que el </w:t>
      </w:r>
      <w:r w:rsidRPr="00D6064C">
        <w:rPr>
          <w:rFonts w:ascii="Palatino Linotype" w:eastAsia="Palatino Linotype" w:hAnsi="Palatino Linotype" w:cs="Palatino Linotype"/>
          <w:b/>
          <w:bCs/>
          <w:color w:val="000000" w:themeColor="text1"/>
        </w:rPr>
        <w:t xml:space="preserve">RECURRENTE </w:t>
      </w:r>
      <w:r w:rsidRPr="00D6064C">
        <w:rPr>
          <w:rFonts w:ascii="Palatino Linotype" w:eastAsia="Palatino Linotype" w:hAnsi="Palatino Linotype" w:cs="Palatino Linotype"/>
          <w:color w:val="000000" w:themeColor="text1"/>
        </w:rPr>
        <w:t xml:space="preserve">solicitó la siguiente información relativa al Titular de la Unidad de Transparencia: </w:t>
      </w:r>
    </w:p>
    <w:p w:rsidR="008E1C7F" w:rsidRPr="00D6064C" w:rsidRDefault="00EF4452" w:rsidP="00D6064C">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i/>
          <w:iCs/>
          <w:color w:val="000000" w:themeColor="text1"/>
        </w:rPr>
        <w:t xml:space="preserve"> </w:t>
      </w:r>
      <w:r w:rsidRPr="00D6064C">
        <w:rPr>
          <w:rFonts w:ascii="Palatino Linotype" w:eastAsia="Palatino Linotype" w:hAnsi="Palatino Linotype" w:cs="Palatino Linotype"/>
          <w:i/>
          <w:iCs/>
          <w:color w:val="000000" w:themeColor="text1"/>
        </w:rPr>
        <w:t>Oficios dirigidos a la Unidad de Transparencia donde titulares de las diferentes áreas soliciten prórroga para atender los requerimientos de información.</w:t>
      </w:r>
    </w:p>
    <w:p w:rsidR="008E1C7F" w:rsidRPr="00D6064C" w:rsidRDefault="00EF4452" w:rsidP="00D6064C">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Oficios donde titular de  la Unidad de Transparencia informe la aprobación a las solicitudes de prórroga de las diferentes áreas.</w:t>
      </w:r>
    </w:p>
    <w:p w:rsidR="008E1C7F" w:rsidRPr="00D6064C" w:rsidRDefault="00EF4452" w:rsidP="00D6064C">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Acuerdos del Comité de Transparencia para aprobar las prórrogas solicitadas por las diferentes áreas.</w:t>
      </w:r>
    </w:p>
    <w:p w:rsidR="008E1C7F" w:rsidRPr="00D6064C" w:rsidRDefault="008E1C7F" w:rsidP="00D6064C">
      <w:pPr>
        <w:pBdr>
          <w:top w:val="nil"/>
          <w:left w:val="nil"/>
          <w:bottom w:val="nil"/>
          <w:right w:val="nil"/>
          <w:between w:val="nil"/>
        </w:pBdr>
        <w:rPr>
          <w:rFonts w:ascii="Palatino Linotype" w:eastAsia="Palatino Linotype" w:hAnsi="Palatino Linotype" w:cs="Palatino Linotype"/>
          <w:color w:val="000000" w:themeColor="text1"/>
        </w:rPr>
      </w:pPr>
    </w:p>
    <w:p w:rsidR="008E1C7F" w:rsidRPr="00AB63B5" w:rsidRDefault="00EF4452" w:rsidP="00D6064C">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color w:val="000000" w:themeColor="text1"/>
        </w:rPr>
        <w:t xml:space="preserve">Dicho lo anterior resulta conveniente elaborar el siguiente </w:t>
      </w:r>
      <w:r w:rsidR="00D6064C" w:rsidRPr="00D6064C">
        <w:rPr>
          <w:rFonts w:ascii="Palatino Linotype" w:eastAsia="Palatino Linotype" w:hAnsi="Palatino Linotype" w:cs="Palatino Linotype"/>
          <w:color w:val="000000" w:themeColor="text1"/>
        </w:rPr>
        <w:t>cuadro a</w:t>
      </w:r>
      <w:r w:rsidRPr="00D6064C">
        <w:rPr>
          <w:rFonts w:ascii="Palatino Linotype" w:eastAsia="Palatino Linotype" w:hAnsi="Palatino Linotype" w:cs="Palatino Linotype"/>
          <w:color w:val="000000" w:themeColor="text1"/>
        </w:rPr>
        <w:t xml:space="preserve"> efecto de visualizar la solicitud de información, la respuesta del Sujeto Obligado y su cumplimiento. </w:t>
      </w:r>
    </w:p>
    <w:p w:rsidR="00AB63B5" w:rsidRPr="00D6064C" w:rsidRDefault="00AB63B5" w:rsidP="00AB63B5">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tbl>
      <w:tblPr>
        <w:tblStyle w:val="afd"/>
        <w:tblW w:w="94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693"/>
        <w:gridCol w:w="3397"/>
      </w:tblGrid>
      <w:tr w:rsidR="00D6064C" w:rsidRPr="00D6064C" w:rsidTr="00AB63B5">
        <w:trPr>
          <w:jc w:val="center"/>
        </w:trPr>
        <w:tc>
          <w:tcPr>
            <w:tcW w:w="3397" w:type="dxa"/>
            <w:shd w:val="clear" w:color="auto" w:fill="F2F2F2"/>
            <w:vAlign w:val="center"/>
          </w:tcPr>
          <w:p w:rsidR="008E1C7F" w:rsidRPr="00D6064C" w:rsidRDefault="00EF4452" w:rsidP="00D6064C">
            <w:pPr>
              <w:jc w:val="center"/>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Información Solicitada</w:t>
            </w:r>
          </w:p>
        </w:tc>
        <w:tc>
          <w:tcPr>
            <w:tcW w:w="2693" w:type="dxa"/>
            <w:shd w:val="clear" w:color="auto" w:fill="F2F2F2"/>
            <w:vAlign w:val="center"/>
          </w:tcPr>
          <w:p w:rsidR="008E1C7F" w:rsidRPr="00D6064C" w:rsidRDefault="00EF4452" w:rsidP="00D6064C">
            <w:pPr>
              <w:jc w:val="center"/>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Respuesta Del Sujeto Obligado</w:t>
            </w:r>
          </w:p>
        </w:tc>
        <w:tc>
          <w:tcPr>
            <w:tcW w:w="3397" w:type="dxa"/>
            <w:shd w:val="clear" w:color="auto" w:fill="F2F2F2"/>
            <w:vAlign w:val="center"/>
          </w:tcPr>
          <w:p w:rsidR="008E1C7F" w:rsidRPr="00D6064C" w:rsidRDefault="00EF4452" w:rsidP="00D6064C">
            <w:pPr>
              <w:jc w:val="center"/>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Cumplimiento</w:t>
            </w:r>
          </w:p>
        </w:tc>
      </w:tr>
      <w:tr w:rsidR="00D6064C" w:rsidRPr="00D6064C" w:rsidTr="00AB63B5">
        <w:trPr>
          <w:jc w:val="center"/>
        </w:trPr>
        <w:tc>
          <w:tcPr>
            <w:tcW w:w="3397" w:type="dxa"/>
            <w:vAlign w:val="center"/>
          </w:tcPr>
          <w:p w:rsidR="008E1C7F" w:rsidRPr="00D6064C" w:rsidRDefault="00EF4452" w:rsidP="00D6064C">
            <w:pPr>
              <w:tabs>
                <w:tab w:val="left" w:pos="1588"/>
              </w:tabs>
              <w:jc w:val="center"/>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Oficios dirigidos a la Unidad de Transparencia donde titulares de las diferentes áreas soliciten prórroga para atender los requerimientos de información.</w:t>
            </w:r>
          </w:p>
          <w:p w:rsidR="008E1C7F" w:rsidRPr="00D6064C" w:rsidRDefault="008E1C7F" w:rsidP="00D6064C">
            <w:pPr>
              <w:pBdr>
                <w:top w:val="nil"/>
                <w:left w:val="nil"/>
                <w:bottom w:val="nil"/>
                <w:right w:val="nil"/>
                <w:between w:val="nil"/>
              </w:pBdr>
              <w:jc w:val="center"/>
              <w:rPr>
                <w:rFonts w:ascii="Palatino Linotype" w:eastAsia="Palatino Linotype" w:hAnsi="Palatino Linotype" w:cs="Palatino Linotype"/>
                <w:b/>
                <w:bCs/>
                <w:color w:val="000000" w:themeColor="text1"/>
              </w:rPr>
            </w:pPr>
          </w:p>
        </w:tc>
        <w:tc>
          <w:tcPr>
            <w:tcW w:w="2693" w:type="dxa"/>
            <w:vAlign w:val="center"/>
          </w:tcPr>
          <w:p w:rsidR="008E1C7F" w:rsidRPr="00D6064C" w:rsidRDefault="00EF4452" w:rsidP="00D6064C">
            <w:pPr>
              <w:jc w:val="center"/>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No se pronuncia</w:t>
            </w:r>
          </w:p>
        </w:tc>
        <w:tc>
          <w:tcPr>
            <w:tcW w:w="3397" w:type="dxa"/>
            <w:vAlign w:val="center"/>
          </w:tcPr>
          <w:p w:rsidR="008E1C7F" w:rsidRPr="00D6064C" w:rsidRDefault="00EF4452" w:rsidP="00D6064C">
            <w:pPr>
              <w:jc w:val="center"/>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NO</w:t>
            </w:r>
          </w:p>
          <w:p w:rsidR="008E1C7F" w:rsidRPr="00D6064C" w:rsidRDefault="008E1C7F" w:rsidP="00D6064C">
            <w:pPr>
              <w:jc w:val="center"/>
              <w:rPr>
                <w:rFonts w:ascii="Palatino Linotype" w:eastAsia="Palatino Linotype" w:hAnsi="Palatino Linotype" w:cs="Palatino Linotype"/>
                <w:i/>
                <w:iCs/>
                <w:color w:val="000000" w:themeColor="text1"/>
              </w:rPr>
            </w:pPr>
          </w:p>
        </w:tc>
      </w:tr>
      <w:tr w:rsidR="00D6064C" w:rsidRPr="00D6064C" w:rsidTr="00AB63B5">
        <w:trPr>
          <w:jc w:val="center"/>
        </w:trPr>
        <w:tc>
          <w:tcPr>
            <w:tcW w:w="3397" w:type="dxa"/>
            <w:vAlign w:val="center"/>
          </w:tcPr>
          <w:p w:rsidR="008E1C7F" w:rsidRPr="00AB63B5" w:rsidRDefault="00EF4452" w:rsidP="00AB63B5">
            <w:pPr>
              <w:jc w:val="center"/>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Oficios donde el titular </w:t>
            </w:r>
            <w:r w:rsidR="00606E1C" w:rsidRPr="00D6064C">
              <w:rPr>
                <w:rFonts w:ascii="Palatino Linotype" w:eastAsia="Palatino Linotype" w:hAnsi="Palatino Linotype" w:cs="Palatino Linotype"/>
                <w:color w:val="000000" w:themeColor="text1"/>
              </w:rPr>
              <w:t>de la</w:t>
            </w:r>
            <w:r w:rsidRPr="00D6064C">
              <w:rPr>
                <w:rFonts w:ascii="Palatino Linotype" w:eastAsia="Palatino Linotype" w:hAnsi="Palatino Linotype" w:cs="Palatino Linotype"/>
                <w:color w:val="000000" w:themeColor="text1"/>
              </w:rPr>
              <w:t xml:space="preserve"> Unidad de Transparencia informe la aprobación a las solicitudes de prórroga de las diferentes áreas.</w:t>
            </w:r>
          </w:p>
        </w:tc>
        <w:tc>
          <w:tcPr>
            <w:tcW w:w="2693" w:type="dxa"/>
            <w:vAlign w:val="center"/>
          </w:tcPr>
          <w:p w:rsidR="008E1C7F" w:rsidRPr="00D6064C" w:rsidRDefault="00EF4452" w:rsidP="00D6064C">
            <w:pPr>
              <w:jc w:val="center"/>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No se pronuncia.</w:t>
            </w:r>
          </w:p>
        </w:tc>
        <w:tc>
          <w:tcPr>
            <w:tcW w:w="3397" w:type="dxa"/>
            <w:vAlign w:val="center"/>
          </w:tcPr>
          <w:p w:rsidR="008E1C7F" w:rsidRPr="00D6064C" w:rsidRDefault="00EF4452" w:rsidP="00D6064C">
            <w:pPr>
              <w:jc w:val="center"/>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NO</w:t>
            </w:r>
          </w:p>
          <w:p w:rsidR="008E1C7F" w:rsidRPr="00D6064C" w:rsidRDefault="008E1C7F" w:rsidP="00D6064C">
            <w:pPr>
              <w:jc w:val="center"/>
              <w:rPr>
                <w:rFonts w:ascii="Palatino Linotype" w:eastAsia="Palatino Linotype" w:hAnsi="Palatino Linotype" w:cs="Palatino Linotype"/>
                <w:i/>
                <w:iCs/>
                <w:color w:val="000000" w:themeColor="text1"/>
              </w:rPr>
            </w:pPr>
          </w:p>
        </w:tc>
      </w:tr>
      <w:tr w:rsidR="00D6064C" w:rsidRPr="00D6064C" w:rsidTr="00AB63B5">
        <w:trPr>
          <w:jc w:val="center"/>
        </w:trPr>
        <w:tc>
          <w:tcPr>
            <w:tcW w:w="3397" w:type="dxa"/>
            <w:vAlign w:val="center"/>
          </w:tcPr>
          <w:p w:rsidR="008E1C7F" w:rsidRPr="00D6064C" w:rsidRDefault="00EF4452" w:rsidP="00D6064C">
            <w:pPr>
              <w:jc w:val="center"/>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lastRenderedPageBreak/>
              <w:t>Acuerdos del Comité de Transparencia para aprobar las prórrogas solicitadas por las diferentes áreas.</w:t>
            </w:r>
          </w:p>
          <w:p w:rsidR="008E1C7F" w:rsidRPr="00D6064C" w:rsidRDefault="008E1C7F" w:rsidP="00D6064C">
            <w:pPr>
              <w:jc w:val="center"/>
              <w:rPr>
                <w:rFonts w:ascii="Palatino Linotype" w:eastAsia="Palatino Linotype" w:hAnsi="Palatino Linotype" w:cs="Palatino Linotype"/>
                <w:b/>
                <w:bCs/>
                <w:color w:val="000000" w:themeColor="text1"/>
              </w:rPr>
            </w:pPr>
          </w:p>
        </w:tc>
        <w:tc>
          <w:tcPr>
            <w:tcW w:w="2693" w:type="dxa"/>
            <w:vAlign w:val="center"/>
          </w:tcPr>
          <w:p w:rsidR="008E1C7F" w:rsidRPr="00D6064C" w:rsidRDefault="00EF4452" w:rsidP="00D6064C">
            <w:pPr>
              <w:jc w:val="center"/>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Entrega actas de sesiones del Comité de Transparencia donde justifica la prórroga a los requerimientos de información y su atención del uno de enero al diez de julio de dos mil veinticinco.</w:t>
            </w:r>
          </w:p>
        </w:tc>
        <w:tc>
          <w:tcPr>
            <w:tcW w:w="3397" w:type="dxa"/>
            <w:vAlign w:val="center"/>
          </w:tcPr>
          <w:p w:rsidR="008E1C7F" w:rsidRPr="00D6064C" w:rsidRDefault="00EF4452" w:rsidP="00D6064C">
            <w:pPr>
              <w:jc w:val="center"/>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SI</w:t>
            </w:r>
          </w:p>
          <w:p w:rsidR="008E1C7F" w:rsidRPr="00D6064C" w:rsidRDefault="008E1C7F" w:rsidP="00D6064C">
            <w:pPr>
              <w:jc w:val="center"/>
              <w:rPr>
                <w:rFonts w:ascii="Palatino Linotype" w:eastAsia="Palatino Linotype" w:hAnsi="Palatino Linotype" w:cs="Palatino Linotype"/>
                <w:i/>
                <w:iCs/>
                <w:color w:val="000000" w:themeColor="text1"/>
              </w:rPr>
            </w:pPr>
          </w:p>
        </w:tc>
      </w:tr>
    </w:tbl>
    <w:p w:rsidR="008E1C7F" w:rsidRDefault="008E1C7F" w:rsidP="00D6064C">
      <w:pPr>
        <w:jc w:val="both"/>
        <w:rPr>
          <w:rFonts w:ascii="Palatino Linotype" w:eastAsia="Palatino Linotype" w:hAnsi="Palatino Linotype" w:cs="Palatino Linotype"/>
          <w:i/>
          <w:iCs/>
          <w:color w:val="000000" w:themeColor="text1"/>
        </w:rPr>
      </w:pPr>
    </w:p>
    <w:p w:rsidR="00AB63B5" w:rsidRPr="00D6064C" w:rsidRDefault="00AB63B5" w:rsidP="00D6064C">
      <w:pPr>
        <w:jc w:val="both"/>
        <w:rPr>
          <w:rFonts w:ascii="Palatino Linotype" w:eastAsia="Palatino Linotype" w:hAnsi="Palatino Linotype" w:cs="Palatino Linotype"/>
          <w:i/>
          <w:iCs/>
          <w:color w:val="000000" w:themeColor="text1"/>
        </w:rPr>
      </w:pPr>
    </w:p>
    <w:p w:rsidR="008E1C7F" w:rsidRPr="00D6064C" w:rsidRDefault="00EF4452" w:rsidP="00D6064C">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Así se logra vislumbrar que, el </w:t>
      </w:r>
      <w:r w:rsidRPr="00D6064C">
        <w:rPr>
          <w:rFonts w:ascii="Palatino Linotype" w:eastAsia="Palatino Linotype" w:hAnsi="Palatino Linotype" w:cs="Palatino Linotype"/>
          <w:b/>
          <w:bCs/>
          <w:color w:val="000000" w:themeColor="text1"/>
        </w:rPr>
        <w:t>Sujeto Obligado</w:t>
      </w:r>
      <w:r w:rsidRPr="00D6064C">
        <w:rPr>
          <w:rFonts w:ascii="Palatino Linotype" w:eastAsia="Palatino Linotype" w:hAnsi="Palatino Linotype" w:cs="Palatino Linotype"/>
          <w:color w:val="000000" w:themeColor="text1"/>
        </w:rPr>
        <w:t xml:space="preserve"> cumplió con el procedimiento de búsqueda establecido en el artículo 162 de la Ley de Transparencia y Acceso a la Información Pública del Estado de México y Municipios, ya que,  turnó la solicitud de información al área competente; por lo que, de conformidad con el contenido de los documentos descritos previamente, podemos concluir que, </w:t>
      </w:r>
      <w:r w:rsidRPr="00D6064C">
        <w:rPr>
          <w:rFonts w:ascii="Palatino Linotype" w:eastAsia="Palatino Linotype" w:hAnsi="Palatino Linotype" w:cs="Palatino Linotype"/>
          <w:b/>
          <w:bCs/>
          <w:color w:val="000000" w:themeColor="text1"/>
        </w:rPr>
        <w:t>se obvia el estudio del marco normativo</w:t>
      </w:r>
      <w:r w:rsidRPr="00D6064C">
        <w:rPr>
          <w:rFonts w:ascii="Palatino Linotype" w:eastAsia="Palatino Linotype" w:hAnsi="Palatino Linotype" w:cs="Palatino Linotype"/>
          <w:color w:val="000000" w:themeColor="text1"/>
        </w:rPr>
        <w:t xml:space="preserve"> que rige el actual del </w:t>
      </w:r>
      <w:r w:rsidRPr="00D6064C">
        <w:rPr>
          <w:rFonts w:ascii="Palatino Linotype" w:eastAsia="Palatino Linotype" w:hAnsi="Palatino Linotype" w:cs="Palatino Linotype"/>
          <w:b/>
          <w:bCs/>
          <w:color w:val="000000" w:themeColor="text1"/>
        </w:rPr>
        <w:t>Sujeto Obligado</w:t>
      </w:r>
      <w:r w:rsidRPr="00D6064C">
        <w:rPr>
          <w:rFonts w:ascii="Palatino Linotype" w:eastAsia="Palatino Linotype" w:hAnsi="Palatino Linotype" w:cs="Palatino Linotype"/>
          <w:color w:val="000000" w:themeColor="text1"/>
        </w:rPr>
        <w:t>; atendiendo a que, el estudio de la fuente obligacional se realiza con la finalidad de determinar si éste se encuentra obligado a generarla, poseerla o administrarla en ejercicio de sus atribuciones, pero en los casos en que de la respuesta, acepta o bien otorga indicios de que cuenta con ella, seria ocioso delimitar las norma jurídica que determine si cuenta con ella o no.</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color w:val="000000" w:themeColor="text1"/>
        </w:rPr>
        <w:t>Así mismo, como se puede observar en el cuadro anterior, el Sujeto Obligado colmó parcialmente la solicitud de información del particular, proporcionando información que le es propia, sin embargo se observa que fue omiso al entregar los oficios de referencia.</w:t>
      </w:r>
    </w:p>
    <w:p w:rsidR="008E1C7F" w:rsidRPr="00D6064C" w:rsidRDefault="008E1C7F" w:rsidP="00D6064C">
      <w:pPr>
        <w:spacing w:line="360" w:lineRule="auto"/>
        <w:jc w:val="both"/>
        <w:rPr>
          <w:rFonts w:ascii="Palatino Linotype" w:eastAsia="Palatino Linotype" w:hAnsi="Palatino Linotype" w:cs="Palatino Linotype"/>
          <w:i/>
          <w:iCs/>
          <w:color w:val="000000" w:themeColor="text1"/>
        </w:rPr>
      </w:pPr>
    </w:p>
    <w:p w:rsidR="008E1C7F" w:rsidRPr="00D6064C" w:rsidRDefault="00EF4452" w:rsidP="00D6064C">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lastRenderedPageBreak/>
        <w:t xml:space="preserve">Se destaca que de conformidad con el artículo 163 de la legislación en materia de transparencia, se desprende que la Unidad de Transparencia debe notificar la respuesta a las solicitudes de acceso a la información, en el menor tiempo posible, el cual no podrá exceder de quince días hábiles, tendiendo como excepción al plazo referido, una prórroga de hasta siete días hábiles adicionales, siempre y cuando existan razones fundadas y motivadas, las cuales deberán ser aprobadas por el Comité de Transparencia. </w:t>
      </w:r>
    </w:p>
    <w:p w:rsidR="008E1C7F" w:rsidRPr="00D6064C" w:rsidRDefault="00EF4452" w:rsidP="00D6064C">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 xml:space="preserve">“Artículo 163. La Unidad de Transparencia deberá notificar la respuesta a la solicitud al interesado en el menor tiempo posible, que no podrá exceder de quince días hábiles, contados a partir del día siguiente a la presentación de aquélla. </w:t>
      </w:r>
    </w:p>
    <w:p w:rsidR="008E1C7F" w:rsidRPr="00D6064C" w:rsidRDefault="00EF4452" w:rsidP="00D6064C">
      <w:pPr>
        <w:pStyle w:val="Puesto"/>
        <w:spacing w:line="276" w:lineRule="auto"/>
        <w:jc w:val="both"/>
        <w:rPr>
          <w:rFonts w:ascii="Palatino Linotype" w:eastAsia="Palatino Linotype" w:hAnsi="Palatino Linotype" w:cs="Palatino Linotype"/>
          <w:b w:val="0"/>
          <w:bCs w:val="0"/>
          <w:i/>
          <w:iCs/>
          <w:color w:val="000000" w:themeColor="text1"/>
          <w:sz w:val="24"/>
          <w:szCs w:val="24"/>
        </w:rPr>
      </w:pPr>
      <w:r w:rsidRPr="00D6064C">
        <w:rPr>
          <w:rFonts w:ascii="Palatino Linotype" w:eastAsia="Palatino Linotype" w:hAnsi="Palatino Linotype" w:cs="Palatino Linotype"/>
          <w:b w:val="0"/>
          <w:bCs w:val="0"/>
          <w:i/>
          <w:iCs/>
          <w:color w:val="000000" w:themeColor="text1"/>
          <w:sz w:val="24"/>
          <w:szCs w:val="24"/>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8E1C7F" w:rsidRPr="00D6064C" w:rsidRDefault="008E1C7F" w:rsidP="00D6064C">
      <w:pPr>
        <w:rPr>
          <w:rFonts w:ascii="Palatino Linotype" w:eastAsia="Palatino Linotype" w:hAnsi="Palatino Linotype" w:cs="Palatino Linotype"/>
          <w:color w:val="000000" w:themeColor="text1"/>
        </w:rPr>
      </w:pPr>
    </w:p>
    <w:p w:rsidR="008E1C7F" w:rsidRPr="00D6064C" w:rsidRDefault="008E1C7F" w:rsidP="00D6064C">
      <w:pPr>
        <w:rPr>
          <w:rFonts w:ascii="Palatino Linotype" w:eastAsia="Palatino Linotype" w:hAnsi="Palatino Linotype" w:cs="Palatino Linotype"/>
          <w:color w:val="000000" w:themeColor="text1"/>
        </w:rPr>
      </w:pPr>
    </w:p>
    <w:p w:rsidR="008E1C7F" w:rsidRPr="00D6064C" w:rsidRDefault="00EF4452" w:rsidP="00D6064C">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Así mismo los Comités de Transparencia entre sus atribuciones cuentan con las de confirmar, modificar o revocar las determinaciones que en materia de ampliación del plazo de respuesta, clasificación de la información y declaración de inexistencia o de incompetencia realicen los titulares de las áreas de los sujetos obligados; </w:t>
      </w:r>
    </w:p>
    <w:p w:rsidR="008E1C7F" w:rsidRPr="00D6064C" w:rsidRDefault="008E1C7F" w:rsidP="00D6064C">
      <w:pPr>
        <w:rPr>
          <w:rFonts w:ascii="Palatino Linotype" w:eastAsia="Palatino Linotype" w:hAnsi="Palatino Linotype" w:cs="Palatino Linotype"/>
          <w:color w:val="000000" w:themeColor="text1"/>
        </w:rPr>
      </w:pPr>
    </w:p>
    <w:p w:rsidR="008E1C7F" w:rsidRPr="00D6064C" w:rsidRDefault="00EF4452" w:rsidP="00D6064C">
      <w:pPr>
        <w:numPr>
          <w:ilvl w:val="0"/>
          <w:numId w:val="4"/>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Ahora bien por cuanto hace a los oficios requeridos por el solicitante, se considera necesario precisar que la palabra </w:t>
      </w:r>
      <w:r w:rsidRPr="00D6064C">
        <w:rPr>
          <w:rFonts w:ascii="Palatino Linotype" w:eastAsia="Palatino Linotype" w:hAnsi="Palatino Linotype" w:cs="Palatino Linotype"/>
          <w:i/>
          <w:iCs/>
          <w:color w:val="000000" w:themeColor="text1"/>
        </w:rPr>
        <w:t>“</w:t>
      </w:r>
      <w:r w:rsidRPr="00D6064C">
        <w:rPr>
          <w:rFonts w:ascii="Palatino Linotype" w:eastAsia="Palatino Linotype" w:hAnsi="Palatino Linotype" w:cs="Palatino Linotype"/>
          <w:b/>
          <w:bCs/>
          <w:i/>
          <w:iCs/>
          <w:color w:val="000000" w:themeColor="text1"/>
        </w:rPr>
        <w:t>oficio</w:t>
      </w:r>
      <w:r w:rsidRPr="00D6064C">
        <w:rPr>
          <w:rFonts w:ascii="Palatino Linotype" w:eastAsia="Palatino Linotype" w:hAnsi="Palatino Linotype" w:cs="Palatino Linotype"/>
          <w:i/>
          <w:iCs/>
          <w:color w:val="000000" w:themeColor="text1"/>
        </w:rPr>
        <w:t xml:space="preserve">”, </w:t>
      </w:r>
      <w:r w:rsidRPr="00D6064C">
        <w:rPr>
          <w:rFonts w:ascii="Palatino Linotype" w:eastAsia="Palatino Linotype" w:hAnsi="Palatino Linotype" w:cs="Palatino Linotype"/>
          <w:color w:val="000000" w:themeColor="text1"/>
        </w:rPr>
        <w:t xml:space="preserve">es ampliamente conocido como instrumento de comunicación entre autoridades o dependencias, que permiten llevar a cabo distintas </w:t>
      </w:r>
      <w:r w:rsidRPr="00D6064C">
        <w:rPr>
          <w:rFonts w:ascii="Palatino Linotype" w:eastAsia="Palatino Linotype" w:hAnsi="Palatino Linotype" w:cs="Palatino Linotype"/>
          <w:color w:val="000000" w:themeColor="text1"/>
        </w:rPr>
        <w:lastRenderedPageBreak/>
        <w:t>gestiones para el cumplimiento de sus distintas funciones, conforme a la definición del Diccionario de la Real Academia Española, que señala:</w:t>
      </w:r>
    </w:p>
    <w:p w:rsidR="008E1C7F" w:rsidRPr="00D6064C" w:rsidRDefault="00EF4452" w:rsidP="00D6064C">
      <w:pP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“Comunicación escrita, referente a los asuntos de las Administraciones públicas.</w:t>
      </w:r>
    </w:p>
    <w:p w:rsidR="008E1C7F" w:rsidRPr="00D6064C" w:rsidRDefault="00EF4452" w:rsidP="00D6064C">
      <w:pP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Sin.: escrito, comunicado, comunicación, documento, expediente.” (Sic)</w:t>
      </w:r>
    </w:p>
    <w:p w:rsidR="008E1C7F" w:rsidRPr="00D6064C" w:rsidRDefault="008E1C7F" w:rsidP="00D6064C">
      <w:pPr>
        <w:rPr>
          <w:rFonts w:ascii="Palatino Linotype" w:eastAsia="Palatino Linotype" w:hAnsi="Palatino Linotype" w:cs="Palatino Linotype"/>
          <w:i/>
          <w:iCs/>
          <w:color w:val="000000" w:themeColor="text1"/>
        </w:rPr>
      </w:pPr>
    </w:p>
    <w:p w:rsidR="008E1C7F" w:rsidRPr="00D6064C" w:rsidRDefault="00EF4452" w:rsidP="00D6064C">
      <w:pPr>
        <w:numPr>
          <w:ilvl w:val="0"/>
          <w:numId w:val="4"/>
        </w:numPr>
        <w:pBdr>
          <w:top w:val="nil"/>
          <w:left w:val="nil"/>
          <w:bottom w:val="nil"/>
          <w:right w:val="nil"/>
          <w:between w:val="nil"/>
        </w:pBdr>
        <w:shd w:val="clear" w:color="auto" w:fill="FFFFFF"/>
        <w:spacing w:before="240" w:after="240"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En ese tenor, se sirve citar por analogía los Lineamientos para el trámite de la correspondencia de las unidades orgánicas del Poder Ejecutivo,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rsidR="008E1C7F" w:rsidRPr="00D6064C" w:rsidRDefault="00EF4452" w:rsidP="00D6064C">
      <w:pPr>
        <w:jc w:val="both"/>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2.</w:t>
      </w:r>
      <w:r w:rsidRPr="00D6064C">
        <w:rPr>
          <w:rFonts w:ascii="Palatino Linotype" w:eastAsia="Palatino Linotype" w:hAnsi="Palatino Linotype" w:cs="Palatino Linotype"/>
          <w:i/>
          <w:iCs/>
          <w:color w:val="000000" w:themeColor="text1"/>
        </w:rPr>
        <w:t xml:space="preserve"> </w:t>
      </w:r>
      <w:r w:rsidRPr="00D6064C">
        <w:rPr>
          <w:rFonts w:ascii="Palatino Linotype" w:eastAsia="Palatino Linotype" w:hAnsi="Palatino Linotype" w:cs="Palatino Linotype"/>
          <w:b/>
          <w:bCs/>
          <w:i/>
          <w:iCs/>
          <w:color w:val="000000" w:themeColor="text1"/>
        </w:rPr>
        <w:t>Objetivo</w:t>
      </w:r>
    </w:p>
    <w:p w:rsidR="008E1C7F" w:rsidRPr="00D6064C" w:rsidRDefault="00EF4452" w:rsidP="00D6064C">
      <w:pPr>
        <w:jc w:val="both"/>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Proporcionar a las áreas de recepción y despacho de correspondencia de las unidades orgánicas del Poder Ejecutivo, un instrumento técnico que les permita homogeneizar y eficientar los servicios de correspondencia, a fin de agilizar la comunicación formal así como coadyuvar a la oportuna toma de decisiones por parte de los servidores públicos.</w:t>
      </w:r>
    </w:p>
    <w:p w:rsidR="008E1C7F" w:rsidRPr="00D6064C" w:rsidRDefault="00EF4452" w:rsidP="00D6064C">
      <w:pPr>
        <w:jc w:val="both"/>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Administración de documentos:</w:t>
      </w:r>
    </w:p>
    <w:p w:rsidR="008E1C7F" w:rsidRPr="00D6064C" w:rsidRDefault="00EF4452" w:rsidP="00D6064C">
      <w:pPr>
        <w:jc w:val="both"/>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Conjunto de actividades vinculadas con la</w:t>
      </w:r>
      <w:r w:rsidRPr="00D6064C">
        <w:rPr>
          <w:rFonts w:ascii="Palatino Linotype" w:eastAsia="Palatino Linotype" w:hAnsi="Palatino Linotype" w:cs="Palatino Linotype"/>
          <w:i/>
          <w:iCs/>
          <w:color w:val="000000" w:themeColor="text1"/>
        </w:rPr>
        <w:t> </w:t>
      </w:r>
      <w:r w:rsidRPr="00D6064C">
        <w:rPr>
          <w:rFonts w:ascii="Palatino Linotype" w:eastAsia="Palatino Linotype" w:hAnsi="Palatino Linotype" w:cs="Palatino Linotype"/>
          <w:b/>
          <w:bCs/>
          <w:i/>
          <w:iCs/>
          <w:color w:val="000000" w:themeColor="text1"/>
        </w:rPr>
        <w:t>generación</w:t>
      </w:r>
      <w:r w:rsidRPr="00D6064C">
        <w:rPr>
          <w:rFonts w:ascii="Palatino Linotype" w:eastAsia="Palatino Linotype" w:hAnsi="Palatino Linotype" w:cs="Palatino Linotype"/>
          <w:i/>
          <w:iCs/>
          <w:color w:val="000000" w:themeColor="text1"/>
        </w:rPr>
        <w:t>, adquisición, recepción, control, circulación, reproducción, organización, conservación, custodia, restauración, valoración, selección, eliminación, </w:t>
      </w:r>
      <w:r w:rsidRPr="00D6064C">
        <w:rPr>
          <w:rFonts w:ascii="Palatino Linotype" w:eastAsia="Palatino Linotype" w:hAnsi="Palatino Linotype" w:cs="Palatino Linotype"/>
          <w:b/>
          <w:bCs/>
          <w:i/>
          <w:iCs/>
          <w:color w:val="000000" w:themeColor="text1"/>
        </w:rPr>
        <w:t>uso y divulgación de los documentos.</w:t>
      </w:r>
    </w:p>
    <w:p w:rsidR="008E1C7F" w:rsidRPr="00D6064C" w:rsidRDefault="00EF4452" w:rsidP="00D6064C">
      <w:pP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w:t>
      </w:r>
    </w:p>
    <w:p w:rsidR="008E1C7F" w:rsidRPr="00D6064C" w:rsidRDefault="00EF4452" w:rsidP="00D6064C">
      <w:pPr>
        <w:jc w:val="both"/>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Oficio:</w:t>
      </w:r>
    </w:p>
    <w:p w:rsidR="008E1C7F" w:rsidRPr="00D6064C" w:rsidRDefault="00EF4452" w:rsidP="00D6064C">
      <w:pPr>
        <w:jc w:val="both"/>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p>
    <w:p w:rsidR="008E1C7F" w:rsidRPr="00D6064C" w:rsidRDefault="00EF4452" w:rsidP="00D6064C">
      <w:pPr>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w:t>
      </w:r>
    </w:p>
    <w:p w:rsidR="008E1C7F" w:rsidRPr="00D6064C" w:rsidRDefault="00EF4452" w:rsidP="00D6064C">
      <w:pPr>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 Producción de documentos:</w:t>
      </w:r>
    </w:p>
    <w:p w:rsidR="008E1C7F" w:rsidRPr="00D6064C" w:rsidRDefault="00EF4452" w:rsidP="00D6064C">
      <w:pP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lastRenderedPageBreak/>
        <w:t>Es la generación de los documentos con el objeto de cumplir un trámite determinado, en el desarrollo de toda gestión, a partir del razonamiento de que su producción es necesaria y útil.  </w:t>
      </w:r>
    </w:p>
    <w:p w:rsidR="008E1C7F" w:rsidRPr="00D6064C" w:rsidRDefault="00EF4452" w:rsidP="00D6064C">
      <w:pP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4.2 Las disposiciones establecidas en los presentes lineamientos son de </w:t>
      </w:r>
      <w:r w:rsidRPr="00D6064C">
        <w:rPr>
          <w:rFonts w:ascii="Palatino Linotype" w:eastAsia="Palatino Linotype" w:hAnsi="Palatino Linotype" w:cs="Palatino Linotype"/>
          <w:i/>
          <w:iCs/>
          <w:color w:val="000000" w:themeColor="text1"/>
          <w:u w:val="single"/>
        </w:rPr>
        <w:t>observancia obligatoria para las unidades orgánicas del Poder Ejecutivo Estatal</w:t>
      </w:r>
      <w:r w:rsidRPr="00D6064C">
        <w:rPr>
          <w:rFonts w:ascii="Palatino Linotype" w:eastAsia="Palatino Linotype" w:hAnsi="Palatino Linotype" w:cs="Palatino Linotype"/>
          <w:i/>
          <w:iCs/>
          <w:color w:val="000000" w:themeColor="text1"/>
        </w:rPr>
        <w:t>…”</w:t>
      </w:r>
    </w:p>
    <w:p w:rsidR="008E1C7F" w:rsidRPr="00D6064C" w:rsidRDefault="008E1C7F" w:rsidP="00D6064C">
      <w:pPr>
        <w:rPr>
          <w:rFonts w:ascii="Palatino Linotype" w:eastAsia="Palatino Linotype" w:hAnsi="Palatino Linotype" w:cs="Palatino Linotype"/>
          <w:color w:val="000000" w:themeColor="text1"/>
        </w:rPr>
      </w:pPr>
    </w:p>
    <w:p w:rsidR="008E1C7F" w:rsidRPr="00D6064C" w:rsidRDefault="00EF4452" w:rsidP="00D6064C">
      <w:pPr>
        <w:numPr>
          <w:ilvl w:val="0"/>
          <w:numId w:val="4"/>
        </w:numPr>
        <w:pBdr>
          <w:top w:val="nil"/>
          <w:left w:val="nil"/>
          <w:bottom w:val="nil"/>
          <w:right w:val="nil"/>
          <w:between w:val="nil"/>
        </w:pBdr>
        <w:shd w:val="clear" w:color="auto" w:fill="FFFFFF"/>
        <w:spacing w:before="240" w:after="240"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De lo anteriormente vertido, se tiene que un oficio es el medio de comunicación formal que inicia una gestión, informa de un hecho relevante, regulariza una situación, transmite órdenes, lineamientos o instrucciones, o trata asuntos específicos relacionados con personas físicas o morales en el marco de sus actuaciones. Por lo que respecta a nuestra materia, se tiene que la Ley de Transparencia y Acceso a la Información Pública del Estado de México y Municipios, prevé en su artículo 3, fracción XI, lo siguiente: </w:t>
      </w:r>
    </w:p>
    <w:p w:rsidR="008E1C7F" w:rsidRPr="00D6064C" w:rsidRDefault="00EF4452" w:rsidP="00D6064C">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i/>
          <w:iCs/>
          <w:color w:val="000000" w:themeColor="text1"/>
        </w:rPr>
        <w:t>Artículo 3.</w:t>
      </w:r>
      <w:r w:rsidRPr="00D6064C">
        <w:rPr>
          <w:rFonts w:ascii="Palatino Linotype" w:eastAsia="Palatino Linotype" w:hAnsi="Palatino Linotype" w:cs="Palatino Linotype"/>
          <w:i/>
          <w:iCs/>
          <w:color w:val="000000" w:themeColor="text1"/>
        </w:rPr>
        <w:t xml:space="preserve"> Para los efectos de la presente Ley se entenderá por:</w:t>
      </w:r>
    </w:p>
    <w:p w:rsidR="008E1C7F" w:rsidRPr="00D6064C" w:rsidRDefault="00EF4452" w:rsidP="00D6064C">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w:t>
      </w:r>
    </w:p>
    <w:p w:rsidR="008E1C7F" w:rsidRPr="00D6064C" w:rsidRDefault="00EF4452" w:rsidP="00D6064C">
      <w:pPr>
        <w:spacing w:line="276" w:lineRule="auto"/>
        <w:jc w:val="both"/>
        <w:rPr>
          <w:rFonts w:ascii="Palatino Linotype" w:eastAsia="Palatino Linotype" w:hAnsi="Palatino Linotype" w:cs="Palatino Linotype"/>
          <w:b/>
          <w:bCs/>
          <w:i/>
          <w:iCs/>
          <w:color w:val="000000" w:themeColor="text1"/>
          <w:u w:val="single"/>
        </w:rPr>
      </w:pPr>
      <w:r w:rsidRPr="00D6064C">
        <w:rPr>
          <w:rFonts w:ascii="Palatino Linotype" w:eastAsia="Palatino Linotype" w:hAnsi="Palatino Linotype" w:cs="Palatino Linotype"/>
          <w:i/>
          <w:iCs/>
          <w:color w:val="000000" w:themeColor="text1"/>
        </w:rPr>
        <w:t xml:space="preserve">XI. </w:t>
      </w:r>
      <w:r w:rsidRPr="00D6064C">
        <w:rPr>
          <w:rFonts w:ascii="Palatino Linotype" w:eastAsia="Palatino Linotype" w:hAnsi="Palatino Linotype" w:cs="Palatino Linotype"/>
          <w:b/>
          <w:bCs/>
          <w:i/>
          <w:iCs/>
          <w:color w:val="000000" w:themeColor="text1"/>
        </w:rPr>
        <w:t>Documento:</w:t>
      </w:r>
      <w:r w:rsidRPr="00D6064C">
        <w:rPr>
          <w:rFonts w:ascii="Palatino Linotype" w:eastAsia="Palatino Linotype" w:hAnsi="Palatino Linotype" w:cs="Palatino Linotype"/>
          <w:i/>
          <w:iCs/>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E1C7F" w:rsidRPr="00D6064C" w:rsidRDefault="00EF4452" w:rsidP="00D6064C">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w:t>
      </w:r>
    </w:p>
    <w:p w:rsidR="008E1C7F" w:rsidRPr="00D6064C" w:rsidRDefault="008E1C7F" w:rsidP="00D6064C">
      <w:pPr>
        <w:rPr>
          <w:rFonts w:ascii="Palatino Linotype" w:eastAsia="Palatino Linotype" w:hAnsi="Palatino Linotype" w:cs="Palatino Linotype"/>
          <w:i/>
          <w:iCs/>
          <w:color w:val="000000" w:themeColor="text1"/>
        </w:rPr>
      </w:pPr>
    </w:p>
    <w:p w:rsidR="008E1C7F" w:rsidRPr="00D6064C" w:rsidRDefault="00EF4452" w:rsidP="00D6064C">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Es así, que se entiende como documento a cualquier registro que precise el ejercicio de las facultades, funciones y competencias de los sujetos obligados, sus servidores públicos e integrantes, sin importar su fuente o fecha de elaboración, entre los cuales se encuentran los “oficios”. </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numPr>
          <w:ilvl w:val="0"/>
          <w:numId w:val="4"/>
        </w:numPr>
        <w:pBdr>
          <w:top w:val="nil"/>
          <w:left w:val="nil"/>
          <w:bottom w:val="nil"/>
          <w:right w:val="nil"/>
          <w:between w:val="nil"/>
        </w:pBdr>
        <w:spacing w:line="360" w:lineRule="auto"/>
        <w:ind w:left="0" w:firstLine="0"/>
        <w:jc w:val="both"/>
        <w:rPr>
          <w:rFonts w:ascii="Palatino Linotype" w:eastAsia="Bookman Old Style" w:hAnsi="Palatino Linotype" w:cs="Bookman Old Style"/>
          <w:color w:val="000000" w:themeColor="text1"/>
        </w:rPr>
      </w:pPr>
      <w:r w:rsidRPr="00D6064C">
        <w:rPr>
          <w:rFonts w:ascii="Palatino Linotype" w:eastAsia="Palatino Linotype" w:hAnsi="Palatino Linotype" w:cs="Palatino Linotype"/>
          <w:color w:val="000000" w:themeColor="text1"/>
        </w:rPr>
        <w:lastRenderedPageBreak/>
        <w:t>Ahora bien por cuanto hace a los servidores públicos habilitados, quienes pudieran emitir los oficios para solicitar prórroga a los requerimiento de información se observa de la Ley de Transparencia:</w:t>
      </w:r>
    </w:p>
    <w:p w:rsidR="008E1C7F" w:rsidRPr="00D6064C" w:rsidRDefault="00EF4452" w:rsidP="00D6064C">
      <w:pPr>
        <w:spacing w:line="360" w:lineRule="auto"/>
        <w:jc w:val="both"/>
        <w:rPr>
          <w:rFonts w:ascii="Palatino Linotype" w:eastAsia="Palatino Linotype" w:hAnsi="Palatino Linotype" w:cs="Palatino Linotype"/>
          <w:i/>
          <w:iCs/>
          <w:color w:val="000000" w:themeColor="text1"/>
        </w:rPr>
      </w:pPr>
      <w:r w:rsidRPr="00D6064C">
        <w:rPr>
          <w:rFonts w:ascii="Palatino Linotype" w:eastAsia="Bookman Old Style" w:hAnsi="Palatino Linotype" w:cs="Bookman Old Style"/>
          <w:b/>
          <w:bCs/>
          <w:color w:val="000000" w:themeColor="text1"/>
        </w:rPr>
        <w:t xml:space="preserve"> </w:t>
      </w:r>
      <w:r w:rsidRPr="00D6064C">
        <w:rPr>
          <w:rFonts w:ascii="Palatino Linotype" w:eastAsia="Palatino Linotype" w:hAnsi="Palatino Linotype" w:cs="Palatino Linotype"/>
          <w:b/>
          <w:bCs/>
          <w:i/>
          <w:iCs/>
          <w:color w:val="000000" w:themeColor="text1"/>
        </w:rPr>
        <w:t xml:space="preserve">De los Servidores Públicos Habilitados </w:t>
      </w:r>
    </w:p>
    <w:p w:rsidR="008E1C7F" w:rsidRPr="00D6064C" w:rsidRDefault="00EF4452" w:rsidP="00D6064C">
      <w:pP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i/>
          <w:iCs/>
          <w:color w:val="000000" w:themeColor="text1"/>
        </w:rPr>
        <w:t xml:space="preserve">Artículo 59. </w:t>
      </w:r>
      <w:r w:rsidRPr="00D6064C">
        <w:rPr>
          <w:rFonts w:ascii="Palatino Linotype" w:eastAsia="Palatino Linotype" w:hAnsi="Palatino Linotype" w:cs="Palatino Linotype"/>
          <w:i/>
          <w:iCs/>
          <w:color w:val="000000" w:themeColor="text1"/>
        </w:rPr>
        <w:t xml:space="preserve">Los servidores públicos habilitados tendrán las funciones siguientes: </w:t>
      </w:r>
    </w:p>
    <w:p w:rsidR="008E1C7F" w:rsidRPr="00D6064C" w:rsidRDefault="00EF4452" w:rsidP="00D6064C">
      <w:pP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i/>
          <w:iCs/>
          <w:color w:val="000000" w:themeColor="text1"/>
        </w:rPr>
        <w:t xml:space="preserve">I. </w:t>
      </w:r>
      <w:r w:rsidRPr="00D6064C">
        <w:rPr>
          <w:rFonts w:ascii="Palatino Linotype" w:eastAsia="Palatino Linotype" w:hAnsi="Palatino Linotype" w:cs="Palatino Linotype"/>
          <w:i/>
          <w:iCs/>
          <w:color w:val="000000" w:themeColor="text1"/>
        </w:rPr>
        <w:t xml:space="preserve">Localizar la información que le solicite la Unidad de Transparencia; </w:t>
      </w:r>
    </w:p>
    <w:p w:rsidR="008E1C7F" w:rsidRPr="00D6064C" w:rsidRDefault="00EF4452" w:rsidP="00D6064C">
      <w:pP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i/>
          <w:iCs/>
          <w:color w:val="000000" w:themeColor="text1"/>
        </w:rPr>
        <w:t xml:space="preserve">II. </w:t>
      </w:r>
      <w:r w:rsidRPr="00D6064C">
        <w:rPr>
          <w:rFonts w:ascii="Palatino Linotype" w:eastAsia="Palatino Linotype" w:hAnsi="Palatino Linotype" w:cs="Palatino Linotype"/>
          <w:i/>
          <w:iCs/>
          <w:color w:val="000000" w:themeColor="text1"/>
        </w:rPr>
        <w:t xml:space="preserve">Proporcionar la información que obre en los archivos y que le sea solicitada por la Unidad de Transparencia; </w:t>
      </w:r>
    </w:p>
    <w:p w:rsidR="008E1C7F" w:rsidRPr="00D6064C" w:rsidRDefault="00EF4452" w:rsidP="00D6064C">
      <w:pP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i/>
          <w:iCs/>
          <w:color w:val="000000" w:themeColor="text1"/>
        </w:rPr>
        <w:t xml:space="preserve">III. </w:t>
      </w:r>
      <w:r w:rsidRPr="00D6064C">
        <w:rPr>
          <w:rFonts w:ascii="Palatino Linotype" w:eastAsia="Palatino Linotype" w:hAnsi="Palatino Linotype" w:cs="Palatino Linotype"/>
          <w:i/>
          <w:iCs/>
          <w:color w:val="000000" w:themeColor="text1"/>
        </w:rPr>
        <w:t xml:space="preserve">Apoyar a la Unidad de Transparencia en lo que esta le solicite para el cumplimiento de sus funciones; </w:t>
      </w:r>
    </w:p>
    <w:p w:rsidR="008E1C7F" w:rsidRPr="00D6064C" w:rsidRDefault="00EF4452" w:rsidP="00D6064C">
      <w:pP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i/>
          <w:iCs/>
          <w:color w:val="000000" w:themeColor="text1"/>
        </w:rPr>
        <w:t xml:space="preserve">IV. </w:t>
      </w:r>
      <w:r w:rsidRPr="00D6064C">
        <w:rPr>
          <w:rFonts w:ascii="Palatino Linotype" w:eastAsia="Palatino Linotype" w:hAnsi="Palatino Linotype" w:cs="Palatino Linotype"/>
          <w:i/>
          <w:iCs/>
          <w:color w:val="000000" w:themeColor="text1"/>
        </w:rPr>
        <w:t xml:space="preserve">Proporcionar a la Unidad de Transparencia, las modificaciones a la información pública de oficio que obre en su poder; </w:t>
      </w:r>
    </w:p>
    <w:p w:rsidR="008E1C7F" w:rsidRPr="00D6064C" w:rsidRDefault="00EF4452" w:rsidP="00D6064C">
      <w:pP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i/>
          <w:iCs/>
          <w:color w:val="000000" w:themeColor="text1"/>
        </w:rPr>
        <w:t xml:space="preserve">V. </w:t>
      </w:r>
      <w:r w:rsidRPr="00D6064C">
        <w:rPr>
          <w:rFonts w:ascii="Palatino Linotype" w:eastAsia="Palatino Linotype" w:hAnsi="Palatino Linotype" w:cs="Palatino Linotype"/>
          <w:i/>
          <w:iCs/>
          <w:color w:val="000000" w:themeColor="text1"/>
        </w:rPr>
        <w:t xml:space="preserve">Integrar y presentar al responsable de la Unidad de Transparencia la propuesta de clasificación de información, la cual tendrá los fundamentos y argumentos en que se basa dicha propuesta; </w:t>
      </w:r>
    </w:p>
    <w:p w:rsidR="008E1C7F" w:rsidRPr="00D6064C" w:rsidRDefault="00EF4452" w:rsidP="00D6064C">
      <w:pPr>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b/>
          <w:bCs/>
          <w:i/>
          <w:iCs/>
          <w:color w:val="000000" w:themeColor="text1"/>
        </w:rPr>
        <w:t xml:space="preserve">VI. </w:t>
      </w:r>
      <w:r w:rsidRPr="00D6064C">
        <w:rPr>
          <w:rFonts w:ascii="Palatino Linotype" w:eastAsia="Palatino Linotype" w:hAnsi="Palatino Linotype" w:cs="Palatino Linotype"/>
          <w:i/>
          <w:iCs/>
          <w:color w:val="000000" w:themeColor="text1"/>
        </w:rPr>
        <w:t xml:space="preserve">Verificar, una vez analizado el contenido de la información, que no se encuentre en los supuestos de información clasificada; y </w:t>
      </w:r>
    </w:p>
    <w:p w:rsidR="008E1C7F" w:rsidRPr="00D6064C" w:rsidRDefault="00EF4452" w:rsidP="00D6064C">
      <w:pPr>
        <w:jc w:val="both"/>
        <w:rPr>
          <w:rFonts w:ascii="Palatino Linotype" w:eastAsia="Palatino Linotype" w:hAnsi="Palatino Linotype" w:cs="Palatino Linotype"/>
          <w:b/>
          <w:bCs/>
          <w:i/>
          <w:iCs/>
          <w:color w:val="000000" w:themeColor="text1"/>
        </w:rPr>
      </w:pPr>
      <w:r w:rsidRPr="00D6064C">
        <w:rPr>
          <w:rFonts w:ascii="Palatino Linotype" w:eastAsia="Palatino Linotype" w:hAnsi="Palatino Linotype" w:cs="Palatino Linotype"/>
          <w:b/>
          <w:bCs/>
          <w:i/>
          <w:iCs/>
          <w:color w:val="000000" w:themeColor="text1"/>
        </w:rPr>
        <w:t xml:space="preserve">VII. Dar cuenta a la Unidad de Transparencia del vencimiento de los plazos de reserva. </w:t>
      </w:r>
    </w:p>
    <w:p w:rsidR="008E1C7F" w:rsidRDefault="008E1C7F" w:rsidP="00D6064C">
      <w:pPr>
        <w:rPr>
          <w:rFonts w:ascii="Palatino Linotype" w:eastAsia="Bookman Old Style" w:hAnsi="Palatino Linotype" w:cs="Bookman Old Style"/>
          <w:color w:val="000000" w:themeColor="text1"/>
        </w:rPr>
      </w:pPr>
    </w:p>
    <w:p w:rsidR="00AB63B5" w:rsidRPr="00D6064C" w:rsidRDefault="00AB63B5" w:rsidP="00D6064C">
      <w:pPr>
        <w:rPr>
          <w:rFonts w:ascii="Palatino Linotype" w:eastAsia="Bookman Old Style" w:hAnsi="Palatino Linotype" w:cs="Bookman Old Style"/>
          <w:color w:val="000000" w:themeColor="text1"/>
        </w:rPr>
      </w:pPr>
    </w:p>
    <w:p w:rsidR="008E1C7F" w:rsidRPr="00D6064C" w:rsidRDefault="00EF4452" w:rsidP="00D6064C">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Es </w:t>
      </w:r>
      <w:r w:rsidR="00606E1C" w:rsidRPr="00D6064C">
        <w:rPr>
          <w:rFonts w:ascii="Palatino Linotype" w:eastAsia="Palatino Linotype" w:hAnsi="Palatino Linotype" w:cs="Palatino Linotype"/>
          <w:color w:val="000000" w:themeColor="text1"/>
        </w:rPr>
        <w:t>de observar</w:t>
      </w:r>
      <w:r w:rsidRPr="00D6064C">
        <w:rPr>
          <w:rFonts w:ascii="Palatino Linotype" w:eastAsia="Palatino Linotype" w:hAnsi="Palatino Linotype" w:cs="Palatino Linotype"/>
          <w:color w:val="000000" w:themeColor="text1"/>
        </w:rPr>
        <w:t xml:space="preserve"> que dentro de las atribuciones que si bien es cierto existe la obligación de dar cuenta a la Unidad de Transparencia del vencimiento de los plazos de reserva, la facultad de solicitar al Comité de Transparencia la prórroga de referencia corresponde al Titular de la Unidad de Transparencia.</w:t>
      </w:r>
    </w:p>
    <w:p w:rsidR="008E1C7F" w:rsidRPr="00D6064C" w:rsidRDefault="008E1C7F" w:rsidP="00D6064C">
      <w:pPr>
        <w:pBdr>
          <w:top w:val="nil"/>
          <w:left w:val="nil"/>
          <w:bottom w:val="nil"/>
          <w:right w:val="nil"/>
          <w:between w:val="nil"/>
        </w:pBdr>
        <w:rPr>
          <w:rFonts w:ascii="Palatino Linotype" w:eastAsia="Palatino Linotype" w:hAnsi="Palatino Linotype" w:cs="Palatino Linotype"/>
          <w:color w:val="000000" w:themeColor="text1"/>
        </w:rPr>
      </w:pPr>
    </w:p>
    <w:p w:rsidR="008E1C7F" w:rsidRPr="00D6064C" w:rsidRDefault="00EF4452" w:rsidP="00D6064C">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Por lo que, si bien es cierto la comunicación existente entre las Unidades de Transparencia y las diversas áreas del Sujeto Obligado y que por ende existe la obligación de éstos para documentar su actuar, también lo es una facultad potestativa de los Comités de Transparencia confirmar, modificar o revocar las determinaciones en materia de </w:t>
      </w:r>
      <w:r w:rsidRPr="00D6064C">
        <w:rPr>
          <w:rFonts w:ascii="Palatino Linotype" w:eastAsia="Palatino Linotype" w:hAnsi="Palatino Linotype" w:cs="Palatino Linotype"/>
          <w:color w:val="000000" w:themeColor="text1"/>
        </w:rPr>
        <w:lastRenderedPageBreak/>
        <w:t>ampliación del plazo de respuesta, mismas que pueden ser notificadas dentro del Sistema de Acceso a la Información Mexiquense pudiendo o no mediar oficios para tal fin.</w:t>
      </w:r>
    </w:p>
    <w:p w:rsidR="008E1C7F" w:rsidRPr="00D6064C" w:rsidRDefault="00EF4452" w:rsidP="00D6064C">
      <w:pPr>
        <w:spacing w:line="360" w:lineRule="auto"/>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 </w:t>
      </w:r>
    </w:p>
    <w:p w:rsidR="008E1C7F" w:rsidRPr="00D6064C" w:rsidRDefault="00EF4452" w:rsidP="00D6064C">
      <w:pPr>
        <w:keepNext/>
        <w:keepLines/>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QUINTO. De la versión pública.</w:t>
      </w:r>
    </w:p>
    <w:p w:rsidR="008E1C7F" w:rsidRDefault="00EF4452" w:rsidP="00D6064C">
      <w:pPr>
        <w:keepNext/>
        <w:keepLines/>
        <w:numPr>
          <w:ilvl w:val="0"/>
          <w:numId w:val="5"/>
        </w:numPr>
        <w:tabs>
          <w:tab w:val="left" w:pos="284"/>
        </w:tabs>
        <w:ind w:left="0" w:firstLine="0"/>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 xml:space="preserve">Nociones generales. </w:t>
      </w:r>
    </w:p>
    <w:p w:rsidR="008E1C7F" w:rsidRPr="00D6064C" w:rsidRDefault="00EF4452" w:rsidP="00D6064C">
      <w:pPr>
        <w:numPr>
          <w:ilvl w:val="0"/>
          <w:numId w:val="13"/>
        </w:numP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Debe destacarse, que debido a que en la información solicitada por el </w:t>
      </w:r>
      <w:r w:rsidRPr="00D6064C">
        <w:rPr>
          <w:rFonts w:ascii="Palatino Linotype" w:eastAsia="Palatino Linotype" w:hAnsi="Palatino Linotype" w:cs="Palatino Linotype"/>
          <w:b/>
          <w:bCs/>
          <w:color w:val="000000" w:themeColor="text1"/>
        </w:rPr>
        <w:t xml:space="preserve">RECURRENTE, pueden obrar </w:t>
      </w:r>
      <w:r w:rsidRPr="00D6064C">
        <w:rPr>
          <w:rFonts w:ascii="Palatino Linotype" w:eastAsia="Palatino Linotype" w:hAnsi="Palatino Linotype" w:cs="Palatino Linotype"/>
          <w:color w:val="000000" w:themeColor="text1"/>
        </w:rPr>
        <w:t xml:space="preserve">datos personales susceptibles de protegerse, así como información susceptible de clasificarse como confidencial,  por lo que el </w:t>
      </w:r>
      <w:r w:rsidRPr="00D6064C">
        <w:rPr>
          <w:rFonts w:ascii="Palatino Linotype" w:eastAsia="Palatino Linotype" w:hAnsi="Palatino Linotype" w:cs="Palatino Linotype"/>
          <w:b/>
          <w:bCs/>
          <w:color w:val="000000" w:themeColor="text1"/>
        </w:rPr>
        <w:t xml:space="preserve">SUJETO OBLIGADO </w:t>
      </w:r>
      <w:r w:rsidRPr="00D6064C">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8E1C7F" w:rsidRPr="00D6064C" w:rsidRDefault="008E1C7F" w:rsidP="00D6064C">
      <w:pPr>
        <w:tabs>
          <w:tab w:val="left" w:pos="0"/>
          <w:tab w:val="left" w:pos="284"/>
        </w:tabs>
        <w:spacing w:line="360" w:lineRule="auto"/>
        <w:jc w:val="both"/>
        <w:rPr>
          <w:rFonts w:ascii="Palatino Linotype" w:eastAsia="Palatino Linotype" w:hAnsi="Palatino Linotype" w:cs="Palatino Linotype"/>
          <w:color w:val="000000" w:themeColor="text1"/>
          <w:highlight w:val="yellow"/>
        </w:rPr>
      </w:pPr>
    </w:p>
    <w:p w:rsidR="008E1C7F" w:rsidRPr="00D6064C" w:rsidRDefault="00EF4452" w:rsidP="00D6064C">
      <w:pPr>
        <w:numPr>
          <w:ilvl w:val="0"/>
          <w:numId w:val="13"/>
        </w:numP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No pasa desapercibido para este Órgano Garante que los sujetos obligados</w:t>
      </w:r>
      <w:r w:rsidRPr="00D6064C">
        <w:rPr>
          <w:rFonts w:ascii="Palatino Linotype" w:eastAsia="Palatino Linotype" w:hAnsi="Palatino Linotype" w:cs="Palatino Linotype"/>
          <w:b/>
          <w:bCs/>
          <w:color w:val="000000" w:themeColor="text1"/>
        </w:rPr>
        <w:t xml:space="preserve"> </w:t>
      </w:r>
      <w:r w:rsidRPr="00D6064C">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8E1C7F" w:rsidRPr="00D6064C" w:rsidRDefault="008E1C7F" w:rsidP="00D6064C">
      <w:pPr>
        <w:tabs>
          <w:tab w:val="left" w:pos="284"/>
        </w:tabs>
        <w:spacing w:after="160" w:line="360" w:lineRule="auto"/>
        <w:jc w:val="both"/>
        <w:rPr>
          <w:rFonts w:ascii="Palatino Linotype" w:eastAsia="Palatino Linotype" w:hAnsi="Palatino Linotype" w:cs="Palatino Linotype"/>
          <w:color w:val="000000" w:themeColor="text1"/>
        </w:rPr>
      </w:pPr>
    </w:p>
    <w:tbl>
      <w:tblPr>
        <w:tblStyle w:val="afe"/>
        <w:tblW w:w="9923" w:type="dxa"/>
        <w:tblInd w:w="0" w:type="dxa"/>
        <w:tblLayout w:type="fixed"/>
        <w:tblLook w:val="0400" w:firstRow="0" w:lastRow="0" w:firstColumn="0" w:lastColumn="0" w:noHBand="0" w:noVBand="1"/>
      </w:tblPr>
      <w:tblGrid>
        <w:gridCol w:w="2689"/>
        <w:gridCol w:w="7234"/>
      </w:tblGrid>
      <w:tr w:rsidR="00D6064C" w:rsidRPr="00D6064C" w:rsidTr="00AB63B5">
        <w:trPr>
          <w:cnfStyle w:val="000000100000" w:firstRow="0" w:lastRow="0" w:firstColumn="0" w:lastColumn="0" w:oddVBand="0" w:evenVBand="0" w:oddHBand="1" w:evenHBand="0" w:firstRowFirstColumn="0" w:firstRowLastColumn="0" w:lastRowFirstColumn="0" w:lastRowLastColumn="0"/>
        </w:trPr>
        <w:tc>
          <w:tcPr>
            <w:tcW w:w="2689" w:type="dxa"/>
          </w:tcPr>
          <w:p w:rsidR="008E1C7F" w:rsidRPr="00D6064C" w:rsidRDefault="00EF4452" w:rsidP="00AB63B5">
            <w:pPr>
              <w:spacing w:line="360" w:lineRule="auto"/>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a) Requisitos previos.</w:t>
            </w:r>
          </w:p>
        </w:tc>
        <w:tc>
          <w:tcPr>
            <w:tcW w:w="7234" w:type="dxa"/>
          </w:tcPr>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 xml:space="preserve">Los artículos 100 y 122 de la Ley Estatal y de la Ley General, vigente a la fecha de la solicitud  respectivamente, señalan que si los Sujetos Obligados determinan que la información actualiza alguno de los supuestos de clasificación, es deber de los titulares de las áreas proponer su clasificación y no del Comité de Transparencia. </w:t>
            </w:r>
          </w:p>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Al hacerlo tienen que precisar de qué información se trata, señalando el supuesto de clasificación (confidencialidad o reserva).</w:t>
            </w:r>
          </w:p>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lastRenderedPageBreak/>
              <w:t>Además, se debe señalar el procedimiento, de los tres que establecen los artículos 132 y 106 de la Ley Estatal y General, vigente a la fecha de la solicitud respectivamente.</w:t>
            </w:r>
          </w:p>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 xml:space="preserve">El último de estos requisitos previos consiste en que no se pueden emitir acuerdos de carácter general ni particular, esto es, </w:t>
            </w:r>
            <w:r w:rsidRPr="00D6064C">
              <w:rPr>
                <w:rFonts w:ascii="Palatino Linotype" w:eastAsia="Palatino Linotype" w:hAnsi="Palatino Linotype" w:cs="Palatino Linotype"/>
                <w:i/>
                <w:iCs/>
                <w:color w:val="000000" w:themeColor="text1"/>
                <w:u w:val="single"/>
              </w:rPr>
              <w:t>no se puede hacer un acuerdo para clasificar de manera general todos los documentos de un expediente o área, sin</w:t>
            </w:r>
            <w:r w:rsidRPr="00D6064C">
              <w:rPr>
                <w:rFonts w:ascii="Palatino Linotype" w:eastAsia="Palatino Linotype" w:hAnsi="Palatino Linotype" w:cs="Palatino Linotype"/>
                <w:i/>
                <w:iCs/>
                <w:color w:val="000000" w:themeColor="text1"/>
              </w:rPr>
              <w:t xml:space="preserve"> individualizar su análisis y tampoco se puede hacer un acuerdo por cada dato que se vaya a clasificar dentro de un documento con diez datos, por ejemplo, susceptibles de ser clasificados.</w:t>
            </w:r>
          </w:p>
        </w:tc>
      </w:tr>
      <w:tr w:rsidR="00D6064C" w:rsidRPr="00D6064C" w:rsidTr="00AB63B5">
        <w:tc>
          <w:tcPr>
            <w:tcW w:w="2689" w:type="dxa"/>
          </w:tcPr>
          <w:p w:rsidR="008E1C7F" w:rsidRPr="00D6064C" w:rsidRDefault="00EF4452" w:rsidP="00AB63B5">
            <w:pPr>
              <w:spacing w:line="360" w:lineRule="auto"/>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lastRenderedPageBreak/>
              <w:t>b) Supuestos de clasificación.</w:t>
            </w:r>
          </w:p>
        </w:tc>
        <w:tc>
          <w:tcPr>
            <w:tcW w:w="7234" w:type="dxa"/>
          </w:tcPr>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Las disposiciones constitucionales y legales en la materia establecen los dos supuestos generales para clasificar la información: por reserva y por confidencialidad.</w:t>
            </w:r>
          </w:p>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 xml:space="preserve">El </w:t>
            </w:r>
            <w:r w:rsidRPr="00D6064C">
              <w:rPr>
                <w:rFonts w:ascii="Palatino Linotype" w:eastAsia="Palatino Linotype" w:hAnsi="Palatino Linotype" w:cs="Palatino Linotype"/>
                <w:b/>
                <w:bCs/>
                <w:i/>
                <w:iCs/>
                <w:color w:val="000000" w:themeColor="text1"/>
              </w:rPr>
              <w:t>Sujeto Obligado</w:t>
            </w:r>
            <w:r w:rsidRPr="00D6064C">
              <w:rPr>
                <w:rFonts w:ascii="Palatino Linotype" w:eastAsia="Palatino Linotype" w:hAnsi="Palatino Linotype" w:cs="Palatino Linotype"/>
                <w:i/>
                <w:iCs/>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6064C" w:rsidRPr="00D6064C" w:rsidTr="00AB63B5">
        <w:trPr>
          <w:cnfStyle w:val="000000100000" w:firstRow="0" w:lastRow="0" w:firstColumn="0" w:lastColumn="0" w:oddVBand="0" w:evenVBand="0" w:oddHBand="1" w:evenHBand="0" w:firstRowFirstColumn="0" w:firstRowLastColumn="0" w:lastRowFirstColumn="0" w:lastRowLastColumn="0"/>
        </w:trPr>
        <w:tc>
          <w:tcPr>
            <w:tcW w:w="2689" w:type="dxa"/>
          </w:tcPr>
          <w:p w:rsidR="008E1C7F" w:rsidRPr="00D6064C" w:rsidRDefault="00EF4452" w:rsidP="00AB63B5">
            <w:pPr>
              <w:spacing w:line="360" w:lineRule="auto"/>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c) Formalidades para emitir el acuerdo de clasificación.</w:t>
            </w:r>
          </w:p>
        </w:tc>
        <w:tc>
          <w:tcPr>
            <w:tcW w:w="7234" w:type="dxa"/>
          </w:tcPr>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 xml:space="preserve">El Comité de Transparencia, según lo dispuesto en los artículos cuenta con las facultades para aprobar, modificar o revocar la clasificación de la información que haya propuesto. </w:t>
            </w:r>
          </w:p>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lastRenderedPageBreak/>
              <w:t xml:space="preserve">Es necesario que </w:t>
            </w:r>
            <w:r w:rsidRPr="00D6064C">
              <w:rPr>
                <w:rFonts w:ascii="Palatino Linotype" w:eastAsia="Palatino Linotype" w:hAnsi="Palatino Linotype" w:cs="Palatino Linotype"/>
                <w:b/>
                <w:bCs/>
                <w:i/>
                <w:iCs/>
                <w:color w:val="000000" w:themeColor="text1"/>
                <w:u w:val="single"/>
              </w:rPr>
              <w:t>el acto reúna con los requisitos elementales</w:t>
            </w:r>
            <w:r w:rsidRPr="00D6064C">
              <w:rPr>
                <w:rFonts w:ascii="Palatino Linotype" w:eastAsia="Palatino Linotype" w:hAnsi="Palatino Linotype" w:cs="Palatino Linotype"/>
                <w:i/>
                <w:iCs/>
                <w:color w:val="000000" w:themeColor="text1"/>
              </w:rPr>
              <w:t>, entre ellos, que la autoridad que va a emitir el acto de autoridad sea la legalmente facultada para ello.</w:t>
            </w:r>
          </w:p>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6064C" w:rsidRPr="00D6064C" w:rsidTr="00AB63B5">
        <w:tc>
          <w:tcPr>
            <w:tcW w:w="2689" w:type="dxa"/>
          </w:tcPr>
          <w:p w:rsidR="008E1C7F" w:rsidRPr="00D6064C" w:rsidRDefault="008E1C7F" w:rsidP="00AB63B5">
            <w:pPr>
              <w:spacing w:line="360" w:lineRule="auto"/>
              <w:rPr>
                <w:rFonts w:ascii="Palatino Linotype" w:eastAsia="Palatino Linotype" w:hAnsi="Palatino Linotype" w:cs="Palatino Linotype"/>
                <w:b/>
                <w:bCs/>
                <w:color w:val="000000" w:themeColor="text1"/>
              </w:rPr>
            </w:pPr>
          </w:p>
          <w:p w:rsidR="008E1C7F" w:rsidRPr="00D6064C" w:rsidRDefault="00EF4452" w:rsidP="00AB63B5">
            <w:pPr>
              <w:spacing w:line="360" w:lineRule="auto"/>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 xml:space="preserve">d) Requisitos de fondo del acuerdo de clasificación. </w:t>
            </w:r>
          </w:p>
        </w:tc>
        <w:tc>
          <w:tcPr>
            <w:tcW w:w="7234" w:type="dxa"/>
          </w:tcPr>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6064C">
              <w:rPr>
                <w:rFonts w:ascii="Palatino Linotype" w:eastAsia="Palatino Linotype" w:hAnsi="Palatino Linotype" w:cs="Palatino Linotype"/>
                <w:b/>
                <w:bCs/>
                <w:i/>
                <w:iCs/>
                <w:color w:val="000000" w:themeColor="text1"/>
              </w:rPr>
              <w:t>Sujetos Obligados</w:t>
            </w:r>
            <w:r w:rsidRPr="00D6064C">
              <w:rPr>
                <w:rFonts w:ascii="Palatino Linotype" w:eastAsia="Palatino Linotype" w:hAnsi="Palatino Linotype" w:cs="Palatino Linotype"/>
                <w:i/>
                <w:iCs/>
                <w:color w:val="000000" w:themeColor="text1"/>
              </w:rPr>
              <w:t xml:space="preserve">, por lo que deberán fundar y motivar debidamente la clasificación. </w:t>
            </w:r>
          </w:p>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 xml:space="preserve">De lo anterior, se desprende que para una correcta </w:t>
            </w:r>
            <w:r w:rsidRPr="00D6064C">
              <w:rPr>
                <w:rFonts w:ascii="Palatino Linotype" w:eastAsia="Palatino Linotype" w:hAnsi="Palatino Linotype" w:cs="Palatino Linotype"/>
                <w:b/>
                <w:bCs/>
                <w:i/>
                <w:iCs/>
                <w:color w:val="000000" w:themeColor="text1"/>
              </w:rPr>
              <w:t>clasificación total o parcial</w:t>
            </w:r>
            <w:r w:rsidRPr="00D6064C">
              <w:rPr>
                <w:rFonts w:ascii="Palatino Linotype" w:eastAsia="Palatino Linotype" w:hAnsi="Palatino Linotype" w:cs="Palatino Linotype"/>
                <w:i/>
                <w:iCs/>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lastRenderedPageBreak/>
              <w:t>En ese mismo sentido, el numeral trigésimo tercero fracción V de los Lineamientos Generales, precisa que para motivar la clasificación se deben acreditar las circunstancias de tiempo, modo y lugar.</w:t>
            </w:r>
          </w:p>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 xml:space="preserve">Ahora bien, </w:t>
            </w:r>
            <w:r w:rsidRPr="00D6064C">
              <w:rPr>
                <w:rFonts w:ascii="Palatino Linotype" w:eastAsia="Palatino Linotype" w:hAnsi="Palatino Linotype" w:cs="Palatino Linotype"/>
                <w:b/>
                <w:bCs/>
                <w:i/>
                <w:iCs/>
                <w:color w:val="000000" w:themeColor="text1"/>
                <w:u w:val="single"/>
              </w:rPr>
              <w:t>para cada caso además de fundar y motivar</w:t>
            </w:r>
            <w:r w:rsidRPr="00D6064C">
              <w:rPr>
                <w:rFonts w:ascii="Palatino Linotype" w:eastAsia="Palatino Linotype" w:hAnsi="Palatino Linotype" w:cs="Palatino Linotype"/>
                <w:i/>
                <w:iCs/>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6064C" w:rsidRPr="00D6064C" w:rsidTr="00AB63B5">
        <w:trPr>
          <w:cnfStyle w:val="000000100000" w:firstRow="0" w:lastRow="0" w:firstColumn="0" w:lastColumn="0" w:oddVBand="0" w:evenVBand="0" w:oddHBand="1" w:evenHBand="0" w:firstRowFirstColumn="0" w:firstRowLastColumn="0" w:lastRowFirstColumn="0" w:lastRowLastColumn="0"/>
        </w:trPr>
        <w:tc>
          <w:tcPr>
            <w:tcW w:w="2689" w:type="dxa"/>
          </w:tcPr>
          <w:p w:rsidR="008E1C7F" w:rsidRPr="00D6064C" w:rsidRDefault="00EF4452" w:rsidP="00AB63B5">
            <w:pPr>
              <w:spacing w:line="360" w:lineRule="auto"/>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lastRenderedPageBreak/>
              <w:t xml:space="preserve">e) Condiciones especiales de la clasificación de la información como confidencial. </w:t>
            </w:r>
          </w:p>
        </w:tc>
        <w:tc>
          <w:tcPr>
            <w:tcW w:w="7234" w:type="dxa"/>
          </w:tcPr>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 xml:space="preserve">Los artículos 148 y 120 de la Ley Estatal y de la Ley General, vigente a la fecha de la solicitud respectivamente, establecen que aun tratándose de datos personales, se podrán proporcionar, incluso sin solicitar el consentimiento de su titular. </w:t>
            </w:r>
          </w:p>
          <w:p w:rsidR="008E1C7F" w:rsidRPr="00D6064C" w:rsidRDefault="00EF4452" w:rsidP="00AB63B5">
            <w:pPr>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E1C7F" w:rsidRPr="00D6064C" w:rsidRDefault="00EF4452" w:rsidP="00AB63B5">
            <w:pPr>
              <w:spacing w:line="276" w:lineRule="auto"/>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8E1C7F" w:rsidRDefault="008E1C7F" w:rsidP="00D6064C">
      <w:pPr>
        <w:tabs>
          <w:tab w:val="left" w:pos="284"/>
        </w:tabs>
        <w:spacing w:line="360" w:lineRule="auto"/>
        <w:jc w:val="both"/>
        <w:rPr>
          <w:rFonts w:ascii="Palatino Linotype" w:eastAsia="Palatino Linotype" w:hAnsi="Palatino Linotype" w:cs="Palatino Linotype"/>
          <w:color w:val="000000" w:themeColor="text1"/>
        </w:rPr>
      </w:pPr>
    </w:p>
    <w:p w:rsidR="00AB63B5" w:rsidRPr="00D6064C" w:rsidRDefault="00AB63B5" w:rsidP="00D6064C">
      <w:pPr>
        <w:tabs>
          <w:tab w:val="left" w:pos="284"/>
        </w:tabs>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Para tal situación, el Sujeto Obligado deberá seguir el procedimiento establecido en el artículo 168 de la Ley de Transparencia y Acceso a la Información Pública del Estado de México y Municipios; esto es, que el área competente deberá elaborar la versión pública, así </w:t>
      </w:r>
      <w:r w:rsidRPr="00D6064C">
        <w:rPr>
          <w:rFonts w:ascii="Palatino Linotype" w:eastAsia="Palatino Linotype" w:hAnsi="Palatino Linotype" w:cs="Palatino Linotype"/>
          <w:color w:val="000000" w:themeColor="text1"/>
        </w:rPr>
        <w:lastRenderedPageBreak/>
        <w:t>como emitir el Acuerdo, por parte del Comité de Transparencia, donde confirme la clasificación de los datos o documentos, fundando y motivando la clasificación.</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numPr>
          <w:ilvl w:val="0"/>
          <w:numId w:val="13"/>
        </w:numPr>
        <w:spacing w:line="360" w:lineRule="auto"/>
        <w:ind w:left="0" w:firstLine="0"/>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 xml:space="preserve">Si el servidor público incumple con estas formalidades y entrega la información sin proteger los datos personales incumple con lo que estipula las disposiciones legales establecidas. </w:t>
      </w:r>
    </w:p>
    <w:p w:rsidR="008E1C7F" w:rsidRPr="00D6064C" w:rsidRDefault="008E1C7F" w:rsidP="00D6064C">
      <w:pPr>
        <w:pBdr>
          <w:top w:val="nil"/>
          <w:left w:val="nil"/>
          <w:bottom w:val="nil"/>
          <w:right w:val="nil"/>
          <w:between w:val="nil"/>
        </w:pBdr>
        <w:rPr>
          <w:rFonts w:ascii="Palatino Linotype" w:eastAsia="Palatino Linotype" w:hAnsi="Palatino Linotype" w:cs="Palatino Linotype"/>
          <w:color w:val="000000" w:themeColor="text1"/>
        </w:rPr>
      </w:pPr>
    </w:p>
    <w:p w:rsidR="008E1C7F" w:rsidRPr="00D6064C" w:rsidRDefault="00EF4452" w:rsidP="00D6064C">
      <w:pPr>
        <w:numPr>
          <w:ilvl w:val="0"/>
          <w:numId w:val="3"/>
        </w:numPr>
        <w:pBdr>
          <w:top w:val="nil"/>
          <w:left w:val="nil"/>
          <w:bottom w:val="nil"/>
          <w:right w:val="nil"/>
          <w:between w:val="nil"/>
        </w:pBdr>
        <w:spacing w:line="360" w:lineRule="auto"/>
        <w:ind w:left="0" w:firstLine="0"/>
        <w:jc w:val="both"/>
        <w:rPr>
          <w:rFonts w:ascii="Palatino Linotype" w:eastAsia="Century Gothic" w:hAnsi="Palatino Linotype" w:cs="Century Gothic"/>
          <w:color w:val="000000" w:themeColor="text1"/>
        </w:rPr>
      </w:pPr>
      <w:bookmarkStart w:id="12" w:name="_heading=h.5k2ssejxg5xk" w:colFirst="0" w:colLast="0"/>
      <w:bookmarkEnd w:id="12"/>
      <w:r w:rsidRPr="00D6064C">
        <w:rPr>
          <w:rFonts w:ascii="Palatino Linotype" w:eastAsia="Palatino Linotype" w:hAnsi="Palatino Linotype" w:cs="Palatino Linotype"/>
          <w:color w:val="000000" w:themeColor="text1"/>
        </w:rPr>
        <w:t>Por lo anteriormente expuesto, este Órgano Garante considera parcialmente fundadas las razones o motivos de inconformidad que plantea el</w:t>
      </w:r>
      <w:r w:rsidRPr="00D6064C">
        <w:rPr>
          <w:rFonts w:ascii="Palatino Linotype" w:eastAsia="Palatino Linotype" w:hAnsi="Palatino Linotype" w:cs="Palatino Linotype"/>
          <w:b/>
          <w:bCs/>
          <w:color w:val="000000" w:themeColor="text1"/>
        </w:rPr>
        <w:t xml:space="preserve"> RECURRENTE</w:t>
      </w:r>
      <w:r w:rsidRPr="00D6064C">
        <w:rPr>
          <w:rFonts w:ascii="Palatino Linotype" w:eastAsia="Palatino Linotype" w:hAnsi="Palatino Linotype" w:cs="Palatino Linotype"/>
          <w:color w:val="000000" w:themeColor="text1"/>
        </w:rPr>
        <w:t xml:space="preserve">, determinando </w:t>
      </w:r>
      <w:r w:rsidRPr="00D6064C">
        <w:rPr>
          <w:rFonts w:ascii="Palatino Linotype" w:eastAsia="Palatino Linotype" w:hAnsi="Palatino Linotype" w:cs="Palatino Linotype"/>
          <w:b/>
          <w:bCs/>
          <w:smallCaps/>
          <w:color w:val="000000" w:themeColor="text1"/>
        </w:rPr>
        <w:t>MODIFICAR</w:t>
      </w:r>
      <w:r w:rsidRPr="00D6064C">
        <w:rPr>
          <w:rFonts w:ascii="Palatino Linotype" w:eastAsia="Palatino Linotype" w:hAnsi="Palatino Linotype" w:cs="Palatino Linotype"/>
          <w:b/>
          <w:bCs/>
          <w:color w:val="000000" w:themeColor="text1"/>
        </w:rPr>
        <w:t xml:space="preserve"> </w:t>
      </w:r>
      <w:r w:rsidRPr="00D6064C">
        <w:rPr>
          <w:rFonts w:ascii="Palatino Linotype" w:eastAsia="Palatino Linotype" w:hAnsi="Palatino Linotype" w:cs="Palatino Linotype"/>
          <w:color w:val="000000" w:themeColor="text1"/>
        </w:rPr>
        <w:t xml:space="preserve">la respuesta del </w:t>
      </w:r>
      <w:r w:rsidRPr="00D6064C">
        <w:rPr>
          <w:rFonts w:ascii="Palatino Linotype" w:eastAsia="Palatino Linotype" w:hAnsi="Palatino Linotype" w:cs="Palatino Linotype"/>
          <w:b/>
          <w:bCs/>
          <w:color w:val="000000" w:themeColor="text1"/>
        </w:rPr>
        <w:t>SUJETO OBLIGADO</w:t>
      </w:r>
      <w:r w:rsidRPr="00D6064C">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D6064C">
        <w:rPr>
          <w:rFonts w:ascii="Palatino Linotype" w:eastAsia="Palatino Linotype" w:hAnsi="Palatino Linotype" w:cs="Palatino Linotype"/>
          <w:b/>
          <w:bCs/>
          <w:color w:val="000000" w:themeColor="text1"/>
        </w:rPr>
        <w:t>ÓRGANO GARANTE</w:t>
      </w:r>
      <w:r w:rsidRPr="00D6064C">
        <w:rPr>
          <w:rFonts w:ascii="Palatino Linotype" w:eastAsia="Palatino Linotype" w:hAnsi="Palatino Linotype" w:cs="Palatino Linotype"/>
          <w:color w:val="000000" w:themeColor="text1"/>
        </w:rPr>
        <w:t xml:space="preserve"> emite los siguientes:</w:t>
      </w:r>
    </w:p>
    <w:p w:rsidR="008E1C7F" w:rsidRPr="00D6064C" w:rsidRDefault="008E1C7F" w:rsidP="00D6064C">
      <w:pPr>
        <w:pBdr>
          <w:top w:val="nil"/>
          <w:left w:val="nil"/>
          <w:bottom w:val="nil"/>
          <w:right w:val="nil"/>
          <w:between w:val="nil"/>
        </w:pBdr>
        <w:rPr>
          <w:rFonts w:ascii="Palatino Linotype" w:eastAsia="Palatino Linotype" w:hAnsi="Palatino Linotype" w:cs="Palatino Linotype"/>
          <w:color w:val="000000" w:themeColor="text1"/>
        </w:rPr>
      </w:pPr>
    </w:p>
    <w:p w:rsidR="008E1C7F" w:rsidRPr="00D6064C" w:rsidRDefault="008E1C7F" w:rsidP="00D6064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keepNext/>
        <w:keepLines/>
        <w:spacing w:line="360" w:lineRule="auto"/>
        <w:jc w:val="center"/>
        <w:rPr>
          <w:rFonts w:ascii="Palatino Linotype" w:eastAsia="Palatino Linotype" w:hAnsi="Palatino Linotype" w:cs="Palatino Linotype"/>
          <w:b/>
          <w:bCs/>
          <w:color w:val="000000" w:themeColor="text1"/>
        </w:rPr>
      </w:pPr>
      <w:bookmarkStart w:id="13" w:name="_heading=h.35nkun2" w:colFirst="0" w:colLast="0"/>
      <w:bookmarkEnd w:id="13"/>
      <w:r w:rsidRPr="00D6064C">
        <w:rPr>
          <w:rFonts w:ascii="Palatino Linotype" w:eastAsia="Palatino Linotype" w:hAnsi="Palatino Linotype" w:cs="Palatino Linotype"/>
          <w:b/>
          <w:bCs/>
          <w:color w:val="000000" w:themeColor="text1"/>
        </w:rPr>
        <w:t xml:space="preserve">R E S O L U T I V O S </w:t>
      </w: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EF4452" w:rsidP="00D6064C">
      <w:pPr>
        <w:spacing w:line="360" w:lineRule="auto"/>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b/>
          <w:bCs/>
          <w:color w:val="000000" w:themeColor="text1"/>
        </w:rPr>
        <w:t xml:space="preserve">PRIMERO. </w:t>
      </w:r>
      <w:r w:rsidRPr="00D6064C">
        <w:rPr>
          <w:rFonts w:ascii="Palatino Linotype" w:eastAsia="Palatino Linotype" w:hAnsi="Palatino Linotype" w:cs="Palatino Linotype"/>
          <w:color w:val="000000" w:themeColor="text1"/>
        </w:rPr>
        <w:t>Resultan parcialmente fundadas las</w:t>
      </w:r>
      <w:r w:rsidRPr="00D6064C">
        <w:rPr>
          <w:rFonts w:ascii="Palatino Linotype" w:eastAsia="Palatino Linotype" w:hAnsi="Palatino Linotype" w:cs="Palatino Linotype"/>
          <w:b/>
          <w:bCs/>
          <w:color w:val="000000" w:themeColor="text1"/>
        </w:rPr>
        <w:t xml:space="preserve"> </w:t>
      </w:r>
      <w:r w:rsidRPr="00D6064C">
        <w:rPr>
          <w:rFonts w:ascii="Palatino Linotype" w:eastAsia="Palatino Linotype" w:hAnsi="Palatino Linotype" w:cs="Palatino Linotype"/>
          <w:color w:val="000000" w:themeColor="text1"/>
        </w:rPr>
        <w:t xml:space="preserve">razones o motivos de inconformidad hechos valer en el recurso de revisión </w:t>
      </w:r>
      <w:r w:rsidRPr="00D6064C">
        <w:rPr>
          <w:rFonts w:ascii="Palatino Linotype" w:eastAsia="Palatino Linotype" w:hAnsi="Palatino Linotype" w:cs="Palatino Linotype"/>
          <w:b/>
          <w:bCs/>
          <w:color w:val="000000" w:themeColor="text1"/>
        </w:rPr>
        <w:t xml:space="preserve">09933/INFOEM/IP/RR/2025, </w:t>
      </w:r>
      <w:r w:rsidRPr="00D6064C">
        <w:rPr>
          <w:rFonts w:ascii="Palatino Linotype" w:eastAsia="Palatino Linotype" w:hAnsi="Palatino Linotype" w:cs="Palatino Linotype"/>
          <w:color w:val="000000" w:themeColor="text1"/>
        </w:rPr>
        <w:t>en términos del</w:t>
      </w:r>
      <w:r w:rsidRPr="00D6064C">
        <w:rPr>
          <w:rFonts w:ascii="Palatino Linotype" w:eastAsia="Palatino Linotype" w:hAnsi="Palatino Linotype" w:cs="Palatino Linotype"/>
          <w:b/>
          <w:bCs/>
          <w:color w:val="000000" w:themeColor="text1"/>
        </w:rPr>
        <w:t xml:space="preserve"> </w:t>
      </w:r>
      <w:r w:rsidRPr="00D6064C">
        <w:rPr>
          <w:rFonts w:ascii="Palatino Linotype" w:eastAsia="Palatino Linotype" w:hAnsi="Palatino Linotype" w:cs="Palatino Linotype"/>
          <w:color w:val="000000" w:themeColor="text1"/>
        </w:rPr>
        <w:t xml:space="preserve">considerandos </w:t>
      </w:r>
      <w:r w:rsidRPr="00D6064C">
        <w:rPr>
          <w:rFonts w:ascii="Palatino Linotype" w:eastAsia="Palatino Linotype" w:hAnsi="Palatino Linotype" w:cs="Palatino Linotype"/>
          <w:b/>
          <w:bCs/>
          <w:color w:val="000000" w:themeColor="text1"/>
        </w:rPr>
        <w:t xml:space="preserve">CUARTO y QUINTO </w:t>
      </w:r>
      <w:r w:rsidRPr="00D6064C">
        <w:rPr>
          <w:rFonts w:ascii="Palatino Linotype" w:eastAsia="Palatino Linotype" w:hAnsi="Palatino Linotype" w:cs="Palatino Linotype"/>
          <w:color w:val="000000" w:themeColor="text1"/>
        </w:rPr>
        <w:t>de la presente resolución.</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spacing w:line="360" w:lineRule="auto"/>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b/>
          <w:bCs/>
          <w:color w:val="000000" w:themeColor="text1"/>
        </w:rPr>
        <w:lastRenderedPageBreak/>
        <w:t xml:space="preserve">SEGUNDO. </w:t>
      </w:r>
      <w:r w:rsidRPr="00D6064C">
        <w:rPr>
          <w:rFonts w:ascii="Palatino Linotype" w:eastAsia="Palatino Linotype" w:hAnsi="Palatino Linotype" w:cs="Palatino Linotype"/>
          <w:color w:val="000000" w:themeColor="text1"/>
        </w:rPr>
        <w:t xml:space="preserve">Se </w:t>
      </w:r>
      <w:r w:rsidRPr="00D6064C">
        <w:rPr>
          <w:rFonts w:ascii="Palatino Linotype" w:eastAsia="Palatino Linotype" w:hAnsi="Palatino Linotype" w:cs="Palatino Linotype"/>
          <w:b/>
          <w:bCs/>
          <w:color w:val="000000" w:themeColor="text1"/>
        </w:rPr>
        <w:t>MODIFICA</w:t>
      </w:r>
      <w:r w:rsidRPr="00D6064C">
        <w:rPr>
          <w:rFonts w:ascii="Palatino Linotype" w:eastAsia="Palatino Linotype" w:hAnsi="Palatino Linotype" w:cs="Palatino Linotype"/>
          <w:color w:val="000000" w:themeColor="text1"/>
        </w:rPr>
        <w:t xml:space="preserve"> la respuesta y se </w:t>
      </w:r>
      <w:r w:rsidRPr="00D6064C">
        <w:rPr>
          <w:rFonts w:ascii="Palatino Linotype" w:eastAsia="Palatino Linotype" w:hAnsi="Palatino Linotype" w:cs="Palatino Linotype"/>
          <w:b/>
          <w:bCs/>
          <w:color w:val="000000" w:themeColor="text1"/>
        </w:rPr>
        <w:t xml:space="preserve">ORDENA </w:t>
      </w:r>
      <w:r w:rsidRPr="00D6064C">
        <w:rPr>
          <w:rFonts w:ascii="Palatino Linotype" w:eastAsia="Palatino Linotype" w:hAnsi="Palatino Linotype" w:cs="Palatino Linotype"/>
          <w:color w:val="000000" w:themeColor="text1"/>
        </w:rPr>
        <w:t xml:space="preserve">al </w:t>
      </w:r>
      <w:r w:rsidRPr="00D6064C">
        <w:rPr>
          <w:rFonts w:ascii="Palatino Linotype" w:eastAsia="Palatino Linotype" w:hAnsi="Palatino Linotype" w:cs="Palatino Linotype"/>
          <w:b/>
          <w:bCs/>
          <w:color w:val="000000" w:themeColor="text1"/>
        </w:rPr>
        <w:t xml:space="preserve">Ayuntamiento de Zinacantepec,  </w:t>
      </w:r>
      <w:r w:rsidRPr="00D6064C">
        <w:rPr>
          <w:rFonts w:ascii="Palatino Linotype" w:eastAsia="Palatino Linotype" w:hAnsi="Palatino Linotype" w:cs="Palatino Linotype"/>
          <w:color w:val="000000" w:themeColor="text1"/>
        </w:rPr>
        <w:t xml:space="preserve">entregar vía Sistema de Acceso a la Información Mexiquense </w:t>
      </w:r>
      <w:r w:rsidRPr="00D6064C">
        <w:rPr>
          <w:rFonts w:ascii="Palatino Linotype" w:eastAsia="Palatino Linotype" w:hAnsi="Palatino Linotype" w:cs="Palatino Linotype"/>
          <w:b/>
          <w:bCs/>
          <w:color w:val="000000" w:themeColor="text1"/>
        </w:rPr>
        <w:t>(SAIMEX)</w:t>
      </w:r>
      <w:r w:rsidRPr="00D6064C">
        <w:rPr>
          <w:rFonts w:ascii="Palatino Linotype" w:eastAsia="Palatino Linotype" w:hAnsi="Palatino Linotype" w:cs="Palatino Linotype"/>
          <w:color w:val="000000" w:themeColor="text1"/>
        </w:rPr>
        <w:t xml:space="preserve">, la siguiente información, del primero de enero al veintisiete de junio de dos mil veinticinco, de ser procedente en versión pública. </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Oficios dirigidos a la Unidad de Transparencia donde titulares de las diferentes áreas soliciten prórroga para atender los requerimientos de información.</w:t>
      </w:r>
    </w:p>
    <w:p w:rsidR="008E1C7F" w:rsidRPr="00D6064C" w:rsidRDefault="00EF4452" w:rsidP="00D6064C">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Oficios donde titular de  la Unidad de Transparencia informe la aprobación a las solicitudes de prórroga de las diferentes áreas.</w:t>
      </w:r>
    </w:p>
    <w:p w:rsidR="008E1C7F" w:rsidRPr="00D6064C" w:rsidRDefault="00EF4452" w:rsidP="00D6064C">
      <w:pPr>
        <w:tabs>
          <w:tab w:val="left" w:pos="7088"/>
        </w:tabs>
        <w:spacing w:line="276" w:lineRule="auto"/>
        <w:jc w:val="both"/>
        <w:rPr>
          <w:rFonts w:ascii="Palatino Linotype" w:eastAsia="Palatino Linotype" w:hAnsi="Palatino Linotype" w:cs="Palatino Linotype"/>
          <w:i/>
          <w:iCs/>
          <w:color w:val="000000" w:themeColor="text1"/>
        </w:rPr>
      </w:pPr>
      <w:r w:rsidRPr="00D6064C">
        <w:rPr>
          <w:rFonts w:ascii="Palatino Linotype" w:eastAsia="Palatino Linotype" w:hAnsi="Palatino Linotype" w:cs="Palatino Linotype"/>
          <w:i/>
          <w:iCs/>
          <w:color w:val="000000" w:themeColor="text1"/>
        </w:rPr>
        <w:t>Para el caso en que no se cuente con la información, bastará con que así se haga del conocimiento a LA PARTE RECURRENTE en términos de lo que establece el artículo 19 segundo párrafo de la Ley de Transparencia Local.</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spacing w:line="360" w:lineRule="auto"/>
        <w:jc w:val="both"/>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 xml:space="preserve"> TERCERO. NOTIFÍQUESE </w:t>
      </w:r>
      <w:r w:rsidRPr="00D6064C">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D6064C">
        <w:rPr>
          <w:rFonts w:ascii="Palatino Linotype" w:eastAsia="Palatino Linotype" w:hAnsi="Palatino Linotype" w:cs="Palatino Linotype"/>
          <w:b/>
          <w:color w:val="000000" w:themeColor="text1"/>
        </w:rPr>
        <w:t>dé cumplimiento a lo</w:t>
      </w:r>
      <w:r w:rsidRPr="00D6064C">
        <w:rPr>
          <w:rFonts w:ascii="Palatino Linotype" w:eastAsia="Palatino Linotype" w:hAnsi="Palatino Linotype" w:cs="Palatino Linotype"/>
          <w:color w:val="000000" w:themeColor="text1"/>
        </w:rPr>
        <w:t xml:space="preserve"> </w:t>
      </w:r>
      <w:r w:rsidRPr="00D6064C">
        <w:rPr>
          <w:rFonts w:ascii="Palatino Linotype" w:eastAsia="Palatino Linotype" w:hAnsi="Palatino Linotype" w:cs="Palatino Linotype"/>
          <w:b/>
          <w:bCs/>
          <w:color w:val="000000" w:themeColor="text1"/>
        </w:rPr>
        <w:t>ordenado dentro del plazo de diez días hábiles</w:t>
      </w:r>
      <w:r w:rsidRPr="00D6064C">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8E1C7F" w:rsidRPr="00D6064C" w:rsidRDefault="008E1C7F" w:rsidP="00D6064C">
      <w:pPr>
        <w:spacing w:line="360" w:lineRule="auto"/>
        <w:jc w:val="both"/>
        <w:rPr>
          <w:rFonts w:ascii="Palatino Linotype" w:eastAsia="Palatino Linotype" w:hAnsi="Palatino Linotype" w:cs="Palatino Linotype"/>
          <w:b/>
          <w:bCs/>
          <w:color w:val="000000" w:themeColor="text1"/>
        </w:rPr>
      </w:pPr>
    </w:p>
    <w:p w:rsidR="008E1C7F" w:rsidRPr="00D6064C" w:rsidRDefault="00EF4452" w:rsidP="00D6064C">
      <w:pPr>
        <w:spacing w:line="360" w:lineRule="auto"/>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b/>
          <w:bCs/>
          <w:color w:val="000000" w:themeColor="text1"/>
        </w:rPr>
        <w:lastRenderedPageBreak/>
        <w:t xml:space="preserve">CUARTO. </w:t>
      </w:r>
      <w:r w:rsidRPr="00D6064C">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D6064C">
        <w:rPr>
          <w:rFonts w:ascii="Palatino Linotype" w:eastAsia="Palatino Linotype" w:hAnsi="Palatino Linotype" w:cs="Palatino Linotype"/>
          <w:b/>
          <w:bCs/>
          <w:color w:val="000000" w:themeColor="text1"/>
        </w:rPr>
        <w:t>SUJETO OBLIGADO</w:t>
      </w:r>
      <w:r w:rsidRPr="00D6064C">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tabs>
          <w:tab w:val="left" w:pos="8080"/>
        </w:tabs>
        <w:spacing w:line="360" w:lineRule="auto"/>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b/>
          <w:bCs/>
          <w:color w:val="000000" w:themeColor="text1"/>
        </w:rPr>
        <w:t xml:space="preserve">QUINTO. </w:t>
      </w:r>
      <w:r w:rsidRPr="00D6064C">
        <w:rPr>
          <w:rFonts w:ascii="Palatino Linotype" w:eastAsia="Palatino Linotype" w:hAnsi="Palatino Linotype" w:cs="Palatino Linotype"/>
          <w:color w:val="000000" w:themeColor="text1"/>
        </w:rPr>
        <w:t xml:space="preserve">Notifíquese a </w:t>
      </w:r>
      <w:r w:rsidRPr="00D6064C">
        <w:rPr>
          <w:rFonts w:ascii="Palatino Linotype" w:eastAsia="Palatino Linotype" w:hAnsi="Palatino Linotype" w:cs="Palatino Linotype"/>
          <w:b/>
          <w:bCs/>
          <w:color w:val="000000" w:themeColor="text1"/>
        </w:rPr>
        <w:t>EL RECURRENTE</w:t>
      </w:r>
      <w:r w:rsidRPr="00D6064C">
        <w:rPr>
          <w:rFonts w:ascii="Palatino Linotype" w:eastAsia="Palatino Linotype" w:hAnsi="Palatino Linotype" w:cs="Palatino Linotype"/>
          <w:color w:val="000000" w:themeColor="text1"/>
        </w:rPr>
        <w:t xml:space="preserve"> la presente resolución, vía SAIMEX.</w:t>
      </w:r>
    </w:p>
    <w:p w:rsidR="008E1C7F" w:rsidRPr="00D6064C" w:rsidRDefault="008E1C7F" w:rsidP="00D6064C">
      <w:pPr>
        <w:tabs>
          <w:tab w:val="left" w:pos="8080"/>
        </w:tabs>
        <w:spacing w:line="360" w:lineRule="auto"/>
        <w:jc w:val="both"/>
        <w:rPr>
          <w:rFonts w:ascii="Palatino Linotype" w:eastAsia="Palatino Linotype" w:hAnsi="Palatino Linotype" w:cs="Palatino Linotype"/>
          <w:color w:val="000000" w:themeColor="text1"/>
        </w:rPr>
      </w:pPr>
    </w:p>
    <w:p w:rsidR="008E1C7F" w:rsidRPr="00D6064C" w:rsidRDefault="00EF4452" w:rsidP="00D6064C">
      <w:pPr>
        <w:shd w:val="clear" w:color="auto" w:fill="FFFFFF"/>
        <w:spacing w:line="360" w:lineRule="auto"/>
        <w:jc w:val="both"/>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b/>
          <w:bCs/>
          <w:color w:val="000000" w:themeColor="text1"/>
        </w:rPr>
        <w:t>SEXTO.</w:t>
      </w:r>
      <w:r w:rsidRPr="00D6064C">
        <w:rPr>
          <w:rFonts w:ascii="Palatino Linotype" w:eastAsia="Palatino Linotype" w:hAnsi="Palatino Linotype" w:cs="Palatino Linotype"/>
          <w:color w:val="000000" w:themeColor="text1"/>
        </w:rPr>
        <w:t xml:space="preserve"> Se hace del conocimiento de </w:t>
      </w:r>
      <w:r w:rsidRPr="00D6064C">
        <w:rPr>
          <w:rFonts w:ascii="Palatino Linotype" w:eastAsia="Palatino Linotype" w:hAnsi="Palatino Linotype" w:cs="Palatino Linotype"/>
          <w:b/>
          <w:bCs/>
          <w:color w:val="000000" w:themeColor="text1"/>
        </w:rPr>
        <w:t>EL RECURRENTE</w:t>
      </w:r>
      <w:r w:rsidRPr="00D6064C">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8E1C7F" w:rsidRPr="00D6064C" w:rsidRDefault="008E1C7F" w:rsidP="00D6064C">
      <w:pPr>
        <w:shd w:val="clear" w:color="auto" w:fill="FFFFFF"/>
        <w:spacing w:line="360" w:lineRule="auto"/>
        <w:jc w:val="both"/>
        <w:rPr>
          <w:rFonts w:ascii="Palatino Linotype" w:eastAsia="Palatino Linotype" w:hAnsi="Palatino Linotype" w:cs="Palatino Linotype"/>
          <w:color w:val="000000" w:themeColor="text1"/>
        </w:rPr>
      </w:pPr>
      <w:bookmarkStart w:id="14" w:name="_heading=h.umwzv6bq3ggs" w:colFirst="0" w:colLast="0"/>
      <w:bookmarkEnd w:id="14"/>
    </w:p>
    <w:p w:rsidR="00D6064C" w:rsidRPr="00444783" w:rsidRDefault="00D6064C" w:rsidP="00D6064C">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PRIMERA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CATORCE (14)</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ENERO D</w:t>
      </w:r>
      <w:r w:rsidRPr="00575AE2">
        <w:rPr>
          <w:rFonts w:ascii="Palatino Linotype" w:eastAsia="Palatino Linotype" w:hAnsi="Palatino Linotype" w:cs="Palatino Linotype"/>
        </w:rPr>
        <w:t>E DOS MIL VEINTI</w:t>
      </w:r>
      <w:r>
        <w:rPr>
          <w:rFonts w:ascii="Palatino Linotype" w:eastAsia="Palatino Linotype" w:hAnsi="Palatino Linotype" w:cs="Palatino Linotype"/>
        </w:rPr>
        <w:t>SÉIS,</w:t>
      </w:r>
      <w:r w:rsidRPr="00575AE2">
        <w:rPr>
          <w:rFonts w:ascii="Palatino Linotype" w:eastAsia="Palatino Linotype" w:hAnsi="Palatino Linotype" w:cs="Palatino Linotype"/>
        </w:rPr>
        <w:t xml:space="preserve"> ANTE EL SECRETARIO TÉCNICO DEL PLENO ALEXIS TAPIA RAMÍREZ.</w:t>
      </w: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8E1C7F" w:rsidP="00D6064C">
      <w:pPr>
        <w:spacing w:before="240" w:after="240" w:line="360" w:lineRule="auto"/>
        <w:jc w:val="both"/>
        <w:rPr>
          <w:rFonts w:ascii="Palatino Linotype" w:eastAsia="Palatino Linotype" w:hAnsi="Palatino Linotype" w:cs="Palatino Linotype"/>
          <w:b/>
          <w:bCs/>
          <w:color w:val="000000" w:themeColor="text1"/>
        </w:rPr>
      </w:pP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8E1C7F" w:rsidP="00D6064C">
      <w:pPr>
        <w:spacing w:line="360" w:lineRule="auto"/>
        <w:jc w:val="both"/>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spacing w:line="360" w:lineRule="auto"/>
        <w:rPr>
          <w:rFonts w:ascii="Palatino Linotype" w:eastAsia="Palatino Linotype" w:hAnsi="Palatino Linotype" w:cs="Palatino Linotype"/>
          <w:color w:val="000000" w:themeColor="text1"/>
        </w:rPr>
      </w:pPr>
    </w:p>
    <w:p w:rsidR="008E1C7F" w:rsidRPr="00D6064C" w:rsidRDefault="008E1C7F" w:rsidP="00D6064C">
      <w:pPr>
        <w:rPr>
          <w:rFonts w:ascii="Palatino Linotype" w:eastAsia="Palatino Linotype" w:hAnsi="Palatino Linotype" w:cs="Palatino Linotype"/>
          <w:color w:val="000000" w:themeColor="text1"/>
        </w:rPr>
      </w:pPr>
    </w:p>
    <w:sectPr w:rsidR="008E1C7F" w:rsidRPr="00D6064C" w:rsidSect="00AB63B5">
      <w:headerReference w:type="default" r:id="rId8"/>
      <w:footerReference w:type="default" r:id="rId9"/>
      <w:headerReference w:type="first" r:id="rId10"/>
      <w:footerReference w:type="first" r:id="rId11"/>
      <w:pgSz w:w="12240" w:h="15840"/>
      <w:pgMar w:top="2410"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464" w:rsidRDefault="006F5464">
      <w:r>
        <w:separator/>
      </w:r>
    </w:p>
  </w:endnote>
  <w:endnote w:type="continuationSeparator" w:id="0">
    <w:p w:rsidR="006F5464" w:rsidRDefault="006F5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E2F24632-E936-4374-9902-A7DC4C0E1E82}"/>
    <w:embedBold r:id="rId2" w:fontKey="{B476B432-C131-4A7B-8226-4B07730EB5E9}"/>
    <w:embedItalic r:id="rId3" w:fontKey="{44956A10-ABE4-47E6-BDE6-B1FF12DC7B25}"/>
    <w:embedBoldItalic r:id="rId4" w:fontKey="{BEF4DAAD-ECEE-4B82-8895-0C3D1B20ED8F}"/>
  </w:font>
  <w:font w:name="Noto Sans Symbols">
    <w:altName w:val="Times New Roman"/>
    <w:charset w:val="00"/>
    <w:family w:val="auto"/>
    <w:pitch w:val="default"/>
    <w:embedRegular r:id="rId5" w:fontKey="{B6F58B82-A853-41B6-9E49-F1DF4737305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6" w:fontKey="{89719A0D-71B1-43DF-93F9-00008DC4EA15}"/>
  </w:font>
  <w:font w:name="Calibri">
    <w:panose1 w:val="020F0502020204030204"/>
    <w:charset w:val="00"/>
    <w:family w:val="swiss"/>
    <w:pitch w:val="variable"/>
    <w:sig w:usb0="E4002EFF" w:usb1="C200247B" w:usb2="00000009" w:usb3="00000000" w:csb0="000001FF" w:csb1="00000000"/>
    <w:embedRegular r:id="rId7" w:fontKey="{9CCCBDCC-F52C-4F4A-97DE-A586CCB545F8}"/>
  </w:font>
  <w:font w:name="Georgia">
    <w:panose1 w:val="02040502050405020303"/>
    <w:charset w:val="00"/>
    <w:family w:val="roman"/>
    <w:pitch w:val="variable"/>
    <w:sig w:usb0="00000287" w:usb1="00000000" w:usb2="00000000" w:usb3="00000000" w:csb0="0000009F" w:csb1="00000000"/>
    <w:embedItalic r:id="rId8" w:fontKey="{969569A1-1940-42BF-9AF5-E6BF94EE63E0}"/>
  </w:font>
  <w:font w:name="Bookman Old Style">
    <w:panose1 w:val="02050604050505020204"/>
    <w:charset w:val="00"/>
    <w:family w:val="roman"/>
    <w:pitch w:val="variable"/>
    <w:sig w:usb0="00000287" w:usb1="00000000" w:usb2="00000000" w:usb3="00000000" w:csb0="0000009F" w:csb1="00000000"/>
    <w:embedRegular r:id="rId9" w:fontKey="{37418011-3133-4447-A762-B43DD2A1F9D6}"/>
    <w:embedBold r:id="rId10" w:fontKey="{78E12B60-9141-45C8-A8FF-D09F95318439}"/>
  </w:font>
  <w:font w:name="Century Gothic">
    <w:panose1 w:val="020B0502020202020204"/>
    <w:charset w:val="00"/>
    <w:family w:val="swiss"/>
    <w:pitch w:val="variable"/>
    <w:sig w:usb0="00000287" w:usb1="00000000" w:usb2="00000000" w:usb3="00000000" w:csb0="0000009F" w:csb1="00000000"/>
    <w:embedRegular r:id="rId11" w:fontKey="{9ADBABFA-EDC3-4D88-A4D0-4382AD5131C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7ED7D8C1-0E1A-4D09-9281-9A119B37F4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C7F" w:rsidRPr="00AB63B5" w:rsidRDefault="00EF4452">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AB63B5">
      <w:rPr>
        <w:rFonts w:ascii="Palatino Linotype" w:eastAsia="Arial" w:hAnsi="Palatino Linotype" w:cs="Arial"/>
        <w:b/>
        <w:bCs/>
        <w:color w:val="000000"/>
        <w:sz w:val="22"/>
        <w:szCs w:val="20"/>
      </w:rPr>
      <w:t xml:space="preserve">Página </w:t>
    </w:r>
    <w:r w:rsidRPr="00AB63B5">
      <w:rPr>
        <w:rFonts w:ascii="Palatino Linotype" w:eastAsia="Arial" w:hAnsi="Palatino Linotype" w:cs="Arial"/>
        <w:b/>
        <w:bCs/>
        <w:color w:val="000000"/>
        <w:sz w:val="22"/>
        <w:szCs w:val="20"/>
      </w:rPr>
      <w:fldChar w:fldCharType="begin"/>
    </w:r>
    <w:r w:rsidRPr="00AB63B5">
      <w:rPr>
        <w:rFonts w:ascii="Palatino Linotype" w:eastAsia="Arial" w:hAnsi="Palatino Linotype" w:cs="Arial"/>
        <w:b/>
        <w:bCs/>
        <w:color w:val="000000"/>
        <w:sz w:val="22"/>
        <w:szCs w:val="20"/>
      </w:rPr>
      <w:instrText>PAGE</w:instrText>
    </w:r>
    <w:r w:rsidRPr="00AB63B5">
      <w:rPr>
        <w:rFonts w:ascii="Palatino Linotype" w:eastAsia="Arial" w:hAnsi="Palatino Linotype" w:cs="Arial"/>
        <w:b/>
        <w:bCs/>
        <w:color w:val="000000"/>
        <w:sz w:val="22"/>
        <w:szCs w:val="20"/>
      </w:rPr>
      <w:fldChar w:fldCharType="separate"/>
    </w:r>
    <w:r w:rsidR="00AB63B5">
      <w:rPr>
        <w:rFonts w:ascii="Palatino Linotype" w:eastAsia="Arial" w:hAnsi="Palatino Linotype" w:cs="Arial"/>
        <w:b/>
        <w:bCs/>
        <w:noProof/>
        <w:color w:val="000000"/>
        <w:sz w:val="22"/>
        <w:szCs w:val="20"/>
      </w:rPr>
      <w:t>21</w:t>
    </w:r>
    <w:r w:rsidRPr="00AB63B5">
      <w:rPr>
        <w:rFonts w:ascii="Palatino Linotype" w:eastAsia="Arial" w:hAnsi="Palatino Linotype" w:cs="Arial"/>
        <w:b/>
        <w:bCs/>
        <w:color w:val="000000"/>
        <w:sz w:val="22"/>
        <w:szCs w:val="20"/>
      </w:rPr>
      <w:fldChar w:fldCharType="end"/>
    </w:r>
    <w:r w:rsidRPr="00AB63B5">
      <w:rPr>
        <w:rFonts w:ascii="Palatino Linotype" w:eastAsia="Arial" w:hAnsi="Palatino Linotype" w:cs="Arial"/>
        <w:color w:val="000000"/>
        <w:sz w:val="22"/>
        <w:szCs w:val="20"/>
      </w:rPr>
      <w:t xml:space="preserve"> de </w:t>
    </w:r>
    <w:r w:rsidRPr="00AB63B5">
      <w:rPr>
        <w:rFonts w:ascii="Palatino Linotype" w:eastAsia="Arial" w:hAnsi="Palatino Linotype" w:cs="Arial"/>
        <w:b/>
        <w:bCs/>
        <w:color w:val="000000"/>
        <w:sz w:val="22"/>
        <w:szCs w:val="20"/>
      </w:rPr>
      <w:fldChar w:fldCharType="begin"/>
    </w:r>
    <w:r w:rsidRPr="00AB63B5">
      <w:rPr>
        <w:rFonts w:ascii="Palatino Linotype" w:eastAsia="Arial" w:hAnsi="Palatino Linotype" w:cs="Arial"/>
        <w:b/>
        <w:bCs/>
        <w:color w:val="000000"/>
        <w:sz w:val="22"/>
        <w:szCs w:val="20"/>
      </w:rPr>
      <w:instrText>NUMPAGES</w:instrText>
    </w:r>
    <w:r w:rsidRPr="00AB63B5">
      <w:rPr>
        <w:rFonts w:ascii="Palatino Linotype" w:eastAsia="Arial" w:hAnsi="Palatino Linotype" w:cs="Arial"/>
        <w:b/>
        <w:bCs/>
        <w:color w:val="000000"/>
        <w:sz w:val="22"/>
        <w:szCs w:val="20"/>
      </w:rPr>
      <w:fldChar w:fldCharType="separate"/>
    </w:r>
    <w:r w:rsidR="00AB63B5">
      <w:rPr>
        <w:rFonts w:ascii="Palatino Linotype" w:eastAsia="Arial" w:hAnsi="Palatino Linotype" w:cs="Arial"/>
        <w:b/>
        <w:bCs/>
        <w:noProof/>
        <w:color w:val="000000"/>
        <w:sz w:val="22"/>
        <w:szCs w:val="20"/>
      </w:rPr>
      <w:t>26</w:t>
    </w:r>
    <w:r w:rsidRPr="00AB63B5">
      <w:rPr>
        <w:rFonts w:ascii="Palatino Linotype" w:eastAsia="Arial" w:hAnsi="Palatino Linotype" w:cs="Arial"/>
        <w:b/>
        <w:bCs/>
        <w:color w:val="000000"/>
        <w:sz w:val="22"/>
        <w:szCs w:val="20"/>
      </w:rPr>
      <w:fldChar w:fldCharType="end"/>
    </w:r>
  </w:p>
  <w:p w:rsidR="008E1C7F" w:rsidRDefault="008E1C7F">
    <w:pPr>
      <w:pBdr>
        <w:top w:val="nil"/>
        <w:left w:val="nil"/>
        <w:bottom w:val="nil"/>
        <w:right w:val="nil"/>
        <w:between w:val="nil"/>
      </w:pBdr>
      <w:tabs>
        <w:tab w:val="center" w:pos="4252"/>
        <w:tab w:val="right" w:pos="8504"/>
      </w:tabs>
      <w:rPr>
        <w:color w:val="000000"/>
      </w:rPr>
    </w:pPr>
  </w:p>
  <w:p w:rsidR="008E1C7F" w:rsidRDefault="008E1C7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C7F" w:rsidRPr="00AB63B5" w:rsidRDefault="00EF4452">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AB63B5">
      <w:rPr>
        <w:rFonts w:ascii="Palatino Linotype" w:eastAsia="Arial" w:hAnsi="Palatino Linotype" w:cs="Arial"/>
        <w:b/>
        <w:bCs/>
        <w:color w:val="000000"/>
        <w:sz w:val="22"/>
        <w:szCs w:val="20"/>
      </w:rPr>
      <w:t xml:space="preserve">Página </w:t>
    </w:r>
    <w:r w:rsidRPr="00AB63B5">
      <w:rPr>
        <w:rFonts w:ascii="Palatino Linotype" w:eastAsia="Arial" w:hAnsi="Palatino Linotype" w:cs="Arial"/>
        <w:b/>
        <w:bCs/>
        <w:color w:val="000000"/>
        <w:sz w:val="22"/>
        <w:szCs w:val="20"/>
      </w:rPr>
      <w:fldChar w:fldCharType="begin"/>
    </w:r>
    <w:r w:rsidRPr="00AB63B5">
      <w:rPr>
        <w:rFonts w:ascii="Palatino Linotype" w:eastAsia="Arial" w:hAnsi="Palatino Linotype" w:cs="Arial"/>
        <w:b/>
        <w:bCs/>
        <w:color w:val="000000"/>
        <w:sz w:val="22"/>
        <w:szCs w:val="20"/>
      </w:rPr>
      <w:instrText>PAGE</w:instrText>
    </w:r>
    <w:r w:rsidRPr="00AB63B5">
      <w:rPr>
        <w:rFonts w:ascii="Palatino Linotype" w:eastAsia="Arial" w:hAnsi="Palatino Linotype" w:cs="Arial"/>
        <w:b/>
        <w:bCs/>
        <w:color w:val="000000"/>
        <w:sz w:val="22"/>
        <w:szCs w:val="20"/>
      </w:rPr>
      <w:fldChar w:fldCharType="separate"/>
    </w:r>
    <w:r w:rsidR="00AB63B5">
      <w:rPr>
        <w:rFonts w:ascii="Palatino Linotype" w:eastAsia="Arial" w:hAnsi="Palatino Linotype" w:cs="Arial"/>
        <w:b/>
        <w:bCs/>
        <w:noProof/>
        <w:color w:val="000000"/>
        <w:sz w:val="22"/>
        <w:szCs w:val="20"/>
      </w:rPr>
      <w:t>1</w:t>
    </w:r>
    <w:r w:rsidRPr="00AB63B5">
      <w:rPr>
        <w:rFonts w:ascii="Palatino Linotype" w:eastAsia="Arial" w:hAnsi="Palatino Linotype" w:cs="Arial"/>
        <w:b/>
        <w:bCs/>
        <w:color w:val="000000"/>
        <w:sz w:val="22"/>
        <w:szCs w:val="20"/>
      </w:rPr>
      <w:fldChar w:fldCharType="end"/>
    </w:r>
    <w:r w:rsidRPr="00AB63B5">
      <w:rPr>
        <w:rFonts w:ascii="Palatino Linotype" w:eastAsia="Arial" w:hAnsi="Palatino Linotype" w:cs="Arial"/>
        <w:color w:val="000000"/>
        <w:sz w:val="22"/>
        <w:szCs w:val="20"/>
      </w:rPr>
      <w:t xml:space="preserve"> de </w:t>
    </w:r>
    <w:r w:rsidRPr="00AB63B5">
      <w:rPr>
        <w:rFonts w:ascii="Palatino Linotype" w:eastAsia="Arial" w:hAnsi="Palatino Linotype" w:cs="Arial"/>
        <w:b/>
        <w:bCs/>
        <w:color w:val="000000"/>
        <w:sz w:val="22"/>
        <w:szCs w:val="20"/>
      </w:rPr>
      <w:fldChar w:fldCharType="begin"/>
    </w:r>
    <w:r w:rsidRPr="00AB63B5">
      <w:rPr>
        <w:rFonts w:ascii="Palatino Linotype" w:eastAsia="Arial" w:hAnsi="Palatino Linotype" w:cs="Arial"/>
        <w:b/>
        <w:bCs/>
        <w:color w:val="000000"/>
        <w:sz w:val="22"/>
        <w:szCs w:val="20"/>
      </w:rPr>
      <w:instrText>NUMPAGES</w:instrText>
    </w:r>
    <w:r w:rsidRPr="00AB63B5">
      <w:rPr>
        <w:rFonts w:ascii="Palatino Linotype" w:eastAsia="Arial" w:hAnsi="Palatino Linotype" w:cs="Arial"/>
        <w:b/>
        <w:bCs/>
        <w:color w:val="000000"/>
        <w:sz w:val="22"/>
        <w:szCs w:val="20"/>
      </w:rPr>
      <w:fldChar w:fldCharType="separate"/>
    </w:r>
    <w:r w:rsidR="00AB63B5">
      <w:rPr>
        <w:rFonts w:ascii="Palatino Linotype" w:eastAsia="Arial" w:hAnsi="Palatino Linotype" w:cs="Arial"/>
        <w:b/>
        <w:bCs/>
        <w:noProof/>
        <w:color w:val="000000"/>
        <w:sz w:val="22"/>
        <w:szCs w:val="20"/>
      </w:rPr>
      <w:t>26</w:t>
    </w:r>
    <w:r w:rsidRPr="00AB63B5">
      <w:rPr>
        <w:rFonts w:ascii="Palatino Linotype" w:eastAsia="Arial" w:hAnsi="Palatino Linotype" w:cs="Arial"/>
        <w:b/>
        <w:bCs/>
        <w:color w:val="000000"/>
        <w:sz w:val="22"/>
        <w:szCs w:val="20"/>
      </w:rPr>
      <w:fldChar w:fldCharType="end"/>
    </w:r>
  </w:p>
  <w:p w:rsidR="008E1C7F" w:rsidRDefault="008E1C7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464" w:rsidRDefault="006F5464">
      <w:r>
        <w:separator/>
      </w:r>
    </w:p>
  </w:footnote>
  <w:footnote w:type="continuationSeparator" w:id="0">
    <w:p w:rsidR="006F5464" w:rsidRDefault="006F5464">
      <w:r>
        <w:continuationSeparator/>
      </w:r>
    </w:p>
  </w:footnote>
  <w:footnote w:id="1">
    <w:p w:rsidR="008E1C7F" w:rsidRDefault="00EF445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8E1C7F" w:rsidRDefault="00EF445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8E1C7F" w:rsidRDefault="00EF445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8E1C7F" w:rsidRDefault="00EF445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f"/>
      <w:tblW w:w="7228" w:type="dxa"/>
      <w:tblInd w:w="3402" w:type="dxa"/>
      <w:tblLayout w:type="fixed"/>
      <w:tblLook w:val="0400" w:firstRow="0" w:lastRow="0" w:firstColumn="0" w:lastColumn="0" w:noHBand="0" w:noVBand="1"/>
    </w:tblPr>
    <w:tblGrid>
      <w:gridCol w:w="2835"/>
      <w:gridCol w:w="4393"/>
    </w:tblGrid>
    <w:tr w:rsidR="008E1C7F" w:rsidTr="00AB63B5">
      <w:tc>
        <w:tcPr>
          <w:tcW w:w="2835" w:type="dxa"/>
          <w:vAlign w:val="center"/>
        </w:tcPr>
        <w:p w:rsidR="008E1C7F" w:rsidRPr="00D6064C" w:rsidRDefault="00EF4452" w:rsidP="00D6064C">
          <w:pPr>
            <w:jc w:val="right"/>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Recurso de Revisión:</w:t>
          </w:r>
        </w:p>
      </w:tc>
      <w:tc>
        <w:tcPr>
          <w:tcW w:w="4393" w:type="dxa"/>
          <w:vAlign w:val="center"/>
        </w:tcPr>
        <w:p w:rsidR="008E1C7F" w:rsidRPr="00D6064C" w:rsidRDefault="00EF4452" w:rsidP="00D6064C">
          <w:pPr>
            <w:ind w:right="-400"/>
            <w:rPr>
              <w:rFonts w:ascii="Palatino Linotype" w:eastAsia="Palatino Linotype" w:hAnsi="Palatino Linotype" w:cs="Palatino Linotype"/>
              <w:color w:val="000000" w:themeColor="text1"/>
            </w:rPr>
          </w:pPr>
          <w:bookmarkStart w:id="15" w:name="_heading=h.jtf7hgjvr65e" w:colFirst="0" w:colLast="0"/>
          <w:bookmarkEnd w:id="15"/>
          <w:r w:rsidRPr="00D6064C">
            <w:rPr>
              <w:rFonts w:ascii="Palatino Linotype" w:eastAsia="Palatino Linotype" w:hAnsi="Palatino Linotype" w:cs="Palatino Linotype"/>
              <w:color w:val="000000" w:themeColor="text1"/>
            </w:rPr>
            <w:t xml:space="preserve">09933/INFOEM/IP/RR/2025 </w:t>
          </w:r>
        </w:p>
      </w:tc>
    </w:tr>
    <w:tr w:rsidR="008E1C7F" w:rsidTr="00AB63B5">
      <w:trPr>
        <w:trHeight w:val="228"/>
      </w:trPr>
      <w:tc>
        <w:tcPr>
          <w:tcW w:w="2835" w:type="dxa"/>
          <w:vAlign w:val="center"/>
        </w:tcPr>
        <w:p w:rsidR="008E1C7F" w:rsidRPr="00D6064C" w:rsidRDefault="00EF4452" w:rsidP="00D6064C">
          <w:pPr>
            <w:jc w:val="right"/>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Sujeto Obligado:</w:t>
          </w:r>
        </w:p>
      </w:tc>
      <w:tc>
        <w:tcPr>
          <w:tcW w:w="4393" w:type="dxa"/>
          <w:vAlign w:val="center"/>
        </w:tcPr>
        <w:p w:rsidR="008E1C7F" w:rsidRPr="00D6064C" w:rsidRDefault="00EF4452" w:rsidP="00D6064C">
          <w:pPr>
            <w:ind w:right="-400"/>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Ayuntamiento de Zinacantepec</w:t>
          </w:r>
        </w:p>
      </w:tc>
    </w:tr>
    <w:tr w:rsidR="008E1C7F" w:rsidTr="00AB63B5">
      <w:tc>
        <w:tcPr>
          <w:tcW w:w="2835" w:type="dxa"/>
          <w:vAlign w:val="center"/>
        </w:tcPr>
        <w:p w:rsidR="008E1C7F" w:rsidRPr="00D6064C" w:rsidRDefault="00EF4452" w:rsidP="00D6064C">
          <w:pPr>
            <w:jc w:val="right"/>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Comisionada Ponente:</w:t>
          </w:r>
        </w:p>
      </w:tc>
      <w:tc>
        <w:tcPr>
          <w:tcW w:w="4393" w:type="dxa"/>
          <w:vAlign w:val="center"/>
        </w:tcPr>
        <w:p w:rsidR="008E1C7F" w:rsidRPr="00D6064C" w:rsidRDefault="00EF4452" w:rsidP="00D6064C">
          <w:pPr>
            <w:ind w:right="-400"/>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María del Rosario Mejía Ayala</w:t>
          </w:r>
        </w:p>
      </w:tc>
    </w:tr>
  </w:tbl>
  <w:p w:rsidR="008E1C7F" w:rsidRDefault="00AB63B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rPr>
      <w:drawing>
        <wp:anchor distT="0" distB="0" distL="0" distR="0" simplePos="0" relativeHeight="251658240" behindDoc="1" locked="0" layoutInCell="1" hidden="0" allowOverlap="1">
          <wp:simplePos x="0" y="0"/>
          <wp:positionH relativeFrom="column">
            <wp:posOffset>-890725</wp:posOffset>
          </wp:positionH>
          <wp:positionV relativeFrom="paragraph">
            <wp:posOffset>-1133906</wp:posOffset>
          </wp:positionV>
          <wp:extent cx="7813085" cy="1017000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EF4452">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f0"/>
      <w:tblW w:w="6946" w:type="dxa"/>
      <w:tblInd w:w="3402" w:type="dxa"/>
      <w:tblLayout w:type="fixed"/>
      <w:tblLook w:val="0400" w:firstRow="0" w:lastRow="0" w:firstColumn="0" w:lastColumn="0" w:noHBand="0" w:noVBand="1"/>
    </w:tblPr>
    <w:tblGrid>
      <w:gridCol w:w="2835"/>
      <w:gridCol w:w="4111"/>
    </w:tblGrid>
    <w:tr w:rsidR="008E1C7F" w:rsidTr="00AB63B5">
      <w:tc>
        <w:tcPr>
          <w:tcW w:w="2835" w:type="dxa"/>
          <w:vAlign w:val="center"/>
        </w:tcPr>
        <w:p w:rsidR="008E1C7F" w:rsidRPr="00D6064C" w:rsidRDefault="00EF4452" w:rsidP="00AB63B5">
          <w:pPr>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Recurso de Revisión:</w:t>
          </w:r>
        </w:p>
      </w:tc>
      <w:tc>
        <w:tcPr>
          <w:tcW w:w="4111" w:type="dxa"/>
          <w:vAlign w:val="center"/>
        </w:tcPr>
        <w:p w:rsidR="008E1C7F" w:rsidRPr="00D6064C" w:rsidRDefault="00D6064C" w:rsidP="00D6064C">
          <w:pPr>
            <w:ind w:right="-540"/>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0</w:t>
          </w:r>
          <w:r w:rsidR="00EF4452" w:rsidRPr="00D6064C">
            <w:rPr>
              <w:rFonts w:ascii="Palatino Linotype" w:eastAsia="Palatino Linotype" w:hAnsi="Palatino Linotype" w:cs="Palatino Linotype"/>
              <w:color w:val="000000" w:themeColor="text1"/>
            </w:rPr>
            <w:t xml:space="preserve">9933/INFOEM/IP/RR/2025 </w:t>
          </w:r>
        </w:p>
      </w:tc>
    </w:tr>
    <w:tr w:rsidR="008E1C7F" w:rsidTr="00AB63B5">
      <w:tc>
        <w:tcPr>
          <w:tcW w:w="2835" w:type="dxa"/>
          <w:vAlign w:val="center"/>
        </w:tcPr>
        <w:p w:rsidR="008E1C7F" w:rsidRPr="00D6064C" w:rsidRDefault="00EF4452" w:rsidP="00D6064C">
          <w:pPr>
            <w:ind w:left="35" w:hanging="35"/>
            <w:jc w:val="right"/>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Recurrente:</w:t>
          </w:r>
        </w:p>
      </w:tc>
      <w:tc>
        <w:tcPr>
          <w:tcW w:w="4111" w:type="dxa"/>
          <w:vAlign w:val="center"/>
        </w:tcPr>
        <w:p w:rsidR="008E1C7F" w:rsidRPr="00D6064C" w:rsidRDefault="008E1C7F" w:rsidP="00D6064C">
          <w:pPr>
            <w:ind w:right="-540"/>
            <w:rPr>
              <w:rFonts w:ascii="Palatino Linotype" w:eastAsia="Palatino Linotype" w:hAnsi="Palatino Linotype" w:cs="Palatino Linotype"/>
              <w:color w:val="000000" w:themeColor="text1"/>
            </w:rPr>
          </w:pPr>
        </w:p>
      </w:tc>
    </w:tr>
    <w:tr w:rsidR="008E1C7F" w:rsidTr="00AB63B5">
      <w:trPr>
        <w:trHeight w:val="228"/>
      </w:trPr>
      <w:tc>
        <w:tcPr>
          <w:tcW w:w="2835" w:type="dxa"/>
          <w:vAlign w:val="center"/>
        </w:tcPr>
        <w:p w:rsidR="008E1C7F" w:rsidRPr="00D6064C" w:rsidRDefault="00EF4452" w:rsidP="00D6064C">
          <w:pPr>
            <w:jc w:val="right"/>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Sujeto Obligado:</w:t>
          </w:r>
        </w:p>
      </w:tc>
      <w:tc>
        <w:tcPr>
          <w:tcW w:w="4111" w:type="dxa"/>
          <w:vAlign w:val="center"/>
        </w:tcPr>
        <w:p w:rsidR="008E1C7F" w:rsidRPr="00D6064C" w:rsidRDefault="00EF4452" w:rsidP="00D6064C">
          <w:pPr>
            <w:ind w:right="-540" w:hanging="35"/>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Ayuntamiento de Zinacantepec</w:t>
          </w:r>
        </w:p>
      </w:tc>
    </w:tr>
    <w:tr w:rsidR="008E1C7F" w:rsidTr="00AB63B5">
      <w:tc>
        <w:tcPr>
          <w:tcW w:w="2835" w:type="dxa"/>
          <w:vAlign w:val="center"/>
        </w:tcPr>
        <w:p w:rsidR="008E1C7F" w:rsidRPr="00D6064C" w:rsidRDefault="00EF4452" w:rsidP="00D6064C">
          <w:pPr>
            <w:jc w:val="right"/>
            <w:rPr>
              <w:rFonts w:ascii="Palatino Linotype" w:eastAsia="Palatino Linotype" w:hAnsi="Palatino Linotype" w:cs="Palatino Linotype"/>
              <w:b/>
              <w:bCs/>
              <w:color w:val="000000" w:themeColor="text1"/>
            </w:rPr>
          </w:pPr>
          <w:r w:rsidRPr="00D6064C">
            <w:rPr>
              <w:rFonts w:ascii="Palatino Linotype" w:eastAsia="Palatino Linotype" w:hAnsi="Palatino Linotype" w:cs="Palatino Linotype"/>
              <w:b/>
              <w:bCs/>
              <w:color w:val="000000" w:themeColor="text1"/>
            </w:rPr>
            <w:t>Comisionada Ponente:</w:t>
          </w:r>
        </w:p>
      </w:tc>
      <w:tc>
        <w:tcPr>
          <w:tcW w:w="4111" w:type="dxa"/>
          <w:vAlign w:val="center"/>
        </w:tcPr>
        <w:p w:rsidR="008E1C7F" w:rsidRPr="00D6064C" w:rsidRDefault="00EF4452" w:rsidP="00D6064C">
          <w:pPr>
            <w:ind w:right="-540"/>
            <w:rPr>
              <w:rFonts w:ascii="Palatino Linotype" w:eastAsia="Palatino Linotype" w:hAnsi="Palatino Linotype" w:cs="Palatino Linotype"/>
              <w:color w:val="000000" w:themeColor="text1"/>
            </w:rPr>
          </w:pPr>
          <w:r w:rsidRPr="00D6064C">
            <w:rPr>
              <w:rFonts w:ascii="Palatino Linotype" w:eastAsia="Palatino Linotype" w:hAnsi="Palatino Linotype" w:cs="Palatino Linotype"/>
              <w:color w:val="000000" w:themeColor="text1"/>
            </w:rPr>
            <w:t>María del Rosario Mejía Ayala</w:t>
          </w:r>
        </w:p>
      </w:tc>
    </w:tr>
  </w:tbl>
  <w:p w:rsidR="008E1C7F" w:rsidRDefault="00AB63B5">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9264" behindDoc="1" locked="0" layoutInCell="1" hidden="0" allowOverlap="1">
          <wp:simplePos x="0" y="0"/>
          <wp:positionH relativeFrom="page">
            <wp:posOffset>140515</wp:posOffset>
          </wp:positionH>
          <wp:positionV relativeFrom="paragraph">
            <wp:posOffset>-1336040</wp:posOffset>
          </wp:positionV>
          <wp:extent cx="7813085" cy="10170000"/>
          <wp:effectExtent l="0" t="0" r="0" b="3175"/>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860FB"/>
    <w:multiLevelType w:val="multilevel"/>
    <w:tmpl w:val="A198E608"/>
    <w:lvl w:ilvl="0">
      <w:start w:val="3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B85688"/>
    <w:multiLevelType w:val="hybridMultilevel"/>
    <w:tmpl w:val="890655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207354"/>
    <w:multiLevelType w:val="multilevel"/>
    <w:tmpl w:val="5134A5D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F942F4"/>
    <w:multiLevelType w:val="multilevel"/>
    <w:tmpl w:val="B4C8EB2C"/>
    <w:lvl w:ilvl="0">
      <w:start w:val="2"/>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EA0FD1"/>
    <w:multiLevelType w:val="multilevel"/>
    <w:tmpl w:val="F4F4CB24"/>
    <w:lvl w:ilvl="0">
      <w:start w:val="11"/>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CA7E58"/>
    <w:multiLevelType w:val="multilevel"/>
    <w:tmpl w:val="9FA2A46E"/>
    <w:lvl w:ilvl="0">
      <w:start w:val="1"/>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B044F6"/>
    <w:multiLevelType w:val="multilevel"/>
    <w:tmpl w:val="84D69404"/>
    <w:lvl w:ilvl="0">
      <w:start w:val="44"/>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B27E02"/>
    <w:multiLevelType w:val="multilevel"/>
    <w:tmpl w:val="B0380666"/>
    <w:lvl w:ilvl="0">
      <w:start w:val="1"/>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447789"/>
    <w:multiLevelType w:val="multilevel"/>
    <w:tmpl w:val="0A48C404"/>
    <w:lvl w:ilvl="0">
      <w:start w:val="12"/>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2CD4D89"/>
    <w:multiLevelType w:val="multilevel"/>
    <w:tmpl w:val="841EF0A6"/>
    <w:lvl w:ilvl="0">
      <w:start w:val="9"/>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20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3922846"/>
    <w:multiLevelType w:val="multilevel"/>
    <w:tmpl w:val="9BD6E23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15:restartNumberingAfterBreak="0">
    <w:nsid w:val="64943C6B"/>
    <w:multiLevelType w:val="multilevel"/>
    <w:tmpl w:val="1A50DE58"/>
    <w:lvl w:ilvl="0">
      <w:start w:val="4"/>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EA2FD6"/>
    <w:multiLevelType w:val="multilevel"/>
    <w:tmpl w:val="DABA975E"/>
    <w:lvl w:ilvl="0">
      <w:start w:val="1"/>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C821637"/>
    <w:multiLevelType w:val="multilevel"/>
    <w:tmpl w:val="C7E8CD40"/>
    <w:lvl w:ilvl="0">
      <w:start w:val="1"/>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DB204D5"/>
    <w:multiLevelType w:val="multilevel"/>
    <w:tmpl w:val="F92EF672"/>
    <w:lvl w:ilvl="0">
      <w:start w:val="48"/>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9871542"/>
    <w:multiLevelType w:val="multilevel"/>
    <w:tmpl w:val="7F18442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6" w15:restartNumberingAfterBreak="0">
    <w:nsid w:val="7C28508F"/>
    <w:multiLevelType w:val="multilevel"/>
    <w:tmpl w:val="73B8BEA8"/>
    <w:lvl w:ilvl="0">
      <w:start w:val="19"/>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6"/>
  </w:num>
  <w:num w:numId="3">
    <w:abstractNumId w:val="14"/>
  </w:num>
  <w:num w:numId="4">
    <w:abstractNumId w:val="0"/>
  </w:num>
  <w:num w:numId="5">
    <w:abstractNumId w:val="2"/>
  </w:num>
  <w:num w:numId="6">
    <w:abstractNumId w:val="9"/>
  </w:num>
  <w:num w:numId="7">
    <w:abstractNumId w:val="7"/>
  </w:num>
  <w:num w:numId="8">
    <w:abstractNumId w:val="10"/>
  </w:num>
  <w:num w:numId="9">
    <w:abstractNumId w:val="13"/>
  </w:num>
  <w:num w:numId="10">
    <w:abstractNumId w:val="12"/>
  </w:num>
  <w:num w:numId="11">
    <w:abstractNumId w:val="3"/>
  </w:num>
  <w:num w:numId="12">
    <w:abstractNumId w:val="5"/>
  </w:num>
  <w:num w:numId="13">
    <w:abstractNumId w:val="6"/>
  </w:num>
  <w:num w:numId="14">
    <w:abstractNumId w:val="11"/>
  </w:num>
  <w:num w:numId="15">
    <w:abstractNumId w:val="4"/>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C7F"/>
    <w:rsid w:val="00606E1C"/>
    <w:rsid w:val="006F5464"/>
    <w:rsid w:val="008E1C7F"/>
    <w:rsid w:val="0090181A"/>
    <w:rsid w:val="00AB63B5"/>
    <w:rsid w:val="00D6064C"/>
    <w:rsid w:val="00EF4452"/>
    <w:rsid w:val="00F162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045B22-4675-444C-941C-D4B759D3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D343A9"/>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3A9"/>
    <w:pPr>
      <w:ind w:left="720"/>
      <w:contextualSpacing/>
    </w:pPr>
  </w:style>
  <w:style w:type="table" w:styleId="Tablaconcuadrcula">
    <w:name w:val="Table Grid"/>
    <w:basedOn w:val="Tablanormal"/>
    <w:uiPriority w:val="39"/>
    <w:rsid w:val="00D34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343A9"/>
    <w:pPr>
      <w:tabs>
        <w:tab w:val="center" w:pos="4419"/>
        <w:tab w:val="right" w:pos="8838"/>
      </w:tabs>
    </w:pPr>
  </w:style>
  <w:style w:type="character" w:customStyle="1" w:styleId="EncabezadoCar">
    <w:name w:val="Encabezado Car"/>
    <w:basedOn w:val="Fuentedeprrafopredeter"/>
    <w:link w:val="Encabezado"/>
    <w:uiPriority w:val="99"/>
    <w:rsid w:val="00D343A9"/>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D343A9"/>
    <w:pPr>
      <w:tabs>
        <w:tab w:val="center" w:pos="4419"/>
        <w:tab w:val="right" w:pos="8838"/>
      </w:tabs>
    </w:pPr>
  </w:style>
  <w:style w:type="character" w:customStyle="1" w:styleId="PiedepginaCar">
    <w:name w:val="Pie de página Car"/>
    <w:basedOn w:val="Fuentedeprrafopredeter"/>
    <w:link w:val="Piedepgina"/>
    <w:uiPriority w:val="99"/>
    <w:rsid w:val="00D343A9"/>
    <w:rPr>
      <w:rFonts w:ascii="Times New Roman" w:eastAsia="Times New Roman" w:hAnsi="Times New Roman" w:cs="Times New Roman"/>
      <w:sz w:val="24"/>
      <w:szCs w:val="24"/>
      <w:lang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F72C9"/>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8C6E6C"/>
    <w:rPr>
      <w:color w:val="605E5C"/>
      <w:shd w:val="clear" w:color="auto" w:fill="E1DFDD"/>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A304D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04D3"/>
    <w:rPr>
      <w:rFonts w:ascii="Segoe UI" w:hAnsi="Segoe UI" w:cs="Segoe UI"/>
      <w:sz w:val="18"/>
      <w:szCs w:val="18"/>
    </w:rPr>
  </w:style>
  <w:style w:type="paragraph" w:customStyle="1" w:styleId="Default">
    <w:name w:val="Default"/>
    <w:rsid w:val="00745C18"/>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3779FB"/>
    <w:pPr>
      <w:spacing w:before="100" w:beforeAutospacing="1" w:after="100" w:afterAutospacing="1"/>
    </w:pPr>
  </w:style>
  <w:style w:type="table" w:styleId="Tablanormal3">
    <w:name w:val="Plain Table 3"/>
    <w:basedOn w:val="Tablanormal"/>
    <w:uiPriority w:val="43"/>
    <w:rsid w:val="007A53C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uestoCar">
    <w:name w:val="Puesto Car"/>
    <w:aliases w:val="Cita textual Car"/>
    <w:basedOn w:val="Fuentedeprrafopredeter"/>
    <w:uiPriority w:val="10"/>
    <w:rsid w:val="00827168"/>
    <w:rPr>
      <w:b/>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tblStylePr w:type="firstRow">
      <w:rPr>
        <w:b/>
        <w:bCs/>
        <w:smallCaps/>
      </w:rPr>
      <w:tblPr/>
      <w:tcPr>
        <w:tcBorders>
          <w:bottom w:val="single" w:sz="4" w:space="0" w:color="7F7F7F"/>
        </w:tcBorders>
      </w:tcPr>
    </w:tblStylePr>
    <w:tblStylePr w:type="lastRow">
      <w:rPr>
        <w:b/>
        <w:bCs/>
        <w:smallCaps/>
      </w:rPr>
      <w:tblPr/>
      <w:tcPr>
        <w:tcBorders>
          <w:top w:val="nil"/>
        </w:tcBorders>
      </w:tcPr>
    </w:tblStylePr>
    <w:tblStylePr w:type="firstCol">
      <w:rPr>
        <w:b/>
        <w:bCs/>
        <w:smallCaps/>
      </w:rPr>
      <w:tblPr/>
      <w:tcPr>
        <w:tcBorders>
          <w:right w:val="single" w:sz="4" w:space="0" w:color="7F7F7F"/>
        </w:tcBorders>
      </w:tcPr>
    </w:tblStylePr>
    <w:tblStylePr w:type="lastCol">
      <w:rPr>
        <w:b/>
        <w:bCs/>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GRshgbu/9cCm48nsvqeo5S2phQ==">CgMxLjAyCGguZ2pkZ3hzMgloLjMwajB6bGwyCWguM3pueXNoNzIJaC4yZXQ5MnAwMghoLnR5amN3dDIJaC4zZHk2dmttMgloLjF0M2g1c2YyCWguNGQzNG9nODIJaC4yczhleW8xMgloLjE3ZHA4dnUyCWguM3JkY3JqbjIOaC41azJzc2VqeGc1eGsyCWguMzVua3VuMjIOaC51bXd6djZicTNnZ3MyDmguanRmN2hnanZyNjVlOAByITEtdVN5WWVweEhRdXVlcE1XWmFLMTNsOTd5Q2RscFFy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6176</Words>
  <Characters>33971</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5</cp:revision>
  <cp:lastPrinted>2026-01-16T16:28:00Z</cp:lastPrinted>
  <dcterms:created xsi:type="dcterms:W3CDTF">2025-12-11T18:58:00Z</dcterms:created>
  <dcterms:modified xsi:type="dcterms:W3CDTF">2026-01-27T17:40:00Z</dcterms:modified>
</cp:coreProperties>
</file>