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FCD1A" w14:textId="3EC663BE" w:rsidR="00532AE4" w:rsidRPr="001D5563" w:rsidRDefault="00A76F12">
      <w:pPr>
        <w:spacing w:line="360" w:lineRule="auto"/>
        <w:jc w:val="both"/>
        <w:rPr>
          <w:rFonts w:ascii="Palatino Linotype" w:eastAsia="Palatino Linotype" w:hAnsi="Palatino Linotype" w:cs="Palatino Linotype"/>
          <w:sz w:val="22"/>
          <w:szCs w:val="22"/>
        </w:rPr>
      </w:pPr>
      <w:bookmarkStart w:id="0" w:name="_heading=h.gjdgxs" w:colFirst="0" w:colLast="0"/>
      <w:bookmarkEnd w:id="0"/>
      <w:r w:rsidRPr="001D5563">
        <w:rPr>
          <w:rFonts w:ascii="Palatino Linotype" w:eastAsia="Palatino Linotype" w:hAnsi="Palatino Linotype" w:cs="Palatino Linotype"/>
          <w:sz w:val="22"/>
          <w:szCs w:val="22"/>
        </w:rPr>
        <w:t xml:space="preserve">Resolución del Pleno del Instituto de Transparencia, Acceso a la Información Pública y Protección de Datos Personales del Estado de México y Municipios, con domicilio en Metepec, Estado de México, de fecha </w:t>
      </w:r>
      <w:r w:rsidR="008E5D58" w:rsidRPr="001D5563">
        <w:rPr>
          <w:rFonts w:ascii="Palatino Linotype" w:eastAsia="Palatino Linotype" w:hAnsi="Palatino Linotype" w:cs="Palatino Linotype"/>
          <w:sz w:val="22"/>
          <w:szCs w:val="22"/>
        </w:rPr>
        <w:t>diecisiete</w:t>
      </w:r>
      <w:r w:rsidR="00032509" w:rsidRPr="001D5563">
        <w:rPr>
          <w:rFonts w:ascii="Palatino Linotype" w:eastAsia="Palatino Linotype" w:hAnsi="Palatino Linotype" w:cs="Palatino Linotype"/>
          <w:sz w:val="22"/>
          <w:szCs w:val="22"/>
        </w:rPr>
        <w:t xml:space="preserve"> de septiembre</w:t>
      </w:r>
      <w:r w:rsidR="00E55CFA" w:rsidRPr="001D5563">
        <w:rPr>
          <w:rFonts w:ascii="Palatino Linotype" w:eastAsia="Palatino Linotype" w:hAnsi="Palatino Linotype" w:cs="Palatino Linotype"/>
          <w:sz w:val="22"/>
          <w:szCs w:val="22"/>
        </w:rPr>
        <w:t xml:space="preserve"> de dos mil veintiséis</w:t>
      </w:r>
      <w:r w:rsidRPr="001D5563">
        <w:rPr>
          <w:rFonts w:ascii="Palatino Linotype" w:eastAsia="Palatino Linotype" w:hAnsi="Palatino Linotype" w:cs="Palatino Linotype"/>
          <w:sz w:val="22"/>
          <w:szCs w:val="22"/>
        </w:rPr>
        <w:t xml:space="preserve">. </w:t>
      </w:r>
    </w:p>
    <w:p w14:paraId="13FC4B2B" w14:textId="77777777" w:rsidR="00532AE4" w:rsidRPr="001D5563" w:rsidRDefault="00532AE4">
      <w:pPr>
        <w:spacing w:line="360" w:lineRule="auto"/>
        <w:jc w:val="both"/>
        <w:rPr>
          <w:rFonts w:ascii="Palatino Linotype" w:eastAsia="Palatino Linotype" w:hAnsi="Palatino Linotype" w:cs="Palatino Linotype"/>
          <w:b/>
          <w:sz w:val="22"/>
          <w:szCs w:val="22"/>
        </w:rPr>
      </w:pPr>
    </w:p>
    <w:p w14:paraId="50DC799A" w14:textId="739CF679"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Visto </w:t>
      </w:r>
      <w:r w:rsidRPr="001D5563">
        <w:rPr>
          <w:rFonts w:ascii="Palatino Linotype" w:eastAsia="Palatino Linotype" w:hAnsi="Palatino Linotype" w:cs="Palatino Linotype"/>
          <w:sz w:val="22"/>
          <w:szCs w:val="22"/>
        </w:rPr>
        <w:t xml:space="preserve">el expediente relativo al recurso de revisión </w:t>
      </w:r>
      <w:r w:rsidR="008C1E2D" w:rsidRPr="001D5563">
        <w:rPr>
          <w:rFonts w:ascii="Palatino Linotype" w:eastAsia="Palatino Linotype" w:hAnsi="Palatino Linotype" w:cs="Palatino Linotype"/>
          <w:b/>
          <w:sz w:val="22"/>
          <w:szCs w:val="22"/>
        </w:rPr>
        <w:t>0</w:t>
      </w:r>
      <w:r w:rsidR="00D579BF" w:rsidRPr="001D5563">
        <w:rPr>
          <w:rFonts w:ascii="Palatino Linotype" w:eastAsia="Palatino Linotype" w:hAnsi="Palatino Linotype" w:cs="Palatino Linotype"/>
          <w:b/>
          <w:sz w:val="22"/>
          <w:szCs w:val="22"/>
        </w:rPr>
        <w:t>8259</w:t>
      </w:r>
      <w:r w:rsidR="000C05BE" w:rsidRPr="001D5563">
        <w:rPr>
          <w:rFonts w:ascii="Palatino Linotype" w:eastAsia="Palatino Linotype" w:hAnsi="Palatino Linotype" w:cs="Palatino Linotype"/>
          <w:b/>
          <w:sz w:val="22"/>
          <w:szCs w:val="22"/>
        </w:rPr>
        <w:t>/INFOEM/IP/RR/2026</w:t>
      </w:r>
      <w:r w:rsidRPr="001D5563">
        <w:rPr>
          <w:rFonts w:ascii="Palatino Linotype" w:eastAsia="Palatino Linotype" w:hAnsi="Palatino Linotype" w:cs="Palatino Linotype"/>
          <w:sz w:val="22"/>
          <w:szCs w:val="22"/>
        </w:rPr>
        <w:t xml:space="preserve">, interpuesto </w:t>
      </w:r>
      <w:proofErr w:type="gramStart"/>
      <w:r w:rsidR="0061438F" w:rsidRPr="001D5563">
        <w:rPr>
          <w:rFonts w:ascii="Palatino Linotype" w:eastAsia="Palatino Linotype" w:hAnsi="Palatino Linotype" w:cs="Palatino Linotype"/>
          <w:sz w:val="22"/>
          <w:szCs w:val="22"/>
        </w:rPr>
        <w:t xml:space="preserve">por </w:t>
      </w:r>
      <w:r w:rsidR="00E52F3B">
        <w:rPr>
          <w:rFonts w:ascii="Palatino Linotype" w:eastAsia="Palatino Linotype" w:hAnsi="Palatino Linotype" w:cs="Palatino Linotype"/>
          <w:b/>
          <w:sz w:val="22"/>
          <w:szCs w:val="22"/>
        </w:rPr>
        <w:t xml:space="preserve"> </w:t>
      </w:r>
      <w:r w:rsidR="00E52F3B">
        <w:rPr>
          <w:rFonts w:ascii="Palatino Linotype" w:eastAsia="Palatino Linotype" w:hAnsi="Palatino Linotype" w:cs="Palatino Linotype"/>
          <w:b/>
          <w:sz w:val="21"/>
          <w:szCs w:val="21"/>
        </w:rPr>
        <w:t>XXXXXX</w:t>
      </w:r>
      <w:proofErr w:type="gramEnd"/>
      <w:r w:rsidR="00E52F3B">
        <w:rPr>
          <w:rFonts w:ascii="Palatino Linotype" w:eastAsia="Palatino Linotype" w:hAnsi="Palatino Linotype" w:cs="Palatino Linotype"/>
          <w:b/>
          <w:sz w:val="21"/>
          <w:szCs w:val="21"/>
        </w:rPr>
        <w:t xml:space="preserve"> XXXXX XXXXXXX</w:t>
      </w:r>
      <w:r w:rsidR="00E52F3B">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 xml:space="preserve">en lo sucesivo la parte </w:t>
      </w:r>
      <w:r w:rsidRPr="001D5563">
        <w:rPr>
          <w:rFonts w:ascii="Palatino Linotype" w:eastAsia="Palatino Linotype" w:hAnsi="Palatino Linotype" w:cs="Palatino Linotype"/>
          <w:b/>
          <w:sz w:val="22"/>
          <w:szCs w:val="22"/>
        </w:rPr>
        <w:t xml:space="preserve">RECURRENTE, </w:t>
      </w:r>
      <w:r w:rsidRPr="001D5563">
        <w:rPr>
          <w:rFonts w:ascii="Palatino Linotype" w:eastAsia="Palatino Linotype" w:hAnsi="Palatino Linotype" w:cs="Palatino Linotype"/>
          <w:sz w:val="22"/>
          <w:szCs w:val="22"/>
        </w:rPr>
        <w:t>en contra de la falta de respuesta a la solicitud de acceso a la información con número de folio</w:t>
      </w:r>
      <w:r w:rsidRPr="001D5563">
        <w:rPr>
          <w:rFonts w:ascii="Verdana" w:eastAsia="Verdana" w:hAnsi="Verdana" w:cs="Verdana"/>
          <w:b/>
          <w:sz w:val="22"/>
          <w:szCs w:val="22"/>
        </w:rPr>
        <w:t> </w:t>
      </w:r>
      <w:r w:rsidR="00D579BF" w:rsidRPr="001D5563">
        <w:rPr>
          <w:rFonts w:ascii="Palatino Linotype" w:eastAsia="Palatino Linotype" w:hAnsi="Palatino Linotype" w:cs="Palatino Linotype"/>
          <w:b/>
          <w:sz w:val="22"/>
          <w:szCs w:val="22"/>
        </w:rPr>
        <w:t>00144/COCOTIT/IP/2026</w:t>
      </w:r>
      <w:r w:rsidR="00EF743D" w:rsidRPr="001D5563">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 xml:space="preserve">por parte del </w:t>
      </w:r>
      <w:r w:rsidR="008E5D58" w:rsidRPr="001D5563">
        <w:rPr>
          <w:rFonts w:ascii="Palatino Linotype" w:eastAsia="Palatino Linotype" w:hAnsi="Palatino Linotype" w:cs="Palatino Linotype"/>
          <w:b/>
          <w:sz w:val="22"/>
          <w:szCs w:val="22"/>
        </w:rPr>
        <w:t xml:space="preserve">Ayuntamiento de </w:t>
      </w:r>
      <w:r w:rsidR="00D579BF" w:rsidRPr="001D5563">
        <w:rPr>
          <w:rFonts w:ascii="Palatino Linotype" w:eastAsia="Palatino Linotype" w:hAnsi="Palatino Linotype" w:cs="Palatino Linotype"/>
          <w:b/>
          <w:sz w:val="22"/>
          <w:szCs w:val="22"/>
        </w:rPr>
        <w:t>Cocotitlán</w:t>
      </w:r>
      <w:r w:rsidR="00390FDA" w:rsidRPr="001D5563">
        <w:rPr>
          <w:rFonts w:ascii="Palatino Linotype" w:eastAsia="Palatino Linotype" w:hAnsi="Palatino Linotype" w:cs="Palatino Linotype"/>
          <w:b/>
          <w:sz w:val="22"/>
          <w:szCs w:val="22"/>
        </w:rPr>
        <w:t>,</w:t>
      </w:r>
      <w:r w:rsidRPr="001D5563">
        <w:rPr>
          <w:rFonts w:ascii="Palatino Linotype" w:eastAsia="Palatino Linotype" w:hAnsi="Palatino Linotype" w:cs="Palatino Linotype"/>
          <w:sz w:val="22"/>
          <w:szCs w:val="22"/>
        </w:rPr>
        <w:t xml:space="preserve"> en lo sucesivo el </w:t>
      </w:r>
      <w:r w:rsidRPr="001D5563">
        <w:rPr>
          <w:rFonts w:ascii="Palatino Linotype" w:eastAsia="Palatino Linotype" w:hAnsi="Palatino Linotype" w:cs="Palatino Linotype"/>
          <w:b/>
          <w:sz w:val="22"/>
          <w:szCs w:val="22"/>
        </w:rPr>
        <w:t xml:space="preserve">SUJETO OBLIGADO; </w:t>
      </w:r>
      <w:r w:rsidRPr="001D5563">
        <w:rPr>
          <w:rFonts w:ascii="Palatino Linotype" w:eastAsia="Palatino Linotype" w:hAnsi="Palatino Linotype" w:cs="Palatino Linotype"/>
          <w:sz w:val="22"/>
          <w:szCs w:val="22"/>
        </w:rPr>
        <w:t xml:space="preserve">se procede a dictar la presente resolución, con base en lo siguiente. </w:t>
      </w:r>
    </w:p>
    <w:p w14:paraId="3531DFA3"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55D501F" w14:textId="77777777" w:rsidR="00532AE4" w:rsidRPr="001D5563" w:rsidRDefault="00A76F12">
      <w:pPr>
        <w:numPr>
          <w:ilvl w:val="0"/>
          <w:numId w:val="5"/>
        </w:numPr>
        <w:pBdr>
          <w:top w:val="nil"/>
          <w:left w:val="nil"/>
          <w:bottom w:val="nil"/>
          <w:right w:val="nil"/>
          <w:between w:val="nil"/>
        </w:pBdr>
        <w:spacing w:line="360" w:lineRule="auto"/>
        <w:ind w:left="1077"/>
        <w:jc w:val="center"/>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A N T E C E D E N T E S:</w:t>
      </w:r>
    </w:p>
    <w:p w14:paraId="77D7A248" w14:textId="77777777" w:rsidR="00532AE4" w:rsidRPr="001D5563" w:rsidRDefault="00532AE4">
      <w:pPr>
        <w:pBdr>
          <w:top w:val="nil"/>
          <w:left w:val="nil"/>
          <w:bottom w:val="nil"/>
          <w:right w:val="nil"/>
          <w:between w:val="nil"/>
        </w:pBdr>
        <w:spacing w:line="360" w:lineRule="auto"/>
        <w:ind w:left="1077"/>
        <w:rPr>
          <w:rFonts w:ascii="Palatino Linotype" w:eastAsia="Palatino Linotype" w:hAnsi="Palatino Linotype" w:cs="Palatino Linotype"/>
          <w:b/>
          <w:sz w:val="22"/>
          <w:szCs w:val="22"/>
        </w:rPr>
      </w:pPr>
    </w:p>
    <w:p w14:paraId="26798903" w14:textId="3738249E"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1. Solicitud de acceso a la información. </w:t>
      </w:r>
      <w:r w:rsidR="00EE5E30" w:rsidRPr="001D5563">
        <w:rPr>
          <w:rFonts w:ascii="Palatino Linotype" w:eastAsia="Palatino Linotype" w:hAnsi="Palatino Linotype" w:cs="Palatino Linotype"/>
          <w:sz w:val="22"/>
          <w:szCs w:val="22"/>
        </w:rPr>
        <w:t xml:space="preserve">Con fecha </w:t>
      </w:r>
      <w:r w:rsidR="00D579BF" w:rsidRPr="001D5563">
        <w:rPr>
          <w:rFonts w:ascii="Palatino Linotype" w:eastAsia="Palatino Linotype" w:hAnsi="Palatino Linotype" w:cs="Palatino Linotype"/>
          <w:b/>
          <w:sz w:val="22"/>
          <w:szCs w:val="22"/>
        </w:rPr>
        <w:t>seis de agosto</w:t>
      </w:r>
      <w:r w:rsidR="0084271D" w:rsidRPr="001D5563">
        <w:rPr>
          <w:rFonts w:ascii="Palatino Linotype" w:eastAsia="Palatino Linotype" w:hAnsi="Palatino Linotype" w:cs="Palatino Linotype"/>
          <w:b/>
          <w:sz w:val="22"/>
          <w:szCs w:val="22"/>
        </w:rPr>
        <w:t xml:space="preserve"> de dos mil veintiséis</w:t>
      </w:r>
      <w:r w:rsidRPr="001D5563">
        <w:rPr>
          <w:rFonts w:ascii="Palatino Linotype" w:eastAsia="Palatino Linotype" w:hAnsi="Palatino Linotype" w:cs="Palatino Linotype"/>
          <w:sz w:val="22"/>
          <w:szCs w:val="22"/>
        </w:rPr>
        <w:t xml:space="preserve">, la parte </w:t>
      </w:r>
      <w:r w:rsidRPr="001D5563">
        <w:rPr>
          <w:rFonts w:ascii="Palatino Linotype" w:eastAsia="Palatino Linotype" w:hAnsi="Palatino Linotype" w:cs="Palatino Linotype"/>
          <w:b/>
          <w:sz w:val="22"/>
          <w:szCs w:val="22"/>
        </w:rPr>
        <w:t xml:space="preserve">RECURRENTE </w:t>
      </w:r>
      <w:r w:rsidRPr="001D5563">
        <w:rPr>
          <w:rFonts w:ascii="Palatino Linotype" w:eastAsia="Palatino Linotype" w:hAnsi="Palatino Linotype" w:cs="Palatino Linotype"/>
          <w:sz w:val="22"/>
          <w:szCs w:val="22"/>
        </w:rPr>
        <w:t xml:space="preserve">formuló a través del Sistema de Acceso a la Información Mexiquense, en adelante </w:t>
      </w:r>
      <w:r w:rsidRPr="001D5563">
        <w:rPr>
          <w:rFonts w:ascii="Palatino Linotype" w:eastAsia="Palatino Linotype" w:hAnsi="Palatino Linotype" w:cs="Palatino Linotype"/>
          <w:b/>
          <w:sz w:val="22"/>
          <w:szCs w:val="22"/>
        </w:rPr>
        <w:t>SAIMEX,</w:t>
      </w:r>
      <w:r w:rsidRPr="001D5563">
        <w:rPr>
          <w:rFonts w:ascii="Palatino Linotype" w:eastAsia="Palatino Linotype" w:hAnsi="Palatino Linotype" w:cs="Palatino Linotype"/>
          <w:sz w:val="22"/>
          <w:szCs w:val="22"/>
        </w:rPr>
        <w:t xml:space="preserve"> solicitud de información al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requiriéndole lo siguiente:</w:t>
      </w:r>
    </w:p>
    <w:p w14:paraId="59CC0872" w14:textId="68200746" w:rsidR="009B6117" w:rsidRPr="001D5563" w:rsidRDefault="009B6117" w:rsidP="00724155">
      <w:pPr>
        <w:ind w:right="616"/>
        <w:jc w:val="both"/>
        <w:rPr>
          <w:rFonts w:ascii="Palatino Linotype" w:eastAsia="Palatino Linotype" w:hAnsi="Palatino Linotype" w:cs="Palatino Linotype"/>
          <w:i/>
          <w:sz w:val="22"/>
          <w:szCs w:val="22"/>
        </w:rPr>
      </w:pPr>
    </w:p>
    <w:p w14:paraId="0F87CB2C" w14:textId="54552AF3" w:rsidR="00532AE4" w:rsidRPr="001D5563" w:rsidRDefault="0004402A" w:rsidP="00CF4355">
      <w:pPr>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r w:rsidR="00C65BE4" w:rsidRPr="001D5563">
        <w:rPr>
          <w:rFonts w:ascii="Palatino Linotype" w:eastAsia="Palatino Linotype" w:hAnsi="Palatino Linotype" w:cs="Palatino Linotype"/>
          <w:i/>
          <w:sz w:val="22"/>
          <w:szCs w:val="22"/>
        </w:rPr>
        <w:t xml:space="preserve">Con fundamento en los artículos 6° de la Constitución Política de los Estados Unidos Mexicanos, 5° de la Constitución del Estado Libre y Soberano de México, y los artículos 1, 4, 12, 23, 160, 168 y 169 de la Ley de Transparencia y Acceso a la Información Pública del Estado de México y Municipios, solicito en formato digital y versión pública los siguientes registros públicos en posesión de la Dirección de Desarrollo Urbano, relacionados con el expediente de queja CODHEM/CHA/149/2026 y la investigación de Contraloría OICMC/AI/EI/027/2026: 1. Copia de la Orden de Comisión, Oficio de Asignación o Pase de Salida expedido de manera personal a favor del Titular/Director de Desarrollo Urbano que le facultó para constituirse y realizar de forma personal la diligencia presencial conjunta de verificación de uso de suelo y zonificación in situ el día 07 de abril de 2026 (junto con el Lic. Daniel Islas Rojas de Protección Civil/Consejería Jurídica y los titulares de Ecología y Desarrollo Económico) en la instalación comercial e industrial de confección de cazos y anafres ubicada en las Coordenadas UTM Zona 14N (517222.59 m E, 2126557.30 m N) / Coordenadas Geográficas Decimales (19.232094, -98.836673) del Ejido del Moral. 2. Copia del Acta Circunstanciada de Inspección de </w:t>
      </w:r>
      <w:r w:rsidR="00C65BE4" w:rsidRPr="001D5563">
        <w:rPr>
          <w:rFonts w:ascii="Palatino Linotype" w:eastAsia="Palatino Linotype" w:hAnsi="Palatino Linotype" w:cs="Palatino Linotype"/>
          <w:i/>
          <w:sz w:val="22"/>
          <w:szCs w:val="22"/>
        </w:rPr>
        <w:lastRenderedPageBreak/>
        <w:t>Campo, Cédula de Inspección de Uso de Suelo o Reporte Técnico elaborado y firmado directamente por el Titular/Director de Desarrollo Urbano con motivo de su participación presencial en la diligencia ejecutada el día 07 de abril de 2026 en el predio georreferenciado. 3. Copia del Dictamen Técnico Limítrofe, Ficha Cartográfica o Plano Temático de Usos de Suelo que el Titular/Director de Desarrollo Urbano haya suscrito o tomado como base técnica para calificar la adscripción territorial o incompetencia del predio con posterioridad a la diligencia en que intervino personalmente</w:t>
      </w:r>
      <w:r w:rsidR="00137E5A" w:rsidRPr="001D5563">
        <w:rPr>
          <w:rFonts w:ascii="Palatino Linotype" w:eastAsia="Palatino Linotype" w:hAnsi="Palatino Linotype" w:cs="Palatino Linotype"/>
          <w:i/>
          <w:sz w:val="22"/>
          <w:szCs w:val="22"/>
        </w:rPr>
        <w:t xml:space="preserve">” </w:t>
      </w:r>
      <w:r w:rsidR="00A76F12" w:rsidRPr="001D5563">
        <w:rPr>
          <w:rFonts w:ascii="Palatino Linotype" w:eastAsia="Palatino Linotype" w:hAnsi="Palatino Linotype" w:cs="Palatino Linotype"/>
          <w:i/>
          <w:sz w:val="22"/>
          <w:szCs w:val="22"/>
        </w:rPr>
        <w:t>(Sic)</w:t>
      </w:r>
      <w:r w:rsidR="00CE1553" w:rsidRPr="001D5563">
        <w:rPr>
          <w:rFonts w:ascii="Palatino Linotype" w:eastAsia="Palatino Linotype" w:hAnsi="Palatino Linotype" w:cs="Palatino Linotype"/>
          <w:b/>
          <w:sz w:val="22"/>
          <w:szCs w:val="22"/>
        </w:rPr>
        <w:tab/>
      </w:r>
    </w:p>
    <w:p w14:paraId="6697AE7A" w14:textId="77777777" w:rsidR="00147A44" w:rsidRPr="001D5563" w:rsidRDefault="00147A44">
      <w:pPr>
        <w:spacing w:line="360" w:lineRule="auto"/>
        <w:jc w:val="both"/>
        <w:rPr>
          <w:rFonts w:ascii="Palatino Linotype" w:eastAsia="Palatino Linotype" w:hAnsi="Palatino Linotype" w:cs="Palatino Linotype"/>
          <w:b/>
          <w:sz w:val="22"/>
          <w:szCs w:val="22"/>
        </w:rPr>
      </w:pPr>
    </w:p>
    <w:p w14:paraId="421C9301" w14:textId="72D3BB72" w:rsidR="00D60C04" w:rsidRPr="001D5563" w:rsidRDefault="00A76F12" w:rsidP="00FD5905">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Modalidad elegida para la entrega de la información: </w:t>
      </w:r>
      <w:r w:rsidRPr="001D5563">
        <w:rPr>
          <w:rFonts w:ascii="Palatino Linotype" w:eastAsia="Palatino Linotype" w:hAnsi="Palatino Linotype" w:cs="Palatino Linotype"/>
          <w:sz w:val="22"/>
          <w:szCs w:val="22"/>
        </w:rPr>
        <w:t>a través del SAIMEX.</w:t>
      </w:r>
    </w:p>
    <w:p w14:paraId="1227E94F" w14:textId="77777777" w:rsidR="00D60C04" w:rsidRPr="001D5563" w:rsidRDefault="00D60C04" w:rsidP="00D60C04">
      <w:pPr>
        <w:spacing w:line="360" w:lineRule="auto"/>
        <w:ind w:left="567" w:right="567"/>
        <w:jc w:val="both"/>
        <w:rPr>
          <w:rFonts w:ascii="Palatino Linotype" w:eastAsia="Palatino Linotype" w:hAnsi="Palatino Linotype" w:cs="Palatino Linotype"/>
          <w:i/>
          <w:sz w:val="22"/>
          <w:szCs w:val="22"/>
        </w:rPr>
      </w:pPr>
    </w:p>
    <w:p w14:paraId="0B4162AB" w14:textId="53267BBA" w:rsidR="00532AE4" w:rsidRPr="001D5563" w:rsidRDefault="00FD5905">
      <w:pPr>
        <w:spacing w:line="360" w:lineRule="auto"/>
        <w:jc w:val="both"/>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2</w:t>
      </w:r>
      <w:r w:rsidR="00D763D8" w:rsidRPr="001D5563">
        <w:rPr>
          <w:rFonts w:ascii="Palatino Linotype" w:eastAsia="Palatino Linotype" w:hAnsi="Palatino Linotype" w:cs="Palatino Linotype"/>
          <w:b/>
          <w:sz w:val="22"/>
          <w:szCs w:val="22"/>
        </w:rPr>
        <w:t xml:space="preserve">. </w:t>
      </w:r>
      <w:r w:rsidR="00A76F12" w:rsidRPr="001D5563">
        <w:rPr>
          <w:rFonts w:ascii="Palatino Linotype" w:eastAsia="Palatino Linotype" w:hAnsi="Palatino Linotype" w:cs="Palatino Linotype"/>
          <w:b/>
          <w:sz w:val="22"/>
          <w:szCs w:val="22"/>
        </w:rPr>
        <w:t xml:space="preserve">Respuesta. </w:t>
      </w:r>
      <w:r w:rsidR="00A76F12" w:rsidRPr="001D5563">
        <w:rPr>
          <w:rFonts w:ascii="Palatino Linotype" w:eastAsia="Palatino Linotype" w:hAnsi="Palatino Linotype" w:cs="Palatino Linotype"/>
          <w:sz w:val="22"/>
          <w:szCs w:val="22"/>
        </w:rPr>
        <w:t xml:space="preserve">El </w:t>
      </w:r>
      <w:r w:rsidR="00A76F12" w:rsidRPr="001D5563">
        <w:rPr>
          <w:rFonts w:ascii="Palatino Linotype" w:eastAsia="Palatino Linotype" w:hAnsi="Palatino Linotype" w:cs="Palatino Linotype"/>
          <w:b/>
          <w:sz w:val="22"/>
          <w:szCs w:val="22"/>
        </w:rPr>
        <w:t xml:space="preserve">SUJETO OBLIGADO </w:t>
      </w:r>
      <w:r w:rsidR="00A76F12" w:rsidRPr="001D5563">
        <w:rPr>
          <w:rFonts w:ascii="Palatino Linotype" w:eastAsia="Palatino Linotype" w:hAnsi="Palatino Linotype" w:cs="Palatino Linotype"/>
          <w:sz w:val="22"/>
          <w:szCs w:val="22"/>
        </w:rPr>
        <w:t xml:space="preserve">fue omiso en proporcionar respuesta. </w:t>
      </w:r>
    </w:p>
    <w:p w14:paraId="66730054"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64E077EC" w14:textId="2F6CBB79" w:rsidR="00532AE4" w:rsidRPr="001D5563" w:rsidRDefault="00FD5905">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3</w:t>
      </w:r>
      <w:r w:rsidR="00A01FAB" w:rsidRPr="001D5563">
        <w:rPr>
          <w:rFonts w:ascii="Palatino Linotype" w:eastAsia="Palatino Linotype" w:hAnsi="Palatino Linotype" w:cs="Palatino Linotype"/>
          <w:b/>
          <w:sz w:val="22"/>
          <w:szCs w:val="22"/>
        </w:rPr>
        <w:t>.</w:t>
      </w:r>
      <w:r w:rsidR="00A76F12" w:rsidRPr="001D5563">
        <w:rPr>
          <w:rFonts w:ascii="Palatino Linotype" w:eastAsia="Palatino Linotype" w:hAnsi="Palatino Linotype" w:cs="Palatino Linotype"/>
          <w:b/>
          <w:sz w:val="22"/>
          <w:szCs w:val="22"/>
        </w:rPr>
        <w:t xml:space="preserve">Interposición del recurso de revisión. </w:t>
      </w:r>
      <w:r w:rsidR="00A76F12" w:rsidRPr="001D5563">
        <w:rPr>
          <w:rFonts w:ascii="Palatino Linotype" w:eastAsia="Palatino Linotype" w:hAnsi="Palatino Linotype" w:cs="Palatino Linotype"/>
          <w:sz w:val="22"/>
          <w:szCs w:val="22"/>
        </w:rPr>
        <w:t xml:space="preserve">Inconforme la parte solicitante con la falta de respuesta del </w:t>
      </w:r>
      <w:r w:rsidR="00A76F12" w:rsidRPr="001D5563">
        <w:rPr>
          <w:rFonts w:ascii="Palatino Linotype" w:eastAsia="Palatino Linotype" w:hAnsi="Palatino Linotype" w:cs="Palatino Linotype"/>
          <w:b/>
          <w:sz w:val="22"/>
          <w:szCs w:val="22"/>
        </w:rPr>
        <w:t>SUJETO OBLIGADO</w:t>
      </w:r>
      <w:r w:rsidR="00A76F12" w:rsidRPr="001D5563">
        <w:rPr>
          <w:rFonts w:ascii="Palatino Linotype" w:eastAsia="Palatino Linotype" w:hAnsi="Palatino Linotype" w:cs="Palatino Linotype"/>
          <w:sz w:val="22"/>
          <w:szCs w:val="22"/>
        </w:rPr>
        <w:t xml:space="preserve">, interpuso recurso de revisión a través del SAIMEX en fecha </w:t>
      </w:r>
      <w:r w:rsidR="00C65BE4" w:rsidRPr="001D5563">
        <w:rPr>
          <w:rFonts w:ascii="Palatino Linotype" w:eastAsia="Palatino Linotype" w:hAnsi="Palatino Linotype" w:cs="Palatino Linotype"/>
          <w:b/>
          <w:sz w:val="22"/>
          <w:szCs w:val="22"/>
        </w:rPr>
        <w:t>treinta y uno</w:t>
      </w:r>
      <w:r w:rsidR="00326E2A" w:rsidRPr="001D5563">
        <w:rPr>
          <w:rFonts w:ascii="Palatino Linotype" w:eastAsia="Palatino Linotype" w:hAnsi="Palatino Linotype" w:cs="Palatino Linotype"/>
          <w:b/>
          <w:sz w:val="22"/>
          <w:szCs w:val="22"/>
        </w:rPr>
        <w:t xml:space="preserve"> de agosto</w:t>
      </w:r>
      <w:r w:rsidR="00401731" w:rsidRPr="001D5563">
        <w:rPr>
          <w:rFonts w:ascii="Palatino Linotype" w:eastAsia="Palatino Linotype" w:hAnsi="Palatino Linotype" w:cs="Palatino Linotype"/>
          <w:b/>
          <w:sz w:val="22"/>
          <w:szCs w:val="22"/>
        </w:rPr>
        <w:t xml:space="preserve"> de dos mil veintiséis</w:t>
      </w:r>
      <w:r w:rsidR="00A76F12" w:rsidRPr="001D5563">
        <w:rPr>
          <w:rFonts w:ascii="Palatino Linotype" w:eastAsia="Palatino Linotype" w:hAnsi="Palatino Linotype" w:cs="Palatino Linotype"/>
          <w:sz w:val="22"/>
          <w:szCs w:val="22"/>
        </w:rPr>
        <w:t>, expresando lo siguiente:</w:t>
      </w:r>
    </w:p>
    <w:p w14:paraId="126577AC"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9ACBA47" w14:textId="7EA8BD51" w:rsidR="00532AE4" w:rsidRPr="001D5563" w:rsidRDefault="00A76F12" w:rsidP="00B34D4A">
      <w:pPr>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sz w:val="22"/>
          <w:szCs w:val="22"/>
        </w:rPr>
        <w:t>a) Acto impugnado</w:t>
      </w:r>
      <w:r w:rsidRPr="001D5563">
        <w:rPr>
          <w:rFonts w:ascii="Palatino Linotype" w:eastAsia="Palatino Linotype" w:hAnsi="Palatino Linotype" w:cs="Palatino Linotype"/>
          <w:b/>
          <w:i/>
          <w:sz w:val="22"/>
          <w:szCs w:val="22"/>
        </w:rPr>
        <w:t xml:space="preserve">. </w:t>
      </w:r>
      <w:r w:rsidR="00EB74FD" w:rsidRPr="001D5563">
        <w:rPr>
          <w:rFonts w:ascii="Palatino Linotype" w:eastAsia="Palatino Linotype" w:hAnsi="Palatino Linotype" w:cs="Palatino Linotype"/>
          <w:i/>
          <w:sz w:val="22"/>
          <w:szCs w:val="22"/>
        </w:rPr>
        <w:t>“</w:t>
      </w:r>
      <w:r w:rsidR="00C65BE4" w:rsidRPr="001D5563">
        <w:rPr>
          <w:rFonts w:ascii="Palatino Linotype" w:eastAsia="Palatino Linotype" w:hAnsi="Palatino Linotype" w:cs="Palatino Linotype"/>
          <w:i/>
          <w:sz w:val="22"/>
          <w:szCs w:val="22"/>
        </w:rPr>
        <w:t>Falta de respuesta a la solicitud de acceso a la información dentro del plazo legal. Se impugna la omisión de la autoridad responsable de emitir y notificar respuesta a la Solicitud de Acceso a la Información identificada con el folio 00144/COCOTIT/IP/2026, presentada a través del sistema correspondiente. Mediante dicha solicitud se requirió, en formato digital y versión pública, diversa documentación oficial preexistente que obra o pudiera obrar en los archivos de la Dirección de Desarrollo Urbano, relacionada con las actuaciones realizadas el 07 de abril de 2026 en el predio ubicado en las coordenadas UTM Zona 14N (517222.59 m E, 2126557.30 m N) y 19.232094, -98.836673, así como con los expedientes CODHEM/CHA/149/2026 y OICMC/AI/EI/027/2026. La autoridad responsable no emitió ni notificó respuesta alguna dentro del plazo legal aplicable, ni proporcionó la información solicitada, ni emitió pronunciamiento respecto de la existencia, inexistencia, clasificación o disponibilidad de los documentos requeridos. Por tanto, el acto impugnado consiste en la falta de respuesta a la solicitud de acceso a la información.</w:t>
      </w:r>
      <w:r w:rsidR="009B6117" w:rsidRPr="001D5563">
        <w:rPr>
          <w:rFonts w:ascii="Palatino Linotype" w:eastAsia="Palatino Linotype" w:hAnsi="Palatino Linotype" w:cs="Palatino Linotype"/>
          <w:i/>
          <w:sz w:val="22"/>
          <w:szCs w:val="22"/>
        </w:rPr>
        <w:t xml:space="preserve">” </w:t>
      </w:r>
      <w:r w:rsidRPr="001D5563">
        <w:rPr>
          <w:rFonts w:ascii="Palatino Linotype" w:eastAsia="Palatino Linotype" w:hAnsi="Palatino Linotype" w:cs="Palatino Linotype"/>
          <w:i/>
          <w:sz w:val="22"/>
          <w:szCs w:val="22"/>
        </w:rPr>
        <w:t>(Sic)</w:t>
      </w:r>
    </w:p>
    <w:p w14:paraId="527329DB" w14:textId="77777777" w:rsidR="00532AE4" w:rsidRPr="001D5563" w:rsidRDefault="00532AE4" w:rsidP="00B34D4A">
      <w:pPr>
        <w:spacing w:line="276" w:lineRule="auto"/>
        <w:ind w:left="567" w:right="616"/>
        <w:rPr>
          <w:rFonts w:ascii="Palatino Linotype" w:eastAsia="Palatino Linotype" w:hAnsi="Palatino Linotype" w:cs="Palatino Linotype"/>
          <w:b/>
          <w:sz w:val="22"/>
          <w:szCs w:val="22"/>
        </w:rPr>
      </w:pPr>
    </w:p>
    <w:p w14:paraId="27199E43" w14:textId="135637C9" w:rsidR="00532AE4" w:rsidRPr="001D5563" w:rsidRDefault="00A76F12" w:rsidP="00B34D4A">
      <w:pPr>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sz w:val="22"/>
          <w:szCs w:val="22"/>
        </w:rPr>
        <w:t xml:space="preserve">b) Motivos de inconformidad. </w:t>
      </w:r>
      <w:r w:rsidRPr="001D5563">
        <w:rPr>
          <w:rFonts w:ascii="Palatino Linotype" w:eastAsia="Palatino Linotype" w:hAnsi="Palatino Linotype" w:cs="Palatino Linotype"/>
          <w:i/>
          <w:sz w:val="22"/>
          <w:szCs w:val="22"/>
        </w:rPr>
        <w:t>“</w:t>
      </w:r>
      <w:r w:rsidR="00C65BE4" w:rsidRPr="001D5563">
        <w:rPr>
          <w:rFonts w:ascii="Palatino Linotype" w:eastAsia="Palatino Linotype" w:hAnsi="Palatino Linotype" w:cs="Palatino Linotype"/>
          <w:i/>
          <w:sz w:val="22"/>
          <w:szCs w:val="22"/>
        </w:rPr>
        <w:t xml:space="preserve">La razón de inconformidad consiste en la omisión absoluta de la autoridad responsable de atender y resolver la solicitud de acceso a la </w:t>
      </w:r>
      <w:r w:rsidR="00C65BE4" w:rsidRPr="001D5563">
        <w:rPr>
          <w:rFonts w:ascii="Palatino Linotype" w:eastAsia="Palatino Linotype" w:hAnsi="Palatino Linotype" w:cs="Palatino Linotype"/>
          <w:i/>
          <w:sz w:val="22"/>
          <w:szCs w:val="22"/>
        </w:rPr>
        <w:lastRenderedPageBreak/>
        <w:t xml:space="preserve">información dentro del plazo legal. El suscrito presentó la Solicitud de Acceso a la Información con folio 00144/COCOTIT/IP/2026, mediante la cual solicitó, en formato digital y versión pública, diversa documentación oficial preexistente relacionada con las actuaciones de la Dirección de Desarrollo Urbano y, específicamente, con la diligencia presencial conjunta de verificación realizada el 07 de abril de 2026 en el predio ubicado en las coordenadas UTM Zona 14N (517222.59 m E, 2126557.30 m N) y 19.232094, -98.836673, del Ejido del Moral. La solicitud fue formulada de manera concreta, identificando expresamente al servidor público respecto del cual se solicitó la documentación, la fecha de la diligencia, el lugar en que presuntamente se realizó, las dependencias que habrían intervenido y los expedientes administrativos con los cuales se encuentra relacionada dicha actuación. No obstante lo anterior, la autoridad responsable fue omisa en emitir y notificar cualquier respuesta dentro del plazo legal correspondiente, dejando sin atender la totalidad de los requerimientos formulados. La omisión impugnada impide conocer si existe documentación oficial que acredite: La Orden de Comisión, Oficio de Asignación o Pase de Salida expedido a favor del Titular o Director de Desarrollo Urbano que, en su caso, le hubiera facultado para constituirse y participar personalmente en la diligencia del 07 de abril de 2026. El Acta Circunstanciada de Inspección de Campo, Cédula de Inspección de Uso de Suelo o Reporte Técnico elaborado y firmado por el Titular o Director de Desarrollo Urbano con motivo de su participación presencial en dicha diligencia. El Dictamen Técnico Limítrofe, Ficha Cartográfica o Plano Temático de Usos de Suelo que, en su caso, hubiera sido suscrito o utilizado como sustento técnico para determinar la adscripción territorial o la supuesta incompetencia respecto del predio después de la diligencia referida. La autoridad no puede válidamente dejar sin respuesta dichos requerimientos, pues la falta de contestación impide conocer si los documentos existen, si obran en los archivos de la Dirección de Desarrollo Urbano, si fueron remitidos a otra unidad administrativa, si se encuentran sujetos a alguna modalidad de clasificación o si existe alguna causa legal que impida su entrega. Debe señalarse que la solicitud no pretende que la autoridad genere información nueva, realice una investigación o elabore un dictamen con posterioridad a la solicitud. Por el contrario, se requirió expresamente el acceso a documentos oficiales preexistentes, en caso de que éstos obren en los archivos del sujeto obligado. Asimismo, el suscrito solicitó expresamente la información en versión pública, por lo que la eventual existencia de datos personales o información susceptible de protección no constituye motivo para omitir la respuesta ni para negar de manera </w:t>
      </w:r>
      <w:r w:rsidR="00C65BE4" w:rsidRPr="001D5563">
        <w:rPr>
          <w:rFonts w:ascii="Palatino Linotype" w:eastAsia="Palatino Linotype" w:hAnsi="Palatino Linotype" w:cs="Palatino Linotype"/>
          <w:i/>
          <w:sz w:val="22"/>
          <w:szCs w:val="22"/>
        </w:rPr>
        <w:lastRenderedPageBreak/>
        <w:t>absoluta el acceso a los documentos. En su caso, corresponde al sujeto obligado realizar el análisis de clasificación que legalmente proceda y proporcionar la versión pública correspondiente. De igual manera, la falta de respuesta no puede considerarse una declaración válida de inexistencia de la información. Si el sujeto obligado sostiene que alguno de los documentos solicitados no existe, deberá realizar la búsqueda correspondiente en las áreas administrativas competentes y observar el procedimiento legal aplicable para determinar formalmente la inexistencia documental. Lo anterior adquiere especial relevancia debido a que los documentos solicitados se encuentran relacionados con una actuación administrativa concreta, una fecha determinada, una ubicación geográfica específica, una dependencia municipal identificada y dos expedientes administrativos plenamente individualizados. Por ello, la solicitud permite realizar una búsqueda objetiva, razonable y verificable en los archivos institucionales, sin que exista justificación para una omisión absoluta de respuesta. La falta de respuesta vulnera mi derecho de acceso a la información pública, al impedirme conocer el resultado de la búsqueda documental y dejar sin resolver los tres requerimientos expresamente formulados. Por lo anterior, solicito a ese Instituto que declare fundado el presente recurso de revisión, tenga por acreditada la falta de respuesta del sujeto obligado y ordene que se atienda de manera completa, congruente, exhaustiva, fundada y motivada la solicitud de información 00144/COCOTIT/IP/2026. Asimismo, solicito que se ordene al sujeto obligado pronunciarse expresamente respecto de cada uno de los tres puntos solicitados, realizando una búsqueda exhaustiva en la Dirección de Desarrollo Urbano y en las demás áreas administrativas que razonablemente pudieran contar con la documentación, y entregando la información que efectivamente obre en sus archivos, en formato digital y, cuando corresponda, mediante versión pública. En caso de que el sujeto obligado manifieste que alguno de los documentos solicitados no existe, solicito que dicha circunstancia no sea acreditada mediante una simple manifestación genérica, sino que se demuestre que se realizó una búsqueda exhaustiva y razonable en las áreas competentes y se observe el procedimiento legal correspondiente para determinar la inexistencia documental. Finalmente, solicito que la resolución que recaiga al presente recurso garantice que el sujeto obligado atienda individualmente cada requerimiento, evitando una respuesta genérica o evasiva que no permita conocer específicamente el resultado de la búsqueda respecto de la Orden de Comisión, Acta o Cédula de Uso de Suelo y Dictamen, Ficha Cartográfica o Plano Temático solicitados.</w:t>
      </w:r>
      <w:r w:rsidR="002D134E" w:rsidRPr="001D5563">
        <w:rPr>
          <w:rFonts w:ascii="Palatino Linotype" w:eastAsia="Palatino Linotype" w:hAnsi="Palatino Linotype" w:cs="Palatino Linotype"/>
          <w:i/>
          <w:sz w:val="22"/>
          <w:szCs w:val="22"/>
        </w:rPr>
        <w:t>”</w:t>
      </w:r>
      <w:r w:rsidRPr="001D5563">
        <w:rPr>
          <w:rFonts w:ascii="Palatino Linotype" w:eastAsia="Palatino Linotype" w:hAnsi="Palatino Linotype" w:cs="Palatino Linotype"/>
          <w:i/>
          <w:sz w:val="22"/>
          <w:szCs w:val="22"/>
        </w:rPr>
        <w:t>(Sic)</w:t>
      </w:r>
    </w:p>
    <w:p w14:paraId="1CD932CE" w14:textId="0DD1EB9D" w:rsidR="00532AE4" w:rsidRPr="001D5563" w:rsidRDefault="00532AE4">
      <w:pPr>
        <w:spacing w:line="360" w:lineRule="auto"/>
        <w:jc w:val="both"/>
        <w:rPr>
          <w:rFonts w:ascii="Palatino Linotype" w:eastAsia="Palatino Linotype" w:hAnsi="Palatino Linotype" w:cs="Palatino Linotype"/>
          <w:i/>
          <w:sz w:val="22"/>
          <w:szCs w:val="22"/>
        </w:rPr>
      </w:pPr>
    </w:p>
    <w:p w14:paraId="537EC0BB" w14:textId="6FABF595" w:rsidR="00532AE4" w:rsidRPr="001D5563" w:rsidRDefault="00A01FAB">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lastRenderedPageBreak/>
        <w:t>4</w:t>
      </w:r>
      <w:r w:rsidR="00A76F12" w:rsidRPr="001D5563">
        <w:rPr>
          <w:rFonts w:ascii="Palatino Linotype" w:eastAsia="Palatino Linotype" w:hAnsi="Palatino Linotype" w:cs="Palatino Linotype"/>
          <w:b/>
          <w:sz w:val="22"/>
          <w:szCs w:val="22"/>
        </w:rPr>
        <w:t xml:space="preserve">. Turno. </w:t>
      </w:r>
      <w:r w:rsidR="00A76F12" w:rsidRPr="001D5563">
        <w:rPr>
          <w:rFonts w:ascii="Palatino Linotype" w:eastAsia="Palatino Linotype" w:hAnsi="Palatino Linotype" w:cs="Palatino Linotype"/>
          <w:sz w:val="22"/>
          <w:szCs w:val="22"/>
        </w:rPr>
        <w:t xml:space="preserve">De conformidad con el artículo 185 Fracción I de la Ley Transparencia y Acceso a la Información Pública, el recurso de revisión fue turnado a la Comisionada Ponente </w:t>
      </w:r>
      <w:r w:rsidR="00A76F12" w:rsidRPr="001D5563">
        <w:rPr>
          <w:rFonts w:ascii="Palatino Linotype" w:eastAsia="Palatino Linotype" w:hAnsi="Palatino Linotype" w:cs="Palatino Linotype"/>
          <w:b/>
          <w:sz w:val="22"/>
          <w:szCs w:val="22"/>
        </w:rPr>
        <w:t>Guadalupe Ramírez Peña</w:t>
      </w:r>
      <w:r w:rsidR="00A76F12" w:rsidRPr="001D5563">
        <w:rPr>
          <w:rFonts w:ascii="Palatino Linotype" w:eastAsia="Palatino Linotype" w:hAnsi="Palatino Linotype" w:cs="Palatino Linotype"/>
          <w:sz w:val="22"/>
          <w:szCs w:val="22"/>
        </w:rPr>
        <w:t>, a efecto de presentar al Pleno el proyecto de resolución correspondiente.</w:t>
      </w:r>
    </w:p>
    <w:p w14:paraId="1DA3D700" w14:textId="77777777" w:rsidR="00285CBA" w:rsidRPr="001D5563" w:rsidRDefault="00285CBA">
      <w:pPr>
        <w:spacing w:line="360" w:lineRule="auto"/>
        <w:jc w:val="both"/>
        <w:rPr>
          <w:rFonts w:ascii="Palatino Linotype" w:eastAsia="Palatino Linotype" w:hAnsi="Palatino Linotype" w:cs="Palatino Linotype"/>
          <w:sz w:val="22"/>
          <w:szCs w:val="22"/>
        </w:rPr>
      </w:pPr>
    </w:p>
    <w:p w14:paraId="6F47DF3C" w14:textId="34CB13E6" w:rsidR="00532AE4" w:rsidRPr="001D5563" w:rsidRDefault="00417D9F">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5</w:t>
      </w:r>
      <w:r w:rsidR="00A76F12" w:rsidRPr="001D5563">
        <w:rPr>
          <w:rFonts w:ascii="Palatino Linotype" w:eastAsia="Palatino Linotype" w:hAnsi="Palatino Linotype" w:cs="Palatino Linotype"/>
          <w:b/>
          <w:sz w:val="22"/>
          <w:szCs w:val="22"/>
        </w:rPr>
        <w:t xml:space="preserve">. Admisión. </w:t>
      </w:r>
      <w:r w:rsidR="003E2501" w:rsidRPr="001D5563">
        <w:rPr>
          <w:rFonts w:ascii="Palatino Linotype" w:eastAsia="Palatino Linotype" w:hAnsi="Palatino Linotype" w:cs="Palatino Linotype"/>
          <w:sz w:val="22"/>
          <w:szCs w:val="22"/>
        </w:rPr>
        <w:t>En</w:t>
      </w:r>
      <w:r w:rsidR="000F363F" w:rsidRPr="001D5563">
        <w:rPr>
          <w:rFonts w:ascii="Palatino Linotype" w:eastAsia="Palatino Linotype" w:hAnsi="Palatino Linotype" w:cs="Palatino Linotype"/>
          <w:sz w:val="22"/>
          <w:szCs w:val="22"/>
        </w:rPr>
        <w:t xml:space="preserve"> </w:t>
      </w:r>
      <w:r w:rsidR="00A8506B" w:rsidRPr="001D5563">
        <w:rPr>
          <w:rFonts w:ascii="Palatino Linotype" w:eastAsia="Palatino Linotype" w:hAnsi="Palatino Linotype" w:cs="Palatino Linotype"/>
          <w:sz w:val="22"/>
          <w:szCs w:val="22"/>
        </w:rPr>
        <w:t xml:space="preserve">fecha </w:t>
      </w:r>
      <w:r w:rsidR="00B11D34" w:rsidRPr="001D5563">
        <w:rPr>
          <w:rFonts w:ascii="Palatino Linotype" w:eastAsia="Palatino Linotype" w:hAnsi="Palatino Linotype" w:cs="Palatino Linotype"/>
          <w:b/>
          <w:sz w:val="22"/>
          <w:szCs w:val="22"/>
        </w:rPr>
        <w:t>uno de septiembre</w:t>
      </w:r>
      <w:r w:rsidR="003E2501" w:rsidRPr="001D5563">
        <w:rPr>
          <w:rFonts w:ascii="Palatino Linotype" w:eastAsia="Palatino Linotype" w:hAnsi="Palatino Linotype" w:cs="Palatino Linotype"/>
          <w:b/>
          <w:sz w:val="22"/>
          <w:szCs w:val="22"/>
        </w:rPr>
        <w:t xml:space="preserve"> de dos mil veintiséis</w:t>
      </w:r>
      <w:r w:rsidR="00044D36" w:rsidRPr="001D5563">
        <w:rPr>
          <w:rFonts w:ascii="Palatino Linotype" w:eastAsia="Palatino Linotype" w:hAnsi="Palatino Linotype" w:cs="Palatino Linotype"/>
          <w:sz w:val="22"/>
          <w:szCs w:val="22"/>
        </w:rPr>
        <w:t xml:space="preserve">, </w:t>
      </w:r>
      <w:r w:rsidR="00A76F12" w:rsidRPr="001D5563">
        <w:rPr>
          <w:rFonts w:ascii="Palatino Linotype" w:eastAsia="Palatino Linotype" w:hAnsi="Palatino Linotype" w:cs="Palatino Linotype"/>
          <w:sz w:val="22"/>
          <w:szCs w:val="22"/>
        </w:rPr>
        <w:t>en términos de lo dispuesto en el artículo 185 fracciones I, II y IV de la Ley de Transparencia y Acceso a la Información Pública del Estado de México y Municipios, se admitió a trámite el recurso de revisión al rubro indicado.</w:t>
      </w:r>
    </w:p>
    <w:p w14:paraId="334BE521"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CBE0CA4" w14:textId="7CCCC557" w:rsidR="006614E2" w:rsidRPr="001D5563" w:rsidRDefault="00417D9F">
      <w:pPr>
        <w:widowControl w:val="0"/>
        <w:spacing w:line="360" w:lineRule="auto"/>
        <w:ind w:right="49"/>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6</w:t>
      </w:r>
      <w:r w:rsidR="00A76F12" w:rsidRPr="001D5563">
        <w:rPr>
          <w:rFonts w:ascii="Palatino Linotype" w:eastAsia="Palatino Linotype" w:hAnsi="Palatino Linotype" w:cs="Palatino Linotype"/>
          <w:b/>
          <w:sz w:val="22"/>
          <w:szCs w:val="22"/>
        </w:rPr>
        <w:t>. Manifestaciones</w:t>
      </w:r>
      <w:r w:rsidR="008B25A4" w:rsidRPr="001D5563">
        <w:rPr>
          <w:rFonts w:ascii="Palatino Linotype" w:eastAsia="Palatino Linotype" w:hAnsi="Palatino Linotype" w:cs="Palatino Linotype"/>
          <w:sz w:val="22"/>
          <w:szCs w:val="22"/>
        </w:rPr>
        <w:t xml:space="preserve">. </w:t>
      </w:r>
      <w:r w:rsidR="00E62F83" w:rsidRPr="001D5563">
        <w:rPr>
          <w:rFonts w:ascii="Palatino Linotype" w:eastAsia="Palatino Linotype" w:hAnsi="Palatino Linotype" w:cs="Palatino Linotype"/>
          <w:sz w:val="22"/>
          <w:szCs w:val="22"/>
        </w:rPr>
        <w:t>En fecha uno de septiembre de dos mil veintiséis, la parte Recurrente rindió sus manifestaciones, mientras que el Sujeto Obligado fue omiso</w:t>
      </w:r>
      <w:r w:rsidR="006614E2" w:rsidRPr="001D5563">
        <w:rPr>
          <w:rFonts w:ascii="Palatino Linotype" w:eastAsia="Palatino Linotype" w:hAnsi="Palatino Linotype" w:cs="Palatino Linotype"/>
          <w:sz w:val="22"/>
          <w:szCs w:val="22"/>
        </w:rPr>
        <w:t>:</w:t>
      </w:r>
    </w:p>
    <w:p w14:paraId="59A51FCE" w14:textId="077F2159" w:rsidR="006614E2" w:rsidRPr="001D5563" w:rsidRDefault="00E62F83">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ab/>
        <w:t xml:space="preserve">144Y82~1.PDF: </w:t>
      </w:r>
      <w:r w:rsidRPr="001D5563">
        <w:rPr>
          <w:rFonts w:ascii="Palatino Linotype" w:eastAsia="Palatino Linotype" w:hAnsi="Palatino Linotype" w:cs="Palatino Linotype"/>
          <w:sz w:val="22"/>
          <w:szCs w:val="22"/>
        </w:rPr>
        <w:t>Documento mediante el cual la parte recurrente rindió sus manifestaciones y alegatos.</w:t>
      </w:r>
    </w:p>
    <w:p w14:paraId="59D90F90" w14:textId="77777777" w:rsidR="006614E2" w:rsidRPr="001D5563" w:rsidRDefault="006614E2">
      <w:pPr>
        <w:spacing w:line="360" w:lineRule="auto"/>
        <w:jc w:val="both"/>
        <w:rPr>
          <w:rFonts w:ascii="Palatino Linotype" w:eastAsia="Palatino Linotype" w:hAnsi="Palatino Linotype" w:cs="Palatino Linotype"/>
          <w:b/>
          <w:sz w:val="22"/>
          <w:szCs w:val="22"/>
        </w:rPr>
      </w:pPr>
    </w:p>
    <w:p w14:paraId="2DD31F10" w14:textId="027F3739" w:rsidR="00532AE4" w:rsidRPr="001D5563" w:rsidRDefault="00417D9F">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7</w:t>
      </w:r>
      <w:r w:rsidR="00A76F12" w:rsidRPr="001D5563">
        <w:rPr>
          <w:rFonts w:ascii="Palatino Linotype" w:eastAsia="Palatino Linotype" w:hAnsi="Palatino Linotype" w:cs="Palatino Linotype"/>
          <w:b/>
          <w:sz w:val="22"/>
          <w:szCs w:val="22"/>
        </w:rPr>
        <w:t xml:space="preserve">. Cierre de instrucción. </w:t>
      </w:r>
      <w:r w:rsidR="00A76F12" w:rsidRPr="001D5563">
        <w:rPr>
          <w:rFonts w:ascii="Palatino Linotype" w:eastAsia="Palatino Linotype" w:hAnsi="Palatino Linotype" w:cs="Palatino Linotype"/>
          <w:sz w:val="22"/>
          <w:szCs w:val="22"/>
        </w:rPr>
        <w:t xml:space="preserve">Una vez transcurrido el periodo otorgado a las partes para realizar sus manifestaciones y no habiendo documentos que integrar al expediente, con fecha </w:t>
      </w:r>
      <w:r w:rsidR="00B85D04" w:rsidRPr="001D5563">
        <w:rPr>
          <w:rFonts w:ascii="Palatino Linotype" w:eastAsia="Palatino Linotype" w:hAnsi="Palatino Linotype" w:cs="Palatino Linotype"/>
          <w:b/>
          <w:sz w:val="22"/>
          <w:szCs w:val="22"/>
        </w:rPr>
        <w:t>once</w:t>
      </w:r>
      <w:r w:rsidR="008E5D58" w:rsidRPr="001D5563">
        <w:rPr>
          <w:rFonts w:ascii="Palatino Linotype" w:eastAsia="Palatino Linotype" w:hAnsi="Palatino Linotype" w:cs="Palatino Linotype"/>
          <w:b/>
          <w:sz w:val="22"/>
          <w:szCs w:val="22"/>
        </w:rPr>
        <w:t xml:space="preserve"> de septiembre</w:t>
      </w:r>
      <w:r w:rsidR="007E7839" w:rsidRPr="001D5563">
        <w:rPr>
          <w:rFonts w:ascii="Palatino Linotype" w:eastAsia="Palatino Linotype" w:hAnsi="Palatino Linotype" w:cs="Palatino Linotype"/>
          <w:b/>
          <w:sz w:val="22"/>
          <w:szCs w:val="22"/>
        </w:rPr>
        <w:t xml:space="preserve"> de dos mil veintiséis</w:t>
      </w:r>
      <w:r w:rsidR="00A76F12" w:rsidRPr="001D5563">
        <w:rPr>
          <w:rFonts w:ascii="Palatino Linotype" w:eastAsia="Palatino Linotype" w:hAnsi="Palatino Linotype" w:cs="Palatino Linotype"/>
          <w:sz w:val="22"/>
          <w:szCs w:val="22"/>
        </w:rPr>
        <w:t>, la Comisionada Ponente determinó el cierre de instrucción en términos de la fracción VI del artículo 185 de la Ley de Transparencia y Acceso a la Información Pública del Estado de México y Municipios.</w:t>
      </w:r>
    </w:p>
    <w:p w14:paraId="175B861A"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D344C64" w14:textId="7C6779D4"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razón de que fue debidamente sustanciado el expediente electrónico y no existe diligencia pendiente de desahogo, se emite la Resolución que conforme a Derecho proceda, de acuerdo con los siguientes: </w:t>
      </w:r>
    </w:p>
    <w:p w14:paraId="28B9C010" w14:textId="77777777" w:rsidR="00B34D4A" w:rsidRPr="001D5563" w:rsidRDefault="00B34D4A">
      <w:pPr>
        <w:spacing w:line="360" w:lineRule="auto"/>
        <w:jc w:val="both"/>
        <w:rPr>
          <w:rFonts w:ascii="Palatino Linotype" w:eastAsia="Palatino Linotype" w:hAnsi="Palatino Linotype" w:cs="Palatino Linotype"/>
          <w:sz w:val="22"/>
          <w:szCs w:val="22"/>
        </w:rPr>
      </w:pPr>
    </w:p>
    <w:p w14:paraId="4A6373F7"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6464AA30" w14:textId="77777777" w:rsidR="00532AE4" w:rsidRPr="001D5563" w:rsidRDefault="00A76F12">
      <w:pPr>
        <w:widowControl w:val="0"/>
        <w:spacing w:line="360" w:lineRule="auto"/>
        <w:jc w:val="center"/>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lastRenderedPageBreak/>
        <w:t>II. C O N S I D E R A N D O S</w:t>
      </w:r>
    </w:p>
    <w:p w14:paraId="04E1DD04" w14:textId="77777777" w:rsidR="00532AE4" w:rsidRPr="001D5563" w:rsidRDefault="00532AE4">
      <w:pPr>
        <w:widowControl w:val="0"/>
        <w:pBdr>
          <w:top w:val="nil"/>
          <w:left w:val="nil"/>
          <w:bottom w:val="nil"/>
          <w:right w:val="nil"/>
          <w:between w:val="nil"/>
        </w:pBdr>
        <w:spacing w:line="360" w:lineRule="auto"/>
        <w:ind w:left="1080"/>
        <w:rPr>
          <w:rFonts w:ascii="Palatino Linotype" w:eastAsia="Palatino Linotype" w:hAnsi="Palatino Linotype" w:cs="Palatino Linotype"/>
          <w:b/>
          <w:sz w:val="22"/>
          <w:szCs w:val="22"/>
        </w:rPr>
      </w:pPr>
    </w:p>
    <w:p w14:paraId="606801A8" w14:textId="2644C8A2" w:rsidR="00532AE4" w:rsidRPr="001D5563" w:rsidRDefault="00A76F12" w:rsidP="005231DC">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Primero. Competencia.</w:t>
      </w:r>
      <w:r w:rsidRPr="001D5563">
        <w:rPr>
          <w:rFonts w:ascii="Palatino Linotype" w:eastAsia="Palatino Linotype" w:hAnsi="Palatino Linotype" w:cs="Palatino Linotype"/>
          <w:sz w:val="22"/>
          <w:szCs w:val="22"/>
        </w:rPr>
        <w:t xml:space="preserve"> El Instituto de Transparencia, Acceso a la Información Pública y Protección de Datos Personales del Estado de México y Municipios, es competente para conocer y resolver el presente recurso de revisión interpuesto por la parte recurrente, conforme a lo dispuesto en los artículos 6, apartado A de la Constitución Política de los Estados Unidos Mexicanos; </w:t>
      </w:r>
      <w:r w:rsidR="009100C5" w:rsidRPr="001D5563">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1D5563">
        <w:rPr>
          <w:rFonts w:ascii="Palatino Linotype" w:eastAsia="Palatino Linotype" w:hAnsi="Palatino Linotype" w:cs="Palatino Linotype"/>
          <w:sz w:val="22"/>
          <w:szCs w:val="22"/>
        </w:rPr>
        <w:t>;</w:t>
      </w:r>
      <w:r w:rsidR="005231DC" w:rsidRPr="001D5563">
        <w:rPr>
          <w:rFonts w:ascii="Palatino Linotype" w:eastAsia="Palatino Linotype" w:hAnsi="Palatino Linotype" w:cs="Palatino Linotype"/>
          <w:sz w:val="22"/>
          <w:szCs w:val="22"/>
        </w:rPr>
        <w:t xml:space="preserve"> </w:t>
      </w:r>
      <w:r w:rsidRPr="001D5563">
        <w:rPr>
          <w:rFonts w:ascii="Palatino Linotype" w:eastAsia="Palatino Linotype" w:hAnsi="Palatino Linotype" w:cs="Palatino Linotype"/>
          <w:sz w:val="22"/>
          <w:szCs w:val="22"/>
        </w:rPr>
        <w:t>1, 2, fracción II; 13, 29, 36, fracciones I y II; 176, 178, 179, 181 párrafo tercero y 185 de la Ley Transparencia y Acceso a la Información Pública del Estado de México y Municipios; 9, fracciones I y XXIII y 11 del Reglamento Interior del Instituto de Transparencia, Acceso a la Información Pública y Protección de Datos Personales del Estado de México y Municipios.</w:t>
      </w:r>
    </w:p>
    <w:p w14:paraId="11148092"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A95222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Segundo. Oportunidad y Procedibilidad del Recurso de Revisión. </w:t>
      </w:r>
      <w:r w:rsidRPr="001D5563">
        <w:rPr>
          <w:rFonts w:ascii="Palatino Linotype" w:eastAsia="Palatino Linotype" w:hAnsi="Palatino Linotype" w:cs="Palatino Linotype"/>
          <w:sz w:val="22"/>
          <w:szCs w:val="22"/>
        </w:rPr>
        <w:t>Por cuanto hace a la oportunidad del recurso de revisión</w:t>
      </w:r>
      <w:r w:rsidRPr="001D5563">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es necesario considerar lo previsto en los artículos 163, párrafo primero; 166, penúltimo párrafo y 178, párrafo segundo; de la Ley de Transparencia y Acceso a la Información Pública del Estado de México y Municipios, de cuya interpretación se obtiene que el plazo que les asiste a los Sujetos Obligados para entregar la respuesta a una solicitud de información pública, es de quince días hábiles posteriores a la presentación de ésta; sin embargo, en aquellos casos en que transcurre el referido plazo de quince días hábiles sin que los Sujetos Obligados entreguen la respuesta a la solicitud de información, esta se considera negada; por lo que al solicitante le asiste el derecho para presentar el recurso de revisión en cualquier momento.</w:t>
      </w:r>
    </w:p>
    <w:p w14:paraId="264C0617"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4D92649D"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lastRenderedPageBreak/>
        <w:t xml:space="preserve">Derivado de lo anterior, se constituye la figura jurídica de la </w:t>
      </w:r>
      <w:r w:rsidRPr="001D5563">
        <w:rPr>
          <w:rFonts w:ascii="Palatino Linotype" w:eastAsia="Palatino Linotype" w:hAnsi="Palatino Linotype" w:cs="Palatino Linotype"/>
          <w:b/>
          <w:sz w:val="22"/>
          <w:szCs w:val="22"/>
        </w:rPr>
        <w:t>NEGATIVA FICTA</w:t>
      </w:r>
      <w:r w:rsidRPr="001D5563">
        <w:rPr>
          <w:rFonts w:ascii="Palatino Linotype" w:eastAsia="Palatino Linotype" w:hAnsi="Palatino Linotype" w:cs="Palatino Linotype"/>
          <w:sz w:val="22"/>
          <w:szCs w:val="22"/>
        </w:rPr>
        <w:t>, cuya esencia consiste en atribuir un efecto negativo al silencio de la autoridad administrativa frente a las instancias y solicitudes que hagan los particulares.</w:t>
      </w:r>
    </w:p>
    <w:p w14:paraId="042AC716"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824479E"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De tal manera, en el presente recurso de revisión se actualizó la negativa ficta por parte del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al no haber respondido a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xml:space="preserve"> en tiempo y forma en el plazo legal previsto para ello, en este sentido la falta de respuesta implica necesariamente que de modo fáctico se ha negado la información por razones desconocidas, pero que el hecho simple de no responder apareja una forma por omisión de negar el acceso a la información.</w:t>
      </w:r>
    </w:p>
    <w:p w14:paraId="22DC742F"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E61E53E"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Si a ello se le suma lo previsto en el párrafo segundo del artículo 178, párrafo segundo</w:t>
      </w:r>
      <w:r w:rsidRPr="001D5563">
        <w:rPr>
          <w:rFonts w:ascii="Palatino Linotype" w:eastAsia="Palatino Linotype" w:hAnsi="Palatino Linotype" w:cs="Palatino Linotype"/>
          <w:sz w:val="22"/>
          <w:szCs w:val="22"/>
          <w:vertAlign w:val="superscript"/>
        </w:rPr>
        <w:footnoteReference w:id="1"/>
      </w:r>
      <w:r w:rsidRPr="001D5563">
        <w:rPr>
          <w:rFonts w:ascii="Palatino Linotype" w:eastAsia="Palatino Linotype" w:hAnsi="Palatino Linotype" w:cs="Palatino Linotype"/>
          <w:sz w:val="22"/>
          <w:szCs w:val="22"/>
        </w:rPr>
        <w:t xml:space="preserve"> de la Ley de Transparencia y Acceso a la Información Pública vigente en la entidad.</w:t>
      </w:r>
    </w:p>
    <w:p w14:paraId="0CA4883E"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1F0B6ACC"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Lo anterior encuentra sustento en el CRITERIO número 0001-15, aprobado por unanimidad del Pleno del Instituto de Transparencia, Acceso a la Información Pública y Protección de Datos Personales del Estado de México y Municipios, publicado en el Periódico Oficial del Estado de México “Gaceta del Gobierno”, el veintitrés de abril de dos mil quince, que establece:</w:t>
      </w:r>
    </w:p>
    <w:p w14:paraId="140CD766" w14:textId="77777777" w:rsidR="00532AE4" w:rsidRPr="001D5563" w:rsidRDefault="00532AE4">
      <w:pPr>
        <w:spacing w:line="360" w:lineRule="auto"/>
        <w:jc w:val="both"/>
        <w:rPr>
          <w:i/>
          <w:sz w:val="22"/>
          <w:szCs w:val="22"/>
        </w:rPr>
      </w:pPr>
    </w:p>
    <w:p w14:paraId="4BB01BE0" w14:textId="77777777" w:rsidR="00532AE4" w:rsidRPr="001D5563" w:rsidRDefault="00A76F12">
      <w:pPr>
        <w:ind w:left="567" w:right="616"/>
        <w:jc w:val="both"/>
        <w:rPr>
          <w:rFonts w:ascii="Palatino Linotype" w:eastAsia="Palatino Linotype" w:hAnsi="Palatino Linotype" w:cs="Palatino Linotype"/>
          <w:b/>
          <w:i/>
          <w:sz w:val="22"/>
          <w:szCs w:val="22"/>
        </w:rPr>
      </w:pPr>
      <w:r w:rsidRPr="001D5563">
        <w:rPr>
          <w:rFonts w:ascii="Palatino Linotype" w:eastAsia="Palatino Linotype" w:hAnsi="Palatino Linotype" w:cs="Palatino Linotype"/>
          <w:i/>
          <w:sz w:val="22"/>
          <w:szCs w:val="22"/>
        </w:rPr>
        <w:t>“</w:t>
      </w:r>
      <w:r w:rsidRPr="001D5563">
        <w:rPr>
          <w:rFonts w:ascii="Palatino Linotype" w:eastAsia="Palatino Linotype" w:hAnsi="Palatino Linotype" w:cs="Palatino Linotype"/>
          <w:b/>
          <w:i/>
          <w:sz w:val="22"/>
          <w:szCs w:val="22"/>
        </w:rPr>
        <w:t>CRITERIO 0001-15 NEGATIVA FICTA. PLAZO PARA INTERPONER EL RECURSO DE REVISIÓN TRATÁNDOSE DE</w:t>
      </w:r>
      <w:r w:rsidRPr="001D5563">
        <w:rPr>
          <w:rFonts w:ascii="Palatino Linotype" w:eastAsia="Palatino Linotype" w:hAnsi="Palatino Linotype" w:cs="Palatino Linotype"/>
          <w:i/>
          <w:sz w:val="22"/>
          <w:szCs w:val="22"/>
        </w:rPr>
        <w:t xml:space="preserve">. El artículo 48, párrafo tercero de la Ley de Transparencia y Acceso a la Información Pública del Estado de México y </w:t>
      </w:r>
      <w:r w:rsidRPr="001D5563">
        <w:rPr>
          <w:rFonts w:ascii="Palatino Linotype" w:eastAsia="Palatino Linotype" w:hAnsi="Palatino Linotype" w:cs="Palatino Linotype"/>
          <w:i/>
          <w:sz w:val="22"/>
          <w:szCs w:val="22"/>
        </w:rPr>
        <w:lastRenderedPageBreak/>
        <w:t>Municipios establece que, cuando no se entregue la respuesta a la solicitud dentro del plazo de 15 días establecidos en el artículo 46 de la Ley de la materia, se entenderá por negada la solicitud y podrá interponerse el recurso correspondiente. Por su parte, el artículo 72 del mismo ordenamiento legal establece el plazo de 15 días para interponer el recurso de revisión a partir del día siguiente al que tuvo conocimiento de la respuesta recaída a su solicitud, sin que se establezca excepción alguna tratándose de una falta de respuesta del sujeto obligado. Así, entonces, resulta evidente que, al no emitirse respuesta dentro del plazo establecido, se genera la ficción legal de una respuesta en sentido negativo; en el entendido de que el plazo para impugnar esa negativa podrá ser en cualquier tiempo y hasta en tanto no se dicte resolución expresa; es decir, mientras no haya respuesta por parte del Sujeto Obligado, momento a partir del cual deberá computarse el plazo previsto en el artículo 72 de la citada Ley.”</w:t>
      </w:r>
    </w:p>
    <w:p w14:paraId="3E2A4694" w14:textId="77777777" w:rsidR="00532AE4" w:rsidRPr="001D5563" w:rsidRDefault="00532AE4">
      <w:pPr>
        <w:ind w:left="567" w:right="851"/>
        <w:jc w:val="both"/>
        <w:rPr>
          <w:rFonts w:ascii="Palatino Linotype" w:eastAsia="Palatino Linotype" w:hAnsi="Palatino Linotype" w:cs="Palatino Linotype"/>
          <w:i/>
          <w:sz w:val="22"/>
          <w:szCs w:val="22"/>
        </w:rPr>
      </w:pPr>
    </w:p>
    <w:p w14:paraId="76E26C4F" w14:textId="169CE5C8" w:rsidR="00532AE4" w:rsidRPr="001D5563" w:rsidRDefault="00A76F12">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Además, una vez realizado el análisis del formato de interposición del recurso, se acreditan plenamente de todos y cada uno de los elementos formales exigidos por el artículo 180 de la Ley de Transparencia y Acceso a la Información Pública del Estado de México y Municipios, en atención a que fue presentado mediante el formato visible en </w:t>
      </w:r>
      <w:r w:rsidRPr="001D5563">
        <w:rPr>
          <w:rFonts w:ascii="Palatino Linotype" w:eastAsia="Palatino Linotype" w:hAnsi="Palatino Linotype" w:cs="Palatino Linotype"/>
          <w:b/>
          <w:sz w:val="22"/>
          <w:szCs w:val="22"/>
        </w:rPr>
        <w:t>EL</w:t>
      </w:r>
      <w:r w:rsidRPr="001D5563">
        <w:rPr>
          <w:rFonts w:ascii="Palatino Linotype" w:eastAsia="Palatino Linotype" w:hAnsi="Palatino Linotype" w:cs="Palatino Linotype"/>
          <w:sz w:val="22"/>
          <w:szCs w:val="22"/>
        </w:rPr>
        <w:t xml:space="preserve"> </w:t>
      </w:r>
      <w:r w:rsidRPr="001D5563">
        <w:rPr>
          <w:rFonts w:ascii="Palatino Linotype" w:eastAsia="Palatino Linotype" w:hAnsi="Palatino Linotype" w:cs="Palatino Linotype"/>
          <w:b/>
          <w:sz w:val="22"/>
          <w:szCs w:val="22"/>
        </w:rPr>
        <w:t>SAIMEX</w:t>
      </w:r>
      <w:r w:rsidRPr="001D5563">
        <w:rPr>
          <w:rFonts w:ascii="Palatino Linotype" w:eastAsia="Palatino Linotype" w:hAnsi="Palatino Linotype" w:cs="Palatino Linotype"/>
          <w:sz w:val="22"/>
          <w:szCs w:val="22"/>
        </w:rPr>
        <w:t>.</w:t>
      </w:r>
    </w:p>
    <w:p w14:paraId="1C27DB56" w14:textId="40163621" w:rsidR="00B503D1" w:rsidRPr="001D5563" w:rsidRDefault="00B503D1">
      <w:pPr>
        <w:pBdr>
          <w:top w:val="nil"/>
          <w:left w:val="nil"/>
          <w:bottom w:val="nil"/>
          <w:right w:val="nil"/>
          <w:between w:val="nil"/>
        </w:pBdr>
        <w:spacing w:line="360" w:lineRule="auto"/>
        <w:ind w:right="-147"/>
        <w:jc w:val="both"/>
        <w:rPr>
          <w:rFonts w:ascii="Palatino Linotype" w:eastAsia="Palatino Linotype" w:hAnsi="Palatino Linotype" w:cs="Palatino Linotype"/>
          <w:sz w:val="22"/>
          <w:szCs w:val="22"/>
        </w:rPr>
      </w:pPr>
    </w:p>
    <w:p w14:paraId="3A000848"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Ahora bien, resulta procedente la interposición del recurso de revisión, según lo aducido por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en términos del artículo 179, fracción VII del ordenamiento legal de la materia, que a la letra dice:</w:t>
      </w:r>
    </w:p>
    <w:p w14:paraId="2E4A863A"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C0C3143" w14:textId="77777777" w:rsidR="00532AE4" w:rsidRPr="001D5563" w:rsidRDefault="00A76F12">
      <w:pPr>
        <w:ind w:left="567" w:right="616"/>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i/>
          <w:sz w:val="22"/>
          <w:szCs w:val="22"/>
        </w:rPr>
        <w:t>“</w:t>
      </w:r>
      <w:r w:rsidRPr="001D5563">
        <w:rPr>
          <w:rFonts w:ascii="Palatino Linotype" w:eastAsia="Palatino Linotype" w:hAnsi="Palatino Linotype" w:cs="Palatino Linotype"/>
          <w:b/>
          <w:sz w:val="22"/>
          <w:szCs w:val="22"/>
        </w:rPr>
        <w:t>Artículo 179.</w:t>
      </w:r>
      <w:r w:rsidRPr="001D5563">
        <w:rPr>
          <w:rFonts w:ascii="Palatino Linotype" w:eastAsia="Palatino Linotype" w:hAnsi="Palatino Linotype" w:cs="Palatino Linotype"/>
          <w:i/>
          <w:sz w:val="22"/>
          <w:szCs w:val="22"/>
        </w:rPr>
        <w:t xml:space="preserve">El recurso de revisión es un medio de protección que la Ley otorga a los particulares, para hacer valer su derecho de acceso a la información pública, y procederá en contra de las siguientes causas: </w:t>
      </w:r>
      <w:r w:rsidRPr="001D5563">
        <w:rPr>
          <w:rFonts w:ascii="Palatino Linotype" w:eastAsia="Palatino Linotype" w:hAnsi="Palatino Linotype" w:cs="Palatino Linotype"/>
          <w:sz w:val="22"/>
          <w:szCs w:val="22"/>
        </w:rPr>
        <w:t> </w:t>
      </w:r>
    </w:p>
    <w:p w14:paraId="7ACAE181" w14:textId="77777777" w:rsidR="00532AE4" w:rsidRPr="001D5563" w:rsidRDefault="00A76F12">
      <w:pPr>
        <w:ind w:left="567" w:right="616"/>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w:t>
      </w:r>
    </w:p>
    <w:p w14:paraId="543A0FF7" w14:textId="77777777" w:rsidR="00532AE4" w:rsidRPr="001D5563" w:rsidRDefault="00A76F12">
      <w:pPr>
        <w:numPr>
          <w:ilvl w:val="0"/>
          <w:numId w:val="4"/>
        </w:numPr>
        <w:ind w:left="567" w:right="616" w:firstLine="0"/>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La falta de respuesta a una solicitud de acceso a la información…</w:t>
      </w:r>
    </w:p>
    <w:p w14:paraId="52836B8B" w14:textId="77777777" w:rsidR="00532AE4" w:rsidRPr="001D5563" w:rsidRDefault="00532AE4">
      <w:pPr>
        <w:spacing w:line="360" w:lineRule="auto"/>
        <w:ind w:right="1041"/>
        <w:jc w:val="both"/>
        <w:rPr>
          <w:rFonts w:ascii="Palatino Linotype" w:eastAsia="Palatino Linotype" w:hAnsi="Palatino Linotype" w:cs="Palatino Linotype"/>
          <w:i/>
          <w:sz w:val="22"/>
          <w:szCs w:val="22"/>
        </w:rPr>
      </w:pPr>
    </w:p>
    <w:p w14:paraId="16C19428" w14:textId="77777777" w:rsidR="00532AE4" w:rsidRPr="001D5563" w:rsidRDefault="00A76F12">
      <w:pPr>
        <w:tabs>
          <w:tab w:val="left" w:pos="8647"/>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Tercero. Materia de la revisión. </w:t>
      </w:r>
      <w:r w:rsidRPr="001D5563">
        <w:rPr>
          <w:rFonts w:ascii="Palatino Linotype" w:eastAsia="Palatino Linotype" w:hAnsi="Palatino Linotype" w:cs="Palatino Linotype"/>
          <w:sz w:val="22"/>
          <w:szCs w:val="22"/>
        </w:rPr>
        <w:t xml:space="preserve">Este Organismo Garante procede del análisis de los agravios hechos valer por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xml:space="preserve">, a fin de determinar si se violenta en perjuicio de este, el derecho de acceso a la información previsto en la Constitución Política de los </w:t>
      </w:r>
      <w:r w:rsidRPr="001D5563">
        <w:rPr>
          <w:rFonts w:ascii="Palatino Linotype" w:eastAsia="Palatino Linotype" w:hAnsi="Palatino Linotype" w:cs="Palatino Linotype"/>
          <w:sz w:val="22"/>
          <w:szCs w:val="22"/>
        </w:rPr>
        <w:lastRenderedPageBreak/>
        <w:t xml:space="preserve">Estados Unidos Mexicanos y en la Constitución Política del Estado Libre y Soberano de México. </w:t>
      </w:r>
    </w:p>
    <w:p w14:paraId="1B5D8226" w14:textId="77777777" w:rsidR="00532AE4" w:rsidRPr="001D5563" w:rsidRDefault="00532AE4">
      <w:pPr>
        <w:tabs>
          <w:tab w:val="left" w:pos="8647"/>
        </w:tabs>
        <w:spacing w:line="360" w:lineRule="auto"/>
        <w:jc w:val="both"/>
        <w:rPr>
          <w:rFonts w:ascii="Palatino Linotype" w:eastAsia="Palatino Linotype" w:hAnsi="Palatino Linotype" w:cs="Palatino Linotype"/>
          <w:sz w:val="22"/>
          <w:szCs w:val="22"/>
        </w:rPr>
      </w:pPr>
    </w:p>
    <w:p w14:paraId="6D56A772"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Cuarto. Estudio del asunto. </w:t>
      </w:r>
      <w:r w:rsidRPr="001D5563">
        <w:rPr>
          <w:rFonts w:ascii="Palatino Linotype" w:eastAsia="Palatino Linotype" w:hAnsi="Palatino Linotype" w:cs="Palatino Linotype"/>
          <w:sz w:val="22"/>
          <w:szCs w:val="22"/>
        </w:rPr>
        <w:t xml:space="preserve">Una vez determinada la vía sobre la que versará el presente recurso, y previa revisión del expediente del recurso de revisión materia de la presente resolución, se advierte que el </w:t>
      </w:r>
      <w:r w:rsidRPr="001D5563">
        <w:rPr>
          <w:rFonts w:ascii="Palatino Linotype" w:eastAsia="Palatino Linotype" w:hAnsi="Palatino Linotype" w:cs="Palatino Linotype"/>
          <w:b/>
          <w:sz w:val="22"/>
          <w:szCs w:val="22"/>
        </w:rPr>
        <w:t xml:space="preserve">Sujeto Obligado </w:t>
      </w:r>
      <w:r w:rsidRPr="001D5563">
        <w:rPr>
          <w:rFonts w:ascii="Palatino Linotype" w:eastAsia="Palatino Linotype" w:hAnsi="Palatino Linotype" w:cs="Palatino Linotype"/>
          <w:sz w:val="22"/>
          <w:szCs w:val="22"/>
        </w:rPr>
        <w:t xml:space="preserve">no dio respuesta a la solicitud de información planteada por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xml:space="preserve">, lo que se traduce como la configuración de la </w:t>
      </w:r>
      <w:r w:rsidRPr="001D5563">
        <w:rPr>
          <w:rFonts w:ascii="Palatino Linotype" w:eastAsia="Palatino Linotype" w:hAnsi="Palatino Linotype" w:cs="Palatino Linotype"/>
          <w:b/>
          <w:sz w:val="22"/>
          <w:szCs w:val="22"/>
        </w:rPr>
        <w:t>negativa ficta</w:t>
      </w:r>
      <w:r w:rsidRPr="001D5563">
        <w:rPr>
          <w:rFonts w:ascii="Palatino Linotype" w:eastAsia="Palatino Linotype" w:hAnsi="Palatino Linotype" w:cs="Palatino Linotype"/>
          <w:sz w:val="22"/>
          <w:szCs w:val="22"/>
        </w:rPr>
        <w:t xml:space="preserve">, situación que demuestra la existencia del acto impugnado y procedencia del motivo de inconformidad, que en términos generales consistente en que 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no emitió respuesta a la solicitud de información, dentro del plazo legal previsto para ello.</w:t>
      </w:r>
    </w:p>
    <w:p w14:paraId="3062B0BC"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522DA90" w14:textId="7909FE00"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Previo a exponer los argumentos que justifiquen la afirmación que antecede, es necesario precisar que, del análisis realizado a la solicitud formulada por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xml:space="preserve">, se advierte que requirió al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le proporcionara, información consistente en lo siguiente:</w:t>
      </w:r>
    </w:p>
    <w:p w14:paraId="0F623E30" w14:textId="77777777" w:rsidR="00B34D4A" w:rsidRPr="001D5563" w:rsidRDefault="00B34D4A">
      <w:pPr>
        <w:spacing w:line="360" w:lineRule="auto"/>
        <w:jc w:val="both"/>
        <w:rPr>
          <w:rFonts w:ascii="Palatino Linotype" w:eastAsia="Palatino Linotype" w:hAnsi="Palatino Linotype" w:cs="Palatino Linotype"/>
          <w:sz w:val="22"/>
          <w:szCs w:val="22"/>
        </w:rPr>
      </w:pPr>
    </w:p>
    <w:p w14:paraId="35279DFB" w14:textId="2F559A0D" w:rsidR="00532AE4" w:rsidRPr="001D5563" w:rsidRDefault="00B82C51" w:rsidP="007276F5">
      <w:pPr>
        <w:jc w:val="both"/>
        <w:rPr>
          <w:rFonts w:ascii="Palatino Linotype" w:eastAsia="Palatino Linotype" w:hAnsi="Palatino Linotype"/>
          <w:i/>
          <w:sz w:val="22"/>
          <w:szCs w:val="22"/>
        </w:rPr>
      </w:pPr>
      <w:r w:rsidRPr="001D5563">
        <w:rPr>
          <w:rFonts w:ascii="Palatino Linotype" w:eastAsia="Palatino Linotype" w:hAnsi="Palatino Linotype"/>
          <w:i/>
          <w:sz w:val="22"/>
          <w:szCs w:val="22"/>
        </w:rPr>
        <w:t>“</w:t>
      </w:r>
      <w:r w:rsidR="00740627" w:rsidRPr="001D5563">
        <w:rPr>
          <w:rFonts w:ascii="Palatino Linotype" w:eastAsia="Palatino Linotype" w:hAnsi="Palatino Linotype"/>
          <w:i/>
          <w:sz w:val="22"/>
          <w:szCs w:val="22"/>
        </w:rPr>
        <w:t xml:space="preserve">Con fundamento en los artículos 6° de la Constitución Política de los Estados Unidos Mexicanos, 5° de la Constitución del Estado Libre y Soberano de México, y los artículos 1, 4, 12, 23, 160, 168 y 169 de la Ley de Transparencia y Acceso a la Información Pública del Estado de México y Municipios, solicito en formato digital y versión pública los siguientes registros públicos en posesión de la Dirección de Desarrollo Urbano, relacionados con el expediente de queja CODHEM/CHA/149/2026 y la investigación de Contraloría OICMC/AI/EI/027/2026: 1. Copia de la Orden de Comisión, Oficio de Asignación o Pase de Salida expedido de manera personal a favor del Titular/Director de Desarrollo Urbano que le facultó para constituirse y realizar de forma personal la diligencia presencial conjunta de verificación de uso de suelo y zonificación in situ el día 07 de abril de 2026 (junto con el Lic. Daniel Islas Rojas de Protección Civil/Consejería Jurídica y los titulares de Ecología y Desarrollo Económico) en la instalación comercial e industrial de confección de cazos y anafres ubicada en las Coordenadas UTM Zona 14N (517222.59 m E, 2126557.30 m N) / Coordenadas Geográficas Decimales (19.232094, -98.836673) del Ejido del Moral. 2. Copia del Acta Circunstanciada de Inspección de Campo, Cédula de Inspección de Uso de Suelo o Reporte Técnico elaborado y firmado directamente por el Titular/Director de Desarrollo Urbano con motivo de su participación presencial en la </w:t>
      </w:r>
      <w:r w:rsidR="00740627" w:rsidRPr="001D5563">
        <w:rPr>
          <w:rFonts w:ascii="Palatino Linotype" w:eastAsia="Palatino Linotype" w:hAnsi="Palatino Linotype"/>
          <w:i/>
          <w:sz w:val="22"/>
          <w:szCs w:val="22"/>
        </w:rPr>
        <w:lastRenderedPageBreak/>
        <w:t>diligencia ejecutada el día 07 de abril de 2026 en el predio georreferenciado. 3. Copia del Dictamen Técnico Limítrofe, Ficha Cartográfica o Plano Temático de Usos de Suelo que el Titular/Director de Desarrollo Urbano haya suscrito o tomado como base técnica para calificar la adscripción territorial o incompetencia del predio con posterioridad a la diligencia en que intervino personalmente</w:t>
      </w:r>
      <w:r w:rsidR="009C3B23" w:rsidRPr="001D5563">
        <w:rPr>
          <w:rFonts w:ascii="Palatino Linotype" w:eastAsia="Palatino Linotype" w:hAnsi="Palatino Linotype"/>
          <w:i/>
          <w:sz w:val="22"/>
          <w:szCs w:val="22"/>
        </w:rPr>
        <w:t>”</w:t>
      </w:r>
      <w:r w:rsidR="00223CD6" w:rsidRPr="001D5563">
        <w:rPr>
          <w:rFonts w:ascii="Palatino Linotype" w:eastAsia="Palatino Linotype" w:hAnsi="Palatino Linotype"/>
          <w:i/>
          <w:sz w:val="22"/>
          <w:szCs w:val="22"/>
        </w:rPr>
        <w:t xml:space="preserve"> (</w:t>
      </w:r>
      <w:r w:rsidR="00A76F12" w:rsidRPr="001D5563">
        <w:rPr>
          <w:rFonts w:ascii="Palatino Linotype" w:eastAsia="Palatino Linotype" w:hAnsi="Palatino Linotype"/>
          <w:i/>
          <w:sz w:val="22"/>
          <w:szCs w:val="22"/>
        </w:rPr>
        <w:t>Sic)</w:t>
      </w:r>
    </w:p>
    <w:p w14:paraId="4BE46D97" w14:textId="77777777" w:rsidR="00532AE4" w:rsidRPr="001D5563"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i/>
          <w:sz w:val="22"/>
          <w:szCs w:val="22"/>
        </w:rPr>
      </w:pPr>
    </w:p>
    <w:p w14:paraId="154D17AB"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Precisado lo anterior, se procede al análisis del presente recurso, así como al contenido íntegro de las actuaciones que obran en el expediente electrónico, para así estar en posibilidad este Organismo Garante de dictar el fallo correspondiente conforme a derecho, tomando en consideración los elementos aportados por las partes y apegándose en todo momento al principio de máxima publicidad consagrado en nuestra Constitución Federal, Local y demás leyes aplicables en la materia, así como en los tratados internacionales en los que el Estado Mexicano sea parte, en concordancia con el artículo 8 de la Ley de Transparencia local.</w:t>
      </w:r>
    </w:p>
    <w:p w14:paraId="4991BE7B"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74559D5" w14:textId="77777777" w:rsidR="00532AE4" w:rsidRPr="001D5563" w:rsidRDefault="00A76F12">
      <w:pPr>
        <w:tabs>
          <w:tab w:val="left" w:pos="709"/>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En primer lugar, es menester mencionar que el derecho de acceso a la información está consagrado en instrumentos internacionales de los cuales el Estado Mexicano se ha adherido, sin oponer reserva alguna sobre lo que nos interesa, adoptando dichas disposiciones al Derecho Interno, específicamente a nivel Constitucional, tal y como lo prevén los arábigos 1 párrafos primero, segundo y tercero y 6 apartado A fracciones I, II, III, IV, V, VI y VII que a la letra señalan:</w:t>
      </w:r>
    </w:p>
    <w:p w14:paraId="3A9448D3" w14:textId="77777777" w:rsidR="00532AE4" w:rsidRPr="001D5563" w:rsidRDefault="00532AE4">
      <w:pPr>
        <w:tabs>
          <w:tab w:val="left" w:pos="709"/>
        </w:tabs>
        <w:spacing w:line="360" w:lineRule="auto"/>
        <w:jc w:val="both"/>
        <w:rPr>
          <w:rFonts w:ascii="Palatino Linotype" w:eastAsia="Palatino Linotype" w:hAnsi="Palatino Linotype" w:cs="Palatino Linotype"/>
          <w:sz w:val="22"/>
          <w:szCs w:val="22"/>
        </w:rPr>
      </w:pPr>
    </w:p>
    <w:p w14:paraId="65BA97A6" w14:textId="77777777" w:rsidR="00532AE4" w:rsidRPr="001D5563"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u w:val="single"/>
        </w:rPr>
        <w:t>“Artículo 1o. En los Estados Unidos Mexicanos todas las personas gozarán de los derechos humanos reconocidos en esta Constitución y en los tratados internacionales de los que el Estado Mexicano sea parte</w:t>
      </w:r>
      <w:r w:rsidRPr="001D5563">
        <w:rPr>
          <w:rFonts w:ascii="Palatino Linotype" w:eastAsia="Palatino Linotype" w:hAnsi="Palatino Linotype" w:cs="Palatino Linotype"/>
          <w:i/>
          <w:sz w:val="22"/>
          <w:szCs w:val="22"/>
        </w:rPr>
        <w:t>, así como de las garantías para su protección, cuyo ejercicio no podrá restringirse ni suspenderse, salvo en los casos y bajo las condiciones que esta Constitución establece.</w:t>
      </w:r>
    </w:p>
    <w:p w14:paraId="4258A2B5" w14:textId="77777777" w:rsidR="00532AE4" w:rsidRPr="001D5563" w:rsidRDefault="00A76F12">
      <w:pPr>
        <w:tabs>
          <w:tab w:val="left" w:pos="709"/>
        </w:tabs>
        <w:spacing w:line="276" w:lineRule="auto"/>
        <w:ind w:left="567" w:right="851"/>
        <w:jc w:val="both"/>
        <w:rPr>
          <w:rFonts w:ascii="Palatino Linotype" w:eastAsia="Palatino Linotype" w:hAnsi="Palatino Linotype" w:cs="Palatino Linotype"/>
          <w:b/>
          <w:i/>
          <w:sz w:val="22"/>
          <w:szCs w:val="22"/>
        </w:rPr>
      </w:pPr>
      <w:r w:rsidRPr="001D5563">
        <w:rPr>
          <w:rFonts w:ascii="Palatino Linotype" w:eastAsia="Palatino Linotype" w:hAnsi="Palatino Linotype" w:cs="Palatino Linotype"/>
          <w:b/>
          <w:i/>
          <w:sz w:val="22"/>
          <w:szCs w:val="22"/>
        </w:rPr>
        <w:t xml:space="preserve">Las normas relativas a los derechos humanos se interpretarán de conformidad con esta Constitución y con los tratados internacionales de la </w:t>
      </w:r>
      <w:r w:rsidRPr="001D5563">
        <w:rPr>
          <w:rFonts w:ascii="Palatino Linotype" w:eastAsia="Palatino Linotype" w:hAnsi="Palatino Linotype" w:cs="Palatino Linotype"/>
          <w:b/>
          <w:i/>
          <w:sz w:val="22"/>
          <w:szCs w:val="22"/>
        </w:rPr>
        <w:lastRenderedPageBreak/>
        <w:t>materia favoreciendo en todo tiempo a las personas la protección más amplia.</w:t>
      </w:r>
    </w:p>
    <w:p w14:paraId="5D66C6B4" w14:textId="77777777" w:rsidR="00532AE4" w:rsidRPr="001D5563"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u w:val="single"/>
        </w:rPr>
        <w:t>Todas las autoridades, en el ámbito de sus competencias, tienen la obligación de promover, respetar, proteger y garantizar los derechos humanos de conformidad con los principios de universalidad, interdependencia, indivisibilidad y progresividad.</w:t>
      </w:r>
      <w:r w:rsidRPr="001D5563">
        <w:rPr>
          <w:rFonts w:ascii="Palatino Linotype" w:eastAsia="Palatino Linotype" w:hAnsi="Palatino Linotype" w:cs="Palatino Linotype"/>
          <w:i/>
          <w:sz w:val="22"/>
          <w:szCs w:val="22"/>
        </w:rPr>
        <w:t xml:space="preserve"> En consecuencia, el Estado deberá prevenir, investigar, sancionar y reparar las violaciones a los derechos humanos, en los términos que establezca la ley</w:t>
      </w:r>
    </w:p>
    <w:p w14:paraId="4AE1D622" w14:textId="77777777" w:rsidR="00532AE4" w:rsidRPr="001D5563" w:rsidRDefault="00A76F12">
      <w:pPr>
        <w:tabs>
          <w:tab w:val="left" w:pos="709"/>
        </w:tabs>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p>
    <w:p w14:paraId="54E0C206"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“Artículo 6o.</w:t>
      </w:r>
    </w:p>
    <w:p w14:paraId="4D803AB1"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p>
    <w:p w14:paraId="4B588253"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A. Para el ejercicio del derecho de acceso a la información, la Federación y </w:t>
      </w:r>
      <w:r w:rsidRPr="001D5563">
        <w:rPr>
          <w:rFonts w:ascii="Palatino Linotype" w:eastAsia="Palatino Linotype" w:hAnsi="Palatino Linotype" w:cs="Palatino Linotype"/>
          <w:b/>
          <w:i/>
          <w:sz w:val="22"/>
          <w:szCs w:val="22"/>
          <w:u w:val="single"/>
        </w:rPr>
        <w:t>las entidades federativas</w:t>
      </w:r>
      <w:r w:rsidRPr="001D5563">
        <w:rPr>
          <w:rFonts w:ascii="Palatino Linotype" w:eastAsia="Palatino Linotype" w:hAnsi="Palatino Linotype" w:cs="Palatino Linotype"/>
          <w:b/>
          <w:i/>
          <w:sz w:val="22"/>
          <w:szCs w:val="22"/>
        </w:rPr>
        <w:t>,</w:t>
      </w:r>
      <w:r w:rsidRPr="001D5563">
        <w:rPr>
          <w:rFonts w:ascii="Palatino Linotype" w:eastAsia="Palatino Linotype" w:hAnsi="Palatino Linotype" w:cs="Palatino Linotype"/>
          <w:i/>
          <w:sz w:val="22"/>
          <w:szCs w:val="22"/>
        </w:rPr>
        <w:t xml:space="preserve"> en el ámbito de sus respectivas competencias, se regirán por los siguientes principios y bases:</w:t>
      </w:r>
    </w:p>
    <w:p w14:paraId="1D8C84D1"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 </w:t>
      </w:r>
      <w:r w:rsidRPr="001D5563">
        <w:rPr>
          <w:rFonts w:ascii="Palatino Linotype" w:eastAsia="Palatino Linotype" w:hAnsi="Palatino Linotype" w:cs="Palatino Linotype"/>
          <w:b/>
          <w:i/>
          <w:sz w:val="22"/>
          <w:szCs w:val="22"/>
          <w:u w:val="single"/>
        </w:rPr>
        <w:t>Toda la información en posesión de cualquier autoridad, entidad, órgano y organismo de los Poderes</w:t>
      </w:r>
      <w:r w:rsidRPr="001D5563">
        <w:rPr>
          <w:rFonts w:ascii="Palatino Linotype" w:eastAsia="Palatino Linotype" w:hAnsi="Palatino Linotype" w:cs="Palatino Linotype"/>
          <w:i/>
          <w:sz w:val="22"/>
          <w:szCs w:val="22"/>
        </w:rPr>
        <w:t xml:space="preserve"> Ejecutivo, Legislativo </w:t>
      </w:r>
      <w:r w:rsidRPr="001D5563">
        <w:rPr>
          <w:rFonts w:ascii="Palatino Linotype" w:eastAsia="Palatino Linotype" w:hAnsi="Palatino Linotype" w:cs="Palatino Linotype"/>
          <w:b/>
          <w:i/>
          <w:sz w:val="22"/>
          <w:szCs w:val="22"/>
          <w:u w:val="single"/>
        </w:rPr>
        <w:t>y Judicial</w:t>
      </w:r>
      <w:r w:rsidRPr="001D5563">
        <w:rPr>
          <w:rFonts w:ascii="Palatino Linotype" w:eastAsia="Palatino Linotype" w:hAnsi="Palatino Linotype" w:cs="Palatino Linotype"/>
          <w:i/>
          <w:sz w:val="22"/>
          <w:szCs w:val="22"/>
        </w:rPr>
        <w:t xml:space="preserve">, órganos autónomos, partidos políticos, fideicomisos y fondos públicos, así como de cualquier persona física, moral o sindicato que reciba y ejerza recursos públicos o realice actos de autoridad en el ámbito federal, estatal y municipal, </w:t>
      </w:r>
      <w:r w:rsidRPr="001D5563">
        <w:rPr>
          <w:rFonts w:ascii="Palatino Linotype" w:eastAsia="Palatino Linotype" w:hAnsi="Palatino Linotype" w:cs="Palatino Linotype"/>
          <w:b/>
          <w:i/>
          <w:sz w:val="22"/>
          <w:szCs w:val="22"/>
        </w:rPr>
        <w:t>es pública y sólo podrá ser reservada temporalmente por razones de interés público y seguridad nacional,</w:t>
      </w:r>
      <w:r w:rsidRPr="001D5563">
        <w:rPr>
          <w:rFonts w:ascii="Palatino Linotype" w:eastAsia="Palatino Linotype" w:hAnsi="Palatino Linotype" w:cs="Palatino Linotype"/>
          <w:i/>
          <w:sz w:val="22"/>
          <w:szCs w:val="22"/>
        </w:rPr>
        <w:t xml:space="preserve"> en los términos que fijen las leyes. En la interpretación de este derecho deberá prevalecer el principio de máxima publicidad. Los sujetos obligados deberán documentar todo acto que derive del ejercicio de sus facultades, competencias o funciones, la ley determinará los supuestos específicos bajo los cuales procederá la declaración de inexistencia de la información.</w:t>
      </w:r>
    </w:p>
    <w:p w14:paraId="32D01786" w14:textId="77777777" w:rsidR="00532AE4" w:rsidRPr="001D5563" w:rsidRDefault="00A76F12">
      <w:pPr>
        <w:spacing w:line="276" w:lineRule="auto"/>
        <w:ind w:left="567" w:right="851"/>
        <w:jc w:val="both"/>
        <w:rPr>
          <w:rFonts w:ascii="Palatino Linotype" w:eastAsia="Palatino Linotype" w:hAnsi="Palatino Linotype" w:cs="Palatino Linotype"/>
          <w:b/>
          <w:i/>
          <w:sz w:val="22"/>
          <w:szCs w:val="22"/>
        </w:rPr>
      </w:pPr>
      <w:r w:rsidRPr="001D5563">
        <w:rPr>
          <w:rFonts w:ascii="Palatino Linotype" w:eastAsia="Palatino Linotype" w:hAnsi="Palatino Linotype" w:cs="Palatino Linotype"/>
          <w:b/>
          <w:i/>
          <w:sz w:val="22"/>
          <w:szCs w:val="22"/>
        </w:rPr>
        <w:t>II. La información que se refiere a la vida privada y los datos personales será protegida en los términos y con las excepciones que fijen las leyes.</w:t>
      </w:r>
    </w:p>
    <w:p w14:paraId="74234219"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III. </w:t>
      </w:r>
      <w:r w:rsidRPr="001D5563">
        <w:rPr>
          <w:rFonts w:ascii="Palatino Linotype" w:eastAsia="Palatino Linotype" w:hAnsi="Palatino Linotype" w:cs="Palatino Linotype"/>
          <w:b/>
          <w:i/>
          <w:sz w:val="22"/>
          <w:szCs w:val="22"/>
          <w:u w:val="single"/>
        </w:rPr>
        <w:t>Toda persona, sin necesidad de acreditar interés alguno o justificar su utilización, tendrá acceso gratuito a la información pública,</w:t>
      </w:r>
      <w:r w:rsidRPr="001D5563">
        <w:rPr>
          <w:rFonts w:ascii="Palatino Linotype" w:eastAsia="Palatino Linotype" w:hAnsi="Palatino Linotype" w:cs="Palatino Linotype"/>
          <w:i/>
          <w:sz w:val="22"/>
          <w:szCs w:val="22"/>
        </w:rPr>
        <w:t xml:space="preserve"> a sus datos personales o a la rectificación de éstos.</w:t>
      </w:r>
    </w:p>
    <w:p w14:paraId="07ABB1CC"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IV.</w:t>
      </w:r>
      <w:r w:rsidRPr="001D5563">
        <w:rPr>
          <w:rFonts w:ascii="Palatino Linotype" w:eastAsia="Palatino Linotype" w:hAnsi="Palatino Linotype" w:cs="Palatino Linotype"/>
          <w:i/>
          <w:sz w:val="22"/>
          <w:szCs w:val="22"/>
        </w:rPr>
        <w:t xml:space="preserve"> Se establecerán mecanismos de acceso a la información pública y procedimientos de revisión expeditos que se sustanciarán ante las instancias competentes en los términos que fija esta Constitución y las leyes.</w:t>
      </w:r>
    </w:p>
    <w:p w14:paraId="60D08432" w14:textId="77777777" w:rsidR="00532AE4" w:rsidRPr="001D5563" w:rsidRDefault="00A76F12">
      <w:pPr>
        <w:spacing w:line="276" w:lineRule="auto"/>
        <w:ind w:left="567" w:right="851"/>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lastRenderedPageBreak/>
        <w:t xml:space="preserve">V. </w:t>
      </w:r>
      <w:r w:rsidRPr="001D5563">
        <w:rPr>
          <w:rFonts w:ascii="Palatino Linotype" w:eastAsia="Palatino Linotype" w:hAnsi="Palatino Linotype" w:cs="Palatino Linotype"/>
          <w:i/>
          <w:sz w:val="22"/>
          <w:szCs w:val="22"/>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14:paraId="3A6C6EFF" w14:textId="77777777" w:rsidR="00532AE4" w:rsidRPr="001D5563" w:rsidRDefault="00532AE4">
      <w:pPr>
        <w:spacing w:line="276" w:lineRule="auto"/>
        <w:ind w:left="567" w:right="851"/>
        <w:jc w:val="both"/>
        <w:rPr>
          <w:rFonts w:ascii="Palatino Linotype" w:eastAsia="Palatino Linotype" w:hAnsi="Palatino Linotype" w:cs="Palatino Linotype"/>
          <w:b/>
          <w:i/>
          <w:sz w:val="22"/>
          <w:szCs w:val="22"/>
        </w:rPr>
      </w:pPr>
    </w:p>
    <w:p w14:paraId="6CEAF7A3" w14:textId="77777777" w:rsidR="00532AE4" w:rsidRPr="001D5563" w:rsidRDefault="00532AE4">
      <w:pPr>
        <w:spacing w:line="360" w:lineRule="auto"/>
        <w:ind w:left="567" w:right="851"/>
        <w:jc w:val="both"/>
        <w:rPr>
          <w:rFonts w:ascii="Palatino Linotype" w:eastAsia="Palatino Linotype" w:hAnsi="Palatino Linotype" w:cs="Palatino Linotype"/>
          <w:i/>
          <w:sz w:val="22"/>
          <w:szCs w:val="22"/>
        </w:rPr>
      </w:pPr>
    </w:p>
    <w:p w14:paraId="0D2B219A" w14:textId="77777777" w:rsidR="00532AE4" w:rsidRPr="001D5563" w:rsidRDefault="00A76F12">
      <w:pPr>
        <w:tabs>
          <w:tab w:val="left" w:pos="709"/>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Así, de la interpretación sistémica de los numerales inmersos en el instrumento legal nacional, el derecho de acceso a la información es un derecho del cual goza toda persona sin discriminación alguna, el cual se ejerce ante los Poderes del Estado, entidades, dependencias o cualquiera persona física o moral que reciba y ejerza recursos públicos, siendo pública toda la información que posean con las excepciones enmarcadas, para lo cual queda demostrado que los Sujetos Obligados deben cumplir con dichos dispositivos legales.</w:t>
      </w:r>
    </w:p>
    <w:p w14:paraId="4AB4CE50" w14:textId="77777777" w:rsidR="00532AE4" w:rsidRPr="001D5563" w:rsidRDefault="00532AE4">
      <w:pPr>
        <w:tabs>
          <w:tab w:val="left" w:pos="709"/>
        </w:tabs>
        <w:spacing w:line="360" w:lineRule="auto"/>
        <w:jc w:val="both"/>
        <w:rPr>
          <w:rFonts w:ascii="Palatino Linotype" w:eastAsia="Palatino Linotype" w:hAnsi="Palatino Linotype" w:cs="Palatino Linotype"/>
          <w:sz w:val="22"/>
          <w:szCs w:val="22"/>
        </w:rPr>
      </w:pPr>
    </w:p>
    <w:p w14:paraId="155BA3D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En ese orden de ideas, la Ley de Transparencia y Acceso a la Información Pública del Estado de México y Municipios, prevé en su artículo 23, lo siguiente:</w:t>
      </w:r>
    </w:p>
    <w:p w14:paraId="77A91B3C"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D86CC7A"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r w:rsidRPr="001D5563">
        <w:rPr>
          <w:rFonts w:ascii="Palatino Linotype" w:eastAsia="Palatino Linotype" w:hAnsi="Palatino Linotype" w:cs="Palatino Linotype"/>
          <w:b/>
          <w:i/>
          <w:sz w:val="22"/>
          <w:szCs w:val="22"/>
        </w:rPr>
        <w:t>Artículo 23. Son sujetos obligados a transparentar y permitir el acceso a su información y proteger los datos personales que obren en su poder</w:t>
      </w:r>
      <w:r w:rsidRPr="001D5563">
        <w:rPr>
          <w:rFonts w:ascii="Palatino Linotype" w:eastAsia="Palatino Linotype" w:hAnsi="Palatino Linotype" w:cs="Palatino Linotype"/>
          <w:i/>
          <w:sz w:val="22"/>
          <w:szCs w:val="22"/>
        </w:rPr>
        <w:t>:</w:t>
      </w:r>
    </w:p>
    <w:p w14:paraId="275F2B94"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1D5563">
        <w:rPr>
          <w:rFonts w:ascii="Palatino Linotype" w:eastAsia="Palatino Linotype" w:hAnsi="Palatino Linotype" w:cs="Palatino Linotype"/>
          <w:b/>
          <w:i/>
          <w:sz w:val="22"/>
          <w:szCs w:val="22"/>
        </w:rPr>
        <w:t>I.</w:t>
      </w:r>
      <w:r w:rsidRPr="001D5563">
        <w:rPr>
          <w:rFonts w:ascii="Palatino Linotype" w:eastAsia="Palatino Linotype" w:hAnsi="Palatino Linotype" w:cs="Palatino Linotype"/>
          <w:i/>
          <w:sz w:val="22"/>
          <w:szCs w:val="22"/>
        </w:rPr>
        <w:t xml:space="preserve"> El Poder Ejecutivo del Estado de México, las dependencias, organismos auxiliares,</w:t>
      </w:r>
      <w:r w:rsidRPr="001D5563">
        <w:rPr>
          <w:rFonts w:ascii="Palatino Linotype" w:eastAsia="Palatino Linotype" w:hAnsi="Palatino Linotype" w:cs="Palatino Linotype"/>
          <w:b/>
          <w:i/>
          <w:sz w:val="22"/>
          <w:szCs w:val="22"/>
        </w:rPr>
        <w:t xml:space="preserve"> </w:t>
      </w:r>
      <w:r w:rsidRPr="001D5563">
        <w:rPr>
          <w:rFonts w:ascii="Palatino Linotype" w:eastAsia="Palatino Linotype" w:hAnsi="Palatino Linotype" w:cs="Palatino Linotype"/>
          <w:i/>
          <w:sz w:val="22"/>
          <w:szCs w:val="22"/>
        </w:rPr>
        <w:t>órganos, entidades, fideicomisos y fondos públicos, así como la Procuraduría General de Justicia;</w:t>
      </w:r>
    </w:p>
    <w:p w14:paraId="09179CA5"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II.</w:t>
      </w:r>
      <w:r w:rsidRPr="001D5563">
        <w:rPr>
          <w:rFonts w:ascii="Palatino Linotype" w:eastAsia="Palatino Linotype" w:hAnsi="Palatino Linotype" w:cs="Palatino Linotype"/>
          <w:i/>
          <w:sz w:val="22"/>
          <w:szCs w:val="22"/>
        </w:rPr>
        <w:t xml:space="preserve"> El Poder Legislativo del Estado, los organismos, órganos y entidades de la Legislatura y sus dependencias;</w:t>
      </w:r>
    </w:p>
    <w:p w14:paraId="69E10B2E"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III.</w:t>
      </w:r>
      <w:r w:rsidRPr="001D5563">
        <w:rPr>
          <w:rFonts w:ascii="Palatino Linotype" w:eastAsia="Palatino Linotype" w:hAnsi="Palatino Linotype" w:cs="Palatino Linotype"/>
          <w:i/>
          <w:sz w:val="22"/>
          <w:szCs w:val="22"/>
        </w:rPr>
        <w:t xml:space="preserve"> El Poder Judicial, sus organismos, órganos y entidades, así como el Consejo de la Judicatura del Estado;</w:t>
      </w:r>
    </w:p>
    <w:p w14:paraId="7976C81D"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b/>
          <w:i/>
          <w:sz w:val="22"/>
          <w:szCs w:val="22"/>
        </w:rPr>
      </w:pPr>
      <w:r w:rsidRPr="001D5563">
        <w:rPr>
          <w:rFonts w:ascii="Palatino Linotype" w:eastAsia="Palatino Linotype" w:hAnsi="Palatino Linotype" w:cs="Palatino Linotype"/>
          <w:b/>
          <w:i/>
          <w:sz w:val="22"/>
          <w:szCs w:val="22"/>
        </w:rPr>
        <w:t>IV. Los ayuntamientos y las dependencias, organismos, órganos y entidades de la administración municipal;</w:t>
      </w:r>
    </w:p>
    <w:p w14:paraId="5CE7E9A8"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V.</w:t>
      </w:r>
      <w:r w:rsidRPr="001D5563">
        <w:rPr>
          <w:rFonts w:ascii="Palatino Linotype" w:eastAsia="Palatino Linotype" w:hAnsi="Palatino Linotype" w:cs="Palatino Linotype"/>
          <w:i/>
          <w:sz w:val="22"/>
          <w:szCs w:val="22"/>
        </w:rPr>
        <w:t xml:space="preserve"> Los órganos autónomos;</w:t>
      </w:r>
    </w:p>
    <w:p w14:paraId="47FBCC3D"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VI.</w:t>
      </w:r>
      <w:r w:rsidRPr="001D5563">
        <w:rPr>
          <w:rFonts w:ascii="Palatino Linotype" w:eastAsia="Palatino Linotype" w:hAnsi="Palatino Linotype" w:cs="Palatino Linotype"/>
          <w:i/>
          <w:sz w:val="22"/>
          <w:szCs w:val="22"/>
        </w:rPr>
        <w:t xml:space="preserve"> Los tribunales administrativos y autoridades jurisdiccionales en materia laboral;</w:t>
      </w:r>
    </w:p>
    <w:p w14:paraId="21D723D1"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lastRenderedPageBreak/>
        <w:t>VII.</w:t>
      </w:r>
      <w:r w:rsidRPr="001D5563">
        <w:rPr>
          <w:rFonts w:ascii="Palatino Linotype" w:eastAsia="Palatino Linotype" w:hAnsi="Palatino Linotype" w:cs="Palatino Linotype"/>
          <w:i/>
          <w:sz w:val="22"/>
          <w:szCs w:val="22"/>
        </w:rPr>
        <w:t xml:space="preserve"> Los partidos políticos y agrupaciones políticas, en los términos de las disposiciones aplicables;</w:t>
      </w:r>
    </w:p>
    <w:p w14:paraId="5585D2BB"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VIII.</w:t>
      </w:r>
      <w:r w:rsidRPr="001D5563">
        <w:rPr>
          <w:rFonts w:ascii="Palatino Linotype" w:eastAsia="Palatino Linotype" w:hAnsi="Palatino Linotype" w:cs="Palatino Linotype"/>
          <w:i/>
          <w:sz w:val="22"/>
          <w:szCs w:val="22"/>
        </w:rPr>
        <w:t xml:space="preserve"> Los fideicomisos y fondos públicos que cuenten con financiamiento público, parcial o total, o con participación de entidades de gobierno;</w:t>
      </w:r>
    </w:p>
    <w:p w14:paraId="09F2268E"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IX.</w:t>
      </w:r>
      <w:r w:rsidRPr="001D5563">
        <w:rPr>
          <w:rFonts w:ascii="Palatino Linotype" w:eastAsia="Palatino Linotype" w:hAnsi="Palatino Linotype" w:cs="Palatino Linotype"/>
          <w:i/>
          <w:sz w:val="22"/>
          <w:szCs w:val="22"/>
        </w:rPr>
        <w:t xml:space="preserve"> Los sindicatos que reciban y/o ejerzan recursos públicos en el ámbito estatal y municipal;</w:t>
      </w:r>
    </w:p>
    <w:p w14:paraId="29BDC82A"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X.</w:t>
      </w:r>
      <w:r w:rsidRPr="001D5563">
        <w:rPr>
          <w:rFonts w:ascii="Palatino Linotype" w:eastAsia="Palatino Linotype" w:hAnsi="Palatino Linotype" w:cs="Palatino Linotype"/>
          <w:i/>
          <w:sz w:val="22"/>
          <w:szCs w:val="22"/>
        </w:rPr>
        <w:t xml:space="preserve"> Cualquier persona física o jurídico colectiva que reciba y ejerza recursos públicos en el ámbito estatal o municipal; y</w:t>
      </w:r>
    </w:p>
    <w:p w14:paraId="70B4BE09"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XI.</w:t>
      </w:r>
      <w:r w:rsidRPr="001D5563">
        <w:rPr>
          <w:rFonts w:ascii="Palatino Linotype" w:eastAsia="Palatino Linotype" w:hAnsi="Palatino Linotype" w:cs="Palatino Linotype"/>
          <w:i/>
          <w:sz w:val="22"/>
          <w:szCs w:val="22"/>
        </w:rPr>
        <w:t xml:space="preserve"> Cualquier otra autoridad, entidad, órgano u organismo de los poderes estatal o municipal, que reciba recursos públicos.</w:t>
      </w:r>
    </w:p>
    <w:p w14:paraId="60EB43BF"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Los sujetos obligados deberán hacer pública toda aquella información relativa a los montos y las personas a quienes entreguen, por cualquier motivo, recursos públicos, así como los informes que dichas personas les entreguen sobre el uso y destino de dichos recursos.</w:t>
      </w:r>
    </w:p>
    <w:p w14:paraId="3C92E68E" w14:textId="77777777" w:rsidR="00532AE4" w:rsidRPr="001D5563" w:rsidRDefault="00A76F12">
      <w:pPr>
        <w:tabs>
          <w:tab w:val="left" w:pos="7655"/>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Los servidores públicos deberán transparentar sus acciones, así como garantizar y respetar el derecho de acceso a la información pública</w:t>
      </w:r>
      <w:r w:rsidRPr="001D5563">
        <w:rPr>
          <w:rFonts w:ascii="Palatino Linotype" w:eastAsia="Palatino Linotype" w:hAnsi="Palatino Linotype" w:cs="Palatino Linotype"/>
          <w:i/>
          <w:sz w:val="22"/>
          <w:szCs w:val="22"/>
        </w:rPr>
        <w:t>.”</w:t>
      </w:r>
    </w:p>
    <w:p w14:paraId="6AA3AC33"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4121FD5"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Es así que, conforme a los preceptos legales citados, se desprende que el derecho de acceso a la información pública es un derecho individual que puede ser ejercido ante cualquier autoridad, entidad, órgano u organismo, tanto federales, como estatales, de la Ciudad de México o Municipales, con el fin de que los particulares conozcan toda aquella información que es considerada como pública. </w:t>
      </w:r>
    </w:p>
    <w:p w14:paraId="665BF928"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1725802"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esa tesitura, este Instituto no omite señalar que los Sujetos Obligados deben contar con un área responsable para la atención de las solicitudes de información, a la que se le denominará Unidad de Transparencia; asimismo, deben designar a un responsable para atender dicha Unidad, quien fungirá como enlace entre éstos y los solicitantes. </w:t>
      </w:r>
    </w:p>
    <w:p w14:paraId="4AA734D2"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0BA22BF1" w14:textId="77777777" w:rsidR="00532AE4" w:rsidRPr="001D5563"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Dicho lo anterior, se precisa que la ya mencionada Unidad de Transparencia es la encargada de tramitar internamente las solicitudes de información y tiene la responsabilidad de </w:t>
      </w:r>
      <w:r w:rsidRPr="001D5563">
        <w:rPr>
          <w:rFonts w:ascii="Palatino Linotype" w:eastAsia="Palatino Linotype" w:hAnsi="Palatino Linotype" w:cs="Palatino Linotype"/>
          <w:sz w:val="22"/>
          <w:szCs w:val="22"/>
        </w:rPr>
        <w:lastRenderedPageBreak/>
        <w:t>verificar, en cada caso, que la información no tenga el carácter de confidencial o reservada, en términos de los artículos 50 y 51 de la Ley de Transparencia y Acceso a la Información Pública del Estado de México y Municipios.</w:t>
      </w:r>
    </w:p>
    <w:p w14:paraId="677C733F" w14:textId="77777777" w:rsidR="00532AE4" w:rsidRPr="001D5563"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2C5E28A8" w14:textId="77777777" w:rsidR="00532AE4" w:rsidRPr="001D5563"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Por su parte, el artículo 53, fracciones II, IV y V de la Ley antes citada establece que las Unidades de Transparencia tienen, entre otras, las funciones de recibir, tramitar y dar respuesta a las solicitudes de acceso a la información; realizar, con efectividad, los trámites internos necesarios para la atención de las solicitudes de acceso a la información; así como, entregar, en su caso, a los particulares la información solicitada.</w:t>
      </w:r>
    </w:p>
    <w:p w14:paraId="334A76AB"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4AB75C75"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Asimismo, el diverso artículo 54 de la Ley de Transparencia y Acceso a la Información Pública del Estado de México y Municipios establece que cuando alguna área de los Sujetos Obligados se negara a colaborar con la Unidad de Transparencia, ésta dará aviso al superior jerárquico para que le ordene realizar sin demora las acciones conducentes y en caso de que persista la negativa de colaboración, hará del conocimiento de la autoridad competente para que se inicie, en su caso, el procedimiento de responsabilidad respectivo.</w:t>
      </w:r>
    </w:p>
    <w:p w14:paraId="7762C247"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2C40C77" w14:textId="77777777" w:rsidR="00532AE4" w:rsidRPr="001D5563" w:rsidRDefault="00A76F12">
      <w:pPr>
        <w:widowControl w:val="0"/>
        <w:tabs>
          <w:tab w:val="left" w:pos="1276"/>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De igual forma, el diverso artículo 59, fracciones I, II y III de la multicitada legislación Sustantiva, establece que los Servidores Públicos Habilitados deben localizar la información que le solicite la Unidad de Transparencia; proporcionar la misma y apoyarla en lo que ésta le solicite para el cumplimiento de sus funciones.</w:t>
      </w:r>
    </w:p>
    <w:p w14:paraId="561EEFA5" w14:textId="77777777" w:rsidR="00532AE4" w:rsidRPr="001D5563" w:rsidRDefault="00532AE4">
      <w:pPr>
        <w:widowControl w:val="0"/>
        <w:tabs>
          <w:tab w:val="left" w:pos="1276"/>
        </w:tabs>
        <w:spacing w:line="360" w:lineRule="auto"/>
        <w:jc w:val="both"/>
        <w:rPr>
          <w:rFonts w:ascii="Palatino Linotype" w:eastAsia="Palatino Linotype" w:hAnsi="Palatino Linotype" w:cs="Palatino Linotype"/>
          <w:sz w:val="22"/>
          <w:szCs w:val="22"/>
        </w:rPr>
      </w:pPr>
    </w:p>
    <w:p w14:paraId="7BDC728A"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Finalmente, se destaca que de conformidad con el artículo 163 de la legislación en cita, se desprende que la Unidad de Transparencia debe notificar la respuesta a las solicitudes de acceso a la información, en el menor tiempo posible, que no podrá exceder de quince días hábiles, teniendo como excepción al plazo referido, una prórroga de hasta siete días hábiles </w:t>
      </w:r>
      <w:r w:rsidRPr="001D5563">
        <w:rPr>
          <w:rFonts w:ascii="Palatino Linotype" w:eastAsia="Palatino Linotype" w:hAnsi="Palatino Linotype" w:cs="Palatino Linotype"/>
          <w:sz w:val="22"/>
          <w:szCs w:val="22"/>
        </w:rPr>
        <w:lastRenderedPageBreak/>
        <w:t xml:space="preserve">adicionales, siempre y cuando existan razones fundadas y motivadas, las cuales deberán ser aprobadas por el Comité de Transparencia. Situación que en la especie no aconteció. </w:t>
      </w:r>
    </w:p>
    <w:p w14:paraId="53232406"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0629D8D1"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Sirve de sustento a lo anterior, el precepto legal en cita:</w:t>
      </w:r>
    </w:p>
    <w:p w14:paraId="0E6F8D37"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68892ECD" w14:textId="77777777" w:rsidR="00532AE4" w:rsidRPr="001D5563" w:rsidRDefault="00A76F12">
      <w:pPr>
        <w:spacing w:line="276" w:lineRule="auto"/>
        <w:ind w:left="567" w:right="902"/>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r w:rsidRPr="001D5563">
        <w:rPr>
          <w:rFonts w:ascii="Palatino Linotype" w:eastAsia="Palatino Linotype" w:hAnsi="Palatino Linotype" w:cs="Palatino Linotype"/>
          <w:b/>
          <w:i/>
          <w:sz w:val="22"/>
          <w:szCs w:val="22"/>
        </w:rPr>
        <w:t>Artículo 163. La Unidad de Transparencia deberá notificar la respuesta a la solicitud al interesado en el menor tiempo posible, que no podrá exceder de quince días hábiles</w:t>
      </w:r>
      <w:r w:rsidRPr="001D5563">
        <w:rPr>
          <w:rFonts w:ascii="Palatino Linotype" w:eastAsia="Palatino Linotype" w:hAnsi="Palatino Linotype" w:cs="Palatino Linotype"/>
          <w:i/>
          <w:sz w:val="22"/>
          <w:szCs w:val="22"/>
        </w:rPr>
        <w:t xml:space="preserve">, contados a partir del día siguiente a la presentación de aquélla. </w:t>
      </w:r>
    </w:p>
    <w:p w14:paraId="71D554AC" w14:textId="77777777" w:rsidR="00532AE4" w:rsidRPr="001D5563" w:rsidRDefault="00A76F12">
      <w:pPr>
        <w:spacing w:line="276" w:lineRule="auto"/>
        <w:ind w:left="567" w:right="902"/>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Excepcionalmente, el plazo referido en el párrafo anterior podrá ampliarse hasta por siete días hábiles más, siempre y cuando existan razones fundadas y motivadas, las cuales deberán ser aprobadas por el Comité de Transparencia, mediante la emisión de una resolución que deberá notificarse al solicitante, antes de su vencimiento. No podrán invocarse como causales de ampliación del plazo motivos que supongan negligencia o descuido del sujeto obligado en el desahogo de la solicitud.”</w:t>
      </w:r>
    </w:p>
    <w:p w14:paraId="201E4166" w14:textId="77777777" w:rsidR="00532AE4" w:rsidRPr="001D5563" w:rsidRDefault="00532AE4">
      <w:pPr>
        <w:spacing w:line="360" w:lineRule="auto"/>
        <w:ind w:left="851" w:right="902"/>
        <w:jc w:val="both"/>
        <w:rPr>
          <w:rFonts w:ascii="Palatino Linotype" w:eastAsia="Palatino Linotype" w:hAnsi="Palatino Linotype" w:cs="Palatino Linotype"/>
          <w:i/>
          <w:sz w:val="22"/>
          <w:szCs w:val="22"/>
        </w:rPr>
      </w:pPr>
    </w:p>
    <w:p w14:paraId="43BFA3B9"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mérito de lo expuesto, es claro que en este caso 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incumplió la normativa en la materia, puesto que no dio trámite ni respuesta a la solicitud de acceso a la información, limitando el derecho de acceso a la información, accionado por la persona solicitante.</w:t>
      </w:r>
    </w:p>
    <w:p w14:paraId="29F8B67E"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457DC1C9"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Consecuentemente, este Instituto estima necesario reiterar que, de conformidad con el artículo 150 de la Ley de Transparencia y Acceso a la Información Pública del Estado de México y Municipios, el procedimiento de acceso a la información es la garantía primaria del derecho en cuestión y se rige por los principios de simplicidad, rapidez gratuidad del procedimiento, auxilio y orientación a los particulares; así como, atención adecuada a las personas con discapacidad y a los hablantes de lengua indígena con el objeto de otorgar la protección más amplia del derecho de las personas. </w:t>
      </w:r>
    </w:p>
    <w:p w14:paraId="048016D6"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40F8C8EA"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Aunado a lo anterior, este Instituto estima dable referir lo que dispone el artículo 172, último párrafo de la Ley de Transparencia y Acceso a la Información Pública del Estado de México y Municipios, el cual refiere que los argumentos para justificar cualquier negativa de acceso a la información deben recaer en </w:t>
      </w:r>
      <w:r w:rsidRPr="001D5563">
        <w:rPr>
          <w:rFonts w:ascii="Palatino Linotype" w:eastAsia="Palatino Linotype" w:hAnsi="Palatino Linotype" w:cs="Palatino Linotype"/>
          <w:b/>
          <w:sz w:val="22"/>
          <w:szCs w:val="22"/>
        </w:rPr>
        <w:t>el Sujeto Obligado</w:t>
      </w:r>
      <w:r w:rsidRPr="001D5563">
        <w:rPr>
          <w:rFonts w:ascii="Palatino Linotype" w:eastAsia="Palatino Linotype" w:hAnsi="Palatino Linotype" w:cs="Palatino Linotype"/>
          <w:sz w:val="22"/>
          <w:szCs w:val="22"/>
        </w:rPr>
        <w:t>; por lo que, en caso de no atender de manera positiva</w:t>
      </w:r>
      <w:r w:rsidRPr="001D5563">
        <w:rPr>
          <w:rFonts w:ascii="Palatino Linotype" w:eastAsia="Palatino Linotype" w:hAnsi="Palatino Linotype" w:cs="Palatino Linotype"/>
          <w:sz w:val="22"/>
          <w:szCs w:val="22"/>
          <w:vertAlign w:val="superscript"/>
        </w:rPr>
        <w:footnoteReference w:id="2"/>
      </w:r>
      <w:r w:rsidRPr="001D5563">
        <w:rPr>
          <w:rFonts w:ascii="Palatino Linotype" w:eastAsia="Palatino Linotype" w:hAnsi="Palatino Linotype" w:cs="Palatino Linotype"/>
          <w:sz w:val="22"/>
          <w:szCs w:val="22"/>
        </w:rPr>
        <w:t>, el requerimiento de información deberá manifestarse al respecto.</w:t>
      </w:r>
    </w:p>
    <w:p w14:paraId="23408330"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55C9B1A" w14:textId="77777777" w:rsidR="00532AE4" w:rsidRPr="001D5563"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De la clasificación de la información.</w:t>
      </w:r>
    </w:p>
    <w:p w14:paraId="7CB72775" w14:textId="77777777" w:rsidR="00532AE4" w:rsidRPr="001D5563"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b/>
          <w:sz w:val="22"/>
          <w:szCs w:val="22"/>
        </w:rPr>
      </w:pPr>
    </w:p>
    <w:p w14:paraId="1971ACD1" w14:textId="77777777" w:rsidR="00532AE4" w:rsidRPr="001D5563" w:rsidRDefault="00A76F12">
      <w:pPr>
        <w:spacing w:line="360" w:lineRule="auto"/>
        <w:ind w:right="5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Ahora bien, en atención al sentido en que se resuelve el presente medio de impugnación, este Organismo Garante no omite señalar que, el derecho de acceso a la información puede ser restringido de manera excepcional por razones de interés público, en los términos de las causas legítimas y estrictamente necesarias previstas por la Ley, a través de la clasificación de la información como confidencial o reservada para permitir el acceso, como se desprende del artículo 91 de la Ley de la Materia que es del tenor literal siguiente:</w:t>
      </w:r>
    </w:p>
    <w:p w14:paraId="38FF8466" w14:textId="77777777" w:rsidR="00532AE4" w:rsidRPr="001D5563" w:rsidRDefault="00532AE4">
      <w:pPr>
        <w:spacing w:line="360" w:lineRule="auto"/>
        <w:ind w:right="51"/>
        <w:jc w:val="both"/>
        <w:rPr>
          <w:rFonts w:ascii="Palatino Linotype" w:eastAsia="Palatino Linotype" w:hAnsi="Palatino Linotype" w:cs="Palatino Linotype"/>
          <w:sz w:val="22"/>
          <w:szCs w:val="22"/>
        </w:rPr>
      </w:pPr>
    </w:p>
    <w:p w14:paraId="3D8718EB" w14:textId="77777777" w:rsidR="00532AE4" w:rsidRPr="001D5563" w:rsidRDefault="00A76F12">
      <w:pPr>
        <w:spacing w:line="276" w:lineRule="auto"/>
        <w:ind w:left="851" w:right="900"/>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“Artículo 91. </w:t>
      </w:r>
      <w:r w:rsidRPr="001D5563">
        <w:rPr>
          <w:rFonts w:ascii="Palatino Linotype" w:eastAsia="Palatino Linotype" w:hAnsi="Palatino Linotype" w:cs="Palatino Linotype"/>
          <w:i/>
          <w:sz w:val="22"/>
          <w:szCs w:val="22"/>
        </w:rPr>
        <w:t>El acceso a la información pública será restringido excepcionalmente, cuando ésta sea clasificada como reservada o confidencial.”</w:t>
      </w:r>
    </w:p>
    <w:p w14:paraId="02D3BD60" w14:textId="77777777" w:rsidR="00532AE4" w:rsidRPr="001D5563" w:rsidRDefault="00532AE4">
      <w:pPr>
        <w:spacing w:line="360" w:lineRule="auto"/>
        <w:ind w:left="851" w:right="900"/>
        <w:jc w:val="both"/>
        <w:rPr>
          <w:rFonts w:ascii="Palatino Linotype" w:eastAsia="Palatino Linotype" w:hAnsi="Palatino Linotype" w:cs="Palatino Linotype"/>
          <w:i/>
          <w:sz w:val="22"/>
          <w:szCs w:val="22"/>
        </w:rPr>
      </w:pPr>
    </w:p>
    <w:p w14:paraId="1014C2BA"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Entendiéndose como información reservada aquella que se clasifica de manera temporal cuya divulgación pueda causar algún daño; y como información confidencial, la relacionada con los secretos bancario, fiduciario, industrial, comercial, fiscal, bursátil y postal, cuya titularidad corresponde a particulares, sujetos de derecho internacional o a Sujetos Obligados cuando no involucren el ejercicio de recursos públicos, así como la información </w:t>
      </w:r>
      <w:r w:rsidRPr="001D5563">
        <w:rPr>
          <w:rFonts w:ascii="Palatino Linotype" w:eastAsia="Palatino Linotype" w:hAnsi="Palatino Linotype" w:cs="Palatino Linotype"/>
          <w:sz w:val="22"/>
          <w:szCs w:val="22"/>
        </w:rPr>
        <w:lastRenderedPageBreak/>
        <w:t xml:space="preserve">privada contenida en documentos públicos o privados que refiera a la vida privada y/o los datos personales, que no son de acceso público. </w:t>
      </w:r>
    </w:p>
    <w:p w14:paraId="077F0B8E"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De manera que, la Ley de Transparencia y Acceso a la Información Pública del Estado de México y Municipios, en sus artículos 140 y 143 prevé los siguientes supuestos para clasificar la información como reservada o confidencial:</w:t>
      </w:r>
    </w:p>
    <w:p w14:paraId="2FEAF09F" w14:textId="77777777" w:rsidR="00532AE4" w:rsidRPr="001D5563" w:rsidRDefault="00532AE4">
      <w:pPr>
        <w:tabs>
          <w:tab w:val="left" w:pos="567"/>
        </w:tabs>
        <w:spacing w:line="276" w:lineRule="auto"/>
        <w:ind w:left="567" w:right="616"/>
        <w:jc w:val="both"/>
        <w:rPr>
          <w:rFonts w:ascii="Palatino Linotype" w:eastAsia="Palatino Linotype" w:hAnsi="Palatino Linotype" w:cs="Palatino Linotype"/>
          <w:sz w:val="22"/>
          <w:szCs w:val="22"/>
        </w:rPr>
      </w:pPr>
    </w:p>
    <w:p w14:paraId="631DD9C7"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“Artículo 140. </w:t>
      </w:r>
      <w:r w:rsidRPr="001D5563">
        <w:rPr>
          <w:rFonts w:ascii="Palatino Linotype" w:eastAsia="Palatino Linotype" w:hAnsi="Palatino Linotype" w:cs="Palatino Linotype"/>
          <w:i/>
          <w:sz w:val="22"/>
          <w:szCs w:val="22"/>
        </w:rPr>
        <w:t>El acceso a la información pública será restringido excepcionalmente, cuando por razones de interés público, ésta sea clasificada como reservada, conforme a los criterios siguientes:</w:t>
      </w:r>
    </w:p>
    <w:p w14:paraId="0B389537"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 </w:t>
      </w:r>
      <w:r w:rsidRPr="001D5563">
        <w:rPr>
          <w:rFonts w:ascii="Palatino Linotype" w:eastAsia="Palatino Linotype" w:hAnsi="Palatino Linotype" w:cs="Palatino Linotype"/>
          <w:i/>
          <w:sz w:val="22"/>
          <w:szCs w:val="22"/>
        </w:rPr>
        <w:t>Comprometa la seguridad pública y cuente con un propósito genuino y un efecto demostrable;</w:t>
      </w:r>
    </w:p>
    <w:p w14:paraId="14C1245E"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II. </w:t>
      </w:r>
      <w:r w:rsidRPr="001D5563">
        <w:rPr>
          <w:rFonts w:ascii="Palatino Linotype" w:eastAsia="Palatino Linotype" w:hAnsi="Palatino Linotype" w:cs="Palatino Linotype"/>
          <w:i/>
          <w:sz w:val="22"/>
          <w:szCs w:val="22"/>
        </w:rPr>
        <w:t>Pueda menoscabar la conducción de las negociaciones y relaciones internacionales;</w:t>
      </w:r>
    </w:p>
    <w:p w14:paraId="509CE544"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III. </w:t>
      </w:r>
      <w:r w:rsidRPr="001D5563">
        <w:rPr>
          <w:rFonts w:ascii="Palatino Linotype" w:eastAsia="Palatino Linotype" w:hAnsi="Palatino Linotype" w:cs="Palatino Linotype"/>
          <w:i/>
          <w:sz w:val="22"/>
          <w:szCs w:val="22"/>
        </w:rPr>
        <w:t>Se entregue a la Entidad expresamente con ese carácter o el de confidencialidad por otro u otros sujetos de derecho internacional, excepto cuando se trate de violaciones graves de derechos humanos o delitos de lesa humanidad de conformidad con el derecho internacional;</w:t>
      </w:r>
    </w:p>
    <w:p w14:paraId="2E14479B"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IV. </w:t>
      </w:r>
      <w:r w:rsidRPr="001D5563">
        <w:rPr>
          <w:rFonts w:ascii="Palatino Linotype" w:eastAsia="Palatino Linotype" w:hAnsi="Palatino Linotype" w:cs="Palatino Linotype"/>
          <w:i/>
          <w:sz w:val="22"/>
          <w:szCs w:val="22"/>
        </w:rPr>
        <w:t>Ponga en riesgo la vida, la seguridad o la salud de una persona física;</w:t>
      </w:r>
    </w:p>
    <w:p w14:paraId="5B0BE058"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V. </w:t>
      </w:r>
      <w:r w:rsidRPr="001D5563">
        <w:rPr>
          <w:rFonts w:ascii="Palatino Linotype" w:eastAsia="Palatino Linotype" w:hAnsi="Palatino Linotype" w:cs="Palatino Linotype"/>
          <w:i/>
          <w:sz w:val="22"/>
          <w:szCs w:val="22"/>
        </w:rPr>
        <w:t>Aquella cuya divulgación obstruya o pueda causar un serio perjuicio a:</w:t>
      </w:r>
    </w:p>
    <w:p w14:paraId="71AA8468"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1. </w:t>
      </w:r>
      <w:r w:rsidRPr="001D5563">
        <w:rPr>
          <w:rFonts w:ascii="Palatino Linotype" w:eastAsia="Palatino Linotype" w:hAnsi="Palatino Linotype" w:cs="Palatino Linotype"/>
          <w:i/>
          <w:sz w:val="22"/>
          <w:szCs w:val="22"/>
        </w:rPr>
        <w:t xml:space="preserve">Las actividades de fiscalización, verificación, inspección, comprobación y auditoría sobre el cumplimiento de las Leyes; o </w:t>
      </w:r>
    </w:p>
    <w:p w14:paraId="35A66DF6"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2. </w:t>
      </w:r>
      <w:r w:rsidRPr="001D5563">
        <w:rPr>
          <w:rFonts w:ascii="Palatino Linotype" w:eastAsia="Palatino Linotype" w:hAnsi="Palatino Linotype" w:cs="Palatino Linotype"/>
          <w:i/>
          <w:sz w:val="22"/>
          <w:szCs w:val="22"/>
        </w:rPr>
        <w:t>La recaudación de las contribuciones.</w:t>
      </w:r>
    </w:p>
    <w:p w14:paraId="4CD54AA9"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VI. </w:t>
      </w:r>
      <w:r w:rsidRPr="001D5563">
        <w:rPr>
          <w:rFonts w:ascii="Palatino Linotype" w:eastAsia="Palatino Linotype" w:hAnsi="Palatino Linotype" w:cs="Palatino Linotype"/>
          <w:i/>
          <w:sz w:val="22"/>
          <w:szCs w:val="22"/>
        </w:rPr>
        <w:t>Pueda causar daño u obstruya la prevención o persecución de los delitos, altere el proceso de investigación de las carpetas de investigación, afecte o vulnere la conducción o los derechos del debido proceso en los procedimientos judiciales o administrativos, incluidos los de quejas, denuncias, inconformidades, responsabilidades administrativas y resarcitorias en tanto no hayan quedado firmes o afecte la administración de justicia o la seguridad de un denunciante, querellante o testigo, así como sus familias, en los términos de las disposiciones jurídicas aplicables;</w:t>
      </w:r>
    </w:p>
    <w:p w14:paraId="2D9E1C7F"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VII. </w:t>
      </w:r>
      <w:r w:rsidRPr="001D5563">
        <w:rPr>
          <w:rFonts w:ascii="Palatino Linotype" w:eastAsia="Palatino Linotype" w:hAnsi="Palatino Linotype" w:cs="Palatino Linotype"/>
          <w:i/>
          <w:sz w:val="22"/>
          <w:szCs w:val="22"/>
        </w:rPr>
        <w:t>La que contengan las opiniones, recomendaciones o puntos de vista que formen parte del proceso deliberativo de los servidores públicos, hasta en tanto sea adoptada la decisión definitiva, la cual deberá estar documentada;</w:t>
      </w:r>
    </w:p>
    <w:p w14:paraId="25B80B94"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lastRenderedPageBreak/>
        <w:t>VIII</w:t>
      </w:r>
      <w:r w:rsidRPr="001D5563">
        <w:rPr>
          <w:rFonts w:ascii="Palatino Linotype" w:eastAsia="Palatino Linotype" w:hAnsi="Palatino Linotype" w:cs="Palatino Linotype"/>
          <w:i/>
          <w:sz w:val="22"/>
          <w:szCs w:val="22"/>
        </w:rPr>
        <w:t>. Vulnere la conducción de los expedientes judiciales o de los procedimientos administrativos seguidos en forma de juicio, en tanto no hayan quedado firmes</w:t>
      </w:r>
      <w:r w:rsidRPr="001D5563">
        <w:rPr>
          <w:rFonts w:ascii="Palatino Linotype" w:eastAsia="Palatino Linotype" w:hAnsi="Palatino Linotype" w:cs="Palatino Linotype"/>
          <w:b/>
          <w:i/>
          <w:sz w:val="22"/>
          <w:szCs w:val="22"/>
        </w:rPr>
        <w:t>;</w:t>
      </w:r>
    </w:p>
    <w:p w14:paraId="20A105A2"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IX. </w:t>
      </w:r>
      <w:r w:rsidRPr="001D5563">
        <w:rPr>
          <w:rFonts w:ascii="Palatino Linotype" w:eastAsia="Palatino Linotype" w:hAnsi="Palatino Linotype" w:cs="Palatino Linotype"/>
          <w:i/>
          <w:sz w:val="22"/>
          <w:szCs w:val="22"/>
        </w:rPr>
        <w:t>Se encuentre contenida dentro de las investigaciones de hechos que la Ley señale como delitos y se tramiten ante el Ministerio Público;</w:t>
      </w:r>
    </w:p>
    <w:p w14:paraId="5C61DBA9"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X. </w:t>
      </w:r>
      <w:r w:rsidRPr="001D5563">
        <w:rPr>
          <w:rFonts w:ascii="Palatino Linotype" w:eastAsia="Palatino Linotype" w:hAnsi="Palatino Linotype" w:cs="Palatino Linotype"/>
          <w:i/>
          <w:sz w:val="22"/>
          <w:szCs w:val="22"/>
        </w:rPr>
        <w:t>El daño que pueda producirse con la publicación de la información sea mayor que el interés público de conocer la información de referencia, siempre que esté directamente relacionado con procesos o procedimientos administrativos o judiciales que no hayan quedado firmes;</w:t>
      </w:r>
    </w:p>
    <w:p w14:paraId="3134CAFF"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Cuando se trate de información sobre estudios y proyectos cuya divulgación pueda causar daños al interés del Estado o suponga un riesgo para su realización, siempre que esté directamente relacionado con procesos o procedimientos administrativos o judiciales que no hayan quedado firmes; y</w:t>
      </w:r>
    </w:p>
    <w:p w14:paraId="515C61FE"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XI. </w:t>
      </w:r>
      <w:r w:rsidRPr="001D5563">
        <w:rPr>
          <w:rFonts w:ascii="Palatino Linotype" w:eastAsia="Palatino Linotype" w:hAnsi="Palatino Linotype" w:cs="Palatino Linotype"/>
          <w:i/>
          <w:sz w:val="22"/>
          <w:szCs w:val="22"/>
        </w:rPr>
        <w:t>Las que por disposición expresa de una ley tengan tal carácter, siempre que sean acordes con las bases, principios y disposiciones establecidos en esta Ley y no la contravengan; así como las previstas en tratados internacionales.</w:t>
      </w:r>
    </w:p>
    <w:p w14:paraId="60282071"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w:t>
      </w:r>
    </w:p>
    <w:p w14:paraId="7E7180B7"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Artículo 143. </w:t>
      </w:r>
      <w:r w:rsidRPr="001D5563">
        <w:rPr>
          <w:rFonts w:ascii="Palatino Linotype" w:eastAsia="Palatino Linotype" w:hAnsi="Palatino Linotype" w:cs="Palatino Linotype"/>
          <w:i/>
          <w:sz w:val="22"/>
          <w:szCs w:val="22"/>
        </w:rPr>
        <w:t>Para los efectos de esta Ley se considera información confidencial, la clasificada como tal, de manera permanente, por su naturaleza, cuando:</w:t>
      </w:r>
    </w:p>
    <w:p w14:paraId="6363DB5F"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 </w:t>
      </w:r>
      <w:r w:rsidRPr="001D5563">
        <w:rPr>
          <w:rFonts w:ascii="Palatino Linotype" w:eastAsia="Palatino Linotype" w:hAnsi="Palatino Linotype" w:cs="Palatino Linotype"/>
          <w:i/>
          <w:sz w:val="22"/>
          <w:szCs w:val="22"/>
        </w:rPr>
        <w:t>Se refiera a la información privada y los datos personales concernientes a una persona física o jurídico colectiva identificada o identificable;</w:t>
      </w:r>
    </w:p>
    <w:p w14:paraId="08E3C520"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II. </w:t>
      </w:r>
      <w:r w:rsidRPr="001D5563">
        <w:rPr>
          <w:rFonts w:ascii="Palatino Linotype" w:eastAsia="Palatino Linotype" w:hAnsi="Palatino Linotype" w:cs="Palatino Linotype"/>
          <w:i/>
          <w:sz w:val="22"/>
          <w:szCs w:val="22"/>
        </w:rPr>
        <w:t>Los secretos bancario, fiduciario, industrial, comercial, fiscal, bursátil y postal, cuya titularidad corresponda a particulares, sujetos de derecho internacional o a sujetos obligados cuando no involucren el ejercicio de recursos públicos; y</w:t>
      </w:r>
    </w:p>
    <w:p w14:paraId="250E0889"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III. </w:t>
      </w:r>
      <w:r w:rsidRPr="001D5563">
        <w:rPr>
          <w:rFonts w:ascii="Palatino Linotype" w:eastAsia="Palatino Linotype" w:hAnsi="Palatino Linotype" w:cs="Palatino Linotype"/>
          <w:i/>
          <w:sz w:val="22"/>
          <w:szCs w:val="22"/>
        </w:rPr>
        <w:t>La que presenten los particulares a los sujetos obligados, de conformidad con lo dispuesto por las leyes o los tratados internacionales.</w:t>
      </w:r>
    </w:p>
    <w:p w14:paraId="266A342E"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La información confidencial no estará sujeta a temporalidad alguna y sólo podrán tener acceso a ella los titulares de la misma, sus representantes y los servidores públicos facultados para ello.</w:t>
      </w:r>
    </w:p>
    <w:p w14:paraId="53609C54" w14:textId="77777777" w:rsidR="00532AE4" w:rsidRPr="001D5563" w:rsidRDefault="00A76F12">
      <w:pPr>
        <w:tabs>
          <w:tab w:val="left" w:pos="567"/>
        </w:tabs>
        <w:spacing w:line="276" w:lineRule="auto"/>
        <w:ind w:left="567" w:right="616"/>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i/>
          <w:sz w:val="22"/>
          <w:szCs w:val="22"/>
        </w:rPr>
        <w:t>No se considerará confidencial la información que se encuentre en los registros públicos o en fuentes de acceso público, ni tampoco la que sea considerada por la presente ley como información pública.”</w:t>
      </w:r>
    </w:p>
    <w:p w14:paraId="3C5A37A1" w14:textId="77777777" w:rsidR="00532AE4" w:rsidRPr="001D5563" w:rsidRDefault="00532AE4">
      <w:pPr>
        <w:tabs>
          <w:tab w:val="left" w:pos="567"/>
        </w:tabs>
        <w:spacing w:line="276" w:lineRule="auto"/>
        <w:ind w:left="567" w:right="616"/>
        <w:jc w:val="both"/>
        <w:rPr>
          <w:rFonts w:ascii="Palatino Linotype" w:eastAsia="Palatino Linotype" w:hAnsi="Palatino Linotype" w:cs="Palatino Linotype"/>
          <w:i/>
          <w:sz w:val="22"/>
          <w:szCs w:val="22"/>
        </w:rPr>
      </w:pPr>
    </w:p>
    <w:p w14:paraId="6C14F1A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De este modo, conforme al artículo 132 de la Ley en la Materia Local, para clasificar la información se debe de atender a lo dispuesto por la normativa y aplicar, de manera estricta, </w:t>
      </w:r>
      <w:r w:rsidRPr="001D5563">
        <w:rPr>
          <w:rFonts w:ascii="Palatino Linotype" w:eastAsia="Palatino Linotype" w:hAnsi="Palatino Linotype" w:cs="Palatino Linotype"/>
          <w:sz w:val="22"/>
          <w:szCs w:val="22"/>
        </w:rPr>
        <w:lastRenderedPageBreak/>
        <w:t>las excepciones del derecho de acceso a la información y sólo podrán invocarlas cuando acrediten su procedencia, debiendo clasificar la información en el momento en que:</w:t>
      </w:r>
    </w:p>
    <w:p w14:paraId="7A878F85"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3D99EB43" w14:textId="77777777" w:rsidR="00532AE4" w:rsidRPr="001D5563"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Se reciba una solicitud de acceso a la información;</w:t>
      </w:r>
    </w:p>
    <w:p w14:paraId="54E32C40" w14:textId="77777777" w:rsidR="00532AE4" w:rsidRPr="001D5563"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Se determine mediante resolución de autoridad competente; y/o</w:t>
      </w:r>
    </w:p>
    <w:p w14:paraId="2A2574F5" w14:textId="77777777" w:rsidR="00532AE4" w:rsidRPr="001D5563" w:rsidRDefault="00A76F12">
      <w:pPr>
        <w:numPr>
          <w:ilvl w:val="0"/>
          <w:numId w:val="2"/>
        </w:numPr>
        <w:tabs>
          <w:tab w:val="left" w:pos="851"/>
        </w:tabs>
        <w:spacing w:line="360" w:lineRule="auto"/>
        <w:ind w:left="567" w:firstLine="0"/>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Se generen versiones públicas para dar cumplimiento a las obligaciones de transparencia previstas en la Ley.</w:t>
      </w:r>
    </w:p>
    <w:p w14:paraId="7A04AF72" w14:textId="77777777" w:rsidR="00532AE4" w:rsidRPr="001D5563" w:rsidRDefault="00532AE4">
      <w:pPr>
        <w:tabs>
          <w:tab w:val="left" w:pos="851"/>
        </w:tabs>
        <w:spacing w:line="360" w:lineRule="auto"/>
        <w:ind w:left="567"/>
        <w:jc w:val="both"/>
        <w:rPr>
          <w:rFonts w:ascii="Palatino Linotype" w:eastAsia="Palatino Linotype" w:hAnsi="Palatino Linotype" w:cs="Palatino Linotype"/>
          <w:sz w:val="22"/>
          <w:szCs w:val="22"/>
        </w:rPr>
      </w:pPr>
    </w:p>
    <w:p w14:paraId="20CB9D74" w14:textId="77777777" w:rsidR="00532AE4" w:rsidRPr="001D5563" w:rsidRDefault="00A76F12">
      <w:pPr>
        <w:spacing w:line="360" w:lineRule="auto"/>
        <w:ind w:right="5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ese sentido, es de precisar que la clasificación de la información no se da por el simple mandato de la Ley, sino que es necesario que 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cuando clasifique algún documento o información, ya sea todo o en parte, atienda lo dispuesto por la Ley de la materia, siendo que dicha clasificación es un trabajo en conjunto tanto de los Servidores Públicos Habilitados, de las Unidades de Transparencia y del Comité de Transparencia del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teniendo el deber los primeros de ellos de presentar ante la Unidad de Transparencia la propuesta de la clasificación de la información, para que luego esta se presente ante al Comité de Transparencia de así resultar procedente el proyecto de clasificación de la información y que finalmente sea este último quien apruebe, modifique o revoque la misma, como se desprende de los artículos 59 fracción V</w:t>
      </w:r>
      <w:r w:rsidRPr="001D5563">
        <w:rPr>
          <w:rFonts w:ascii="Palatino Linotype" w:eastAsia="Palatino Linotype" w:hAnsi="Palatino Linotype" w:cs="Palatino Linotype"/>
          <w:sz w:val="22"/>
          <w:szCs w:val="22"/>
          <w:vertAlign w:val="superscript"/>
        </w:rPr>
        <w:footnoteReference w:id="3"/>
      </w:r>
      <w:r w:rsidRPr="001D5563">
        <w:rPr>
          <w:rFonts w:ascii="Palatino Linotype" w:eastAsia="Palatino Linotype" w:hAnsi="Palatino Linotype" w:cs="Palatino Linotype"/>
          <w:sz w:val="22"/>
          <w:szCs w:val="22"/>
        </w:rPr>
        <w:t>, 53 fracción X</w:t>
      </w:r>
      <w:r w:rsidRPr="001D5563">
        <w:rPr>
          <w:rFonts w:ascii="Palatino Linotype" w:eastAsia="Palatino Linotype" w:hAnsi="Palatino Linotype" w:cs="Palatino Linotype"/>
          <w:sz w:val="22"/>
          <w:szCs w:val="22"/>
          <w:vertAlign w:val="superscript"/>
        </w:rPr>
        <w:footnoteReference w:id="4"/>
      </w:r>
      <w:r w:rsidRPr="001D5563">
        <w:rPr>
          <w:rFonts w:ascii="Palatino Linotype" w:eastAsia="Palatino Linotype" w:hAnsi="Palatino Linotype" w:cs="Palatino Linotype"/>
          <w:sz w:val="22"/>
          <w:szCs w:val="22"/>
        </w:rPr>
        <w:t>, y 49 fracciones II y VIII</w:t>
      </w:r>
      <w:r w:rsidRPr="001D5563">
        <w:rPr>
          <w:rFonts w:ascii="Palatino Linotype" w:eastAsia="Palatino Linotype" w:hAnsi="Palatino Linotype" w:cs="Palatino Linotype"/>
          <w:sz w:val="22"/>
          <w:szCs w:val="22"/>
          <w:vertAlign w:val="superscript"/>
        </w:rPr>
        <w:footnoteReference w:id="5"/>
      </w:r>
      <w:r w:rsidRPr="001D5563">
        <w:rPr>
          <w:rFonts w:ascii="Palatino Linotype" w:eastAsia="Palatino Linotype" w:hAnsi="Palatino Linotype" w:cs="Palatino Linotype"/>
          <w:sz w:val="22"/>
          <w:szCs w:val="22"/>
        </w:rPr>
        <w:t xml:space="preserve"> de la Ley de Transparencia y Acceso a la Información Pública del Estado de México y Municipios.</w:t>
      </w:r>
    </w:p>
    <w:p w14:paraId="3E643A7D" w14:textId="77777777" w:rsidR="00532AE4" w:rsidRPr="001D5563" w:rsidRDefault="00532AE4">
      <w:pPr>
        <w:spacing w:line="360" w:lineRule="auto"/>
        <w:ind w:right="51"/>
        <w:jc w:val="both"/>
        <w:rPr>
          <w:rFonts w:ascii="Palatino Linotype" w:eastAsia="Palatino Linotype" w:hAnsi="Palatino Linotype" w:cs="Palatino Linotype"/>
          <w:sz w:val="22"/>
          <w:szCs w:val="22"/>
        </w:rPr>
      </w:pPr>
    </w:p>
    <w:p w14:paraId="2624B4F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Bajo tales consideraciones, este Organismo Garante no omite señalar que, si 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advierte que la información solicitada contiene </w:t>
      </w:r>
      <w:r w:rsidRPr="001D5563">
        <w:rPr>
          <w:rFonts w:ascii="Palatino Linotype" w:eastAsia="Palatino Linotype" w:hAnsi="Palatino Linotype" w:cs="Palatino Linotype"/>
          <w:b/>
          <w:sz w:val="22"/>
          <w:szCs w:val="22"/>
        </w:rPr>
        <w:t>datos personales</w:t>
      </w:r>
      <w:r w:rsidRPr="001D5563">
        <w:rPr>
          <w:rFonts w:ascii="Palatino Linotype" w:eastAsia="Palatino Linotype" w:hAnsi="Palatino Linotype" w:cs="Palatino Linotype"/>
          <w:sz w:val="22"/>
          <w:szCs w:val="22"/>
        </w:rPr>
        <w:t xml:space="preserve"> que sean susceptibles de ser </w:t>
      </w:r>
      <w:r w:rsidRPr="001D5563">
        <w:rPr>
          <w:rFonts w:ascii="Palatino Linotype" w:eastAsia="Palatino Linotype" w:hAnsi="Palatino Linotype" w:cs="Palatino Linotype"/>
          <w:b/>
          <w:sz w:val="22"/>
          <w:szCs w:val="22"/>
        </w:rPr>
        <w:t xml:space="preserve">clasificados como confidenciales, </w:t>
      </w:r>
      <w:r w:rsidRPr="001D5563">
        <w:rPr>
          <w:rFonts w:ascii="Palatino Linotype" w:eastAsia="Palatino Linotype" w:hAnsi="Palatino Linotype" w:cs="Palatino Linotype"/>
          <w:sz w:val="22"/>
          <w:szCs w:val="22"/>
        </w:rPr>
        <w:t>o, si por otro lado</w:t>
      </w:r>
      <w:r w:rsidRPr="001D5563">
        <w:rPr>
          <w:rFonts w:ascii="Palatino Linotype" w:eastAsia="Palatino Linotype" w:hAnsi="Palatino Linotype" w:cs="Palatino Linotype"/>
          <w:b/>
          <w:sz w:val="22"/>
          <w:szCs w:val="22"/>
        </w:rPr>
        <w:t>, por su propia y especial naturaleza,</w:t>
      </w:r>
      <w:r w:rsidRPr="001D5563">
        <w:rPr>
          <w:rFonts w:ascii="Palatino Linotype" w:eastAsia="Palatino Linotype" w:hAnsi="Palatino Linotype" w:cs="Palatino Linotype"/>
          <w:sz w:val="22"/>
          <w:szCs w:val="22"/>
        </w:rPr>
        <w:t xml:space="preserve"> encuadra en alguno de los </w:t>
      </w:r>
      <w:r w:rsidRPr="001D5563">
        <w:rPr>
          <w:rFonts w:ascii="Palatino Linotype" w:eastAsia="Palatino Linotype" w:hAnsi="Palatino Linotype" w:cs="Palatino Linotype"/>
          <w:b/>
          <w:sz w:val="22"/>
          <w:szCs w:val="22"/>
        </w:rPr>
        <w:t>supuestos de reserva o de confidencialidad en su totalidad</w:t>
      </w:r>
      <w:r w:rsidRPr="001D5563">
        <w:rPr>
          <w:rFonts w:ascii="Palatino Linotype" w:eastAsia="Palatino Linotype" w:hAnsi="Palatino Linotype" w:cs="Palatino Linotype"/>
          <w:sz w:val="22"/>
          <w:szCs w:val="22"/>
        </w:rPr>
        <w:t>, deberá emitir, un</w:t>
      </w:r>
      <w:r w:rsidRPr="001D5563">
        <w:rPr>
          <w:rFonts w:ascii="Palatino Linotype" w:eastAsia="Palatino Linotype" w:hAnsi="Palatino Linotype" w:cs="Palatino Linotype"/>
          <w:b/>
          <w:sz w:val="22"/>
          <w:szCs w:val="22"/>
        </w:rPr>
        <w:t xml:space="preserve"> Acuerdo de Clasificación </w:t>
      </w:r>
      <w:r w:rsidRPr="001D5563">
        <w:rPr>
          <w:rFonts w:ascii="Palatino Linotype" w:eastAsia="Palatino Linotype" w:hAnsi="Palatino Linotype" w:cs="Palatino Linotype"/>
          <w:sz w:val="22"/>
          <w:szCs w:val="22"/>
        </w:rPr>
        <w:t>debidamente fundado y motivado que</w:t>
      </w:r>
      <w:r w:rsidRPr="001D5563">
        <w:rPr>
          <w:rFonts w:ascii="Palatino Linotype" w:eastAsia="Palatino Linotype" w:hAnsi="Palatino Linotype" w:cs="Palatino Linotype"/>
          <w:b/>
          <w:sz w:val="22"/>
          <w:szCs w:val="22"/>
        </w:rPr>
        <w:t xml:space="preserve"> sustente la clasificación parcial, a través de la versión pública que emita,</w:t>
      </w:r>
      <w:r w:rsidRPr="001D5563">
        <w:rPr>
          <w:rFonts w:ascii="Palatino Linotype" w:eastAsia="Palatino Linotype" w:hAnsi="Palatino Linotype" w:cs="Palatino Linotype"/>
          <w:sz w:val="22"/>
          <w:szCs w:val="22"/>
        </w:rPr>
        <w:t xml:space="preserve"> o bien, la restricción total del derecho de acceso a la información.  </w:t>
      </w:r>
    </w:p>
    <w:p w14:paraId="693F1C41"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352BD01E" w14:textId="77777777" w:rsidR="00532AE4" w:rsidRPr="001D5563" w:rsidRDefault="00A76F12">
      <w:pPr>
        <w:numPr>
          <w:ilvl w:val="0"/>
          <w:numId w:val="3"/>
        </w:numPr>
        <w:pBdr>
          <w:top w:val="nil"/>
          <w:left w:val="nil"/>
          <w:bottom w:val="nil"/>
          <w:right w:val="nil"/>
          <w:between w:val="nil"/>
        </w:pBd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De la clasificación parcial de la información.</w:t>
      </w:r>
    </w:p>
    <w:p w14:paraId="6CDBD4F4" w14:textId="77777777" w:rsidR="00532AE4" w:rsidRPr="001D5563" w:rsidRDefault="00532AE4">
      <w:pPr>
        <w:pBdr>
          <w:top w:val="nil"/>
          <w:left w:val="nil"/>
          <w:bottom w:val="nil"/>
          <w:right w:val="nil"/>
          <w:between w:val="nil"/>
        </w:pBdr>
        <w:spacing w:line="360" w:lineRule="auto"/>
        <w:ind w:left="720"/>
        <w:jc w:val="both"/>
        <w:rPr>
          <w:rFonts w:ascii="Palatino Linotype" w:eastAsia="Palatino Linotype" w:hAnsi="Palatino Linotype" w:cs="Palatino Linotype"/>
          <w:sz w:val="22"/>
          <w:szCs w:val="22"/>
        </w:rPr>
      </w:pPr>
    </w:p>
    <w:p w14:paraId="48858E79"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Respecto de la elaboración de versiones públicas, debe mencionarse que dentro de los datos personales que pudieran contenerse se destacan los datos personales sensibles, los cuales son aquellos referentes de la esfera de su titular cuya utilización indebida pueda dar origen a discriminación o conlleve un riesgo grave para éste. De manera enunciativa más no limitativa, se consideran sensibles los datos personales que puedan revelar aspectos como origen racial o étnico, estado de salud física o mental, presente o futura, información genética, creencias religiosas, filosóficas y morales, opiniones políticas y preferencia sexual, de conformidad con el artículo 4, fracción XII de la Ley de Protección de Datos Personales en Posesión de Sujetos Obligados del Estado de México y Municipios.</w:t>
      </w:r>
    </w:p>
    <w:p w14:paraId="46B79F48"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0D667982" w14:textId="77777777" w:rsidR="00532AE4" w:rsidRPr="001D5563"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De la clasificación de información como reservada.</w:t>
      </w:r>
    </w:p>
    <w:p w14:paraId="2F50165E" w14:textId="77777777" w:rsidR="00532AE4" w:rsidRPr="001D5563" w:rsidRDefault="00532AE4">
      <w:pPr>
        <w:pBdr>
          <w:top w:val="nil"/>
          <w:left w:val="nil"/>
          <w:bottom w:val="nil"/>
          <w:right w:val="nil"/>
          <w:between w:val="nil"/>
        </w:pBdr>
        <w:spacing w:line="360" w:lineRule="auto"/>
        <w:ind w:left="720" w:right="51"/>
        <w:jc w:val="both"/>
        <w:rPr>
          <w:rFonts w:ascii="Palatino Linotype" w:eastAsia="Palatino Linotype" w:hAnsi="Palatino Linotype" w:cs="Palatino Linotype"/>
          <w:b/>
          <w:sz w:val="22"/>
          <w:szCs w:val="22"/>
        </w:rPr>
      </w:pPr>
    </w:p>
    <w:p w14:paraId="2E76D915" w14:textId="77777777" w:rsidR="00532AE4" w:rsidRPr="001D5563" w:rsidRDefault="00A76F12">
      <w:pPr>
        <w:spacing w:line="360" w:lineRule="auto"/>
        <w:ind w:right="5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Por cuanto hace a la reserva y ampliación del plazo de reserva de la información, para motivar la clasificación se deberán de señalar las razones, motivos o circunstancias especiales que llevaron al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a concluir que, el caso particular se ajusta al </w:t>
      </w:r>
      <w:r w:rsidRPr="001D5563">
        <w:rPr>
          <w:rFonts w:ascii="Palatino Linotype" w:eastAsia="Palatino Linotype" w:hAnsi="Palatino Linotype" w:cs="Palatino Linotype"/>
          <w:sz w:val="22"/>
          <w:szCs w:val="22"/>
        </w:rPr>
        <w:lastRenderedPageBreak/>
        <w:t>supuesto previsto por la norma legal invocada como fundamento; siendo que, además, en todo momento, se debe aplicar una prueba de daño, entendida esta como la responsabilidad de los Sujetos Obligados de demostrar, de manera fundada y motivada, que la divulgación de la información lesiona el interés debidamente protegido por la Ley y que el menoscabo o daño que puede producirse con la publicidad de la información, es mayor que el interés de conocerla; debiendo clasificarse como reservada.</w:t>
      </w:r>
    </w:p>
    <w:p w14:paraId="2072D8AB" w14:textId="77777777" w:rsidR="00532AE4" w:rsidRPr="001D5563" w:rsidRDefault="00532AE4">
      <w:pPr>
        <w:spacing w:line="360" w:lineRule="auto"/>
        <w:ind w:right="51"/>
        <w:jc w:val="both"/>
        <w:rPr>
          <w:rFonts w:ascii="Palatino Linotype" w:eastAsia="Palatino Linotype" w:hAnsi="Palatino Linotype" w:cs="Palatino Linotype"/>
          <w:sz w:val="22"/>
          <w:szCs w:val="22"/>
        </w:rPr>
      </w:pPr>
    </w:p>
    <w:p w14:paraId="70EECA05"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otras palabras, para la clasificación de la información como reservada se deben establecer, de manera fundada y motivada, las hipótesis normativas aplicables al caso concreto y se analice la prueba de daño, misma que se encuentra prevista en el artículo 129 de la Ley de Transparencia y Acceso a la Información pública del Estado de México y Municipios, para lo cual, los Sujetos Obligados deberán considerar que: </w:t>
      </w:r>
    </w:p>
    <w:p w14:paraId="13C920F9"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602AD60" w14:textId="77777777" w:rsidR="00532AE4" w:rsidRPr="001D5563"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La divulgación de la información representa un </w:t>
      </w:r>
      <w:r w:rsidRPr="001D5563">
        <w:rPr>
          <w:rFonts w:ascii="Palatino Linotype" w:eastAsia="Palatino Linotype" w:hAnsi="Palatino Linotype" w:cs="Palatino Linotype"/>
          <w:b/>
          <w:sz w:val="22"/>
          <w:szCs w:val="22"/>
        </w:rPr>
        <w:t>riesgo real, demostrable e identificable del perjuicio significativo al interés público o a la seguridad pública</w:t>
      </w:r>
      <w:r w:rsidRPr="001D5563">
        <w:rPr>
          <w:rFonts w:ascii="Palatino Linotype" w:eastAsia="Palatino Linotype" w:hAnsi="Palatino Linotype" w:cs="Palatino Linotype"/>
          <w:sz w:val="22"/>
          <w:szCs w:val="22"/>
        </w:rPr>
        <w:t>;</w:t>
      </w:r>
    </w:p>
    <w:p w14:paraId="4FC20933" w14:textId="77777777" w:rsidR="00532AE4" w:rsidRPr="001D5563"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El riesgo de perjuicio que supondría la divulgación supera el interés público general de que se difunda; y,</w:t>
      </w:r>
    </w:p>
    <w:p w14:paraId="61E7D4BF" w14:textId="77777777" w:rsidR="00532AE4" w:rsidRPr="001D5563" w:rsidRDefault="00A76F12">
      <w:pPr>
        <w:numPr>
          <w:ilvl w:val="0"/>
          <w:numId w:val="1"/>
        </w:numPr>
        <w:tabs>
          <w:tab w:val="left" w:pos="851"/>
        </w:tabs>
        <w:spacing w:line="360" w:lineRule="auto"/>
        <w:ind w:left="567" w:firstLine="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La limitación se adecua al principio de proporcionalidad y representa el medio menos restrictivo disponible para evitar el perjuicio. </w:t>
      </w:r>
    </w:p>
    <w:p w14:paraId="15D9A0D2" w14:textId="77777777" w:rsidR="00532AE4" w:rsidRPr="001D5563" w:rsidRDefault="00532AE4">
      <w:pPr>
        <w:tabs>
          <w:tab w:val="left" w:pos="851"/>
        </w:tabs>
        <w:spacing w:line="360" w:lineRule="auto"/>
        <w:ind w:left="568"/>
        <w:jc w:val="both"/>
        <w:rPr>
          <w:rFonts w:ascii="Palatino Linotype" w:eastAsia="Palatino Linotype" w:hAnsi="Palatino Linotype" w:cs="Palatino Linotype"/>
          <w:sz w:val="22"/>
          <w:szCs w:val="22"/>
        </w:rPr>
      </w:pPr>
    </w:p>
    <w:p w14:paraId="58FB4E50"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Siendo pertinente aclarar que, la información que se clasifica bajo la premisa de reservada, </w:t>
      </w:r>
      <w:r w:rsidRPr="001D5563">
        <w:rPr>
          <w:rFonts w:ascii="Palatino Linotype" w:eastAsia="Palatino Linotype" w:hAnsi="Palatino Linotype" w:cs="Palatino Linotype"/>
          <w:b/>
          <w:sz w:val="22"/>
          <w:szCs w:val="22"/>
        </w:rPr>
        <w:t>no pierde el carácter de pública</w:t>
      </w:r>
      <w:r w:rsidRPr="001D5563">
        <w:rPr>
          <w:rFonts w:ascii="Palatino Linotype" w:eastAsia="Palatino Linotype" w:hAnsi="Palatino Linotype" w:cs="Palatino Linotype"/>
          <w:sz w:val="22"/>
          <w:szCs w:val="22"/>
        </w:rPr>
        <w:t xml:space="preserve">, sino que </w:t>
      </w:r>
      <w:r w:rsidRPr="001D5563">
        <w:rPr>
          <w:rFonts w:ascii="Palatino Linotype" w:eastAsia="Palatino Linotype" w:hAnsi="Palatino Linotype" w:cs="Palatino Linotype"/>
          <w:b/>
          <w:sz w:val="22"/>
          <w:szCs w:val="22"/>
        </w:rPr>
        <w:t>se reserva temporalmente</w:t>
      </w:r>
      <w:r w:rsidRPr="001D5563">
        <w:rPr>
          <w:rFonts w:ascii="Palatino Linotype" w:eastAsia="Palatino Linotype" w:hAnsi="Palatino Linotype" w:cs="Palatino Linotype"/>
          <w:sz w:val="22"/>
          <w:szCs w:val="22"/>
        </w:rPr>
        <w:t xml:space="preserve"> </w:t>
      </w:r>
      <w:r w:rsidRPr="001D5563">
        <w:rPr>
          <w:rFonts w:ascii="Palatino Linotype" w:eastAsia="Palatino Linotype" w:hAnsi="Palatino Linotype" w:cs="Palatino Linotype"/>
          <w:b/>
          <w:sz w:val="22"/>
          <w:szCs w:val="22"/>
        </w:rPr>
        <w:t>del conocimiento público</w:t>
      </w:r>
      <w:r w:rsidRPr="001D5563">
        <w:rPr>
          <w:rFonts w:ascii="Palatino Linotype" w:eastAsia="Palatino Linotype" w:hAnsi="Palatino Linotype" w:cs="Palatino Linotype"/>
          <w:sz w:val="22"/>
          <w:szCs w:val="22"/>
        </w:rPr>
        <w:t xml:space="preserve">, es decir, que, </w:t>
      </w:r>
      <w:r w:rsidRPr="001D5563">
        <w:rPr>
          <w:rFonts w:ascii="Palatino Linotype" w:eastAsia="Palatino Linotype" w:hAnsi="Palatino Linotype" w:cs="Palatino Linotype"/>
          <w:b/>
          <w:sz w:val="22"/>
          <w:szCs w:val="22"/>
        </w:rPr>
        <w:t>por un tiempo determinado</w:t>
      </w:r>
      <w:r w:rsidRPr="001D5563">
        <w:rPr>
          <w:rFonts w:ascii="Palatino Linotype" w:eastAsia="Palatino Linotype" w:hAnsi="Palatino Linotype" w:cs="Palatino Linotype"/>
          <w:sz w:val="22"/>
          <w:szCs w:val="22"/>
        </w:rPr>
        <w:t>, se conservará y custodiará la información de manera especial, y una vez transcurrido el plazo de reserva, el documento podrá divulgarse.</w:t>
      </w:r>
    </w:p>
    <w:p w14:paraId="3BF82B7A"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3AA8CE0C"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lastRenderedPageBreak/>
        <w:t xml:space="preserve">De tal manera, las limitaciones al acceso a la información deben sustentarse en una adecuada clasificación que debe distinguir y tomar en cuenta qué información puede generar un daño desproporcionado o innecesario a valores jurídicamente protegidos. </w:t>
      </w:r>
    </w:p>
    <w:p w14:paraId="78F57D52"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CD5A042" w14:textId="77777777" w:rsidR="00532AE4" w:rsidRPr="001D5563" w:rsidRDefault="00A76F12">
      <w:pPr>
        <w:numPr>
          <w:ilvl w:val="0"/>
          <w:numId w:val="3"/>
        </w:numPr>
        <w:pBdr>
          <w:top w:val="nil"/>
          <w:left w:val="nil"/>
          <w:bottom w:val="nil"/>
          <w:right w:val="nil"/>
          <w:between w:val="nil"/>
        </w:pBdr>
        <w:tabs>
          <w:tab w:val="left" w:pos="709"/>
        </w:tabs>
        <w:spacing w:line="360" w:lineRule="auto"/>
        <w:jc w:val="both"/>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De la clasificación de la información como totalmente confidencial.</w:t>
      </w:r>
    </w:p>
    <w:p w14:paraId="2A71EC5A" w14:textId="77777777" w:rsidR="00532AE4" w:rsidRPr="001D5563" w:rsidRDefault="00532AE4">
      <w:pPr>
        <w:pBdr>
          <w:top w:val="nil"/>
          <w:left w:val="nil"/>
          <w:bottom w:val="nil"/>
          <w:right w:val="nil"/>
          <w:between w:val="nil"/>
        </w:pBdr>
        <w:tabs>
          <w:tab w:val="left" w:pos="709"/>
        </w:tabs>
        <w:spacing w:line="360" w:lineRule="auto"/>
        <w:ind w:left="720"/>
        <w:jc w:val="both"/>
        <w:rPr>
          <w:rFonts w:ascii="Palatino Linotype" w:eastAsia="Palatino Linotype" w:hAnsi="Palatino Linotype" w:cs="Palatino Linotype"/>
          <w:b/>
          <w:sz w:val="22"/>
          <w:szCs w:val="22"/>
        </w:rPr>
      </w:pPr>
    </w:p>
    <w:p w14:paraId="6F851395" w14:textId="77777777" w:rsidR="00532AE4" w:rsidRPr="001D5563" w:rsidRDefault="00A76F12">
      <w:pPr>
        <w:tabs>
          <w:tab w:val="left" w:pos="709"/>
        </w:tabs>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Por cuanto hace a los documentos que por su propia y especial naturaleza sean de carácter privado, encuadran en el supuesto de información confidencial en su totalidad, bajo la premisa de que el derecho de acceso a la información pública tiene como limitante el respeto a la intimidad y a la vida privada de las personas, es por ello que este Instituto debe cuidar que los datos personales que obren en poder de los Sujetos Obligados estén protegidos, quienes deberán adoptar las medidas de seguridad administrativa, física y técnica necesarias para garantizar la integridad, confidencialidad y disponibilidad de los datos personales, considerando además, que conforme al principio de finalidad todo tratamiento de datos personales que efectúen los Sujetos Obligados deberá estar justificado en la Ley, lo anterior en términos de lo dispuesto por los artículos 6, 22, 38 y 43, de la Ley de Protección de Datos Personales en Posesión de los Sujetos Obligados del Estado de México y Municipios.</w:t>
      </w:r>
    </w:p>
    <w:p w14:paraId="5F4D21A1" w14:textId="77777777" w:rsidR="00532AE4" w:rsidRPr="001D5563" w:rsidRDefault="00532AE4">
      <w:pPr>
        <w:tabs>
          <w:tab w:val="left" w:pos="709"/>
        </w:tabs>
        <w:spacing w:line="360" w:lineRule="auto"/>
        <w:jc w:val="both"/>
        <w:rPr>
          <w:rFonts w:ascii="Palatino Linotype" w:eastAsia="Palatino Linotype" w:hAnsi="Palatino Linotype" w:cs="Palatino Linotype"/>
          <w:sz w:val="22"/>
          <w:szCs w:val="22"/>
        </w:rPr>
      </w:pPr>
    </w:p>
    <w:p w14:paraId="2D1009E9" w14:textId="77777777" w:rsidR="00532AE4" w:rsidRPr="001D5563" w:rsidRDefault="00A76F12">
      <w:pPr>
        <w:spacing w:line="360" w:lineRule="auto"/>
        <w:ind w:right="5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Asimismo, no obsta mencionar que el Acuerdo del Comité de Transparencia mediante el cual se clasifique la información como reservada o confidencial, de manera total o parcial debe emitirse siguiendo las formalidades previstas en la Ley de Transparencia y Acceso a la Información Pública del Estado de México y en los Lineamientos Generales en Materia de Clasificación y Desclasificación de la Información, así como para la Elaboración de </w:t>
      </w:r>
      <w:r w:rsidRPr="001D5563">
        <w:rPr>
          <w:rFonts w:ascii="Palatino Linotype" w:eastAsia="Palatino Linotype" w:hAnsi="Palatino Linotype" w:cs="Palatino Linotype"/>
          <w:sz w:val="22"/>
          <w:szCs w:val="22"/>
        </w:rPr>
        <w:lastRenderedPageBreak/>
        <w:t>Versiones Públicas</w:t>
      </w:r>
      <w:r w:rsidRPr="001D5563">
        <w:rPr>
          <w:rFonts w:ascii="Palatino Linotype" w:eastAsia="Palatino Linotype" w:hAnsi="Palatino Linotype" w:cs="Palatino Linotype"/>
          <w:sz w:val="22"/>
          <w:szCs w:val="22"/>
          <w:vertAlign w:val="superscript"/>
        </w:rPr>
        <w:footnoteReference w:id="6"/>
      </w:r>
      <w:r w:rsidRPr="001D5563">
        <w:rPr>
          <w:rFonts w:ascii="Palatino Linotype" w:eastAsia="Palatino Linotype" w:hAnsi="Palatino Linotype" w:cs="Palatino Linotype"/>
          <w:sz w:val="22"/>
          <w:szCs w:val="22"/>
        </w:rPr>
        <w:t>, de igual forma en dicho acuerdo se deben exponer de manera clara los fundamentos y razones que llevaron a la autoridad a clasificar la información, de lo contrario, implica dejar al solicitante en estado de incertidumbre, al no conocer o comprender las razones por las que se clasifica la documentación respectiva, es decir, si no se exponen de manera puntual las razones, de ello se estaría violentando el Derecho de Acceso a la Información del solicitante.</w:t>
      </w:r>
    </w:p>
    <w:p w14:paraId="5B59031D" w14:textId="77777777" w:rsidR="00532AE4" w:rsidRPr="001D5563" w:rsidRDefault="00532AE4">
      <w:pPr>
        <w:spacing w:line="360" w:lineRule="auto"/>
        <w:ind w:right="51"/>
        <w:jc w:val="both"/>
        <w:rPr>
          <w:rFonts w:ascii="Palatino Linotype" w:eastAsia="Palatino Linotype" w:hAnsi="Palatino Linotype" w:cs="Palatino Linotype"/>
          <w:sz w:val="22"/>
          <w:szCs w:val="22"/>
        </w:rPr>
      </w:pPr>
    </w:p>
    <w:p w14:paraId="00D956B7" w14:textId="77777777" w:rsidR="00532AE4" w:rsidRPr="001D5563" w:rsidRDefault="00A76F12">
      <w:pPr>
        <w:numPr>
          <w:ilvl w:val="0"/>
          <w:numId w:val="3"/>
        </w:numPr>
        <w:pBdr>
          <w:top w:val="nil"/>
          <w:left w:val="nil"/>
          <w:bottom w:val="nil"/>
          <w:right w:val="nil"/>
          <w:between w:val="nil"/>
        </w:pBdr>
        <w:spacing w:line="360" w:lineRule="auto"/>
        <w:ind w:right="51"/>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De la declaratoria de inexistencia de la información</w:t>
      </w:r>
      <w:r w:rsidRPr="001D5563">
        <w:rPr>
          <w:rFonts w:ascii="Palatino Linotype" w:eastAsia="Palatino Linotype" w:hAnsi="Palatino Linotype" w:cs="Palatino Linotype"/>
          <w:sz w:val="22"/>
          <w:szCs w:val="22"/>
        </w:rPr>
        <w:t>.</w:t>
      </w:r>
    </w:p>
    <w:p w14:paraId="2CE06287" w14:textId="77777777" w:rsidR="00532AE4" w:rsidRPr="001D5563" w:rsidRDefault="00532AE4">
      <w:pPr>
        <w:spacing w:line="360" w:lineRule="auto"/>
        <w:ind w:right="51"/>
        <w:jc w:val="both"/>
        <w:rPr>
          <w:rFonts w:ascii="Palatino Linotype" w:eastAsia="Palatino Linotype" w:hAnsi="Palatino Linotype" w:cs="Palatino Linotype"/>
          <w:sz w:val="22"/>
          <w:szCs w:val="22"/>
        </w:rPr>
      </w:pPr>
    </w:p>
    <w:p w14:paraId="3730A9CA"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Por otro lado, estima prudente señalar al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que, en caso de que la información solicitada, debiera obrar en sus archivos y no cuente con ella, deberá entregar el Acuerdo del Comité de Transparencia, en donde conste la declaratoria de inexistencia de la misma.</w:t>
      </w:r>
    </w:p>
    <w:p w14:paraId="60EE7A11"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37CDD1DE"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Siendo importante resaltar que los artículos 18 y 19 de la Ley de Transparencia y Acceso a la Información Pública del Estado de México y Municipios establecen que los Sujetos Obligados deben documentar todo acto que derive del ejercicio de sus facultades, competencias o funciones y que se presume que la información debe existir si se refiere a dichas facultades, competencias y/o funciones.</w:t>
      </w:r>
    </w:p>
    <w:p w14:paraId="6DF8F681"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0315B04C"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En tal caso, la declaratoria a que se ha hecho referencia deberá realizarse, conforme a lo dispuesto en los artículos 49, fracciones II y XIII, 169 y 170 de la Ley de Transparencia y Acceso a la Información Pública del Estado de México y Municipios, que establecen la forma en que los Sujetos Obligados deben dar curso a las Declaratorias de Inexistencia.</w:t>
      </w:r>
    </w:p>
    <w:p w14:paraId="721909C8"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45992403"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Resulta aplicable el criterio de interpretación en el orden administrativo número 0008-19 emitido por Acuerdo del Pleno del Instituto de Transparencia y Acceso a la Información Pública del Estado de México y Municipios, que a la letra dice:</w:t>
      </w:r>
    </w:p>
    <w:p w14:paraId="1F07564B"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77862E7E" w14:textId="77777777" w:rsidR="00532AE4" w:rsidRPr="001D5563" w:rsidRDefault="00A76F12">
      <w:pPr>
        <w:spacing w:line="276" w:lineRule="auto"/>
        <w:ind w:left="567" w:right="902"/>
        <w:jc w:val="both"/>
        <w:rPr>
          <w:rFonts w:ascii="Palatino Linotype" w:eastAsia="Palatino Linotype" w:hAnsi="Palatino Linotype" w:cs="Palatino Linotype"/>
          <w:i/>
          <w:sz w:val="22"/>
          <w:szCs w:val="22"/>
        </w:rPr>
      </w:pPr>
      <w:r w:rsidRPr="001D5563">
        <w:rPr>
          <w:rFonts w:ascii="Palatino Linotype" w:eastAsia="Palatino Linotype" w:hAnsi="Palatino Linotype" w:cs="Palatino Linotype"/>
          <w:b/>
          <w:i/>
          <w:sz w:val="22"/>
          <w:szCs w:val="22"/>
        </w:rPr>
        <w:t xml:space="preserve">“INEXISTENCIA DE LA INFORMACIÓN. SUPUESTOS PARA EMITIR LA RESOLUCIÓN DE LA. </w:t>
      </w:r>
      <w:r w:rsidRPr="001D5563">
        <w:rPr>
          <w:rFonts w:ascii="Palatino Linotype" w:eastAsia="Palatino Linotype" w:hAnsi="Palatino Linotype" w:cs="Palatino Linotype"/>
          <w:i/>
          <w:sz w:val="22"/>
          <w:szCs w:val="22"/>
        </w:rPr>
        <w:t>De conformidad con los artículos 19, párrafo tercero y 170 de la Ley de Transparencia y Acceso a la Información Pública del Estado de México y Municipios, el Comité de Transparencia deberá emitir un acuerdo de inexistencia de información debidamente fundado y motivado, para justificar por qué no obra en los archivos del Sujeto Obligado la información que deriva de las facultades, competencias y atribuciones que los ordenamientos jurídicos aplicables le otorgan, la cual debió generar, poseer y administrar. Por tanto, en términos de los numerales previamente citados, el referido acuerdo de inexistencia procede en los siguientes momentos: a) cuando no se generó, poseyó o administró el documento teniendo la obligación conforme a la presunción legal que deriva de las facultades, competencias y atribuciones que los ordenamientos jurídicos aplicables le otorgan; b) que habiendo sido generada, poseída o administrada, por algún motivo ya no se cuenta con la información solicitada; o bien, c) cuando el Sujeto Obligado fue omiso en ejercer una facultad, competencia o atribución inexcusable. Supuestos que, de actualizarse, deberán acreditarse con las exigencias legales contempladas en los numerales 49, fracción II, 169 y 170 de la Ley de Transparencia de la entidad, a través de una resolución del Comité de Transparencia del Sujeto Obligado que confirme la inexistencia de la información, acto jurídico que genera certeza jurídica al particular de que se realizó un criterio de búsqueda exhaustivo y razonable con la debida justificación de la falta de información y en su caso, las consecuencias de ello.”</w:t>
      </w:r>
    </w:p>
    <w:p w14:paraId="71B2A144" w14:textId="77777777" w:rsidR="00532AE4" w:rsidRPr="001D5563" w:rsidRDefault="00532AE4">
      <w:pPr>
        <w:spacing w:line="360" w:lineRule="auto"/>
        <w:ind w:left="851" w:right="902"/>
        <w:jc w:val="both"/>
        <w:rPr>
          <w:rFonts w:ascii="Palatino Linotype" w:eastAsia="Palatino Linotype" w:hAnsi="Palatino Linotype" w:cs="Palatino Linotype"/>
          <w:i/>
          <w:sz w:val="22"/>
          <w:szCs w:val="22"/>
        </w:rPr>
      </w:pPr>
    </w:p>
    <w:p w14:paraId="6CE1938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 xml:space="preserve">En mérito de todo lo expuesto, ante lo </w:t>
      </w:r>
      <w:r w:rsidRPr="001D5563">
        <w:rPr>
          <w:rFonts w:ascii="Palatino Linotype" w:eastAsia="Palatino Linotype" w:hAnsi="Palatino Linotype" w:cs="Palatino Linotype"/>
          <w:b/>
          <w:sz w:val="22"/>
          <w:szCs w:val="22"/>
        </w:rPr>
        <w:t>FUNDADO</w:t>
      </w:r>
      <w:r w:rsidRPr="001D5563">
        <w:rPr>
          <w:rFonts w:ascii="Palatino Linotype" w:eastAsia="Palatino Linotype" w:hAnsi="Palatino Linotype" w:cs="Palatino Linotype"/>
          <w:sz w:val="22"/>
          <w:szCs w:val="22"/>
        </w:rPr>
        <w:t xml:space="preserve"> de las razones o motivos de inconformidad hechos valer por la parte Recurrente, este Instituto estima que lo dable es </w:t>
      </w:r>
      <w:r w:rsidRPr="001D5563">
        <w:rPr>
          <w:rFonts w:ascii="Palatino Linotype" w:eastAsia="Palatino Linotype" w:hAnsi="Palatino Linotype" w:cs="Palatino Linotype"/>
          <w:b/>
          <w:sz w:val="22"/>
          <w:szCs w:val="22"/>
        </w:rPr>
        <w:t>ORDENAR</w:t>
      </w:r>
      <w:r w:rsidRPr="001D5563">
        <w:rPr>
          <w:rFonts w:ascii="Palatino Linotype" w:eastAsia="Palatino Linotype" w:hAnsi="Palatino Linotype" w:cs="Palatino Linotype"/>
          <w:sz w:val="22"/>
          <w:szCs w:val="22"/>
        </w:rPr>
        <w:t xml:space="preserve"> al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dé respuesta a la solicitud de acceso a la información, atendiendo lo señalado en el presente Considerando.</w:t>
      </w:r>
    </w:p>
    <w:p w14:paraId="24E59C8D"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17B3A677" w14:textId="77777777" w:rsidR="00532AE4" w:rsidRPr="001D5563" w:rsidRDefault="00A76F12">
      <w:pPr>
        <w:spacing w:line="360" w:lineRule="auto"/>
        <w:ind w:right="49"/>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sz w:val="22"/>
          <w:szCs w:val="22"/>
        </w:rPr>
        <w:t>Finalmente, es de señalar que, como ya se mencionó el</w:t>
      </w:r>
      <w:r w:rsidRPr="001D5563">
        <w:rPr>
          <w:rFonts w:ascii="Palatino Linotype" w:eastAsia="Palatino Linotype" w:hAnsi="Palatino Linotype" w:cs="Palatino Linotype"/>
          <w:b/>
          <w:sz w:val="22"/>
          <w:szCs w:val="22"/>
        </w:rPr>
        <w:t xml:space="preserve"> Sujeto Obligado</w:t>
      </w:r>
      <w:r w:rsidRPr="001D5563">
        <w:rPr>
          <w:rFonts w:ascii="Palatino Linotype" w:eastAsia="Palatino Linotype" w:hAnsi="Palatino Linotype" w:cs="Palatino Linotype"/>
          <w:sz w:val="22"/>
          <w:szCs w:val="22"/>
        </w:rPr>
        <w:t>, omitió proporcionar la respuesta a la solicitud de acceso a la información pública, en el término contemplado en el ya citado artículo 163 de la Ley de la materia, razón por la que se ordena dar vista</w:t>
      </w:r>
      <w:r w:rsidRPr="001D5563">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a la Secretaría Técnica del Pleno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w:t>
      </w:r>
    </w:p>
    <w:p w14:paraId="6205E384" w14:textId="77777777" w:rsidR="00532AE4" w:rsidRPr="001D5563" w:rsidRDefault="00532AE4">
      <w:pPr>
        <w:spacing w:line="360" w:lineRule="auto"/>
        <w:ind w:right="49"/>
        <w:jc w:val="both"/>
        <w:rPr>
          <w:rFonts w:ascii="Palatino Linotype" w:eastAsia="Palatino Linotype" w:hAnsi="Palatino Linotype" w:cs="Palatino Linotype"/>
          <w:sz w:val="22"/>
          <w:szCs w:val="22"/>
        </w:rPr>
      </w:pPr>
    </w:p>
    <w:p w14:paraId="16F63950" w14:textId="03C7805D" w:rsidR="00532AE4" w:rsidRPr="001D5563" w:rsidRDefault="00A76F12">
      <w:pPr>
        <w:spacing w:line="360" w:lineRule="auto"/>
        <w:jc w:val="both"/>
        <w:rPr>
          <w:rFonts w:ascii="Palatino Linotype" w:eastAsia="Palatino Linotype" w:hAnsi="Palatino Linotype" w:cs="Palatino Linotype"/>
          <w:sz w:val="22"/>
          <w:szCs w:val="22"/>
        </w:rPr>
      </w:pPr>
      <w:bookmarkStart w:id="1" w:name="_heading=h.ufldlg1z5cqe" w:colFirst="0" w:colLast="0"/>
      <w:bookmarkEnd w:id="1"/>
      <w:r w:rsidRPr="001D5563">
        <w:rPr>
          <w:rFonts w:ascii="Palatino Linotype" w:eastAsia="Palatino Linotype" w:hAnsi="Palatino Linotype" w:cs="Palatino Linotype"/>
          <w:sz w:val="22"/>
          <w:szCs w:val="22"/>
        </w:rPr>
        <w:t xml:space="preserve">Así, con fundamento en lo prescrito en los artículos </w:t>
      </w:r>
      <w:r w:rsidR="009100C5" w:rsidRPr="001D5563">
        <w:rPr>
          <w:rFonts w:ascii="Palatino Linotype" w:eastAsia="Palatino Linotype" w:hAnsi="Palatino Linotype" w:cs="Palatino Linotype"/>
          <w:sz w:val="22"/>
          <w:szCs w:val="22"/>
        </w:rPr>
        <w:t>5 párrafos cuadragésimo cuarto, cuadragésimo quinto y cuadragésimo sexto, fracciones IV y V de la Constitución Política del Estado Libre y Soberano de México; transitorio Cuarto del Decreto número 198 de la “LXII” Legislatura del Estado de México</w:t>
      </w:r>
      <w:r w:rsidRPr="001D5563">
        <w:rPr>
          <w:rFonts w:ascii="Palatino Linotype" w:eastAsia="Palatino Linotype" w:hAnsi="Palatino Linotype" w:cs="Palatino Linotype"/>
          <w:sz w:val="22"/>
          <w:szCs w:val="22"/>
        </w:rPr>
        <w:t>; 2, fracción II; 29, 36 fracciones I y II; 176, 178, 181, 185, fracción I, 186 y 188 de la Ley de Transparencia y Acceso a la Información Pública del Estado de México y Municipios, este Pleno:</w:t>
      </w:r>
    </w:p>
    <w:p w14:paraId="7F017D49" w14:textId="77777777" w:rsidR="00532AE4" w:rsidRPr="001D5563" w:rsidRDefault="00532AE4">
      <w:pPr>
        <w:pBdr>
          <w:top w:val="nil"/>
          <w:left w:val="nil"/>
          <w:bottom w:val="nil"/>
          <w:right w:val="nil"/>
          <w:between w:val="nil"/>
        </w:pBdr>
        <w:spacing w:line="360" w:lineRule="auto"/>
        <w:rPr>
          <w:rFonts w:ascii="Palatino Linotype" w:eastAsia="Palatino Linotype" w:hAnsi="Palatino Linotype" w:cs="Palatino Linotype"/>
          <w:b/>
          <w:sz w:val="22"/>
          <w:szCs w:val="22"/>
        </w:rPr>
      </w:pPr>
    </w:p>
    <w:p w14:paraId="773067CE" w14:textId="77777777" w:rsidR="00532AE4" w:rsidRPr="001D5563" w:rsidRDefault="00A76F12">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t>III. R E S U E L V E</w:t>
      </w:r>
    </w:p>
    <w:p w14:paraId="170B47A5" w14:textId="77777777" w:rsidR="00532AE4" w:rsidRPr="001D5563" w:rsidRDefault="00532AE4">
      <w:pPr>
        <w:pBdr>
          <w:top w:val="nil"/>
          <w:left w:val="nil"/>
          <w:bottom w:val="nil"/>
          <w:right w:val="nil"/>
          <w:between w:val="nil"/>
        </w:pBdr>
        <w:spacing w:line="360" w:lineRule="auto"/>
        <w:jc w:val="center"/>
        <w:rPr>
          <w:rFonts w:ascii="Palatino Linotype" w:eastAsia="Palatino Linotype" w:hAnsi="Palatino Linotype" w:cs="Palatino Linotype"/>
          <w:b/>
          <w:sz w:val="22"/>
          <w:szCs w:val="22"/>
        </w:rPr>
      </w:pPr>
    </w:p>
    <w:p w14:paraId="26C83785" w14:textId="77777777" w:rsidR="00532AE4" w:rsidRPr="001D5563" w:rsidRDefault="00A76F12">
      <w:pPr>
        <w:spacing w:line="360" w:lineRule="auto"/>
        <w:ind w:right="49"/>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Primero. </w:t>
      </w:r>
      <w:r w:rsidRPr="001D5563">
        <w:rPr>
          <w:rFonts w:ascii="Palatino Linotype" w:eastAsia="Palatino Linotype" w:hAnsi="Palatino Linotype" w:cs="Palatino Linotype"/>
          <w:sz w:val="22"/>
          <w:szCs w:val="22"/>
        </w:rPr>
        <w:t xml:space="preserve">Resultan </w:t>
      </w:r>
      <w:r w:rsidRPr="001D5563">
        <w:rPr>
          <w:rFonts w:ascii="Palatino Linotype" w:eastAsia="Palatino Linotype" w:hAnsi="Palatino Linotype" w:cs="Palatino Linotype"/>
          <w:b/>
          <w:sz w:val="22"/>
          <w:szCs w:val="22"/>
        </w:rPr>
        <w:t>FUNDADOS</w:t>
      </w:r>
      <w:r w:rsidRPr="001D5563">
        <w:rPr>
          <w:rFonts w:ascii="Palatino Linotype" w:eastAsia="Palatino Linotype" w:hAnsi="Palatino Linotype" w:cs="Palatino Linotype"/>
          <w:sz w:val="22"/>
          <w:szCs w:val="22"/>
        </w:rPr>
        <w:t xml:space="preserve"> los motivos de inconformidad de la parte </w:t>
      </w:r>
      <w:r w:rsidRPr="001D5563">
        <w:rPr>
          <w:rFonts w:ascii="Palatino Linotype" w:eastAsia="Palatino Linotype" w:hAnsi="Palatino Linotype" w:cs="Palatino Linotype"/>
          <w:b/>
          <w:sz w:val="22"/>
          <w:szCs w:val="22"/>
        </w:rPr>
        <w:t>Recurrente</w:t>
      </w:r>
      <w:r w:rsidRPr="001D5563">
        <w:rPr>
          <w:rFonts w:ascii="Palatino Linotype" w:eastAsia="Palatino Linotype" w:hAnsi="Palatino Linotype" w:cs="Palatino Linotype"/>
          <w:sz w:val="22"/>
          <w:szCs w:val="22"/>
        </w:rPr>
        <w:t xml:space="preserve">, en términos del </w:t>
      </w:r>
      <w:r w:rsidRPr="001D5563">
        <w:rPr>
          <w:rFonts w:ascii="Palatino Linotype" w:eastAsia="Palatino Linotype" w:hAnsi="Palatino Linotype" w:cs="Palatino Linotype"/>
          <w:b/>
          <w:sz w:val="22"/>
          <w:szCs w:val="22"/>
        </w:rPr>
        <w:t>Considerando Cuarto</w:t>
      </w:r>
      <w:r w:rsidRPr="001D5563">
        <w:rPr>
          <w:rFonts w:ascii="Palatino Linotype" w:eastAsia="Palatino Linotype" w:hAnsi="Palatino Linotype" w:cs="Palatino Linotype"/>
          <w:sz w:val="22"/>
          <w:szCs w:val="22"/>
        </w:rPr>
        <w:t xml:space="preserve"> de la presente resolución.</w:t>
      </w:r>
    </w:p>
    <w:p w14:paraId="6A06B418" w14:textId="77777777" w:rsidR="00532AE4" w:rsidRPr="001D5563" w:rsidRDefault="00532AE4">
      <w:pPr>
        <w:spacing w:line="360" w:lineRule="auto"/>
        <w:ind w:right="49"/>
        <w:jc w:val="both"/>
        <w:rPr>
          <w:rFonts w:ascii="Palatino Linotype" w:eastAsia="Palatino Linotype" w:hAnsi="Palatino Linotype" w:cs="Palatino Linotype"/>
          <w:sz w:val="22"/>
          <w:szCs w:val="22"/>
        </w:rPr>
      </w:pPr>
    </w:p>
    <w:p w14:paraId="1E37E133" w14:textId="602B2094" w:rsidR="00532AE4" w:rsidRPr="001D5563" w:rsidRDefault="00A76F12">
      <w:pPr>
        <w:spacing w:line="360" w:lineRule="auto"/>
        <w:jc w:val="both"/>
        <w:rPr>
          <w:rFonts w:ascii="Palatino Linotype" w:eastAsia="Palatino Linotype" w:hAnsi="Palatino Linotype" w:cs="Palatino Linotype"/>
          <w:sz w:val="22"/>
          <w:szCs w:val="22"/>
        </w:rPr>
      </w:pPr>
      <w:bookmarkStart w:id="2" w:name="_heading=h.3dy6vkm" w:colFirst="0" w:colLast="0"/>
      <w:bookmarkEnd w:id="2"/>
      <w:r w:rsidRPr="001D5563">
        <w:rPr>
          <w:rFonts w:ascii="Palatino Linotype" w:eastAsia="Palatino Linotype" w:hAnsi="Palatino Linotype" w:cs="Palatino Linotype"/>
          <w:b/>
          <w:sz w:val="22"/>
          <w:szCs w:val="22"/>
        </w:rPr>
        <w:t>Segundo.</w:t>
      </w:r>
      <w:r w:rsidRPr="001D5563">
        <w:rPr>
          <w:rFonts w:ascii="Palatino Linotype" w:eastAsia="Palatino Linotype" w:hAnsi="Palatino Linotype" w:cs="Palatino Linotype"/>
          <w:sz w:val="22"/>
          <w:szCs w:val="22"/>
        </w:rPr>
        <w:t xml:space="preserve"> Se</w:t>
      </w:r>
      <w:r w:rsidRPr="001D5563">
        <w:rPr>
          <w:rFonts w:ascii="Palatino Linotype" w:eastAsia="Palatino Linotype" w:hAnsi="Palatino Linotype" w:cs="Palatino Linotype"/>
          <w:b/>
          <w:sz w:val="22"/>
          <w:szCs w:val="22"/>
        </w:rPr>
        <w:t xml:space="preserve"> Ordena </w:t>
      </w:r>
      <w:r w:rsidRPr="001D5563">
        <w:rPr>
          <w:rFonts w:ascii="Palatino Linotype" w:eastAsia="Palatino Linotype" w:hAnsi="Palatino Linotype" w:cs="Palatino Linotype"/>
          <w:sz w:val="22"/>
          <w:szCs w:val="22"/>
        </w:rPr>
        <w:t xml:space="preserve">al </w:t>
      </w:r>
      <w:r w:rsidRPr="001D5563">
        <w:rPr>
          <w:rFonts w:ascii="Palatino Linotype" w:eastAsia="Palatino Linotype" w:hAnsi="Palatino Linotype" w:cs="Palatino Linotype"/>
          <w:b/>
          <w:sz w:val="22"/>
          <w:szCs w:val="22"/>
        </w:rPr>
        <w:t xml:space="preserve">Sujeto Obligado </w:t>
      </w:r>
      <w:r w:rsidRPr="001D5563">
        <w:rPr>
          <w:rFonts w:ascii="Palatino Linotype" w:eastAsia="Palatino Linotype" w:hAnsi="Palatino Linotype" w:cs="Palatino Linotype"/>
          <w:sz w:val="22"/>
          <w:szCs w:val="22"/>
        </w:rPr>
        <w:t xml:space="preserve">dé trámite, vía </w:t>
      </w:r>
      <w:r w:rsidRPr="001D5563">
        <w:rPr>
          <w:rFonts w:ascii="Palatino Linotype" w:eastAsia="Palatino Linotype" w:hAnsi="Palatino Linotype" w:cs="Palatino Linotype"/>
          <w:b/>
          <w:sz w:val="22"/>
          <w:szCs w:val="22"/>
        </w:rPr>
        <w:t xml:space="preserve">Sistema de Acceso a la Información Mexiquense </w:t>
      </w:r>
      <w:r w:rsidRPr="001D5563">
        <w:rPr>
          <w:rFonts w:ascii="Palatino Linotype" w:eastAsia="Palatino Linotype" w:hAnsi="Palatino Linotype" w:cs="Palatino Linotype"/>
          <w:sz w:val="22"/>
          <w:szCs w:val="22"/>
        </w:rPr>
        <w:t xml:space="preserve">a la solicitud de acceso a la información pública </w:t>
      </w:r>
      <w:r w:rsidR="00D144C8" w:rsidRPr="001D5563">
        <w:rPr>
          <w:rFonts w:ascii="Palatino Linotype" w:eastAsia="Palatino Linotype" w:hAnsi="Palatino Linotype" w:cs="Palatino Linotype"/>
          <w:b/>
          <w:sz w:val="22"/>
          <w:szCs w:val="22"/>
        </w:rPr>
        <w:t xml:space="preserve"> </w:t>
      </w:r>
      <w:r w:rsidR="005D3CA2" w:rsidRPr="001D5563">
        <w:rPr>
          <w:rFonts w:ascii="Palatino Linotype" w:eastAsia="Palatino Linotype" w:hAnsi="Palatino Linotype" w:cs="Palatino Linotype"/>
          <w:b/>
          <w:sz w:val="22"/>
          <w:szCs w:val="22"/>
        </w:rPr>
        <w:t xml:space="preserve"> </w:t>
      </w:r>
      <w:r w:rsidR="00740627" w:rsidRPr="001D5563">
        <w:rPr>
          <w:rFonts w:ascii="Palatino Linotype" w:eastAsia="Palatino Linotype" w:hAnsi="Palatino Linotype" w:cs="Palatino Linotype"/>
          <w:b/>
          <w:sz w:val="22"/>
          <w:szCs w:val="22"/>
        </w:rPr>
        <w:t xml:space="preserve">00144/COCOTIT/IP/2026 </w:t>
      </w:r>
      <w:r w:rsidRPr="001D5563">
        <w:rPr>
          <w:rFonts w:ascii="Palatino Linotype" w:eastAsia="Palatino Linotype" w:hAnsi="Palatino Linotype" w:cs="Palatino Linotype"/>
          <w:sz w:val="22"/>
          <w:szCs w:val="22"/>
        </w:rPr>
        <w:t xml:space="preserve">que dio origen al recurso de revisión </w:t>
      </w:r>
      <w:r w:rsidR="00AE446C" w:rsidRPr="001D5563">
        <w:rPr>
          <w:rFonts w:ascii="Palatino Linotype" w:eastAsia="Palatino Linotype" w:hAnsi="Palatino Linotype" w:cs="Palatino Linotype"/>
          <w:b/>
          <w:sz w:val="22"/>
          <w:szCs w:val="22"/>
        </w:rPr>
        <w:t>0</w:t>
      </w:r>
      <w:r w:rsidR="00740627" w:rsidRPr="001D5563">
        <w:rPr>
          <w:rFonts w:ascii="Palatino Linotype" w:eastAsia="Palatino Linotype" w:hAnsi="Palatino Linotype" w:cs="Palatino Linotype"/>
          <w:b/>
          <w:sz w:val="22"/>
          <w:szCs w:val="22"/>
        </w:rPr>
        <w:t>8259</w:t>
      </w:r>
      <w:r w:rsidR="000F4794" w:rsidRPr="001D5563">
        <w:rPr>
          <w:rFonts w:ascii="Palatino Linotype" w:eastAsia="Palatino Linotype" w:hAnsi="Palatino Linotype" w:cs="Palatino Linotype"/>
          <w:b/>
          <w:sz w:val="22"/>
          <w:szCs w:val="22"/>
        </w:rPr>
        <w:t xml:space="preserve">/INFOEM/IP/RR/2026 </w:t>
      </w:r>
      <w:r w:rsidRPr="001D5563">
        <w:rPr>
          <w:rFonts w:ascii="Palatino Linotype" w:eastAsia="Palatino Linotype" w:hAnsi="Palatino Linotype" w:cs="Palatino Linotype"/>
          <w:sz w:val="22"/>
          <w:szCs w:val="22"/>
        </w:rPr>
        <w:t xml:space="preserve">en términos del </w:t>
      </w:r>
      <w:r w:rsidRPr="001D5563">
        <w:rPr>
          <w:rFonts w:ascii="Palatino Linotype" w:eastAsia="Palatino Linotype" w:hAnsi="Palatino Linotype" w:cs="Palatino Linotype"/>
          <w:b/>
          <w:sz w:val="22"/>
          <w:szCs w:val="22"/>
        </w:rPr>
        <w:t>Considerando Cuarto</w:t>
      </w:r>
      <w:r w:rsidRPr="001D5563">
        <w:rPr>
          <w:rFonts w:ascii="Palatino Linotype" w:eastAsia="Palatino Linotype" w:hAnsi="Palatino Linotype" w:cs="Palatino Linotype"/>
          <w:sz w:val="22"/>
          <w:szCs w:val="22"/>
        </w:rPr>
        <w:t xml:space="preserve"> de esta resolución y emita respuesta, debiendo </w:t>
      </w:r>
      <w:r w:rsidRPr="001D5563">
        <w:rPr>
          <w:rFonts w:ascii="Palatino Linotype" w:eastAsia="Palatino Linotype" w:hAnsi="Palatino Linotype" w:cs="Palatino Linotype"/>
          <w:sz w:val="22"/>
          <w:szCs w:val="22"/>
        </w:rPr>
        <w:lastRenderedPageBreak/>
        <w:t>observar las excepciones contenidas en la Ley de Transparencia y Acceso a la Información Pública del Estado de México y Municipios.</w:t>
      </w:r>
    </w:p>
    <w:p w14:paraId="60C72B41"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53D352A0" w14:textId="77777777" w:rsidR="00532AE4" w:rsidRPr="001D5563" w:rsidRDefault="00A76F12">
      <w:pPr>
        <w:spacing w:line="360" w:lineRule="auto"/>
        <w:ind w:right="49"/>
        <w:jc w:val="both"/>
        <w:rPr>
          <w:rFonts w:ascii="Palatino Linotype" w:eastAsia="Palatino Linotype" w:hAnsi="Palatino Linotype" w:cs="Palatino Linotype"/>
          <w:sz w:val="22"/>
          <w:szCs w:val="22"/>
        </w:rPr>
      </w:pPr>
      <w:bookmarkStart w:id="3" w:name="_heading=h.3znysh7" w:colFirst="0" w:colLast="0"/>
      <w:bookmarkEnd w:id="3"/>
      <w:r w:rsidRPr="001D5563">
        <w:rPr>
          <w:rFonts w:ascii="Palatino Linotype" w:eastAsia="Palatino Linotype" w:hAnsi="Palatino Linotype" w:cs="Palatino Linotype"/>
          <w:b/>
          <w:sz w:val="22"/>
          <w:szCs w:val="22"/>
        </w:rPr>
        <w:t>Tercero.</w:t>
      </w:r>
      <w:r w:rsidRPr="001D5563">
        <w:rPr>
          <w:rFonts w:ascii="Palatino Linotype" w:eastAsia="Palatino Linotype" w:hAnsi="Palatino Linotype" w:cs="Palatino Linotype"/>
          <w:sz w:val="22"/>
          <w:szCs w:val="22"/>
        </w:rPr>
        <w:t xml:space="preserve"> </w:t>
      </w:r>
      <w:r w:rsidRPr="001D5563">
        <w:rPr>
          <w:rFonts w:ascii="Palatino Linotype" w:eastAsia="Palatino Linotype" w:hAnsi="Palatino Linotype" w:cs="Palatino Linotype"/>
          <w:b/>
          <w:sz w:val="22"/>
          <w:szCs w:val="22"/>
        </w:rPr>
        <w:t xml:space="preserve">Notifíquese vía Sistema de Acceso a la Información Mexiquense </w:t>
      </w:r>
      <w:r w:rsidRPr="001D5563">
        <w:rPr>
          <w:rFonts w:ascii="Palatino Linotype" w:eastAsia="Palatino Linotype" w:hAnsi="Palatino Linotype" w:cs="Palatino Linotype"/>
          <w:sz w:val="22"/>
          <w:szCs w:val="22"/>
        </w:rPr>
        <w:t>la presente resolución al T</w:t>
      </w:r>
      <w:r w:rsidRPr="001D5563">
        <w:rPr>
          <w:rFonts w:ascii="Palatino Linotype" w:eastAsia="Palatino Linotype" w:hAnsi="Palatino Linotype" w:cs="Palatino Linotype"/>
          <w:b/>
          <w:sz w:val="22"/>
          <w:szCs w:val="22"/>
        </w:rPr>
        <w:t xml:space="preserve">itular de la Unidad de Transparencia </w:t>
      </w:r>
      <w:r w:rsidRPr="001D5563">
        <w:rPr>
          <w:rFonts w:ascii="Palatino Linotype" w:eastAsia="Palatino Linotype" w:hAnsi="Palatino Linotype" w:cs="Palatino Linotype"/>
          <w:sz w:val="22"/>
          <w:szCs w:val="22"/>
        </w:rPr>
        <w:t xml:space="preserve">del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para que conforme al artículo 186 último párrafo, 189 segundo párrafo y 194 de la Ley de Transparencia y Acceso a la Información Pública del Estado de México y Municipios; dé cumplimiento a lo ordenado dentro del plazo de diez días hábiles, e informe a este Instituto en un plazo de tres días hábiles siguientes sobre el cumplimiento dado a la presente y, se le apercibe que en caso de negarse a cumplir la presente resolución o hacerlo de manera parcial, se le impondrá una medida de apremio de conformidad con lo previsto en los artículos 198, 200, fracción III; 214, 215 y 216 de la Ley  de Transparencia y Acceso a la Información Pública del Estado de México y Municipios.</w:t>
      </w:r>
    </w:p>
    <w:p w14:paraId="6D15A12F" w14:textId="77777777" w:rsidR="00532AE4" w:rsidRPr="001D5563" w:rsidRDefault="00532AE4">
      <w:pPr>
        <w:spacing w:line="360" w:lineRule="auto"/>
        <w:ind w:right="49"/>
        <w:jc w:val="both"/>
        <w:rPr>
          <w:rFonts w:ascii="Palatino Linotype" w:eastAsia="Palatino Linotype" w:hAnsi="Palatino Linotype" w:cs="Palatino Linotype"/>
          <w:sz w:val="22"/>
          <w:szCs w:val="22"/>
        </w:rPr>
      </w:pPr>
    </w:p>
    <w:p w14:paraId="71D578D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Cuarto. Notifíquese</w:t>
      </w:r>
      <w:r w:rsidRPr="001D5563">
        <w:rPr>
          <w:rFonts w:ascii="Palatino Linotype" w:eastAsia="Palatino Linotype" w:hAnsi="Palatino Linotype" w:cs="Palatino Linotype"/>
          <w:sz w:val="22"/>
          <w:szCs w:val="22"/>
        </w:rPr>
        <w:t>,</w:t>
      </w:r>
      <w:r w:rsidRPr="001D5563">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 xml:space="preserve">vía </w:t>
      </w:r>
      <w:r w:rsidRPr="001D5563">
        <w:rPr>
          <w:rFonts w:ascii="Palatino Linotype" w:eastAsia="Palatino Linotype" w:hAnsi="Palatino Linotype" w:cs="Palatino Linotype"/>
          <w:b/>
          <w:sz w:val="22"/>
          <w:szCs w:val="22"/>
        </w:rPr>
        <w:t>Sistema de Acceso a la Información Mexiquense</w:t>
      </w:r>
      <w:r w:rsidRPr="001D5563">
        <w:rPr>
          <w:rFonts w:ascii="Palatino Linotype" w:eastAsia="Palatino Linotype" w:hAnsi="Palatino Linotype" w:cs="Palatino Linotype"/>
          <w:sz w:val="22"/>
          <w:szCs w:val="22"/>
        </w:rPr>
        <w:t xml:space="preserve">, a la parte </w:t>
      </w:r>
      <w:r w:rsidRPr="001D5563">
        <w:rPr>
          <w:rFonts w:ascii="Palatino Linotype" w:eastAsia="Palatino Linotype" w:hAnsi="Palatino Linotype" w:cs="Palatino Linotype"/>
          <w:b/>
          <w:sz w:val="22"/>
          <w:szCs w:val="22"/>
        </w:rPr>
        <w:t xml:space="preserve">Recurrente </w:t>
      </w:r>
      <w:r w:rsidRPr="001D5563">
        <w:rPr>
          <w:rFonts w:ascii="Palatino Linotype" w:eastAsia="Palatino Linotype" w:hAnsi="Palatino Linotype" w:cs="Palatino Linotype"/>
          <w:sz w:val="22"/>
          <w:szCs w:val="22"/>
        </w:rPr>
        <w:t>la presente resolución, así como, que de conformidad con lo establecido en el artículo 196 de la Ley de Transparencia y Acceso a la Información Pública del Estado de México y Municipios, en caso de que considere que le causa algún perjuicio podrá impugnarla vía Juicio de Amparo en los términos de las leyes aplicables.</w:t>
      </w:r>
    </w:p>
    <w:p w14:paraId="2589B82F" w14:textId="77777777" w:rsidR="00532AE4" w:rsidRPr="001D5563" w:rsidRDefault="00532AE4">
      <w:pPr>
        <w:spacing w:line="360" w:lineRule="auto"/>
        <w:jc w:val="both"/>
        <w:rPr>
          <w:rFonts w:ascii="Palatino Linotype" w:eastAsia="Palatino Linotype" w:hAnsi="Palatino Linotype" w:cs="Palatino Linotype"/>
          <w:sz w:val="22"/>
          <w:szCs w:val="22"/>
        </w:rPr>
      </w:pPr>
    </w:p>
    <w:p w14:paraId="2F6BA217" w14:textId="77777777" w:rsidR="00532AE4" w:rsidRPr="001D5563" w:rsidRDefault="00A76F12">
      <w:pPr>
        <w:spacing w:line="360" w:lineRule="auto"/>
        <w:jc w:val="both"/>
        <w:rPr>
          <w:rFonts w:ascii="Palatino Linotype" w:eastAsia="Palatino Linotype" w:hAnsi="Palatino Linotype" w:cs="Palatino Linotype"/>
          <w:sz w:val="22"/>
          <w:szCs w:val="22"/>
        </w:rPr>
      </w:pPr>
      <w:r w:rsidRPr="001D5563">
        <w:rPr>
          <w:rFonts w:ascii="Palatino Linotype" w:eastAsia="Palatino Linotype" w:hAnsi="Palatino Linotype" w:cs="Palatino Linotype"/>
          <w:b/>
          <w:sz w:val="22"/>
          <w:szCs w:val="22"/>
        </w:rPr>
        <w:t xml:space="preserve">Quinto. Notifíquese </w:t>
      </w:r>
      <w:r w:rsidRPr="001D5563">
        <w:rPr>
          <w:rFonts w:ascii="Palatino Linotype" w:eastAsia="Palatino Linotype" w:hAnsi="Palatino Linotype" w:cs="Palatino Linotype"/>
          <w:sz w:val="22"/>
          <w:szCs w:val="22"/>
        </w:rPr>
        <w:t xml:space="preserve">a la parte </w:t>
      </w:r>
      <w:r w:rsidRPr="001D5563">
        <w:rPr>
          <w:rFonts w:ascii="Palatino Linotype" w:eastAsia="Palatino Linotype" w:hAnsi="Palatino Linotype" w:cs="Palatino Linotype"/>
          <w:b/>
          <w:sz w:val="22"/>
          <w:szCs w:val="22"/>
        </w:rPr>
        <w:t xml:space="preserve">Recurrente </w:t>
      </w:r>
      <w:r w:rsidRPr="001D5563">
        <w:rPr>
          <w:rFonts w:ascii="Palatino Linotype" w:eastAsia="Palatino Linotype" w:hAnsi="Palatino Linotype" w:cs="Palatino Linotype"/>
          <w:sz w:val="22"/>
          <w:szCs w:val="22"/>
        </w:rPr>
        <w:t xml:space="preserve">que la respuesta que dé el </w:t>
      </w:r>
      <w:r w:rsidRPr="001D5563">
        <w:rPr>
          <w:rFonts w:ascii="Palatino Linotype" w:eastAsia="Palatino Linotype" w:hAnsi="Palatino Linotype" w:cs="Palatino Linotype"/>
          <w:b/>
          <w:sz w:val="22"/>
          <w:szCs w:val="22"/>
        </w:rPr>
        <w:t>Sujeto Obligado</w:t>
      </w:r>
      <w:r w:rsidRPr="001D5563">
        <w:rPr>
          <w:rFonts w:ascii="Palatino Linotype" w:eastAsia="Palatino Linotype" w:hAnsi="Palatino Linotype" w:cs="Palatino Linotype"/>
          <w:sz w:val="22"/>
          <w:szCs w:val="22"/>
        </w:rPr>
        <w:t xml:space="preserve"> derivada de la presente resolución es susceptible de ser impugnadas nuevamente, mediante recurso de revisión, ante el Instituto, en términos del artículo 179, último párrafo de la Ley de Transparencia y Acceso a la Información Pública del Estado de México y Municipios.</w:t>
      </w:r>
    </w:p>
    <w:p w14:paraId="4F361CFA" w14:textId="77777777" w:rsidR="00532AE4" w:rsidRPr="001D5563" w:rsidRDefault="00532AE4">
      <w:pPr>
        <w:spacing w:line="360" w:lineRule="auto"/>
        <w:jc w:val="both"/>
        <w:rPr>
          <w:rFonts w:ascii="Palatino Linotype" w:eastAsia="Palatino Linotype" w:hAnsi="Palatino Linotype" w:cs="Palatino Linotype"/>
          <w:b/>
          <w:sz w:val="22"/>
          <w:szCs w:val="22"/>
        </w:rPr>
      </w:pPr>
    </w:p>
    <w:p w14:paraId="6A028DBE" w14:textId="77777777" w:rsidR="00532AE4" w:rsidRPr="001D5563" w:rsidRDefault="00A76F12">
      <w:pPr>
        <w:spacing w:line="360" w:lineRule="auto"/>
        <w:jc w:val="both"/>
        <w:rPr>
          <w:rFonts w:ascii="Palatino Linotype" w:eastAsia="Palatino Linotype" w:hAnsi="Palatino Linotype" w:cs="Palatino Linotype"/>
          <w:b/>
          <w:sz w:val="22"/>
          <w:szCs w:val="22"/>
        </w:rPr>
      </w:pPr>
      <w:r w:rsidRPr="001D5563">
        <w:rPr>
          <w:rFonts w:ascii="Palatino Linotype" w:eastAsia="Palatino Linotype" w:hAnsi="Palatino Linotype" w:cs="Palatino Linotype"/>
          <w:b/>
          <w:sz w:val="22"/>
          <w:szCs w:val="22"/>
        </w:rPr>
        <w:lastRenderedPageBreak/>
        <w:t xml:space="preserve">Sexto. Gírese </w:t>
      </w:r>
      <w:r w:rsidRPr="001D5563">
        <w:rPr>
          <w:rFonts w:ascii="Palatino Linotype" w:eastAsia="Palatino Linotype" w:hAnsi="Palatino Linotype" w:cs="Palatino Linotype"/>
          <w:sz w:val="22"/>
          <w:szCs w:val="22"/>
        </w:rPr>
        <w:t xml:space="preserve">oficio a la </w:t>
      </w:r>
      <w:r w:rsidRPr="001D5563">
        <w:rPr>
          <w:rFonts w:ascii="Palatino Linotype" w:eastAsia="Palatino Linotype" w:hAnsi="Palatino Linotype" w:cs="Palatino Linotype"/>
          <w:b/>
          <w:sz w:val="22"/>
          <w:szCs w:val="22"/>
        </w:rPr>
        <w:t>Secretaría Técnica del Pleno</w:t>
      </w:r>
      <w:r w:rsidRPr="001D5563">
        <w:rPr>
          <w:rFonts w:ascii="Palatino Linotype" w:eastAsia="Palatino Linotype" w:hAnsi="Palatino Linotype" w:cs="Palatino Linotype"/>
          <w:sz w:val="22"/>
          <w:szCs w:val="22"/>
        </w:rPr>
        <w:t xml:space="preserve"> de este Instituto para hacer del conocimiento del Órgano Interno de Control competente la presente resolución, a fin de que de conformidad con el artículo 190 de la Ley de Transparencia y Acceso a la Información Pública del Estado de México y Municipios se determine lo conducente, en términos de lo señalado en el Considerando Cuarto</w:t>
      </w:r>
      <w:r w:rsidRPr="001D5563">
        <w:rPr>
          <w:rFonts w:ascii="Palatino Linotype" w:eastAsia="Palatino Linotype" w:hAnsi="Palatino Linotype" w:cs="Palatino Linotype"/>
          <w:b/>
          <w:sz w:val="22"/>
          <w:szCs w:val="22"/>
        </w:rPr>
        <w:t xml:space="preserve"> </w:t>
      </w:r>
      <w:r w:rsidRPr="001D5563">
        <w:rPr>
          <w:rFonts w:ascii="Palatino Linotype" w:eastAsia="Palatino Linotype" w:hAnsi="Palatino Linotype" w:cs="Palatino Linotype"/>
          <w:sz w:val="22"/>
          <w:szCs w:val="22"/>
        </w:rPr>
        <w:t>de la presente resolución.</w:t>
      </w:r>
      <w:r w:rsidRPr="001D5563">
        <w:rPr>
          <w:rFonts w:ascii="Palatino Linotype" w:eastAsia="Palatino Linotype" w:hAnsi="Palatino Linotype" w:cs="Palatino Linotype"/>
          <w:b/>
          <w:sz w:val="22"/>
          <w:szCs w:val="22"/>
        </w:rPr>
        <w:t xml:space="preserve"> </w:t>
      </w:r>
    </w:p>
    <w:p w14:paraId="7F049394" w14:textId="77777777" w:rsidR="00532AE4" w:rsidRPr="001D5563" w:rsidRDefault="00532AE4">
      <w:pPr>
        <w:spacing w:line="360" w:lineRule="auto"/>
        <w:jc w:val="both"/>
        <w:rPr>
          <w:rFonts w:ascii="Palatino Linotype" w:eastAsia="Palatino Linotype" w:hAnsi="Palatino Linotype" w:cs="Palatino Linotype"/>
          <w:sz w:val="22"/>
          <w:szCs w:val="22"/>
        </w:rPr>
      </w:pPr>
      <w:bookmarkStart w:id="4" w:name="_heading=h.ibiie51sawl6" w:colFirst="0" w:colLast="0"/>
      <w:bookmarkEnd w:id="4"/>
    </w:p>
    <w:p w14:paraId="6D9E81A2" w14:textId="3F74A55A" w:rsidR="00532AE4" w:rsidRPr="00B34D4A" w:rsidRDefault="00A76F12">
      <w:pPr>
        <w:spacing w:line="360" w:lineRule="auto"/>
        <w:ind w:right="49"/>
        <w:jc w:val="both"/>
        <w:rPr>
          <w:rFonts w:ascii="Palatino Linotype" w:eastAsia="Palatino Linotype" w:hAnsi="Palatino Linotype" w:cs="Palatino Linotype"/>
          <w:sz w:val="22"/>
          <w:szCs w:val="22"/>
        </w:rPr>
        <w:sectPr w:rsidR="00532AE4" w:rsidRPr="00B34D4A">
          <w:headerReference w:type="default" r:id="rId9"/>
          <w:footerReference w:type="default" r:id="rId10"/>
          <w:headerReference w:type="first" r:id="rId11"/>
          <w:footerReference w:type="first" r:id="rId12"/>
          <w:pgSz w:w="12240" w:h="15840"/>
          <w:pgMar w:top="1985" w:right="1701" w:bottom="1701" w:left="1701" w:header="709" w:footer="709" w:gutter="0"/>
          <w:pgNumType w:start="1"/>
          <w:cols w:space="720"/>
          <w:titlePg/>
        </w:sectPr>
      </w:pPr>
      <w:bookmarkStart w:id="5" w:name="_heading=h.1fob9te" w:colFirst="0" w:colLast="0"/>
      <w:bookmarkEnd w:id="5"/>
      <w:r w:rsidRPr="001D5563">
        <w:rPr>
          <w:rFonts w:ascii="Palatino Linotype" w:eastAsia="Palatino Linotype" w:hAnsi="Palatino Linotype" w:cs="Palatino Linotype"/>
          <w:sz w:val="22"/>
          <w:szCs w:val="22"/>
        </w:rPr>
        <w:t xml:space="preserve">ASÍ LO RESUELVE, POR UNANIMIDAD DE VOTOS, EL PLENO DEL INSTITUTO DE TRANSPARENCIA, ACCESO A LA INFORMACIÓN PÚBLICA Y PROTECCIÓN DE DATOS PERSONALES DEL ESTADO DE MÉXICO Y MUNICIPIOS, CONFORMADO POR LOS COMISIONADOS JOSÉ MARTÍNEZ VILCHIS, MARÍA DEL ROSARIO </w:t>
      </w:r>
      <w:r w:rsidR="00FE33C3" w:rsidRPr="001D5563">
        <w:rPr>
          <w:rFonts w:ascii="Palatino Linotype" w:eastAsia="Palatino Linotype" w:hAnsi="Palatino Linotype" w:cs="Palatino Linotype"/>
          <w:sz w:val="22"/>
          <w:szCs w:val="22"/>
        </w:rPr>
        <w:t xml:space="preserve">MEJÍA AYALA </w:t>
      </w:r>
      <w:r w:rsidRPr="001D5563">
        <w:rPr>
          <w:rFonts w:ascii="Palatino Linotype" w:eastAsia="Palatino Linotype" w:hAnsi="Palatino Linotype" w:cs="Palatino Linotype"/>
          <w:sz w:val="22"/>
          <w:szCs w:val="22"/>
        </w:rPr>
        <w:t xml:space="preserve">Y GUADALUPE RAMÍREZ PEÑA; EN LA </w:t>
      </w:r>
      <w:r w:rsidR="00135C3B" w:rsidRPr="001D5563">
        <w:rPr>
          <w:rFonts w:ascii="Palatino Linotype" w:eastAsia="Palatino Linotype" w:hAnsi="Palatino Linotype" w:cs="Palatino Linotype"/>
          <w:sz w:val="22"/>
          <w:szCs w:val="22"/>
        </w:rPr>
        <w:t>TR</w:t>
      </w:r>
      <w:r w:rsidR="00C36278" w:rsidRPr="001D5563">
        <w:rPr>
          <w:rFonts w:ascii="Palatino Linotype" w:eastAsia="Palatino Linotype" w:hAnsi="Palatino Linotype" w:cs="Palatino Linotype"/>
          <w:sz w:val="22"/>
          <w:szCs w:val="22"/>
        </w:rPr>
        <w:t xml:space="preserve">IGÉSIMA </w:t>
      </w:r>
      <w:r w:rsidR="00AE3DD5" w:rsidRPr="001D5563">
        <w:rPr>
          <w:rFonts w:ascii="Palatino Linotype" w:eastAsia="Palatino Linotype" w:hAnsi="Palatino Linotype" w:cs="Palatino Linotype"/>
          <w:sz w:val="22"/>
          <w:szCs w:val="22"/>
        </w:rPr>
        <w:t>TERC</w:t>
      </w:r>
      <w:r w:rsidR="003D2CDB" w:rsidRPr="001D5563">
        <w:rPr>
          <w:rFonts w:ascii="Palatino Linotype" w:eastAsia="Palatino Linotype" w:hAnsi="Palatino Linotype" w:cs="Palatino Linotype"/>
          <w:sz w:val="22"/>
          <w:szCs w:val="22"/>
        </w:rPr>
        <w:t xml:space="preserve">ERA </w:t>
      </w:r>
      <w:r w:rsidRPr="001D5563">
        <w:rPr>
          <w:rFonts w:ascii="Palatino Linotype" w:eastAsia="Palatino Linotype" w:hAnsi="Palatino Linotype" w:cs="Palatino Linotype"/>
          <w:sz w:val="22"/>
          <w:szCs w:val="22"/>
        </w:rPr>
        <w:t xml:space="preserve">SESIÓN ORDINARIA CELEBRADA EL </w:t>
      </w:r>
      <w:r w:rsidR="00AE3DD5" w:rsidRPr="001D5563">
        <w:rPr>
          <w:rFonts w:ascii="Palatino Linotype" w:eastAsia="Palatino Linotype" w:hAnsi="Palatino Linotype" w:cs="Palatino Linotype"/>
          <w:sz w:val="22"/>
          <w:szCs w:val="22"/>
        </w:rPr>
        <w:t>DIECISIETE</w:t>
      </w:r>
      <w:r w:rsidR="003D2CDB" w:rsidRPr="001D5563">
        <w:rPr>
          <w:rFonts w:ascii="Palatino Linotype" w:eastAsia="Palatino Linotype" w:hAnsi="Palatino Linotype" w:cs="Palatino Linotype"/>
          <w:sz w:val="22"/>
          <w:szCs w:val="22"/>
        </w:rPr>
        <w:t xml:space="preserve"> DE SEPTIEMBRE</w:t>
      </w:r>
      <w:r w:rsidR="00DF5516" w:rsidRPr="001D5563">
        <w:rPr>
          <w:rFonts w:ascii="Palatino Linotype" w:eastAsia="Palatino Linotype" w:hAnsi="Palatino Linotype" w:cs="Palatino Linotype"/>
          <w:sz w:val="22"/>
          <w:szCs w:val="22"/>
        </w:rPr>
        <w:t xml:space="preserve"> DE DOS MIL VEINTISÉIS</w:t>
      </w:r>
      <w:r w:rsidRPr="001D5563">
        <w:rPr>
          <w:rFonts w:ascii="Palatino Linotype" w:eastAsia="Palatino Linotype" w:hAnsi="Palatino Linotype" w:cs="Palatino Linotype"/>
          <w:sz w:val="22"/>
          <w:szCs w:val="22"/>
        </w:rPr>
        <w:t>, ANTE EL SECRETARIO TÉCNICO DEL PLENO ALEXIS TAPIA RAMÍREZ.</w:t>
      </w:r>
      <w:r w:rsidRPr="00B34D4A">
        <w:rPr>
          <w:rFonts w:ascii="Palatino Linotype" w:eastAsia="Palatino Linotype" w:hAnsi="Palatino Linotype" w:cs="Palatino Linotype"/>
          <w:sz w:val="22"/>
          <w:szCs w:val="22"/>
        </w:rPr>
        <w:t xml:space="preserve"> </w:t>
      </w:r>
    </w:p>
    <w:p w14:paraId="74E02134" w14:textId="77777777" w:rsidR="00532AE4" w:rsidRPr="00B34D4A" w:rsidRDefault="00532AE4">
      <w:pPr>
        <w:tabs>
          <w:tab w:val="left" w:pos="709"/>
        </w:tabs>
        <w:spacing w:line="360" w:lineRule="auto"/>
        <w:jc w:val="both"/>
        <w:rPr>
          <w:rFonts w:ascii="Palatino Linotype" w:eastAsia="Palatino Linotype" w:hAnsi="Palatino Linotype" w:cs="Palatino Linotype"/>
          <w:sz w:val="22"/>
          <w:szCs w:val="22"/>
        </w:rPr>
      </w:pPr>
    </w:p>
    <w:p w14:paraId="5566C3BF" w14:textId="77777777" w:rsidR="00532AE4" w:rsidRPr="00B34D4A" w:rsidRDefault="00532AE4">
      <w:pPr>
        <w:rPr>
          <w:sz w:val="22"/>
          <w:szCs w:val="22"/>
        </w:rPr>
      </w:pPr>
    </w:p>
    <w:sectPr w:rsidR="00532AE4" w:rsidRPr="00B34D4A">
      <w:headerReference w:type="first" r:id="rId13"/>
      <w:pgSz w:w="12240" w:h="15840"/>
      <w:pgMar w:top="1985" w:right="1701" w:bottom="1701" w:left="1701"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FFF15" w14:textId="77777777" w:rsidR="007B3535" w:rsidRDefault="007B3535">
      <w:r>
        <w:separator/>
      </w:r>
    </w:p>
  </w:endnote>
  <w:endnote w:type="continuationSeparator" w:id="0">
    <w:p w14:paraId="7FB86921" w14:textId="77777777" w:rsidR="007B3535" w:rsidRDefault="007B35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7CFD0" w14:textId="68723FB8"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1D5563">
      <w:rPr>
        <w:rFonts w:ascii="Arial" w:eastAsia="Arial" w:hAnsi="Arial" w:cs="Arial"/>
        <w:b/>
        <w:noProof/>
        <w:color w:val="000000"/>
        <w:sz w:val="20"/>
        <w:szCs w:val="20"/>
      </w:rPr>
      <w:t>26</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1D5563">
      <w:rPr>
        <w:rFonts w:ascii="Arial" w:eastAsia="Arial" w:hAnsi="Arial" w:cs="Arial"/>
        <w:b/>
        <w:noProof/>
        <w:color w:val="000000"/>
        <w:sz w:val="20"/>
        <w:szCs w:val="20"/>
      </w:rPr>
      <w:t>28</w:t>
    </w:r>
    <w:r>
      <w:rPr>
        <w:rFonts w:ascii="Arial" w:eastAsia="Arial" w:hAnsi="Arial" w:cs="Arial"/>
        <w:b/>
        <w:color w:val="000000"/>
        <w:sz w:val="20"/>
        <w:szCs w:val="20"/>
      </w:rPr>
      <w:fldChar w:fldCharType="end"/>
    </w:r>
  </w:p>
  <w:p w14:paraId="1B9C2466" w14:textId="77777777" w:rsidR="00532AE4" w:rsidRDefault="00532AE4">
    <w:pPr>
      <w:pBdr>
        <w:top w:val="nil"/>
        <w:left w:val="nil"/>
        <w:bottom w:val="nil"/>
        <w:right w:val="nil"/>
        <w:between w:val="nil"/>
      </w:pBdr>
      <w:tabs>
        <w:tab w:val="center" w:pos="4252"/>
        <w:tab w:val="right" w:pos="8504"/>
      </w:tabs>
      <w:rPr>
        <w:color w:val="000000"/>
      </w:rPr>
    </w:pPr>
  </w:p>
  <w:p w14:paraId="502D1B9F" w14:textId="77777777" w:rsidR="00532AE4" w:rsidRDefault="00532AE4">
    <w:pPr>
      <w:pBdr>
        <w:top w:val="nil"/>
        <w:left w:val="nil"/>
        <w:bottom w:val="nil"/>
        <w:right w:val="nil"/>
        <w:between w:val="nil"/>
      </w:pBdr>
      <w:tabs>
        <w:tab w:val="center" w:pos="4252"/>
        <w:tab w:val="right" w:pos="8504"/>
      </w:tabs>
      <w:ind w:firstLine="708"/>
      <w:rPr>
        <w:rFonts w:ascii="Calibri" w:eastAsia="Calibri" w:hAnsi="Calibri" w:cs="Calibri"/>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70723" w14:textId="4B52F300" w:rsidR="00532AE4" w:rsidRDefault="00A76F12">
    <w:pPr>
      <w:pBdr>
        <w:top w:val="nil"/>
        <w:left w:val="nil"/>
        <w:bottom w:val="nil"/>
        <w:right w:val="nil"/>
        <w:between w:val="nil"/>
      </w:pBdr>
      <w:tabs>
        <w:tab w:val="center" w:pos="4252"/>
        <w:tab w:val="right" w:pos="8504"/>
      </w:tabs>
      <w:jc w:val="right"/>
      <w:rPr>
        <w:rFonts w:ascii="Arial" w:eastAsia="Arial" w:hAnsi="Arial" w:cs="Arial"/>
        <w:color w:val="000000"/>
        <w:sz w:val="20"/>
        <w:szCs w:val="20"/>
      </w:rPr>
    </w:pPr>
    <w:r>
      <w:rPr>
        <w:rFonts w:ascii="Arial" w:eastAsia="Arial" w:hAnsi="Arial" w:cs="Arial"/>
        <w:b/>
        <w:color w:val="000000"/>
        <w:sz w:val="20"/>
        <w:szCs w:val="20"/>
      </w:rPr>
      <w:t xml:space="preserve">Página </w:t>
    </w:r>
    <w:r>
      <w:rPr>
        <w:rFonts w:ascii="Arial" w:eastAsia="Arial" w:hAnsi="Arial" w:cs="Arial"/>
        <w:b/>
        <w:color w:val="000000"/>
        <w:sz w:val="20"/>
        <w:szCs w:val="20"/>
      </w:rPr>
      <w:fldChar w:fldCharType="begin"/>
    </w:r>
    <w:r>
      <w:rPr>
        <w:rFonts w:ascii="Arial" w:eastAsia="Arial" w:hAnsi="Arial" w:cs="Arial"/>
        <w:b/>
        <w:color w:val="000000"/>
        <w:sz w:val="20"/>
        <w:szCs w:val="20"/>
      </w:rPr>
      <w:instrText>PAGE</w:instrText>
    </w:r>
    <w:r>
      <w:rPr>
        <w:rFonts w:ascii="Arial" w:eastAsia="Arial" w:hAnsi="Arial" w:cs="Arial"/>
        <w:b/>
        <w:color w:val="000000"/>
        <w:sz w:val="20"/>
        <w:szCs w:val="20"/>
      </w:rPr>
      <w:fldChar w:fldCharType="separate"/>
    </w:r>
    <w:r w:rsidR="001D5563">
      <w:rPr>
        <w:rFonts w:ascii="Arial" w:eastAsia="Arial" w:hAnsi="Arial" w:cs="Arial"/>
        <w:b/>
        <w:noProof/>
        <w:color w:val="000000"/>
        <w:sz w:val="20"/>
        <w:szCs w:val="20"/>
      </w:rPr>
      <w:t>28</w:t>
    </w:r>
    <w:r>
      <w:rPr>
        <w:rFonts w:ascii="Arial" w:eastAsia="Arial" w:hAnsi="Arial" w:cs="Arial"/>
        <w:b/>
        <w:color w:val="000000"/>
        <w:sz w:val="20"/>
        <w:szCs w:val="20"/>
      </w:rPr>
      <w:fldChar w:fldCharType="end"/>
    </w:r>
    <w:r>
      <w:rPr>
        <w:rFonts w:ascii="Arial" w:eastAsia="Arial" w:hAnsi="Arial" w:cs="Arial"/>
        <w:color w:val="000000"/>
        <w:sz w:val="20"/>
        <w:szCs w:val="20"/>
      </w:rPr>
      <w:t xml:space="preserve"> de </w:t>
    </w:r>
    <w:r>
      <w:rPr>
        <w:rFonts w:ascii="Arial" w:eastAsia="Arial" w:hAnsi="Arial" w:cs="Arial"/>
        <w:b/>
        <w:color w:val="000000"/>
        <w:sz w:val="20"/>
        <w:szCs w:val="20"/>
      </w:rPr>
      <w:fldChar w:fldCharType="begin"/>
    </w:r>
    <w:r>
      <w:rPr>
        <w:rFonts w:ascii="Arial" w:eastAsia="Arial" w:hAnsi="Arial" w:cs="Arial"/>
        <w:b/>
        <w:color w:val="000000"/>
        <w:sz w:val="20"/>
        <w:szCs w:val="20"/>
      </w:rPr>
      <w:instrText>NUMPAGES</w:instrText>
    </w:r>
    <w:r>
      <w:rPr>
        <w:rFonts w:ascii="Arial" w:eastAsia="Arial" w:hAnsi="Arial" w:cs="Arial"/>
        <w:b/>
        <w:color w:val="000000"/>
        <w:sz w:val="20"/>
        <w:szCs w:val="20"/>
      </w:rPr>
      <w:fldChar w:fldCharType="separate"/>
    </w:r>
    <w:r w:rsidR="001D5563">
      <w:rPr>
        <w:rFonts w:ascii="Arial" w:eastAsia="Arial" w:hAnsi="Arial" w:cs="Arial"/>
        <w:b/>
        <w:noProof/>
        <w:color w:val="000000"/>
        <w:sz w:val="20"/>
        <w:szCs w:val="20"/>
      </w:rPr>
      <w:t>28</w:t>
    </w:r>
    <w:r>
      <w:rPr>
        <w:rFonts w:ascii="Arial" w:eastAsia="Arial" w:hAnsi="Arial" w:cs="Arial"/>
        <w:b/>
        <w:color w:val="000000"/>
        <w:sz w:val="20"/>
        <w:szCs w:val="20"/>
      </w:rPr>
      <w:fldChar w:fldCharType="end"/>
    </w:r>
  </w:p>
  <w:p w14:paraId="0679A01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57A0A" w14:textId="77777777" w:rsidR="007B3535" w:rsidRDefault="007B3535">
      <w:r>
        <w:separator/>
      </w:r>
    </w:p>
  </w:footnote>
  <w:footnote w:type="continuationSeparator" w:id="0">
    <w:p w14:paraId="2F263E41" w14:textId="77777777" w:rsidR="007B3535" w:rsidRDefault="007B3535">
      <w:r>
        <w:continuationSeparator/>
      </w:r>
    </w:p>
  </w:footnote>
  <w:footnote w:id="1">
    <w:p w14:paraId="27BF9B37" w14:textId="77777777" w:rsidR="00532AE4" w:rsidRDefault="00A76F12">
      <w:pPr>
        <w:spacing w:before="240"/>
        <w:jc w:val="both"/>
        <w:rPr>
          <w:rFonts w:ascii="Palatino Linotype" w:eastAsia="Palatino Linotype" w:hAnsi="Palatino Linotype" w:cs="Palatino Linotype"/>
          <w:sz w:val="16"/>
          <w:szCs w:val="16"/>
        </w:rPr>
      </w:pPr>
      <w:r>
        <w:rPr>
          <w:vertAlign w:val="superscript"/>
        </w:rPr>
        <w:footnoteRef/>
      </w:r>
      <w:r>
        <w:rPr>
          <w:rFonts w:ascii="Palatino Linotype" w:eastAsia="Palatino Linotype" w:hAnsi="Palatino Linotype" w:cs="Palatino Linotype"/>
          <w:sz w:val="16"/>
          <w:szCs w:val="16"/>
        </w:rPr>
        <w:t>“Artículo 178.</w:t>
      </w:r>
    </w:p>
    <w:p w14:paraId="7CB263AB" w14:textId="77777777" w:rsidR="00532AE4" w:rsidRDefault="00A76F12">
      <w:pPr>
        <w:jc w:val="both"/>
        <w:rPr>
          <w:rFonts w:ascii="Palatino Linotype" w:eastAsia="Palatino Linotype" w:hAnsi="Palatino Linotype" w:cs="Palatino Linotype"/>
          <w:sz w:val="16"/>
          <w:szCs w:val="16"/>
        </w:rPr>
      </w:pPr>
      <w:r>
        <w:rPr>
          <w:rFonts w:ascii="Palatino Linotype" w:eastAsia="Palatino Linotype" w:hAnsi="Palatino Linotype" w:cs="Palatino Linotype"/>
          <w:sz w:val="16"/>
          <w:szCs w:val="16"/>
        </w:rPr>
        <w:t>…</w:t>
      </w:r>
    </w:p>
    <w:p w14:paraId="62A69D64" w14:textId="77777777" w:rsidR="00532AE4" w:rsidRDefault="00A76F12">
      <w:pPr>
        <w:spacing w:after="240"/>
        <w:jc w:val="both"/>
      </w:pPr>
      <w:r>
        <w:rPr>
          <w:rFonts w:ascii="Palatino Linotype" w:eastAsia="Palatino Linotype" w:hAnsi="Palatino Linotype" w:cs="Palatino Linotype"/>
          <w:sz w:val="16"/>
          <w:szCs w:val="16"/>
        </w:rPr>
        <w:t>A falta de respuesta del sujeto obligado, dentro de los plazos establecidos en esta Ley, a una solicitud de acceso a la información pública, el recurso podrá ser interpuesto en cualquier momento, acompañado con el documento que pruebe la fecha en que presentó la solicitud…”(Sic)</w:t>
      </w:r>
    </w:p>
  </w:footnote>
  <w:footnote w:id="2">
    <w:p w14:paraId="2CF0F2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Al encontrarse en algún supuesto restrictivo, previsto en la normatividad aplicable.</w:t>
      </w:r>
    </w:p>
  </w:footnote>
  <w:footnote w:id="3">
    <w:p w14:paraId="328E2530"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59. Los servidores públicos habilitados tendrán las funciones siguientes:</w:t>
      </w:r>
    </w:p>
    <w:p w14:paraId="123568A6"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 Integrar y presentar al responsable de la Unidad de Transparencia la propuesta de clasificación de información, la cual tendrá los fundamentos y argumentos en que se basa dicha propuesta;</w:t>
      </w:r>
    </w:p>
  </w:footnote>
  <w:footnote w:id="4">
    <w:p w14:paraId="25FC635A"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53. Las Unidades de Transparencia tendrán las siguientes funciones:</w:t>
      </w:r>
    </w:p>
    <w:p w14:paraId="5E7C2C44"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X. Presentar ante el Comité, el proyecto de clasificación de información;</w:t>
      </w:r>
    </w:p>
  </w:footnote>
  <w:footnote w:id="5">
    <w:p w14:paraId="5CBB0BDC"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Artículo 49. Los Comités de Transparencia tendrán las siguientes atribuciones:</w:t>
      </w:r>
    </w:p>
    <w:p w14:paraId="0EC2EAFD"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II. Confirmar, modificar o revocar las determinaciones que en materia de ampliación del plazo de respuesta, clasificación de la información y declaración de inexistencia o de incompetencia realicen los titulares de las áreas de los sujetos obligados;</w:t>
      </w:r>
    </w:p>
    <w:p w14:paraId="66BDAD3F"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rFonts w:ascii="Palatino Linotype" w:eastAsia="Palatino Linotype" w:hAnsi="Palatino Linotype" w:cs="Palatino Linotype"/>
          <w:color w:val="000000"/>
          <w:sz w:val="16"/>
          <w:szCs w:val="16"/>
        </w:rPr>
        <w:t>VIII. Aprobar, modificar o revocar la clasificación de la información;</w:t>
      </w:r>
    </w:p>
  </w:footnote>
  <w:footnote w:id="6">
    <w:p w14:paraId="15AC32B7" w14:textId="77777777" w:rsidR="00532AE4" w:rsidRDefault="00A76F12">
      <w:pPr>
        <w:pBdr>
          <w:top w:val="nil"/>
          <w:left w:val="nil"/>
          <w:bottom w:val="nil"/>
          <w:right w:val="nil"/>
          <w:between w:val="nil"/>
        </w:pBdr>
        <w:jc w:val="both"/>
        <w:rPr>
          <w:rFonts w:ascii="Palatino Linotype" w:eastAsia="Palatino Linotype" w:hAnsi="Palatino Linotype" w:cs="Palatino Linotype"/>
          <w:color w:val="000000"/>
          <w:sz w:val="16"/>
          <w:szCs w:val="16"/>
        </w:rPr>
      </w:pPr>
      <w:r>
        <w:rPr>
          <w:vertAlign w:val="superscript"/>
        </w:rPr>
        <w:footnoteRef/>
      </w:r>
      <w:r>
        <w:rPr>
          <w:rFonts w:ascii="Palatino Linotype" w:eastAsia="Palatino Linotype" w:hAnsi="Palatino Linotype" w:cs="Palatino Linotype"/>
          <w:color w:val="000000"/>
          <w:sz w:val="16"/>
          <w:szCs w:val="16"/>
        </w:rPr>
        <w:t xml:space="preserve"> Publicados en el Diario Oficial de la Federación en fecha quince de abril del año dos mil dieciséis, mediante Acuerdo del Consejo Nacional del Sistema Nacional de Transparencia, Acceso a la Información Pública y Protección de Datos Personales.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12D84" w14:textId="77777777" w:rsidR="00532AE4" w:rsidRDefault="00532AE4">
    <w:pPr>
      <w:widowControl w:val="0"/>
      <w:pBdr>
        <w:top w:val="nil"/>
        <w:left w:val="nil"/>
        <w:bottom w:val="nil"/>
        <w:right w:val="nil"/>
        <w:between w:val="nil"/>
      </w:pBdr>
      <w:spacing w:line="276" w:lineRule="auto"/>
      <w:rPr>
        <w:rFonts w:ascii="Calibri" w:eastAsia="Calibri" w:hAnsi="Calibri" w:cs="Calibri"/>
        <w:color w:val="000000"/>
      </w:rPr>
    </w:pPr>
  </w:p>
  <w:tbl>
    <w:tblPr>
      <w:tblStyle w:val="a6"/>
      <w:tblW w:w="5528" w:type="dxa"/>
      <w:tblInd w:w="3261" w:type="dxa"/>
      <w:tblLayout w:type="fixed"/>
      <w:tblLook w:val="0400" w:firstRow="0" w:lastRow="0" w:firstColumn="0" w:lastColumn="0" w:noHBand="0" w:noVBand="1"/>
    </w:tblPr>
    <w:tblGrid>
      <w:gridCol w:w="2552"/>
      <w:gridCol w:w="2976"/>
    </w:tblGrid>
    <w:tr w:rsidR="00532AE4" w14:paraId="77695D58" w14:textId="77777777">
      <w:tc>
        <w:tcPr>
          <w:tcW w:w="2552" w:type="dxa"/>
          <w:vAlign w:val="center"/>
        </w:tcPr>
        <w:p w14:paraId="216C0C8D"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2976" w:type="dxa"/>
          <w:vAlign w:val="center"/>
        </w:tcPr>
        <w:p w14:paraId="492A50C4" w14:textId="52877BF3" w:rsidR="00532AE4" w:rsidRDefault="00F652AE" w:rsidP="00032509">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D579BF">
            <w:rPr>
              <w:rFonts w:ascii="Palatino Linotype" w:eastAsia="Palatino Linotype" w:hAnsi="Palatino Linotype" w:cs="Palatino Linotype"/>
              <w:b/>
              <w:sz w:val="21"/>
              <w:szCs w:val="21"/>
            </w:rPr>
            <w:t>8259</w:t>
          </w:r>
          <w:r w:rsidR="009713DE">
            <w:rPr>
              <w:rFonts w:ascii="Palatino Linotype" w:eastAsia="Palatino Linotype" w:hAnsi="Palatino Linotype" w:cs="Palatino Linotype"/>
              <w:b/>
              <w:sz w:val="21"/>
              <w:szCs w:val="21"/>
            </w:rPr>
            <w:t>/INFOEM/IP/RR/2026</w:t>
          </w:r>
          <w:r w:rsidR="00A76F12">
            <w:rPr>
              <w:rFonts w:ascii="Palatino Linotype" w:eastAsia="Palatino Linotype" w:hAnsi="Palatino Linotype" w:cs="Palatino Linotype"/>
              <w:b/>
              <w:sz w:val="21"/>
              <w:szCs w:val="21"/>
            </w:rPr>
            <w:t xml:space="preserve"> </w:t>
          </w:r>
        </w:p>
      </w:tc>
    </w:tr>
    <w:tr w:rsidR="00532AE4" w14:paraId="1B16C492" w14:textId="77777777">
      <w:trPr>
        <w:trHeight w:val="228"/>
      </w:trPr>
      <w:tc>
        <w:tcPr>
          <w:tcW w:w="2552" w:type="dxa"/>
          <w:shd w:val="clear" w:color="auto" w:fill="auto"/>
          <w:vAlign w:val="center"/>
        </w:tcPr>
        <w:p w14:paraId="202EF99F"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452B1DF5" w14:textId="77777777" w:rsidR="00532AE4" w:rsidRDefault="00532AE4">
          <w:pPr>
            <w:rPr>
              <w:rFonts w:ascii="Palatino Linotype" w:eastAsia="Palatino Linotype" w:hAnsi="Palatino Linotype" w:cs="Palatino Linotype"/>
              <w:b/>
              <w:sz w:val="21"/>
              <w:szCs w:val="21"/>
            </w:rPr>
          </w:pPr>
        </w:p>
      </w:tc>
      <w:tc>
        <w:tcPr>
          <w:tcW w:w="2976" w:type="dxa"/>
          <w:shd w:val="clear" w:color="auto" w:fill="auto"/>
          <w:vAlign w:val="center"/>
        </w:tcPr>
        <w:p w14:paraId="222907A3" w14:textId="080955E9" w:rsidR="00532AE4" w:rsidRDefault="008E5D58" w:rsidP="00D579BF">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de </w:t>
          </w:r>
          <w:r w:rsidR="00D579BF">
            <w:rPr>
              <w:rFonts w:ascii="Palatino Linotype" w:eastAsia="Palatino Linotype" w:hAnsi="Palatino Linotype" w:cs="Palatino Linotype"/>
              <w:b/>
              <w:sz w:val="21"/>
              <w:szCs w:val="21"/>
            </w:rPr>
            <w:t>Cocotitlán</w:t>
          </w:r>
        </w:p>
      </w:tc>
    </w:tr>
    <w:tr w:rsidR="00532AE4" w14:paraId="299BE161" w14:textId="77777777">
      <w:tc>
        <w:tcPr>
          <w:tcW w:w="2552" w:type="dxa"/>
          <w:vAlign w:val="center"/>
        </w:tcPr>
        <w:p w14:paraId="537FCC0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2976" w:type="dxa"/>
          <w:vAlign w:val="center"/>
        </w:tcPr>
        <w:p w14:paraId="68C35B8B"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5C21FFB5" w14:textId="2C4FC5B7" w:rsidR="00532AE4" w:rsidRDefault="00A76F12">
    <w:pPr>
      <w:pBdr>
        <w:top w:val="nil"/>
        <w:left w:val="nil"/>
        <w:bottom w:val="nil"/>
        <w:right w:val="nil"/>
        <w:between w:val="nil"/>
      </w:pBdr>
      <w:tabs>
        <w:tab w:val="center" w:pos="4252"/>
        <w:tab w:val="right" w:pos="8504"/>
        <w:tab w:val="left" w:pos="2326"/>
      </w:tabs>
      <w:rPr>
        <w:rFonts w:ascii="Calibri" w:eastAsia="Calibri" w:hAnsi="Calibri" w:cs="Calibri"/>
        <w:color w:val="000000"/>
      </w:rPr>
    </w:pPr>
    <w:r>
      <w:rPr>
        <w:rFonts w:ascii="Calibri" w:eastAsia="Calibri" w:hAnsi="Calibri" w:cs="Calibri"/>
        <w:color w:val="000000"/>
      </w:rPr>
      <w:tab/>
    </w:r>
    <w:r>
      <w:rPr>
        <w:noProof/>
        <w:lang w:val="es-MX"/>
      </w:rPr>
      <w:drawing>
        <wp:anchor distT="0" distB="0" distL="0" distR="0" simplePos="0" relativeHeight="251658240" behindDoc="1" locked="0" layoutInCell="1" hidden="0" allowOverlap="1" wp14:anchorId="6413D670" wp14:editId="06E29772">
          <wp:simplePos x="0" y="0"/>
          <wp:positionH relativeFrom="column">
            <wp:posOffset>-689274</wp:posOffset>
          </wp:positionH>
          <wp:positionV relativeFrom="paragraph">
            <wp:posOffset>-1171012</wp:posOffset>
          </wp:positionV>
          <wp:extent cx="7635875" cy="9943465"/>
          <wp:effectExtent l="0" t="0" r="0" b="0"/>
          <wp:wrapNone/>
          <wp:docPr id="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2779" w14:textId="7C071FAB" w:rsidR="00532AE4" w:rsidRDefault="00017988">
    <w:pPr>
      <w:pBdr>
        <w:top w:val="nil"/>
        <w:left w:val="nil"/>
        <w:bottom w:val="nil"/>
        <w:right w:val="nil"/>
        <w:between w:val="nil"/>
      </w:pBdr>
      <w:tabs>
        <w:tab w:val="center" w:pos="4252"/>
        <w:tab w:val="right" w:pos="8504"/>
      </w:tabs>
      <w:jc w:val="both"/>
      <w:rPr>
        <w:rFonts w:ascii="Calibri" w:eastAsia="Calibri" w:hAnsi="Calibri" w:cs="Calibri"/>
        <w:color w:val="000000"/>
      </w:rPr>
    </w:pPr>
    <w:r>
      <w:rPr>
        <w:noProof/>
        <w:lang w:val="es-MX"/>
      </w:rPr>
      <w:drawing>
        <wp:anchor distT="0" distB="0" distL="0" distR="0" simplePos="0" relativeHeight="251659264" behindDoc="1" locked="0" layoutInCell="1" hidden="0" allowOverlap="1" wp14:anchorId="43196C50" wp14:editId="12E9FD1A">
          <wp:simplePos x="0" y="0"/>
          <wp:positionH relativeFrom="column">
            <wp:posOffset>-655955</wp:posOffset>
          </wp:positionH>
          <wp:positionV relativeFrom="paragraph">
            <wp:posOffset>-341630</wp:posOffset>
          </wp:positionV>
          <wp:extent cx="7635875" cy="9943465"/>
          <wp:effectExtent l="0" t="0" r="0" b="0"/>
          <wp:wrapNone/>
          <wp:docPr id="1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35875" cy="9943465"/>
                  </a:xfrm>
                  <a:prstGeom prst="rect">
                    <a:avLst/>
                  </a:prstGeom>
                  <a:ln/>
                </pic:spPr>
              </pic:pic>
            </a:graphicData>
          </a:graphic>
          <wp14:sizeRelH relativeFrom="margin">
            <wp14:pctWidth>0</wp14:pctWidth>
          </wp14:sizeRelH>
          <wp14:sizeRelV relativeFrom="margin">
            <wp14:pctHeight>0</wp14:pctHeight>
          </wp14:sizeRelV>
        </wp:anchor>
      </w:drawing>
    </w:r>
    <w:r w:rsidR="00A76F12">
      <w:rPr>
        <w:rFonts w:ascii="Calibri" w:eastAsia="Calibri" w:hAnsi="Calibri" w:cs="Calibri"/>
        <w:color w:val="000000"/>
      </w:rPr>
      <w:t xml:space="preserve">                                  </w:t>
    </w:r>
  </w:p>
  <w:tbl>
    <w:tblPr>
      <w:tblStyle w:val="a7"/>
      <w:tblW w:w="6238" w:type="dxa"/>
      <w:tblInd w:w="3119" w:type="dxa"/>
      <w:tblLayout w:type="fixed"/>
      <w:tblLook w:val="0400" w:firstRow="0" w:lastRow="0" w:firstColumn="0" w:lastColumn="0" w:noHBand="0" w:noVBand="1"/>
    </w:tblPr>
    <w:tblGrid>
      <w:gridCol w:w="2551"/>
      <w:gridCol w:w="3687"/>
    </w:tblGrid>
    <w:tr w:rsidR="00532AE4" w14:paraId="3D0D3AF5" w14:textId="77777777">
      <w:tc>
        <w:tcPr>
          <w:tcW w:w="2551" w:type="dxa"/>
          <w:vAlign w:val="center"/>
        </w:tcPr>
        <w:p w14:paraId="042F2C58"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Recurso de Revisión:</w:t>
          </w:r>
        </w:p>
      </w:tc>
      <w:tc>
        <w:tcPr>
          <w:tcW w:w="3687" w:type="dxa"/>
          <w:vAlign w:val="center"/>
        </w:tcPr>
        <w:p w14:paraId="20C4E837" w14:textId="49360D2B" w:rsidR="00532AE4" w:rsidRDefault="008C1E2D" w:rsidP="00F419F7">
          <w:pPr>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0</w:t>
          </w:r>
          <w:r w:rsidR="00D579BF">
            <w:rPr>
              <w:rFonts w:ascii="Palatino Linotype" w:eastAsia="Palatino Linotype" w:hAnsi="Palatino Linotype" w:cs="Palatino Linotype"/>
              <w:b/>
              <w:sz w:val="21"/>
              <w:szCs w:val="21"/>
            </w:rPr>
            <w:t>8259</w:t>
          </w:r>
          <w:r w:rsidR="009713DE">
            <w:rPr>
              <w:rFonts w:ascii="Palatino Linotype" w:eastAsia="Palatino Linotype" w:hAnsi="Palatino Linotype" w:cs="Palatino Linotype"/>
              <w:b/>
              <w:sz w:val="21"/>
              <w:szCs w:val="21"/>
            </w:rPr>
            <w:t>/INFOEM/IP/RR/2026</w:t>
          </w:r>
        </w:p>
      </w:tc>
    </w:tr>
    <w:tr w:rsidR="00532AE4" w14:paraId="75B806F0" w14:textId="77777777">
      <w:tc>
        <w:tcPr>
          <w:tcW w:w="2551" w:type="dxa"/>
          <w:vAlign w:val="center"/>
        </w:tcPr>
        <w:p w14:paraId="3F9B8C97" w14:textId="77777777" w:rsidR="00532AE4" w:rsidRDefault="00A76F12">
          <w:pPr>
            <w:ind w:left="35" w:hanging="35"/>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Recurrente:</w:t>
          </w:r>
        </w:p>
      </w:tc>
      <w:tc>
        <w:tcPr>
          <w:tcW w:w="3687" w:type="dxa"/>
          <w:vAlign w:val="center"/>
        </w:tcPr>
        <w:p w14:paraId="4D6D508D" w14:textId="0D206469" w:rsidR="00532AE4" w:rsidRDefault="00E52F3B">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XXXXXX XXXX</w:t>
          </w:r>
          <w:r>
            <w:rPr>
              <w:rFonts w:ascii="Palatino Linotype" w:eastAsia="Palatino Linotype" w:hAnsi="Palatino Linotype" w:cs="Palatino Linotype"/>
              <w:b/>
              <w:sz w:val="21"/>
              <w:szCs w:val="21"/>
            </w:rPr>
            <w:t>X</w:t>
          </w:r>
          <w:r>
            <w:rPr>
              <w:rFonts w:ascii="Palatino Linotype" w:eastAsia="Palatino Linotype" w:hAnsi="Palatino Linotype" w:cs="Palatino Linotype"/>
              <w:b/>
              <w:sz w:val="21"/>
              <w:szCs w:val="21"/>
            </w:rPr>
            <w:t xml:space="preserve"> XXXX</w:t>
          </w:r>
          <w:r>
            <w:rPr>
              <w:rFonts w:ascii="Palatino Linotype" w:eastAsia="Palatino Linotype" w:hAnsi="Palatino Linotype" w:cs="Palatino Linotype"/>
              <w:b/>
              <w:sz w:val="21"/>
              <w:szCs w:val="21"/>
            </w:rPr>
            <w:t>XXX</w:t>
          </w:r>
        </w:p>
      </w:tc>
    </w:tr>
    <w:tr w:rsidR="00532AE4" w14:paraId="33C0EB5C" w14:textId="77777777">
      <w:trPr>
        <w:trHeight w:val="228"/>
      </w:trPr>
      <w:tc>
        <w:tcPr>
          <w:tcW w:w="2551" w:type="dxa"/>
          <w:vAlign w:val="center"/>
        </w:tcPr>
        <w:p w14:paraId="2FEF1D99"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Sujeto obligado:</w:t>
          </w:r>
        </w:p>
        <w:p w14:paraId="034F4C87" w14:textId="77777777" w:rsidR="00532AE4" w:rsidRDefault="00532AE4">
          <w:pPr>
            <w:rPr>
              <w:rFonts w:ascii="Palatino Linotype" w:eastAsia="Palatino Linotype" w:hAnsi="Palatino Linotype" w:cs="Palatino Linotype"/>
              <w:b/>
              <w:sz w:val="21"/>
              <w:szCs w:val="21"/>
            </w:rPr>
          </w:pPr>
        </w:p>
      </w:tc>
      <w:tc>
        <w:tcPr>
          <w:tcW w:w="3687" w:type="dxa"/>
          <w:vAlign w:val="center"/>
        </w:tcPr>
        <w:p w14:paraId="143797A2" w14:textId="0894FE80" w:rsidR="00532AE4" w:rsidRDefault="00150206" w:rsidP="00D579BF">
          <w:pPr>
            <w:ind w:right="452"/>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 xml:space="preserve">Ayuntamiento </w:t>
          </w:r>
          <w:r w:rsidR="00D579BF">
            <w:rPr>
              <w:rFonts w:ascii="Palatino Linotype" w:eastAsia="Palatino Linotype" w:hAnsi="Palatino Linotype" w:cs="Palatino Linotype"/>
              <w:b/>
              <w:sz w:val="21"/>
              <w:szCs w:val="21"/>
            </w:rPr>
            <w:t>Cocotitlán</w:t>
          </w:r>
        </w:p>
      </w:tc>
    </w:tr>
    <w:tr w:rsidR="00532AE4" w14:paraId="4BEC1E4A" w14:textId="77777777">
      <w:tc>
        <w:tcPr>
          <w:tcW w:w="2551" w:type="dxa"/>
          <w:vAlign w:val="center"/>
        </w:tcPr>
        <w:p w14:paraId="0B11FA2C" w14:textId="77777777" w:rsidR="00532AE4" w:rsidRDefault="00A76F12">
          <w:pPr>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Comisionada ponente:</w:t>
          </w:r>
        </w:p>
      </w:tc>
      <w:tc>
        <w:tcPr>
          <w:tcW w:w="3687" w:type="dxa"/>
          <w:vAlign w:val="center"/>
        </w:tcPr>
        <w:p w14:paraId="4BB723FA" w14:textId="77777777" w:rsidR="00532AE4" w:rsidRDefault="00A76F12">
          <w:pPr>
            <w:ind w:right="-533"/>
            <w:jc w:val="both"/>
            <w:rPr>
              <w:rFonts w:ascii="Palatino Linotype" w:eastAsia="Palatino Linotype" w:hAnsi="Palatino Linotype" w:cs="Palatino Linotype"/>
              <w:b/>
              <w:sz w:val="21"/>
              <w:szCs w:val="21"/>
            </w:rPr>
          </w:pPr>
          <w:r>
            <w:rPr>
              <w:rFonts w:ascii="Palatino Linotype" w:eastAsia="Palatino Linotype" w:hAnsi="Palatino Linotype" w:cs="Palatino Linotype"/>
              <w:b/>
              <w:sz w:val="21"/>
              <w:szCs w:val="21"/>
            </w:rPr>
            <w:t>Guadalupe Ramírez Peña</w:t>
          </w:r>
        </w:p>
      </w:tc>
    </w:tr>
  </w:tbl>
  <w:p w14:paraId="3C52C903"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C666" w14:textId="77777777" w:rsidR="00532AE4" w:rsidRDefault="00A76F12">
    <w:pPr>
      <w:pBdr>
        <w:top w:val="nil"/>
        <w:left w:val="nil"/>
        <w:bottom w:val="nil"/>
        <w:right w:val="nil"/>
        <w:between w:val="nil"/>
      </w:pBdr>
      <w:tabs>
        <w:tab w:val="center" w:pos="4252"/>
        <w:tab w:val="right" w:pos="8504"/>
      </w:tabs>
      <w:jc w:val="both"/>
      <w:rPr>
        <w:rFonts w:ascii="Calibri" w:eastAsia="Calibri" w:hAnsi="Calibri" w:cs="Calibri"/>
        <w:color w:val="000000"/>
      </w:rPr>
    </w:pPr>
    <w:r>
      <w:rPr>
        <w:rFonts w:ascii="Calibri" w:eastAsia="Calibri" w:hAnsi="Calibri" w:cs="Calibri"/>
        <w:color w:val="000000"/>
      </w:rPr>
      <w:t xml:space="preserve">                                  </w:t>
    </w:r>
  </w:p>
  <w:p w14:paraId="5CA7F40C" w14:textId="77777777" w:rsidR="00532AE4" w:rsidRDefault="00532AE4">
    <w:pPr>
      <w:pBdr>
        <w:top w:val="nil"/>
        <w:left w:val="nil"/>
        <w:bottom w:val="nil"/>
        <w:right w:val="nil"/>
        <w:between w:val="nil"/>
      </w:pBdr>
      <w:tabs>
        <w:tab w:val="center" w:pos="4252"/>
        <w:tab w:val="right" w:pos="8504"/>
      </w:tabs>
      <w:rPr>
        <w:rFonts w:ascii="Calibri" w:eastAsia="Calibri" w:hAnsi="Calibri" w:cs="Calibri"/>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5C28"/>
    <w:multiLevelType w:val="multilevel"/>
    <w:tmpl w:val="493265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C909ED"/>
    <w:multiLevelType w:val="multilevel"/>
    <w:tmpl w:val="D48A4D3C"/>
    <w:lvl w:ilvl="0">
      <w:start w:val="7"/>
      <w:numFmt w:val="upp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FC6237"/>
    <w:multiLevelType w:val="multilevel"/>
    <w:tmpl w:val="5E7C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4B63B1A"/>
    <w:multiLevelType w:val="multilevel"/>
    <w:tmpl w:val="3A90F274"/>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75E33CE"/>
    <w:multiLevelType w:val="multilevel"/>
    <w:tmpl w:val="520617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38497898">
    <w:abstractNumId w:val="2"/>
  </w:num>
  <w:num w:numId="2" w16cid:durableId="983897066">
    <w:abstractNumId w:val="4"/>
  </w:num>
  <w:num w:numId="3" w16cid:durableId="1217594259">
    <w:abstractNumId w:val="0"/>
  </w:num>
  <w:num w:numId="4" w16cid:durableId="748961880">
    <w:abstractNumId w:val="1"/>
  </w:num>
  <w:num w:numId="5" w16cid:durableId="18416975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AE4"/>
    <w:rsid w:val="00001CB2"/>
    <w:rsid w:val="0000325F"/>
    <w:rsid w:val="000154EE"/>
    <w:rsid w:val="00017988"/>
    <w:rsid w:val="00022DB6"/>
    <w:rsid w:val="00024779"/>
    <w:rsid w:val="000255E8"/>
    <w:rsid w:val="00026738"/>
    <w:rsid w:val="00026CCF"/>
    <w:rsid w:val="00032509"/>
    <w:rsid w:val="0004402A"/>
    <w:rsid w:val="00044D36"/>
    <w:rsid w:val="00045749"/>
    <w:rsid w:val="000458EA"/>
    <w:rsid w:val="000672C5"/>
    <w:rsid w:val="0006735D"/>
    <w:rsid w:val="00072798"/>
    <w:rsid w:val="00073044"/>
    <w:rsid w:val="00085350"/>
    <w:rsid w:val="00095E46"/>
    <w:rsid w:val="0009768A"/>
    <w:rsid w:val="00097E14"/>
    <w:rsid w:val="000A27C2"/>
    <w:rsid w:val="000A27E2"/>
    <w:rsid w:val="000A4280"/>
    <w:rsid w:val="000B2D33"/>
    <w:rsid w:val="000B42A5"/>
    <w:rsid w:val="000B673F"/>
    <w:rsid w:val="000B759A"/>
    <w:rsid w:val="000C05BE"/>
    <w:rsid w:val="000E1DD7"/>
    <w:rsid w:val="000E63FD"/>
    <w:rsid w:val="000E7889"/>
    <w:rsid w:val="000F296E"/>
    <w:rsid w:val="000F363F"/>
    <w:rsid w:val="000F4794"/>
    <w:rsid w:val="000F6323"/>
    <w:rsid w:val="0010180D"/>
    <w:rsid w:val="00103433"/>
    <w:rsid w:val="00111565"/>
    <w:rsid w:val="0011567E"/>
    <w:rsid w:val="0012087F"/>
    <w:rsid w:val="00122443"/>
    <w:rsid w:val="0013324A"/>
    <w:rsid w:val="00135C3B"/>
    <w:rsid w:val="001375F3"/>
    <w:rsid w:val="00137E5A"/>
    <w:rsid w:val="00140D3F"/>
    <w:rsid w:val="00142C2A"/>
    <w:rsid w:val="00147A44"/>
    <w:rsid w:val="00150206"/>
    <w:rsid w:val="00151287"/>
    <w:rsid w:val="001577D2"/>
    <w:rsid w:val="00160B51"/>
    <w:rsid w:val="00161E09"/>
    <w:rsid w:val="00171490"/>
    <w:rsid w:val="0017202B"/>
    <w:rsid w:val="00174144"/>
    <w:rsid w:val="00181147"/>
    <w:rsid w:val="00182B72"/>
    <w:rsid w:val="00195F53"/>
    <w:rsid w:val="001A0373"/>
    <w:rsid w:val="001A1911"/>
    <w:rsid w:val="001C43DA"/>
    <w:rsid w:val="001C7B0A"/>
    <w:rsid w:val="001D5563"/>
    <w:rsid w:val="001E0FB7"/>
    <w:rsid w:val="001E1760"/>
    <w:rsid w:val="001E17BD"/>
    <w:rsid w:val="0020780A"/>
    <w:rsid w:val="0021726A"/>
    <w:rsid w:val="002222E9"/>
    <w:rsid w:val="00223CD6"/>
    <w:rsid w:val="002275D9"/>
    <w:rsid w:val="002502E3"/>
    <w:rsid w:val="002505D0"/>
    <w:rsid w:val="00256FA6"/>
    <w:rsid w:val="00257454"/>
    <w:rsid w:val="00260424"/>
    <w:rsid w:val="00263FD5"/>
    <w:rsid w:val="0027510F"/>
    <w:rsid w:val="002839FA"/>
    <w:rsid w:val="00284E2D"/>
    <w:rsid w:val="002859C5"/>
    <w:rsid w:val="00285CBA"/>
    <w:rsid w:val="0029155A"/>
    <w:rsid w:val="002963B1"/>
    <w:rsid w:val="002A005F"/>
    <w:rsid w:val="002B2152"/>
    <w:rsid w:val="002B2F77"/>
    <w:rsid w:val="002C008A"/>
    <w:rsid w:val="002D134E"/>
    <w:rsid w:val="002E01DD"/>
    <w:rsid w:val="002F085C"/>
    <w:rsid w:val="002F4CEB"/>
    <w:rsid w:val="002F6686"/>
    <w:rsid w:val="002F7B9F"/>
    <w:rsid w:val="0030577D"/>
    <w:rsid w:val="0031405F"/>
    <w:rsid w:val="00326E2A"/>
    <w:rsid w:val="003352D2"/>
    <w:rsid w:val="003666D7"/>
    <w:rsid w:val="00373DBB"/>
    <w:rsid w:val="003755B9"/>
    <w:rsid w:val="00381EC6"/>
    <w:rsid w:val="00384A61"/>
    <w:rsid w:val="00390FDA"/>
    <w:rsid w:val="003973AC"/>
    <w:rsid w:val="003A1F72"/>
    <w:rsid w:val="003A5A60"/>
    <w:rsid w:val="003A5E74"/>
    <w:rsid w:val="003B119C"/>
    <w:rsid w:val="003B606E"/>
    <w:rsid w:val="003C5888"/>
    <w:rsid w:val="003D129B"/>
    <w:rsid w:val="003D2CDB"/>
    <w:rsid w:val="003D45BC"/>
    <w:rsid w:val="003D655D"/>
    <w:rsid w:val="003E2501"/>
    <w:rsid w:val="003F4280"/>
    <w:rsid w:val="00401731"/>
    <w:rsid w:val="0041786A"/>
    <w:rsid w:val="00417D9F"/>
    <w:rsid w:val="004338F4"/>
    <w:rsid w:val="004348D3"/>
    <w:rsid w:val="00440AF2"/>
    <w:rsid w:val="00443ACD"/>
    <w:rsid w:val="004472A8"/>
    <w:rsid w:val="00452503"/>
    <w:rsid w:val="00454851"/>
    <w:rsid w:val="00461EBC"/>
    <w:rsid w:val="00462720"/>
    <w:rsid w:val="004658C7"/>
    <w:rsid w:val="00473767"/>
    <w:rsid w:val="0048279B"/>
    <w:rsid w:val="00487B20"/>
    <w:rsid w:val="0049221F"/>
    <w:rsid w:val="004972E0"/>
    <w:rsid w:val="004A02B4"/>
    <w:rsid w:val="004B5CF1"/>
    <w:rsid w:val="004B77EC"/>
    <w:rsid w:val="004B7B66"/>
    <w:rsid w:val="004C7248"/>
    <w:rsid w:val="004D06BD"/>
    <w:rsid w:val="004D2E4E"/>
    <w:rsid w:val="004D6D23"/>
    <w:rsid w:val="004F703B"/>
    <w:rsid w:val="00504180"/>
    <w:rsid w:val="005043C3"/>
    <w:rsid w:val="005231DC"/>
    <w:rsid w:val="00525777"/>
    <w:rsid w:val="00532AE4"/>
    <w:rsid w:val="00541B43"/>
    <w:rsid w:val="00555E04"/>
    <w:rsid w:val="00567D0D"/>
    <w:rsid w:val="00572156"/>
    <w:rsid w:val="00593431"/>
    <w:rsid w:val="005A0442"/>
    <w:rsid w:val="005A647F"/>
    <w:rsid w:val="005A75D6"/>
    <w:rsid w:val="005A79AC"/>
    <w:rsid w:val="005C5B15"/>
    <w:rsid w:val="005D3CA2"/>
    <w:rsid w:val="005F2D09"/>
    <w:rsid w:val="005F71E2"/>
    <w:rsid w:val="00603092"/>
    <w:rsid w:val="00607257"/>
    <w:rsid w:val="0061438F"/>
    <w:rsid w:val="00620310"/>
    <w:rsid w:val="0062466E"/>
    <w:rsid w:val="00633D0E"/>
    <w:rsid w:val="00645CD0"/>
    <w:rsid w:val="00650361"/>
    <w:rsid w:val="006510FA"/>
    <w:rsid w:val="00653E7D"/>
    <w:rsid w:val="00656E72"/>
    <w:rsid w:val="006614E2"/>
    <w:rsid w:val="00671ADA"/>
    <w:rsid w:val="00680C4E"/>
    <w:rsid w:val="006811D3"/>
    <w:rsid w:val="00686A48"/>
    <w:rsid w:val="00691A0E"/>
    <w:rsid w:val="006922B3"/>
    <w:rsid w:val="00692977"/>
    <w:rsid w:val="006954A4"/>
    <w:rsid w:val="006A1805"/>
    <w:rsid w:val="006B7134"/>
    <w:rsid w:val="006C51CD"/>
    <w:rsid w:val="006C56F4"/>
    <w:rsid w:val="006D538C"/>
    <w:rsid w:val="006E680C"/>
    <w:rsid w:val="006F407C"/>
    <w:rsid w:val="006F4F00"/>
    <w:rsid w:val="00707403"/>
    <w:rsid w:val="0071274F"/>
    <w:rsid w:val="00724155"/>
    <w:rsid w:val="007276F5"/>
    <w:rsid w:val="00740627"/>
    <w:rsid w:val="00744B5C"/>
    <w:rsid w:val="007576B0"/>
    <w:rsid w:val="007623E7"/>
    <w:rsid w:val="007729BB"/>
    <w:rsid w:val="00773F12"/>
    <w:rsid w:val="00773F7E"/>
    <w:rsid w:val="00777216"/>
    <w:rsid w:val="00790A8C"/>
    <w:rsid w:val="007968D0"/>
    <w:rsid w:val="007A09D5"/>
    <w:rsid w:val="007B0474"/>
    <w:rsid w:val="007B3535"/>
    <w:rsid w:val="007C29CF"/>
    <w:rsid w:val="007C4CA5"/>
    <w:rsid w:val="007C7AE7"/>
    <w:rsid w:val="007D2674"/>
    <w:rsid w:val="007D52C3"/>
    <w:rsid w:val="007E3FA4"/>
    <w:rsid w:val="007E48BB"/>
    <w:rsid w:val="007E58F3"/>
    <w:rsid w:val="007E7839"/>
    <w:rsid w:val="007E7CAE"/>
    <w:rsid w:val="007F5288"/>
    <w:rsid w:val="008012F6"/>
    <w:rsid w:val="008015E0"/>
    <w:rsid w:val="008044DE"/>
    <w:rsid w:val="00806557"/>
    <w:rsid w:val="0081329C"/>
    <w:rsid w:val="00823328"/>
    <w:rsid w:val="00826355"/>
    <w:rsid w:val="00832334"/>
    <w:rsid w:val="00834622"/>
    <w:rsid w:val="0084271D"/>
    <w:rsid w:val="00854178"/>
    <w:rsid w:val="00862021"/>
    <w:rsid w:val="008804C2"/>
    <w:rsid w:val="00885C0C"/>
    <w:rsid w:val="008869C2"/>
    <w:rsid w:val="008905A1"/>
    <w:rsid w:val="00890AC8"/>
    <w:rsid w:val="008B25A4"/>
    <w:rsid w:val="008B5DD8"/>
    <w:rsid w:val="008B5E80"/>
    <w:rsid w:val="008C1E2D"/>
    <w:rsid w:val="008C62CB"/>
    <w:rsid w:val="008C7415"/>
    <w:rsid w:val="008D793F"/>
    <w:rsid w:val="008E5D58"/>
    <w:rsid w:val="00900673"/>
    <w:rsid w:val="009040C4"/>
    <w:rsid w:val="009075E1"/>
    <w:rsid w:val="009100C5"/>
    <w:rsid w:val="009146AB"/>
    <w:rsid w:val="00914E95"/>
    <w:rsid w:val="00917D29"/>
    <w:rsid w:val="00917EAF"/>
    <w:rsid w:val="009359E9"/>
    <w:rsid w:val="0093686E"/>
    <w:rsid w:val="0094135A"/>
    <w:rsid w:val="009438FE"/>
    <w:rsid w:val="00950D94"/>
    <w:rsid w:val="00960206"/>
    <w:rsid w:val="00960D36"/>
    <w:rsid w:val="00960D42"/>
    <w:rsid w:val="009713DE"/>
    <w:rsid w:val="009752BC"/>
    <w:rsid w:val="00982101"/>
    <w:rsid w:val="00992278"/>
    <w:rsid w:val="00994B65"/>
    <w:rsid w:val="009A5B1A"/>
    <w:rsid w:val="009B4D3E"/>
    <w:rsid w:val="009B6117"/>
    <w:rsid w:val="009C1099"/>
    <w:rsid w:val="009C1EF4"/>
    <w:rsid w:val="009C3B23"/>
    <w:rsid w:val="009C43AD"/>
    <w:rsid w:val="009C5489"/>
    <w:rsid w:val="009D197C"/>
    <w:rsid w:val="009E503C"/>
    <w:rsid w:val="00A01FAB"/>
    <w:rsid w:val="00A20775"/>
    <w:rsid w:val="00A22C89"/>
    <w:rsid w:val="00A2521A"/>
    <w:rsid w:val="00A2700E"/>
    <w:rsid w:val="00A27295"/>
    <w:rsid w:val="00A34F3E"/>
    <w:rsid w:val="00A3559A"/>
    <w:rsid w:val="00A37868"/>
    <w:rsid w:val="00A41B52"/>
    <w:rsid w:val="00A475F9"/>
    <w:rsid w:val="00A7256A"/>
    <w:rsid w:val="00A76F12"/>
    <w:rsid w:val="00A832FD"/>
    <w:rsid w:val="00A8506B"/>
    <w:rsid w:val="00AB3D3A"/>
    <w:rsid w:val="00AB573B"/>
    <w:rsid w:val="00AB6A2A"/>
    <w:rsid w:val="00AB76D8"/>
    <w:rsid w:val="00AB7CBD"/>
    <w:rsid w:val="00AC6B80"/>
    <w:rsid w:val="00AD14F5"/>
    <w:rsid w:val="00AD43F4"/>
    <w:rsid w:val="00AD6661"/>
    <w:rsid w:val="00AE0B9D"/>
    <w:rsid w:val="00AE3DD5"/>
    <w:rsid w:val="00AE446C"/>
    <w:rsid w:val="00AF1AFF"/>
    <w:rsid w:val="00B04425"/>
    <w:rsid w:val="00B05163"/>
    <w:rsid w:val="00B10389"/>
    <w:rsid w:val="00B11D34"/>
    <w:rsid w:val="00B14403"/>
    <w:rsid w:val="00B174AA"/>
    <w:rsid w:val="00B17C48"/>
    <w:rsid w:val="00B23955"/>
    <w:rsid w:val="00B267B6"/>
    <w:rsid w:val="00B30D2B"/>
    <w:rsid w:val="00B33431"/>
    <w:rsid w:val="00B34D4A"/>
    <w:rsid w:val="00B4119A"/>
    <w:rsid w:val="00B435A8"/>
    <w:rsid w:val="00B503D1"/>
    <w:rsid w:val="00B54D6E"/>
    <w:rsid w:val="00B55D04"/>
    <w:rsid w:val="00B5655A"/>
    <w:rsid w:val="00B60484"/>
    <w:rsid w:val="00B64FEA"/>
    <w:rsid w:val="00B76CCE"/>
    <w:rsid w:val="00B81E44"/>
    <w:rsid w:val="00B82C51"/>
    <w:rsid w:val="00B85D04"/>
    <w:rsid w:val="00B86A3D"/>
    <w:rsid w:val="00BB1677"/>
    <w:rsid w:val="00BB1882"/>
    <w:rsid w:val="00BC6C53"/>
    <w:rsid w:val="00BD2189"/>
    <w:rsid w:val="00BD3609"/>
    <w:rsid w:val="00BE3596"/>
    <w:rsid w:val="00BE3FD2"/>
    <w:rsid w:val="00C112BE"/>
    <w:rsid w:val="00C1235A"/>
    <w:rsid w:val="00C13FF2"/>
    <w:rsid w:val="00C24C97"/>
    <w:rsid w:val="00C304A2"/>
    <w:rsid w:val="00C36278"/>
    <w:rsid w:val="00C43FBC"/>
    <w:rsid w:val="00C51B8C"/>
    <w:rsid w:val="00C52987"/>
    <w:rsid w:val="00C5586C"/>
    <w:rsid w:val="00C65BE4"/>
    <w:rsid w:val="00C6612D"/>
    <w:rsid w:val="00C70F4E"/>
    <w:rsid w:val="00C758DF"/>
    <w:rsid w:val="00C912B9"/>
    <w:rsid w:val="00C930A5"/>
    <w:rsid w:val="00CA5B0F"/>
    <w:rsid w:val="00CB4082"/>
    <w:rsid w:val="00CC17B2"/>
    <w:rsid w:val="00CC1FF9"/>
    <w:rsid w:val="00CC3836"/>
    <w:rsid w:val="00CC5F5E"/>
    <w:rsid w:val="00CD03F3"/>
    <w:rsid w:val="00CD3F09"/>
    <w:rsid w:val="00CD6157"/>
    <w:rsid w:val="00CE1553"/>
    <w:rsid w:val="00CE1FE3"/>
    <w:rsid w:val="00CE36A9"/>
    <w:rsid w:val="00CE6D92"/>
    <w:rsid w:val="00CF35D1"/>
    <w:rsid w:val="00CF4355"/>
    <w:rsid w:val="00CF450F"/>
    <w:rsid w:val="00D10665"/>
    <w:rsid w:val="00D11150"/>
    <w:rsid w:val="00D134E6"/>
    <w:rsid w:val="00D13FFD"/>
    <w:rsid w:val="00D144C8"/>
    <w:rsid w:val="00D21D23"/>
    <w:rsid w:val="00D24052"/>
    <w:rsid w:val="00D30ED9"/>
    <w:rsid w:val="00D322AE"/>
    <w:rsid w:val="00D368E9"/>
    <w:rsid w:val="00D579BF"/>
    <w:rsid w:val="00D60B66"/>
    <w:rsid w:val="00D60C04"/>
    <w:rsid w:val="00D63F31"/>
    <w:rsid w:val="00D65E9E"/>
    <w:rsid w:val="00D763D8"/>
    <w:rsid w:val="00D812CC"/>
    <w:rsid w:val="00D820F0"/>
    <w:rsid w:val="00D867B8"/>
    <w:rsid w:val="00D92AD4"/>
    <w:rsid w:val="00D95F87"/>
    <w:rsid w:val="00DA21DF"/>
    <w:rsid w:val="00DA3288"/>
    <w:rsid w:val="00DA70B4"/>
    <w:rsid w:val="00DC6D65"/>
    <w:rsid w:val="00DD2558"/>
    <w:rsid w:val="00DD32DE"/>
    <w:rsid w:val="00DD5465"/>
    <w:rsid w:val="00DD647E"/>
    <w:rsid w:val="00DE2BC0"/>
    <w:rsid w:val="00DE2CA6"/>
    <w:rsid w:val="00DE336C"/>
    <w:rsid w:val="00DF5516"/>
    <w:rsid w:val="00E0243A"/>
    <w:rsid w:val="00E0584E"/>
    <w:rsid w:val="00E07F23"/>
    <w:rsid w:val="00E113C2"/>
    <w:rsid w:val="00E13EBA"/>
    <w:rsid w:val="00E14DA7"/>
    <w:rsid w:val="00E23DB9"/>
    <w:rsid w:val="00E26C0A"/>
    <w:rsid w:val="00E27793"/>
    <w:rsid w:val="00E32375"/>
    <w:rsid w:val="00E34516"/>
    <w:rsid w:val="00E40BD5"/>
    <w:rsid w:val="00E52F3B"/>
    <w:rsid w:val="00E550F0"/>
    <w:rsid w:val="00E55CFA"/>
    <w:rsid w:val="00E62F83"/>
    <w:rsid w:val="00E72C9D"/>
    <w:rsid w:val="00E733A4"/>
    <w:rsid w:val="00E808B6"/>
    <w:rsid w:val="00E90B5E"/>
    <w:rsid w:val="00E94299"/>
    <w:rsid w:val="00EA2965"/>
    <w:rsid w:val="00EB171E"/>
    <w:rsid w:val="00EB74FD"/>
    <w:rsid w:val="00EC52BA"/>
    <w:rsid w:val="00EC6905"/>
    <w:rsid w:val="00EE3D20"/>
    <w:rsid w:val="00EE5E30"/>
    <w:rsid w:val="00EF743D"/>
    <w:rsid w:val="00F24317"/>
    <w:rsid w:val="00F245A6"/>
    <w:rsid w:val="00F30DB1"/>
    <w:rsid w:val="00F419F7"/>
    <w:rsid w:val="00F45234"/>
    <w:rsid w:val="00F652AE"/>
    <w:rsid w:val="00F96D1F"/>
    <w:rsid w:val="00F97DBF"/>
    <w:rsid w:val="00FA1A00"/>
    <w:rsid w:val="00FC71F8"/>
    <w:rsid w:val="00FC791B"/>
    <w:rsid w:val="00FD5905"/>
    <w:rsid w:val="00FD5E67"/>
    <w:rsid w:val="00FE06A9"/>
    <w:rsid w:val="00FE33C3"/>
    <w:rsid w:val="00FE50F6"/>
    <w:rsid w:val="00FF3AD0"/>
    <w:rsid w:val="00FF3B19"/>
    <w:rsid w:val="00FF41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5FE6C8"/>
  <w15:docId w15:val="{5CAA09FE-0F77-41A9-9F45-1DB86A729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s"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EncabezadoCar">
    <w:name w:val="Encabezado Car"/>
    <w:basedOn w:val="Fuentedeprrafopredeter"/>
    <w:link w:val="Encabezado"/>
    <w:uiPriority w:val="99"/>
    <w:rsid w:val="00591A48"/>
    <w:rPr>
      <w:rFonts w:eastAsiaTheme="minorEastAsia"/>
      <w:sz w:val="24"/>
      <w:szCs w:val="24"/>
      <w:lang w:val="es-ES_tradnl" w:eastAsia="es-ES"/>
    </w:rPr>
  </w:style>
  <w:style w:type="paragraph" w:styleId="Piedepgina">
    <w:name w:val="footer"/>
    <w:basedOn w:val="Normal"/>
    <w:link w:val="PiedepginaCar"/>
    <w:uiPriority w:val="99"/>
    <w:unhideWhenUsed/>
    <w:rsid w:val="00591A48"/>
    <w:pPr>
      <w:tabs>
        <w:tab w:val="center" w:pos="4252"/>
        <w:tab w:val="right" w:pos="8504"/>
      </w:tabs>
    </w:pPr>
    <w:rPr>
      <w:rFonts w:asciiTheme="minorHAnsi" w:eastAsiaTheme="minorEastAsia" w:hAnsiTheme="minorHAnsi" w:cstheme="minorBidi"/>
      <w:lang w:val="es-ES_tradnl"/>
    </w:rPr>
  </w:style>
  <w:style w:type="character" w:customStyle="1" w:styleId="PiedepginaCar">
    <w:name w:val="Pie de página Car"/>
    <w:basedOn w:val="Fuentedeprrafopredeter"/>
    <w:link w:val="Piedepgina"/>
    <w:uiPriority w:val="99"/>
    <w:rsid w:val="00591A48"/>
    <w:rPr>
      <w:rFonts w:eastAsiaTheme="minorEastAsia"/>
      <w:sz w:val="24"/>
      <w:szCs w:val="24"/>
      <w:lang w:val="es-ES_tradnl" w:eastAsia="es-ES"/>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91A48"/>
    <w:rPr>
      <w:rFonts w:ascii="Times New Roman" w:eastAsia="Times New Roman" w:hAnsi="Times New Roman" w:cs="Times New Roman"/>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91A48"/>
    <w:pPr>
      <w:ind w:left="708"/>
    </w:pPr>
    <w:rPr>
      <w:sz w:val="22"/>
      <w:szCs w:val="22"/>
      <w:lang w:val="es-MX" w:eastAsia="en-US"/>
    </w:rPr>
  </w:style>
  <w:style w:type="table" w:styleId="Tablaconcuadrcula">
    <w:name w:val="Table Grid"/>
    <w:basedOn w:val="Tablanormal"/>
    <w:uiPriority w:val="59"/>
    <w:rsid w:val="00591A48"/>
    <w:rPr>
      <w:rFonts w:eastAsiaTheme="minorEastAsia"/>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rsid w:val="00591A48"/>
  </w:style>
  <w:style w:type="character" w:customStyle="1" w:styleId="apple-converted-space">
    <w:name w:val="apple-converted-space"/>
    <w:basedOn w:val="Fuentedeprrafopredeter"/>
    <w:rsid w:val="00591A48"/>
  </w:style>
  <w:style w:type="character" w:styleId="Hipervnculo">
    <w:name w:val="Hyperlink"/>
    <w:basedOn w:val="Fuentedeprrafopredeter"/>
    <w:uiPriority w:val="99"/>
    <w:unhideWhenUsed/>
    <w:rsid w:val="00591A48"/>
    <w:rPr>
      <w:color w:val="0000FF"/>
      <w:u w:val="single"/>
    </w:rPr>
  </w:style>
  <w:style w:type="paragraph" w:styleId="NormalWeb">
    <w:name w:val="Normal (Web)"/>
    <w:basedOn w:val="Normal"/>
    <w:uiPriority w:val="99"/>
    <w:unhideWhenUsed/>
    <w:rsid w:val="00591A48"/>
    <w:pPr>
      <w:spacing w:before="100" w:beforeAutospacing="1" w:after="100" w:afterAutospacing="1"/>
    </w:pPr>
    <w:rPr>
      <w:lang w:val="es-MX"/>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ADB"/>
    <w:basedOn w:val="Normal"/>
    <w:link w:val="TextonotapieCar"/>
    <w:unhideWhenUsed/>
    <w:qFormat/>
    <w:rsid w:val="00591A48"/>
    <w:rPr>
      <w:rFonts w:asciiTheme="minorHAnsi" w:eastAsiaTheme="minorHAnsi" w:hAnsiTheme="minorHAnsi" w:cstheme="minorBidi"/>
      <w:sz w:val="20"/>
      <w:szCs w:val="20"/>
      <w:lang w:val="es-MX" w:eastAsia="en-US"/>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basedOn w:val="Fuentedeprrafopredeter"/>
    <w:link w:val="Textonotapie"/>
    <w:qFormat/>
    <w:rsid w:val="00591A48"/>
    <w:rPr>
      <w:sz w:val="20"/>
      <w:szCs w:val="20"/>
    </w:rPr>
  </w:style>
  <w:style w:type="character" w:styleId="Refdenotaalpie">
    <w:name w:val="footnote reference"/>
    <w:aliases w:val="Footnotes refss,Texto de nota al pie,Ref. de nota al pie 2,Appel note de bas de page,referencia nota al pie,BVI fnr,Footnote number,4_G,16 Point,Superscript 6 Point,Texto nota al pie,Footnote Reference Char3,Ref,de nota al pie,註腳內容,f"/>
    <w:basedOn w:val="Fuentedeprrafopredeter"/>
    <w:unhideWhenUsed/>
    <w:qFormat/>
    <w:rsid w:val="00591A48"/>
    <w:rPr>
      <w:vertAlign w:val="superscript"/>
    </w:rPr>
  </w:style>
  <w:style w:type="character" w:styleId="Refdecomentario">
    <w:name w:val="annotation reference"/>
    <w:basedOn w:val="Fuentedeprrafopredeter"/>
    <w:uiPriority w:val="99"/>
    <w:semiHidden/>
    <w:unhideWhenUsed/>
    <w:rsid w:val="00D33422"/>
    <w:rPr>
      <w:sz w:val="16"/>
      <w:szCs w:val="16"/>
    </w:rPr>
  </w:style>
  <w:style w:type="paragraph" w:styleId="Textocomentario">
    <w:name w:val="annotation text"/>
    <w:basedOn w:val="Normal"/>
    <w:link w:val="TextocomentarioCar"/>
    <w:uiPriority w:val="99"/>
    <w:semiHidden/>
    <w:unhideWhenUsed/>
    <w:rsid w:val="00D33422"/>
    <w:rPr>
      <w:sz w:val="20"/>
      <w:szCs w:val="20"/>
    </w:rPr>
  </w:style>
  <w:style w:type="character" w:customStyle="1" w:styleId="TextocomentarioCar">
    <w:name w:val="Texto comentario Car"/>
    <w:basedOn w:val="Fuentedeprrafopredeter"/>
    <w:link w:val="Textocomentario"/>
    <w:uiPriority w:val="99"/>
    <w:semiHidden/>
    <w:rsid w:val="00D33422"/>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D33422"/>
    <w:rPr>
      <w:b/>
      <w:bCs/>
    </w:rPr>
  </w:style>
  <w:style w:type="character" w:customStyle="1" w:styleId="AsuntodelcomentarioCar">
    <w:name w:val="Asunto del comentario Car"/>
    <w:basedOn w:val="TextocomentarioCar"/>
    <w:link w:val="Asuntodelcomentario"/>
    <w:uiPriority w:val="99"/>
    <w:semiHidden/>
    <w:rsid w:val="00D33422"/>
    <w:rPr>
      <w:rFonts w:ascii="Times New Roman" w:eastAsia="Times New Roman" w:hAnsi="Times New Roman" w:cs="Times New Roman"/>
      <w:b/>
      <w:bCs/>
      <w:sz w:val="20"/>
      <w:szCs w:val="20"/>
      <w:lang w:val="es-ES" w:eastAsia="es-ES"/>
    </w:rPr>
  </w:style>
  <w:style w:type="paragraph" w:styleId="Textodeglobo">
    <w:name w:val="Balloon Text"/>
    <w:basedOn w:val="Normal"/>
    <w:link w:val="TextodegloboCar"/>
    <w:uiPriority w:val="99"/>
    <w:semiHidden/>
    <w:unhideWhenUsed/>
    <w:rsid w:val="00D3342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3422"/>
    <w:rPr>
      <w:rFonts w:ascii="Segoe UI" w:eastAsia="Times New Roman" w:hAnsi="Segoe UI" w:cs="Segoe UI"/>
      <w:sz w:val="18"/>
      <w:szCs w:val="18"/>
      <w:lang w:val="es-ES" w:eastAsia="es-ES"/>
    </w:rPr>
  </w:style>
  <w:style w:type="paragraph" w:customStyle="1" w:styleId="paragraph">
    <w:name w:val="paragraph"/>
    <w:basedOn w:val="Normal"/>
    <w:rsid w:val="00225930"/>
    <w:pPr>
      <w:spacing w:before="100" w:beforeAutospacing="1" w:after="100" w:afterAutospacing="1"/>
    </w:pPr>
    <w:rPr>
      <w:lang w:val="es-MX"/>
    </w:rPr>
  </w:style>
  <w:style w:type="table" w:customStyle="1" w:styleId="a">
    <w:basedOn w:val="TableNormal2"/>
    <w:tblPr>
      <w:tblStyleRowBandSize w:val="1"/>
      <w:tblStyleColBandSize w:val="1"/>
      <w:tblCellMar>
        <w:left w:w="115" w:type="dxa"/>
        <w:right w:w="115" w:type="dxa"/>
      </w:tblCellMar>
    </w:tblPr>
  </w:style>
  <w:style w:type="table" w:customStyle="1" w:styleId="a0">
    <w:basedOn w:val="TableNormal2"/>
    <w:tblPr>
      <w:tblStyleRowBandSize w:val="1"/>
      <w:tblStyleColBandSize w:val="1"/>
      <w:tblCellMar>
        <w:left w:w="115" w:type="dxa"/>
        <w:right w:w="115" w:type="dxa"/>
      </w:tblCellMar>
    </w:tblPr>
  </w:style>
  <w:style w:type="table" w:customStyle="1" w:styleId="a1">
    <w:basedOn w:val="TableNormal2"/>
    <w:tblPr>
      <w:tblStyleRowBandSize w:val="1"/>
      <w:tblStyleColBandSize w:val="1"/>
      <w:tblCellMar>
        <w:left w:w="115" w:type="dxa"/>
        <w:right w:w="115" w:type="dxa"/>
      </w:tblCellMar>
    </w:tblPr>
  </w:style>
  <w:style w:type="table" w:customStyle="1" w:styleId="a2">
    <w:basedOn w:val="TableNormal2"/>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99"/>
    <w:unhideWhenUsed/>
    <w:rsid w:val="00AA0915"/>
    <w:pPr>
      <w:spacing w:after="120"/>
    </w:pPr>
  </w:style>
  <w:style w:type="character" w:customStyle="1" w:styleId="TextoindependienteCar">
    <w:name w:val="Texto independiente Car"/>
    <w:basedOn w:val="Fuentedeprrafopredeter"/>
    <w:link w:val="Textoindependiente"/>
    <w:uiPriority w:val="99"/>
    <w:rsid w:val="00AA0915"/>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CellMar>
        <w:left w:w="115" w:type="dxa"/>
        <w:right w:w="115" w:type="dxa"/>
      </w:tblCellMar>
    </w:tblPr>
  </w:style>
  <w:style w:type="table" w:customStyle="1" w:styleId="a5">
    <w:basedOn w:val="TableNormal1"/>
    <w:tblPr>
      <w:tblStyleRowBandSize w:val="1"/>
      <w:tblStyleColBandSize w:val="1"/>
      <w:tblCellMar>
        <w:left w:w="115" w:type="dxa"/>
        <w:right w:w="115" w:type="dxa"/>
      </w:tblCellMar>
    </w:tblPr>
  </w:style>
  <w:style w:type="paragraph" w:styleId="Sinespaciado">
    <w:name w:val="No Spacing"/>
    <w:aliases w:val="Francesa,INAI"/>
    <w:link w:val="SinespaciadoCar"/>
    <w:uiPriority w:val="1"/>
    <w:qFormat/>
    <w:rsid w:val="0085765F"/>
    <w:rPr>
      <w:lang w:val="es-MX" w:eastAsia="es-ES"/>
    </w:rPr>
  </w:style>
  <w:style w:type="character" w:customStyle="1" w:styleId="SinespaciadoCar">
    <w:name w:val="Sin espaciado Car"/>
    <w:aliases w:val="Francesa Car,INAI Car"/>
    <w:link w:val="Sinespaciado"/>
    <w:uiPriority w:val="1"/>
    <w:locked/>
    <w:rsid w:val="0085765F"/>
    <w:rPr>
      <w:lang w:val="es-MX" w:eastAsia="es-E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6">
    <w:basedOn w:val="TableNormal0"/>
    <w:tblPr>
      <w:tblStyleRowBandSize w:val="1"/>
      <w:tblStyleColBandSize w:val="1"/>
      <w:tblCellMar>
        <w:left w:w="115" w:type="dxa"/>
        <w:right w:w="115" w:type="dxa"/>
      </w:tblCellMar>
    </w:tblPr>
  </w:style>
  <w:style w:type="table" w:customStyle="1" w:styleId="a7">
    <w:basedOn w:val="TableNormal0"/>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484467">
      <w:bodyDiv w:val="1"/>
      <w:marLeft w:val="0"/>
      <w:marRight w:val="0"/>
      <w:marTop w:val="0"/>
      <w:marBottom w:val="0"/>
      <w:divBdr>
        <w:top w:val="none" w:sz="0" w:space="0" w:color="auto"/>
        <w:left w:val="none" w:sz="0" w:space="0" w:color="auto"/>
        <w:bottom w:val="none" w:sz="0" w:space="0" w:color="auto"/>
        <w:right w:val="none" w:sz="0" w:space="0" w:color="auto"/>
      </w:divBdr>
    </w:div>
    <w:div w:id="1009286727">
      <w:bodyDiv w:val="1"/>
      <w:marLeft w:val="0"/>
      <w:marRight w:val="0"/>
      <w:marTop w:val="0"/>
      <w:marBottom w:val="0"/>
      <w:divBdr>
        <w:top w:val="none" w:sz="0" w:space="0" w:color="auto"/>
        <w:left w:val="none" w:sz="0" w:space="0" w:color="auto"/>
        <w:bottom w:val="none" w:sz="0" w:space="0" w:color="auto"/>
        <w:right w:val="none" w:sz="0" w:space="0" w:color="auto"/>
      </w:divBdr>
    </w:div>
    <w:div w:id="1066033266">
      <w:bodyDiv w:val="1"/>
      <w:marLeft w:val="0"/>
      <w:marRight w:val="0"/>
      <w:marTop w:val="0"/>
      <w:marBottom w:val="0"/>
      <w:divBdr>
        <w:top w:val="none" w:sz="0" w:space="0" w:color="auto"/>
        <w:left w:val="none" w:sz="0" w:space="0" w:color="auto"/>
        <w:bottom w:val="none" w:sz="0" w:space="0" w:color="auto"/>
        <w:right w:val="none" w:sz="0" w:space="0" w:color="auto"/>
      </w:divBdr>
    </w:div>
    <w:div w:id="13655214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JX0W1HCN9gFbMVjgdwbWw/QMSQ==">CgMxLjAyCGguZ2pkZ3hzMg5oLnVmbGRsZzF6NWNxZTIJaC4zZHk2dmttMgloLjN6bnlzaDcyDmguaWJpaWU1MXNhd2w2MgloLjFmb2I5dGU4AHIhMUNSTGJwa08yUGlFMUdXSElzMUR3eVFBbnF4ck5jMmo2</go:docsCustomData>
</go:gDocsCustomXmlDataStorage>
</file>

<file path=customXml/itemProps1.xml><?xml version="1.0" encoding="utf-8"?>
<ds:datastoreItem xmlns:ds="http://schemas.openxmlformats.org/officeDocument/2006/customXml" ds:itemID="{15C6699A-5877-4CE5-8643-BA3924CEEE7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7990</Words>
  <Characters>43947</Characters>
  <Application>Microsoft Office Word</Application>
  <DocSecurity>0</DocSecurity>
  <Lines>366</Lines>
  <Paragraphs>103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51834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Windows</dc:creator>
  <cp:lastModifiedBy>ADRIANA INFOEM</cp:lastModifiedBy>
  <cp:revision>2</cp:revision>
  <cp:lastPrinted>2026-09-18T20:53:00Z</cp:lastPrinted>
  <dcterms:created xsi:type="dcterms:W3CDTF">2026-09-22T21:43:00Z</dcterms:created>
  <dcterms:modified xsi:type="dcterms:W3CDTF">2026-09-22T21:43:00Z</dcterms:modified>
</cp:coreProperties>
</file>