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5F0" w:rsidRDefault="003665F0">
      <w:pPr>
        <w:widowControl w:val="0"/>
        <w:pBdr>
          <w:top w:val="nil"/>
          <w:left w:val="nil"/>
          <w:bottom w:val="nil"/>
          <w:right w:val="nil"/>
          <w:between w:val="nil"/>
        </w:pBdr>
        <w:spacing w:line="276" w:lineRule="auto"/>
      </w:pPr>
    </w:p>
    <w:p w:rsidR="003665F0" w:rsidRDefault="003665F0">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665F0" w:rsidRDefault="00FC307C">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RESOLUCIÓN DEL RECURSO DE REVISIÓN </w:t>
      </w:r>
      <w:r>
        <w:rPr>
          <w:rFonts w:ascii="Palatino Linotype" w:eastAsia="Palatino Linotype" w:hAnsi="Palatino Linotype" w:cs="Palatino Linotype"/>
          <w:b/>
          <w:bCs/>
          <w:color w:val="000000"/>
          <w:sz w:val="22"/>
          <w:szCs w:val="22"/>
        </w:rPr>
        <w:t>12061/INFOEM/ICR-150/IP/RR/2025.</w:t>
      </w:r>
    </w:p>
    <w:p w:rsidR="003665F0" w:rsidRDefault="003665F0">
      <w:pPr>
        <w:spacing w:line="360" w:lineRule="auto"/>
      </w:pPr>
    </w:p>
    <w:p w:rsidR="003665F0" w:rsidRDefault="003665F0">
      <w:pPr>
        <w:spacing w:line="360" w:lineRule="auto"/>
        <w:jc w:val="both"/>
      </w:pPr>
    </w:p>
    <w:sdt>
      <w:sdtPr>
        <w:rPr>
          <w:lang w:val="es-ES"/>
        </w:rPr>
        <w:id w:val="-1604877785"/>
        <w:docPartObj>
          <w:docPartGallery w:val="Table of Contents"/>
          <w:docPartUnique/>
        </w:docPartObj>
      </w:sdtPr>
      <w:sdtEndPr>
        <w:rPr>
          <w:b/>
          <w:bCs/>
        </w:rPr>
      </w:sdtEndPr>
      <w:sdtContent>
        <w:p w:rsidR="00597623" w:rsidRPr="00597623" w:rsidRDefault="00597623">
          <w:pPr>
            <w:pStyle w:val="TDC1"/>
            <w:rPr>
              <w:rFonts w:ascii="Palatino Linotype" w:eastAsiaTheme="minorEastAsia" w:hAnsi="Palatino Linotype" w:cstheme="minorBidi"/>
              <w:noProof/>
              <w:sz w:val="24"/>
              <w:szCs w:val="22"/>
            </w:rPr>
          </w:pPr>
          <w:r>
            <w:rPr>
              <w:b/>
              <w:bCs/>
              <w:lang w:val="es-ES"/>
            </w:rPr>
            <w:fldChar w:fldCharType="begin"/>
          </w:r>
          <w:r>
            <w:rPr>
              <w:b/>
              <w:bCs/>
              <w:lang w:val="es-ES"/>
            </w:rPr>
            <w:instrText xml:space="preserve"> TOC \o "1-3" \h \z \u </w:instrText>
          </w:r>
          <w:r>
            <w:rPr>
              <w:b/>
              <w:bCs/>
              <w:lang w:val="es-ES"/>
            </w:rPr>
            <w:fldChar w:fldCharType="separate"/>
          </w:r>
          <w:hyperlink w:anchor="_Toc219991081" w:history="1">
            <w:r w:rsidRPr="00597623">
              <w:rPr>
                <w:rStyle w:val="Hipervnculo"/>
                <w:rFonts w:ascii="Palatino Linotype" w:hAnsi="Palatino Linotype"/>
                <w:noProof/>
                <w:sz w:val="22"/>
              </w:rPr>
              <w:t>A N T E C E D E N T E S</w:t>
            </w:r>
            <w:r w:rsidRPr="00597623">
              <w:rPr>
                <w:rFonts w:ascii="Palatino Linotype" w:hAnsi="Palatino Linotype"/>
                <w:noProof/>
                <w:webHidden/>
                <w:sz w:val="22"/>
              </w:rPr>
              <w:tab/>
            </w:r>
            <w:r w:rsidRPr="00597623">
              <w:rPr>
                <w:rFonts w:ascii="Palatino Linotype" w:hAnsi="Palatino Linotype"/>
                <w:noProof/>
                <w:webHidden/>
                <w:sz w:val="22"/>
              </w:rPr>
              <w:fldChar w:fldCharType="begin"/>
            </w:r>
            <w:r w:rsidRPr="00597623">
              <w:rPr>
                <w:rFonts w:ascii="Palatino Linotype" w:hAnsi="Palatino Linotype"/>
                <w:noProof/>
                <w:webHidden/>
                <w:sz w:val="22"/>
              </w:rPr>
              <w:instrText xml:space="preserve"> PAGEREF _Toc219991081 \h </w:instrText>
            </w:r>
            <w:r w:rsidRPr="00597623">
              <w:rPr>
                <w:rFonts w:ascii="Palatino Linotype" w:hAnsi="Palatino Linotype"/>
                <w:noProof/>
                <w:webHidden/>
                <w:sz w:val="22"/>
              </w:rPr>
            </w:r>
            <w:r w:rsidRPr="00597623">
              <w:rPr>
                <w:rFonts w:ascii="Palatino Linotype" w:hAnsi="Palatino Linotype"/>
                <w:noProof/>
                <w:webHidden/>
                <w:sz w:val="22"/>
              </w:rPr>
              <w:fldChar w:fldCharType="separate"/>
            </w:r>
            <w:r w:rsidR="00144F27">
              <w:rPr>
                <w:rFonts w:ascii="Palatino Linotype" w:hAnsi="Palatino Linotype"/>
                <w:noProof/>
                <w:webHidden/>
                <w:sz w:val="22"/>
              </w:rPr>
              <w:t>2</w:t>
            </w:r>
            <w:r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82" w:history="1">
            <w:r w:rsidR="00597623" w:rsidRPr="00597623">
              <w:rPr>
                <w:rStyle w:val="Hipervnculo"/>
                <w:rFonts w:ascii="Palatino Linotype" w:hAnsi="Palatino Linotype"/>
                <w:noProof/>
                <w:sz w:val="22"/>
              </w:rPr>
              <w:t>I. Presentación de la solicitud de información</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_Toc219991082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2</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83" w:history="1">
            <w:r w:rsidR="00597623" w:rsidRPr="00597623">
              <w:rPr>
                <w:rStyle w:val="Hipervnculo"/>
                <w:rFonts w:ascii="Palatino Linotype" w:hAnsi="Palatino Linotype"/>
                <w:noProof/>
                <w:sz w:val="22"/>
              </w:rPr>
              <w:t>II. Respuesta del Sujeto Obligado</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_Toc219991083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3</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84" w:history="1">
            <w:r w:rsidR="00597623" w:rsidRPr="00597623">
              <w:rPr>
                <w:rStyle w:val="Hipervnculo"/>
                <w:rFonts w:ascii="Palatino Linotype" w:hAnsi="Palatino Linotype"/>
                <w:noProof/>
                <w:sz w:val="22"/>
              </w:rPr>
              <w:t>III. Interposición del Recurso de Revisión</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_Toc219991084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3</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85" w:history="1">
            <w:r w:rsidR="00597623" w:rsidRPr="00597623">
              <w:rPr>
                <w:rStyle w:val="Hipervnculo"/>
                <w:rFonts w:ascii="Palatino Linotype" w:hAnsi="Palatino Linotype"/>
                <w:noProof/>
                <w:sz w:val="22"/>
              </w:rPr>
              <w:t>IV. Trámite del Recurso de Revisión ante el Instituto</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_Toc219991085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4</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86" w:history="1">
            <w:r w:rsidR="00597623" w:rsidRPr="00597623">
              <w:rPr>
                <w:rStyle w:val="Hipervnculo"/>
                <w:rFonts w:ascii="Palatino Linotype" w:hAnsi="Palatino Linotype"/>
                <w:noProof/>
                <w:sz w:val="22"/>
              </w:rPr>
              <w:t>V. Entrega de la información en cumplimiento a la Resolución del Recurso de Revisión 012061/INFOEM/IP/RR/2025.</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_Toc219991086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6</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87" w:history="1">
            <w:r w:rsidR="00597623" w:rsidRPr="00597623">
              <w:rPr>
                <w:rStyle w:val="Hipervnculo"/>
                <w:rFonts w:ascii="Palatino Linotype" w:hAnsi="Palatino Linotype"/>
                <w:noProof/>
                <w:sz w:val="22"/>
              </w:rPr>
              <w:t>VI. Interposición del Recurso de Revisión 01206/INFOEM/ICR-150/IP/RR/2025</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_Toc219991087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6</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88" w:history="1">
            <w:r w:rsidR="00597623" w:rsidRPr="00597623">
              <w:rPr>
                <w:rStyle w:val="Hipervnculo"/>
                <w:rFonts w:ascii="Palatino Linotype" w:hAnsi="Palatino Linotype"/>
                <w:noProof/>
                <w:sz w:val="22"/>
              </w:rPr>
              <w:t>VIII. Trámite del Recurso de Revisión número 12061/INFOEM/ICR-150/IP/RR/2025</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_Toc219991088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7</w:t>
            </w:r>
            <w:r w:rsidR="00597623" w:rsidRPr="00597623">
              <w:rPr>
                <w:rFonts w:ascii="Palatino Linotype" w:hAnsi="Palatino Linotype"/>
                <w:noProof/>
                <w:webHidden/>
                <w:sz w:val="22"/>
              </w:rPr>
              <w:fldChar w:fldCharType="end"/>
            </w:r>
          </w:hyperlink>
        </w:p>
        <w:p w:rsidR="00597623" w:rsidRPr="00597623" w:rsidRDefault="00CA251C">
          <w:pPr>
            <w:pStyle w:val="TDC1"/>
            <w:rPr>
              <w:rFonts w:ascii="Palatino Linotype" w:eastAsiaTheme="minorEastAsia" w:hAnsi="Palatino Linotype" w:cstheme="minorBidi"/>
              <w:noProof/>
              <w:sz w:val="24"/>
              <w:szCs w:val="22"/>
            </w:rPr>
          </w:pPr>
          <w:hyperlink w:anchor="_Toc219991089" w:history="1">
            <w:r w:rsidR="00597623" w:rsidRPr="00597623">
              <w:rPr>
                <w:rStyle w:val="Hipervnculo"/>
                <w:rFonts w:ascii="Palatino Linotype" w:hAnsi="Palatino Linotype"/>
                <w:noProof/>
                <w:sz w:val="22"/>
              </w:rPr>
              <w:t>C O N S I D E R A N D O S</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_Toc219991089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9</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90" w:history="1">
            <w:r w:rsidR="00597623" w:rsidRPr="00597623">
              <w:rPr>
                <w:rStyle w:val="Hipervnculo"/>
                <w:rFonts w:ascii="Palatino Linotype" w:hAnsi="Palatino Linotype"/>
                <w:noProof/>
                <w:sz w:val="22"/>
              </w:rPr>
              <w:t>PRIMERO. Competencia</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_Toc219991090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9</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91" w:history="1">
            <w:r w:rsidR="00597623" w:rsidRPr="00597623">
              <w:rPr>
                <w:rStyle w:val="Hipervnculo"/>
                <w:rFonts w:ascii="Palatino Linotype" w:hAnsi="Palatino Linotype"/>
                <w:noProof/>
                <w:sz w:val="22"/>
              </w:rPr>
              <w:t>SEGUNDO. Causales de improcedencia y Sobreseimiento</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_Toc219991091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9</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92" w:history="1">
            <w:r w:rsidR="00597623" w:rsidRPr="00597623">
              <w:rPr>
                <w:rStyle w:val="Hipervnculo"/>
                <w:rFonts w:ascii="Palatino Linotype" w:hAnsi="Palatino Linotype"/>
                <w:noProof/>
                <w:sz w:val="22"/>
              </w:rPr>
              <w:t>TERCERO. Determinación de la Controversia</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_Toc219991092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12</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93" w:history="1">
            <w:r w:rsidR="00597623" w:rsidRPr="00597623">
              <w:rPr>
                <w:rStyle w:val="Hipervnculo"/>
                <w:rFonts w:ascii="Palatino Linotype" w:hAnsi="Palatino Linotype"/>
                <w:noProof/>
                <w:sz w:val="22"/>
              </w:rPr>
              <w:t>CUARTO. Marco normativo aplicable en materia de transparencia y acceso a la información pública</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_Toc219991093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14</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94" w:history="1">
            <w:r w:rsidR="00597623" w:rsidRPr="00597623">
              <w:rPr>
                <w:rStyle w:val="Hipervnculo"/>
                <w:rFonts w:ascii="Palatino Linotype" w:hAnsi="Palatino Linotype"/>
                <w:noProof/>
                <w:sz w:val="22"/>
              </w:rPr>
              <w:t>QUINTO. Estudio de Fondo</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_Toc219991094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16</w:t>
            </w:r>
            <w:r w:rsidR="00597623" w:rsidRPr="00597623">
              <w:rPr>
                <w:rFonts w:ascii="Palatino Linotype" w:hAnsi="Palatino Linotype"/>
                <w:noProof/>
                <w:webHidden/>
                <w:sz w:val="22"/>
              </w:rPr>
              <w:fldChar w:fldCharType="end"/>
            </w:r>
          </w:hyperlink>
        </w:p>
        <w:p w:rsidR="00597623" w:rsidRPr="00597623" w:rsidRDefault="00CA251C">
          <w:pPr>
            <w:pStyle w:val="TDC2"/>
            <w:tabs>
              <w:tab w:val="right" w:leader="dot" w:pos="9034"/>
            </w:tabs>
            <w:rPr>
              <w:rFonts w:ascii="Palatino Linotype" w:eastAsiaTheme="minorEastAsia" w:hAnsi="Palatino Linotype" w:cstheme="minorBidi"/>
              <w:noProof/>
              <w:sz w:val="24"/>
              <w:szCs w:val="22"/>
            </w:rPr>
          </w:pPr>
          <w:hyperlink w:anchor="_Toc219991095" w:history="1">
            <w:r w:rsidR="00597623" w:rsidRPr="00597623">
              <w:rPr>
                <w:rStyle w:val="Hipervnculo"/>
                <w:rFonts w:ascii="Palatino Linotype" w:hAnsi="Palatino Linotype"/>
                <w:noProof/>
                <w:sz w:val="22"/>
              </w:rPr>
              <w:t>SEXTO. Decisión</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_Toc219991095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22</w:t>
            </w:r>
            <w:r w:rsidR="00597623" w:rsidRPr="00597623">
              <w:rPr>
                <w:rFonts w:ascii="Palatino Linotype" w:hAnsi="Palatino Linotype"/>
                <w:noProof/>
                <w:webHidden/>
                <w:sz w:val="22"/>
              </w:rPr>
              <w:fldChar w:fldCharType="end"/>
            </w:r>
          </w:hyperlink>
        </w:p>
        <w:p w:rsidR="00597623" w:rsidRPr="00597623" w:rsidRDefault="00CA251C">
          <w:pPr>
            <w:pStyle w:val="TDC1"/>
            <w:rPr>
              <w:rFonts w:ascii="Palatino Linotype" w:eastAsiaTheme="minorEastAsia" w:hAnsi="Palatino Linotype" w:cstheme="minorBidi"/>
              <w:noProof/>
              <w:sz w:val="24"/>
              <w:szCs w:val="22"/>
            </w:rPr>
          </w:pPr>
          <w:hyperlink w:anchor="_Toc219991096" w:history="1">
            <w:r w:rsidR="00597623" w:rsidRPr="00597623">
              <w:rPr>
                <w:rStyle w:val="Hipervnculo"/>
                <w:rFonts w:ascii="Palatino Linotype" w:hAnsi="Palatino Linotype"/>
                <w:noProof/>
                <w:sz w:val="22"/>
              </w:rPr>
              <w:t>R E S U E L V E</w:t>
            </w:r>
            <w:r w:rsidR="00597623" w:rsidRPr="00597623">
              <w:rPr>
                <w:rFonts w:ascii="Palatino Linotype" w:hAnsi="Palatino Linotype"/>
                <w:noProof/>
                <w:webHidden/>
                <w:sz w:val="22"/>
              </w:rPr>
              <w:tab/>
            </w:r>
            <w:r w:rsidR="00597623" w:rsidRPr="00597623">
              <w:rPr>
                <w:rFonts w:ascii="Palatino Linotype" w:hAnsi="Palatino Linotype"/>
                <w:noProof/>
                <w:webHidden/>
                <w:sz w:val="22"/>
              </w:rPr>
              <w:fldChar w:fldCharType="begin"/>
            </w:r>
            <w:r w:rsidR="00597623" w:rsidRPr="00597623">
              <w:rPr>
                <w:rFonts w:ascii="Palatino Linotype" w:hAnsi="Palatino Linotype"/>
                <w:noProof/>
                <w:webHidden/>
                <w:sz w:val="22"/>
              </w:rPr>
              <w:instrText xml:space="preserve"> PAGEREF _Toc219991096 \h </w:instrText>
            </w:r>
            <w:r w:rsidR="00597623" w:rsidRPr="00597623">
              <w:rPr>
                <w:rFonts w:ascii="Palatino Linotype" w:hAnsi="Palatino Linotype"/>
                <w:noProof/>
                <w:webHidden/>
                <w:sz w:val="22"/>
              </w:rPr>
            </w:r>
            <w:r w:rsidR="00597623" w:rsidRPr="00597623">
              <w:rPr>
                <w:rFonts w:ascii="Palatino Linotype" w:hAnsi="Palatino Linotype"/>
                <w:noProof/>
                <w:webHidden/>
                <w:sz w:val="22"/>
              </w:rPr>
              <w:fldChar w:fldCharType="separate"/>
            </w:r>
            <w:r w:rsidR="00144F27">
              <w:rPr>
                <w:rFonts w:ascii="Palatino Linotype" w:hAnsi="Palatino Linotype"/>
                <w:noProof/>
                <w:webHidden/>
                <w:sz w:val="22"/>
              </w:rPr>
              <w:t>22</w:t>
            </w:r>
            <w:r w:rsidR="00597623" w:rsidRPr="00597623">
              <w:rPr>
                <w:rFonts w:ascii="Palatino Linotype" w:hAnsi="Palatino Linotype"/>
                <w:noProof/>
                <w:webHidden/>
                <w:sz w:val="22"/>
              </w:rPr>
              <w:fldChar w:fldCharType="end"/>
            </w:r>
          </w:hyperlink>
        </w:p>
        <w:p w:rsidR="00597623" w:rsidRDefault="00597623">
          <w:r>
            <w:rPr>
              <w:b/>
              <w:bCs/>
              <w:lang w:val="es-ES"/>
            </w:rPr>
            <w:fldChar w:fldCharType="end"/>
          </w:r>
        </w:p>
      </w:sdtContent>
    </w:sdt>
    <w:p w:rsidR="00597623" w:rsidRDefault="00597623">
      <w:pPr>
        <w:spacing w:line="360" w:lineRule="auto"/>
        <w:jc w:val="both"/>
      </w:pPr>
    </w:p>
    <w:p w:rsidR="00597623" w:rsidRDefault="00597623">
      <w:pPr>
        <w:spacing w:line="360" w:lineRule="auto"/>
        <w:jc w:val="both"/>
      </w:pPr>
    </w:p>
    <w:p w:rsidR="00597623" w:rsidRDefault="00597623">
      <w:pPr>
        <w:spacing w:line="360" w:lineRule="auto"/>
        <w:jc w:val="both"/>
      </w:pPr>
    </w:p>
    <w:p w:rsidR="00597623" w:rsidRDefault="00597623">
      <w:pPr>
        <w:spacing w:line="360" w:lineRule="auto"/>
        <w:jc w:val="both"/>
      </w:pPr>
    </w:p>
    <w:p w:rsidR="00597623" w:rsidRDefault="00597623">
      <w:pPr>
        <w:spacing w:line="360" w:lineRule="auto"/>
        <w:jc w:val="both"/>
      </w:pPr>
    </w:p>
    <w:p w:rsidR="00597623" w:rsidRDefault="00597623">
      <w:pPr>
        <w:spacing w:line="360" w:lineRule="auto"/>
        <w:jc w:val="both"/>
      </w:pPr>
    </w:p>
    <w:p w:rsidR="00597623" w:rsidRDefault="00597623">
      <w:pPr>
        <w:spacing w:line="360" w:lineRule="auto"/>
        <w:jc w:val="both"/>
      </w:pP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veintiuno de enero de dos mil veintiséis. </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5B6CC5">
        <w:rPr>
          <w:rFonts w:ascii="Palatino Linotype" w:eastAsia="Palatino Linotype" w:hAnsi="Palatino Linotype" w:cs="Palatino Linotype"/>
          <w:b/>
          <w:color w:val="000000"/>
          <w:sz w:val="22"/>
          <w:szCs w:val="22"/>
        </w:rPr>
        <w:t>12061/INFOEM/ICR-150/IP/RR/2025,</w:t>
      </w:r>
      <w:r>
        <w:rPr>
          <w:rFonts w:ascii="Palatino Linotype" w:eastAsia="Palatino Linotype" w:hAnsi="Palatino Linotype" w:cs="Palatino Linotype"/>
          <w:color w:val="000000"/>
          <w:sz w:val="22"/>
          <w:szCs w:val="22"/>
        </w:rPr>
        <w:t xml:space="preserve"> interpuesto por </w:t>
      </w:r>
      <w:r w:rsidR="00E220AD" w:rsidRPr="00E220AD">
        <w:rPr>
          <w:rFonts w:ascii="Palatino Linotype" w:eastAsia="Palatino Linotype" w:hAnsi="Palatino Linotype" w:cs="Palatino Linotype"/>
          <w:color w:val="000000"/>
          <w:sz w:val="22"/>
          <w:szCs w:val="22"/>
          <w:highlight w:val="black"/>
        </w:rPr>
        <w:t>XXXXXXXXXXXXXXXXXX</w:t>
      </w:r>
      <w:r w:rsidR="003B142C">
        <w:rPr>
          <w:rFonts w:ascii="Palatino Linotype" w:eastAsia="Palatino Linotype" w:hAnsi="Palatino Linotype" w:cs="Palatino Linotype"/>
          <w:color w:val="000000"/>
          <w:sz w:val="22"/>
          <w:szCs w:val="22"/>
        </w:rPr>
        <w:t xml:space="preserve">, la </w:t>
      </w:r>
      <w:r>
        <w:rPr>
          <w:rFonts w:ascii="Palatino Linotype" w:eastAsia="Palatino Linotype" w:hAnsi="Palatino Linotype" w:cs="Palatino Linotype"/>
          <w:color w:val="000000"/>
          <w:sz w:val="22"/>
          <w:szCs w:val="22"/>
        </w:rPr>
        <w:t xml:space="preserve">persona </w:t>
      </w:r>
      <w:r>
        <w:rPr>
          <w:rFonts w:ascii="Palatino Linotype" w:eastAsia="Palatino Linotype" w:hAnsi="Palatino Linotype" w:cs="Palatino Linotype"/>
          <w:color w:val="0D0D0D"/>
          <w:sz w:val="22"/>
          <w:szCs w:val="22"/>
        </w:rPr>
        <w:t>Recurrente o Particular</w:t>
      </w:r>
      <w:r>
        <w:rPr>
          <w:rFonts w:ascii="Palatino Linotype" w:eastAsia="Palatino Linotype" w:hAnsi="Palatino Linotype" w:cs="Palatino Linotype"/>
          <w:color w:val="000000"/>
          <w:sz w:val="22"/>
          <w:szCs w:val="22"/>
        </w:rPr>
        <w:t xml:space="preserve">, en contra de la respuesta del Sujeto Obligado, </w:t>
      </w:r>
      <w:r w:rsidRPr="005B6CC5">
        <w:rPr>
          <w:rFonts w:ascii="Palatino Linotype" w:eastAsia="Palatino Linotype" w:hAnsi="Palatino Linotype" w:cs="Palatino Linotype"/>
          <w:b/>
          <w:color w:val="000000"/>
          <w:sz w:val="22"/>
          <w:szCs w:val="22"/>
        </w:rPr>
        <w:t>Ayuntamiento de Tepotzotlán</w:t>
      </w:r>
      <w:r>
        <w:rPr>
          <w:rFonts w:ascii="Palatino Linotype" w:eastAsia="Palatino Linotype" w:hAnsi="Palatino Linotype" w:cs="Palatino Linotype"/>
          <w:color w:val="000000"/>
          <w:sz w:val="22"/>
          <w:szCs w:val="22"/>
        </w:rPr>
        <w:t>, a la solicitud de acceso a la información pública 00545/TEPOTZOT/IP/2025, entregada en cumplimiento a la determinación del diverso con número 12061/INFOEM/IP/RR/2025, se emite la presente Resolución, con base en los Antecedentes y Considerandos que a continuación se exponen:</w:t>
      </w:r>
      <w:bookmarkStart w:id="0" w:name="_GoBack"/>
      <w:bookmarkEnd w:id="0"/>
    </w:p>
    <w:p w:rsidR="003665F0" w:rsidRDefault="003665F0">
      <w:pPr>
        <w:pStyle w:val="Subttulo"/>
        <w:spacing w:after="0" w:line="360" w:lineRule="auto"/>
      </w:pPr>
    </w:p>
    <w:p w:rsidR="003665F0" w:rsidRDefault="00FC307C">
      <w:pPr>
        <w:pStyle w:val="Ttulo1"/>
      </w:pPr>
      <w:bookmarkStart w:id="1" w:name="_Toc219991081"/>
      <w:r>
        <w:t>A N T E C E D E N T E S</w:t>
      </w:r>
      <w:bookmarkEnd w:id="1"/>
    </w:p>
    <w:p w:rsidR="003665F0" w:rsidRDefault="003665F0">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rsidR="003665F0" w:rsidRDefault="00FC307C">
      <w:pPr>
        <w:pStyle w:val="Ttulo2"/>
      </w:pPr>
      <w:bookmarkStart w:id="2" w:name="_Toc219991082"/>
      <w:r>
        <w:t>I. Presentación de la solicitud de información</w:t>
      </w:r>
      <w:bookmarkEnd w:id="2"/>
    </w:p>
    <w:p w:rsidR="003665F0" w:rsidRDefault="003665F0">
      <w:pPr>
        <w:tabs>
          <w:tab w:val="left" w:pos="567"/>
        </w:tabs>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quince de septiembre de dos mil veinticinco, </w:t>
      </w:r>
      <w:r>
        <w:rPr>
          <w:rFonts w:ascii="Palatino Linotype" w:eastAsia="Palatino Linotype" w:hAnsi="Palatino Linotype" w:cs="Palatino Linotype"/>
          <w:sz w:val="22"/>
          <w:szCs w:val="22"/>
        </w:rPr>
        <w:t>el Particular presentó una solicitud de acceso a la información pública, a través del Sistema de Acceso a la Información Mexiquense (SAIMEX), ante el</w:t>
      </w:r>
      <w:r>
        <w:rPr>
          <w:rFonts w:ascii="Palatino Linotype" w:eastAsia="Palatino Linotype" w:hAnsi="Palatino Linotype" w:cs="Palatino Linotype"/>
          <w:color w:val="000000"/>
          <w:sz w:val="22"/>
          <w:szCs w:val="22"/>
        </w:rPr>
        <w:t xml:space="preserve"> Ayuntamiento de Tepotzotlán</w:t>
      </w:r>
      <w:r>
        <w:rPr>
          <w:rFonts w:ascii="Palatino Linotype" w:eastAsia="Palatino Linotype" w:hAnsi="Palatino Linotype" w:cs="Palatino Linotype"/>
          <w:sz w:val="22"/>
          <w:szCs w:val="22"/>
        </w:rPr>
        <w:t>, en los siguientes términos:</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rsidR="003665F0" w:rsidRDefault="00FC307C">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Solicito las funciones de lo que si pueden realizar los notificador es adscritos al área de desarrollo urbano así como los nombres y cargos de tal personal que hay dentro de la dependencia</w:t>
      </w:r>
      <w:r>
        <w:rPr>
          <w:rFonts w:ascii="Palatino Linotype" w:eastAsia="Palatino Linotype" w:hAnsi="Palatino Linotype" w:cs="Palatino Linotype"/>
          <w:i/>
          <w:iCs/>
        </w:rPr>
        <w:t>” (Sic.)</w:t>
      </w:r>
    </w:p>
    <w:p w:rsidR="003665F0" w:rsidRDefault="003665F0">
      <w:pPr>
        <w:tabs>
          <w:tab w:val="left" w:pos="4667"/>
        </w:tabs>
        <w:spacing w:line="360" w:lineRule="auto"/>
        <w:ind w:left="567" w:right="567"/>
        <w:jc w:val="both"/>
        <w:rPr>
          <w:rFonts w:ascii="Palatino Linotype" w:eastAsia="Palatino Linotype" w:hAnsi="Palatino Linotype" w:cs="Palatino Linotype"/>
          <w:i/>
          <w:iCs/>
        </w:rPr>
      </w:pPr>
    </w:p>
    <w:p w:rsidR="003665F0" w:rsidRDefault="00FC307C">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rsidR="003665F0" w:rsidRDefault="00FC307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A través del SAIMEX” </w:t>
      </w:r>
    </w:p>
    <w:p w:rsidR="003665F0" w:rsidRDefault="003665F0">
      <w:pPr>
        <w:pStyle w:val="Ttulo2"/>
      </w:pPr>
    </w:p>
    <w:p w:rsidR="003665F0" w:rsidRDefault="003665F0"/>
    <w:p w:rsidR="003665F0" w:rsidRDefault="003665F0"/>
    <w:p w:rsidR="003665F0" w:rsidRDefault="003665F0"/>
    <w:p w:rsidR="003665F0" w:rsidRDefault="00FC307C">
      <w:pPr>
        <w:pStyle w:val="Ttulo2"/>
      </w:pPr>
      <w:bookmarkStart w:id="3" w:name="_Toc219991083"/>
      <w:r>
        <w:t>II. Respuesta del Sujeto Obligado</w:t>
      </w:r>
      <w:bookmarkEnd w:id="3"/>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w:t>
      </w:r>
      <w:r w:rsidR="00132F04">
        <w:rPr>
          <w:rFonts w:ascii="Palatino Linotype" w:eastAsia="Palatino Linotype" w:hAnsi="Palatino Linotype" w:cs="Palatino Linotype"/>
          <w:color w:val="000000"/>
          <w:sz w:val="22"/>
          <w:szCs w:val="22"/>
        </w:rPr>
        <w:t xml:space="preserve"> conformidad con el artículo 163</w:t>
      </w:r>
      <w:r>
        <w:rPr>
          <w:rFonts w:ascii="Palatino Linotype" w:eastAsia="Palatino Linotype" w:hAnsi="Palatino Linotype" w:cs="Palatino Linotype"/>
          <w:color w:val="000000"/>
          <w:sz w:val="22"/>
          <w:szCs w:val="22"/>
        </w:rPr>
        <w:t>, párrafo primero de la Ley de Transparencia y Acceso a</w:t>
      </w: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w:t>
      </w:r>
      <w:r>
        <w:rPr>
          <w:rFonts w:ascii="Palatino Linotype" w:eastAsia="Palatino Linotype" w:hAnsi="Palatino Linotype" w:cs="Palatino Linotype"/>
          <w:b/>
          <w:bCs/>
          <w:color w:val="000000"/>
          <w:sz w:val="22"/>
          <w:szCs w:val="22"/>
        </w:rPr>
        <w:t>el Ayuntamiento de Tepotzotlán</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pStyle w:val="Ttulo2"/>
      </w:pPr>
      <w:bookmarkStart w:id="4" w:name="_Toc219991084"/>
      <w:r>
        <w:t>III. Interposición del Recurso de Revisión</w:t>
      </w:r>
      <w:bookmarkEnd w:id="4"/>
    </w:p>
    <w:p w:rsidR="003665F0" w:rsidRDefault="003665F0">
      <w:pPr>
        <w:spacing w:line="360" w:lineRule="auto"/>
        <w:jc w:val="both"/>
        <w:rPr>
          <w:rFonts w:ascii="Palatino Linotype" w:eastAsia="Palatino Linotype" w:hAnsi="Palatino Linotype" w:cs="Palatino Linotype"/>
          <w:b/>
          <w:bCs/>
          <w:color w:val="000000"/>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dieciocho de octubre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rsidR="003665F0" w:rsidRDefault="00FC307C">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Solicito las funciones de lo que si pueden realizar los notificador es adscritos al área de desarrollo urbano así como los nombres y cargos de tal personal que hay dentro de la dependencia” (Sic.)</w:t>
      </w:r>
    </w:p>
    <w:p w:rsidR="003665F0" w:rsidRDefault="003665F0">
      <w:pPr>
        <w:spacing w:line="360" w:lineRule="auto"/>
        <w:ind w:left="567" w:right="567"/>
        <w:jc w:val="both"/>
        <w:rPr>
          <w:rFonts w:ascii="Palatino Linotype" w:eastAsia="Palatino Linotype" w:hAnsi="Palatino Linotype" w:cs="Palatino Linotype"/>
          <w:i/>
          <w:iCs/>
          <w:color w:val="000000"/>
        </w:rPr>
      </w:pPr>
    </w:p>
    <w:p w:rsidR="003665F0" w:rsidRDefault="00FC307C">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3665F0" w:rsidRDefault="00FC307C">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En términos del </w:t>
      </w:r>
      <w:proofErr w:type="spellStart"/>
      <w:r>
        <w:rPr>
          <w:rFonts w:ascii="Palatino Linotype" w:eastAsia="Palatino Linotype" w:hAnsi="Palatino Linotype" w:cs="Palatino Linotype"/>
          <w:i/>
          <w:iCs/>
          <w:color w:val="000000"/>
        </w:rPr>
        <w:t>articulo</w:t>
      </w:r>
      <w:proofErr w:type="spellEnd"/>
      <w:r>
        <w:rPr>
          <w:rFonts w:ascii="Palatino Linotype" w:eastAsia="Palatino Linotype" w:hAnsi="Palatino Linotype" w:cs="Palatino Linotype"/>
          <w:i/>
          <w:iCs/>
          <w:color w:val="000000"/>
        </w:rPr>
        <w:t xml:space="preserve"> 8 constitucional tengo derecho a realizar mi petición así mismo de conformidad al </w:t>
      </w:r>
      <w:proofErr w:type="spellStart"/>
      <w:r>
        <w:rPr>
          <w:rFonts w:ascii="Palatino Linotype" w:eastAsia="Palatino Linotype" w:hAnsi="Palatino Linotype" w:cs="Palatino Linotype"/>
          <w:i/>
          <w:iCs/>
          <w:color w:val="000000"/>
        </w:rPr>
        <w:t>articulo</w:t>
      </w:r>
      <w:proofErr w:type="spellEnd"/>
      <w:r>
        <w:rPr>
          <w:rFonts w:ascii="Palatino Linotype" w:eastAsia="Palatino Linotype" w:hAnsi="Palatino Linotype" w:cs="Palatino Linotype"/>
          <w:i/>
          <w:iCs/>
          <w:color w:val="000000"/>
        </w:rPr>
        <w:t xml:space="preserve"> 4, 11, 15, 92, 111, 112, 150, 151, 152, 160, 162, 176, 177, 178, 179, 180, de la Ley de Transparencia y Acceso a la Información </w:t>
      </w:r>
      <w:proofErr w:type="spellStart"/>
      <w:r>
        <w:rPr>
          <w:rFonts w:ascii="Palatino Linotype" w:eastAsia="Palatino Linotype" w:hAnsi="Palatino Linotype" w:cs="Palatino Linotype"/>
          <w:i/>
          <w:iCs/>
          <w:color w:val="000000"/>
        </w:rPr>
        <w:t>Publica</w:t>
      </w:r>
      <w:proofErr w:type="spellEnd"/>
      <w:r>
        <w:rPr>
          <w:rFonts w:ascii="Palatino Linotype" w:eastAsia="Palatino Linotype" w:hAnsi="Palatino Linotype" w:cs="Palatino Linotype"/>
          <w:i/>
          <w:iCs/>
          <w:color w:val="000000"/>
        </w:rPr>
        <w:t xml:space="preserve"> del Estado de México y Municipios se hace de su conocimiento que transcurrido el plazo para darme una respuesta el ayuntamiento hizo caso omiso y nunca contesto mi solicitud de información </w:t>
      </w:r>
      <w:proofErr w:type="spellStart"/>
      <w:r>
        <w:rPr>
          <w:rFonts w:ascii="Palatino Linotype" w:eastAsia="Palatino Linotype" w:hAnsi="Palatino Linotype" w:cs="Palatino Linotype"/>
          <w:i/>
          <w:iCs/>
          <w:color w:val="000000"/>
        </w:rPr>
        <w:t>publica</w:t>
      </w:r>
      <w:proofErr w:type="spellEnd"/>
      <w:r>
        <w:rPr>
          <w:rFonts w:ascii="Palatino Linotype" w:eastAsia="Palatino Linotype" w:hAnsi="Palatino Linotype" w:cs="Palatino Linotype"/>
          <w:i/>
          <w:iCs/>
          <w:color w:val="000000"/>
        </w:rPr>
        <w:t xml:space="preserve"> por lo que exijo una respuesta ya que se supone deben hacer una revisión exhaustiva para buscar los documentos públicos solicitados” (Sic.)</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pStyle w:val="Ttulo2"/>
      </w:pPr>
      <w:bookmarkStart w:id="5" w:name="_Toc219991085"/>
      <w:r>
        <w:t>IV. Trámite del Recurso de Revisión ante el Instituto</w:t>
      </w:r>
      <w:bookmarkEnd w:id="5"/>
    </w:p>
    <w:p w:rsidR="003665F0" w:rsidRDefault="003665F0">
      <w:pPr>
        <w:spacing w:line="360" w:lineRule="auto"/>
        <w:jc w:val="both"/>
        <w:rPr>
          <w:rFonts w:ascii="Palatino Linotype" w:eastAsia="Palatino Linotype" w:hAnsi="Palatino Linotype" w:cs="Palatino Linotype"/>
          <w:b/>
          <w:bCs/>
          <w:color w:val="000000"/>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dieciocho de octubre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12061/INFOEM/IP/RR/2025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3665F0" w:rsidRDefault="003665F0">
      <w:pPr>
        <w:spacing w:line="360" w:lineRule="auto"/>
        <w:jc w:val="both"/>
        <w:rPr>
          <w:rFonts w:ascii="Palatino Linotype" w:eastAsia="Palatino Linotype" w:hAnsi="Palatino Linotype" w:cs="Palatino Linotype"/>
          <w:b/>
          <w:bCs/>
          <w:color w:val="000000"/>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Admisión del Recurso de Revisión. </w:t>
      </w:r>
      <w:r>
        <w:rPr>
          <w:rFonts w:ascii="Palatino Linotype" w:eastAsia="Palatino Linotype" w:hAnsi="Palatino Linotype" w:cs="Palatino Linotype"/>
          <w:color w:val="000000"/>
          <w:sz w:val="22"/>
          <w:szCs w:val="22"/>
        </w:rPr>
        <w:t>El veintitrés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b/>
          <w:bCs/>
          <w:color w:val="000000"/>
          <w:sz w:val="22"/>
          <w:szCs w:val="22"/>
        </w:rPr>
        <w:lastRenderedPageBreak/>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Informe Justificado y Manifestaciones. </w:t>
      </w:r>
      <w:r>
        <w:rPr>
          <w:rFonts w:ascii="Palatino Linotype" w:eastAsia="Palatino Linotype" w:hAnsi="Palatino Linotype" w:cs="Palatino Linotype"/>
          <w:sz w:val="22"/>
          <w:szCs w:val="22"/>
        </w:rPr>
        <w:t>Las partes fueron omisas en emitir manifestaciones o alegatos.</w:t>
      </w:r>
    </w:p>
    <w:p w:rsidR="003665F0" w:rsidRDefault="003665F0">
      <w:pPr>
        <w:spacing w:line="360" w:lineRule="auto"/>
        <w:jc w:val="both"/>
        <w:rPr>
          <w:rFonts w:ascii="Palatino Linotype" w:eastAsia="Palatino Linotype" w:hAnsi="Palatino Linotype" w:cs="Palatino Linotype"/>
          <w:b/>
          <w:bCs/>
          <w:sz w:val="18"/>
          <w:szCs w:val="18"/>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Cierre de instrucción. </w:t>
      </w:r>
      <w:r>
        <w:rPr>
          <w:rFonts w:ascii="Palatino Linotype" w:eastAsia="Palatino Linotype" w:hAnsi="Palatino Linotype" w:cs="Palatino Linotype"/>
          <w:sz w:val="22"/>
          <w:szCs w:val="22"/>
        </w:rPr>
        <w:t xml:space="preserve">El siete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e) Resolución del Recurso de Revisión 12061/INFOEM/IP/RR/2025. </w:t>
      </w:r>
      <w:r>
        <w:rPr>
          <w:rFonts w:ascii="Palatino Linotype" w:eastAsia="Palatino Linotype" w:hAnsi="Palatino Linotype" w:cs="Palatino Linotype"/>
          <w:sz w:val="22"/>
          <w:szCs w:val="22"/>
        </w:rPr>
        <w:t>El doce de noviembre de dos mil veinticinco, el Pleno del Instituto de Transparencia, Accesos la Información Pública y Protección de Datos Personales del Estado de México y Municipios, durante la Cuadragésima Sesión Ordinaria, aprobó por Unanimidad de votos, la Resolución del Recurso de Revisión, en la cual se determinó lo siguiente:</w:t>
      </w:r>
    </w:p>
    <w:p w:rsidR="003665F0" w:rsidRDefault="003665F0">
      <w:pPr>
        <w:spacing w:line="360" w:lineRule="auto"/>
        <w:jc w:val="both"/>
        <w:rPr>
          <w:rFonts w:ascii="Palatino Linotype" w:eastAsia="Palatino Linotype" w:hAnsi="Palatino Linotype" w:cs="Palatino Linotype"/>
          <w:b/>
          <w:bCs/>
          <w:sz w:val="22"/>
          <w:szCs w:val="22"/>
        </w:rPr>
      </w:pPr>
    </w:p>
    <w:p w:rsidR="003665F0" w:rsidRDefault="00FC307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3665F0" w:rsidRDefault="00FC307C">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PRIMERO. </w:t>
      </w:r>
      <w:r>
        <w:rPr>
          <w:rFonts w:ascii="Palatino Linotype" w:eastAsia="Palatino Linotype" w:hAnsi="Palatino Linotype" w:cs="Palatino Linotype"/>
          <w:i/>
          <w:iCs/>
        </w:rPr>
        <w:t xml:space="preserve">Resultan </w:t>
      </w:r>
      <w:r>
        <w:rPr>
          <w:rFonts w:ascii="Palatino Linotype" w:eastAsia="Palatino Linotype" w:hAnsi="Palatino Linotype" w:cs="Palatino Linotype"/>
          <w:b/>
          <w:bCs/>
          <w:i/>
          <w:iCs/>
        </w:rPr>
        <w:t>FUNDADAS</w:t>
      </w:r>
      <w:r>
        <w:rPr>
          <w:rFonts w:ascii="Palatino Linotype" w:eastAsia="Palatino Linotype" w:hAnsi="Palatino Linotype" w:cs="Palatino Linotype"/>
          <w:i/>
          <w:iCs/>
        </w:rPr>
        <w:t xml:space="preserve"> las razones o motivos de inconformidad hechos valer por el Particular en el Recurso de Revisión </w:t>
      </w:r>
      <w:r>
        <w:rPr>
          <w:rFonts w:ascii="Palatino Linotype" w:eastAsia="Palatino Linotype" w:hAnsi="Palatino Linotype" w:cs="Palatino Linotype"/>
          <w:b/>
          <w:bCs/>
          <w:i/>
          <w:iCs/>
        </w:rPr>
        <w:t>12061/INFOEM/IP/RR/2025</w:t>
      </w:r>
      <w:r>
        <w:rPr>
          <w:rFonts w:ascii="Palatino Linotype" w:eastAsia="Palatino Linotype" w:hAnsi="Palatino Linotype" w:cs="Palatino Linotype"/>
          <w:i/>
          <w:iCs/>
        </w:rPr>
        <w:t>, en términos de los considerandos QUINTO y SEXTO de la presente Resolución.</w:t>
      </w:r>
      <w:r>
        <w:rPr>
          <w:rFonts w:ascii="Palatino Linotype" w:eastAsia="Palatino Linotype" w:hAnsi="Palatino Linotype" w:cs="Palatino Linotype"/>
          <w:b/>
          <w:bCs/>
          <w:i/>
          <w:iCs/>
        </w:rPr>
        <w:t xml:space="preserve"> </w:t>
      </w:r>
    </w:p>
    <w:p w:rsidR="003665F0" w:rsidRDefault="003665F0">
      <w:pPr>
        <w:spacing w:line="360" w:lineRule="auto"/>
        <w:ind w:left="567" w:right="567"/>
        <w:jc w:val="both"/>
        <w:rPr>
          <w:rFonts w:ascii="Palatino Linotype" w:eastAsia="Palatino Linotype" w:hAnsi="Palatino Linotype" w:cs="Palatino Linotype"/>
          <w:b/>
          <w:bCs/>
          <w:i/>
          <w:iCs/>
        </w:rPr>
      </w:pPr>
    </w:p>
    <w:p w:rsidR="003665F0" w:rsidRDefault="00FC307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SEGUNDO. </w:t>
      </w:r>
      <w:r>
        <w:rPr>
          <w:rFonts w:ascii="Palatino Linotype" w:eastAsia="Palatino Linotype" w:hAnsi="Palatino Linotype" w:cs="Palatino Linotype"/>
          <w:i/>
          <w:iCs/>
        </w:rPr>
        <w:t xml:space="preserve">Se </w:t>
      </w:r>
      <w:r>
        <w:rPr>
          <w:rFonts w:ascii="Palatino Linotype" w:eastAsia="Palatino Linotype" w:hAnsi="Palatino Linotype" w:cs="Palatino Linotype"/>
          <w:b/>
          <w:bCs/>
          <w:i/>
          <w:iCs/>
        </w:rPr>
        <w:t>ORDENA</w:t>
      </w:r>
      <w:r>
        <w:rPr>
          <w:rFonts w:ascii="Palatino Linotype" w:eastAsia="Palatino Linotype" w:hAnsi="Palatino Linotype" w:cs="Palatino Linotype"/>
          <w:i/>
          <w:iCs/>
        </w:rPr>
        <w:t xml:space="preserve"> al Sujeto Obligado, a efecto de que dé atención a la solicitud de acceso a la información </w:t>
      </w:r>
      <w:r>
        <w:rPr>
          <w:rFonts w:ascii="Palatino Linotype" w:eastAsia="Palatino Linotype" w:hAnsi="Palatino Linotype" w:cs="Palatino Linotype"/>
          <w:b/>
          <w:bCs/>
          <w:i/>
          <w:iCs/>
        </w:rPr>
        <w:t xml:space="preserve">00545/TEPOTZOT/IP/2025 </w:t>
      </w:r>
      <w:r>
        <w:rPr>
          <w:rFonts w:ascii="Palatino Linotype" w:eastAsia="Palatino Linotype" w:hAnsi="Palatino Linotype" w:cs="Palatino Linotype"/>
          <w:i/>
          <w:iCs/>
        </w:rPr>
        <w:t xml:space="preserve">y, a través del SAIMEX, dé la respuesta que conforme a derecho corresponda  </w:t>
      </w:r>
    </w:p>
    <w:p w:rsidR="003665F0" w:rsidRDefault="00FC307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3665F0" w:rsidRDefault="003665F0">
      <w:pPr>
        <w:spacing w:line="360" w:lineRule="auto"/>
        <w:ind w:left="567" w:right="567"/>
        <w:jc w:val="both"/>
        <w:rPr>
          <w:rFonts w:ascii="Palatino Linotype" w:eastAsia="Palatino Linotype" w:hAnsi="Palatino Linotype" w:cs="Palatino Linotype"/>
          <w:i/>
          <w:iCs/>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f) Notificación de la Resolución del Recurso de Revisión 12061/INFOEM/IP/RR/2025. </w:t>
      </w:r>
      <w:r>
        <w:rPr>
          <w:rFonts w:ascii="Palatino Linotype" w:eastAsia="Palatino Linotype" w:hAnsi="Palatino Linotype" w:cs="Palatino Linotype"/>
          <w:sz w:val="22"/>
          <w:szCs w:val="22"/>
        </w:rPr>
        <w:t>El dieciocho de noviembre de dos mil veinticinco, se notificó por medio del SAIMEX, a las partes, la resolución del Medio de Impugnación previamente referido.</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pStyle w:val="Ttulo2"/>
        <w:jc w:val="both"/>
      </w:pPr>
      <w:bookmarkStart w:id="6" w:name="_Toc219991086"/>
      <w:r>
        <w:t>V. Entrega de la información en cumplimiento a la Resolución del Recurso de Revisión 012061/INFOEM/IP/RR/2025.</w:t>
      </w:r>
      <w:bookmarkEnd w:id="6"/>
    </w:p>
    <w:p w:rsidR="003665F0" w:rsidRDefault="003665F0"/>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dos de diciembre de dos mil veinticinco, el Sujeto Obligado notificó a través del Sistema de Acceso a la Información Mexiquense (SAIMEX), la respuesta a la solicitud de información, para dar cumplimiento a la determinación del Recurso de Revisión 01206/INFOEM/IP/RR/2025, a través del siguiente documento:</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JRH*567*2025, del veintinueve de septiembre de dos mil veinticinco, suscrito por la Jefa de Recursos Humanos, y dirigida al Titular de la Unidad de Transparencia, por medio del cual adjunta un listado de personas adscritas a la Dirección de Desarrollo Urbano y Metropolitano.</w:t>
      </w:r>
    </w:p>
    <w:p w:rsidR="003665F0" w:rsidRDefault="003665F0">
      <w:pPr>
        <w:spacing w:line="360" w:lineRule="auto"/>
        <w:jc w:val="both"/>
        <w:rPr>
          <w:rFonts w:ascii="Palatino Linotype" w:eastAsia="Palatino Linotype" w:hAnsi="Palatino Linotype" w:cs="Palatino Linotype"/>
          <w:b/>
          <w:bCs/>
          <w:color w:val="000000"/>
          <w:sz w:val="22"/>
          <w:szCs w:val="22"/>
        </w:rPr>
      </w:pPr>
    </w:p>
    <w:p w:rsidR="003665F0" w:rsidRDefault="00FC307C">
      <w:pPr>
        <w:pStyle w:val="Ttulo2"/>
      </w:pPr>
      <w:bookmarkStart w:id="7" w:name="_Toc219991087"/>
      <w:r>
        <w:t>VI. Interposición del Recurso de Revisión 01206/INFOEM/ICR-150/IP/RR/2025</w:t>
      </w:r>
      <w:bookmarkEnd w:id="7"/>
    </w:p>
    <w:p w:rsidR="003665F0" w:rsidRDefault="003665F0"/>
    <w:p w:rsidR="003665F0" w:rsidRDefault="00FC307C">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cuatro de diciembre de dos mil veinticinco, se recibió en este Instituto, a través del Sistema de Acceso a la Información Mexiquense (SAIMEX), el Recurso de Revisión interpuesto por la parte Recurrente, en contra de la respuesta del Sujeto Obligado, en cumplimiento a la Resolución referida en el Antecedente VI, en los siguientes términos:</w:t>
      </w:r>
    </w:p>
    <w:p w:rsidR="003665F0" w:rsidRDefault="003665F0">
      <w:pPr>
        <w:widowControl w:val="0"/>
        <w:spacing w:line="360" w:lineRule="auto"/>
        <w:jc w:val="both"/>
        <w:rPr>
          <w:rFonts w:ascii="Palatino Linotype" w:eastAsia="Palatino Linotype" w:hAnsi="Palatino Linotype" w:cs="Palatino Linotype"/>
          <w:color w:val="FF0000"/>
          <w:sz w:val="22"/>
          <w:szCs w:val="22"/>
        </w:rPr>
      </w:pPr>
    </w:p>
    <w:p w:rsidR="003665F0" w:rsidRDefault="00FC307C">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“ACTO IMPUGNADO</w:t>
      </w:r>
    </w:p>
    <w:p w:rsidR="003665F0" w:rsidRDefault="00FC307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Solicito las funciones de lo que si pueden realizar </w:t>
      </w:r>
      <w:proofErr w:type="gramStart"/>
      <w:r>
        <w:rPr>
          <w:rFonts w:ascii="Palatino Linotype" w:eastAsia="Palatino Linotype" w:hAnsi="Palatino Linotype" w:cs="Palatino Linotype"/>
          <w:i/>
          <w:iCs/>
        </w:rPr>
        <w:t>los</w:t>
      </w:r>
      <w:proofErr w:type="gramEnd"/>
      <w:r>
        <w:rPr>
          <w:rFonts w:ascii="Palatino Linotype" w:eastAsia="Palatino Linotype" w:hAnsi="Palatino Linotype" w:cs="Palatino Linotype"/>
          <w:i/>
          <w:iCs/>
        </w:rPr>
        <w:t xml:space="preserve"> notificador es adscritos al área de desarrollo urbano así como los nombres y cargos de tal personal que hay dentro de la dependencia. “(Sic)</w:t>
      </w:r>
    </w:p>
    <w:p w:rsidR="003665F0" w:rsidRDefault="003665F0">
      <w:pPr>
        <w:spacing w:line="360" w:lineRule="auto"/>
        <w:ind w:left="567" w:right="567"/>
        <w:jc w:val="both"/>
        <w:rPr>
          <w:rFonts w:ascii="Palatino Linotype" w:eastAsia="Palatino Linotype" w:hAnsi="Palatino Linotype" w:cs="Palatino Linotype"/>
          <w:i/>
          <w:iCs/>
        </w:rPr>
      </w:pPr>
    </w:p>
    <w:p w:rsidR="003665F0" w:rsidRDefault="00FC307C">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3665F0" w:rsidRDefault="00FC307C">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La autoridad únicamente entregó un listado de nombres y cargos, pero omitió proporcionar las funciones, atribuciones, actividades o responsabilidades del puesto de notificador/inspector/verificador/ejecutor, pese a que esa información forma parte del manual de organización, perfiles de puesto y manuales de procedimientos, los cuales constituyen información pública de oficio, conforme a la Ley de Transparencia y Acceso a la Información Pública del Estado de México y Municipios. El sujeto obligado se limitó a señalar que proporciona la información “en el estado en que se encuentra”, sin embargo, no entregó ningún documento donde consten las funciones solicitadas, ni manuales, perfiles de puesto, descripciones de actividades, atribuciones o procedimientos relacionados. Por lo anterior, la respuesta no atiende el objeto de mi solicitud, por lo que solicito respetuosamente que el INFOEM: 1. Declare fundada mi inconformidad. 2. Revoque la respuesta del sujeto obligado. 3. Ordene entregar las funciones, atribuciones, actividades y responsabilidades del puesto de notificador/inspector/verificador/ejecutor adscrito a la Dirección de Desarrollo Urbano y Metropolitano, ya sea mediante: Manual de organización. Manual de procedimientos. Descripción de puestos. Perfiles de puesto. O cualquier documento oficial donde consten dichas funciones. Lo anterior en virtud de que la omisión afecta mi derecho de acceso a la información pública y contraviene el Artículo 12 de la Ley de Transparencia, que obliga al sujeto obligado a administrar, conservar y entregar información pública existente en sus archivos. Por lo expuesto, solicito se admita el presente recurso y se actúe conforme a derecho. “(Sic)</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pStyle w:val="Ttulo2"/>
        <w:jc w:val="both"/>
      </w:pPr>
      <w:bookmarkStart w:id="8" w:name="_Toc219991088"/>
      <w:r>
        <w:t>VIII. Trámite del Recurso de Revisión número 12061/INFOEM/ICR-150/IP/RR/2025</w:t>
      </w:r>
      <w:bookmarkEnd w:id="8"/>
    </w:p>
    <w:p w:rsidR="003665F0" w:rsidRDefault="003665F0">
      <w:pPr>
        <w:spacing w:line="360" w:lineRule="auto"/>
        <w:jc w:val="both"/>
        <w:rPr>
          <w:rFonts w:ascii="Palatino Linotype" w:eastAsia="Palatino Linotype" w:hAnsi="Palatino Linotype" w:cs="Palatino Linotype"/>
          <w:b/>
          <w:bCs/>
          <w:color w:val="FF0000"/>
          <w:sz w:val="22"/>
          <w:szCs w:val="22"/>
        </w:rPr>
      </w:pPr>
    </w:p>
    <w:p w:rsidR="003665F0" w:rsidRDefault="00FC307C">
      <w:pPr>
        <w:tabs>
          <w:tab w:val="center" w:pos="4560"/>
          <w:tab w:val="left" w:pos="8207"/>
        </w:tabs>
        <w:spacing w:line="360" w:lineRule="auto"/>
        <w:jc w:val="both"/>
        <w:rPr>
          <w:rFonts w:ascii="Palatino Linotype" w:eastAsia="Palatino Linotype" w:hAnsi="Palatino Linotype" w:cs="Palatino Linotype"/>
          <w:sz w:val="22"/>
          <w:szCs w:val="22"/>
        </w:rPr>
      </w:pPr>
      <w:bookmarkStart w:id="9" w:name="_heading=h.bones192pi7n" w:colFirst="0" w:colLast="0"/>
      <w:bookmarkEnd w:id="9"/>
      <w:r>
        <w:rPr>
          <w:rFonts w:ascii="Palatino Linotype" w:eastAsia="Palatino Linotype" w:hAnsi="Palatino Linotype" w:cs="Palatino Linotype"/>
          <w:b/>
          <w:bCs/>
          <w:sz w:val="22"/>
          <w:szCs w:val="22"/>
        </w:rPr>
        <w:t>a) Turno de los Recursos de Revisión.</w:t>
      </w:r>
      <w:r>
        <w:rPr>
          <w:rFonts w:ascii="Palatino Linotype" w:eastAsia="Palatino Linotype" w:hAnsi="Palatino Linotype" w:cs="Palatino Linotype"/>
          <w:sz w:val="22"/>
          <w:szCs w:val="22"/>
        </w:rPr>
        <w:t xml:space="preserve"> El cuatro de diciembre de dos mil veinticinco, el Sistema de Acceso a la Información Mexiquense (SAIMEX), asignó el número de expediente </w:t>
      </w:r>
      <w:r>
        <w:rPr>
          <w:rFonts w:ascii="Palatino Linotype" w:eastAsia="Palatino Linotype" w:hAnsi="Palatino Linotype" w:cs="Palatino Linotype"/>
          <w:b/>
          <w:bCs/>
          <w:sz w:val="22"/>
          <w:szCs w:val="22"/>
        </w:rPr>
        <w:t>12061/INFOEM/ICR-150/IP/RR/2025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los turnó al </w:t>
      </w:r>
      <w:r>
        <w:rPr>
          <w:rFonts w:ascii="Palatino Linotype" w:eastAsia="Palatino Linotype" w:hAnsi="Palatino Linotype" w:cs="Palatino Linotype"/>
          <w:b/>
          <w:bCs/>
          <w:sz w:val="22"/>
          <w:szCs w:val="22"/>
        </w:rPr>
        <w:t xml:space="preserve">Comisionado </w:t>
      </w:r>
      <w:r>
        <w:rPr>
          <w:rFonts w:ascii="Palatino Linotype" w:eastAsia="Palatino Linotype" w:hAnsi="Palatino Linotype" w:cs="Palatino Linotype"/>
          <w:b/>
          <w:bCs/>
          <w:sz w:val="22"/>
          <w:szCs w:val="22"/>
        </w:rPr>
        <w:lastRenderedPageBreak/>
        <w:t>Ponente 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3665F0" w:rsidRDefault="003665F0">
      <w:pPr>
        <w:spacing w:line="360" w:lineRule="auto"/>
        <w:jc w:val="both"/>
        <w:rPr>
          <w:rFonts w:ascii="Palatino Linotype" w:eastAsia="Palatino Linotype" w:hAnsi="Palatino Linotype" w:cs="Palatino Linotype"/>
          <w:color w:val="FF0000"/>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diez de enero de dos mil veintiséis, se acordó la admisión del Recurso de Revisión número </w:t>
      </w:r>
      <w:r>
        <w:rPr>
          <w:rFonts w:ascii="Palatino Linotype" w:eastAsia="Palatino Linotype" w:hAnsi="Palatino Linotype" w:cs="Palatino Linotype"/>
          <w:b/>
          <w:bCs/>
          <w:sz w:val="22"/>
          <w:szCs w:val="22"/>
        </w:rPr>
        <w:t>12061/INFOEM/ICR-150/IP/RR/2025</w:t>
      </w:r>
      <w:r>
        <w:rPr>
          <w:rFonts w:ascii="Palatino Linotype" w:eastAsia="Palatino Linotype" w:hAnsi="Palatino Linotype" w:cs="Palatino Linotype"/>
          <w:sz w:val="22"/>
          <w:szCs w:val="22"/>
        </w:rPr>
        <w:t>, 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Pr>
          <w:rFonts w:ascii="Palatino Linotype" w:eastAsia="Palatino Linotype" w:hAnsi="Palatino Linotype" w:cs="Palatino Linotype"/>
          <w:b/>
          <w:bCs/>
          <w:sz w:val="22"/>
          <w:szCs w:val="22"/>
        </w:rPr>
        <w:t xml:space="preserve"> </w:t>
      </w:r>
    </w:p>
    <w:p w:rsidR="003665F0" w:rsidRDefault="003665F0">
      <w:pPr>
        <w:spacing w:line="360" w:lineRule="auto"/>
        <w:jc w:val="both"/>
        <w:rPr>
          <w:rFonts w:ascii="Palatino Linotype" w:eastAsia="Palatino Linotype" w:hAnsi="Palatino Linotype" w:cs="Palatino Linotype"/>
          <w:color w:val="FF0000"/>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o manifestaciones. </w:t>
      </w:r>
      <w:r>
        <w:rPr>
          <w:rFonts w:ascii="Palatino Linotype" w:eastAsia="Palatino Linotype" w:hAnsi="Palatino Linotype" w:cs="Palatino Linotype"/>
          <w:sz w:val="22"/>
          <w:szCs w:val="22"/>
        </w:rPr>
        <w:t>Las partes fueron omisas en emitir manifestaciones o alegatos.</w:t>
      </w:r>
    </w:p>
    <w:p w:rsidR="003665F0" w:rsidRDefault="003665F0">
      <w:pPr>
        <w:spacing w:line="360" w:lineRule="auto"/>
        <w:jc w:val="both"/>
        <w:rPr>
          <w:rFonts w:ascii="Palatino Linotype" w:eastAsia="Palatino Linotype" w:hAnsi="Palatino Linotype" w:cs="Palatino Linotype"/>
          <w:b/>
          <w:bCs/>
          <w:color w:val="FF0000"/>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d) Cierre de instrucción.</w:t>
      </w:r>
      <w:r>
        <w:rPr>
          <w:rFonts w:ascii="Palatino Linotype" w:eastAsia="Palatino Linotype" w:hAnsi="Palatino Linotype" w:cs="Palatino Linotype"/>
          <w:sz w:val="22"/>
          <w:szCs w:val="22"/>
        </w:rPr>
        <w:t xml:space="preserve"> El quince de enero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w:t>
      </w:r>
    </w:p>
    <w:p w:rsidR="003665F0" w:rsidRDefault="003665F0">
      <w:pPr>
        <w:spacing w:line="360" w:lineRule="auto"/>
        <w:jc w:val="both"/>
        <w:rPr>
          <w:rFonts w:ascii="Palatino Linotype" w:eastAsia="Palatino Linotype" w:hAnsi="Palatino Linotype" w:cs="Palatino Linotype"/>
          <w:b/>
          <w:bCs/>
          <w:sz w:val="18"/>
          <w:szCs w:val="18"/>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rsidR="003665F0" w:rsidRDefault="003665F0">
      <w:pPr>
        <w:tabs>
          <w:tab w:val="left" w:pos="3218"/>
        </w:tabs>
        <w:spacing w:line="360" w:lineRule="auto"/>
        <w:jc w:val="both"/>
        <w:rPr>
          <w:rFonts w:ascii="Palatino Linotype" w:eastAsia="Palatino Linotype" w:hAnsi="Palatino Linotype" w:cs="Palatino Linotype"/>
          <w:color w:val="000000"/>
          <w:sz w:val="22"/>
          <w:szCs w:val="22"/>
        </w:rPr>
      </w:pPr>
    </w:p>
    <w:p w:rsidR="003665F0" w:rsidRDefault="00FC307C">
      <w:pPr>
        <w:pStyle w:val="Ttulo1"/>
      </w:pPr>
      <w:bookmarkStart w:id="10" w:name="_Toc219991089"/>
      <w:r>
        <w:lastRenderedPageBreak/>
        <w:t>C O N S I D E R A N D O S</w:t>
      </w:r>
      <w:bookmarkEnd w:id="10"/>
    </w:p>
    <w:p w:rsidR="003665F0" w:rsidRDefault="003665F0">
      <w:pPr>
        <w:spacing w:line="360" w:lineRule="auto"/>
        <w:jc w:val="both"/>
        <w:rPr>
          <w:rFonts w:ascii="Palatino Linotype" w:eastAsia="Palatino Linotype" w:hAnsi="Palatino Linotype" w:cs="Palatino Linotype"/>
          <w:b/>
          <w:bCs/>
          <w:sz w:val="22"/>
          <w:szCs w:val="22"/>
        </w:rPr>
      </w:pPr>
    </w:p>
    <w:p w:rsidR="003665F0" w:rsidRDefault="00FC307C">
      <w:pPr>
        <w:pStyle w:val="Ttulo2"/>
      </w:pPr>
      <w:bookmarkStart w:id="11" w:name="_Toc219991090"/>
      <w:r>
        <w:t>PRIMERO. Competencia</w:t>
      </w:r>
      <w:bookmarkEnd w:id="11"/>
    </w:p>
    <w:p w:rsidR="003665F0" w:rsidRDefault="003665F0">
      <w:pPr>
        <w:spacing w:line="360" w:lineRule="auto"/>
        <w:jc w:val="both"/>
        <w:rPr>
          <w:rFonts w:ascii="Palatino Linotype" w:eastAsia="Palatino Linotype" w:hAnsi="Palatino Linotype" w:cs="Palatino Linotype"/>
          <w:b/>
          <w:bCs/>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pStyle w:val="Ttulo2"/>
      </w:pPr>
      <w:bookmarkStart w:id="12" w:name="_Toc219991091"/>
      <w:r>
        <w:t>SEGUNDO. Causales de improcedencia y Sobreseimiento</w:t>
      </w:r>
      <w:bookmarkEnd w:id="12"/>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estudio preferente (acorde con el Criterio orientador en la Tesis </w:t>
      </w:r>
      <w:r>
        <w:rPr>
          <w:rFonts w:ascii="Palatino Linotype" w:eastAsia="Palatino Linotype" w:hAnsi="Palatino Linotype" w:cs="Palatino Linotype"/>
          <w:sz w:val="22"/>
          <w:szCs w:val="22"/>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el último párrafo, de dicho artículo, establece que procede un Medio de Impugnación, en contra de las respuestas otorgadas por los sujetos obligados, en cumplimiento a una resolución de otro diverso, en el cual, la controversia recaiga, en la falta de respuesta a una solicitud de información.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cabe referir que en el expediente con número de folio 12061/INFOEM/IP/RR/2025, se dictó Resolución, en la cual se determinó como causal de procedencia, la fracción VII, del artículo 179 de la Ley de Transparencia y Acceso a la Información Pública del Estado de México y Municipios, es decir, de la falta de respuesta; además, se concluyó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Ayuntamiento de Tepotzotlán, a emitir respuesta a la solicitud de información con número 00545/TEPOTZOT/IP/2025, materia del presente Recurso de Revisión.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mediante el Sistema de Acceso a la Información Mexiquense (SAIMEX), el Sujeto Obligado emitió respuesta al requerimiento de información previamente referido, en cumplimiento a la Resolución del Recurso de Revisión con número 12061/INFOEM/IP/RR/2025, en donde solamente entrego un listado del personal adscrito a la Dirección de Desarrollo Urbano.</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el ahora Recurrente se inconformó de dicha respuesta, al agraviarse de la entrega de información incompleta, por lo cual, se concluye que actualiza el último párrafo del artículo 179 de la Ley de Transparencia y Acceso a la Información Pública del Estado de México y Municipios, toda vez que la controversia en el Recurso de Revisión 12061/INFOEM/IP/RR/2025, se fijó en la falta de respuesta al requerimiento informativo. Así, ante la contestación que recayó, derivada de dicha determinación, procede el presente Medio de Impugnación.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caso concreto, resulta aplicable el supuesto previsto en la fracción V de dicho artículo, dado que el Particular, se inconformó de la entrega de información incompleta; por lo que resulta procedente el presente Medio de Impugnación.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rsidR="003665F0" w:rsidRDefault="003665F0">
      <w:pPr>
        <w:spacing w:line="360" w:lineRule="auto"/>
        <w:jc w:val="both"/>
        <w:rPr>
          <w:rFonts w:ascii="Palatino Linotype" w:eastAsia="Palatino Linotype" w:hAnsi="Palatino Linotype" w:cs="Palatino Linotype"/>
          <w:color w:val="0D0D0D"/>
          <w:sz w:val="22"/>
          <w:szCs w:val="22"/>
        </w:rPr>
      </w:pPr>
    </w:p>
    <w:p w:rsidR="003665F0" w:rsidRDefault="00FC307C">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rsidR="003665F0" w:rsidRDefault="003665F0">
      <w:pPr>
        <w:spacing w:line="360" w:lineRule="auto"/>
        <w:jc w:val="both"/>
        <w:rPr>
          <w:rFonts w:ascii="Palatino Linotype" w:eastAsia="Palatino Linotype" w:hAnsi="Palatino Linotype" w:cs="Palatino Linotype"/>
          <w:color w:val="0D0D0D"/>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w:t>
      </w:r>
      <w:r>
        <w:rPr>
          <w:rFonts w:ascii="Palatino Linotype" w:eastAsia="Palatino Linotype" w:hAnsi="Palatino Linotype" w:cs="Palatino Linotype"/>
          <w:sz w:val="22"/>
          <w:szCs w:val="22"/>
        </w:rPr>
        <w:lastRenderedPageBreak/>
        <w:t>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rsidR="003665F0" w:rsidRDefault="003665F0">
      <w:pPr>
        <w:spacing w:line="360" w:lineRule="auto"/>
        <w:jc w:val="both"/>
        <w:rPr>
          <w:rFonts w:ascii="Palatino Linotype" w:eastAsia="Palatino Linotype" w:hAnsi="Palatino Linotype" w:cs="Palatino Linotype"/>
          <w:color w:val="0D0D0D"/>
          <w:sz w:val="22"/>
          <w:szCs w:val="22"/>
        </w:rPr>
      </w:pPr>
    </w:p>
    <w:p w:rsidR="003665F0" w:rsidRDefault="00FC307C">
      <w:pPr>
        <w:pStyle w:val="Ttulo2"/>
      </w:pPr>
      <w:bookmarkStart w:id="13" w:name="_Toc219991092"/>
      <w:r>
        <w:t>TERCERO. Determinación de la Controversia</w:t>
      </w:r>
      <w:bookmarkEnd w:id="13"/>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el nombre, cargo y funciones de los notificadores adscritos al área de Desarrollo Urbano del Ayuntamiento de Tepotzotlán.</w:t>
      </w:r>
    </w:p>
    <w:p w:rsidR="003665F0" w:rsidRDefault="003665F0">
      <w:pPr>
        <w:tabs>
          <w:tab w:val="left" w:pos="4962"/>
        </w:tabs>
        <w:spacing w:line="360" w:lineRule="auto"/>
        <w:jc w:val="both"/>
        <w:rPr>
          <w:rFonts w:ascii="Palatino Linotype" w:eastAsia="Palatino Linotype" w:hAnsi="Palatino Linotype" w:cs="Palatino Linotype"/>
          <w:color w:val="000000"/>
          <w:sz w:val="22"/>
          <w:szCs w:val="22"/>
        </w:rPr>
      </w:pPr>
    </w:p>
    <w:p w:rsidR="003665F0" w:rsidRDefault="00FC307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rsidR="003665F0" w:rsidRDefault="003665F0">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3665F0" w:rsidRDefault="00FC307C">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Mediante la Resolución del Recurso de Revisión 12061/INFOEM/IP/RR/2025, el Pleno de este Instituto, determinó como </w:t>
      </w:r>
      <w:r>
        <w:rPr>
          <w:rFonts w:ascii="Palatino Linotype" w:eastAsia="Palatino Linotype" w:hAnsi="Palatino Linotype" w:cs="Palatino Linotype"/>
          <w:b/>
          <w:bCs/>
          <w:color w:val="000000"/>
          <w:sz w:val="22"/>
          <w:szCs w:val="22"/>
        </w:rPr>
        <w:t>FUNDADO</w:t>
      </w:r>
      <w:r>
        <w:rPr>
          <w:rFonts w:ascii="Palatino Linotype" w:eastAsia="Palatino Linotype" w:hAnsi="Palatino Linotype" w:cs="Palatino Linotype"/>
          <w:color w:val="000000"/>
          <w:sz w:val="22"/>
          <w:szCs w:val="22"/>
        </w:rPr>
        <w:t xml:space="preserve"> el agravio del Particular y se estableció procedente </w:t>
      </w:r>
      <w:r>
        <w:rPr>
          <w:rFonts w:ascii="Palatino Linotype" w:eastAsia="Palatino Linotype" w:hAnsi="Palatino Linotype" w:cs="Palatino Linotype"/>
          <w:b/>
          <w:bCs/>
          <w:color w:val="000000"/>
          <w:sz w:val="22"/>
          <w:szCs w:val="22"/>
        </w:rPr>
        <w:t>ORDENAR</w:t>
      </w:r>
      <w:r>
        <w:rPr>
          <w:rFonts w:ascii="Palatino Linotype" w:eastAsia="Palatino Linotype" w:hAnsi="Palatino Linotype" w:cs="Palatino Linotype"/>
          <w:color w:val="000000"/>
          <w:sz w:val="22"/>
          <w:szCs w:val="22"/>
        </w:rPr>
        <w:t xml:space="preserve"> al Ayuntamiento de Tepotzotlán, a efecto de que proporcionara la documentación requerida.</w:t>
      </w:r>
    </w:p>
    <w:p w:rsidR="003665F0" w:rsidRDefault="003665F0">
      <w:pPr>
        <w:tabs>
          <w:tab w:val="left" w:pos="4962"/>
        </w:tabs>
        <w:spacing w:line="360" w:lineRule="auto"/>
        <w:jc w:val="both"/>
        <w:rPr>
          <w:rFonts w:ascii="Palatino Linotype" w:eastAsia="Palatino Linotype" w:hAnsi="Palatino Linotype" w:cs="Palatino Linotype"/>
          <w:color w:val="000000"/>
          <w:sz w:val="22"/>
          <w:szCs w:val="22"/>
        </w:rPr>
      </w:pPr>
    </w:p>
    <w:p w:rsidR="003665F0" w:rsidRDefault="00FC307C">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cumplimiento a la determinación previamente señalada, el Sujeto Obligado proporcionó un listado de todas las personas adscritas a la Dirección de Desarrollo Urbano y Metropolitano; ante dicha circunstancia el particular se inconformó de la entrega de información incompleta, al referir que solo remitieron el listado del personal, omitiendo las funciones del personal notificador, lo cual se actualiza el supuesto previsto en el artículo 179, fracción V, de la Ley de Transparencia y Acceso a la Información Pública del Estado de México y Municipios. Así las cosas, una vez admitido y notificado el Recurso de Revisión a las partes, </w:t>
      </w:r>
      <w:r>
        <w:rPr>
          <w:rFonts w:ascii="Palatino Linotype" w:eastAsia="Palatino Linotype" w:hAnsi="Palatino Linotype" w:cs="Palatino Linotype"/>
          <w:sz w:val="22"/>
          <w:szCs w:val="22"/>
        </w:rPr>
        <w:t>estas fueron omisas en realizar manifestaciones o alegatos.</w:t>
      </w:r>
    </w:p>
    <w:p w:rsidR="003665F0" w:rsidRDefault="003665F0">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3665F0" w:rsidRDefault="00FC307C">
      <w:pPr>
        <w:shd w:val="clear" w:color="auto" w:fill="FFFFFF"/>
        <w:spacing w:line="360" w:lineRule="auto"/>
        <w:jc w:val="both"/>
        <w:rPr>
          <w:color w:val="222222"/>
          <w:sz w:val="22"/>
          <w:szCs w:val="22"/>
        </w:rPr>
      </w:pPr>
      <w:r>
        <w:rPr>
          <w:rFonts w:ascii="Palatino Linotype" w:eastAsia="Palatino Linotype" w:hAnsi="Palatino Linotype" w:cs="Palatino Linotype"/>
          <w:color w:val="222222"/>
          <w:sz w:val="22"/>
          <w:szCs w:val="22"/>
        </w:rPr>
        <w:t>Conforme a lo analizado, se puede advertir que el ahora Recurrente no se inconformó de lo solicitado en relación con </w:t>
      </w:r>
      <w:r>
        <w:rPr>
          <w:rFonts w:ascii="Palatino Linotype" w:eastAsia="Palatino Linotype" w:hAnsi="Palatino Linotype" w:cs="Palatino Linotype"/>
          <w:b/>
          <w:bCs/>
          <w:color w:val="222222"/>
          <w:sz w:val="22"/>
          <w:szCs w:val="22"/>
        </w:rPr>
        <w:t>los nombres y cargos del personal adscrito a la Dirección de Desarrollo Urbano</w:t>
      </w:r>
      <w:r>
        <w:rPr>
          <w:rFonts w:ascii="Palatino Linotype" w:eastAsia="Palatino Linotype" w:hAnsi="Palatino Linotype" w:cs="Palatino Linotype"/>
          <w:color w:val="222222"/>
          <w:sz w:val="22"/>
          <w:szCs w:val="22"/>
        </w:rPr>
        <w:t> por lo que no se hará pronunciamiento alguno de la información previamente referida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rsidR="003665F0" w:rsidRDefault="00FC307C">
      <w:pPr>
        <w:shd w:val="clear" w:color="auto" w:fill="FFFFFF"/>
        <w:spacing w:line="360" w:lineRule="auto"/>
        <w:jc w:val="both"/>
        <w:rPr>
          <w:color w:val="222222"/>
        </w:rPr>
      </w:pPr>
      <w:r>
        <w:rPr>
          <w:rFonts w:ascii="Palatino Linotype" w:eastAsia="Palatino Linotype" w:hAnsi="Palatino Linotype" w:cs="Palatino Linotype"/>
          <w:color w:val="222222"/>
        </w:rPr>
        <w:t> </w:t>
      </w:r>
    </w:p>
    <w:p w:rsidR="003665F0" w:rsidRDefault="00FC307C">
      <w:pPr>
        <w:shd w:val="clear" w:color="auto" w:fill="FFFFFF"/>
        <w:spacing w:line="360" w:lineRule="auto"/>
        <w:jc w:val="both"/>
        <w:rPr>
          <w:color w:val="222222"/>
          <w:sz w:val="22"/>
          <w:szCs w:val="22"/>
        </w:rPr>
      </w:pPr>
      <w:r>
        <w:rPr>
          <w:rFonts w:ascii="Palatino Linotype" w:eastAsia="Palatino Linotype" w:hAnsi="Palatino Linotype" w:cs="Palatino Linotype"/>
          <w:color w:val="222222"/>
          <w:sz w:val="22"/>
          <w:szCs w:val="22"/>
        </w:rPr>
        <w:t>De la misma manera resulta aplicable el criterio sostenido por el Poder Judicial de la Federación de rubro </w:t>
      </w:r>
      <w:r>
        <w:rPr>
          <w:rFonts w:ascii="Palatino Linotype" w:eastAsia="Palatino Linotype" w:hAnsi="Palatino Linotype" w:cs="Palatino Linotype"/>
          <w:b/>
          <w:bCs/>
          <w:color w:val="222222"/>
          <w:sz w:val="22"/>
          <w:szCs w:val="22"/>
        </w:rPr>
        <w:t>ACTOS CONSENTIDOS TÁCITAMENTE</w:t>
      </w:r>
      <w:r>
        <w:rPr>
          <w:rFonts w:ascii="Palatino Linotype" w:eastAsia="Palatino Linotype" w:hAnsi="Palatino Linotype" w:cs="Palatino Linotype"/>
          <w:color w:val="222222"/>
          <w:sz w:val="22"/>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3665F0" w:rsidRDefault="00FC307C">
      <w:pPr>
        <w:shd w:val="clear" w:color="auto" w:fill="FFFFFF"/>
        <w:spacing w:line="360" w:lineRule="auto"/>
        <w:jc w:val="both"/>
        <w:rPr>
          <w:color w:val="222222"/>
          <w:sz w:val="22"/>
          <w:szCs w:val="22"/>
        </w:rPr>
      </w:pPr>
      <w:r>
        <w:rPr>
          <w:rFonts w:ascii="Palatino Linotype" w:eastAsia="Palatino Linotype" w:hAnsi="Palatino Linotype" w:cs="Palatino Linotype"/>
          <w:color w:val="222222"/>
          <w:sz w:val="22"/>
          <w:szCs w:val="22"/>
        </w:rPr>
        <w:t> </w:t>
      </w:r>
    </w:p>
    <w:p w:rsidR="003665F0" w:rsidRDefault="00FC307C">
      <w:pPr>
        <w:shd w:val="clear" w:color="auto" w:fill="FFFFFF"/>
        <w:spacing w:line="360" w:lineRule="auto"/>
        <w:jc w:val="both"/>
        <w:rPr>
          <w:color w:val="222222"/>
          <w:sz w:val="22"/>
          <w:szCs w:val="22"/>
        </w:rPr>
      </w:pPr>
      <w:r>
        <w:rPr>
          <w:rFonts w:ascii="Palatino Linotype" w:eastAsia="Palatino Linotype" w:hAnsi="Palatino Linotype" w:cs="Palatino Linotype"/>
          <w:color w:val="222222"/>
          <w:sz w:val="22"/>
          <w:szCs w:val="22"/>
        </w:rPr>
        <w:lastRenderedPageBreak/>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w:t>
      </w:r>
      <w:r>
        <w:rPr>
          <w:rFonts w:ascii="Palatino Linotype" w:eastAsia="Palatino Linotype" w:hAnsi="Palatino Linotype" w:cs="Palatino Linotype"/>
          <w:b/>
          <w:bCs/>
          <w:color w:val="222222"/>
          <w:sz w:val="22"/>
          <w:szCs w:val="22"/>
        </w:rPr>
        <w:t>quedaron firmes.</w:t>
      </w:r>
    </w:p>
    <w:p w:rsidR="003665F0" w:rsidRDefault="00FC307C">
      <w:pPr>
        <w:shd w:val="clear" w:color="auto" w:fill="FFFFFF"/>
        <w:spacing w:line="360" w:lineRule="auto"/>
        <w:jc w:val="both"/>
        <w:rPr>
          <w:color w:val="222222"/>
        </w:rPr>
      </w:pPr>
      <w:r>
        <w:rPr>
          <w:rFonts w:ascii="Palatino Linotype" w:eastAsia="Palatino Linotype" w:hAnsi="Palatino Linotype" w:cs="Palatino Linotype"/>
          <w:color w:val="222222"/>
        </w:rPr>
        <w:t> </w:t>
      </w:r>
    </w:p>
    <w:p w:rsidR="003665F0" w:rsidRDefault="00FC307C">
      <w:pPr>
        <w:shd w:val="clear" w:color="auto" w:fill="FFFFFF"/>
        <w:spacing w:line="360" w:lineRule="auto"/>
        <w:jc w:val="both"/>
        <w:rPr>
          <w:b/>
          <w:bCs/>
          <w:color w:val="222222"/>
          <w:sz w:val="22"/>
          <w:szCs w:val="22"/>
          <w:u w:val="single"/>
        </w:rPr>
      </w:pPr>
      <w:r>
        <w:rPr>
          <w:rFonts w:ascii="Palatino Linotype" w:eastAsia="Palatino Linotype" w:hAnsi="Palatino Linotype" w:cs="Palatino Linotype"/>
          <w:color w:val="222222"/>
          <w:sz w:val="22"/>
          <w:szCs w:val="22"/>
        </w:rPr>
        <w:t>Asimismo, resulta relevante traer a colación el Criterio Orientador, con clave de control SO/001/2020, de la Segunda Época, emitido por el Instituto Nacional de Transparencia, Acceso a la Información y Protección de Datos Personales, el cual establece que es improcedente entrar al análisis de las partes de la respuesta del Sujeto Obligado que no fueron impugnadas por el Recurrente; por lo que, en el presente caso, se tiene por consentida la información entregada por el Sujeto Obligado, para atender lo referente a </w:t>
      </w:r>
      <w:r>
        <w:rPr>
          <w:rFonts w:ascii="Palatino Linotype" w:eastAsia="Palatino Linotype" w:hAnsi="Palatino Linotype" w:cs="Palatino Linotype"/>
          <w:b/>
          <w:bCs/>
          <w:color w:val="222222"/>
          <w:sz w:val="22"/>
          <w:szCs w:val="22"/>
        </w:rPr>
        <w:t>los nombres y cargos del personal adscrito a la Dirección de Desarrollo Urbano;</w:t>
      </w:r>
      <w:r>
        <w:rPr>
          <w:rFonts w:ascii="Palatino Linotype" w:eastAsia="Palatino Linotype" w:hAnsi="Palatino Linotype" w:cs="Palatino Linotype"/>
          <w:color w:val="222222"/>
          <w:sz w:val="22"/>
          <w:szCs w:val="22"/>
        </w:rPr>
        <w:t xml:space="preserve"> y únicamente se entrará al análisis de </w:t>
      </w:r>
      <w:r>
        <w:rPr>
          <w:rFonts w:ascii="Palatino Linotype" w:eastAsia="Palatino Linotype" w:hAnsi="Palatino Linotype" w:cs="Palatino Linotype"/>
          <w:b/>
          <w:bCs/>
          <w:color w:val="222222"/>
          <w:sz w:val="22"/>
          <w:szCs w:val="22"/>
          <w:u w:val="single"/>
        </w:rPr>
        <w:t>las funciones del personal notificador adscrito a dicha dirección.</w:t>
      </w:r>
    </w:p>
    <w:p w:rsidR="003665F0" w:rsidRDefault="003665F0">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3665F0" w:rsidRDefault="00FC307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003665F0" w:rsidRDefault="003665F0">
      <w:pPr>
        <w:tabs>
          <w:tab w:val="left" w:pos="4962"/>
        </w:tabs>
        <w:spacing w:line="360" w:lineRule="auto"/>
        <w:jc w:val="both"/>
        <w:rPr>
          <w:rFonts w:ascii="Palatino Linotype" w:eastAsia="Palatino Linotype" w:hAnsi="Palatino Linotype" w:cs="Palatino Linotype"/>
          <w:sz w:val="22"/>
          <w:szCs w:val="22"/>
        </w:rPr>
      </w:pPr>
    </w:p>
    <w:p w:rsidR="003665F0" w:rsidRDefault="00FC307C">
      <w:pPr>
        <w:pStyle w:val="Ttulo2"/>
        <w:jc w:val="both"/>
      </w:pPr>
      <w:bookmarkStart w:id="14" w:name="_Toc219991093"/>
      <w:r>
        <w:t>CUARTO. Marco normativo aplicable en materia de transparencia y acceso a la información pública</w:t>
      </w:r>
      <w:bookmarkEnd w:id="14"/>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pStyle w:val="Ttulo2"/>
      </w:pPr>
      <w:bookmarkStart w:id="15" w:name="_Toc219991094"/>
      <w:r>
        <w:lastRenderedPageBreak/>
        <w:t>QUINTO. Estudio de Fondo</w:t>
      </w:r>
      <w:bookmarkEnd w:id="15"/>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entrega de información incompleta, para lo cual es necesario contextualizar la solicitud de información.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que las funciones de los servidores públicos,</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corresponden a las aptitudes o potestades que deben realizar para llevar a cabo actos administrativos o legales, de los cuales surgen derechos u obligaciones.</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el artículo 92, fracción III, de la Ley de Transparencia y Acceso a la Información Pública del Estado de México y Municipios, precisa que es una obligación común de transparencia que deben publicar todos los Sujetos Obligados, las facultades de cada área.</w:t>
      </w:r>
    </w:p>
    <w:p w:rsidR="003665F0" w:rsidRDefault="003665F0">
      <w:pPr>
        <w:spacing w:line="360" w:lineRule="auto"/>
        <w:jc w:val="both"/>
        <w:rPr>
          <w:rFonts w:ascii="Palatino Linotype" w:eastAsia="Palatino Linotype" w:hAnsi="Palatino Linotype" w:cs="Palatino Linotype"/>
          <w:b/>
          <w:bCs/>
          <w:sz w:val="22"/>
          <w:szCs w:val="22"/>
        </w:rPr>
      </w:pPr>
    </w:p>
    <w:p w:rsidR="003665F0" w:rsidRDefault="00FC307C">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las actividades que deben realizar las unidades administrativas o servidores públicos, son sus funciones o atribuciones establecidas en los ordenamientos jurídicos aplicables.</w:t>
      </w:r>
    </w:p>
    <w:p w:rsidR="003665F0" w:rsidRDefault="003665F0">
      <w:pPr>
        <w:tabs>
          <w:tab w:val="left" w:pos="4962"/>
        </w:tabs>
        <w:spacing w:line="360" w:lineRule="auto"/>
        <w:jc w:val="both"/>
        <w:rPr>
          <w:rFonts w:ascii="Palatino Linotype" w:eastAsia="Palatino Linotype" w:hAnsi="Palatino Linotype" w:cs="Palatino Linotype"/>
          <w:sz w:val="22"/>
          <w:szCs w:val="22"/>
        </w:rPr>
      </w:pPr>
    </w:p>
    <w:p w:rsidR="003665F0" w:rsidRDefault="00FC307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rsidR="003665F0" w:rsidRDefault="003665F0">
      <w:pPr>
        <w:tabs>
          <w:tab w:val="left" w:pos="4962"/>
        </w:tabs>
        <w:spacing w:line="360" w:lineRule="auto"/>
        <w:jc w:val="both"/>
        <w:rPr>
          <w:rFonts w:ascii="Palatino Linotype" w:eastAsia="Palatino Linotype" w:hAnsi="Palatino Linotype" w:cs="Palatino Linotype"/>
          <w:sz w:val="22"/>
          <w:szCs w:val="22"/>
        </w:rPr>
      </w:pPr>
    </w:p>
    <w:p w:rsidR="003665F0" w:rsidRDefault="00FC307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rsidR="003665F0" w:rsidRDefault="003665F0">
      <w:pPr>
        <w:tabs>
          <w:tab w:val="left" w:pos="4962"/>
        </w:tabs>
        <w:spacing w:line="360" w:lineRule="auto"/>
        <w:jc w:val="both"/>
        <w:rPr>
          <w:rFonts w:ascii="Palatino Linotype" w:eastAsia="Palatino Linotype" w:hAnsi="Palatino Linotype" w:cs="Palatino Linotype"/>
          <w:sz w:val="22"/>
          <w:szCs w:val="22"/>
        </w:rPr>
      </w:pPr>
    </w:p>
    <w:p w:rsidR="003665F0" w:rsidRDefault="00FC307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3665F0" w:rsidRDefault="003665F0">
      <w:pPr>
        <w:tabs>
          <w:tab w:val="left" w:pos="4962"/>
        </w:tabs>
        <w:spacing w:line="360" w:lineRule="auto"/>
        <w:jc w:val="both"/>
        <w:rPr>
          <w:rFonts w:ascii="Palatino Linotype" w:eastAsia="Palatino Linotype" w:hAnsi="Palatino Linotype" w:cs="Palatino Linotype"/>
          <w:sz w:val="22"/>
          <w:szCs w:val="22"/>
        </w:rPr>
      </w:pPr>
    </w:p>
    <w:p w:rsidR="003665F0" w:rsidRDefault="00FC307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3665F0" w:rsidRDefault="003665F0">
      <w:pPr>
        <w:tabs>
          <w:tab w:val="left" w:pos="4962"/>
        </w:tabs>
        <w:spacing w:line="360" w:lineRule="auto"/>
        <w:jc w:val="both"/>
        <w:rPr>
          <w:rFonts w:ascii="Palatino Linotype" w:eastAsia="Palatino Linotype" w:hAnsi="Palatino Linotype" w:cs="Palatino Linotype"/>
          <w:sz w:val="22"/>
          <w:szCs w:val="22"/>
        </w:rPr>
      </w:pPr>
    </w:p>
    <w:p w:rsidR="003665F0" w:rsidRDefault="00FC307C">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lo anterior, se arriba a la conclusión de que la información requerida forma parte de las obligaciones de transparencia común de los sujetos obligados y, por ende, debe contar con esta.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Establecido lo anterior y en relación a la solicitud del Particular resulta conveniente traer a colación el Bando Municipal de Tepotzotlán dos mil veinticinco, en su artículo 47 donde refiere que ayuntamiento cuenta con la Dirección de Administración y Finanzas, que asumirá las funciones y atribuciones de la Tesorería, teniendo como funciones, en forma enunciativa y </w:t>
      </w:r>
      <w:r>
        <w:rPr>
          <w:rFonts w:ascii="Palatino Linotype" w:eastAsia="Palatino Linotype" w:hAnsi="Palatino Linotype" w:cs="Palatino Linotype"/>
          <w:sz w:val="22"/>
          <w:szCs w:val="22"/>
        </w:rPr>
        <w:lastRenderedPageBreak/>
        <w:t>no limitativa, las establecidas en el artículo 95 de la Ley Orgánica Municipal del Estado de México.</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Siguiendo el mismo orden de ideas cabe traer a colación el artículo 52 de la misma ley en comento donde refiere que el Ayuntamiento contará con una Dirección de Desarrollo Urbano y Metropolitano, que realizará acciones que propicien el desarrollo de las comunidades, con un enfoque sustentable, favoreciendo la infraestructura, el equipamiento, los ser vicios, las vialidades, la preservación del patrimonio cultural, la planeación e imagen urbana, los límites territoriales, la tenencia de la tierra, la conservación y mejoramiento del ambiente de los asentamientos humanos y centros urbanos del Municipio, así como apoyar con acciones orientadas a la modernización y optimización del trasporte terrestre, entre otros, con la participación activa de la sociedad.</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tales circunstancias se logra vislumbrar que la pretensión de la persona Recurrente es obtener, las funciones que realizaban cada uno de los notificadores referidos en el cumplimiento a la </w:t>
      </w:r>
      <w:proofErr w:type="spellStart"/>
      <w:r>
        <w:rPr>
          <w:rFonts w:ascii="Palatino Linotype" w:eastAsia="Palatino Linotype" w:hAnsi="Palatino Linotype" w:cs="Palatino Linotype"/>
          <w:sz w:val="22"/>
          <w:szCs w:val="22"/>
        </w:rPr>
        <w:t>resolición</w:t>
      </w:r>
      <w:proofErr w:type="spellEnd"/>
      <w:r>
        <w:rPr>
          <w:rFonts w:ascii="Palatino Linotype" w:eastAsia="Palatino Linotype" w:hAnsi="Palatino Linotype" w:cs="Palatino Linotype"/>
          <w:sz w:val="22"/>
          <w:szCs w:val="22"/>
        </w:rPr>
        <w:t xml:space="preserve"> del Recurso de Revisión 12061/INFOEM/IP/RR/2025</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Establecida dicha circunstancia, de las constancias que obran en el expediente electrónico, se advierte que el Sujeto Obligado turno la solicitud de información a la Jefatura de Recursos Humanos;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w:t>
      </w:r>
      <w:r>
        <w:rPr>
          <w:rFonts w:ascii="Palatino Linotype" w:eastAsia="Palatino Linotype" w:hAnsi="Palatino Linotype" w:cs="Palatino Linotype"/>
          <w:sz w:val="22"/>
          <w:szCs w:val="22"/>
        </w:rPr>
        <w:lastRenderedPageBreak/>
        <w:t>con el objeto de que dichas áreas realicen una búsqueda exhaustiva y razonable de la información requerida.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de conocer de la información solicitada.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en respuesta en cumplimiento a la Resolución del Recurso de Revisión 12061/INFOEM/IP/RR/2025, la Jefatura de Recursos Humanos, remitió un listado de las personas adscritas a la Dirección de Desarrollo Urbano y de quienes los notificadores se omite sus funciones que fue lo solicitado desde un principio, tal como se muestra a continuación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color w:val="000000"/>
          <w:sz w:val="22"/>
          <w:szCs w:val="22"/>
        </w:rPr>
        <w:drawing>
          <wp:inline distT="0" distB="0" distL="0" distR="0">
            <wp:extent cx="5260490" cy="149892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260490" cy="1498926"/>
                    </a:xfrm>
                    <a:prstGeom prst="rect">
                      <a:avLst/>
                    </a:prstGeom>
                    <a:ln/>
                  </pic:spPr>
                </pic:pic>
              </a:graphicData>
            </a:graphic>
          </wp:inline>
        </w:drawing>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de lo analizado, podemos advertir que la contestación se enfocó en remitir el listado de las personas adscritas, omitiendo pronunciarse sobre las funciones de los notificadores; sobre el tema, el artículo 1.8, fracción XIII, del Código Administrativo del Estado de México, establece que para que tenga validez, todo acto administrativo deberá resolver todos los puntos propuestos por los interesados.</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Situación que se robustece, con el Criterio de Interpretación, con clave de control SO/002/2017, del Instituto Nacional de Transparencia, Acceso a la Información y Protección de Datos Personales, el cual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este Instituto considera que el Sujeto Obligado no satisfizo el derecho de acceso a la información del Solicitante, pues omitió pronunciarse sobre las funciones de los notificadores referidos en cumplimiento al Recurso de Revisión, lo cual da como resultado que el agravio sea </w:t>
      </w:r>
      <w:r>
        <w:rPr>
          <w:rFonts w:ascii="Palatino Linotype" w:eastAsia="Palatino Linotype" w:hAnsi="Palatino Linotype" w:cs="Palatino Linotype"/>
          <w:b/>
          <w:bCs/>
          <w:sz w:val="22"/>
          <w:szCs w:val="22"/>
        </w:rPr>
        <w:t xml:space="preserve">FUNDADO. </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para atender el requerimiento de información, el Sujeto Obligado deberá realizar una búsqueda exhaustiva y razonable en los archivos de sus áreas competentes, a efecto de que proporcione, el documento donde consten las funciones del personal notificador adscrito a la Dirección de Desarrollo Urbano y Metropolitano;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la información solicitada.</w:t>
      </w:r>
    </w:p>
    <w:p w:rsidR="003665F0" w:rsidRDefault="003665F0">
      <w:pPr>
        <w:tabs>
          <w:tab w:val="left" w:pos="4962"/>
        </w:tabs>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no pasa desapercibido para este Instituto que la información faltante pudiera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pStyle w:val="Ttulo2"/>
      </w:pPr>
      <w:bookmarkStart w:id="16" w:name="_Toc219991095"/>
      <w:r>
        <w:lastRenderedPageBreak/>
        <w:t>SEXTO. Decisión</w:t>
      </w:r>
      <w:bookmarkEnd w:id="16"/>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fundamento en el artículo 186, fracción III, de la Ley de Transparencia y Acceso a la Información Pública del Estado de México y Municipios, este Instituto considera procedente</w:t>
      </w: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MODIFICAR</w:t>
      </w:r>
      <w:r>
        <w:rPr>
          <w:rFonts w:ascii="Palatino Linotype" w:eastAsia="Palatino Linotype" w:hAnsi="Palatino Linotype" w:cs="Palatino Linotype"/>
          <w:sz w:val="22"/>
          <w:szCs w:val="22"/>
        </w:rPr>
        <w:t xml:space="preserve"> la respuesta otorgada por el Sujeto Obligado a la solicitud de información a efecto de que, entregue la información solicitada.</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3665F0" w:rsidRDefault="003665F0">
      <w:pPr>
        <w:spacing w:line="360" w:lineRule="auto"/>
        <w:jc w:val="both"/>
        <w:rPr>
          <w:rFonts w:ascii="Palatino Linotype" w:eastAsia="Palatino Linotype" w:hAnsi="Palatino Linotype" w:cs="Palatino Linotype"/>
          <w:b/>
          <w:bCs/>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le hace del conocimiento al Particular, que, en el presente caso, se le da la razón, pues el Sujeto Obligado solo entrego parte de la información, omitiendo pronunciarse sobre todos los puntos, por lo que, deberá hacer entrega de la información.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hace del conocimiento al Particular que la labor del Instituto de Transparencia, Acceso a la Información Pública y Protección de Datos Personales del Estado de México y Municipios, es apoyar a la población a acceder a la información pública y garantizar la protección de los datos personales.</w:t>
      </w:r>
    </w:p>
    <w:p w:rsidR="003665F0" w:rsidRDefault="003665F0">
      <w:pPr>
        <w:spacing w:line="360" w:lineRule="auto"/>
        <w:jc w:val="both"/>
        <w:rPr>
          <w:rFonts w:ascii="Palatino Linotype" w:eastAsia="Palatino Linotype" w:hAnsi="Palatino Linotype" w:cs="Palatino Linotype"/>
          <w:color w:val="000000"/>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pStyle w:val="Ttulo1"/>
      </w:pPr>
      <w:bookmarkStart w:id="17" w:name="_Toc219991096"/>
      <w:r>
        <w:t>R E S U E L V E</w:t>
      </w:r>
      <w:bookmarkEnd w:id="17"/>
    </w:p>
    <w:p w:rsidR="003665F0" w:rsidRDefault="003665F0">
      <w:pPr>
        <w:spacing w:line="360" w:lineRule="auto"/>
        <w:jc w:val="both"/>
        <w:rPr>
          <w:rFonts w:ascii="Palatino Linotype" w:eastAsia="Palatino Linotype" w:hAnsi="Palatino Linotype" w:cs="Palatino Linotype"/>
          <w:b/>
          <w:bCs/>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bCs/>
          <w:color w:val="000000"/>
          <w:sz w:val="22"/>
          <w:szCs w:val="22"/>
        </w:rPr>
        <w:t xml:space="preserve">MODIFICA </w:t>
      </w:r>
      <w:r>
        <w:rPr>
          <w:rFonts w:ascii="Palatino Linotype" w:eastAsia="Palatino Linotype" w:hAnsi="Palatino Linotype" w:cs="Palatino Linotype"/>
          <w:color w:val="000000"/>
          <w:sz w:val="22"/>
          <w:szCs w:val="22"/>
        </w:rPr>
        <w:t xml:space="preserve">la respuesta entregada por el Ayuntamiento de Tepotzotlán, en cumplimiento a la Resolución del Recurso de Revisión </w:t>
      </w:r>
      <w:r>
        <w:rPr>
          <w:rFonts w:ascii="Palatino Linotype" w:eastAsia="Palatino Linotype" w:hAnsi="Palatino Linotype" w:cs="Palatino Linotype"/>
          <w:sz w:val="22"/>
          <w:szCs w:val="22"/>
        </w:rPr>
        <w:t>12061/INFOEM/IP/RR/2025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bCs/>
          <w:color w:val="000000"/>
          <w:sz w:val="22"/>
          <w:szCs w:val="22"/>
        </w:rPr>
        <w:t xml:space="preserve">FUNDADAS </w:t>
      </w:r>
      <w:r>
        <w:rPr>
          <w:rFonts w:ascii="Palatino Linotype" w:eastAsia="Palatino Linotype" w:hAnsi="Palatino Linotype" w:cs="Palatino Linotype"/>
          <w:color w:val="000000"/>
          <w:sz w:val="22"/>
          <w:szCs w:val="22"/>
        </w:rPr>
        <w:t>las razones o motivos de inconformidad hechos valer por el Recurrente, en términos de los considerandos QUINTO y SEXTO de la presente Resolución</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ORDENA</w:t>
      </w:r>
      <w:r>
        <w:rPr>
          <w:rFonts w:ascii="Palatino Linotype" w:eastAsia="Palatino Linotype" w:hAnsi="Palatino Linotype" w:cs="Palatino Linotype"/>
          <w:sz w:val="22"/>
          <w:szCs w:val="22"/>
        </w:rPr>
        <w:t xml:space="preserve"> al Sujeto Obligado, a efecto de que previa búsqueda exhaustiva y razonable en los archivos de las unidades administrativas competentes, entregue a través del Sistema de Acceso a la Información Mexiquense (SAIMEX), en su caso en versión pública, los documentos que den cuenta de lo siguiente:</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funciones vigentes al quince de septiembre de dos mil veinticinco, de los notificadores referidos en respuesta al cumplimiento de la resolución del Recurso de Revisión 12061/INFOEM/IP/RR/2025.</w:t>
      </w:r>
    </w:p>
    <w:p w:rsidR="003665F0" w:rsidRDefault="003665F0">
      <w:pPr>
        <w:spacing w:line="360" w:lineRule="auto"/>
        <w:jc w:val="both"/>
        <w:rPr>
          <w:rFonts w:ascii="Palatino Linotype" w:eastAsia="Palatino Linotype" w:hAnsi="Palatino Linotype" w:cs="Palatino Linotype"/>
          <w:sz w:val="22"/>
          <w:szCs w:val="22"/>
        </w:rPr>
      </w:pPr>
    </w:p>
    <w:p w:rsidR="003665F0" w:rsidRDefault="00FC307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rsidR="003665F0" w:rsidRDefault="003665F0">
      <w:pPr>
        <w:spacing w:line="360" w:lineRule="auto"/>
        <w:ind w:left="360"/>
        <w:jc w:val="both"/>
        <w:rPr>
          <w:rFonts w:ascii="Palatino Linotype" w:eastAsia="Palatino Linotype" w:hAnsi="Palatino Linotype" w:cs="Palatino Linotype"/>
          <w:sz w:val="22"/>
          <w:szCs w:val="22"/>
        </w:rPr>
      </w:pPr>
    </w:p>
    <w:p w:rsidR="003665F0" w:rsidRDefault="00FC307C">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TERCERO. NOTIFÍQUESE POR SAIMEX </w:t>
      </w:r>
      <w:r>
        <w:rPr>
          <w:rFonts w:ascii="Palatino Linotype" w:eastAsia="Palatino Linotype" w:hAnsi="Palatino Linotype" w:cs="Palatino Linotype"/>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3665F0" w:rsidRDefault="003665F0">
      <w:pPr>
        <w:spacing w:line="360" w:lineRule="auto"/>
        <w:ind w:left="360" w:right="-28"/>
        <w:jc w:val="both"/>
        <w:rPr>
          <w:rFonts w:ascii="Palatino Linotype" w:eastAsia="Palatino Linotype" w:hAnsi="Palatino Linotype" w:cs="Palatino Linotype"/>
          <w:color w:val="000000"/>
          <w:sz w:val="22"/>
          <w:szCs w:val="22"/>
        </w:rPr>
      </w:pPr>
    </w:p>
    <w:p w:rsidR="003665F0" w:rsidRDefault="003665F0">
      <w:pPr>
        <w:spacing w:line="360" w:lineRule="auto"/>
        <w:ind w:left="360" w:right="-28"/>
        <w:jc w:val="both"/>
        <w:rPr>
          <w:rFonts w:ascii="Palatino Linotype" w:eastAsia="Palatino Linotype" w:hAnsi="Palatino Linotype" w:cs="Palatino Linotype"/>
          <w:color w:val="000000"/>
          <w:sz w:val="22"/>
          <w:szCs w:val="22"/>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CUARTO. NOTIFÍQUESE POR SAIMEX</w:t>
      </w:r>
      <w:r>
        <w:rPr>
          <w:rFonts w:ascii="Palatino Linotype" w:eastAsia="Palatino Linotype" w:hAnsi="Palatino Linotype" w:cs="Palatino Linotype"/>
          <w:color w:val="000000"/>
          <w:sz w:val="22"/>
          <w:szCs w:val="22"/>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3665F0" w:rsidRDefault="003665F0">
      <w:pPr>
        <w:pBdr>
          <w:top w:val="nil"/>
          <w:left w:val="nil"/>
          <w:bottom w:val="nil"/>
          <w:right w:val="nil"/>
          <w:between w:val="nil"/>
        </w:pBdr>
        <w:spacing w:line="360" w:lineRule="auto"/>
        <w:ind w:left="1065"/>
        <w:jc w:val="both"/>
        <w:rPr>
          <w:rFonts w:ascii="Palatino Linotype" w:eastAsia="Palatino Linotype" w:hAnsi="Palatino Linotype" w:cs="Palatino Linotype"/>
          <w:b/>
          <w:bCs/>
          <w:color w:val="000000"/>
          <w:sz w:val="24"/>
          <w:szCs w:val="24"/>
        </w:rPr>
      </w:pPr>
    </w:p>
    <w:p w:rsidR="003665F0" w:rsidRDefault="00FC307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LO RESUELVE, POR </w:t>
      </w:r>
      <w:r>
        <w:rPr>
          <w:rFonts w:ascii="Palatino Linotype" w:eastAsia="Palatino Linotype" w:hAnsi="Palatino Linotype" w:cs="Palatino Linotype"/>
          <w:b/>
          <w:bCs/>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w:t>
      </w:r>
      <w:r>
        <w:rPr>
          <w:rFonts w:ascii="Palatino Linotype" w:eastAsia="Palatino Linotype" w:hAnsi="Palatino Linotype" w:cs="Palatino Linotype"/>
          <w:sz w:val="22"/>
          <w:szCs w:val="22"/>
        </w:rPr>
        <w:t>VEINTISÉIS</w:t>
      </w:r>
      <w:r>
        <w:rPr>
          <w:rFonts w:ascii="Palatino Linotype" w:eastAsia="Palatino Linotype" w:hAnsi="Palatino Linotype" w:cs="Palatino Linotype"/>
          <w:color w:val="000000"/>
          <w:sz w:val="22"/>
          <w:szCs w:val="22"/>
        </w:rPr>
        <w:t xml:space="preserve">, ANTE EL SECRETARIO TÉCNICO DEL PLENO, ALEXIS TAPIA RAMÍREZ. </w:t>
      </w: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b/>
          <w:bCs/>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ind w:right="-93"/>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jc w:val="both"/>
        <w:rPr>
          <w:rFonts w:ascii="Palatino Linotype" w:eastAsia="Palatino Linotype" w:hAnsi="Palatino Linotype" w:cs="Palatino Linotype"/>
          <w:sz w:val="22"/>
          <w:szCs w:val="22"/>
        </w:rPr>
      </w:pPr>
    </w:p>
    <w:p w:rsidR="003665F0" w:rsidRDefault="003665F0">
      <w:pPr>
        <w:spacing w:line="360" w:lineRule="auto"/>
      </w:pPr>
    </w:p>
    <w:p w:rsidR="003665F0" w:rsidRDefault="003665F0">
      <w:pPr>
        <w:spacing w:line="360" w:lineRule="auto"/>
      </w:pPr>
    </w:p>
    <w:p w:rsidR="003665F0" w:rsidRDefault="003665F0">
      <w:pPr>
        <w:spacing w:line="360" w:lineRule="auto"/>
        <w:jc w:val="both"/>
        <w:rPr>
          <w:rFonts w:ascii="Palatino Linotype" w:eastAsia="Palatino Linotype" w:hAnsi="Palatino Linotype" w:cs="Palatino Linotype"/>
          <w:color w:val="000000"/>
          <w:sz w:val="22"/>
          <w:szCs w:val="22"/>
        </w:rPr>
      </w:pPr>
    </w:p>
    <w:sectPr w:rsidR="003665F0">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51C" w:rsidRDefault="00CA251C">
      <w:r>
        <w:separator/>
      </w:r>
    </w:p>
  </w:endnote>
  <w:endnote w:type="continuationSeparator" w:id="0">
    <w:p w:rsidR="00CA251C" w:rsidRDefault="00CA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FA620E3-0914-4C17-BBB6-1BA474A27A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8C218AD-CEDC-4692-8B00-59A4D3900428}"/>
    <w:embedBold r:id="rId3" w:fontKey="{C7D9BFCE-F376-485E-AF3D-E54F95B5BDE9}"/>
    <w:embedItalic r:id="rId4" w:fontKey="{83B35BDF-1661-4436-B513-C64A549A360A}"/>
    <w:embedBoldItalic r:id="rId5" w:fontKey="{F45C85C5-3752-45FC-935D-2AB15723C790}"/>
  </w:font>
  <w:font w:name="Calibri">
    <w:panose1 w:val="020F0502020204030204"/>
    <w:charset w:val="00"/>
    <w:family w:val="swiss"/>
    <w:pitch w:val="variable"/>
    <w:sig w:usb0="E4002EFF" w:usb1="C200247B" w:usb2="00000009" w:usb3="00000000" w:csb0="000001FF" w:csb1="00000000"/>
    <w:embedRegular r:id="rId6" w:fontKey="{85239048-14B2-4BAB-A5F0-2A5B7DE071DD}"/>
    <w:embedBold r:id="rId7" w:fontKey="{355879DB-447F-4FAF-825D-04ECA461A3C2}"/>
  </w:font>
  <w:font w:name="Century Gothic">
    <w:panose1 w:val="020B0502020202020204"/>
    <w:charset w:val="00"/>
    <w:family w:val="swiss"/>
    <w:pitch w:val="variable"/>
    <w:sig w:usb0="00000287" w:usb1="00000000" w:usb2="00000000" w:usb3="00000000" w:csb0="0000009F" w:csb1="00000000"/>
    <w:embedRegular r:id="rId8" w:fontKey="{1E057767-A691-456F-9011-1E7D791D373A}"/>
  </w:font>
  <w:font w:name="Segoe UI">
    <w:panose1 w:val="020B0502040204020203"/>
    <w:charset w:val="00"/>
    <w:family w:val="swiss"/>
    <w:pitch w:val="variable"/>
    <w:sig w:usb0="E4002EFF" w:usb1="C000E47F" w:usb2="00000009" w:usb3="00000000" w:csb0="000001FF" w:csb1="00000000"/>
    <w:embedRegular r:id="rId9" w:fontKey="{D3841B22-564C-4BAF-997F-0D65C088FD6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F11F0E2C-F402-4CC7-B287-6F48CCCAAF4C}"/>
  </w:font>
  <w:font w:name="Tahoma">
    <w:panose1 w:val="020B0604030504040204"/>
    <w:charset w:val="00"/>
    <w:family w:val="swiss"/>
    <w:pitch w:val="variable"/>
    <w:sig w:usb0="E1002EFF" w:usb1="C000605B" w:usb2="00000029" w:usb3="00000000" w:csb0="000101FF" w:csb1="00000000"/>
    <w:embedBold r:id="rId11" w:fontKey="{44FE271B-4B01-4E89-96F7-BEF59A66D4D7}"/>
  </w:font>
  <w:font w:name="Garamond">
    <w:panose1 w:val="02020404030301010803"/>
    <w:charset w:val="00"/>
    <w:family w:val="roman"/>
    <w:pitch w:val="variable"/>
    <w:sig w:usb0="00000287" w:usb1="00000000" w:usb2="00000000" w:usb3="00000000" w:csb0="0000009F" w:csb1="00000000"/>
    <w:embedRegular r:id="rId12" w:fontKey="{EAED0C5B-5DE9-4216-8EED-B72F491AD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5F0" w:rsidRDefault="003665F0">
    <w:pPr>
      <w:pBdr>
        <w:top w:val="nil"/>
        <w:left w:val="nil"/>
        <w:bottom w:val="nil"/>
        <w:right w:val="nil"/>
        <w:between w:val="nil"/>
      </w:pBdr>
      <w:tabs>
        <w:tab w:val="center" w:pos="4419"/>
        <w:tab w:val="right" w:pos="8838"/>
      </w:tabs>
      <w:jc w:val="right"/>
      <w:rPr>
        <w:color w:val="000000"/>
        <w:sz w:val="26"/>
        <w:szCs w:val="26"/>
      </w:rPr>
    </w:pPr>
  </w:p>
  <w:p w:rsidR="003665F0" w:rsidRDefault="00FC307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220AD">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220AD">
      <w:rPr>
        <w:b/>
        <w:bCs/>
        <w:noProof/>
        <w:color w:val="000000"/>
        <w:sz w:val="24"/>
        <w:szCs w:val="24"/>
      </w:rPr>
      <w:t>25</w:t>
    </w:r>
    <w:r>
      <w:rPr>
        <w:b/>
        <w:bCs/>
        <w:color w:val="000000"/>
        <w:sz w:val="24"/>
        <w:szCs w:val="24"/>
      </w:rPr>
      <w:fldChar w:fldCharType="end"/>
    </w:r>
  </w:p>
  <w:p w:rsidR="003665F0" w:rsidRDefault="003665F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5F0" w:rsidRDefault="003665F0">
    <w:pPr>
      <w:pBdr>
        <w:top w:val="nil"/>
        <w:left w:val="nil"/>
        <w:bottom w:val="nil"/>
        <w:right w:val="nil"/>
        <w:between w:val="nil"/>
      </w:pBdr>
      <w:tabs>
        <w:tab w:val="center" w:pos="4419"/>
        <w:tab w:val="right" w:pos="8838"/>
      </w:tabs>
      <w:jc w:val="right"/>
      <w:rPr>
        <w:color w:val="000000"/>
      </w:rPr>
    </w:pPr>
  </w:p>
  <w:p w:rsidR="003665F0" w:rsidRDefault="00FC307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220A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220AD">
      <w:rPr>
        <w:b/>
        <w:bCs/>
        <w:noProof/>
        <w:color w:val="000000"/>
        <w:sz w:val="24"/>
        <w:szCs w:val="24"/>
      </w:rPr>
      <w:t>25</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51C" w:rsidRDefault="00CA251C">
      <w:r>
        <w:separator/>
      </w:r>
    </w:p>
  </w:footnote>
  <w:footnote w:type="continuationSeparator" w:id="0">
    <w:p w:rsidR="00CA251C" w:rsidRDefault="00CA25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5F0" w:rsidRDefault="003665F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3665F0">
      <w:trPr>
        <w:trHeight w:val="1412"/>
      </w:trPr>
      <w:tc>
        <w:tcPr>
          <w:tcW w:w="8222" w:type="dxa"/>
          <w:shd w:val="clear" w:color="auto" w:fill="auto"/>
        </w:tcPr>
        <w:p w:rsidR="003665F0" w:rsidRDefault="003665F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3665F0">
            <w:trPr>
              <w:trHeight w:val="144"/>
            </w:trPr>
            <w:tc>
              <w:tcPr>
                <w:tcW w:w="2552" w:type="dxa"/>
              </w:tcPr>
              <w:p w:rsidR="003665F0" w:rsidRDefault="00FC307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rsidR="003665F0" w:rsidRDefault="00FC307C">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12061/INFOEM/ICR-150/IP/RR/2025</w:t>
                </w:r>
              </w:p>
            </w:tc>
          </w:tr>
          <w:tr w:rsidR="003665F0">
            <w:trPr>
              <w:trHeight w:val="144"/>
            </w:trPr>
            <w:tc>
              <w:tcPr>
                <w:tcW w:w="2552" w:type="dxa"/>
              </w:tcPr>
              <w:p w:rsidR="003665F0" w:rsidRDefault="00FC307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rsidR="003665F0" w:rsidRDefault="00FC307C">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3665F0">
            <w:trPr>
              <w:trHeight w:val="138"/>
            </w:trPr>
            <w:tc>
              <w:tcPr>
                <w:tcW w:w="2552" w:type="dxa"/>
              </w:tcPr>
              <w:p w:rsidR="003665F0" w:rsidRDefault="00FC307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rsidR="003665F0" w:rsidRDefault="00FC307C">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3665F0" w:rsidRDefault="003665F0">
          <w:pPr>
            <w:tabs>
              <w:tab w:val="right" w:pos="8838"/>
            </w:tabs>
            <w:ind w:left="-28"/>
            <w:jc w:val="both"/>
            <w:rPr>
              <w:rFonts w:ascii="Arial" w:eastAsia="Arial" w:hAnsi="Arial" w:cs="Arial"/>
              <w:b/>
              <w:bCs/>
              <w:sz w:val="22"/>
              <w:szCs w:val="22"/>
            </w:rPr>
          </w:pPr>
        </w:p>
      </w:tc>
    </w:tr>
  </w:tbl>
  <w:p w:rsidR="003665F0" w:rsidRDefault="00CA251C">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79.4pt;margin-top:-123.6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5F0" w:rsidRDefault="00CA251C">
    <w:r>
      <w:rPr>
        <w:rFonts w:ascii="Palatino Linotype" w:eastAsia="Palatino Linotype" w:hAnsi="Palatino Linotype" w:cs="Palatino Linotype"/>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margin-left:-79.7pt;margin-top:-120.95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4"/>
      <w:gridCol w:w="2405"/>
      <w:gridCol w:w="4257"/>
    </w:tblGrid>
    <w:tr w:rsidR="003665F0">
      <w:trPr>
        <w:trHeight w:val="466"/>
      </w:trPr>
      <w:tc>
        <w:tcPr>
          <w:tcW w:w="2694" w:type="dxa"/>
          <w:vAlign w:val="bottom"/>
        </w:tcPr>
        <w:p w:rsidR="003665F0" w:rsidRDefault="003665F0">
          <w:pPr>
            <w:tabs>
              <w:tab w:val="right" w:pos="8838"/>
            </w:tabs>
            <w:ind w:right="-105"/>
            <w:rPr>
              <w:rFonts w:ascii="Palatino Linotype" w:eastAsia="Palatino Linotype" w:hAnsi="Palatino Linotype" w:cs="Palatino Linotype"/>
              <w:b/>
              <w:bCs/>
              <w:sz w:val="22"/>
              <w:szCs w:val="22"/>
            </w:rPr>
          </w:pPr>
        </w:p>
      </w:tc>
      <w:tc>
        <w:tcPr>
          <w:tcW w:w="2405" w:type="dxa"/>
          <w:vAlign w:val="bottom"/>
        </w:tcPr>
        <w:p w:rsidR="003665F0" w:rsidRDefault="00FC307C">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rsidR="003665F0" w:rsidRDefault="00FC307C">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12061/INFOEM/ICR-150/IP/RR/2025</w:t>
          </w:r>
        </w:p>
      </w:tc>
    </w:tr>
    <w:tr w:rsidR="003665F0">
      <w:trPr>
        <w:trHeight w:val="119"/>
      </w:trPr>
      <w:tc>
        <w:tcPr>
          <w:tcW w:w="2694" w:type="dxa"/>
        </w:tcPr>
        <w:p w:rsidR="003665F0" w:rsidRDefault="003665F0">
          <w:pPr>
            <w:tabs>
              <w:tab w:val="right" w:pos="8838"/>
            </w:tabs>
            <w:ind w:right="-105"/>
            <w:rPr>
              <w:rFonts w:ascii="Palatino Linotype" w:eastAsia="Palatino Linotype" w:hAnsi="Palatino Linotype" w:cs="Palatino Linotype"/>
              <w:b/>
              <w:bCs/>
              <w:sz w:val="22"/>
              <w:szCs w:val="22"/>
            </w:rPr>
          </w:pPr>
        </w:p>
      </w:tc>
      <w:tc>
        <w:tcPr>
          <w:tcW w:w="2405" w:type="dxa"/>
        </w:tcPr>
        <w:p w:rsidR="003665F0" w:rsidRDefault="00FC307C">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rsidR="003665F0" w:rsidRDefault="00E220AD">
          <w:pPr>
            <w:tabs>
              <w:tab w:val="right" w:pos="8838"/>
            </w:tabs>
            <w:spacing w:line="276" w:lineRule="auto"/>
            <w:ind w:right="-246"/>
            <w:jc w:val="both"/>
            <w:rPr>
              <w:rFonts w:ascii="Palatino Linotype" w:eastAsia="Palatino Linotype" w:hAnsi="Palatino Linotype" w:cs="Palatino Linotype"/>
              <w:sz w:val="22"/>
              <w:szCs w:val="22"/>
            </w:rPr>
          </w:pPr>
          <w:r w:rsidRPr="00E220AD">
            <w:rPr>
              <w:rFonts w:ascii="Palatino Linotype" w:eastAsia="Palatino Linotype" w:hAnsi="Palatino Linotype" w:cs="Palatino Linotype"/>
              <w:sz w:val="22"/>
              <w:szCs w:val="22"/>
              <w:highlight w:val="black"/>
            </w:rPr>
            <w:t>XXXXXXXXXXXXXXXXXXX</w:t>
          </w:r>
        </w:p>
      </w:tc>
    </w:tr>
    <w:tr w:rsidR="003665F0">
      <w:trPr>
        <w:trHeight w:val="234"/>
      </w:trPr>
      <w:tc>
        <w:tcPr>
          <w:tcW w:w="2694" w:type="dxa"/>
        </w:tcPr>
        <w:p w:rsidR="003665F0" w:rsidRDefault="003665F0">
          <w:pPr>
            <w:tabs>
              <w:tab w:val="right" w:pos="8838"/>
            </w:tabs>
            <w:ind w:right="-105"/>
            <w:rPr>
              <w:rFonts w:ascii="Palatino Linotype" w:eastAsia="Palatino Linotype" w:hAnsi="Palatino Linotype" w:cs="Palatino Linotype"/>
              <w:b/>
              <w:bCs/>
              <w:sz w:val="22"/>
              <w:szCs w:val="22"/>
            </w:rPr>
          </w:pPr>
        </w:p>
      </w:tc>
      <w:tc>
        <w:tcPr>
          <w:tcW w:w="2405" w:type="dxa"/>
        </w:tcPr>
        <w:p w:rsidR="003665F0" w:rsidRDefault="00FC307C">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rsidR="003665F0" w:rsidRDefault="00FC307C">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3665F0">
      <w:trPr>
        <w:trHeight w:val="234"/>
      </w:trPr>
      <w:tc>
        <w:tcPr>
          <w:tcW w:w="2694" w:type="dxa"/>
        </w:tcPr>
        <w:p w:rsidR="003665F0" w:rsidRDefault="003665F0">
          <w:pPr>
            <w:tabs>
              <w:tab w:val="right" w:pos="8838"/>
            </w:tabs>
            <w:ind w:right="-105"/>
            <w:rPr>
              <w:rFonts w:ascii="Palatino Linotype" w:eastAsia="Palatino Linotype" w:hAnsi="Palatino Linotype" w:cs="Palatino Linotype"/>
              <w:b/>
              <w:bCs/>
              <w:sz w:val="22"/>
              <w:szCs w:val="22"/>
            </w:rPr>
          </w:pPr>
        </w:p>
      </w:tc>
      <w:tc>
        <w:tcPr>
          <w:tcW w:w="2405" w:type="dxa"/>
        </w:tcPr>
        <w:p w:rsidR="003665F0" w:rsidRDefault="00FC307C">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rsidR="003665F0" w:rsidRDefault="00FC307C">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3665F0" w:rsidRDefault="003665F0">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141E2"/>
    <w:multiLevelType w:val="multilevel"/>
    <w:tmpl w:val="5A84DD7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5F0"/>
    <w:rsid w:val="00132F04"/>
    <w:rsid w:val="00144F27"/>
    <w:rsid w:val="003665F0"/>
    <w:rsid w:val="003B142C"/>
    <w:rsid w:val="00597623"/>
    <w:rsid w:val="005B6CC5"/>
    <w:rsid w:val="00AE110C"/>
    <w:rsid w:val="00CA251C"/>
    <w:rsid w:val="00CD165F"/>
    <w:rsid w:val="00E220AD"/>
    <w:rsid w:val="00FC30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6C1C960-B587-4B78-858B-C236C866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cERVazlXOHY+P8BGfun4/Dr1A==">CgMxLjAyDmgudG9tYnFiaWlsNjZ3Mg5oLnJjbHA2djYwMG9jdjIOaC5mdGdlYjdkOTRmdjQyDmguZ2hob3hrYjA5cnFiMg5oLjl3aGQ2bGluZmZrczIOaC5sMTk0azJ4N25wbXAyDmguM2Rqam4yNjl0aDYwMg1oLnQxNjR2enEzZG9vMg5oLmJvbmVzMTkycGk3bjIOaC40NTY5a3hyMTJsczcyDmgudjB0Z3MwcjdzeTZmMg5oLmhhNG5remRyNTA1bzIOaC4xYnlzZHNtMzdvZWwyDmgubWYzbHExdnRlZDd0Mg5oLnQyMWFmZGhkenhlYjIOaC5maDR0NWNlbDZ2cXAyDmguemR4bGkwYmt0cGR0OAByITFWZTI1N2pDVnAwSVRKZnJtYlYxZ1M4eGFUN256RExD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60A1E2-11BB-47C2-9106-F1A90D7B5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6039</Words>
  <Characters>33218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cp:lastPrinted>2026-01-23T15:28:00Z</cp:lastPrinted>
  <dcterms:created xsi:type="dcterms:W3CDTF">2026-01-23T15:28:00Z</dcterms:created>
  <dcterms:modified xsi:type="dcterms:W3CDTF">2026-03-12T23:07:00Z</dcterms:modified>
</cp:coreProperties>
</file>