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50DFF" w14:textId="77777777" w:rsidR="00675A20" w:rsidRPr="006E2DBF" w:rsidRDefault="008D3090">
      <w:pPr>
        <w:spacing w:before="240" w:after="240" w:line="360" w:lineRule="auto"/>
        <w:jc w:val="both"/>
        <w:rPr>
          <w:rFonts w:ascii="Palatino Linotype" w:eastAsia="Palatino Linotype" w:hAnsi="Palatino Linotype" w:cs="Palatino Linotype"/>
          <w:b/>
          <w:bCs/>
          <w:sz w:val="22"/>
          <w:szCs w:val="22"/>
        </w:rPr>
      </w:pPr>
      <w:bookmarkStart w:id="0" w:name="_heading=h.1fob9te" w:colFirst="0" w:colLast="0"/>
      <w:bookmarkEnd w:id="0"/>
      <w:r w:rsidRPr="006E2DBF">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6E2DBF">
        <w:rPr>
          <w:rFonts w:ascii="Palatino Linotype" w:eastAsia="Palatino Linotype" w:hAnsi="Palatino Linotype" w:cs="Palatino Linotype"/>
          <w:b/>
          <w:bCs/>
          <w:sz w:val="22"/>
          <w:szCs w:val="22"/>
        </w:rPr>
        <w:t>a veinticinco de febrero de dos mil veintiséis.</w:t>
      </w:r>
      <w:r w:rsidRPr="006E2DBF">
        <w:rPr>
          <w:rFonts w:ascii="Palatino Linotype" w:eastAsia="Palatino Linotype" w:hAnsi="Palatino Linotype" w:cs="Palatino Linotype"/>
          <w:sz w:val="22"/>
          <w:szCs w:val="22"/>
        </w:rPr>
        <w:t xml:space="preserve"> </w:t>
      </w:r>
    </w:p>
    <w:p w14:paraId="7556CA4C" w14:textId="5E5BAF90" w:rsidR="00675A20" w:rsidRPr="006E2DBF" w:rsidRDefault="008D3090">
      <w:pPr>
        <w:spacing w:before="240" w:after="240" w:line="360" w:lineRule="auto"/>
        <w:jc w:val="both"/>
        <w:rPr>
          <w:rFonts w:ascii="Palatino Linotype" w:eastAsia="Palatino Linotype" w:hAnsi="Palatino Linotype" w:cs="Palatino Linotype"/>
          <w:sz w:val="22"/>
          <w:szCs w:val="22"/>
        </w:rPr>
      </w:pPr>
      <w:bookmarkStart w:id="1" w:name="_heading=h.4d34og8" w:colFirst="0" w:colLast="0"/>
      <w:bookmarkEnd w:id="1"/>
      <w:r w:rsidRPr="006E2DBF">
        <w:rPr>
          <w:rFonts w:ascii="Palatino Linotype" w:eastAsia="Palatino Linotype" w:hAnsi="Palatino Linotype" w:cs="Palatino Linotype"/>
          <w:b/>
          <w:bCs/>
          <w:sz w:val="22"/>
          <w:szCs w:val="22"/>
        </w:rPr>
        <w:t>Visto</w:t>
      </w:r>
      <w:r w:rsidRPr="006E2DBF">
        <w:rPr>
          <w:rFonts w:ascii="Palatino Linotype" w:eastAsia="Palatino Linotype" w:hAnsi="Palatino Linotype" w:cs="Palatino Linotype"/>
          <w:sz w:val="22"/>
          <w:szCs w:val="22"/>
        </w:rPr>
        <w:t xml:space="preserve"> el expediente formado con motivo del recurso de revisión </w:t>
      </w:r>
      <w:r w:rsidRPr="006E2DBF">
        <w:rPr>
          <w:rFonts w:ascii="Palatino Linotype" w:eastAsia="Palatino Linotype" w:hAnsi="Palatino Linotype" w:cs="Palatino Linotype"/>
          <w:b/>
          <w:bCs/>
          <w:sz w:val="22"/>
          <w:szCs w:val="22"/>
        </w:rPr>
        <w:t>08559/INFOEM/IP/RR/2025</w:t>
      </w:r>
      <w:r w:rsidRPr="006E2DBF">
        <w:rPr>
          <w:rFonts w:ascii="Palatino Linotype" w:eastAsia="Palatino Linotype" w:hAnsi="Palatino Linotype" w:cs="Palatino Linotype"/>
          <w:sz w:val="22"/>
          <w:szCs w:val="22"/>
        </w:rPr>
        <w:t>, interpuesto por</w:t>
      </w:r>
      <w:r w:rsidRPr="006E2DBF">
        <w:t xml:space="preserve"> </w:t>
      </w:r>
      <w:r w:rsidR="00EB7B9A" w:rsidRPr="00EB7B9A">
        <w:rPr>
          <w:rFonts w:ascii="Palatino Linotype" w:eastAsia="Palatino Linotype" w:hAnsi="Palatino Linotype" w:cs="Palatino Linotype"/>
          <w:b/>
          <w:bCs/>
          <w:sz w:val="22"/>
          <w:szCs w:val="22"/>
        </w:rPr>
        <w:t>XXXXX XXX XXXXXXX XXXXXX XXXXXXX</w:t>
      </w:r>
      <w:r w:rsidRPr="00EB7B9A">
        <w:rPr>
          <w:rFonts w:ascii="Palatino Linotype" w:eastAsia="Palatino Linotype" w:hAnsi="Palatino Linotype" w:cs="Palatino Linotype"/>
          <w:b/>
          <w:bCs/>
          <w:sz w:val="22"/>
          <w:szCs w:val="22"/>
        </w:rPr>
        <w:t>,</w:t>
      </w:r>
      <w:bookmarkStart w:id="2" w:name="_GoBack"/>
      <w:bookmarkEnd w:id="2"/>
      <w:r w:rsidRPr="006E2DBF">
        <w:rPr>
          <w:rFonts w:ascii="Palatino Linotype" w:eastAsia="Palatino Linotype" w:hAnsi="Palatino Linotype" w:cs="Palatino Linotype"/>
          <w:sz w:val="22"/>
          <w:szCs w:val="22"/>
        </w:rPr>
        <w:t xml:space="preserve"> en lo sucesivo</w:t>
      </w:r>
      <w:r w:rsidRPr="006E2DBF">
        <w:rPr>
          <w:rFonts w:ascii="Palatino Linotype" w:eastAsia="Palatino Linotype" w:hAnsi="Palatino Linotype" w:cs="Palatino Linotype"/>
          <w:b/>
          <w:bCs/>
          <w:sz w:val="22"/>
          <w:szCs w:val="22"/>
        </w:rPr>
        <w:t xml:space="preserve"> la parte</w:t>
      </w:r>
      <w:r w:rsidRPr="006E2DBF">
        <w:rPr>
          <w:rFonts w:ascii="Palatino Linotype" w:eastAsia="Palatino Linotype" w:hAnsi="Palatino Linotype" w:cs="Palatino Linotype"/>
          <w:sz w:val="22"/>
          <w:szCs w:val="22"/>
        </w:rPr>
        <w:t xml:space="preserve"> </w:t>
      </w:r>
      <w:r w:rsidRPr="006E2DBF">
        <w:rPr>
          <w:rFonts w:ascii="Palatino Linotype" w:eastAsia="Palatino Linotype" w:hAnsi="Palatino Linotype" w:cs="Palatino Linotype"/>
          <w:b/>
          <w:bCs/>
          <w:sz w:val="22"/>
          <w:szCs w:val="22"/>
        </w:rPr>
        <w:t>Recurrente,</w:t>
      </w:r>
      <w:r w:rsidRPr="006E2DBF">
        <w:rPr>
          <w:rFonts w:ascii="Palatino Linotype" w:eastAsia="Palatino Linotype" w:hAnsi="Palatino Linotype" w:cs="Palatino Linotype"/>
          <w:sz w:val="22"/>
          <w:szCs w:val="22"/>
        </w:rPr>
        <w:t xml:space="preserve"> en contra de la respuesta a su solicitud por parte del </w:t>
      </w:r>
      <w:r w:rsidRPr="006E2DBF">
        <w:rPr>
          <w:rFonts w:ascii="Palatino Linotype" w:eastAsia="Palatino Linotype" w:hAnsi="Palatino Linotype" w:cs="Palatino Linotype"/>
          <w:b/>
          <w:bCs/>
          <w:sz w:val="22"/>
          <w:szCs w:val="22"/>
        </w:rPr>
        <w:t xml:space="preserve">Ayuntamiento de Ecatepec de Morelos, </w:t>
      </w:r>
      <w:r w:rsidRPr="006E2DBF">
        <w:rPr>
          <w:rFonts w:ascii="Palatino Linotype" w:eastAsia="Palatino Linotype" w:hAnsi="Palatino Linotype" w:cs="Palatino Linotype"/>
          <w:sz w:val="22"/>
          <w:szCs w:val="22"/>
        </w:rPr>
        <w:t xml:space="preserve">en lo sucesivo el </w:t>
      </w:r>
      <w:r w:rsidRPr="006E2DBF">
        <w:rPr>
          <w:rFonts w:ascii="Palatino Linotype" w:eastAsia="Palatino Linotype" w:hAnsi="Palatino Linotype" w:cs="Palatino Linotype"/>
          <w:b/>
          <w:bCs/>
          <w:sz w:val="22"/>
          <w:szCs w:val="22"/>
        </w:rPr>
        <w:t xml:space="preserve">Sujeto Obligado, </w:t>
      </w:r>
      <w:r w:rsidRPr="006E2DBF">
        <w:rPr>
          <w:rFonts w:ascii="Palatino Linotype" w:eastAsia="Palatino Linotype" w:hAnsi="Palatino Linotype" w:cs="Palatino Linotype"/>
          <w:sz w:val="22"/>
          <w:szCs w:val="22"/>
        </w:rPr>
        <w:t xml:space="preserve">se procede a dictar la presente resolución con base en los siguientes: </w:t>
      </w:r>
    </w:p>
    <w:p w14:paraId="1D9BBD92" w14:textId="77777777" w:rsidR="00675A20" w:rsidRPr="006E2DBF" w:rsidRDefault="008D3090">
      <w:pPr>
        <w:spacing w:before="240" w:after="240" w:line="360" w:lineRule="auto"/>
        <w:jc w:val="center"/>
        <w:rPr>
          <w:rFonts w:ascii="Palatino Linotype" w:eastAsia="Palatino Linotype" w:hAnsi="Palatino Linotype" w:cs="Palatino Linotype"/>
          <w:b/>
          <w:bCs/>
          <w:sz w:val="22"/>
          <w:szCs w:val="22"/>
        </w:rPr>
      </w:pPr>
      <w:r w:rsidRPr="006E2DBF">
        <w:rPr>
          <w:rFonts w:ascii="Palatino Linotype" w:eastAsia="Palatino Linotype" w:hAnsi="Palatino Linotype" w:cs="Palatino Linotype"/>
          <w:b/>
          <w:bCs/>
          <w:sz w:val="22"/>
          <w:szCs w:val="22"/>
        </w:rPr>
        <w:t>I. A N T E C E D E N T E S</w:t>
      </w:r>
    </w:p>
    <w:p w14:paraId="7AC45C88" w14:textId="77777777" w:rsidR="00675A20" w:rsidRPr="006E2DBF" w:rsidRDefault="008D3090">
      <w:pPr>
        <w:spacing w:before="240" w:after="240"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sz w:val="22"/>
          <w:szCs w:val="22"/>
        </w:rPr>
        <w:t>1. Solicitud de acceso a la información.</w:t>
      </w:r>
      <w:r w:rsidRPr="006E2DBF">
        <w:rPr>
          <w:rFonts w:ascii="Palatino Linotype" w:eastAsia="Palatino Linotype" w:hAnsi="Palatino Linotype" w:cs="Palatino Linotype"/>
          <w:sz w:val="22"/>
          <w:szCs w:val="22"/>
        </w:rPr>
        <w:t xml:space="preserve"> El </w:t>
      </w:r>
      <w:r w:rsidRPr="006E2DBF">
        <w:rPr>
          <w:rFonts w:ascii="Palatino Linotype" w:eastAsia="Palatino Linotype" w:hAnsi="Palatino Linotype" w:cs="Palatino Linotype"/>
          <w:b/>
          <w:bCs/>
          <w:sz w:val="22"/>
          <w:szCs w:val="22"/>
        </w:rPr>
        <w:t>veintitrés de junio de dos mil veinticinco,</w:t>
      </w:r>
      <w:r w:rsidRPr="006E2DBF">
        <w:rPr>
          <w:rFonts w:ascii="Palatino Linotype" w:eastAsia="Palatino Linotype" w:hAnsi="Palatino Linotype" w:cs="Palatino Linotype"/>
          <w:sz w:val="22"/>
          <w:szCs w:val="22"/>
        </w:rPr>
        <w:t xml:space="preserve"> </w:t>
      </w:r>
      <w:r w:rsidRPr="006E2DBF">
        <w:rPr>
          <w:rFonts w:ascii="Palatino Linotype" w:eastAsia="Palatino Linotype" w:hAnsi="Palatino Linotype" w:cs="Palatino Linotype"/>
          <w:b/>
          <w:bCs/>
          <w:sz w:val="22"/>
          <w:szCs w:val="22"/>
        </w:rPr>
        <w:t>la parte</w:t>
      </w:r>
      <w:r w:rsidRPr="006E2DBF">
        <w:rPr>
          <w:rFonts w:ascii="Palatino Linotype" w:eastAsia="Palatino Linotype" w:hAnsi="Palatino Linotype" w:cs="Palatino Linotype"/>
          <w:sz w:val="22"/>
          <w:szCs w:val="22"/>
        </w:rPr>
        <w:t xml:space="preserve"> </w:t>
      </w:r>
      <w:r w:rsidRPr="006E2DBF">
        <w:rPr>
          <w:rFonts w:ascii="Palatino Linotype" w:eastAsia="Palatino Linotype" w:hAnsi="Palatino Linotype" w:cs="Palatino Linotype"/>
          <w:b/>
          <w:bCs/>
          <w:sz w:val="22"/>
          <w:szCs w:val="22"/>
        </w:rPr>
        <w:t xml:space="preserve">Recurrente </w:t>
      </w:r>
      <w:r w:rsidRPr="006E2DBF">
        <w:rPr>
          <w:rFonts w:ascii="Palatino Linotype" w:eastAsia="Palatino Linotype" w:hAnsi="Palatino Linotype" w:cs="Palatino Linotype"/>
          <w:sz w:val="22"/>
          <w:szCs w:val="22"/>
        </w:rPr>
        <w:t xml:space="preserve">a través del Sistema de Acceso a la Información Mexiquense, en lo subsecuente el SAIMEX, formuló ante el </w:t>
      </w:r>
      <w:r w:rsidRPr="006E2DBF">
        <w:rPr>
          <w:rFonts w:ascii="Palatino Linotype" w:eastAsia="Palatino Linotype" w:hAnsi="Palatino Linotype" w:cs="Palatino Linotype"/>
          <w:b/>
          <w:bCs/>
          <w:sz w:val="22"/>
          <w:szCs w:val="22"/>
        </w:rPr>
        <w:t>Sujeto Obligado</w:t>
      </w:r>
      <w:r w:rsidRPr="006E2DBF">
        <w:rPr>
          <w:rFonts w:ascii="Palatino Linotype" w:eastAsia="Palatino Linotype" w:hAnsi="Palatino Linotype" w:cs="Palatino Linotype"/>
          <w:sz w:val="22"/>
          <w:szCs w:val="22"/>
        </w:rPr>
        <w:t xml:space="preserve">, la solicitud de acceso a la información pública a la que se le asignó el número </w:t>
      </w:r>
      <w:r w:rsidRPr="006E2DBF">
        <w:rPr>
          <w:rFonts w:ascii="Palatino Linotype" w:eastAsia="Palatino Linotype" w:hAnsi="Palatino Linotype" w:cs="Palatino Linotype"/>
          <w:b/>
          <w:bCs/>
          <w:sz w:val="22"/>
          <w:szCs w:val="22"/>
        </w:rPr>
        <w:t>00524/ECATEPEC/IP/2025;</w:t>
      </w:r>
      <w:r w:rsidRPr="006E2DBF">
        <w:rPr>
          <w:rFonts w:ascii="Palatino Linotype" w:eastAsia="Palatino Linotype" w:hAnsi="Palatino Linotype" w:cs="Palatino Linotype"/>
          <w:sz w:val="22"/>
          <w:szCs w:val="22"/>
        </w:rPr>
        <w:t xml:space="preserve"> mediante la cual requirió la información siguiente: </w:t>
      </w:r>
    </w:p>
    <w:p w14:paraId="5A1ECD15" w14:textId="77777777" w:rsidR="00675A20" w:rsidRPr="006E2DBF" w:rsidRDefault="008D3090">
      <w:pPr>
        <w:spacing w:before="240" w:after="240"/>
        <w:ind w:left="567" w:right="474"/>
        <w:jc w:val="both"/>
        <w:rPr>
          <w:rFonts w:ascii="Palatino Linotype" w:eastAsia="Palatino Linotype" w:hAnsi="Palatino Linotype" w:cs="Palatino Linotype"/>
          <w:i/>
          <w:iCs/>
          <w:sz w:val="22"/>
          <w:szCs w:val="22"/>
        </w:rPr>
      </w:pPr>
      <w:bookmarkStart w:id="3" w:name="_heading=h.gjdgxs" w:colFirst="0" w:colLast="0"/>
      <w:bookmarkEnd w:id="3"/>
      <w:r w:rsidRPr="006E2DBF">
        <w:rPr>
          <w:rFonts w:ascii="Palatino Linotype" w:eastAsia="Palatino Linotype" w:hAnsi="Palatino Linotype" w:cs="Palatino Linotype"/>
          <w:i/>
          <w:iCs/>
          <w:sz w:val="22"/>
          <w:szCs w:val="22"/>
        </w:rPr>
        <w:t xml:space="preserve">“Con el objeto de que se me entregue una respuesta con TRANSPARENCIA, estimare que la respuesta sea suscrita por la H. Presidenta Municipal de Ecatepec de Morelos, con todo respeto agradeceré, se me indique el número de Valoraciones de Riesgo y/o Dictámenes de Riesgo realizados por la Dirección de Medio Ambiente y Ecología en el año 2023, relacionados con la poda, derribo y/o trasplante de un árbol en banquetas del Municipio de Ecatepec de Morelos.” (Sic) </w:t>
      </w:r>
    </w:p>
    <w:p w14:paraId="6AAE8C3F" w14:textId="77777777" w:rsidR="00675A20" w:rsidRPr="006E2DBF" w:rsidRDefault="008D3090">
      <w:pPr>
        <w:spacing w:before="240" w:after="240" w:line="360" w:lineRule="auto"/>
        <w:ind w:right="49"/>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sz w:val="22"/>
          <w:szCs w:val="22"/>
        </w:rPr>
        <w:t>Modalidad de Entrega:</w:t>
      </w:r>
      <w:r w:rsidRPr="006E2DBF">
        <w:rPr>
          <w:rFonts w:ascii="Palatino Linotype" w:eastAsia="Palatino Linotype" w:hAnsi="Palatino Linotype" w:cs="Palatino Linotype"/>
          <w:sz w:val="22"/>
          <w:szCs w:val="22"/>
        </w:rPr>
        <w:t xml:space="preserve"> a través del Sistema de Acceso a la Información Mexiquense (SAIMEX).</w:t>
      </w:r>
    </w:p>
    <w:p w14:paraId="45474320" w14:textId="77777777" w:rsidR="00675A20" w:rsidRPr="006E2DBF" w:rsidRDefault="00675A20">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bCs/>
          <w:sz w:val="22"/>
          <w:szCs w:val="22"/>
        </w:rPr>
      </w:pPr>
      <w:bookmarkStart w:id="4" w:name="_heading=h.3dy6vkm" w:colFirst="0" w:colLast="0"/>
      <w:bookmarkEnd w:id="4"/>
    </w:p>
    <w:p w14:paraId="59E6EE3A" w14:textId="77777777" w:rsidR="00675A20" w:rsidRPr="006E2DBF" w:rsidRDefault="008D3090">
      <w:pPr>
        <w:pBdr>
          <w:top w:val="nil"/>
          <w:left w:val="nil"/>
          <w:bottom w:val="nil"/>
          <w:right w:val="nil"/>
          <w:between w:val="nil"/>
        </w:pBdr>
        <w:tabs>
          <w:tab w:val="left" w:pos="142"/>
          <w:tab w:val="left" w:pos="284"/>
        </w:tabs>
        <w:spacing w:line="360" w:lineRule="auto"/>
        <w:jc w:val="both"/>
        <w:rPr>
          <w:rFonts w:ascii="Palatino Linotype" w:eastAsia="Palatino Linotype" w:hAnsi="Palatino Linotype" w:cs="Palatino Linotype"/>
          <w:b/>
          <w:bCs/>
          <w:sz w:val="22"/>
          <w:szCs w:val="22"/>
        </w:rPr>
      </w:pPr>
      <w:r w:rsidRPr="006E2DBF">
        <w:rPr>
          <w:rFonts w:ascii="Palatino Linotype" w:eastAsia="Palatino Linotype" w:hAnsi="Palatino Linotype" w:cs="Palatino Linotype"/>
          <w:b/>
          <w:bCs/>
          <w:sz w:val="22"/>
          <w:szCs w:val="22"/>
        </w:rPr>
        <w:t>2.</w:t>
      </w:r>
      <w:r w:rsidRPr="006E2DBF">
        <w:t xml:space="preserve"> </w:t>
      </w:r>
      <w:r w:rsidRPr="006E2DBF">
        <w:rPr>
          <w:rFonts w:ascii="Palatino Linotype" w:eastAsia="Palatino Linotype" w:hAnsi="Palatino Linotype" w:cs="Palatino Linotype"/>
          <w:b/>
          <w:bCs/>
          <w:sz w:val="22"/>
          <w:szCs w:val="22"/>
        </w:rPr>
        <w:t xml:space="preserve">Respuesta. </w:t>
      </w:r>
      <w:r w:rsidRPr="006E2DBF">
        <w:rPr>
          <w:rFonts w:ascii="Palatino Linotype" w:eastAsia="Palatino Linotype" w:hAnsi="Palatino Linotype" w:cs="Palatino Linotype"/>
          <w:sz w:val="22"/>
          <w:szCs w:val="22"/>
        </w:rPr>
        <w:t xml:space="preserve">El </w:t>
      </w:r>
      <w:r w:rsidRPr="006E2DBF">
        <w:rPr>
          <w:rFonts w:ascii="Palatino Linotype" w:eastAsia="Palatino Linotype" w:hAnsi="Palatino Linotype" w:cs="Palatino Linotype"/>
          <w:b/>
          <w:bCs/>
          <w:sz w:val="22"/>
          <w:szCs w:val="22"/>
        </w:rPr>
        <w:t>catorce de julio de dos mil veinticinco</w:t>
      </w:r>
      <w:r w:rsidRPr="006E2DBF">
        <w:rPr>
          <w:rFonts w:ascii="Palatino Linotype" w:eastAsia="Palatino Linotype" w:hAnsi="Palatino Linotype" w:cs="Palatino Linotype"/>
          <w:sz w:val="22"/>
          <w:szCs w:val="22"/>
        </w:rPr>
        <w:t xml:space="preserve">, el </w:t>
      </w:r>
      <w:r w:rsidRPr="006E2DBF">
        <w:rPr>
          <w:rFonts w:ascii="Palatino Linotype" w:eastAsia="Palatino Linotype" w:hAnsi="Palatino Linotype" w:cs="Palatino Linotype"/>
          <w:b/>
          <w:bCs/>
          <w:sz w:val="22"/>
          <w:szCs w:val="22"/>
        </w:rPr>
        <w:t xml:space="preserve">Sujeto Obligado </w:t>
      </w:r>
      <w:r w:rsidRPr="006E2DBF">
        <w:rPr>
          <w:rFonts w:ascii="Palatino Linotype" w:eastAsia="Palatino Linotype" w:hAnsi="Palatino Linotype" w:cs="Palatino Linotype"/>
          <w:sz w:val="22"/>
          <w:szCs w:val="22"/>
        </w:rPr>
        <w:t>envió su respuesta a la solicitud de acceso a la información a través de SAIMEX, sustancialmente en los términos siguientes:</w:t>
      </w:r>
    </w:p>
    <w:p w14:paraId="0B4E0B7A" w14:textId="77777777" w:rsidR="00675A20" w:rsidRPr="006E2DBF" w:rsidRDefault="008D3090">
      <w:pPr>
        <w:spacing w:before="240" w:after="240"/>
        <w:ind w:left="567" w:right="902"/>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 xml:space="preserve">“Me permito hacer de su conocimiento que, de acuerdo a las observaciones que realizó la suscrita, </w:t>
      </w:r>
      <w:r w:rsidRPr="006E2DBF">
        <w:rPr>
          <w:rFonts w:ascii="Palatino Linotype" w:eastAsia="Palatino Linotype" w:hAnsi="Palatino Linotype" w:cs="Palatino Linotype"/>
          <w:b/>
          <w:bCs/>
          <w:i/>
          <w:iCs/>
          <w:sz w:val="22"/>
          <w:szCs w:val="22"/>
        </w:rPr>
        <w:t>derivadas del Acto de Entrega-Recepción de la presente administración, referente a la Subdirección de Conservación y Restauración Ecológica ;y Jefatura de Manejo de Arbolado Urbano y enviadas en su momento al Mtro. Carlos Ríos Saucedo, Contralor Interno Municipal del H. Ayuntamiento de Ecatepec de Morelos</w:t>
      </w:r>
      <w:r w:rsidRPr="006E2DBF">
        <w:rPr>
          <w:rFonts w:ascii="Palatino Linotype" w:eastAsia="Palatino Linotype" w:hAnsi="Palatino Linotype" w:cs="Palatino Linotype"/>
          <w:i/>
          <w:iCs/>
          <w:sz w:val="22"/>
          <w:szCs w:val="22"/>
        </w:rPr>
        <w:t xml:space="preserve">, de acuerdo al número de oficio DMAYEC/ECA/241/2025 de fecha 31 de marzo del año en curso (*se anexa copia simple para pronta referencia); </w:t>
      </w:r>
      <w:r w:rsidRPr="006E2DBF">
        <w:rPr>
          <w:rFonts w:ascii="Palatino Linotype" w:eastAsia="Palatino Linotype" w:hAnsi="Palatino Linotype" w:cs="Palatino Linotype"/>
          <w:b/>
          <w:bCs/>
          <w:i/>
          <w:iCs/>
          <w:sz w:val="22"/>
          <w:szCs w:val="22"/>
        </w:rPr>
        <w:t>se le informa que, no se me hizo la entrega física de los expedientes descritos en el sistema CREG al momento de llevar a cabo la recepción del área, por lo que me veo imposibilitada a emitir respuesta a su petición</w:t>
      </w:r>
      <w:r w:rsidRPr="006E2DBF">
        <w:rPr>
          <w:rFonts w:ascii="Palatino Linotype" w:eastAsia="Palatino Linotype" w:hAnsi="Palatino Linotype" w:cs="Palatino Linotype"/>
          <w:i/>
          <w:iCs/>
          <w:sz w:val="22"/>
          <w:szCs w:val="22"/>
        </w:rPr>
        <w:t>.” (Sic)</w:t>
      </w:r>
    </w:p>
    <w:p w14:paraId="4C1B0A15" w14:textId="77777777" w:rsidR="00675A20" w:rsidRPr="006E2DBF" w:rsidRDefault="008D3090">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Adjunto a la respuesta, el </w:t>
      </w:r>
      <w:r w:rsidRPr="006E2DBF">
        <w:rPr>
          <w:rFonts w:ascii="Palatino Linotype" w:eastAsia="Palatino Linotype" w:hAnsi="Palatino Linotype" w:cs="Palatino Linotype"/>
          <w:b/>
          <w:bCs/>
          <w:sz w:val="22"/>
          <w:szCs w:val="22"/>
        </w:rPr>
        <w:t xml:space="preserve">Sujeto Obligado </w:t>
      </w:r>
      <w:r w:rsidRPr="006E2DBF">
        <w:rPr>
          <w:rFonts w:ascii="Palatino Linotype" w:eastAsia="Palatino Linotype" w:hAnsi="Palatino Linotype" w:cs="Palatino Linotype"/>
          <w:sz w:val="22"/>
          <w:szCs w:val="22"/>
        </w:rPr>
        <w:t>hizo entrega de la siguiente información:</w:t>
      </w:r>
    </w:p>
    <w:p w14:paraId="445E9B66" w14:textId="77777777" w:rsidR="00675A20" w:rsidRPr="006E2DBF" w:rsidRDefault="00675A20">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7C7C74BD" w14:textId="77777777" w:rsidR="00675A20" w:rsidRPr="006E2DBF" w:rsidRDefault="008D3090">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Oficio del 31 de marzo de 2025, por medio del cual la actual Directora de Medio Ambiente y Ecología manifiesta al Contralor Interno Municipal las irregularidades advertidas del proceso de revisión de información del acta y anexos relacionados con la entrega recepción de la anterior titular de dicha Dirección, la Biol. Katy Elizabeth Domínguez Flores, como lo fue la falta de entrega de determinada información.</w:t>
      </w:r>
    </w:p>
    <w:p w14:paraId="4D976AF3" w14:textId="77777777" w:rsidR="00675A20" w:rsidRPr="006E2DBF" w:rsidRDefault="00675A20">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44EEC285" w14:textId="77777777" w:rsidR="00675A20" w:rsidRPr="006E2DBF" w:rsidRDefault="008D3090">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6E2DBF">
        <w:rPr>
          <w:rFonts w:ascii="Palatino Linotype" w:eastAsia="Palatino Linotype" w:hAnsi="Palatino Linotype" w:cs="Palatino Linotype"/>
          <w:b/>
          <w:bCs/>
          <w:sz w:val="22"/>
          <w:szCs w:val="22"/>
        </w:rPr>
        <w:t xml:space="preserve">3. Interposición del recurso de revisión. </w:t>
      </w:r>
      <w:r w:rsidRPr="006E2DBF">
        <w:rPr>
          <w:rFonts w:ascii="Palatino Linotype" w:eastAsia="Palatino Linotype" w:hAnsi="Palatino Linotype" w:cs="Palatino Linotype"/>
          <w:sz w:val="22"/>
          <w:szCs w:val="22"/>
        </w:rPr>
        <w:t xml:space="preserve">Inconforme con los términos de la respuesta emitida por parte del </w:t>
      </w:r>
      <w:r w:rsidRPr="006E2DBF">
        <w:rPr>
          <w:rFonts w:ascii="Palatino Linotype" w:eastAsia="Palatino Linotype" w:hAnsi="Palatino Linotype" w:cs="Palatino Linotype"/>
          <w:b/>
          <w:bCs/>
          <w:sz w:val="22"/>
          <w:szCs w:val="22"/>
        </w:rPr>
        <w:t>Sujeto Obligado</w:t>
      </w:r>
      <w:r w:rsidRPr="006E2DBF">
        <w:rPr>
          <w:rFonts w:ascii="Palatino Linotype" w:eastAsia="Palatino Linotype" w:hAnsi="Palatino Linotype" w:cs="Palatino Linotype"/>
          <w:sz w:val="22"/>
          <w:szCs w:val="22"/>
        </w:rPr>
        <w:t>, el</w:t>
      </w:r>
      <w:r w:rsidRPr="006E2DBF">
        <w:rPr>
          <w:rFonts w:ascii="Palatino Linotype" w:eastAsia="Palatino Linotype" w:hAnsi="Palatino Linotype" w:cs="Palatino Linotype"/>
          <w:b/>
          <w:bCs/>
          <w:sz w:val="22"/>
          <w:szCs w:val="22"/>
        </w:rPr>
        <w:t xml:space="preserve"> catorce de julio de dos mil veinticinco,</w:t>
      </w:r>
      <w:r w:rsidRPr="006E2DBF">
        <w:rPr>
          <w:rFonts w:ascii="Palatino Linotype" w:eastAsia="Palatino Linotype" w:hAnsi="Palatino Linotype" w:cs="Palatino Linotype"/>
          <w:sz w:val="22"/>
          <w:szCs w:val="22"/>
        </w:rPr>
        <w:t xml:space="preserve"> </w:t>
      </w:r>
      <w:r w:rsidRPr="006E2DBF">
        <w:rPr>
          <w:rFonts w:ascii="Palatino Linotype" w:eastAsia="Palatino Linotype" w:hAnsi="Palatino Linotype" w:cs="Palatino Linotype"/>
          <w:b/>
          <w:bCs/>
          <w:sz w:val="22"/>
          <w:szCs w:val="22"/>
        </w:rPr>
        <w:t>la parte</w:t>
      </w:r>
      <w:r w:rsidRPr="006E2DBF">
        <w:rPr>
          <w:rFonts w:ascii="Palatino Linotype" w:eastAsia="Palatino Linotype" w:hAnsi="Palatino Linotype" w:cs="Palatino Linotype"/>
          <w:sz w:val="22"/>
          <w:szCs w:val="22"/>
        </w:rPr>
        <w:t xml:space="preserve"> </w:t>
      </w:r>
      <w:r w:rsidRPr="006E2DBF">
        <w:rPr>
          <w:rFonts w:ascii="Palatino Linotype" w:eastAsia="Palatino Linotype" w:hAnsi="Palatino Linotype" w:cs="Palatino Linotype"/>
          <w:b/>
          <w:bCs/>
          <w:sz w:val="22"/>
          <w:szCs w:val="22"/>
        </w:rPr>
        <w:t>Recurrente</w:t>
      </w:r>
      <w:r w:rsidRPr="006E2DBF">
        <w:rPr>
          <w:rFonts w:ascii="Palatino Linotype" w:eastAsia="Palatino Linotype" w:hAnsi="Palatino Linotype" w:cs="Palatino Linotype"/>
          <w:sz w:val="22"/>
          <w:szCs w:val="22"/>
        </w:rPr>
        <w:t xml:space="preserve"> interpuso el recurso de revisión a través de </w:t>
      </w:r>
      <w:r w:rsidRPr="006E2DBF">
        <w:rPr>
          <w:rFonts w:ascii="Palatino Linotype" w:eastAsia="Palatino Linotype" w:hAnsi="Palatino Linotype" w:cs="Palatino Linotype"/>
          <w:b/>
          <w:bCs/>
          <w:sz w:val="22"/>
          <w:szCs w:val="22"/>
        </w:rPr>
        <w:t xml:space="preserve">SAIMEX, </w:t>
      </w:r>
      <w:r w:rsidRPr="006E2DBF">
        <w:rPr>
          <w:rFonts w:ascii="Palatino Linotype" w:eastAsia="Palatino Linotype" w:hAnsi="Palatino Linotype" w:cs="Palatino Linotype"/>
          <w:sz w:val="22"/>
          <w:szCs w:val="22"/>
        </w:rPr>
        <w:t>en donde se manifestó de la siguiente manera:</w:t>
      </w:r>
    </w:p>
    <w:p w14:paraId="16A944C8" w14:textId="77777777" w:rsidR="00675A20" w:rsidRPr="006E2DBF" w:rsidRDefault="008D3090">
      <w:pPr>
        <w:tabs>
          <w:tab w:val="left" w:pos="2745"/>
        </w:tabs>
        <w:spacing w:before="240" w:after="240" w:line="276" w:lineRule="auto"/>
        <w:ind w:left="567" w:right="900"/>
        <w:jc w:val="both"/>
        <w:rPr>
          <w:rFonts w:ascii="Palatino Linotype" w:eastAsia="Palatino Linotype" w:hAnsi="Palatino Linotype" w:cs="Palatino Linotype"/>
          <w:b/>
          <w:bCs/>
          <w:sz w:val="22"/>
          <w:szCs w:val="22"/>
        </w:rPr>
      </w:pPr>
      <w:r w:rsidRPr="006E2DBF">
        <w:rPr>
          <w:rFonts w:ascii="Palatino Linotype" w:eastAsia="Palatino Linotype" w:hAnsi="Palatino Linotype" w:cs="Palatino Linotype"/>
          <w:b/>
          <w:bCs/>
          <w:sz w:val="22"/>
          <w:szCs w:val="22"/>
        </w:rPr>
        <w:t xml:space="preserve">a) Acto impugnado: </w:t>
      </w:r>
      <w:r w:rsidRPr="006E2DBF">
        <w:rPr>
          <w:rFonts w:ascii="Palatino Linotype" w:eastAsia="Palatino Linotype" w:hAnsi="Palatino Linotype" w:cs="Palatino Linotype"/>
          <w:i/>
          <w:iCs/>
          <w:sz w:val="22"/>
          <w:szCs w:val="22"/>
        </w:rPr>
        <w:t xml:space="preserve">“Con el objeto de que se me entregue una respuesta con TRANSPARENCIA, estimare que la respuesta sea suscrita por la H. Presidenta </w:t>
      </w:r>
      <w:r w:rsidRPr="006E2DBF">
        <w:rPr>
          <w:rFonts w:ascii="Palatino Linotype" w:eastAsia="Palatino Linotype" w:hAnsi="Palatino Linotype" w:cs="Palatino Linotype"/>
          <w:i/>
          <w:iCs/>
          <w:sz w:val="22"/>
          <w:szCs w:val="22"/>
        </w:rPr>
        <w:lastRenderedPageBreak/>
        <w:t xml:space="preserve">Municipal de Ecatepec de Morelos, con todo respeto agradeceré, se me indique </w:t>
      </w:r>
      <w:r w:rsidRPr="006E2DBF">
        <w:rPr>
          <w:rFonts w:ascii="Palatino Linotype" w:eastAsia="Palatino Linotype" w:hAnsi="Palatino Linotype" w:cs="Palatino Linotype"/>
          <w:b/>
          <w:bCs/>
          <w:i/>
          <w:iCs/>
          <w:sz w:val="22"/>
          <w:szCs w:val="22"/>
        </w:rPr>
        <w:t>el número de Valoraciones de Riesgo y/o Dictámenes de Riesgo realizados por la Dirección de Medio Ambiente y Ecología en el año 2023, relacionados con la poda, derribo y/o trasplante de un árbol en banquetas del Municipio de Ecatepec de Morelos.</w:t>
      </w:r>
      <w:r w:rsidRPr="006E2DBF">
        <w:rPr>
          <w:rFonts w:ascii="Palatino Linotype" w:eastAsia="Palatino Linotype" w:hAnsi="Palatino Linotype" w:cs="Palatino Linotype"/>
          <w:i/>
          <w:iCs/>
          <w:sz w:val="22"/>
          <w:szCs w:val="22"/>
        </w:rPr>
        <w:t>” (Sic)</w:t>
      </w:r>
    </w:p>
    <w:p w14:paraId="76C065AC" w14:textId="77777777" w:rsidR="00675A20" w:rsidRPr="006E2DBF" w:rsidRDefault="008D3090">
      <w:pPr>
        <w:spacing w:line="276" w:lineRule="auto"/>
        <w:ind w:left="567" w:right="900"/>
        <w:jc w:val="both"/>
        <w:rPr>
          <w:rFonts w:ascii="Palatino Linotype" w:eastAsia="Palatino Linotype" w:hAnsi="Palatino Linotype" w:cs="Palatino Linotype"/>
          <w:i/>
          <w:iCs/>
          <w:sz w:val="22"/>
          <w:szCs w:val="22"/>
        </w:rPr>
      </w:pPr>
      <w:bookmarkStart w:id="5" w:name="_heading=h.30j0zll" w:colFirst="0" w:colLast="0"/>
      <w:bookmarkEnd w:id="5"/>
      <w:r w:rsidRPr="006E2DBF">
        <w:rPr>
          <w:rFonts w:ascii="Palatino Linotype" w:eastAsia="Palatino Linotype" w:hAnsi="Palatino Linotype" w:cs="Palatino Linotype"/>
          <w:b/>
          <w:bCs/>
          <w:sz w:val="22"/>
          <w:szCs w:val="22"/>
        </w:rPr>
        <w:t>b) Razones o motivos de inconformidad</w:t>
      </w:r>
      <w:r w:rsidRPr="006E2DBF">
        <w:rPr>
          <w:rFonts w:ascii="Palatino Linotype" w:eastAsia="Palatino Linotype" w:hAnsi="Palatino Linotype" w:cs="Palatino Linotype"/>
          <w:sz w:val="22"/>
          <w:szCs w:val="22"/>
        </w:rPr>
        <w:t xml:space="preserve">: </w:t>
      </w:r>
      <w:r w:rsidRPr="006E2DBF">
        <w:rPr>
          <w:rFonts w:ascii="Palatino Linotype" w:eastAsia="Palatino Linotype" w:hAnsi="Palatino Linotype" w:cs="Palatino Linotype"/>
          <w:i/>
          <w:iCs/>
          <w:sz w:val="22"/>
          <w:szCs w:val="22"/>
        </w:rPr>
        <w:t>H. Presidenta Municipal de Ecatepec de Morelos, se anexa archivo con el nombre de "obs DMAYE", no se contesta la solicitud de información, ni se realiza una búsqueda exhaustiva en otras áreas del Ayuntamiento de Ecatepec de Morelos.” (Sic)</w:t>
      </w:r>
    </w:p>
    <w:p w14:paraId="4E098074" w14:textId="77777777" w:rsidR="00675A20" w:rsidRPr="006E2DBF" w:rsidRDefault="00675A20">
      <w:pPr>
        <w:spacing w:line="276" w:lineRule="auto"/>
        <w:ind w:left="567" w:right="900"/>
        <w:jc w:val="both"/>
        <w:rPr>
          <w:rFonts w:ascii="Palatino Linotype" w:eastAsia="Palatino Linotype" w:hAnsi="Palatino Linotype" w:cs="Palatino Linotype"/>
          <w:i/>
          <w:iCs/>
          <w:sz w:val="22"/>
          <w:szCs w:val="22"/>
        </w:rPr>
      </w:pPr>
    </w:p>
    <w:p w14:paraId="5D91BD7A" w14:textId="77777777" w:rsidR="00675A20" w:rsidRPr="006E2DBF" w:rsidRDefault="008D3090">
      <w:pPr>
        <w:spacing w:line="360" w:lineRule="auto"/>
        <w:ind w:right="51"/>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sz w:val="22"/>
          <w:szCs w:val="22"/>
        </w:rPr>
        <w:t xml:space="preserve">4. Turno. </w:t>
      </w:r>
      <w:r w:rsidRPr="006E2DBF">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6E2DBF">
        <w:rPr>
          <w:rFonts w:ascii="Palatino Linotype" w:eastAsia="Palatino Linotype" w:hAnsi="Palatino Linotype" w:cs="Palatino Linotype"/>
          <w:b/>
          <w:bCs/>
          <w:sz w:val="22"/>
          <w:szCs w:val="22"/>
        </w:rPr>
        <w:t xml:space="preserve">Guadalupe Ramírez Peña, </w:t>
      </w:r>
      <w:r w:rsidRPr="006E2DBF">
        <w:rPr>
          <w:rFonts w:ascii="Palatino Linotype" w:eastAsia="Palatino Linotype" w:hAnsi="Palatino Linotype" w:cs="Palatino Linotype"/>
          <w:sz w:val="22"/>
          <w:szCs w:val="22"/>
        </w:rPr>
        <w:t>a efecto de que analizara sobre su admisión o su desechamiento.</w:t>
      </w:r>
    </w:p>
    <w:p w14:paraId="3B1EDB45" w14:textId="77777777" w:rsidR="00675A20" w:rsidRPr="006E2DBF" w:rsidRDefault="00675A20">
      <w:pPr>
        <w:spacing w:line="360" w:lineRule="auto"/>
        <w:ind w:right="51"/>
        <w:jc w:val="both"/>
        <w:rPr>
          <w:rFonts w:ascii="Palatino Linotype" w:eastAsia="Palatino Linotype" w:hAnsi="Palatino Linotype" w:cs="Palatino Linotype"/>
          <w:sz w:val="22"/>
          <w:szCs w:val="22"/>
        </w:rPr>
      </w:pPr>
    </w:p>
    <w:p w14:paraId="29CEB9C3"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sz w:val="22"/>
          <w:szCs w:val="22"/>
        </w:rPr>
        <w:t>5. Admisión del Recurso de revisión.</w:t>
      </w:r>
      <w:r w:rsidRPr="006E2DBF">
        <w:rPr>
          <w:rFonts w:ascii="Palatino Linotype" w:eastAsia="Palatino Linotype" w:hAnsi="Palatino Linotype" w:cs="Palatino Linotype"/>
          <w:sz w:val="22"/>
          <w:szCs w:val="22"/>
        </w:rPr>
        <w:t xml:space="preserve"> El </w:t>
      </w:r>
      <w:r w:rsidRPr="006E2DBF">
        <w:rPr>
          <w:rFonts w:ascii="Palatino Linotype" w:eastAsia="Palatino Linotype" w:hAnsi="Palatino Linotype" w:cs="Palatino Linotype"/>
          <w:b/>
          <w:bCs/>
          <w:sz w:val="22"/>
          <w:szCs w:val="22"/>
        </w:rPr>
        <w:t xml:space="preserve">diecisiete de julio de dos mil veinticinco, </w:t>
      </w:r>
      <w:r w:rsidRPr="006E2DBF">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6E2DBF">
        <w:rPr>
          <w:rFonts w:ascii="Palatino Linotype" w:eastAsia="Palatino Linotype" w:hAnsi="Palatino Linotype" w:cs="Palatino Linotype"/>
          <w:b/>
          <w:bCs/>
          <w:sz w:val="22"/>
          <w:szCs w:val="22"/>
        </w:rPr>
        <w:t xml:space="preserve">Sujeto Obligado </w:t>
      </w:r>
      <w:r w:rsidRPr="006E2DBF">
        <w:rPr>
          <w:rFonts w:ascii="Palatino Linotype" w:eastAsia="Palatino Linotype" w:hAnsi="Palatino Linotype" w:cs="Palatino Linotype"/>
          <w:sz w:val="22"/>
          <w:szCs w:val="22"/>
        </w:rPr>
        <w:t>presentara su informe justificado.</w:t>
      </w:r>
    </w:p>
    <w:p w14:paraId="7AB9438E"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306196FF" w14:textId="77777777" w:rsidR="00675A20" w:rsidRPr="006E2DBF" w:rsidRDefault="008D309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b/>
          <w:bCs/>
          <w:i/>
          <w:iCs/>
          <w:sz w:val="22"/>
          <w:szCs w:val="22"/>
        </w:rPr>
      </w:pPr>
      <w:bookmarkStart w:id="6" w:name="_heading=h.2s8eyo1" w:colFirst="0" w:colLast="0"/>
      <w:bookmarkEnd w:id="6"/>
      <w:r w:rsidRPr="006E2DBF">
        <w:rPr>
          <w:rFonts w:ascii="Palatino Linotype" w:eastAsia="Palatino Linotype" w:hAnsi="Palatino Linotype" w:cs="Palatino Linotype"/>
          <w:b/>
          <w:bCs/>
          <w:sz w:val="22"/>
          <w:szCs w:val="22"/>
        </w:rPr>
        <w:t>6. Manifestaciones</w:t>
      </w:r>
      <w:r w:rsidRPr="006E2DBF">
        <w:rPr>
          <w:rFonts w:ascii="Palatino Linotype" w:eastAsia="Palatino Linotype" w:hAnsi="Palatino Linotype" w:cs="Palatino Linotype"/>
          <w:sz w:val="22"/>
          <w:szCs w:val="22"/>
        </w:rPr>
        <w:t xml:space="preserve">. De las constancias que integran el expediente en que se actúa se advierte que la parte </w:t>
      </w:r>
      <w:r w:rsidRPr="006E2DBF">
        <w:rPr>
          <w:rFonts w:ascii="Palatino Linotype" w:eastAsia="Palatino Linotype" w:hAnsi="Palatino Linotype" w:cs="Palatino Linotype"/>
          <w:b/>
          <w:bCs/>
          <w:sz w:val="22"/>
          <w:szCs w:val="22"/>
        </w:rPr>
        <w:t xml:space="preserve">Recurrente </w:t>
      </w:r>
      <w:r w:rsidRPr="006E2DBF">
        <w:rPr>
          <w:rFonts w:ascii="Palatino Linotype" w:eastAsia="Palatino Linotype" w:hAnsi="Palatino Linotype" w:cs="Palatino Linotype"/>
          <w:sz w:val="22"/>
          <w:szCs w:val="22"/>
        </w:rPr>
        <w:t>en fecha diecisiete de julio de dos mil veinticinco rindió alegatos reiterando sus motivos de inconformidad en los siguientes términos: “</w:t>
      </w:r>
      <w:r w:rsidRPr="006E2DBF">
        <w:rPr>
          <w:rFonts w:ascii="Palatino Linotype" w:eastAsia="Palatino Linotype" w:hAnsi="Palatino Linotype" w:cs="Palatino Linotype"/>
          <w:b/>
          <w:bCs/>
          <w:i/>
          <w:iCs/>
          <w:sz w:val="22"/>
          <w:szCs w:val="22"/>
        </w:rPr>
        <w:t>H. Presidenta Municipal de Ecatepec de Morelos, se anexa archivo con el nombre de "obs DMAYE", no se contesta la solicitud de información, ni se realiza una búsqueda exhaustiva en otras áreas del Ayuntamiento de Ecatepec de Morelos.”</w:t>
      </w:r>
    </w:p>
    <w:p w14:paraId="2AEA8A95" w14:textId="77777777" w:rsidR="00675A20" w:rsidRPr="006E2DBF" w:rsidRDefault="00675A2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02D336B9" w14:textId="77777777" w:rsidR="00675A20" w:rsidRPr="006E2DBF" w:rsidRDefault="008D309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Asimismo, la parte </w:t>
      </w:r>
      <w:r w:rsidRPr="006E2DBF">
        <w:rPr>
          <w:rFonts w:ascii="Palatino Linotype" w:eastAsia="Palatino Linotype" w:hAnsi="Palatino Linotype" w:cs="Palatino Linotype"/>
          <w:b/>
          <w:bCs/>
          <w:sz w:val="22"/>
          <w:szCs w:val="22"/>
        </w:rPr>
        <w:t xml:space="preserve">Recurrente </w:t>
      </w:r>
      <w:r w:rsidRPr="006E2DBF">
        <w:rPr>
          <w:rFonts w:ascii="Palatino Linotype" w:eastAsia="Palatino Linotype" w:hAnsi="Palatino Linotype" w:cs="Palatino Linotype"/>
          <w:sz w:val="22"/>
          <w:szCs w:val="22"/>
        </w:rPr>
        <w:t>adjuntó a dichas manifestaciones el acuerdo de admisión del presente medio de defensa.</w:t>
      </w:r>
    </w:p>
    <w:p w14:paraId="7BE6FA58" w14:textId="77777777" w:rsidR="00675A20" w:rsidRPr="006E2DBF" w:rsidRDefault="00675A2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671F0970" w14:textId="77777777" w:rsidR="00675A20" w:rsidRPr="006E2DBF" w:rsidRDefault="008D309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Por su parte, el </w:t>
      </w:r>
      <w:r w:rsidRPr="006E2DBF">
        <w:rPr>
          <w:rFonts w:ascii="Palatino Linotype" w:eastAsia="Palatino Linotype" w:hAnsi="Palatino Linotype" w:cs="Palatino Linotype"/>
          <w:b/>
          <w:bCs/>
          <w:sz w:val="22"/>
          <w:szCs w:val="22"/>
        </w:rPr>
        <w:t xml:space="preserve">Sujeto Obligado </w:t>
      </w:r>
      <w:r w:rsidRPr="006E2DBF">
        <w:rPr>
          <w:rFonts w:ascii="Palatino Linotype" w:eastAsia="Palatino Linotype" w:hAnsi="Palatino Linotype" w:cs="Palatino Linotype"/>
          <w:sz w:val="22"/>
          <w:szCs w:val="22"/>
        </w:rPr>
        <w:t>rindió su informe justificado en fecha doce de agosto de dos mil veinticinco, a través del archivo electrónico denominado “</w:t>
      </w:r>
      <w:r w:rsidRPr="006E2DBF">
        <w:rPr>
          <w:rFonts w:ascii="Palatino Linotype" w:eastAsia="Palatino Linotype" w:hAnsi="Palatino Linotype" w:cs="Palatino Linotype"/>
          <w:b/>
          <w:bCs/>
          <w:i/>
          <w:iCs/>
          <w:sz w:val="22"/>
          <w:szCs w:val="22"/>
        </w:rPr>
        <w:t>informe 8559.pdf</w:t>
      </w:r>
      <w:r w:rsidRPr="006E2DBF">
        <w:rPr>
          <w:rFonts w:ascii="Palatino Linotype" w:eastAsia="Palatino Linotype" w:hAnsi="Palatino Linotype" w:cs="Palatino Linotype"/>
          <w:sz w:val="22"/>
          <w:szCs w:val="22"/>
        </w:rPr>
        <w:t>” en que medularmente se ratifica la respuesta inicial.</w:t>
      </w:r>
    </w:p>
    <w:p w14:paraId="2CBA0E31" w14:textId="77777777" w:rsidR="00675A20" w:rsidRPr="006E2DBF" w:rsidRDefault="00675A2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78BF34FB" w14:textId="77777777" w:rsidR="00675A20" w:rsidRPr="006E2DBF" w:rsidRDefault="008D309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Documento el anterior que fue puesto a la vista de la parte </w:t>
      </w:r>
      <w:r w:rsidRPr="006E2DBF">
        <w:rPr>
          <w:rFonts w:ascii="Palatino Linotype" w:eastAsia="Palatino Linotype" w:hAnsi="Palatino Linotype" w:cs="Palatino Linotype"/>
          <w:b/>
          <w:bCs/>
          <w:sz w:val="22"/>
          <w:szCs w:val="22"/>
        </w:rPr>
        <w:t xml:space="preserve">Recurrente </w:t>
      </w:r>
      <w:r w:rsidRPr="006E2DBF">
        <w:rPr>
          <w:rFonts w:ascii="Palatino Linotype" w:eastAsia="Palatino Linotype" w:hAnsi="Palatino Linotype" w:cs="Palatino Linotype"/>
          <w:sz w:val="22"/>
          <w:szCs w:val="22"/>
        </w:rPr>
        <w:t xml:space="preserve">a fin de que hiciera valer manifestaciones o rindiera alegatos que conforme a derecho resultaran procedentes; a lo cual en fecha </w:t>
      </w:r>
      <w:r w:rsidRPr="006E2DBF">
        <w:rPr>
          <w:rFonts w:ascii="Palatino Linotype" w:eastAsia="Palatino Linotype" w:hAnsi="Palatino Linotype" w:cs="Palatino Linotype"/>
          <w:b/>
          <w:bCs/>
          <w:sz w:val="22"/>
          <w:szCs w:val="22"/>
        </w:rPr>
        <w:t>dieciocho de febrero de dos mil veintiséis</w:t>
      </w:r>
      <w:r w:rsidRPr="006E2DBF">
        <w:rPr>
          <w:rFonts w:ascii="Palatino Linotype" w:eastAsia="Palatino Linotype" w:hAnsi="Palatino Linotype" w:cs="Palatino Linotype"/>
          <w:sz w:val="22"/>
          <w:szCs w:val="22"/>
        </w:rPr>
        <w:t xml:space="preserve"> rindió de nueva cuenta manifestaciones, señalando que el ente obligado sigue sin atender su solicitud de información requiriendo se le haga entrega de la declaratoria de inexistencia, en los siguientes términos “</w:t>
      </w:r>
      <w:r w:rsidRPr="006E2DBF">
        <w:rPr>
          <w:rFonts w:ascii="Palatino Linotype" w:eastAsia="Palatino Linotype" w:hAnsi="Palatino Linotype" w:cs="Palatino Linotype"/>
          <w:b/>
          <w:bCs/>
          <w:i/>
          <w:iCs/>
          <w:sz w:val="22"/>
          <w:szCs w:val="22"/>
        </w:rPr>
        <w:t>H. Presidenta Municipal de Ecatepec de Morelos, se anexa archivo con el nombre de "obs DMAYE", no se contesta la solicitud de información. Una vez más, se atiende con OPACIDAD, ya que no se realiza una búsqueda exhaustiva en otras áreas del Ayuntamiento de Ecatepec de Morelos. Estimare se me brinde una copia del COMITE DE TRANSPARENCIA, sobre la INEXISTENCIA DE INFORMACION.</w:t>
      </w:r>
      <w:r w:rsidRPr="006E2DBF">
        <w:rPr>
          <w:rFonts w:ascii="Palatino Linotype" w:eastAsia="Palatino Linotype" w:hAnsi="Palatino Linotype" w:cs="Palatino Linotype"/>
          <w:sz w:val="22"/>
          <w:szCs w:val="22"/>
        </w:rPr>
        <w:t>” (Sic).</w:t>
      </w:r>
    </w:p>
    <w:p w14:paraId="5A607073" w14:textId="77777777" w:rsidR="00675A20" w:rsidRPr="006E2DBF" w:rsidRDefault="00675A2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40C6E1F1" w14:textId="77777777" w:rsidR="00675A20" w:rsidRPr="006E2DBF" w:rsidRDefault="008D309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Asimismo, la parte </w:t>
      </w:r>
      <w:r w:rsidRPr="006E2DBF">
        <w:rPr>
          <w:rFonts w:ascii="Palatino Linotype" w:eastAsia="Palatino Linotype" w:hAnsi="Palatino Linotype" w:cs="Palatino Linotype"/>
          <w:b/>
          <w:bCs/>
          <w:sz w:val="22"/>
          <w:szCs w:val="22"/>
        </w:rPr>
        <w:t xml:space="preserve">Recurrente </w:t>
      </w:r>
      <w:r w:rsidRPr="006E2DBF">
        <w:rPr>
          <w:rFonts w:ascii="Palatino Linotype" w:eastAsia="Palatino Linotype" w:hAnsi="Palatino Linotype" w:cs="Palatino Linotype"/>
          <w:sz w:val="22"/>
          <w:szCs w:val="22"/>
        </w:rPr>
        <w:t xml:space="preserve">adjuntó a dichas manifestaciones el archivo electrónico a través del cual el ente obligado rindió su informe justificado en el que ratifica su respuesta inicial. </w:t>
      </w:r>
    </w:p>
    <w:p w14:paraId="28D69F30" w14:textId="77777777" w:rsidR="00675A20" w:rsidRPr="006E2DBF" w:rsidRDefault="00675A2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4CA5B699" w14:textId="77777777" w:rsidR="00675A20" w:rsidRPr="006E2DBF" w:rsidRDefault="008D309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sz w:val="22"/>
          <w:szCs w:val="22"/>
        </w:rPr>
        <w:t>7. Ampliación del término para resolver</w:t>
      </w:r>
      <w:r w:rsidRPr="006E2DBF">
        <w:rPr>
          <w:rFonts w:ascii="Palatino Linotype" w:eastAsia="Palatino Linotype" w:hAnsi="Palatino Linotype" w:cs="Palatino Linotype"/>
          <w:sz w:val="22"/>
          <w:szCs w:val="22"/>
        </w:rPr>
        <w:t xml:space="preserve">. Mediante acuerdo del </w:t>
      </w:r>
      <w:r w:rsidRPr="006E2DBF">
        <w:rPr>
          <w:rFonts w:ascii="Palatino Linotype" w:eastAsia="Palatino Linotype" w:hAnsi="Palatino Linotype" w:cs="Palatino Linotype"/>
          <w:b/>
          <w:bCs/>
          <w:sz w:val="22"/>
          <w:szCs w:val="22"/>
        </w:rPr>
        <w:t>diecisiete de febrero de dos mil veintiséis</w:t>
      </w:r>
      <w:r w:rsidRPr="006E2DBF">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0C5AF456"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185C382C"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24E3BAEA"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4F866F0F"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735F7A4C"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30E3AC5F"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29588E9B"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45639ED5"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19D13902"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0A84BD39" w14:textId="77777777" w:rsidR="00675A20" w:rsidRPr="006E2DBF" w:rsidRDefault="008D3090">
      <w:pPr>
        <w:spacing w:line="360" w:lineRule="auto"/>
        <w:jc w:val="both"/>
        <w:rPr>
          <w:rFonts w:ascii="Palatino Linotype" w:eastAsia="Palatino Linotype" w:hAnsi="Palatino Linotype" w:cs="Palatino Linotype"/>
          <w:strike/>
          <w:sz w:val="22"/>
          <w:szCs w:val="22"/>
        </w:rPr>
      </w:pPr>
      <w:r w:rsidRPr="006E2DBF">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215BEFBA"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5F087900" w14:textId="77777777" w:rsidR="00675A20" w:rsidRPr="006E2DBF" w:rsidRDefault="008D3090">
      <w:pPr>
        <w:numPr>
          <w:ilvl w:val="0"/>
          <w:numId w:val="2"/>
        </w:num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sz w:val="22"/>
          <w:szCs w:val="22"/>
        </w:rPr>
        <w:t>Complejidad del Asunto:</w:t>
      </w:r>
      <w:r w:rsidRPr="006E2DBF">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6316EB4F" w14:textId="77777777" w:rsidR="00675A20" w:rsidRPr="006E2DBF" w:rsidRDefault="00675A20">
      <w:pPr>
        <w:spacing w:line="360" w:lineRule="auto"/>
        <w:ind w:left="927"/>
        <w:jc w:val="both"/>
        <w:rPr>
          <w:rFonts w:ascii="Palatino Linotype" w:eastAsia="Palatino Linotype" w:hAnsi="Palatino Linotype" w:cs="Palatino Linotype"/>
          <w:sz w:val="22"/>
          <w:szCs w:val="22"/>
        </w:rPr>
      </w:pPr>
    </w:p>
    <w:p w14:paraId="014E2EA3" w14:textId="77777777" w:rsidR="00675A20" w:rsidRPr="006E2DBF" w:rsidRDefault="008D3090">
      <w:pPr>
        <w:numPr>
          <w:ilvl w:val="0"/>
          <w:numId w:val="2"/>
        </w:num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sz w:val="22"/>
          <w:szCs w:val="22"/>
        </w:rPr>
        <w:t>Actividad Procesal del interesado.</w:t>
      </w:r>
      <w:r w:rsidRPr="006E2DBF">
        <w:rPr>
          <w:rFonts w:ascii="Palatino Linotype" w:eastAsia="Palatino Linotype" w:hAnsi="Palatino Linotype" w:cs="Palatino Linotype"/>
          <w:sz w:val="22"/>
          <w:szCs w:val="22"/>
        </w:rPr>
        <w:t xml:space="preserve"> Acciones u omisiones del interesado.</w:t>
      </w:r>
    </w:p>
    <w:p w14:paraId="2F5FDD23" w14:textId="77777777" w:rsidR="00675A20" w:rsidRPr="006E2DBF" w:rsidRDefault="00675A20">
      <w:pPr>
        <w:spacing w:line="360" w:lineRule="auto"/>
        <w:ind w:left="927"/>
        <w:jc w:val="both"/>
        <w:rPr>
          <w:rFonts w:ascii="Palatino Linotype" w:eastAsia="Palatino Linotype" w:hAnsi="Palatino Linotype" w:cs="Palatino Linotype"/>
          <w:sz w:val="22"/>
          <w:szCs w:val="22"/>
        </w:rPr>
      </w:pPr>
    </w:p>
    <w:p w14:paraId="0BB34ADB" w14:textId="77777777" w:rsidR="00675A20" w:rsidRPr="006E2DBF" w:rsidRDefault="008D3090">
      <w:pPr>
        <w:numPr>
          <w:ilvl w:val="0"/>
          <w:numId w:val="2"/>
        </w:num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sz w:val="22"/>
          <w:szCs w:val="22"/>
        </w:rPr>
        <w:t>Conducta de la Autoridad:</w:t>
      </w:r>
      <w:r w:rsidRPr="006E2DBF">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784B68F1" w14:textId="77777777" w:rsidR="00675A20" w:rsidRPr="006E2DBF" w:rsidRDefault="00675A20">
      <w:pPr>
        <w:spacing w:line="360" w:lineRule="auto"/>
        <w:ind w:left="927"/>
        <w:jc w:val="both"/>
        <w:rPr>
          <w:rFonts w:ascii="Palatino Linotype" w:eastAsia="Palatino Linotype" w:hAnsi="Palatino Linotype" w:cs="Palatino Linotype"/>
          <w:sz w:val="22"/>
          <w:szCs w:val="22"/>
        </w:rPr>
      </w:pPr>
    </w:p>
    <w:p w14:paraId="0005E2A6" w14:textId="77777777" w:rsidR="00675A20" w:rsidRPr="006E2DBF" w:rsidRDefault="008D3090">
      <w:pPr>
        <w:numPr>
          <w:ilvl w:val="0"/>
          <w:numId w:val="2"/>
        </w:num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 </w:t>
      </w:r>
      <w:r w:rsidRPr="006E2DBF">
        <w:rPr>
          <w:rFonts w:ascii="Palatino Linotype" w:eastAsia="Palatino Linotype" w:hAnsi="Palatino Linotype" w:cs="Palatino Linotype"/>
          <w:b/>
          <w:bCs/>
          <w:sz w:val="22"/>
          <w:szCs w:val="22"/>
        </w:rPr>
        <w:t xml:space="preserve">La afectación generada en la situación jurídica de la persona involucrada en el proceso: </w:t>
      </w:r>
      <w:r w:rsidRPr="006E2DBF">
        <w:rPr>
          <w:rFonts w:ascii="Palatino Linotype" w:eastAsia="Palatino Linotype" w:hAnsi="Palatino Linotype" w:cs="Palatino Linotype"/>
          <w:sz w:val="22"/>
          <w:szCs w:val="22"/>
        </w:rPr>
        <w:t>Violación a sus derechos humanos.</w:t>
      </w:r>
    </w:p>
    <w:p w14:paraId="7CD4A430"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04ABB3E3"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A20C2D6"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65DF6E7F" w14:textId="77777777" w:rsidR="00675A20" w:rsidRPr="006E2DBF" w:rsidRDefault="008D3090">
      <w:pPr>
        <w:spacing w:line="360" w:lineRule="auto"/>
        <w:jc w:val="both"/>
        <w:rPr>
          <w:rFonts w:ascii="Palatino Linotype" w:eastAsia="Palatino Linotype" w:hAnsi="Palatino Linotype" w:cs="Palatino Linotype"/>
          <w:b/>
          <w:bCs/>
          <w:sz w:val="22"/>
          <w:szCs w:val="22"/>
        </w:rPr>
      </w:pPr>
      <w:r w:rsidRPr="006E2DBF">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6E2DBF">
        <w:rPr>
          <w:rFonts w:ascii="Palatino Linotype" w:eastAsia="Palatino Linotype" w:hAnsi="Palatino Linotype" w:cs="Palatino Linotype"/>
          <w:i/>
          <w:iCs/>
          <w:sz w:val="22"/>
          <w:szCs w:val="22"/>
        </w:rPr>
        <w:t>“TÉRMINOS PROCESALES. PARA DETERMINAR SI UN FUNCIONARIO JUDICIAL ACTUÓ INDEBIDAMENTE POR NO RESPETARLOS SE DEBE ATENDER AL PRESUPUESTO QUE CONSIDERÓ EL LEGISLADOR AL FIJARLOS Y LAS CARACTERÍSTICAS DEL CASO.”</w:t>
      </w:r>
      <w:r w:rsidRPr="006E2DBF">
        <w:rPr>
          <w:rFonts w:ascii="Palatino Linotype" w:eastAsia="Palatino Linotype" w:hAnsi="Palatino Linotype" w:cs="Palatino Linotype"/>
          <w:sz w:val="22"/>
          <w:szCs w:val="22"/>
        </w:rPr>
        <w:t>, visible en la Gaceta del Seminario Judicial de la Federación con el registro digital 205635.</w:t>
      </w:r>
    </w:p>
    <w:p w14:paraId="479EE769"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362088DA"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92EE7A4"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37794D41"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439585D0"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5A3B562D" w14:textId="77777777" w:rsidR="00675A20" w:rsidRPr="006E2DBF" w:rsidRDefault="008D3090">
      <w:pPr>
        <w:spacing w:line="360" w:lineRule="auto"/>
        <w:ind w:left="567" w:right="616"/>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 </w:t>
      </w:r>
      <w:r w:rsidRPr="006E2DBF">
        <w:rPr>
          <w:rFonts w:ascii="Palatino Linotype" w:eastAsia="Palatino Linotype" w:hAnsi="Palatino Linotype" w:cs="Palatino Linotype"/>
          <w:i/>
          <w:iCs/>
          <w:sz w:val="22"/>
          <w:szCs w:val="22"/>
        </w:rPr>
        <w:t>“PLAZO RAZONABLE PARA RESOLVER. DIMENSIÓN Y EFECTOS DE ESTE CONCEPTO CUANDO SE ADUCE EXCESIVA CARGA DE TRABAJO.”</w:t>
      </w:r>
      <w:r w:rsidRPr="006E2DBF">
        <w:rPr>
          <w:rFonts w:ascii="Palatino Linotype" w:eastAsia="Palatino Linotype" w:hAnsi="Palatino Linotype" w:cs="Palatino Linotype"/>
          <w:sz w:val="22"/>
          <w:szCs w:val="22"/>
        </w:rPr>
        <w:t xml:space="preserve"> consultable en el Seminario Judicial de la Federación y su gaceta, con el registro digital 2002351.</w:t>
      </w:r>
    </w:p>
    <w:p w14:paraId="3165DF7B" w14:textId="77777777" w:rsidR="00675A20" w:rsidRPr="006E2DBF" w:rsidRDefault="00675A20">
      <w:pPr>
        <w:spacing w:line="360" w:lineRule="auto"/>
        <w:ind w:left="567" w:right="616"/>
        <w:jc w:val="both"/>
        <w:rPr>
          <w:rFonts w:ascii="Palatino Linotype" w:eastAsia="Palatino Linotype" w:hAnsi="Palatino Linotype" w:cs="Palatino Linotype"/>
          <w:b/>
          <w:bCs/>
          <w:sz w:val="22"/>
          <w:szCs w:val="22"/>
        </w:rPr>
      </w:pPr>
    </w:p>
    <w:p w14:paraId="2C3B3113" w14:textId="77777777" w:rsidR="00675A20" w:rsidRPr="006E2DBF" w:rsidRDefault="008D3090">
      <w:pPr>
        <w:spacing w:line="360" w:lineRule="auto"/>
        <w:ind w:left="567" w:right="616"/>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i/>
          <w:iCs/>
          <w:sz w:val="22"/>
          <w:szCs w:val="22"/>
        </w:rPr>
        <w:t>“PLAZO RAZONABLE PARA RESOLVER. CONCEPTO Y ELEMENTOS QUE LO INTEGRAN A LA LUZ DEL DERECHO INTERNACIONAL DE LOS DERECHOS HUMANOS.”</w:t>
      </w:r>
      <w:r w:rsidRPr="006E2DBF">
        <w:rPr>
          <w:rFonts w:ascii="Palatino Linotype" w:eastAsia="Palatino Linotype" w:hAnsi="Palatino Linotype" w:cs="Palatino Linotype"/>
          <w:sz w:val="22"/>
          <w:szCs w:val="22"/>
        </w:rPr>
        <w:t>, visible en el Seminario Judicial de la Federación y su gaceta, con el registro digital 2002350.</w:t>
      </w:r>
    </w:p>
    <w:p w14:paraId="75D67300" w14:textId="77777777" w:rsidR="00675A20" w:rsidRPr="006E2DBF" w:rsidRDefault="00675A20">
      <w:pPr>
        <w:spacing w:line="360" w:lineRule="auto"/>
        <w:ind w:left="567" w:right="616"/>
        <w:jc w:val="both"/>
        <w:rPr>
          <w:rFonts w:ascii="Palatino Linotype" w:eastAsia="Palatino Linotype" w:hAnsi="Palatino Linotype" w:cs="Palatino Linotype"/>
          <w:sz w:val="22"/>
          <w:szCs w:val="22"/>
        </w:rPr>
      </w:pPr>
    </w:p>
    <w:p w14:paraId="3F06C3AE"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Por ello, este organismo garante comprometido con la tutela de los derechos humanos confiados, señala que este exceso de plazo legal para resolver el presente asunto, resulta de carácter excepcional.</w:t>
      </w:r>
    </w:p>
    <w:p w14:paraId="018DCDA5"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3816E7D7" w14:textId="77777777" w:rsidR="00675A20" w:rsidRPr="006E2DBF" w:rsidRDefault="008D309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sz w:val="22"/>
          <w:szCs w:val="22"/>
        </w:rPr>
        <w:t xml:space="preserve">8. Cierre de instrucción. </w:t>
      </w:r>
      <w:r w:rsidRPr="006E2DBF">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6E2DBF">
        <w:rPr>
          <w:rFonts w:ascii="Palatino Linotype" w:eastAsia="Palatino Linotype" w:hAnsi="Palatino Linotype" w:cs="Palatino Linotype"/>
          <w:b/>
          <w:bCs/>
          <w:sz w:val="22"/>
          <w:szCs w:val="22"/>
        </w:rPr>
        <w:t>veintitrés de febrero de dos mil veintiséis,</w:t>
      </w:r>
      <w:r w:rsidRPr="006E2DBF">
        <w:rPr>
          <w:rFonts w:ascii="Palatino Linotype" w:eastAsia="Palatino Linotype" w:hAnsi="Palatino Linotype" w:cs="Palatino Linotype"/>
          <w:sz w:val="22"/>
          <w:szCs w:val="22"/>
        </w:rPr>
        <w:t xml:space="preserve"> la Comisionada Ponente determinó el cierre de instrucción en términos de la fracción VI del artículo 185 de la Ley de Transparencia y Acceso a la Información Pública del Estado de México y Municipios.</w:t>
      </w:r>
    </w:p>
    <w:p w14:paraId="61C90616" w14:textId="77777777" w:rsidR="00675A20" w:rsidRPr="006E2DBF" w:rsidRDefault="00675A2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77FB5D45" w14:textId="77777777" w:rsidR="00675A20" w:rsidRPr="006E2DBF" w:rsidRDefault="008D309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013613C3" w14:textId="77777777" w:rsidR="00675A20" w:rsidRPr="006E2DBF" w:rsidRDefault="008D3090">
      <w:pPr>
        <w:widowControl w:val="0"/>
        <w:spacing w:before="240" w:after="240" w:line="360" w:lineRule="auto"/>
        <w:jc w:val="center"/>
        <w:rPr>
          <w:rFonts w:ascii="Palatino Linotype" w:eastAsia="Palatino Linotype" w:hAnsi="Palatino Linotype" w:cs="Palatino Linotype"/>
          <w:b/>
          <w:bCs/>
          <w:sz w:val="22"/>
          <w:szCs w:val="22"/>
        </w:rPr>
      </w:pPr>
      <w:r w:rsidRPr="006E2DBF">
        <w:rPr>
          <w:rFonts w:ascii="Palatino Linotype" w:eastAsia="Palatino Linotype" w:hAnsi="Palatino Linotype" w:cs="Palatino Linotype"/>
          <w:b/>
          <w:bCs/>
          <w:sz w:val="22"/>
          <w:szCs w:val="22"/>
        </w:rPr>
        <w:t>II. C O N S I D E R A N D O S</w:t>
      </w:r>
    </w:p>
    <w:p w14:paraId="12A0BE57"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sz w:val="22"/>
          <w:szCs w:val="22"/>
        </w:rPr>
        <w:t>Primero. Competencia.</w:t>
      </w:r>
      <w:r w:rsidRPr="006E2DBF">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3BB2C050"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53887E96" w14:textId="77777777" w:rsidR="00675A20" w:rsidRPr="006E2DBF" w:rsidRDefault="008D3090">
      <w:pPr>
        <w:spacing w:line="360" w:lineRule="auto"/>
        <w:jc w:val="both"/>
        <w:rPr>
          <w:rFonts w:ascii="Palatino Linotype" w:eastAsia="Palatino Linotype" w:hAnsi="Palatino Linotype" w:cs="Palatino Linotype"/>
          <w:sz w:val="22"/>
          <w:szCs w:val="22"/>
        </w:rPr>
      </w:pPr>
      <w:bookmarkStart w:id="7" w:name="_heading=h.tyjcwt" w:colFirst="0" w:colLast="0"/>
      <w:bookmarkEnd w:id="7"/>
      <w:r w:rsidRPr="006E2DBF">
        <w:rPr>
          <w:rFonts w:ascii="Palatino Linotype" w:eastAsia="Palatino Linotype" w:hAnsi="Palatino Linotype" w:cs="Palatino Linotype"/>
          <w:b/>
          <w:bCs/>
          <w:sz w:val="22"/>
          <w:szCs w:val="22"/>
        </w:rPr>
        <w:t>Segundo. Oportunidad y Procedibilidad del Recurso de Revisión</w:t>
      </w:r>
      <w:r w:rsidRPr="006E2DBF">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366D2798"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1494C9AA"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6E2DBF">
        <w:rPr>
          <w:rFonts w:ascii="Palatino Linotype" w:eastAsia="Palatino Linotype" w:hAnsi="Palatino Linotype" w:cs="Palatino Linotype"/>
          <w:b/>
          <w:bCs/>
          <w:sz w:val="22"/>
          <w:szCs w:val="22"/>
        </w:rPr>
        <w:t xml:space="preserve">Sujeto Obligado </w:t>
      </w:r>
      <w:r w:rsidRPr="006E2DBF">
        <w:rPr>
          <w:rFonts w:ascii="Palatino Linotype" w:eastAsia="Palatino Linotype" w:hAnsi="Palatino Linotype" w:cs="Palatino Linotype"/>
          <w:sz w:val="22"/>
          <w:szCs w:val="22"/>
        </w:rPr>
        <w:t>remitió la respuesta a la solicitud de información el</w:t>
      </w:r>
      <w:r w:rsidRPr="006E2DBF">
        <w:t xml:space="preserve"> </w:t>
      </w:r>
      <w:r w:rsidRPr="006E2DBF">
        <w:rPr>
          <w:rFonts w:ascii="Palatino Linotype" w:eastAsia="Palatino Linotype" w:hAnsi="Palatino Linotype" w:cs="Palatino Linotype"/>
          <w:b/>
          <w:bCs/>
          <w:sz w:val="22"/>
          <w:szCs w:val="22"/>
        </w:rPr>
        <w:t xml:space="preserve">catorce de julio de dos mil veinticinco, </w:t>
      </w:r>
      <w:r w:rsidRPr="006E2DBF">
        <w:rPr>
          <w:rFonts w:ascii="Palatino Linotype" w:eastAsia="Palatino Linotype" w:hAnsi="Palatino Linotype" w:cs="Palatino Linotype"/>
          <w:sz w:val="22"/>
          <w:szCs w:val="22"/>
        </w:rPr>
        <w:t xml:space="preserve">mientras que el recurso de revisión interpuesto por </w:t>
      </w:r>
      <w:r w:rsidRPr="006E2DBF">
        <w:rPr>
          <w:rFonts w:ascii="Palatino Linotype" w:eastAsia="Palatino Linotype" w:hAnsi="Palatino Linotype" w:cs="Palatino Linotype"/>
          <w:b/>
          <w:bCs/>
          <w:sz w:val="22"/>
          <w:szCs w:val="22"/>
        </w:rPr>
        <w:t>la parte</w:t>
      </w:r>
      <w:r w:rsidRPr="006E2DBF">
        <w:rPr>
          <w:rFonts w:ascii="Palatino Linotype" w:eastAsia="Palatino Linotype" w:hAnsi="Palatino Linotype" w:cs="Palatino Linotype"/>
          <w:sz w:val="22"/>
          <w:szCs w:val="22"/>
        </w:rPr>
        <w:t xml:space="preserve"> </w:t>
      </w:r>
      <w:r w:rsidRPr="006E2DBF">
        <w:rPr>
          <w:rFonts w:ascii="Palatino Linotype" w:eastAsia="Palatino Linotype" w:hAnsi="Palatino Linotype" w:cs="Palatino Linotype"/>
          <w:b/>
          <w:bCs/>
          <w:sz w:val="22"/>
          <w:szCs w:val="22"/>
        </w:rPr>
        <w:t>Recurrente</w:t>
      </w:r>
      <w:r w:rsidRPr="006E2DBF">
        <w:rPr>
          <w:rFonts w:ascii="Palatino Linotype" w:eastAsia="Palatino Linotype" w:hAnsi="Palatino Linotype" w:cs="Palatino Linotype"/>
          <w:sz w:val="22"/>
          <w:szCs w:val="22"/>
        </w:rPr>
        <w:t xml:space="preserve">, se tuvo por presentado el </w:t>
      </w:r>
      <w:r w:rsidRPr="006E2DBF">
        <w:rPr>
          <w:rFonts w:ascii="Palatino Linotype" w:eastAsia="Palatino Linotype" w:hAnsi="Palatino Linotype" w:cs="Palatino Linotype"/>
          <w:b/>
          <w:bCs/>
          <w:sz w:val="22"/>
          <w:szCs w:val="22"/>
        </w:rPr>
        <w:t>catorce de julio de dos mil veinticinco</w:t>
      </w:r>
      <w:r w:rsidRPr="006E2DBF">
        <w:rPr>
          <w:rFonts w:ascii="Palatino Linotype" w:eastAsia="Palatino Linotype" w:hAnsi="Palatino Linotype" w:cs="Palatino Linotype"/>
          <w:sz w:val="22"/>
          <w:szCs w:val="22"/>
        </w:rPr>
        <w:t xml:space="preserve"> esto es, el mismo día </w:t>
      </w:r>
      <w:r w:rsidRPr="006E2DBF">
        <w:rPr>
          <w:rFonts w:ascii="Palatino Linotype" w:eastAsia="Palatino Linotype" w:hAnsi="Palatino Linotype" w:cs="Palatino Linotype"/>
          <w:b/>
          <w:bCs/>
          <w:sz w:val="22"/>
          <w:szCs w:val="22"/>
        </w:rPr>
        <w:t>en que se tuvo conocimiento de la respuesta impugnada</w:t>
      </w:r>
      <w:r w:rsidRPr="006E2DBF">
        <w:rPr>
          <w:rFonts w:ascii="Palatino Linotype" w:eastAsia="Palatino Linotype" w:hAnsi="Palatino Linotype" w:cs="Palatino Linotype"/>
          <w:sz w:val="22"/>
          <w:szCs w:val="22"/>
        </w:rPr>
        <w:t xml:space="preserve">. </w:t>
      </w:r>
    </w:p>
    <w:p w14:paraId="2B093143"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1AB39B27"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En este sentido, se concluye que el presente recurso de revisión se encuentra dentro de los márgenes temporales previstos en las disposiciones legales referidas.</w:t>
      </w:r>
    </w:p>
    <w:p w14:paraId="7753E967"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692E0422"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Sin que contraríe a lo anterior, el artículo 178 en análisis, refiere que el plazo de quince días hábiles se contará a partir del día siguiente de la fecha en que el afectado tuvo conocimiento de la resolución materia de impugnación, ya que ello debe entenderse para el efecto de que transcurrido dicho plazo ya no podrá presentarse el medio de impugnación o si es que se presenta, el mismo se considerará extemporáneo, no así cuando el medio de defensa se interponga antes de que comience a correr el plazo legal; tiene aplicación por analogía, la jurisprudencia 1ª. /J.41/2015, publicada en el Semanario Judicial de la Federación y su Gaceta, Libro 19, Junio de 2015, Tomo I, página 569 de la Décima época que lleva por rubro y texto los siguientes:</w:t>
      </w:r>
    </w:p>
    <w:p w14:paraId="256185F6"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295D00A4" w14:textId="77777777" w:rsidR="00675A20" w:rsidRPr="006E2DBF" w:rsidRDefault="008D3090">
      <w:pPr>
        <w:spacing w:line="276" w:lineRule="auto"/>
        <w:ind w:left="567" w:right="616"/>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i/>
          <w:iCs/>
          <w:sz w:val="22"/>
          <w:szCs w:val="22"/>
        </w:rPr>
        <w:t>“RECURSO DE RECLAMACIÓN. SU INTERPOSICIÓN NO ES EXTEMPORÁNEA SI SE REALIZA ANTES DE QUE INICIE EL PLAZO PARA HACERLO</w:t>
      </w:r>
      <w:r w:rsidRPr="006E2DBF">
        <w:rPr>
          <w:rFonts w:ascii="Palatino Linotype" w:eastAsia="Palatino Linotype" w:hAnsi="Palatino Linotype" w:cs="Palatino Linotype"/>
          <w:i/>
          <w:iCs/>
          <w:sz w:val="22"/>
          <w:szCs w:val="22"/>
        </w:rPr>
        <w:t>.</w:t>
      </w:r>
    </w:p>
    <w:p w14:paraId="6FEE57FC" w14:textId="77777777" w:rsidR="00675A20" w:rsidRPr="006E2DBF" w:rsidRDefault="008D3090">
      <w:pPr>
        <w:spacing w:line="276" w:lineRule="auto"/>
        <w:ind w:left="567" w:right="616"/>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i/>
          <w:iCs/>
          <w:sz w:val="22"/>
          <w:szCs w:val="22"/>
        </w:rPr>
        <w:t>“Conforme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25B25888" w14:textId="77777777" w:rsidR="00675A20" w:rsidRPr="006E2DBF" w:rsidRDefault="00675A20">
      <w:pPr>
        <w:tabs>
          <w:tab w:val="left" w:pos="7938"/>
        </w:tabs>
        <w:spacing w:line="360" w:lineRule="auto"/>
        <w:jc w:val="both"/>
        <w:rPr>
          <w:rFonts w:ascii="Palatino Linotype" w:eastAsia="Palatino Linotype" w:hAnsi="Palatino Linotype" w:cs="Palatino Linotype"/>
          <w:sz w:val="22"/>
          <w:szCs w:val="22"/>
        </w:rPr>
      </w:pPr>
    </w:p>
    <w:p w14:paraId="45FB2828"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Finalmente, se advierte que resulta procedente la interposición del recurso, según lo manifestado por </w:t>
      </w:r>
      <w:r w:rsidRPr="006E2DBF">
        <w:rPr>
          <w:rFonts w:ascii="Palatino Linotype" w:eastAsia="Palatino Linotype" w:hAnsi="Palatino Linotype" w:cs="Palatino Linotype"/>
          <w:b/>
          <w:bCs/>
          <w:sz w:val="22"/>
          <w:szCs w:val="22"/>
        </w:rPr>
        <w:t>la parte</w:t>
      </w:r>
      <w:r w:rsidRPr="006E2DBF">
        <w:rPr>
          <w:rFonts w:ascii="Palatino Linotype" w:eastAsia="Palatino Linotype" w:hAnsi="Palatino Linotype" w:cs="Palatino Linotype"/>
          <w:sz w:val="22"/>
          <w:szCs w:val="22"/>
        </w:rPr>
        <w:t xml:space="preserve"> </w:t>
      </w:r>
      <w:r w:rsidRPr="006E2DBF">
        <w:rPr>
          <w:rFonts w:ascii="Palatino Linotype" w:eastAsia="Palatino Linotype" w:hAnsi="Palatino Linotype" w:cs="Palatino Linotype"/>
          <w:b/>
          <w:bCs/>
          <w:sz w:val="22"/>
          <w:szCs w:val="22"/>
        </w:rPr>
        <w:t>Recurrente</w:t>
      </w:r>
      <w:r w:rsidRPr="006E2DBF">
        <w:rPr>
          <w:rFonts w:ascii="Palatino Linotype" w:eastAsia="Palatino Linotype" w:hAnsi="Palatino Linotype" w:cs="Palatino Linotype"/>
          <w:sz w:val="22"/>
          <w:szCs w:val="22"/>
        </w:rPr>
        <w:t xml:space="preserve"> en sus motivos de inconformidad, de acuerdo al artículo 179, fracción I del ordenamiento legal citado, que a la letra dice: </w:t>
      </w:r>
    </w:p>
    <w:p w14:paraId="4F405CB3"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73311485" w14:textId="77777777" w:rsidR="00675A20" w:rsidRPr="006E2DBF" w:rsidRDefault="008D3090">
      <w:pPr>
        <w:ind w:left="567" w:right="902"/>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r w:rsidRPr="006E2DBF">
        <w:rPr>
          <w:rFonts w:ascii="Palatino Linotype" w:eastAsia="Palatino Linotype" w:hAnsi="Palatino Linotype" w:cs="Palatino Linotype"/>
          <w:b/>
          <w:bCs/>
          <w:i/>
          <w:iCs/>
          <w:sz w:val="22"/>
          <w:szCs w:val="22"/>
        </w:rPr>
        <w:t>Artículo 179.</w:t>
      </w:r>
      <w:r w:rsidRPr="006E2DBF">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3CED15D2" w14:textId="77777777" w:rsidR="00675A20" w:rsidRPr="006E2DBF" w:rsidRDefault="008D3090">
      <w:pPr>
        <w:ind w:left="567" w:right="902"/>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I. La negativa a la información solicitada;</w:t>
      </w:r>
      <w:r w:rsidRPr="006E2DBF">
        <w:rPr>
          <w:rFonts w:ascii="Palatino Linotype" w:eastAsia="Palatino Linotype" w:hAnsi="Palatino Linotype" w:cs="Palatino Linotype"/>
          <w:i/>
          <w:iCs/>
          <w:sz w:val="22"/>
          <w:szCs w:val="22"/>
        </w:rPr>
        <w:t xml:space="preserve"> </w:t>
      </w:r>
      <w:r w:rsidRPr="006E2DBF">
        <w:rPr>
          <w:rFonts w:ascii="Palatino Linotype" w:eastAsia="Palatino Linotype" w:hAnsi="Palatino Linotype" w:cs="Palatino Linotype"/>
          <w:b/>
          <w:bCs/>
          <w:i/>
          <w:iCs/>
          <w:sz w:val="22"/>
          <w:szCs w:val="22"/>
        </w:rPr>
        <w:br/>
      </w:r>
      <w:r w:rsidRPr="006E2DBF">
        <w:rPr>
          <w:rFonts w:ascii="Palatino Linotype" w:eastAsia="Palatino Linotype" w:hAnsi="Palatino Linotype" w:cs="Palatino Linotype"/>
          <w:i/>
          <w:iCs/>
          <w:sz w:val="22"/>
          <w:szCs w:val="22"/>
        </w:rPr>
        <w:t xml:space="preserve"> […]”</w:t>
      </w:r>
    </w:p>
    <w:p w14:paraId="6E6AFB84" w14:textId="77777777" w:rsidR="00675A20" w:rsidRPr="006E2DBF" w:rsidRDefault="00675A20">
      <w:pPr>
        <w:ind w:left="567"/>
        <w:rPr>
          <w:rFonts w:ascii="Palatino Linotype" w:eastAsia="Palatino Linotype" w:hAnsi="Palatino Linotype" w:cs="Palatino Linotype"/>
          <w:b/>
          <w:bCs/>
          <w:i/>
          <w:iCs/>
          <w:sz w:val="22"/>
          <w:szCs w:val="22"/>
        </w:rPr>
      </w:pPr>
    </w:p>
    <w:p w14:paraId="193FFC2E" w14:textId="77777777" w:rsidR="00675A20" w:rsidRPr="006E2DBF" w:rsidRDefault="008D3090">
      <w:pPr>
        <w:ind w:left="567" w:right="900"/>
        <w:jc w:val="right"/>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 xml:space="preserve"> </w:t>
      </w:r>
      <w:r w:rsidRPr="006E2DBF">
        <w:rPr>
          <w:rFonts w:ascii="Palatino Linotype" w:eastAsia="Palatino Linotype" w:hAnsi="Palatino Linotype" w:cs="Palatino Linotype"/>
          <w:i/>
          <w:iCs/>
          <w:sz w:val="22"/>
          <w:szCs w:val="22"/>
        </w:rPr>
        <w:t>(Énfasis añadido)</w:t>
      </w:r>
    </w:p>
    <w:p w14:paraId="46BA22B0" w14:textId="77777777" w:rsidR="00675A20" w:rsidRPr="006E2DBF" w:rsidRDefault="00675A20">
      <w:pPr>
        <w:ind w:left="567" w:right="900"/>
        <w:jc w:val="right"/>
        <w:rPr>
          <w:rFonts w:ascii="Palatino Linotype" w:eastAsia="Palatino Linotype" w:hAnsi="Palatino Linotype" w:cs="Palatino Linotype"/>
          <w:b/>
          <w:bCs/>
          <w:i/>
          <w:iCs/>
          <w:sz w:val="22"/>
          <w:szCs w:val="22"/>
        </w:rPr>
      </w:pPr>
    </w:p>
    <w:p w14:paraId="6DD199B2" w14:textId="77777777" w:rsidR="00675A20" w:rsidRPr="006E2DBF" w:rsidRDefault="008D3090">
      <w:pPr>
        <w:spacing w:line="360" w:lineRule="auto"/>
        <w:jc w:val="both"/>
        <w:rPr>
          <w:rFonts w:ascii="Palatino Linotype" w:eastAsia="Palatino Linotype" w:hAnsi="Palatino Linotype" w:cs="Palatino Linotype"/>
          <w:b/>
          <w:bCs/>
          <w:sz w:val="22"/>
          <w:szCs w:val="22"/>
        </w:rPr>
      </w:pPr>
      <w:r w:rsidRPr="006E2DBF">
        <w:rPr>
          <w:rFonts w:ascii="Palatino Linotype" w:eastAsia="Palatino Linotype" w:hAnsi="Palatino Linotype" w:cs="Palatino Linotype"/>
          <w:b/>
          <w:bCs/>
          <w:sz w:val="22"/>
          <w:szCs w:val="22"/>
        </w:rPr>
        <w:t xml:space="preserve">Tercero. Materia de la revisión. </w:t>
      </w:r>
      <w:r w:rsidRPr="006E2DBF">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6E2DBF">
        <w:rPr>
          <w:rFonts w:ascii="Palatino Linotype" w:eastAsia="Palatino Linotype" w:hAnsi="Palatino Linotype" w:cs="Palatino Linotype"/>
          <w:b/>
          <w:bCs/>
          <w:sz w:val="22"/>
          <w:szCs w:val="22"/>
        </w:rPr>
        <w:t>verificar si la información otorgada por el Sujeto Obligado es adecuada y suficiente para satisfacer el derecho de acceso a la información pública de la parte Recurrente,</w:t>
      </w:r>
      <w:r w:rsidRPr="006E2DBF">
        <w:rPr>
          <w:rFonts w:ascii="Palatino Linotype" w:eastAsia="Palatino Linotype" w:hAnsi="Palatino Linotype" w:cs="Palatino Linotype"/>
          <w:sz w:val="22"/>
          <w:szCs w:val="22"/>
        </w:rPr>
        <w:t xml:space="preserve"> o en su defecto, en caso de ser procedente, ordenar la entrega de la información oportuna.</w:t>
      </w:r>
    </w:p>
    <w:p w14:paraId="1D0220C0" w14:textId="77777777" w:rsidR="00675A20" w:rsidRPr="006E2DBF" w:rsidRDefault="00675A20">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p w14:paraId="75AF2C8E" w14:textId="77777777" w:rsidR="00675A20" w:rsidRPr="006E2DBF" w:rsidRDefault="008D309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sz w:val="22"/>
          <w:szCs w:val="22"/>
        </w:rPr>
        <w:t xml:space="preserve">Cuarto. Estudio del asunto. </w:t>
      </w:r>
      <w:r w:rsidRPr="006E2DBF">
        <w:rPr>
          <w:rFonts w:ascii="Palatino Linotype" w:eastAsia="Palatino Linotype" w:hAnsi="Palatino Linotype" w:cs="Palatino Linotype"/>
          <w:sz w:val="22"/>
          <w:szCs w:val="22"/>
        </w:rPr>
        <w:t xml:space="preserve">Antes de entrar al análisis de los pronunciamientos del </w:t>
      </w:r>
      <w:r w:rsidRPr="006E2DBF">
        <w:rPr>
          <w:rFonts w:ascii="Palatino Linotype" w:eastAsia="Palatino Linotype" w:hAnsi="Palatino Linotype" w:cs="Palatino Linotype"/>
          <w:b/>
          <w:bCs/>
          <w:sz w:val="22"/>
          <w:szCs w:val="22"/>
        </w:rPr>
        <w:t>Sujeto Obligado</w:t>
      </w:r>
      <w:r w:rsidRPr="006E2DBF">
        <w:rPr>
          <w:rFonts w:ascii="Palatino Linotype" w:eastAsia="Palatino Linotype" w:hAnsi="Palatino Linotype" w:cs="Palatino Linotype"/>
          <w:sz w:val="22"/>
          <w:szCs w:val="22"/>
        </w:rPr>
        <w:t xml:space="preserve"> en la respuesta proporcionada, es necesario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apartado A fracciones I, II, III, IV, V, VI y VII que a la letra señalan:</w:t>
      </w:r>
    </w:p>
    <w:p w14:paraId="5C4D3660" w14:textId="77777777" w:rsidR="00675A20" w:rsidRPr="006E2DBF" w:rsidRDefault="00675A2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92BE535" w14:textId="77777777" w:rsidR="00675A20" w:rsidRPr="006E2DBF" w:rsidRDefault="008D3090">
      <w:pPr>
        <w:pBdr>
          <w:top w:val="nil"/>
          <w:left w:val="nil"/>
          <w:bottom w:val="nil"/>
          <w:right w:val="nil"/>
          <w:between w:val="nil"/>
        </w:pBdr>
        <w:spacing w:line="276" w:lineRule="auto"/>
        <w:ind w:left="851" w:right="850"/>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6E2DBF">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4404DE0C" w14:textId="77777777" w:rsidR="00675A20" w:rsidRPr="006E2DBF" w:rsidRDefault="008D3090">
      <w:pPr>
        <w:pBdr>
          <w:top w:val="nil"/>
          <w:left w:val="nil"/>
          <w:bottom w:val="nil"/>
          <w:right w:val="nil"/>
          <w:between w:val="nil"/>
        </w:pBdr>
        <w:spacing w:line="276" w:lineRule="auto"/>
        <w:ind w:left="851" w:right="850"/>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09C74A41" w14:textId="77777777" w:rsidR="00675A20" w:rsidRPr="006E2DBF" w:rsidRDefault="008D3090">
      <w:pPr>
        <w:pBdr>
          <w:top w:val="nil"/>
          <w:left w:val="nil"/>
          <w:bottom w:val="nil"/>
          <w:right w:val="nil"/>
          <w:between w:val="nil"/>
        </w:pBdr>
        <w:spacing w:line="276" w:lineRule="auto"/>
        <w:ind w:left="851" w:right="850"/>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6E2DBF">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3D785590" w14:textId="77777777" w:rsidR="00675A20" w:rsidRPr="006E2DBF" w:rsidRDefault="008D3090">
      <w:pPr>
        <w:pBdr>
          <w:top w:val="nil"/>
          <w:left w:val="nil"/>
          <w:bottom w:val="nil"/>
          <w:right w:val="nil"/>
          <w:between w:val="nil"/>
        </w:pBdr>
        <w:spacing w:line="276" w:lineRule="auto"/>
        <w:ind w:left="851" w:right="850"/>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i/>
          <w:iCs/>
          <w:sz w:val="22"/>
          <w:szCs w:val="22"/>
        </w:rPr>
        <w:t>[…]</w:t>
      </w:r>
    </w:p>
    <w:p w14:paraId="4C7746C2" w14:textId="77777777" w:rsidR="00675A20" w:rsidRPr="006E2DBF" w:rsidRDefault="008D3090">
      <w:pPr>
        <w:pBdr>
          <w:top w:val="nil"/>
          <w:left w:val="nil"/>
          <w:bottom w:val="nil"/>
          <w:right w:val="nil"/>
          <w:between w:val="nil"/>
        </w:pBdr>
        <w:spacing w:line="276" w:lineRule="auto"/>
        <w:ind w:left="851" w:right="901"/>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i/>
          <w:iCs/>
          <w:sz w:val="22"/>
          <w:szCs w:val="22"/>
        </w:rPr>
        <w:t>“Artículo 6o.</w:t>
      </w:r>
    </w:p>
    <w:p w14:paraId="16E26B54" w14:textId="77777777" w:rsidR="00675A20" w:rsidRPr="006E2DBF" w:rsidRDefault="008D3090">
      <w:pPr>
        <w:pBdr>
          <w:top w:val="nil"/>
          <w:left w:val="nil"/>
          <w:bottom w:val="nil"/>
          <w:right w:val="nil"/>
          <w:between w:val="nil"/>
        </w:pBdr>
        <w:spacing w:line="276" w:lineRule="auto"/>
        <w:ind w:left="851" w:right="901"/>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i/>
          <w:iCs/>
          <w:sz w:val="22"/>
          <w:szCs w:val="22"/>
        </w:rPr>
        <w:t>[...]</w:t>
      </w:r>
    </w:p>
    <w:p w14:paraId="073C29BF" w14:textId="77777777" w:rsidR="00675A20" w:rsidRPr="006E2DBF" w:rsidRDefault="008D309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i/>
          <w:iCs/>
          <w:sz w:val="22"/>
          <w:szCs w:val="22"/>
        </w:rPr>
        <w:t xml:space="preserve">A. Para el ejercicio del derecho de acceso a la información, la Federación y </w:t>
      </w:r>
      <w:r w:rsidRPr="006E2DBF">
        <w:rPr>
          <w:rFonts w:ascii="Palatino Linotype" w:eastAsia="Palatino Linotype" w:hAnsi="Palatino Linotype" w:cs="Palatino Linotype"/>
          <w:b/>
          <w:bCs/>
          <w:i/>
          <w:iCs/>
          <w:sz w:val="22"/>
          <w:szCs w:val="22"/>
          <w:u w:val="single"/>
        </w:rPr>
        <w:t>las entidades federativas</w:t>
      </w:r>
      <w:r w:rsidRPr="006E2DBF">
        <w:rPr>
          <w:rFonts w:ascii="Palatino Linotype" w:eastAsia="Palatino Linotype" w:hAnsi="Palatino Linotype" w:cs="Palatino Linotype"/>
          <w:b/>
          <w:bCs/>
          <w:i/>
          <w:iCs/>
          <w:sz w:val="22"/>
          <w:szCs w:val="22"/>
        </w:rPr>
        <w:t>,</w:t>
      </w:r>
      <w:r w:rsidRPr="006E2DBF">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2A1A28A7" w14:textId="77777777" w:rsidR="00675A20" w:rsidRPr="006E2DBF" w:rsidRDefault="008D309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i/>
          <w:iCs/>
          <w:sz w:val="22"/>
          <w:szCs w:val="22"/>
        </w:rPr>
        <w:t> </w:t>
      </w:r>
      <w:r w:rsidRPr="006E2DBF">
        <w:rPr>
          <w:rFonts w:ascii="Palatino Linotype" w:eastAsia="Palatino Linotype" w:hAnsi="Palatino Linotype" w:cs="Palatino Linotype"/>
          <w:b/>
          <w:bCs/>
          <w:i/>
          <w:iCs/>
          <w:sz w:val="22"/>
          <w:szCs w:val="22"/>
        </w:rPr>
        <w:t xml:space="preserve">I. </w:t>
      </w:r>
      <w:r w:rsidRPr="006E2DBF">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6E2DBF">
        <w:rPr>
          <w:rFonts w:ascii="Palatino Linotype" w:eastAsia="Palatino Linotype" w:hAnsi="Palatino Linotype" w:cs="Palatino Linotype"/>
          <w:i/>
          <w:iCs/>
          <w:sz w:val="22"/>
          <w:szCs w:val="22"/>
        </w:rPr>
        <w:t xml:space="preserve"> Ejecutivo, Legislativo </w:t>
      </w:r>
      <w:r w:rsidRPr="006E2DBF">
        <w:rPr>
          <w:rFonts w:ascii="Palatino Linotype" w:eastAsia="Palatino Linotype" w:hAnsi="Palatino Linotype" w:cs="Palatino Linotype"/>
          <w:b/>
          <w:bCs/>
          <w:i/>
          <w:iCs/>
          <w:sz w:val="22"/>
          <w:szCs w:val="22"/>
          <w:u w:val="single"/>
        </w:rPr>
        <w:t>y Judicial</w:t>
      </w:r>
      <w:r w:rsidRPr="006E2DBF">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6E2DBF">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6E2DBF">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8966536" w14:textId="77777777" w:rsidR="00675A20" w:rsidRPr="006E2DBF" w:rsidRDefault="008D3090">
      <w:pPr>
        <w:pBdr>
          <w:top w:val="nil"/>
          <w:left w:val="nil"/>
          <w:bottom w:val="nil"/>
          <w:right w:val="nil"/>
          <w:between w:val="nil"/>
        </w:pBdr>
        <w:spacing w:line="276" w:lineRule="auto"/>
        <w:ind w:left="851" w:right="851"/>
        <w:jc w:val="both"/>
        <w:rPr>
          <w:rFonts w:ascii="Palatino Linotype" w:eastAsia="Palatino Linotype" w:hAnsi="Palatino Linotype" w:cs="Palatino Linotype"/>
          <w:b/>
          <w:bCs/>
          <w:i/>
          <w:iCs/>
          <w:sz w:val="22"/>
          <w:szCs w:val="22"/>
        </w:rPr>
      </w:pPr>
      <w:r w:rsidRPr="006E2DBF">
        <w:rPr>
          <w:rFonts w:ascii="Palatino Linotype" w:eastAsia="Palatino Linotype" w:hAnsi="Palatino Linotype" w:cs="Palatino Linotype"/>
          <w:i/>
          <w:iCs/>
          <w:sz w:val="22"/>
          <w:szCs w:val="22"/>
        </w:rPr>
        <w:t> </w:t>
      </w:r>
      <w:r w:rsidRPr="006E2DBF">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 Para tal efecto, los sujetos obligados contarán con las facultades suficientes para su atención.</w:t>
      </w:r>
    </w:p>
    <w:p w14:paraId="4CB59A97" w14:textId="77777777" w:rsidR="00675A20" w:rsidRPr="006E2DBF" w:rsidRDefault="008D309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i/>
          <w:iCs/>
          <w:sz w:val="22"/>
          <w:szCs w:val="22"/>
        </w:rPr>
        <w:t>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p w14:paraId="6DF861C1" w14:textId="77777777" w:rsidR="00675A20" w:rsidRPr="006E2DBF" w:rsidRDefault="008D309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i/>
          <w:iCs/>
          <w:sz w:val="22"/>
          <w:szCs w:val="22"/>
        </w:rPr>
        <w:t> </w:t>
      </w:r>
      <w:r w:rsidRPr="006E2DBF">
        <w:rPr>
          <w:rFonts w:ascii="Palatino Linotype" w:eastAsia="Palatino Linotype" w:hAnsi="Palatino Linotype" w:cs="Palatino Linotype"/>
          <w:b/>
          <w:bCs/>
          <w:i/>
          <w:iCs/>
          <w:sz w:val="22"/>
          <w:szCs w:val="22"/>
        </w:rPr>
        <w:t xml:space="preserve">III. </w:t>
      </w:r>
      <w:r w:rsidRPr="006E2DBF">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6E2DBF">
        <w:rPr>
          <w:rFonts w:ascii="Palatino Linotype" w:eastAsia="Palatino Linotype" w:hAnsi="Palatino Linotype" w:cs="Palatino Linotype"/>
          <w:i/>
          <w:iCs/>
          <w:sz w:val="22"/>
          <w:szCs w:val="22"/>
        </w:rPr>
        <w:t xml:space="preserve"> a sus datos personales o a la rectificación de éstos.</w:t>
      </w:r>
    </w:p>
    <w:p w14:paraId="6CCB0D37" w14:textId="77777777" w:rsidR="00675A20" w:rsidRPr="006E2DBF" w:rsidRDefault="008D309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i/>
          <w:iCs/>
          <w:sz w:val="22"/>
          <w:szCs w:val="22"/>
        </w:rPr>
        <w:t> </w:t>
      </w:r>
      <w:r w:rsidRPr="006E2DBF">
        <w:rPr>
          <w:rFonts w:ascii="Palatino Linotype" w:eastAsia="Palatino Linotype" w:hAnsi="Palatino Linotype" w:cs="Palatino Linotype"/>
          <w:b/>
          <w:bCs/>
          <w:i/>
          <w:iCs/>
          <w:sz w:val="22"/>
          <w:szCs w:val="22"/>
        </w:rPr>
        <w:t xml:space="preserve">IV. </w:t>
      </w:r>
      <w:r w:rsidRPr="006E2DBF">
        <w:rPr>
          <w:rFonts w:ascii="Palatino Linotype" w:eastAsia="Palatino Linotype" w:hAnsi="Palatino Linotype" w:cs="Palatino Linotype"/>
          <w:i/>
          <w:iCs/>
          <w:sz w:val="22"/>
          <w:szCs w:val="22"/>
        </w:rPr>
        <w:t>Se establecerán mecanismos de acceso a la información pública y procedimientos de revisión expeditos que se sustanciarán ante las instancias competentes en los términos que fija esta Constitución y las leyes.</w:t>
      </w:r>
    </w:p>
    <w:p w14:paraId="44C6EA98" w14:textId="77777777" w:rsidR="00675A20" w:rsidRPr="006E2DBF" w:rsidRDefault="008D309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i/>
          <w:iCs/>
          <w:sz w:val="22"/>
          <w:szCs w:val="22"/>
        </w:rPr>
        <w:t xml:space="preserve">V. </w:t>
      </w:r>
      <w:r w:rsidRPr="006E2DBF">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1E22AD8D" w14:textId="77777777" w:rsidR="00675A20" w:rsidRPr="006E2DBF" w:rsidRDefault="008D309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i/>
          <w:iCs/>
          <w:sz w:val="22"/>
          <w:szCs w:val="22"/>
        </w:rPr>
        <w:t> </w:t>
      </w:r>
      <w:r w:rsidRPr="006E2DBF">
        <w:rPr>
          <w:rFonts w:ascii="Palatino Linotype" w:eastAsia="Palatino Linotype" w:hAnsi="Palatino Linotype" w:cs="Palatino Linotype"/>
          <w:b/>
          <w:bCs/>
          <w:i/>
          <w:iCs/>
          <w:sz w:val="22"/>
          <w:szCs w:val="22"/>
        </w:rPr>
        <w:t xml:space="preserve">VI. </w:t>
      </w:r>
      <w:r w:rsidRPr="006E2DBF">
        <w:rPr>
          <w:rFonts w:ascii="Palatino Linotype" w:eastAsia="Palatino Linotype" w:hAnsi="Palatino Linotype" w:cs="Palatino Linotype"/>
          <w:i/>
          <w:iCs/>
          <w:sz w:val="22"/>
          <w:szCs w:val="22"/>
        </w:rPr>
        <w:t>Las leyes determinarán la manera en que los sujetos obligados deberán hacer pública la información relativa a los recursos públicos que entreguen a personas físicas o morales.</w:t>
      </w:r>
    </w:p>
    <w:p w14:paraId="3368B604" w14:textId="77777777" w:rsidR="00675A20" w:rsidRPr="006E2DBF" w:rsidRDefault="008D3090">
      <w:pPr>
        <w:pBdr>
          <w:top w:val="nil"/>
          <w:left w:val="nil"/>
          <w:bottom w:val="nil"/>
          <w:right w:val="nil"/>
          <w:between w:val="nil"/>
        </w:pBdr>
        <w:spacing w:line="276" w:lineRule="auto"/>
        <w:ind w:left="851" w:right="851"/>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 </w:t>
      </w:r>
      <w:r w:rsidRPr="006E2DBF">
        <w:rPr>
          <w:rFonts w:ascii="Palatino Linotype" w:eastAsia="Palatino Linotype" w:hAnsi="Palatino Linotype" w:cs="Palatino Linotype"/>
          <w:b/>
          <w:bCs/>
          <w:i/>
          <w:iCs/>
          <w:sz w:val="22"/>
          <w:szCs w:val="22"/>
        </w:rPr>
        <w:t xml:space="preserve">VII. </w:t>
      </w:r>
      <w:r w:rsidRPr="006E2DBF">
        <w:rPr>
          <w:rFonts w:ascii="Palatino Linotype" w:eastAsia="Palatino Linotype" w:hAnsi="Palatino Linotype" w:cs="Palatino Linotype"/>
          <w:i/>
          <w:iCs/>
          <w:sz w:val="22"/>
          <w:szCs w:val="22"/>
        </w:rPr>
        <w:t xml:space="preserve">La inobservancia a las disposiciones en materia de acceso a la información pública será sancionada en los términos que dispongan las leyes. [...]” </w:t>
      </w:r>
    </w:p>
    <w:p w14:paraId="531B8F58" w14:textId="77777777" w:rsidR="00675A20" w:rsidRPr="006E2DBF" w:rsidRDefault="00675A2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p>
    <w:p w14:paraId="6356FF47" w14:textId="77777777" w:rsidR="00675A20" w:rsidRPr="006E2DBF" w:rsidRDefault="008D309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Esto es,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1B8C3E9B" w14:textId="77777777" w:rsidR="00675A20" w:rsidRPr="006E2DBF" w:rsidRDefault="00675A2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E4A84CA" w14:textId="77777777" w:rsidR="00675A20" w:rsidRPr="006E2DBF" w:rsidRDefault="008D3090">
      <w:pPr>
        <w:spacing w:line="276" w:lineRule="auto"/>
        <w:ind w:left="851" w:right="843"/>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r w:rsidRPr="006E2DBF">
        <w:rPr>
          <w:rFonts w:ascii="Palatino Linotype" w:eastAsia="Palatino Linotype" w:hAnsi="Palatino Linotype" w:cs="Palatino Linotype"/>
          <w:b/>
          <w:bCs/>
          <w:i/>
          <w:iCs/>
          <w:sz w:val="22"/>
          <w:szCs w:val="22"/>
        </w:rPr>
        <w:t>Artículo 4</w:t>
      </w:r>
      <w:r w:rsidRPr="006E2DBF">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3BD53A56" w14:textId="77777777" w:rsidR="00675A20" w:rsidRPr="006E2DBF" w:rsidRDefault="00675A20">
      <w:pPr>
        <w:spacing w:line="276" w:lineRule="auto"/>
        <w:ind w:left="851" w:right="843"/>
        <w:jc w:val="both"/>
        <w:rPr>
          <w:rFonts w:ascii="Palatino Linotype" w:eastAsia="Palatino Linotype" w:hAnsi="Palatino Linotype" w:cs="Palatino Linotype"/>
          <w:i/>
          <w:iCs/>
          <w:sz w:val="22"/>
          <w:szCs w:val="22"/>
        </w:rPr>
      </w:pPr>
    </w:p>
    <w:p w14:paraId="7E2BBFF1" w14:textId="77777777" w:rsidR="00675A20" w:rsidRPr="006E2DBF" w:rsidRDefault="008D3090">
      <w:pPr>
        <w:spacing w:line="276" w:lineRule="auto"/>
        <w:ind w:left="851" w:right="843"/>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6E2DBF">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6F6F846C" w14:textId="77777777" w:rsidR="00675A20" w:rsidRPr="006E2DBF" w:rsidRDefault="00675A20">
      <w:pPr>
        <w:spacing w:line="276" w:lineRule="auto"/>
        <w:ind w:left="851" w:right="843"/>
        <w:jc w:val="both"/>
        <w:rPr>
          <w:rFonts w:ascii="Palatino Linotype" w:eastAsia="Palatino Linotype" w:hAnsi="Palatino Linotype" w:cs="Palatino Linotype"/>
          <w:i/>
          <w:iCs/>
          <w:sz w:val="22"/>
          <w:szCs w:val="22"/>
        </w:rPr>
      </w:pPr>
    </w:p>
    <w:p w14:paraId="24381773" w14:textId="77777777" w:rsidR="00675A20" w:rsidRPr="006E2DBF" w:rsidRDefault="008D3090">
      <w:pPr>
        <w:spacing w:line="276" w:lineRule="auto"/>
        <w:ind w:left="851" w:right="843"/>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6E2DBF">
        <w:rPr>
          <w:rFonts w:ascii="Palatino Linotype" w:eastAsia="Palatino Linotype" w:hAnsi="Palatino Linotype" w:cs="Palatino Linotype"/>
          <w:i/>
          <w:iCs/>
          <w:sz w:val="22"/>
          <w:szCs w:val="22"/>
        </w:rPr>
        <w:t>.”</w:t>
      </w:r>
    </w:p>
    <w:p w14:paraId="16E86621"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6CA2C12C"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3AD9B63C"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4D310260" w14:textId="77777777" w:rsidR="00675A20" w:rsidRPr="006E2DBF" w:rsidRDefault="008D3090">
      <w:pPr>
        <w:ind w:left="851" w:right="843"/>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r w:rsidRPr="006E2DBF">
        <w:rPr>
          <w:rFonts w:ascii="Palatino Linotype" w:eastAsia="Palatino Linotype" w:hAnsi="Palatino Linotype" w:cs="Palatino Linotype"/>
          <w:b/>
          <w:bCs/>
          <w:i/>
          <w:iCs/>
          <w:sz w:val="22"/>
          <w:szCs w:val="22"/>
        </w:rPr>
        <w:t>Artículo 12.-</w:t>
      </w:r>
      <w:r w:rsidRPr="006E2DBF">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6C34E9E6" w14:textId="77777777" w:rsidR="00675A20" w:rsidRPr="006E2DBF" w:rsidRDefault="00675A20">
      <w:pPr>
        <w:ind w:left="851" w:right="843"/>
        <w:jc w:val="both"/>
        <w:rPr>
          <w:rFonts w:ascii="Palatino Linotype" w:eastAsia="Palatino Linotype" w:hAnsi="Palatino Linotype" w:cs="Palatino Linotype"/>
          <w:i/>
          <w:iCs/>
          <w:sz w:val="22"/>
          <w:szCs w:val="22"/>
        </w:rPr>
      </w:pPr>
    </w:p>
    <w:p w14:paraId="44FE1244" w14:textId="77777777" w:rsidR="00675A20" w:rsidRPr="006E2DBF" w:rsidRDefault="008D3090">
      <w:pPr>
        <w:ind w:left="851" w:right="843"/>
        <w:jc w:val="both"/>
        <w:rPr>
          <w:rFonts w:ascii="Palatino Linotype" w:eastAsia="Palatino Linotype" w:hAnsi="Palatino Linotype" w:cs="Palatino Linotype"/>
          <w:b/>
          <w:bCs/>
          <w:i/>
          <w:iCs/>
          <w:sz w:val="22"/>
          <w:szCs w:val="22"/>
        </w:rPr>
      </w:pPr>
      <w:r w:rsidRPr="006E2DBF">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6E2DBF">
        <w:rPr>
          <w:rFonts w:ascii="Palatino Linotype" w:eastAsia="Palatino Linotype" w:hAnsi="Palatino Linotype" w:cs="Palatino Linotype"/>
          <w:i/>
          <w:iCs/>
          <w:sz w:val="22"/>
          <w:szCs w:val="22"/>
        </w:rPr>
        <w:t xml:space="preserve">. </w:t>
      </w:r>
      <w:r w:rsidRPr="006E2DBF">
        <w:rPr>
          <w:rFonts w:ascii="Palatino Linotype" w:eastAsia="Palatino Linotype" w:hAnsi="Palatino Linotype" w:cs="Palatino Linotype"/>
          <w:b/>
          <w:bCs/>
          <w:i/>
          <w:iCs/>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620FA254" w14:textId="77777777" w:rsidR="00675A20" w:rsidRPr="006E2DBF" w:rsidRDefault="00675A20">
      <w:pPr>
        <w:spacing w:line="360" w:lineRule="auto"/>
        <w:ind w:left="567" w:right="616"/>
        <w:jc w:val="both"/>
        <w:rPr>
          <w:rFonts w:ascii="Palatino Linotype" w:eastAsia="Palatino Linotype" w:hAnsi="Palatino Linotype" w:cs="Palatino Linotype"/>
          <w:i/>
          <w:iCs/>
          <w:sz w:val="22"/>
          <w:szCs w:val="22"/>
        </w:rPr>
      </w:pPr>
    </w:p>
    <w:p w14:paraId="0CD35260" w14:textId="77777777" w:rsidR="00675A20" w:rsidRPr="006E2DBF" w:rsidRDefault="008D3090">
      <w:pPr>
        <w:spacing w:line="360" w:lineRule="auto"/>
        <w:ind w:right="-93"/>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220BE8E5" w14:textId="77777777" w:rsidR="00675A20" w:rsidRPr="006E2DBF" w:rsidRDefault="00675A20">
      <w:pPr>
        <w:spacing w:line="360" w:lineRule="auto"/>
        <w:ind w:right="-93"/>
        <w:jc w:val="both"/>
        <w:rPr>
          <w:rFonts w:ascii="Palatino Linotype" w:eastAsia="Palatino Linotype" w:hAnsi="Palatino Linotype" w:cs="Palatino Linotype"/>
          <w:sz w:val="22"/>
          <w:szCs w:val="22"/>
        </w:rPr>
      </w:pPr>
    </w:p>
    <w:p w14:paraId="3DF25FA0" w14:textId="77777777" w:rsidR="00675A20" w:rsidRPr="006E2DBF" w:rsidRDefault="008D3090">
      <w:pPr>
        <w:spacing w:line="360" w:lineRule="auto"/>
        <w:jc w:val="both"/>
        <w:rPr>
          <w:rFonts w:ascii="Palatino Linotype" w:eastAsia="Palatino Linotype" w:hAnsi="Palatino Linotype" w:cs="Palatino Linotype"/>
          <w:b/>
          <w:bCs/>
          <w:sz w:val="22"/>
          <w:szCs w:val="22"/>
        </w:rPr>
      </w:pPr>
      <w:r w:rsidRPr="006E2DBF">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6E2DBF">
        <w:rPr>
          <w:rFonts w:ascii="Palatino Linotype" w:eastAsia="Palatino Linotype" w:hAnsi="Palatino Linotype" w:cs="Palatino Linotype"/>
          <w:b/>
          <w:bCs/>
          <w:sz w:val="22"/>
          <w:szCs w:val="22"/>
        </w:rPr>
        <w:t xml:space="preserve"> </w:t>
      </w:r>
    </w:p>
    <w:p w14:paraId="164B4D14" w14:textId="77777777" w:rsidR="00675A20" w:rsidRPr="006E2DBF" w:rsidRDefault="00675A20">
      <w:pPr>
        <w:spacing w:line="360" w:lineRule="auto"/>
        <w:jc w:val="both"/>
        <w:rPr>
          <w:rFonts w:ascii="Palatino Linotype" w:eastAsia="Palatino Linotype" w:hAnsi="Palatino Linotype" w:cs="Palatino Linotype"/>
          <w:b/>
          <w:bCs/>
          <w:sz w:val="22"/>
          <w:szCs w:val="22"/>
        </w:rPr>
      </w:pPr>
    </w:p>
    <w:p w14:paraId="61D8A479" w14:textId="77777777" w:rsidR="00675A20" w:rsidRPr="006E2DBF" w:rsidRDefault="008D3090">
      <w:pPr>
        <w:spacing w:line="276" w:lineRule="auto"/>
        <w:ind w:left="851" w:right="843"/>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r w:rsidRPr="006E2DBF">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6E2DBF">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4F2A963D" w14:textId="77777777" w:rsidR="00675A20" w:rsidRPr="006E2DBF" w:rsidRDefault="00675A20">
      <w:pPr>
        <w:spacing w:line="360" w:lineRule="auto"/>
        <w:ind w:right="-93"/>
        <w:jc w:val="both"/>
        <w:rPr>
          <w:rFonts w:ascii="Palatino Linotype" w:eastAsia="Palatino Linotype" w:hAnsi="Palatino Linotype" w:cs="Palatino Linotype"/>
          <w:sz w:val="22"/>
          <w:szCs w:val="22"/>
        </w:rPr>
      </w:pPr>
    </w:p>
    <w:p w14:paraId="2FD28BA9"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3B44A2A5"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53205C06" w14:textId="77777777" w:rsidR="00675A20" w:rsidRPr="006E2DBF" w:rsidRDefault="008D3090">
      <w:pPr>
        <w:spacing w:line="360" w:lineRule="auto"/>
        <w:ind w:right="49"/>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1B7721FB" w14:textId="77777777" w:rsidR="00675A20" w:rsidRPr="006E2DBF" w:rsidRDefault="00675A20">
      <w:pPr>
        <w:spacing w:line="360" w:lineRule="auto"/>
        <w:ind w:right="49"/>
        <w:jc w:val="both"/>
        <w:rPr>
          <w:rFonts w:ascii="Palatino Linotype" w:eastAsia="Palatino Linotype" w:hAnsi="Palatino Linotype" w:cs="Palatino Linotype"/>
          <w:sz w:val="22"/>
          <w:szCs w:val="22"/>
        </w:rPr>
      </w:pPr>
    </w:p>
    <w:p w14:paraId="445F5ED1"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19C56074"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44120487" w14:textId="77777777" w:rsidR="00675A20" w:rsidRPr="006E2DBF" w:rsidRDefault="008D3090">
      <w:pPr>
        <w:spacing w:line="276" w:lineRule="auto"/>
        <w:ind w:left="851" w:right="843"/>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r w:rsidRPr="006E2DBF">
        <w:rPr>
          <w:rFonts w:ascii="Palatino Linotype" w:eastAsia="Palatino Linotype" w:hAnsi="Palatino Linotype" w:cs="Palatino Linotype"/>
          <w:b/>
          <w:bCs/>
          <w:i/>
          <w:iCs/>
          <w:sz w:val="22"/>
          <w:szCs w:val="22"/>
        </w:rPr>
        <w:t xml:space="preserve">Artículo 3. </w:t>
      </w:r>
      <w:r w:rsidRPr="006E2DBF">
        <w:rPr>
          <w:rFonts w:ascii="Palatino Linotype" w:eastAsia="Palatino Linotype" w:hAnsi="Palatino Linotype" w:cs="Palatino Linotype"/>
          <w:i/>
          <w:iCs/>
          <w:sz w:val="22"/>
          <w:szCs w:val="22"/>
        </w:rPr>
        <w:t>Para los efectos de la presente Ley se entenderá por:</w:t>
      </w:r>
    </w:p>
    <w:p w14:paraId="02448657" w14:textId="77777777" w:rsidR="00675A20" w:rsidRPr="006E2DBF" w:rsidRDefault="008D3090">
      <w:pPr>
        <w:spacing w:line="276" w:lineRule="auto"/>
        <w:ind w:left="851" w:right="843"/>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p>
    <w:p w14:paraId="19E25C2C" w14:textId="77777777" w:rsidR="00675A20" w:rsidRPr="006E2DBF" w:rsidRDefault="008D3090">
      <w:pPr>
        <w:spacing w:line="276" w:lineRule="auto"/>
        <w:ind w:left="851" w:right="843"/>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XI. Documento:</w:t>
      </w:r>
      <w:r w:rsidRPr="006E2DBF">
        <w:rPr>
          <w:rFonts w:ascii="Palatino Linotype" w:eastAsia="Palatino Linotype" w:hAnsi="Palatino Linotype" w:cs="Palatino Linotype"/>
          <w:i/>
          <w:iCs/>
          <w:sz w:val="22"/>
          <w:szCs w:val="22"/>
        </w:rPr>
        <w:t xml:space="preserve"> Los expedientes, reportes, estudios, actas</w:t>
      </w:r>
      <w:r w:rsidRPr="006E2DBF">
        <w:rPr>
          <w:rFonts w:ascii="Palatino Linotype" w:eastAsia="Palatino Linotype" w:hAnsi="Palatino Linotype" w:cs="Palatino Linotype"/>
          <w:b/>
          <w:bCs/>
          <w:i/>
          <w:iCs/>
          <w:sz w:val="22"/>
          <w:szCs w:val="22"/>
        </w:rPr>
        <w:t>,</w:t>
      </w:r>
      <w:r w:rsidRPr="006E2DBF">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1BF6D00B" w14:textId="77777777" w:rsidR="00675A20" w:rsidRPr="006E2DBF" w:rsidRDefault="00675A20">
      <w:pPr>
        <w:spacing w:line="360" w:lineRule="auto"/>
        <w:ind w:left="851" w:right="899"/>
        <w:jc w:val="both"/>
        <w:rPr>
          <w:rFonts w:ascii="Palatino Linotype" w:eastAsia="Palatino Linotype" w:hAnsi="Palatino Linotype" w:cs="Palatino Linotype"/>
          <w:sz w:val="22"/>
          <w:szCs w:val="22"/>
        </w:rPr>
      </w:pPr>
    </w:p>
    <w:p w14:paraId="6697E81F"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6CB0DAF4"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57CCBFD8" w14:textId="77777777" w:rsidR="00675A20" w:rsidRPr="006E2DBF" w:rsidRDefault="008D3090">
      <w:pPr>
        <w:spacing w:line="276" w:lineRule="auto"/>
        <w:ind w:left="851" w:right="843"/>
        <w:jc w:val="both"/>
        <w:rPr>
          <w:rFonts w:ascii="Palatino Linotype" w:eastAsia="Palatino Linotype" w:hAnsi="Palatino Linotype" w:cs="Palatino Linotype"/>
          <w:b/>
          <w:bCs/>
          <w:i/>
          <w:iCs/>
          <w:sz w:val="22"/>
          <w:szCs w:val="22"/>
        </w:rPr>
      </w:pPr>
      <w:r w:rsidRPr="006E2DBF">
        <w:rPr>
          <w:rFonts w:ascii="Palatino Linotype" w:eastAsia="Palatino Linotype" w:hAnsi="Palatino Linotype" w:cs="Palatino Linotype"/>
          <w:b/>
          <w:bCs/>
          <w:sz w:val="22"/>
          <w:szCs w:val="22"/>
        </w:rPr>
        <w:t>“</w:t>
      </w:r>
      <w:r w:rsidRPr="006E2DBF">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6E2DBF">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4E8AF63" w14:textId="77777777" w:rsidR="00675A20" w:rsidRPr="006E2DBF" w:rsidRDefault="008D3090">
      <w:pPr>
        <w:spacing w:line="276" w:lineRule="auto"/>
        <w:ind w:left="851" w:right="843"/>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En consecuencia el acceso a la información se refiere a que se cumplan cualquiera de los siguientes tres supuestos:</w:t>
      </w:r>
    </w:p>
    <w:p w14:paraId="4D9D54B6" w14:textId="77777777" w:rsidR="00675A20" w:rsidRPr="006E2DBF" w:rsidRDefault="008D3090">
      <w:pPr>
        <w:spacing w:line="276" w:lineRule="auto"/>
        <w:ind w:left="851" w:right="843"/>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14:paraId="27C7AB9A" w14:textId="77777777" w:rsidR="00675A20" w:rsidRPr="006E2DBF" w:rsidRDefault="008D3090">
      <w:pPr>
        <w:spacing w:line="276" w:lineRule="auto"/>
        <w:ind w:left="851" w:right="843"/>
        <w:jc w:val="both"/>
        <w:rPr>
          <w:rFonts w:ascii="Palatino Linotype" w:eastAsia="Palatino Linotype" w:hAnsi="Palatino Linotype" w:cs="Palatino Linotype"/>
          <w:b/>
          <w:bCs/>
          <w:i/>
          <w:iCs/>
          <w:sz w:val="22"/>
          <w:szCs w:val="22"/>
        </w:rPr>
      </w:pPr>
      <w:r w:rsidRPr="006E2DBF">
        <w:rPr>
          <w:rFonts w:ascii="Palatino Linotype" w:eastAsia="Palatino Linotype" w:hAnsi="Palatino Linotype" w:cs="Palatino Linotype"/>
          <w:b/>
          <w:bCs/>
          <w:i/>
          <w:iCs/>
          <w:sz w:val="22"/>
          <w:szCs w:val="22"/>
        </w:rPr>
        <w:t>2) Que se trate de información registrada en cualquier soporte documental, que en ejercicio de las atribuciones conferidas, sea administrada por los Sujetos Obligados, y</w:t>
      </w:r>
    </w:p>
    <w:p w14:paraId="320EF27C" w14:textId="77777777" w:rsidR="00675A20" w:rsidRPr="006E2DBF" w:rsidRDefault="008D3090">
      <w:pPr>
        <w:spacing w:line="276" w:lineRule="auto"/>
        <w:ind w:left="851" w:right="843"/>
        <w:jc w:val="both"/>
        <w:rPr>
          <w:rFonts w:ascii="Palatino Linotype" w:eastAsia="Palatino Linotype" w:hAnsi="Palatino Linotype" w:cs="Palatino Linotype"/>
          <w:b/>
          <w:bCs/>
          <w:i/>
          <w:iCs/>
          <w:sz w:val="22"/>
          <w:szCs w:val="22"/>
        </w:rPr>
      </w:pPr>
      <w:r w:rsidRPr="006E2DBF">
        <w:rPr>
          <w:rFonts w:ascii="Palatino Linotype" w:eastAsia="Palatino Linotype" w:hAnsi="Palatino Linotype" w:cs="Palatino Linotype"/>
          <w:b/>
          <w:bCs/>
          <w:i/>
          <w:iCs/>
          <w:sz w:val="22"/>
          <w:szCs w:val="22"/>
        </w:rPr>
        <w:t xml:space="preserve">3) Que se trate de información registrada en cualquier soporte documental, que en ejercicio de las atribuciones conferidas, se encuentre en posesión de los Sujetos Obligados.” </w:t>
      </w:r>
    </w:p>
    <w:p w14:paraId="02795A17" w14:textId="77777777" w:rsidR="00675A20" w:rsidRPr="006E2DBF" w:rsidRDefault="00675A20">
      <w:pPr>
        <w:spacing w:line="276" w:lineRule="auto"/>
        <w:ind w:left="567" w:right="616"/>
        <w:jc w:val="both"/>
        <w:rPr>
          <w:rFonts w:ascii="Palatino Linotype" w:eastAsia="Palatino Linotype" w:hAnsi="Palatino Linotype" w:cs="Palatino Linotype"/>
          <w:b/>
          <w:bCs/>
          <w:i/>
          <w:iCs/>
          <w:sz w:val="22"/>
          <w:szCs w:val="22"/>
        </w:rPr>
      </w:pPr>
    </w:p>
    <w:p w14:paraId="0481CC12"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De ahí que el </w:t>
      </w:r>
      <w:r w:rsidRPr="006E2DBF">
        <w:rPr>
          <w:rFonts w:ascii="Palatino Linotype" w:eastAsia="Palatino Linotype" w:hAnsi="Palatino Linotype" w:cs="Palatino Linotype"/>
          <w:b/>
          <w:bCs/>
          <w:sz w:val="22"/>
          <w:szCs w:val="22"/>
        </w:rPr>
        <w:t>Sujeto Obligado</w:t>
      </w:r>
      <w:r w:rsidRPr="006E2DBF">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6E2DBF">
        <w:rPr>
          <w:rFonts w:ascii="Palatino Linotype" w:eastAsia="Palatino Linotype" w:hAnsi="Palatino Linotype" w:cs="Palatino Linotype"/>
          <w:sz w:val="22"/>
          <w:szCs w:val="22"/>
          <w:vertAlign w:val="superscript"/>
        </w:rPr>
        <w:footnoteReference w:id="1"/>
      </w:r>
      <w:r w:rsidRPr="006E2DBF">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6E2DBF">
        <w:rPr>
          <w:rFonts w:ascii="Palatino Linotype" w:eastAsia="Palatino Linotype" w:hAnsi="Palatino Linotype" w:cs="Palatino Linotype"/>
          <w:sz w:val="22"/>
          <w:szCs w:val="22"/>
          <w:vertAlign w:val="superscript"/>
        </w:rPr>
        <w:footnoteReference w:id="2"/>
      </w:r>
      <w:r w:rsidRPr="006E2DBF">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027E8C5C" w14:textId="77777777" w:rsidR="00675A20" w:rsidRPr="006E2DBF" w:rsidRDefault="00675A2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4BDB6A45" w14:textId="77777777" w:rsidR="00675A20" w:rsidRPr="006E2DBF" w:rsidRDefault="008D309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8" w:name="_heading=h.1y810tw" w:colFirst="0" w:colLast="0"/>
      <w:bookmarkEnd w:id="8"/>
      <w:r w:rsidRPr="006E2DBF">
        <w:rPr>
          <w:rFonts w:ascii="Palatino Linotype" w:eastAsia="Palatino Linotype" w:hAnsi="Palatino Linotype" w:cs="Palatino Linotype"/>
          <w:sz w:val="22"/>
          <w:szCs w:val="22"/>
        </w:rPr>
        <w:t xml:space="preserve">Conviene iniciar el presente estudio señalando que, del análisis a la solicitud de información se advierte que la persona solicitante requirió del </w:t>
      </w:r>
      <w:r w:rsidRPr="006E2DBF">
        <w:rPr>
          <w:rFonts w:ascii="Palatino Linotype" w:eastAsia="Palatino Linotype" w:hAnsi="Palatino Linotype" w:cs="Palatino Linotype"/>
          <w:b/>
          <w:bCs/>
          <w:sz w:val="22"/>
          <w:szCs w:val="22"/>
        </w:rPr>
        <w:t xml:space="preserve">Sujeto Obligado, </w:t>
      </w:r>
      <w:r w:rsidRPr="006E2DBF">
        <w:rPr>
          <w:rFonts w:ascii="Palatino Linotype" w:eastAsia="Palatino Linotype" w:hAnsi="Palatino Linotype" w:cs="Palatino Linotype"/>
          <w:sz w:val="22"/>
          <w:szCs w:val="22"/>
        </w:rPr>
        <w:t>medularmente lo siguiente:</w:t>
      </w:r>
    </w:p>
    <w:p w14:paraId="3B88C73E" w14:textId="77777777" w:rsidR="00675A20" w:rsidRPr="006E2DBF" w:rsidRDefault="00675A20">
      <w:pPr>
        <w:pBdr>
          <w:top w:val="nil"/>
          <w:left w:val="nil"/>
          <w:bottom w:val="nil"/>
          <w:right w:val="nil"/>
          <w:between w:val="nil"/>
        </w:pBdr>
        <w:spacing w:line="360" w:lineRule="auto"/>
        <w:ind w:right="-150"/>
        <w:jc w:val="both"/>
        <w:rPr>
          <w:rFonts w:ascii="Palatino Linotype" w:eastAsia="Palatino Linotype" w:hAnsi="Palatino Linotype" w:cs="Palatino Linotype"/>
          <w:b/>
          <w:bCs/>
          <w:sz w:val="22"/>
          <w:szCs w:val="22"/>
        </w:rPr>
      </w:pPr>
    </w:p>
    <w:p w14:paraId="095067E0" w14:textId="77777777" w:rsidR="00675A20" w:rsidRPr="006E2DBF" w:rsidRDefault="008D3090">
      <w:pPr>
        <w:numPr>
          <w:ilvl w:val="0"/>
          <w:numId w:val="1"/>
        </w:numPr>
        <w:pBdr>
          <w:top w:val="nil"/>
          <w:left w:val="nil"/>
          <w:bottom w:val="nil"/>
          <w:right w:val="nil"/>
          <w:between w:val="nil"/>
        </w:pBdr>
        <w:spacing w:line="360" w:lineRule="auto"/>
        <w:ind w:right="-150"/>
        <w:jc w:val="both"/>
        <w:rPr>
          <w:rFonts w:ascii="Palatino Linotype" w:eastAsia="Palatino Linotype" w:hAnsi="Palatino Linotype" w:cs="Palatino Linotype"/>
          <w:b/>
          <w:bCs/>
          <w:sz w:val="22"/>
          <w:szCs w:val="22"/>
        </w:rPr>
      </w:pPr>
      <w:r w:rsidRPr="006E2DBF">
        <w:rPr>
          <w:rFonts w:ascii="Palatino Linotype" w:eastAsia="Palatino Linotype" w:hAnsi="Palatino Linotype" w:cs="Palatino Linotype"/>
          <w:b/>
          <w:bCs/>
          <w:sz w:val="22"/>
          <w:szCs w:val="22"/>
        </w:rPr>
        <w:t>El número de Valoraciones de Riesgo y/o Dictámenes de Riesgo realizados por la Dirección de Medio Ambiente y Ecología relacionados con la poda, derribo y/o trasplante de árboles en banquetas del Municipio de Ecatepec de Morelos, en el ejercicio 2023.</w:t>
      </w:r>
    </w:p>
    <w:p w14:paraId="6CADA163" w14:textId="77777777" w:rsidR="00675A20" w:rsidRPr="006E2DBF" w:rsidRDefault="00675A20">
      <w:pPr>
        <w:pBdr>
          <w:top w:val="nil"/>
          <w:left w:val="nil"/>
          <w:bottom w:val="nil"/>
          <w:right w:val="nil"/>
          <w:between w:val="nil"/>
        </w:pBdr>
        <w:spacing w:line="360" w:lineRule="auto"/>
        <w:ind w:right="-150"/>
        <w:jc w:val="both"/>
        <w:rPr>
          <w:rFonts w:ascii="Palatino Linotype" w:eastAsia="Palatino Linotype" w:hAnsi="Palatino Linotype" w:cs="Palatino Linotype"/>
          <w:b/>
          <w:bCs/>
          <w:sz w:val="22"/>
          <w:szCs w:val="22"/>
        </w:rPr>
      </w:pPr>
    </w:p>
    <w:p w14:paraId="5C1548D3" w14:textId="77777777" w:rsidR="00675A20" w:rsidRPr="006E2DBF" w:rsidRDefault="008D309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En respuesta </w:t>
      </w:r>
      <w:r w:rsidRPr="006E2DBF">
        <w:rPr>
          <w:rFonts w:ascii="Palatino Linotype" w:eastAsia="Palatino Linotype" w:hAnsi="Palatino Linotype" w:cs="Palatino Linotype"/>
          <w:b/>
          <w:bCs/>
          <w:sz w:val="22"/>
          <w:szCs w:val="22"/>
        </w:rPr>
        <w:t xml:space="preserve">el Sujeto Obligado </w:t>
      </w:r>
      <w:r w:rsidRPr="006E2DBF">
        <w:rPr>
          <w:rFonts w:ascii="Palatino Linotype" w:eastAsia="Palatino Linotype" w:hAnsi="Palatino Linotype" w:cs="Palatino Linotype"/>
          <w:sz w:val="22"/>
          <w:szCs w:val="22"/>
        </w:rPr>
        <w:t>se pronunció por conducto de la Directora de Medio Ambiente y Ecología quien indicó que en lo que concierne a la Subdirección de Conservación y Restauración Ecológica y Jefatura de Manejo de Arbolado Urbano, al momento de recibir la dependencia, la administración saliente no hizo entrega de expedientes; y, por lo tanto, dicha Dirección se ve imposibilitada en emitir una respuesta a la petición de la persona solicitante.</w:t>
      </w:r>
    </w:p>
    <w:p w14:paraId="3797BC37" w14:textId="77777777" w:rsidR="00675A20" w:rsidRPr="006E2DBF" w:rsidRDefault="00675A2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31C6398" w14:textId="77777777" w:rsidR="00675A20" w:rsidRPr="006E2DBF" w:rsidRDefault="008D309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Asimismo, la Directora de Medio Ambiente y Ecología hizo entrega de un oficio a través del cual hizo del conocimiento del Contralor Interno Municipal las irregularidades advertidas del proceso de revisión de información del acta y anexos relacionados con la entrega recepción de la anterior titular de dicha Dirección, la Biol. Katy Elizabeth Domínguez Flores, como lo fue la falta de entrega de determinada información.</w:t>
      </w:r>
    </w:p>
    <w:p w14:paraId="0325A15A" w14:textId="77777777" w:rsidR="00675A20" w:rsidRPr="006E2DBF" w:rsidRDefault="00675A2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5ABB915" w14:textId="77777777" w:rsidR="00675A20" w:rsidRPr="006E2DBF" w:rsidRDefault="008D3090">
      <w:pPr>
        <w:spacing w:line="360" w:lineRule="auto"/>
        <w:ind w:right="49"/>
        <w:jc w:val="both"/>
        <w:rPr>
          <w:rFonts w:ascii="Palatino Linotype" w:eastAsia="Palatino Linotype" w:hAnsi="Palatino Linotype" w:cs="Palatino Linotype"/>
          <w:b/>
          <w:bCs/>
          <w:sz w:val="22"/>
          <w:szCs w:val="22"/>
        </w:rPr>
      </w:pPr>
      <w:r w:rsidRPr="006E2DBF">
        <w:rPr>
          <w:rFonts w:ascii="Palatino Linotype" w:eastAsia="Palatino Linotype" w:hAnsi="Palatino Linotype" w:cs="Palatino Linotype"/>
          <w:sz w:val="22"/>
          <w:szCs w:val="22"/>
        </w:rPr>
        <w:t xml:space="preserve">Inconforme con la respuesta, la parte </w:t>
      </w:r>
      <w:r w:rsidRPr="006E2DBF">
        <w:rPr>
          <w:rFonts w:ascii="Palatino Linotype" w:eastAsia="Palatino Linotype" w:hAnsi="Palatino Linotype" w:cs="Palatino Linotype"/>
          <w:b/>
          <w:bCs/>
          <w:sz w:val="22"/>
          <w:szCs w:val="22"/>
        </w:rPr>
        <w:t xml:space="preserve">Recurrente </w:t>
      </w:r>
      <w:r w:rsidRPr="006E2DBF">
        <w:rPr>
          <w:rFonts w:ascii="Palatino Linotype" w:eastAsia="Palatino Linotype" w:hAnsi="Palatino Linotype" w:cs="Palatino Linotype"/>
          <w:sz w:val="22"/>
          <w:szCs w:val="22"/>
        </w:rPr>
        <w:t xml:space="preserve">promovió el presente recurso de revisión en el que a manera de motivos de inconformidad </w:t>
      </w:r>
      <w:r w:rsidRPr="006E2DBF">
        <w:rPr>
          <w:rFonts w:ascii="Palatino Linotype" w:eastAsia="Palatino Linotype" w:hAnsi="Palatino Linotype" w:cs="Palatino Linotype"/>
          <w:b/>
          <w:bCs/>
          <w:sz w:val="22"/>
          <w:szCs w:val="22"/>
        </w:rPr>
        <w:t>se adolece medularmente de la negativa a la entrega de la información.</w:t>
      </w:r>
    </w:p>
    <w:p w14:paraId="37E84E19" w14:textId="77777777" w:rsidR="00675A20" w:rsidRPr="006E2DBF" w:rsidRDefault="00675A20">
      <w:pPr>
        <w:spacing w:line="360" w:lineRule="auto"/>
        <w:ind w:right="49"/>
        <w:jc w:val="both"/>
        <w:rPr>
          <w:rFonts w:ascii="Palatino Linotype" w:eastAsia="Palatino Linotype" w:hAnsi="Palatino Linotype" w:cs="Palatino Linotype"/>
          <w:sz w:val="22"/>
          <w:szCs w:val="22"/>
        </w:rPr>
      </w:pPr>
    </w:p>
    <w:p w14:paraId="6608DC0A"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Admitido el presente recurso de revisión, en términos del artículo 185 fracción II</w:t>
      </w:r>
      <w:r w:rsidRPr="006E2DBF">
        <w:rPr>
          <w:rFonts w:ascii="Palatino Linotype" w:eastAsia="Palatino Linotype" w:hAnsi="Palatino Linotype" w:cs="Palatino Linotype"/>
          <w:sz w:val="22"/>
          <w:szCs w:val="22"/>
          <w:vertAlign w:val="superscript"/>
        </w:rPr>
        <w:footnoteReference w:id="3"/>
      </w:r>
      <w:r w:rsidRPr="006E2DBF">
        <w:rPr>
          <w:rFonts w:ascii="Palatino Linotype" w:eastAsia="Palatino Linotype" w:hAnsi="Palatino Linotype" w:cs="Palatino Linotype"/>
          <w:sz w:val="22"/>
          <w:szCs w:val="22"/>
        </w:rPr>
        <w:t xml:space="preserve"> de la Ley de Transparencia y Acceso a la Información Pública del Estado de México y Municipios, se integró el expediente y se puso a disposición de las partes para que, en un plazo máximo de siete días hábiles, manifestaran lo que a su derecho resultara conveniente.</w:t>
      </w:r>
    </w:p>
    <w:p w14:paraId="7CEE45FE"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5C0023B9"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De las constancias que integran el expediente en que se actúa se advierte que el </w:t>
      </w:r>
      <w:r w:rsidRPr="006E2DBF">
        <w:rPr>
          <w:rFonts w:ascii="Palatino Linotype" w:eastAsia="Palatino Linotype" w:hAnsi="Palatino Linotype" w:cs="Palatino Linotype"/>
          <w:b/>
          <w:bCs/>
          <w:sz w:val="22"/>
          <w:szCs w:val="22"/>
        </w:rPr>
        <w:t xml:space="preserve">Sujeto Obligado </w:t>
      </w:r>
      <w:r w:rsidRPr="006E2DBF">
        <w:rPr>
          <w:rFonts w:ascii="Palatino Linotype" w:eastAsia="Palatino Linotype" w:hAnsi="Palatino Linotype" w:cs="Palatino Linotype"/>
          <w:sz w:val="22"/>
          <w:szCs w:val="22"/>
        </w:rPr>
        <w:t>rindió su informe justificado, ratificando en lo medular la respuesta inicial.</w:t>
      </w:r>
    </w:p>
    <w:p w14:paraId="0C675331"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72EF3040"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Por su lado, la parte </w:t>
      </w:r>
      <w:r w:rsidRPr="006E2DBF">
        <w:rPr>
          <w:rFonts w:ascii="Palatino Linotype" w:eastAsia="Palatino Linotype" w:hAnsi="Palatino Linotype" w:cs="Palatino Linotype"/>
          <w:b/>
          <w:bCs/>
          <w:sz w:val="22"/>
          <w:szCs w:val="22"/>
        </w:rPr>
        <w:t xml:space="preserve">Recurrente </w:t>
      </w:r>
      <w:r w:rsidRPr="006E2DBF">
        <w:rPr>
          <w:rFonts w:ascii="Palatino Linotype" w:eastAsia="Palatino Linotype" w:hAnsi="Palatino Linotype" w:cs="Palatino Linotype"/>
          <w:sz w:val="22"/>
          <w:szCs w:val="22"/>
        </w:rPr>
        <w:t>rindió manifestaciones ratificando sus motivos de inconformidad.</w:t>
      </w:r>
    </w:p>
    <w:p w14:paraId="5D1B02F5"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704D46A5"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Una vez establecidas las posturas de las partes, se procede al análisis de la información requerida y para ello conviene traer a contexto el contenido de los artículos 59 y 60 del Bando Municipal del Sujeto Obligado, a saber:</w:t>
      </w:r>
    </w:p>
    <w:p w14:paraId="5F9C1962"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02869EBF" w14:textId="77777777" w:rsidR="00675A20" w:rsidRPr="006E2DBF" w:rsidRDefault="008D3090">
      <w:pPr>
        <w:spacing w:line="360" w:lineRule="auto"/>
        <w:ind w:left="567" w:right="616"/>
        <w:jc w:val="center"/>
        <w:rPr>
          <w:rFonts w:ascii="Palatino Linotype" w:eastAsia="Palatino Linotype" w:hAnsi="Palatino Linotype" w:cs="Palatino Linotype"/>
          <w:b/>
          <w:bCs/>
          <w:i/>
          <w:iCs/>
          <w:sz w:val="22"/>
          <w:szCs w:val="22"/>
        </w:rPr>
      </w:pPr>
      <w:r w:rsidRPr="006E2DBF">
        <w:rPr>
          <w:rFonts w:ascii="Palatino Linotype" w:eastAsia="Palatino Linotype" w:hAnsi="Palatino Linotype" w:cs="Palatino Linotype"/>
          <w:b/>
          <w:bCs/>
          <w:i/>
          <w:iCs/>
          <w:sz w:val="22"/>
          <w:szCs w:val="22"/>
        </w:rPr>
        <w:t>De la Dirección de Medio Ambiente y Ecología</w:t>
      </w:r>
    </w:p>
    <w:p w14:paraId="0184A636" w14:textId="77777777" w:rsidR="00675A20" w:rsidRPr="006E2DBF" w:rsidRDefault="008D3090">
      <w:pPr>
        <w:spacing w:line="360" w:lineRule="auto"/>
        <w:ind w:left="567"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Artículo 59.</w:t>
      </w:r>
      <w:r w:rsidRPr="006E2DBF">
        <w:rPr>
          <w:rFonts w:ascii="Palatino Linotype" w:eastAsia="Palatino Linotype" w:hAnsi="Palatino Linotype" w:cs="Palatino Linotype"/>
          <w:i/>
          <w:iCs/>
          <w:sz w:val="22"/>
          <w:szCs w:val="22"/>
        </w:rPr>
        <w:t xml:space="preserve"> La Dirección de Medio Ambiente y Ecología fortalecerá las relaciones armónicas de la Zona Metropolitana del Valle de México, de acuerdo con las políticas que acuerden los gobiernos involucrados y vigilará el cumplimiento de las disposiciones cuyo objeto es el registro de personas físicas y/o jurídico colectivas que realicen actividades en relación al medio ambiente; así como la conservación, restauración, protección, preservación y mejoramiento de éste, de conformidad con la legislación aplicable. </w:t>
      </w:r>
    </w:p>
    <w:p w14:paraId="58E90829" w14:textId="77777777" w:rsidR="00675A20" w:rsidRPr="006E2DBF" w:rsidRDefault="00675A20">
      <w:pPr>
        <w:spacing w:line="360" w:lineRule="auto"/>
        <w:ind w:left="567" w:right="616"/>
        <w:jc w:val="both"/>
        <w:rPr>
          <w:rFonts w:ascii="Palatino Linotype" w:eastAsia="Palatino Linotype" w:hAnsi="Palatino Linotype" w:cs="Palatino Linotype"/>
          <w:i/>
          <w:iCs/>
          <w:sz w:val="22"/>
          <w:szCs w:val="22"/>
        </w:rPr>
      </w:pPr>
    </w:p>
    <w:p w14:paraId="7EEAF39D" w14:textId="77777777" w:rsidR="00675A20" w:rsidRPr="006E2DBF" w:rsidRDefault="008D3090">
      <w:pPr>
        <w:spacing w:line="360" w:lineRule="auto"/>
        <w:ind w:left="567"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 xml:space="preserve">Esta Dirección tendrá a su cargo la formulación, conducción y evaluación de la política ambiental municipal promoviendo estrategias de reforestación y disminución de gases contaminantes a efecto de combatir el cambio climático y deberá coordinarse con la Secretaría del Medio Ambiente del Gobierno del Estado de México, atendiendo a la Ley General del Equilibrio Ecológico y la Protección al Ambiente, así como la Ley de Cambio Climático del Estado de México, Código para la Biodiversidad del Estado de México y demás ordenamientos legales de la materia. </w:t>
      </w:r>
    </w:p>
    <w:p w14:paraId="1690BC42" w14:textId="77777777" w:rsidR="00675A20" w:rsidRPr="006E2DBF" w:rsidRDefault="00675A20">
      <w:pPr>
        <w:spacing w:line="360" w:lineRule="auto"/>
        <w:ind w:left="567" w:right="616"/>
        <w:jc w:val="both"/>
        <w:rPr>
          <w:rFonts w:ascii="Palatino Linotype" w:eastAsia="Palatino Linotype" w:hAnsi="Palatino Linotype" w:cs="Palatino Linotype"/>
          <w:i/>
          <w:iCs/>
          <w:sz w:val="22"/>
          <w:szCs w:val="22"/>
        </w:rPr>
      </w:pPr>
    </w:p>
    <w:p w14:paraId="4992EAF2" w14:textId="77777777" w:rsidR="00675A20" w:rsidRPr="006E2DBF" w:rsidRDefault="008D3090">
      <w:pPr>
        <w:spacing w:line="360" w:lineRule="auto"/>
        <w:ind w:left="567"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p>
    <w:p w14:paraId="244C1DE2" w14:textId="77777777" w:rsidR="00675A20" w:rsidRPr="006E2DBF" w:rsidRDefault="008D3090">
      <w:pPr>
        <w:spacing w:line="360" w:lineRule="auto"/>
        <w:ind w:left="567"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Artículo 60</w:t>
      </w:r>
      <w:r w:rsidRPr="006E2DBF">
        <w:rPr>
          <w:rFonts w:ascii="Palatino Linotype" w:eastAsia="Palatino Linotype" w:hAnsi="Palatino Linotype" w:cs="Palatino Linotype"/>
          <w:i/>
          <w:iCs/>
          <w:sz w:val="22"/>
          <w:szCs w:val="22"/>
        </w:rPr>
        <w:t>. La Dirección de Medio Ambiente y Ecología tendrá las siguientes atribuciones:</w:t>
      </w:r>
    </w:p>
    <w:p w14:paraId="17232405" w14:textId="77777777" w:rsidR="00675A20" w:rsidRPr="006E2DBF" w:rsidRDefault="008D3090">
      <w:pPr>
        <w:spacing w:line="360" w:lineRule="auto"/>
        <w:ind w:left="567"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sz w:val="22"/>
          <w:szCs w:val="22"/>
        </w:rPr>
        <w:tab/>
      </w:r>
      <w:r w:rsidRPr="006E2DBF">
        <w:rPr>
          <w:rFonts w:ascii="Palatino Linotype" w:eastAsia="Palatino Linotype" w:hAnsi="Palatino Linotype" w:cs="Palatino Linotype"/>
          <w:i/>
          <w:iCs/>
          <w:sz w:val="22"/>
          <w:szCs w:val="22"/>
        </w:rPr>
        <w:t>….</w:t>
      </w:r>
    </w:p>
    <w:p w14:paraId="3A29A125" w14:textId="77777777" w:rsidR="00675A20" w:rsidRPr="006E2DBF" w:rsidRDefault="008D3090">
      <w:pPr>
        <w:spacing w:line="360" w:lineRule="auto"/>
        <w:ind w:left="567"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I. Recibir, integrar, evaluar y, en su caso, expedir las autorizaciones, licencias, permisos y/o registros de carácter municipal, así como aquellos que son atribución de la Secretaría del Medio Ambiente del Gobierno del Estado de México y que, por los instrumentos legales, le hayan sido legalmente delegados al Municipio;</w:t>
      </w:r>
    </w:p>
    <w:p w14:paraId="6A17CD4C" w14:textId="77777777" w:rsidR="00675A20" w:rsidRPr="006E2DBF" w:rsidRDefault="008D3090">
      <w:pPr>
        <w:spacing w:line="360" w:lineRule="auto"/>
        <w:ind w:left="567"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p>
    <w:p w14:paraId="2E2BDA0A" w14:textId="77777777" w:rsidR="00675A20" w:rsidRPr="006E2DBF" w:rsidRDefault="008D3090">
      <w:pPr>
        <w:spacing w:line="360" w:lineRule="auto"/>
        <w:ind w:left="567"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 xml:space="preserve">VI. Analizar y justificar técnicamente los dictámenes de riesgo emitidos por la Dirección de Protección Civil y Bomberos </w:t>
      </w:r>
      <w:r w:rsidRPr="006E2DBF">
        <w:rPr>
          <w:rFonts w:ascii="Palatino Linotype" w:eastAsia="Palatino Linotype" w:hAnsi="Palatino Linotype" w:cs="Palatino Linotype"/>
          <w:i/>
          <w:iCs/>
          <w:sz w:val="22"/>
          <w:szCs w:val="22"/>
          <w:u w:val="single"/>
        </w:rPr>
        <w:t>para la ejecución de trabajos en árboles</w:t>
      </w:r>
      <w:r w:rsidRPr="006E2DBF">
        <w:rPr>
          <w:rFonts w:ascii="Palatino Linotype" w:eastAsia="Palatino Linotype" w:hAnsi="Palatino Linotype" w:cs="Palatino Linotype"/>
          <w:i/>
          <w:iCs/>
          <w:sz w:val="22"/>
          <w:szCs w:val="22"/>
        </w:rPr>
        <w:t xml:space="preserve"> que, por la magnitud del riesgo, se ejecuten sin previa autorización; asimismo, determinará en las autorizaciones que emita si se requiere la intervención de la Dirección de Protección Civil y Bomberos derivado del riesgo;</w:t>
      </w:r>
    </w:p>
    <w:p w14:paraId="63588E04" w14:textId="77777777" w:rsidR="00675A20" w:rsidRPr="006E2DBF" w:rsidRDefault="008D3090">
      <w:pPr>
        <w:spacing w:line="360" w:lineRule="auto"/>
        <w:ind w:left="567"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p>
    <w:p w14:paraId="574D2E3B" w14:textId="77777777" w:rsidR="00675A20" w:rsidRPr="006E2DBF" w:rsidRDefault="008D3090">
      <w:pPr>
        <w:spacing w:line="360" w:lineRule="auto"/>
        <w:ind w:left="567"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VIII. Realizar visitas de inspección con el objeto de constatar el cumplimiento del Código para la Biodiversidad del Estado de México y demás ordenamientos aplicables;</w:t>
      </w:r>
    </w:p>
    <w:p w14:paraId="46F37429"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04BC23DD"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De lo anterior se advierte que </w:t>
      </w:r>
      <w:r w:rsidRPr="006E2DBF">
        <w:rPr>
          <w:rFonts w:ascii="Palatino Linotype" w:eastAsia="Palatino Linotype" w:hAnsi="Palatino Linotype" w:cs="Palatino Linotype"/>
          <w:b/>
          <w:bCs/>
          <w:sz w:val="22"/>
          <w:szCs w:val="22"/>
        </w:rPr>
        <w:t>le corresponde a la Dirección de Medio Ambiente y Ecología</w:t>
      </w:r>
      <w:r w:rsidRPr="006E2DBF">
        <w:rPr>
          <w:rFonts w:ascii="Palatino Linotype" w:eastAsia="Palatino Linotype" w:hAnsi="Palatino Linotype" w:cs="Palatino Linotype"/>
          <w:sz w:val="22"/>
          <w:szCs w:val="22"/>
        </w:rPr>
        <w:t xml:space="preserve"> recibir, integrar, evaluar y, en su caso, expedir las autorizaciones, licencias, permisos y/o registros de carácter municipal; llevar la formulación, conducción y evaluación de la política ambiental municipal </w:t>
      </w:r>
      <w:r w:rsidRPr="006E2DBF">
        <w:rPr>
          <w:rFonts w:ascii="Palatino Linotype" w:eastAsia="Palatino Linotype" w:hAnsi="Palatino Linotype" w:cs="Palatino Linotype"/>
          <w:b/>
          <w:bCs/>
          <w:sz w:val="22"/>
          <w:szCs w:val="22"/>
        </w:rPr>
        <w:t>así como</w:t>
      </w:r>
      <w:r w:rsidRPr="006E2DBF">
        <w:rPr>
          <w:rFonts w:ascii="Palatino Linotype" w:eastAsia="Palatino Linotype" w:hAnsi="Palatino Linotype" w:cs="Palatino Linotype"/>
          <w:sz w:val="22"/>
          <w:szCs w:val="22"/>
        </w:rPr>
        <w:t xml:space="preserve"> </w:t>
      </w:r>
      <w:r w:rsidRPr="006E2DBF">
        <w:rPr>
          <w:rFonts w:ascii="Palatino Linotype" w:eastAsia="Palatino Linotype" w:hAnsi="Palatino Linotype" w:cs="Palatino Linotype"/>
          <w:b/>
          <w:bCs/>
          <w:sz w:val="22"/>
          <w:szCs w:val="22"/>
        </w:rPr>
        <w:t>analizar y justificar técnicamente los dictámenes de riesgo emitidos por la Dirección de Protección Civil y Bomberos</w:t>
      </w:r>
      <w:r w:rsidRPr="006E2DBF">
        <w:rPr>
          <w:rFonts w:ascii="Palatino Linotype" w:eastAsia="Palatino Linotype" w:hAnsi="Palatino Linotype" w:cs="Palatino Linotype"/>
          <w:sz w:val="22"/>
          <w:szCs w:val="22"/>
        </w:rPr>
        <w:t xml:space="preserve"> para la ejecución de trabajos en árboles que, por la magnitud del riesgo, se ejecuten sin previa autorización.</w:t>
      </w:r>
    </w:p>
    <w:p w14:paraId="40B87607"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7F94D2D7"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Consecuentemente, se establece que, para el derribo de árboles en áreas públicas, esto se realizará previa </w:t>
      </w:r>
      <w:r w:rsidRPr="006E2DBF">
        <w:rPr>
          <w:rFonts w:ascii="Palatino Linotype" w:eastAsia="Palatino Linotype" w:hAnsi="Palatino Linotype" w:cs="Palatino Linotype"/>
          <w:b/>
          <w:bCs/>
          <w:sz w:val="22"/>
          <w:szCs w:val="22"/>
        </w:rPr>
        <w:t>evaluación técnica emitida por la Dirección de Medio Ambiente y Ecología</w:t>
      </w:r>
      <w:r w:rsidRPr="006E2DBF">
        <w:rPr>
          <w:rFonts w:ascii="Palatino Linotype" w:eastAsia="Palatino Linotype" w:hAnsi="Palatino Linotype" w:cs="Palatino Linotype"/>
          <w:sz w:val="22"/>
          <w:szCs w:val="22"/>
        </w:rPr>
        <w:t xml:space="preserve">; y, cuando sea necesario </w:t>
      </w:r>
      <w:r w:rsidRPr="006E2DBF">
        <w:rPr>
          <w:rFonts w:ascii="Palatino Linotype" w:eastAsia="Palatino Linotype" w:hAnsi="Palatino Linotype" w:cs="Palatino Linotype"/>
          <w:b/>
          <w:bCs/>
          <w:sz w:val="22"/>
          <w:szCs w:val="22"/>
        </w:rPr>
        <w:t>el dictamen de riesgo por parte de la Dirección de Protección Civil y Bomberos</w:t>
      </w:r>
      <w:r w:rsidRPr="006E2DBF">
        <w:rPr>
          <w:rFonts w:ascii="Palatino Linotype" w:eastAsia="Palatino Linotype" w:hAnsi="Palatino Linotype" w:cs="Palatino Linotype"/>
          <w:sz w:val="22"/>
          <w:szCs w:val="22"/>
        </w:rPr>
        <w:t>, será también requerida dicha evaluación técnica:</w:t>
      </w:r>
    </w:p>
    <w:p w14:paraId="0B697C51"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68D2ECCA" w14:textId="77777777" w:rsidR="00675A20" w:rsidRPr="006E2DBF" w:rsidRDefault="008D3090">
      <w:pPr>
        <w:spacing w:line="360" w:lineRule="auto"/>
        <w:ind w:left="567"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“Artículo 86</w:t>
      </w:r>
      <w:r w:rsidRPr="006E2DBF">
        <w:rPr>
          <w:rFonts w:ascii="Palatino Linotype" w:eastAsia="Palatino Linotype" w:hAnsi="Palatino Linotype" w:cs="Palatino Linotype"/>
          <w:i/>
          <w:iCs/>
          <w:sz w:val="22"/>
          <w:szCs w:val="22"/>
        </w:rPr>
        <w:t xml:space="preserve">. El derribo de árboles en áreas públicas como parques, jardines, plazas cívicas, camellones, glorietas, fuentes, monumentos y panteones municipales </w:t>
      </w:r>
      <w:r w:rsidRPr="006E2DBF">
        <w:rPr>
          <w:rFonts w:ascii="Palatino Linotype" w:eastAsia="Palatino Linotype" w:hAnsi="Palatino Linotype" w:cs="Palatino Linotype"/>
          <w:i/>
          <w:iCs/>
          <w:sz w:val="22"/>
          <w:szCs w:val="22"/>
          <w:u w:val="single"/>
        </w:rPr>
        <w:t>se realizará previa evaluación técnica de la Dirección de Medio Ambiente y Ecología</w:t>
      </w:r>
      <w:r w:rsidRPr="006E2DBF">
        <w:rPr>
          <w:rFonts w:ascii="Palatino Linotype" w:eastAsia="Palatino Linotype" w:hAnsi="Palatino Linotype" w:cs="Palatino Linotype"/>
          <w:i/>
          <w:iCs/>
          <w:sz w:val="22"/>
          <w:szCs w:val="22"/>
        </w:rPr>
        <w:t xml:space="preserve">; asimismo, </w:t>
      </w:r>
      <w:r w:rsidRPr="006E2DBF">
        <w:rPr>
          <w:rFonts w:ascii="Palatino Linotype" w:eastAsia="Palatino Linotype" w:hAnsi="Palatino Linotype" w:cs="Palatino Linotype"/>
          <w:b/>
          <w:bCs/>
          <w:i/>
          <w:iCs/>
          <w:sz w:val="22"/>
          <w:szCs w:val="22"/>
        </w:rPr>
        <w:t>cuando sea necesario el dictamen de riesgo</w:t>
      </w:r>
      <w:r w:rsidRPr="006E2DBF">
        <w:rPr>
          <w:rFonts w:ascii="Palatino Linotype" w:eastAsia="Palatino Linotype" w:hAnsi="Palatino Linotype" w:cs="Palatino Linotype"/>
          <w:i/>
          <w:iCs/>
          <w:sz w:val="22"/>
          <w:szCs w:val="22"/>
        </w:rPr>
        <w:t>, se requerirá evaluación técnica por parte de la Dirección de Protección Civil y Bomberos”</w:t>
      </w:r>
    </w:p>
    <w:p w14:paraId="7ED2F884"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7E94D8CF"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En ese contexto, se tiene que le corresponde a la Dirección de Protección Civil y Bomberos las bases de coordinación entre los distintos órdenes de gobierno en materia de gestión integral de riesgos y protección civil, así como con los sectores privado y social entendiendo como </w:t>
      </w:r>
      <w:r w:rsidRPr="006E2DBF">
        <w:rPr>
          <w:rFonts w:ascii="Palatino Linotype" w:eastAsia="Palatino Linotype" w:hAnsi="Palatino Linotype" w:cs="Palatino Linotype"/>
          <w:sz w:val="22"/>
          <w:szCs w:val="22"/>
          <w:u w:val="single"/>
        </w:rPr>
        <w:t>dictamen de riesgo,</w:t>
      </w:r>
      <w:r w:rsidRPr="006E2DBF">
        <w:rPr>
          <w:rFonts w:ascii="Palatino Linotype" w:eastAsia="Palatino Linotype" w:hAnsi="Palatino Linotype" w:cs="Palatino Linotype"/>
          <w:sz w:val="22"/>
          <w:szCs w:val="22"/>
        </w:rPr>
        <w:t xml:space="preserve"> </w:t>
      </w:r>
      <w:r w:rsidRPr="006E2DBF">
        <w:rPr>
          <w:rFonts w:ascii="Palatino Linotype" w:eastAsia="Palatino Linotype" w:hAnsi="Palatino Linotype" w:cs="Palatino Linotype"/>
          <w:sz w:val="22"/>
          <w:szCs w:val="22"/>
          <w:u w:val="single"/>
        </w:rPr>
        <w:t>al documento que se emite por la Dirección de Protección Civil y Bomberos mediante el cual se identifican los riesgos existentes señalando el grado de estos, las posibles pérdidas, así como las recomendaciones de acciones para la gestión integral de riesgos, a efecto de mitigar o eliminar los efectos.</w:t>
      </w:r>
    </w:p>
    <w:p w14:paraId="2F4E7CF4"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711C6AF0"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En consecuencia, para el derribo, poda o trasplante de un árbol, este se debe realizar mediante dos procesos; el primero, mediante la previa evaluación técnica de la Dirección de Medio Ambiente y Ecología; y, el segundo, mediante un dictamen de riesgo realizado por la Dirección de Protección Civil y Bomberos. </w:t>
      </w:r>
    </w:p>
    <w:p w14:paraId="6A3F7245"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1F0FAF4A"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De lo antes expuesto se arriba a las siguientes conclusiones:</w:t>
      </w:r>
    </w:p>
    <w:p w14:paraId="37C464C7"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045AF74B" w14:textId="77777777" w:rsidR="00675A20" w:rsidRPr="006E2DBF" w:rsidRDefault="008D3090">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Que, la valoración o dictamen de riesgo para el derribo, poda o trasplante de un árbol, es una documental emitida por la Dirección de Protección Civil y Bomberos  más no así por la Dirección de Medio Ambiente y Ecología, ya que esta última únicamente emite una evaluación técnica.</w:t>
      </w:r>
    </w:p>
    <w:p w14:paraId="30CDB949" w14:textId="77777777" w:rsidR="00675A20" w:rsidRPr="006E2DBF" w:rsidRDefault="00675A20">
      <w:pPr>
        <w:pBdr>
          <w:top w:val="nil"/>
          <w:left w:val="nil"/>
          <w:bottom w:val="nil"/>
          <w:right w:val="nil"/>
          <w:between w:val="nil"/>
        </w:pBdr>
        <w:spacing w:line="360" w:lineRule="auto"/>
        <w:ind w:left="360"/>
        <w:jc w:val="both"/>
        <w:rPr>
          <w:rFonts w:ascii="Palatino Linotype" w:eastAsia="Palatino Linotype" w:hAnsi="Palatino Linotype" w:cs="Palatino Linotype"/>
          <w:sz w:val="22"/>
          <w:szCs w:val="22"/>
        </w:rPr>
      </w:pPr>
    </w:p>
    <w:p w14:paraId="5F49F278" w14:textId="77777777" w:rsidR="00675A20" w:rsidRPr="006E2DBF" w:rsidRDefault="008D3090">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Que, si bien la Dirección de Medio Ambiente y Ecología no genera las valoraciones o dictámenes de riesgo para el derribo, poda o trasplante de árboles, si puede tener conocimiento de ellas, ya que conforme el artículo 60 del Bando Municipal del ente obligado, se encarga de analizar y justificar técnicamente los dictámenes de riesgo emitidos por la Dirección de Protección Civil y Bomberos.</w:t>
      </w:r>
    </w:p>
    <w:p w14:paraId="32E7D457" w14:textId="77777777" w:rsidR="00675A20" w:rsidRPr="006E2DBF" w:rsidRDefault="00675A20">
      <w:pPr>
        <w:pBdr>
          <w:top w:val="nil"/>
          <w:left w:val="nil"/>
          <w:bottom w:val="nil"/>
          <w:right w:val="nil"/>
          <w:between w:val="nil"/>
        </w:pBdr>
        <w:ind w:left="720"/>
        <w:rPr>
          <w:rFonts w:ascii="Palatino Linotype" w:eastAsia="Palatino Linotype" w:hAnsi="Palatino Linotype" w:cs="Palatino Linotype"/>
          <w:sz w:val="22"/>
          <w:szCs w:val="22"/>
        </w:rPr>
      </w:pPr>
    </w:p>
    <w:p w14:paraId="02C9D2EB" w14:textId="77777777" w:rsidR="00675A20" w:rsidRPr="006E2DBF" w:rsidRDefault="008D3090">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Que la Dirección de Medio Ambiente y Ecología, al ser quien autoriza o emite los permisos correspondientes a la poda o derribo de árboles conforme su cédula de trámites y servicios (consultable en el siguiente enlace: https://ecatepec.gob.mx/wp-content/uploads/2025/10/PODA-Y-O-DERRIBO-DE-ARBOLES.pdf), tiene pleno conocimiento de las valoraciones o dictámenes de riesgo emitidos por la Dirección de Protección Civil y Bomberos al obrar esta información dentro de los expedientes aperturados con motivo de las solicitudes de este tipo de permisos.</w:t>
      </w:r>
    </w:p>
    <w:p w14:paraId="13AD3586"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76EB1957" w14:textId="77777777" w:rsidR="00675A20" w:rsidRPr="006E2DBF" w:rsidRDefault="008D3090">
      <w:pPr>
        <w:spacing w:line="360" w:lineRule="auto"/>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sz w:val="22"/>
          <w:szCs w:val="22"/>
        </w:rPr>
        <w:t>Expuesto lo anterior, en el caso es de recordar que la persona solicitante requirió</w:t>
      </w:r>
      <w:r w:rsidRPr="006E2DBF">
        <w:rPr>
          <w:rFonts w:ascii="Palatino Linotype" w:eastAsia="Palatino Linotype" w:hAnsi="Palatino Linotype" w:cs="Palatino Linotype"/>
          <w:b/>
          <w:bCs/>
          <w:sz w:val="22"/>
          <w:szCs w:val="22"/>
          <w:u w:val="single"/>
        </w:rPr>
        <w:t xml:space="preserve"> </w:t>
      </w:r>
      <w:r w:rsidRPr="006E2DBF">
        <w:rPr>
          <w:rFonts w:ascii="Palatino Linotype" w:eastAsia="Palatino Linotype" w:hAnsi="Palatino Linotype" w:cs="Palatino Linotype"/>
          <w:b/>
          <w:bCs/>
          <w:i/>
          <w:iCs/>
          <w:sz w:val="22"/>
          <w:szCs w:val="22"/>
          <w:u w:val="single"/>
        </w:rPr>
        <w:t>el número de Valoraciones de Riesgo y/o Dictámenes de Riesgo realizados por la Dirección de Medio Ambiente y Ecología</w:t>
      </w:r>
      <w:r w:rsidRPr="006E2DBF">
        <w:rPr>
          <w:rFonts w:ascii="Palatino Linotype" w:eastAsia="Palatino Linotype" w:hAnsi="Palatino Linotype" w:cs="Palatino Linotype"/>
          <w:i/>
          <w:iCs/>
          <w:sz w:val="22"/>
          <w:szCs w:val="22"/>
        </w:rPr>
        <w:t xml:space="preserve"> en el año 2023, relacionados con la poda, derribo y/o trasplante de árboles</w:t>
      </w:r>
      <w:r w:rsidRPr="006E2DBF">
        <w:t xml:space="preserve"> </w:t>
      </w:r>
      <w:r w:rsidRPr="006E2DBF">
        <w:rPr>
          <w:rFonts w:ascii="Palatino Linotype" w:eastAsia="Palatino Linotype" w:hAnsi="Palatino Linotype" w:cs="Palatino Linotype"/>
          <w:i/>
          <w:iCs/>
          <w:sz w:val="22"/>
          <w:szCs w:val="22"/>
        </w:rPr>
        <w:t>en banquetas del Municipio de Ecatepec de Morelos.</w:t>
      </w:r>
    </w:p>
    <w:p w14:paraId="34381046" w14:textId="77777777" w:rsidR="00675A20" w:rsidRPr="006E2DBF" w:rsidRDefault="00675A20">
      <w:pPr>
        <w:spacing w:line="360" w:lineRule="auto"/>
        <w:jc w:val="both"/>
        <w:rPr>
          <w:rFonts w:ascii="Palatino Linotype" w:eastAsia="Palatino Linotype" w:hAnsi="Palatino Linotype" w:cs="Palatino Linotype"/>
          <w:i/>
          <w:iCs/>
          <w:sz w:val="22"/>
          <w:szCs w:val="22"/>
        </w:rPr>
      </w:pPr>
    </w:p>
    <w:p w14:paraId="65D51609"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Por lo que, de conformidad con lo expuesto y argumentado, este Órgano Garante advierte que la pretensión de la persona solicitante es obtener:</w:t>
      </w:r>
      <w:r w:rsidRPr="006E2DBF">
        <w:rPr>
          <w:rFonts w:ascii="Palatino Linotype" w:eastAsia="Palatino Linotype" w:hAnsi="Palatino Linotype" w:cs="Palatino Linotype"/>
          <w:b/>
          <w:bCs/>
          <w:sz w:val="22"/>
          <w:szCs w:val="22"/>
          <w:u w:val="single"/>
        </w:rPr>
        <w:t xml:space="preserve"> el número de valoraciones o dictámenes de riesgo para el derribo, poda o trasplante de árboles en banquetas del Municipio de Ecatepec de Morelos, en el ejercicio 2023, poseídos o administrados por la Dirección de Medio Ambiente y Ecología.</w:t>
      </w:r>
    </w:p>
    <w:p w14:paraId="3ABB317C" w14:textId="77777777" w:rsidR="00675A20" w:rsidRPr="006E2DBF" w:rsidRDefault="00675A20">
      <w:pPr>
        <w:spacing w:line="360" w:lineRule="auto"/>
        <w:jc w:val="both"/>
        <w:rPr>
          <w:rFonts w:ascii="Palatino Linotype" w:eastAsia="Palatino Linotype" w:hAnsi="Palatino Linotype" w:cs="Palatino Linotype"/>
          <w:sz w:val="22"/>
          <w:szCs w:val="22"/>
        </w:rPr>
      </w:pPr>
      <w:bookmarkStart w:id="9" w:name="_heading=h.u0peqylbzqfa" w:colFirst="0" w:colLast="0"/>
      <w:bookmarkEnd w:id="9"/>
    </w:p>
    <w:p w14:paraId="3A663033"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Requerimiento el anterior, que en términos generales corresponde a información estadística cuya naturaleza es pública.</w:t>
      </w:r>
    </w:p>
    <w:p w14:paraId="7D53D94F"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14C4A22A" w14:textId="77777777" w:rsidR="00675A20" w:rsidRPr="006E2DBF" w:rsidRDefault="008D3090">
      <w:p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Sirve de apoyo a lo anterior, el Criterio orientador con clave de control SO/008/2023, emitido por el entonces Instituto Nacional de Transparencia y Acceso a la Información y Protección de Datos Personales, INAI, de rubro y texto siguientes:</w:t>
      </w:r>
    </w:p>
    <w:p w14:paraId="568DDF7A" w14:textId="77777777" w:rsidR="00675A20" w:rsidRPr="006E2DBF" w:rsidRDefault="00675A20">
      <w:pPr>
        <w:pBdr>
          <w:top w:val="nil"/>
          <w:left w:val="nil"/>
          <w:bottom w:val="nil"/>
          <w:right w:val="nil"/>
          <w:between w:val="nil"/>
        </w:pBdr>
        <w:spacing w:line="360" w:lineRule="auto"/>
        <w:ind w:right="51"/>
        <w:jc w:val="both"/>
        <w:rPr>
          <w:sz w:val="22"/>
          <w:szCs w:val="22"/>
        </w:rPr>
      </w:pPr>
    </w:p>
    <w:p w14:paraId="1BC32A55" w14:textId="77777777" w:rsidR="00675A20" w:rsidRPr="006E2DBF" w:rsidRDefault="008D3090">
      <w:pPr>
        <w:pBdr>
          <w:top w:val="nil"/>
          <w:left w:val="nil"/>
          <w:bottom w:val="nil"/>
          <w:right w:val="nil"/>
          <w:between w:val="nil"/>
        </w:pBdr>
        <w:spacing w:line="276" w:lineRule="auto"/>
        <w:ind w:left="851" w:right="900"/>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r w:rsidRPr="006E2DBF">
        <w:rPr>
          <w:rFonts w:ascii="Palatino Linotype" w:eastAsia="Palatino Linotype" w:hAnsi="Palatino Linotype" w:cs="Palatino Linotype"/>
          <w:b/>
          <w:bCs/>
          <w:i/>
          <w:iCs/>
          <w:sz w:val="22"/>
          <w:szCs w:val="22"/>
        </w:rPr>
        <w:t xml:space="preserve">Ejercicio del derecho de Acceso a la Información Pública. La información estadística es de naturaleza pública, independientemente de la materia con la que se encuentre vinculada. </w:t>
      </w:r>
      <w:r w:rsidRPr="006E2DBF">
        <w:rPr>
          <w:rFonts w:ascii="Palatino Linotype" w:eastAsia="Palatino Linotype" w:hAnsi="Palatino Linotype" w:cs="Palatino Linotype"/>
          <w:i/>
          <w:iCs/>
          <w:sz w:val="22"/>
          <w:szCs w:val="22"/>
        </w:rPr>
        <w:t xml:space="preserve">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General de Transparencia y Acceso a la Información Pública, </w:t>
      </w:r>
      <w:r w:rsidRPr="006E2DBF">
        <w:rPr>
          <w:rFonts w:ascii="Palatino Linotype" w:eastAsia="Palatino Linotype" w:hAnsi="Palatino Linotype" w:cs="Palatino Linotype"/>
          <w:b/>
          <w:bCs/>
          <w:i/>
          <w:iCs/>
          <w:sz w:val="22"/>
          <w:szCs w:val="22"/>
        </w:rPr>
        <w:t>los sujetos obligados deberán poner a disposición del público, entre otra, la relativa a la que con base en la información estadística</w:t>
      </w:r>
      <w:r w:rsidRPr="006E2DBF">
        <w:rPr>
          <w:rFonts w:ascii="Palatino Linotype" w:eastAsia="Palatino Linotype" w:hAnsi="Palatino Linotype" w:cs="Palatino Linotype"/>
          <w:i/>
          <w:iCs/>
          <w:sz w:val="22"/>
          <w:szCs w:val="22"/>
        </w:rPr>
        <w:t xml:space="preserve">, responda a las preguntas hechas con más frecuencia por el público, por lo que es posible afirmar que la información estadística es de naturaleza pública, </w:t>
      </w:r>
      <w:r w:rsidRPr="006E2DBF">
        <w:rPr>
          <w:rFonts w:ascii="Palatino Linotype" w:eastAsia="Palatino Linotype" w:hAnsi="Palatino Linotype" w:cs="Palatino Linotype"/>
          <w:b/>
          <w:bCs/>
          <w:i/>
          <w:iCs/>
          <w:sz w:val="22"/>
          <w:szCs w:val="22"/>
        </w:rPr>
        <w:t>siempre y cuando los datos estadísticos no se encuentren individualizados o personalizados a casos o situaciones específicas,</w:t>
      </w:r>
      <w:r w:rsidRPr="006E2DBF">
        <w:rPr>
          <w:rFonts w:ascii="Palatino Linotype" w:eastAsia="Palatino Linotype" w:hAnsi="Palatino Linotype" w:cs="Palatino Linotype"/>
          <w:i/>
          <w:iCs/>
          <w:sz w:val="22"/>
          <w:szCs w:val="22"/>
        </w:rPr>
        <w:t xml:space="preserve"> que pudieran llegar a justificar su clasificación.”</w:t>
      </w:r>
    </w:p>
    <w:p w14:paraId="293BBEA5"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740D8985"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No obstante, del análisis a la respuesta se desprende que la actual Directora de Medio Ambiente y Ecología, indicó medularmente que al momento de recibir la dependencia, la administración saliente no hizo entrega de expedientes que dieran cuenta de lo requerido; y, por lo tanto, dicha Dirección se ve imposibilitada en emitir una respuesta, y para efecto de sustentar su dicho adjuntó de un oficio a través del cual dicha servidora pública hizo del conocimiento del Contralor Interno Municipal las irregularidades advertidas del proceso de entrega recepción de la anterior titular de dicha Dirección, como lo fue la falta de entrega de determinada información; situación que fue ratificada mediante informe justificado.</w:t>
      </w:r>
    </w:p>
    <w:p w14:paraId="46619B64"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299330B5"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Conforme lo anterior, se desprende que el área competente, esto es la Dirección de Medio Ambiente y Ecología, no negó su competencia para poseer o administrar lo requerido, sino que derivado del acto entrega recepción de la anterior Titular de dicha dependencia, se señaló una imposibilidad en proporcionar lo requerido ya que los expedientes donde podría obrar lo peticionado no le fueron entregados.</w:t>
      </w:r>
    </w:p>
    <w:p w14:paraId="0EC06061"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053E2DCD"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Sin embargo, en el caso no basta con indicar que la información es inexistente para tener por satisfecha la pretensión del particular, pues para ello, se requiere la emisión de la declaratoria formal de inexistencia, en términos de lo que señala el artículo 19, tercer párrafo, 49, fracciones II y XIII; 169 y 170 de la Ley de Transparencia y Acceso a la Información Pública del Estado de México y Municipios, que disponen lo siguiente:</w:t>
      </w:r>
    </w:p>
    <w:p w14:paraId="3D6FCCAB" w14:textId="77777777" w:rsidR="00675A20" w:rsidRPr="006E2DBF" w:rsidRDefault="00675A20">
      <w:pPr>
        <w:ind w:left="851" w:right="902"/>
        <w:jc w:val="both"/>
        <w:rPr>
          <w:rFonts w:ascii="Palatino Linotype" w:eastAsia="Palatino Linotype" w:hAnsi="Palatino Linotype" w:cs="Palatino Linotype"/>
          <w:i/>
          <w:iCs/>
          <w:sz w:val="22"/>
          <w:szCs w:val="22"/>
        </w:rPr>
      </w:pPr>
    </w:p>
    <w:p w14:paraId="050B82A2" w14:textId="77777777" w:rsidR="00675A20" w:rsidRPr="006E2DBF" w:rsidRDefault="008D3090">
      <w:pPr>
        <w:spacing w:line="276" w:lineRule="auto"/>
        <w:ind w:left="851"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r w:rsidRPr="006E2DBF">
        <w:rPr>
          <w:rFonts w:ascii="Palatino Linotype" w:eastAsia="Palatino Linotype" w:hAnsi="Palatino Linotype" w:cs="Palatino Linotype"/>
          <w:b/>
          <w:bCs/>
          <w:i/>
          <w:iCs/>
          <w:sz w:val="22"/>
          <w:szCs w:val="22"/>
        </w:rPr>
        <w:t>Artículo 19.</w:t>
      </w:r>
      <w:r w:rsidRPr="006E2DBF">
        <w:rPr>
          <w:rFonts w:ascii="Palatino Linotype" w:eastAsia="Palatino Linotype" w:hAnsi="Palatino Linotype" w:cs="Palatino Linotype"/>
          <w:i/>
          <w:iCs/>
          <w:sz w:val="22"/>
          <w:szCs w:val="22"/>
        </w:rPr>
        <w:t xml:space="preserve"> (…)</w:t>
      </w:r>
    </w:p>
    <w:p w14:paraId="259F3168" w14:textId="77777777" w:rsidR="00675A20" w:rsidRPr="006E2DBF" w:rsidRDefault="008D3090">
      <w:pPr>
        <w:spacing w:line="276" w:lineRule="auto"/>
        <w:ind w:left="851"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Si el sujeto obligado, en el ejercicio de sus atribuciones, debía generar, poseer o administrar la información, pero ésta no se encuentra, el Comité de transparencia deberá emitir un acuerdo de inexistencia</w:t>
      </w:r>
      <w:r w:rsidRPr="006E2DBF">
        <w:rPr>
          <w:rFonts w:ascii="Palatino Linotype" w:eastAsia="Palatino Linotype" w:hAnsi="Palatino Linotype" w:cs="Palatino Linotype"/>
          <w:i/>
          <w:iCs/>
          <w:sz w:val="22"/>
          <w:szCs w:val="22"/>
        </w:rPr>
        <w:t>, debidamente fundado y motivado, en el que detalle las razones del por qué no obra en sus archivos.”</w:t>
      </w:r>
    </w:p>
    <w:p w14:paraId="6737313B" w14:textId="77777777" w:rsidR="00675A20" w:rsidRPr="006E2DBF" w:rsidRDefault="008D3090">
      <w:pPr>
        <w:spacing w:line="276" w:lineRule="auto"/>
        <w:ind w:left="851"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r w:rsidRPr="006E2DBF">
        <w:rPr>
          <w:rFonts w:ascii="Palatino Linotype" w:eastAsia="Palatino Linotype" w:hAnsi="Palatino Linotype" w:cs="Palatino Linotype"/>
          <w:b/>
          <w:bCs/>
          <w:i/>
          <w:iCs/>
          <w:sz w:val="22"/>
          <w:szCs w:val="22"/>
        </w:rPr>
        <w:t>Artículo 49.</w:t>
      </w:r>
      <w:r w:rsidRPr="006E2DBF">
        <w:rPr>
          <w:rFonts w:ascii="Palatino Linotype" w:eastAsia="Palatino Linotype" w:hAnsi="Palatino Linotype" w:cs="Palatino Linotype"/>
          <w:i/>
          <w:iCs/>
          <w:sz w:val="22"/>
          <w:szCs w:val="22"/>
        </w:rPr>
        <w:t xml:space="preserve"> </w:t>
      </w:r>
      <w:r w:rsidRPr="006E2DBF">
        <w:rPr>
          <w:rFonts w:ascii="Palatino Linotype" w:eastAsia="Palatino Linotype" w:hAnsi="Palatino Linotype" w:cs="Palatino Linotype"/>
          <w:b/>
          <w:bCs/>
          <w:i/>
          <w:iCs/>
          <w:sz w:val="22"/>
          <w:szCs w:val="22"/>
        </w:rPr>
        <w:t>Los Comités de Transparencia</w:t>
      </w:r>
      <w:r w:rsidRPr="006E2DBF">
        <w:rPr>
          <w:rFonts w:ascii="Palatino Linotype" w:eastAsia="Palatino Linotype" w:hAnsi="Palatino Linotype" w:cs="Palatino Linotype"/>
          <w:i/>
          <w:iCs/>
          <w:sz w:val="22"/>
          <w:szCs w:val="22"/>
        </w:rPr>
        <w:t xml:space="preserve"> tendrán las siguientes </w:t>
      </w:r>
      <w:r w:rsidRPr="006E2DBF">
        <w:rPr>
          <w:rFonts w:ascii="Palatino Linotype" w:eastAsia="Palatino Linotype" w:hAnsi="Palatino Linotype" w:cs="Palatino Linotype"/>
          <w:b/>
          <w:bCs/>
          <w:i/>
          <w:iCs/>
          <w:sz w:val="22"/>
          <w:szCs w:val="22"/>
        </w:rPr>
        <w:t>atribuciones</w:t>
      </w:r>
      <w:r w:rsidRPr="006E2DBF">
        <w:rPr>
          <w:rFonts w:ascii="Palatino Linotype" w:eastAsia="Palatino Linotype" w:hAnsi="Palatino Linotype" w:cs="Palatino Linotype"/>
          <w:i/>
          <w:iCs/>
          <w:sz w:val="22"/>
          <w:szCs w:val="22"/>
        </w:rPr>
        <w:t>:</w:t>
      </w:r>
    </w:p>
    <w:p w14:paraId="4B688517" w14:textId="77777777" w:rsidR="00675A20" w:rsidRPr="006E2DBF" w:rsidRDefault="008D3090">
      <w:pPr>
        <w:spacing w:line="276" w:lineRule="auto"/>
        <w:ind w:left="851"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II.</w:t>
      </w:r>
      <w:r w:rsidRPr="006E2DBF">
        <w:rPr>
          <w:rFonts w:ascii="Palatino Linotype" w:eastAsia="Palatino Linotype" w:hAnsi="Palatino Linotype" w:cs="Palatino Linotype"/>
          <w:i/>
          <w:iCs/>
          <w:sz w:val="22"/>
          <w:szCs w:val="22"/>
        </w:rPr>
        <w:t xml:space="preserve"> </w:t>
      </w:r>
      <w:r w:rsidRPr="006E2DBF">
        <w:rPr>
          <w:rFonts w:ascii="Palatino Linotype" w:eastAsia="Palatino Linotype" w:hAnsi="Palatino Linotype" w:cs="Palatino Linotype"/>
          <w:b/>
          <w:bCs/>
          <w:i/>
          <w:iCs/>
          <w:sz w:val="22"/>
          <w:szCs w:val="22"/>
        </w:rPr>
        <w:t>Confirmar, modificar o revocar las determinaciones que en materia de</w:t>
      </w:r>
      <w:r w:rsidRPr="006E2DBF">
        <w:rPr>
          <w:rFonts w:ascii="Palatino Linotype" w:eastAsia="Palatino Linotype" w:hAnsi="Palatino Linotype" w:cs="Palatino Linotype"/>
          <w:i/>
          <w:iCs/>
          <w:sz w:val="22"/>
          <w:szCs w:val="22"/>
        </w:rPr>
        <w:t xml:space="preserve"> ampliación del plazo de respuesta, clasificación de la información y </w:t>
      </w:r>
      <w:r w:rsidRPr="006E2DBF">
        <w:rPr>
          <w:rFonts w:ascii="Palatino Linotype" w:eastAsia="Palatino Linotype" w:hAnsi="Palatino Linotype" w:cs="Palatino Linotype"/>
          <w:b/>
          <w:bCs/>
          <w:i/>
          <w:iCs/>
          <w:sz w:val="22"/>
          <w:szCs w:val="22"/>
        </w:rPr>
        <w:t>declaración de inexistencia</w:t>
      </w:r>
      <w:r w:rsidRPr="006E2DBF">
        <w:rPr>
          <w:rFonts w:ascii="Palatino Linotype" w:eastAsia="Palatino Linotype" w:hAnsi="Palatino Linotype" w:cs="Palatino Linotype"/>
          <w:i/>
          <w:iCs/>
          <w:sz w:val="22"/>
          <w:szCs w:val="22"/>
        </w:rPr>
        <w:t xml:space="preserve"> o de incompetencia realicen los titulares de las áreas de los sujetos obligados;</w:t>
      </w:r>
    </w:p>
    <w:p w14:paraId="03C6A956" w14:textId="77777777" w:rsidR="00675A20" w:rsidRPr="006E2DBF" w:rsidRDefault="008D3090">
      <w:pPr>
        <w:spacing w:line="276" w:lineRule="auto"/>
        <w:ind w:left="851"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XIII.</w:t>
      </w:r>
      <w:r w:rsidRPr="006E2DBF">
        <w:rPr>
          <w:rFonts w:ascii="Palatino Linotype" w:eastAsia="Palatino Linotype" w:hAnsi="Palatino Linotype" w:cs="Palatino Linotype"/>
          <w:i/>
          <w:iCs/>
          <w:sz w:val="22"/>
          <w:szCs w:val="22"/>
        </w:rPr>
        <w:t xml:space="preserve"> </w:t>
      </w:r>
      <w:r w:rsidRPr="006E2DBF">
        <w:rPr>
          <w:rFonts w:ascii="Palatino Linotype" w:eastAsia="Palatino Linotype" w:hAnsi="Palatino Linotype" w:cs="Palatino Linotype"/>
          <w:b/>
          <w:bCs/>
          <w:i/>
          <w:iCs/>
          <w:sz w:val="22"/>
          <w:szCs w:val="22"/>
        </w:rPr>
        <w:t>Dictaminar las declaratorias de inexistencia de la información</w:t>
      </w:r>
      <w:r w:rsidRPr="006E2DBF">
        <w:rPr>
          <w:rFonts w:ascii="Palatino Linotype" w:eastAsia="Palatino Linotype" w:hAnsi="Palatino Linotype" w:cs="Palatino Linotype"/>
          <w:i/>
          <w:iCs/>
          <w:sz w:val="22"/>
          <w:szCs w:val="22"/>
        </w:rPr>
        <w:t xml:space="preserve"> que les remitan las unidades administrativas y resolver en consecuencia…”</w:t>
      </w:r>
    </w:p>
    <w:p w14:paraId="775B03E2" w14:textId="77777777" w:rsidR="00675A20" w:rsidRPr="006E2DBF" w:rsidRDefault="008D3090">
      <w:pPr>
        <w:spacing w:line="276" w:lineRule="auto"/>
        <w:ind w:left="851"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r w:rsidRPr="006E2DBF">
        <w:rPr>
          <w:rFonts w:ascii="Palatino Linotype" w:eastAsia="Palatino Linotype" w:hAnsi="Palatino Linotype" w:cs="Palatino Linotype"/>
          <w:b/>
          <w:bCs/>
          <w:i/>
          <w:iCs/>
          <w:sz w:val="22"/>
          <w:szCs w:val="22"/>
        </w:rPr>
        <w:t>Artículo 169</w:t>
      </w:r>
      <w:r w:rsidRPr="006E2DBF">
        <w:rPr>
          <w:rFonts w:ascii="Palatino Linotype" w:eastAsia="Palatino Linotype" w:hAnsi="Palatino Linotype" w:cs="Palatino Linotype"/>
          <w:i/>
          <w:iCs/>
          <w:sz w:val="22"/>
          <w:szCs w:val="22"/>
        </w:rPr>
        <w:t xml:space="preserve">. </w:t>
      </w:r>
      <w:r w:rsidRPr="006E2DBF">
        <w:rPr>
          <w:rFonts w:ascii="Palatino Linotype" w:eastAsia="Palatino Linotype" w:hAnsi="Palatino Linotype" w:cs="Palatino Linotype"/>
          <w:b/>
          <w:bCs/>
          <w:i/>
          <w:iCs/>
          <w:sz w:val="22"/>
          <w:szCs w:val="22"/>
        </w:rPr>
        <w:t>Cuando la información no se encuentre en los archivos del sujeto obligado, el Comité de Transparencia</w:t>
      </w:r>
      <w:r w:rsidRPr="006E2DBF">
        <w:rPr>
          <w:rFonts w:ascii="Palatino Linotype" w:eastAsia="Palatino Linotype" w:hAnsi="Palatino Linotype" w:cs="Palatino Linotype"/>
          <w:i/>
          <w:iCs/>
          <w:sz w:val="22"/>
          <w:szCs w:val="22"/>
        </w:rPr>
        <w:t xml:space="preserve">: </w:t>
      </w:r>
    </w:p>
    <w:p w14:paraId="79B0E56A" w14:textId="77777777" w:rsidR="00675A20" w:rsidRPr="006E2DBF" w:rsidRDefault="008D3090">
      <w:pPr>
        <w:spacing w:line="276" w:lineRule="auto"/>
        <w:ind w:left="851"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I.</w:t>
      </w:r>
      <w:r w:rsidRPr="006E2DBF">
        <w:rPr>
          <w:rFonts w:ascii="Palatino Linotype" w:eastAsia="Palatino Linotype" w:hAnsi="Palatino Linotype" w:cs="Palatino Linotype"/>
          <w:i/>
          <w:iCs/>
          <w:sz w:val="22"/>
          <w:szCs w:val="22"/>
        </w:rPr>
        <w:t xml:space="preserve"> Analizará el caso y tomará las medidas necesarias para localizar la información; </w:t>
      </w:r>
    </w:p>
    <w:p w14:paraId="125E1E81" w14:textId="77777777" w:rsidR="00675A20" w:rsidRPr="006E2DBF" w:rsidRDefault="008D3090">
      <w:pPr>
        <w:spacing w:line="276" w:lineRule="auto"/>
        <w:ind w:left="851"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II.</w:t>
      </w:r>
      <w:r w:rsidRPr="006E2DBF">
        <w:rPr>
          <w:rFonts w:ascii="Palatino Linotype" w:eastAsia="Palatino Linotype" w:hAnsi="Palatino Linotype" w:cs="Palatino Linotype"/>
          <w:i/>
          <w:iCs/>
          <w:sz w:val="22"/>
          <w:szCs w:val="22"/>
        </w:rPr>
        <w:t xml:space="preserve"> </w:t>
      </w:r>
      <w:r w:rsidRPr="006E2DBF">
        <w:rPr>
          <w:rFonts w:ascii="Palatino Linotype" w:eastAsia="Palatino Linotype" w:hAnsi="Palatino Linotype" w:cs="Palatino Linotype"/>
          <w:b/>
          <w:bCs/>
          <w:i/>
          <w:iCs/>
          <w:sz w:val="22"/>
          <w:szCs w:val="22"/>
        </w:rPr>
        <w:t>Expedirá una resolución que confirme la inexistencia del documento</w:t>
      </w:r>
      <w:r w:rsidRPr="006E2DBF">
        <w:rPr>
          <w:rFonts w:ascii="Palatino Linotype" w:eastAsia="Palatino Linotype" w:hAnsi="Palatino Linotype" w:cs="Palatino Linotype"/>
          <w:i/>
          <w:iCs/>
          <w:sz w:val="22"/>
          <w:szCs w:val="22"/>
        </w:rPr>
        <w:t xml:space="preserve">; </w:t>
      </w:r>
    </w:p>
    <w:p w14:paraId="3FC4EC3E" w14:textId="77777777" w:rsidR="00675A20" w:rsidRPr="006E2DBF" w:rsidRDefault="008D3090">
      <w:pPr>
        <w:spacing w:line="276" w:lineRule="auto"/>
        <w:ind w:left="851"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III</w:t>
      </w:r>
      <w:r w:rsidRPr="006E2DBF">
        <w:rPr>
          <w:rFonts w:ascii="Palatino Linotype" w:eastAsia="Palatino Linotype" w:hAnsi="Palatino Linotype" w:cs="Palatino Linotype"/>
          <w:i/>
          <w:iCs/>
          <w:sz w:val="22"/>
          <w:szCs w:val="22"/>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14:paraId="00A7D4E7" w14:textId="77777777" w:rsidR="00675A20" w:rsidRPr="006E2DBF" w:rsidRDefault="008D3090">
      <w:pPr>
        <w:spacing w:line="276" w:lineRule="auto"/>
        <w:ind w:left="851"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b/>
          <w:bCs/>
          <w:i/>
          <w:iCs/>
          <w:sz w:val="22"/>
          <w:szCs w:val="22"/>
        </w:rPr>
        <w:t xml:space="preserve">IV. </w:t>
      </w:r>
      <w:r w:rsidRPr="006E2DBF">
        <w:rPr>
          <w:rFonts w:ascii="Palatino Linotype" w:eastAsia="Palatino Linotype" w:hAnsi="Palatino Linotype" w:cs="Palatino Linotype"/>
          <w:i/>
          <w:iCs/>
          <w:sz w:val="22"/>
          <w:szCs w:val="22"/>
        </w:rPr>
        <w:t xml:space="preserve">Notificará al órgano interno de control o equivalente del sujeto obligado quien, en su caso, deberá iniciar el procedimiento de responsabilidad administrativa que corresponda. </w:t>
      </w:r>
    </w:p>
    <w:p w14:paraId="419F553E" w14:textId="77777777" w:rsidR="00675A20" w:rsidRPr="006E2DBF" w:rsidRDefault="008D3090">
      <w:pPr>
        <w:spacing w:line="276" w:lineRule="auto"/>
        <w:ind w:left="851"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 xml:space="preserve">La Unidad de Transparencia deberá notificarlo al solicitante por escrito, en un plazo que no exceda de quince días hábiles contados a partir del día siguiente a la presentación de la solicitud. </w:t>
      </w:r>
    </w:p>
    <w:p w14:paraId="189615A0" w14:textId="77777777" w:rsidR="00675A20" w:rsidRPr="006E2DBF" w:rsidRDefault="008D3090">
      <w:pPr>
        <w:spacing w:line="276" w:lineRule="auto"/>
        <w:ind w:left="851"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Este plazo podrá ampliarse hasta por otros siete días hábiles, siempre que existan razones para ello, debiendo notificarse por escrito al solicitante.”</w:t>
      </w:r>
    </w:p>
    <w:p w14:paraId="50C861DB" w14:textId="77777777" w:rsidR="00675A20" w:rsidRPr="006E2DBF" w:rsidRDefault="008D3090">
      <w:pPr>
        <w:spacing w:line="276" w:lineRule="auto"/>
        <w:ind w:left="851"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r w:rsidRPr="006E2DBF">
        <w:rPr>
          <w:rFonts w:ascii="Palatino Linotype" w:eastAsia="Palatino Linotype" w:hAnsi="Palatino Linotype" w:cs="Palatino Linotype"/>
          <w:b/>
          <w:bCs/>
          <w:i/>
          <w:iCs/>
          <w:sz w:val="22"/>
          <w:szCs w:val="22"/>
        </w:rPr>
        <w:t>Artículo 170.</w:t>
      </w:r>
      <w:r w:rsidRPr="006E2DBF">
        <w:rPr>
          <w:rFonts w:ascii="Palatino Linotype" w:eastAsia="Palatino Linotype" w:hAnsi="Palatino Linotype" w:cs="Palatino Linotype"/>
          <w:i/>
          <w:iCs/>
          <w:sz w:val="22"/>
          <w:szCs w:val="22"/>
        </w:rPr>
        <w:t xml:space="preserve"> </w:t>
      </w:r>
      <w:r w:rsidRPr="006E2DBF">
        <w:rPr>
          <w:rFonts w:ascii="Palatino Linotype" w:eastAsia="Palatino Linotype" w:hAnsi="Palatino Linotype" w:cs="Palatino Linotype"/>
          <w:b/>
          <w:bCs/>
          <w:i/>
          <w:iCs/>
          <w:sz w:val="22"/>
          <w:szCs w:val="22"/>
        </w:rPr>
        <w:t>La resolución del Comité de Transparencia que confirme la inexistencia de la información solicitada contendrá los elementos mínimos</w:t>
      </w:r>
      <w:r w:rsidRPr="006E2DBF">
        <w:rPr>
          <w:rFonts w:ascii="Palatino Linotype" w:eastAsia="Palatino Linotype" w:hAnsi="Palatino Linotype" w:cs="Palatino Linotype"/>
          <w:i/>
          <w:iCs/>
          <w:sz w:val="22"/>
          <w:szCs w:val="22"/>
        </w:rPr>
        <w:t xml:space="preserve"> </w:t>
      </w:r>
      <w:r w:rsidRPr="006E2DBF">
        <w:rPr>
          <w:rFonts w:ascii="Palatino Linotype" w:eastAsia="Palatino Linotype" w:hAnsi="Palatino Linotype" w:cs="Palatino Linotype"/>
          <w:b/>
          <w:bCs/>
          <w:i/>
          <w:iCs/>
          <w:sz w:val="22"/>
          <w:szCs w:val="22"/>
        </w:rPr>
        <w:t>que permitan al solicitante tener la certeza de que se utilizó un criterio de búsqueda exhaustivo</w:t>
      </w:r>
      <w:r w:rsidRPr="006E2DBF">
        <w:rPr>
          <w:rFonts w:ascii="Palatino Linotype" w:eastAsia="Palatino Linotype" w:hAnsi="Palatino Linotype" w:cs="Palatino Linotype"/>
          <w:i/>
          <w:iCs/>
          <w:sz w:val="22"/>
          <w:szCs w:val="22"/>
        </w:rPr>
        <w:t>, además de señalar las circunstancias de tiempo, modo y lugar que generaron la existencia en cuestión y señalará al servidor público responsable de contar con la misma.”</w:t>
      </w:r>
    </w:p>
    <w:p w14:paraId="325EFA62" w14:textId="77777777" w:rsidR="00675A20" w:rsidRPr="006E2DBF" w:rsidRDefault="00675A20">
      <w:pPr>
        <w:spacing w:line="276" w:lineRule="auto"/>
        <w:ind w:left="851" w:right="616"/>
        <w:jc w:val="both"/>
        <w:rPr>
          <w:rFonts w:ascii="Palatino Linotype" w:eastAsia="Palatino Linotype" w:hAnsi="Palatino Linotype" w:cs="Palatino Linotype"/>
          <w:i/>
          <w:iCs/>
          <w:sz w:val="22"/>
          <w:szCs w:val="22"/>
        </w:rPr>
      </w:pPr>
    </w:p>
    <w:p w14:paraId="00B843B1"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De lo anterior, se aprecia que, para la emisión del Acuerdo de Inexistencia este debe dar certeza de las razones o motivos por las cuales no se localizó la información y del proceso realizado para localizar la misma, acreditando en un primer momento la búsqueda exhaustiva y razonable de la información en las áreas administrativas, lo cual constará mediante los oficios emitidos y las respuestas por parte de los servidores públicos de las áreas correspondientes, ello con la finalidad de que se informe si los documentos solicitados habían causado baja documental o bien, por alguna circunstancia no obran en los archivos del ente obligado.</w:t>
      </w:r>
    </w:p>
    <w:p w14:paraId="380998B8"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6334A641"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Asimismo, resulta aplicable el Criterio reiterado número 08/19 emitido por Acuerdo del Pleno del Instituto de Transparencia y Acceso a la Información Pública del Estado de México y Municipios, que precisa:</w:t>
      </w:r>
    </w:p>
    <w:p w14:paraId="75DB07FE" w14:textId="77777777" w:rsidR="00675A20" w:rsidRPr="006E2DBF" w:rsidRDefault="00675A20">
      <w:pPr>
        <w:ind w:left="851" w:right="902"/>
        <w:jc w:val="both"/>
        <w:rPr>
          <w:rFonts w:ascii="Palatino Linotype" w:eastAsia="Palatino Linotype" w:hAnsi="Palatino Linotype" w:cs="Palatino Linotype"/>
          <w:i/>
          <w:iCs/>
          <w:sz w:val="22"/>
          <w:szCs w:val="22"/>
        </w:rPr>
      </w:pPr>
    </w:p>
    <w:p w14:paraId="6ECE8931" w14:textId="77777777" w:rsidR="00675A20" w:rsidRPr="006E2DBF" w:rsidRDefault="008D3090">
      <w:pPr>
        <w:spacing w:line="276" w:lineRule="auto"/>
        <w:ind w:left="851" w:right="616"/>
        <w:jc w:val="both"/>
        <w:rPr>
          <w:rFonts w:ascii="Palatino Linotype" w:eastAsia="Palatino Linotype" w:hAnsi="Palatino Linotype" w:cs="Palatino Linotype"/>
          <w:i/>
          <w:iCs/>
          <w:sz w:val="22"/>
          <w:szCs w:val="22"/>
        </w:rPr>
      </w:pPr>
      <w:r w:rsidRPr="006E2DBF">
        <w:rPr>
          <w:rFonts w:ascii="Palatino Linotype" w:eastAsia="Palatino Linotype" w:hAnsi="Palatino Linotype" w:cs="Palatino Linotype"/>
          <w:i/>
          <w:iCs/>
          <w:sz w:val="22"/>
          <w:szCs w:val="22"/>
        </w:rPr>
        <w:t>“</w:t>
      </w:r>
      <w:r w:rsidRPr="006E2DBF">
        <w:rPr>
          <w:rFonts w:ascii="Palatino Linotype" w:eastAsia="Palatino Linotype" w:hAnsi="Palatino Linotype" w:cs="Palatino Linotype"/>
          <w:b/>
          <w:bCs/>
          <w:i/>
          <w:iCs/>
          <w:sz w:val="22"/>
          <w:szCs w:val="22"/>
        </w:rPr>
        <w:t>INEXISTENCIA DE LA INFORMACIÓN. SUPUESTOS PARA EMITIR LA RESOLUCIÓN DE LA</w:t>
      </w:r>
      <w:r w:rsidRPr="006E2DBF">
        <w:rPr>
          <w:rFonts w:ascii="Palatino Linotype" w:eastAsia="Palatino Linotype" w:hAnsi="Palatino Linotype" w:cs="Palatino Linotype"/>
          <w:i/>
          <w:iCs/>
          <w:sz w:val="22"/>
          <w:szCs w:val="22"/>
        </w:rPr>
        <w:t>.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047208A0"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25C1A44A" w14:textId="77777777" w:rsidR="00675A20" w:rsidRPr="006E2DBF" w:rsidRDefault="008D3090">
      <w:pPr>
        <w:spacing w:line="360" w:lineRule="auto"/>
        <w:ind w:right="-7"/>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En consecuencia, se insiste que el Comité de Transparencia debe emitir el correspondiente Acuerdo de Inexistencia de la Información y notificarlo al </w:t>
      </w:r>
      <w:r w:rsidRPr="006E2DBF">
        <w:rPr>
          <w:rFonts w:ascii="Palatino Linotype" w:eastAsia="Palatino Linotype" w:hAnsi="Palatino Linotype" w:cs="Palatino Linotype"/>
          <w:b/>
          <w:bCs/>
          <w:sz w:val="22"/>
          <w:szCs w:val="22"/>
        </w:rPr>
        <w:t>Recurrente</w:t>
      </w:r>
      <w:r w:rsidRPr="006E2DBF">
        <w:rPr>
          <w:rFonts w:ascii="Palatino Linotype" w:eastAsia="Palatino Linotype" w:hAnsi="Palatino Linotype" w:cs="Palatino Linotype"/>
          <w:sz w:val="22"/>
          <w:szCs w:val="22"/>
        </w:rPr>
        <w:t xml:space="preserve">, debiendo exponer las razones por las que se buscó la información, las áreas en las que se instruyó la búsqueda, los criterios y los métodos de búsqueda de la información utilizados, las respuestas otorgadas por los Servidores Públicos Habilitados y en general, todas aquéllas circunstancias de modo, tiempo y lugar que se tomaron en cuenta para llegar a determinar que no obra en sus archivos la información requerida. </w:t>
      </w:r>
    </w:p>
    <w:p w14:paraId="10C86D46" w14:textId="77777777" w:rsidR="00675A20" w:rsidRPr="006E2DBF" w:rsidRDefault="00675A20">
      <w:pPr>
        <w:spacing w:line="360" w:lineRule="auto"/>
        <w:ind w:right="-7"/>
        <w:jc w:val="both"/>
        <w:rPr>
          <w:rFonts w:ascii="Palatino Linotype" w:eastAsia="Palatino Linotype" w:hAnsi="Palatino Linotype" w:cs="Palatino Linotype"/>
          <w:sz w:val="22"/>
          <w:szCs w:val="22"/>
        </w:rPr>
      </w:pPr>
    </w:p>
    <w:p w14:paraId="7414C75B" w14:textId="77777777" w:rsidR="00675A20" w:rsidRPr="006E2DBF" w:rsidRDefault="008D3090">
      <w:pPr>
        <w:spacing w:line="360" w:lineRule="auto"/>
        <w:ind w:right="-7"/>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Así, para poder acreditar el carácter exhaustivo de la búsqueda realizada por los Sujetos Obligados, se deben motivar las razones por las que se buscó la información en determinadas áreas, los criterios de búsqueda utilizados y demás circunstancias que fueron tomadas en cuenta, además de cumplir con distintos criterios de forma. </w:t>
      </w:r>
    </w:p>
    <w:p w14:paraId="5C30DF59" w14:textId="77777777" w:rsidR="00675A20" w:rsidRPr="006E2DBF" w:rsidRDefault="00675A20">
      <w:pPr>
        <w:spacing w:line="360" w:lineRule="auto"/>
        <w:ind w:right="-7"/>
        <w:jc w:val="both"/>
        <w:rPr>
          <w:rFonts w:ascii="Palatino Linotype" w:eastAsia="Palatino Linotype" w:hAnsi="Palatino Linotype" w:cs="Palatino Linotype"/>
          <w:sz w:val="22"/>
          <w:szCs w:val="22"/>
        </w:rPr>
      </w:pPr>
    </w:p>
    <w:p w14:paraId="59F54BBF" w14:textId="77777777" w:rsidR="00675A20" w:rsidRPr="006E2DBF" w:rsidRDefault="008D3090">
      <w:pPr>
        <w:spacing w:line="360" w:lineRule="auto"/>
        <w:ind w:right="-7"/>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En ese contexto, de conformidad con los criterios orientadores 12/10 y 04/19, emitidos por el entonces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3267C63D" w14:textId="77777777" w:rsidR="00675A20" w:rsidRPr="006E2DBF" w:rsidRDefault="00675A20">
      <w:pPr>
        <w:spacing w:line="360" w:lineRule="auto"/>
        <w:ind w:right="-7"/>
        <w:jc w:val="both"/>
        <w:rPr>
          <w:rFonts w:ascii="Palatino Linotype" w:eastAsia="Palatino Linotype" w:hAnsi="Palatino Linotype" w:cs="Palatino Linotype"/>
          <w:sz w:val="22"/>
          <w:szCs w:val="22"/>
        </w:rPr>
      </w:pPr>
    </w:p>
    <w:p w14:paraId="522CE28F" w14:textId="77777777" w:rsidR="00675A20" w:rsidRPr="006E2DBF" w:rsidRDefault="008D3090">
      <w:pPr>
        <w:numPr>
          <w:ilvl w:val="0"/>
          <w:numId w:val="4"/>
        </w:num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Motivación por las que se buscó la información, en determinadas unidades administrativas;  </w:t>
      </w:r>
    </w:p>
    <w:p w14:paraId="1EFC5DF8" w14:textId="77777777" w:rsidR="00675A20" w:rsidRPr="006E2DBF" w:rsidRDefault="008D3090">
      <w:pPr>
        <w:numPr>
          <w:ilvl w:val="0"/>
          <w:numId w:val="4"/>
        </w:num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Los criterios de búsqueda utilizados, y </w:t>
      </w:r>
    </w:p>
    <w:p w14:paraId="52ADBAA6" w14:textId="77777777" w:rsidR="00675A20" w:rsidRPr="006E2DBF" w:rsidRDefault="008D3090">
      <w:pPr>
        <w:numPr>
          <w:ilvl w:val="0"/>
          <w:numId w:val="4"/>
        </w:num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Las circunstancias que fueron tomadas en cuenta.</w:t>
      </w:r>
    </w:p>
    <w:p w14:paraId="6DDE5E0D"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06CAFA35"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Lo anterior, obedece a lo establecido por el artículo 12 de la Ley de Transparencia y Acceso a la Información Pública del Estado de México y Municipios, el cual destaca que quienes generen, recopilen, administren, manejen, procesen, archiven o conserven información pública serán responsables de esta; vinculando inminentemente al servidor público con los documentos que por el ejercicio de sus funciones obra en su poder, lo que impone un compromiso en su cuidado y resguardo.</w:t>
      </w:r>
    </w:p>
    <w:p w14:paraId="33ED82DE"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39C260A8" w14:textId="77777777" w:rsidR="00675A20" w:rsidRPr="006E2DBF" w:rsidRDefault="008D3090">
      <w:pPr>
        <w:tabs>
          <w:tab w:val="left" w:pos="8222"/>
        </w:tabs>
        <w:spacing w:line="360" w:lineRule="auto"/>
        <w:ind w:right="-7"/>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 xml:space="preserve">De este modo, se considera que para el presente caso toda vez que existió un pronunciamiento por la unidad administrativa competente respecto de la búsqueda efectuada en sus archivos en las que se refirió que </w:t>
      </w:r>
      <w:r w:rsidRPr="006E2DBF">
        <w:rPr>
          <w:rFonts w:ascii="Palatino Linotype" w:eastAsia="Palatino Linotype" w:hAnsi="Palatino Linotype" w:cs="Palatino Linotype"/>
          <w:b/>
          <w:bCs/>
          <w:sz w:val="22"/>
          <w:szCs w:val="22"/>
        </w:rPr>
        <w:t xml:space="preserve">no se encontró la información requerida por los motivos expuestos, </w:t>
      </w:r>
      <w:r w:rsidRPr="006E2DBF">
        <w:rPr>
          <w:rFonts w:ascii="Palatino Linotype" w:eastAsia="Palatino Linotype" w:hAnsi="Palatino Linotype" w:cs="Palatino Linotype"/>
          <w:sz w:val="22"/>
          <w:szCs w:val="22"/>
        </w:rPr>
        <w:t xml:space="preserve">es necesario que el </w:t>
      </w:r>
      <w:r w:rsidRPr="006E2DBF">
        <w:rPr>
          <w:rFonts w:ascii="Palatino Linotype" w:eastAsia="Palatino Linotype" w:hAnsi="Palatino Linotype" w:cs="Palatino Linotype"/>
          <w:b/>
          <w:bCs/>
          <w:sz w:val="22"/>
          <w:szCs w:val="22"/>
        </w:rPr>
        <w:t>Sujeto Obligado</w:t>
      </w:r>
      <w:r w:rsidRPr="006E2DBF">
        <w:rPr>
          <w:rFonts w:ascii="Palatino Linotype" w:eastAsia="Palatino Linotype" w:hAnsi="Palatino Linotype" w:cs="Palatino Linotype"/>
          <w:sz w:val="22"/>
          <w:szCs w:val="22"/>
        </w:rPr>
        <w:t xml:space="preserve"> declare por medio de su Comité de Transparencia la inexistencia de la información solicitada, motivo por el que se </w:t>
      </w:r>
      <w:r w:rsidRPr="006E2DBF">
        <w:rPr>
          <w:rFonts w:ascii="Palatino Linotype" w:eastAsia="Palatino Linotype" w:hAnsi="Palatino Linotype" w:cs="Palatino Linotype"/>
          <w:b/>
          <w:bCs/>
          <w:sz w:val="22"/>
          <w:szCs w:val="22"/>
        </w:rPr>
        <w:t xml:space="preserve">modifica </w:t>
      </w:r>
      <w:r w:rsidRPr="006E2DBF">
        <w:rPr>
          <w:rFonts w:ascii="Palatino Linotype" w:eastAsia="Palatino Linotype" w:hAnsi="Palatino Linotype" w:cs="Palatino Linotype"/>
          <w:sz w:val="22"/>
          <w:szCs w:val="22"/>
        </w:rPr>
        <w:t xml:space="preserve">la respuesta del </w:t>
      </w:r>
      <w:r w:rsidRPr="006E2DBF">
        <w:rPr>
          <w:rFonts w:ascii="Palatino Linotype" w:eastAsia="Palatino Linotype" w:hAnsi="Palatino Linotype" w:cs="Palatino Linotype"/>
          <w:b/>
          <w:bCs/>
          <w:sz w:val="22"/>
          <w:szCs w:val="22"/>
        </w:rPr>
        <w:t>Sujeto Obligado y se ordena la entrega del Acuerdo de Inexistencia de la Información, el cual deberá notificarlo a la parte Recurrente.</w:t>
      </w:r>
    </w:p>
    <w:p w14:paraId="7102D6FC"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14FE661B" w14:textId="77777777" w:rsidR="00675A20" w:rsidRPr="006E2DBF" w:rsidRDefault="008D3090">
      <w:pPr>
        <w:spacing w:line="360" w:lineRule="auto"/>
        <w:jc w:val="both"/>
        <w:rPr>
          <w:rFonts w:ascii="Palatino Linotype" w:eastAsia="Palatino Linotype" w:hAnsi="Palatino Linotype" w:cs="Palatino Linotype"/>
          <w:sz w:val="22"/>
          <w:szCs w:val="22"/>
        </w:rPr>
      </w:pPr>
      <w:bookmarkStart w:id="10" w:name="_heading=h.17dp8vu" w:colFirst="0" w:colLast="0"/>
      <w:bookmarkEnd w:id="10"/>
      <w:r w:rsidRPr="006E2DBF">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párrafo segundo del Decreto número 198 de la “LXII” Legislatura del Estado de México; 2, fracción II; 29, 36 fracciones I y II; 176, 178, 181, 185 de la Ley de Transparencia y Acceso a la Información Pública del Estado de México y Municipios, este Pleno:</w:t>
      </w:r>
    </w:p>
    <w:p w14:paraId="7E9FC44A"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523A4AB6" w14:textId="77777777" w:rsidR="00675A20" w:rsidRPr="006E2DBF" w:rsidRDefault="008D3090">
      <w:pPr>
        <w:tabs>
          <w:tab w:val="left" w:pos="2835"/>
        </w:tabs>
        <w:spacing w:line="360" w:lineRule="auto"/>
        <w:ind w:left="142"/>
        <w:jc w:val="center"/>
        <w:rPr>
          <w:rFonts w:ascii="Palatino Linotype" w:eastAsia="Palatino Linotype" w:hAnsi="Palatino Linotype" w:cs="Palatino Linotype"/>
          <w:b/>
          <w:bCs/>
          <w:sz w:val="22"/>
          <w:szCs w:val="22"/>
        </w:rPr>
      </w:pPr>
      <w:r w:rsidRPr="006E2DBF">
        <w:rPr>
          <w:rFonts w:ascii="Palatino Linotype" w:eastAsia="Palatino Linotype" w:hAnsi="Palatino Linotype" w:cs="Palatino Linotype"/>
          <w:b/>
          <w:bCs/>
          <w:sz w:val="22"/>
          <w:szCs w:val="22"/>
        </w:rPr>
        <w:t>III. R E S U E L V E</w:t>
      </w:r>
    </w:p>
    <w:p w14:paraId="2150FD76" w14:textId="77777777" w:rsidR="00675A20" w:rsidRPr="006E2DBF" w:rsidRDefault="00675A20">
      <w:pPr>
        <w:spacing w:line="360" w:lineRule="auto"/>
        <w:ind w:left="1080"/>
        <w:rPr>
          <w:rFonts w:ascii="Palatino Linotype" w:eastAsia="Palatino Linotype" w:hAnsi="Palatino Linotype" w:cs="Palatino Linotype"/>
          <w:b/>
          <w:bCs/>
        </w:rPr>
      </w:pPr>
    </w:p>
    <w:p w14:paraId="3B186D70" w14:textId="77777777" w:rsidR="00675A20" w:rsidRPr="006E2DBF" w:rsidRDefault="008D3090">
      <w:pPr>
        <w:spacing w:line="360" w:lineRule="auto"/>
        <w:jc w:val="both"/>
        <w:rPr>
          <w:rFonts w:ascii="Palatino Linotype" w:eastAsia="Palatino Linotype" w:hAnsi="Palatino Linotype" w:cs="Palatino Linotype"/>
          <w:b/>
          <w:bCs/>
          <w:sz w:val="22"/>
          <w:szCs w:val="22"/>
        </w:rPr>
      </w:pPr>
      <w:r w:rsidRPr="006E2DBF">
        <w:rPr>
          <w:rFonts w:ascii="Palatino Linotype" w:eastAsia="Palatino Linotype" w:hAnsi="Palatino Linotype" w:cs="Palatino Linotype"/>
          <w:b/>
          <w:bCs/>
          <w:sz w:val="22"/>
          <w:szCs w:val="22"/>
        </w:rPr>
        <w:t xml:space="preserve">Primero. </w:t>
      </w:r>
      <w:r w:rsidRPr="006E2DBF">
        <w:rPr>
          <w:rFonts w:ascii="Palatino Linotype" w:eastAsia="Palatino Linotype" w:hAnsi="Palatino Linotype" w:cs="Palatino Linotype"/>
          <w:sz w:val="22"/>
          <w:szCs w:val="22"/>
        </w:rPr>
        <w:t xml:space="preserve">Resultan parcialmente fundados los motivos de inconformidad hechos valer por la parte </w:t>
      </w:r>
      <w:r w:rsidRPr="006E2DBF">
        <w:rPr>
          <w:rFonts w:ascii="Palatino Linotype" w:eastAsia="Palatino Linotype" w:hAnsi="Palatino Linotype" w:cs="Palatino Linotype"/>
          <w:b/>
          <w:bCs/>
          <w:sz w:val="22"/>
          <w:szCs w:val="22"/>
        </w:rPr>
        <w:t>Recurrente</w:t>
      </w:r>
      <w:r w:rsidRPr="006E2DBF">
        <w:rPr>
          <w:rFonts w:ascii="Palatino Linotype" w:eastAsia="Palatino Linotype" w:hAnsi="Palatino Linotype" w:cs="Palatino Linotype"/>
          <w:sz w:val="22"/>
          <w:szCs w:val="22"/>
        </w:rPr>
        <w:t xml:space="preserve"> en el Recurso de Revisión </w:t>
      </w:r>
      <w:r w:rsidRPr="006E2DBF">
        <w:rPr>
          <w:rFonts w:ascii="Palatino Linotype" w:eastAsia="Palatino Linotype" w:hAnsi="Palatino Linotype" w:cs="Palatino Linotype"/>
          <w:b/>
          <w:bCs/>
          <w:sz w:val="22"/>
          <w:szCs w:val="22"/>
        </w:rPr>
        <w:t xml:space="preserve">08559/INFOEM/IP/RR/2025, </w:t>
      </w:r>
      <w:r w:rsidRPr="006E2DBF">
        <w:rPr>
          <w:rFonts w:ascii="Palatino Linotype" w:eastAsia="Palatino Linotype" w:hAnsi="Palatino Linotype" w:cs="Palatino Linotype"/>
          <w:sz w:val="22"/>
          <w:szCs w:val="22"/>
        </w:rPr>
        <w:t xml:space="preserve">por lo que, en términos del considerando </w:t>
      </w:r>
      <w:r w:rsidRPr="006E2DBF">
        <w:rPr>
          <w:rFonts w:ascii="Palatino Linotype" w:eastAsia="Palatino Linotype" w:hAnsi="Palatino Linotype" w:cs="Palatino Linotype"/>
          <w:b/>
          <w:bCs/>
          <w:sz w:val="22"/>
          <w:szCs w:val="22"/>
        </w:rPr>
        <w:t xml:space="preserve">Cuarto </w:t>
      </w:r>
      <w:r w:rsidRPr="006E2DBF">
        <w:rPr>
          <w:rFonts w:ascii="Palatino Linotype" w:eastAsia="Palatino Linotype" w:hAnsi="Palatino Linotype" w:cs="Palatino Linotype"/>
          <w:sz w:val="22"/>
          <w:szCs w:val="22"/>
        </w:rPr>
        <w:t xml:space="preserve">de esta resolución, se </w:t>
      </w:r>
      <w:r w:rsidRPr="006E2DBF">
        <w:rPr>
          <w:rFonts w:ascii="Palatino Linotype" w:eastAsia="Palatino Linotype" w:hAnsi="Palatino Linotype" w:cs="Palatino Linotype"/>
          <w:b/>
          <w:bCs/>
          <w:sz w:val="22"/>
          <w:szCs w:val="22"/>
        </w:rPr>
        <w:t xml:space="preserve">Modifica </w:t>
      </w:r>
      <w:r w:rsidRPr="006E2DBF">
        <w:rPr>
          <w:rFonts w:ascii="Palatino Linotype" w:eastAsia="Palatino Linotype" w:hAnsi="Palatino Linotype" w:cs="Palatino Linotype"/>
          <w:sz w:val="22"/>
          <w:szCs w:val="22"/>
        </w:rPr>
        <w:t xml:space="preserve">la respuesta emitida por el </w:t>
      </w:r>
      <w:r w:rsidRPr="006E2DBF">
        <w:rPr>
          <w:rFonts w:ascii="Palatino Linotype" w:eastAsia="Palatino Linotype" w:hAnsi="Palatino Linotype" w:cs="Palatino Linotype"/>
          <w:b/>
          <w:bCs/>
          <w:sz w:val="22"/>
          <w:szCs w:val="22"/>
        </w:rPr>
        <w:t>Sujeto Obligado</w:t>
      </w:r>
      <w:r w:rsidRPr="006E2DBF">
        <w:rPr>
          <w:rFonts w:ascii="Palatino Linotype" w:eastAsia="Palatino Linotype" w:hAnsi="Palatino Linotype" w:cs="Palatino Linotype"/>
          <w:sz w:val="22"/>
          <w:szCs w:val="22"/>
        </w:rPr>
        <w:t>.</w:t>
      </w:r>
    </w:p>
    <w:p w14:paraId="332B25CC"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1955E139" w14:textId="77777777" w:rsidR="00675A20" w:rsidRPr="006E2DBF" w:rsidRDefault="008D3090">
      <w:pPr>
        <w:spacing w:line="360" w:lineRule="auto"/>
        <w:jc w:val="both"/>
        <w:rPr>
          <w:rFonts w:ascii="Palatino Linotype" w:eastAsia="Palatino Linotype" w:hAnsi="Palatino Linotype" w:cs="Palatino Linotype"/>
          <w:sz w:val="22"/>
          <w:szCs w:val="22"/>
        </w:rPr>
      </w:pPr>
      <w:bookmarkStart w:id="11" w:name="_heading=h.kelgs2428oa6" w:colFirst="0" w:colLast="0"/>
      <w:bookmarkEnd w:id="11"/>
      <w:r w:rsidRPr="006E2DBF">
        <w:rPr>
          <w:rFonts w:ascii="Palatino Linotype" w:eastAsia="Palatino Linotype" w:hAnsi="Palatino Linotype" w:cs="Palatino Linotype"/>
          <w:b/>
          <w:bCs/>
          <w:sz w:val="22"/>
          <w:szCs w:val="22"/>
        </w:rPr>
        <w:t xml:space="preserve">Segundo. </w:t>
      </w:r>
      <w:r w:rsidRPr="006E2DBF">
        <w:rPr>
          <w:rFonts w:ascii="Palatino Linotype" w:eastAsia="Palatino Linotype" w:hAnsi="Palatino Linotype" w:cs="Palatino Linotype"/>
          <w:sz w:val="22"/>
          <w:szCs w:val="22"/>
        </w:rPr>
        <w:t>Se</w:t>
      </w:r>
      <w:r w:rsidRPr="006E2DBF">
        <w:rPr>
          <w:rFonts w:ascii="Palatino Linotype" w:eastAsia="Palatino Linotype" w:hAnsi="Palatino Linotype" w:cs="Palatino Linotype"/>
          <w:b/>
          <w:bCs/>
          <w:sz w:val="22"/>
          <w:szCs w:val="22"/>
        </w:rPr>
        <w:t xml:space="preserve"> ordena </w:t>
      </w:r>
      <w:r w:rsidRPr="006E2DBF">
        <w:rPr>
          <w:rFonts w:ascii="Palatino Linotype" w:eastAsia="Palatino Linotype" w:hAnsi="Palatino Linotype" w:cs="Palatino Linotype"/>
          <w:sz w:val="22"/>
          <w:szCs w:val="22"/>
        </w:rPr>
        <w:t xml:space="preserve">al </w:t>
      </w:r>
      <w:r w:rsidRPr="006E2DBF">
        <w:rPr>
          <w:rFonts w:ascii="Palatino Linotype" w:eastAsia="Palatino Linotype" w:hAnsi="Palatino Linotype" w:cs="Palatino Linotype"/>
          <w:b/>
          <w:bCs/>
          <w:sz w:val="22"/>
          <w:szCs w:val="22"/>
        </w:rPr>
        <w:t xml:space="preserve">Sujeto Obligado </w:t>
      </w:r>
      <w:r w:rsidRPr="006E2DBF">
        <w:rPr>
          <w:rFonts w:ascii="Palatino Linotype" w:eastAsia="Palatino Linotype" w:hAnsi="Palatino Linotype" w:cs="Palatino Linotype"/>
          <w:sz w:val="22"/>
          <w:szCs w:val="22"/>
        </w:rPr>
        <w:t xml:space="preserve">que, en términos del Considerando </w:t>
      </w:r>
      <w:r w:rsidRPr="006E2DBF">
        <w:rPr>
          <w:rFonts w:ascii="Palatino Linotype" w:eastAsia="Palatino Linotype" w:hAnsi="Palatino Linotype" w:cs="Palatino Linotype"/>
          <w:b/>
          <w:bCs/>
          <w:sz w:val="22"/>
          <w:szCs w:val="22"/>
        </w:rPr>
        <w:t xml:space="preserve">Cuarto </w:t>
      </w:r>
      <w:r w:rsidRPr="006E2DBF">
        <w:rPr>
          <w:rFonts w:ascii="Palatino Linotype" w:eastAsia="Palatino Linotype" w:hAnsi="Palatino Linotype" w:cs="Palatino Linotype"/>
          <w:sz w:val="22"/>
          <w:szCs w:val="22"/>
        </w:rPr>
        <w:t xml:space="preserve">de esta resolución, haga entrega, vía </w:t>
      </w:r>
      <w:r w:rsidRPr="006E2DBF">
        <w:rPr>
          <w:rFonts w:ascii="Palatino Linotype" w:eastAsia="Palatino Linotype" w:hAnsi="Palatino Linotype" w:cs="Palatino Linotype"/>
          <w:b/>
          <w:bCs/>
          <w:sz w:val="22"/>
          <w:szCs w:val="22"/>
        </w:rPr>
        <w:t>SAIMEX</w:t>
      </w:r>
      <w:r w:rsidRPr="006E2DBF">
        <w:rPr>
          <w:rFonts w:ascii="Palatino Linotype" w:eastAsia="Palatino Linotype" w:hAnsi="Palatino Linotype" w:cs="Palatino Linotype"/>
          <w:sz w:val="22"/>
          <w:szCs w:val="22"/>
        </w:rPr>
        <w:t>, de lo siguiente:</w:t>
      </w:r>
    </w:p>
    <w:p w14:paraId="0EAE0095" w14:textId="77777777" w:rsidR="00675A20" w:rsidRPr="006E2DBF" w:rsidRDefault="00675A2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459026F" w14:textId="77777777" w:rsidR="00675A20" w:rsidRPr="006E2DBF" w:rsidRDefault="008D3090">
      <w:pPr>
        <w:numPr>
          <w:ilvl w:val="0"/>
          <w:numId w:val="3"/>
        </w:numPr>
        <w:pBdr>
          <w:top w:val="nil"/>
          <w:left w:val="nil"/>
          <w:bottom w:val="nil"/>
          <w:right w:val="nil"/>
          <w:between w:val="nil"/>
        </w:pBdr>
        <w:spacing w:line="360" w:lineRule="auto"/>
        <w:ind w:left="851" w:right="616" w:firstLine="0"/>
        <w:jc w:val="both"/>
        <w:rPr>
          <w:rFonts w:ascii="Palatino Linotype" w:eastAsia="Palatino Linotype" w:hAnsi="Palatino Linotype" w:cs="Palatino Linotype"/>
          <w:b/>
          <w:bCs/>
          <w:sz w:val="22"/>
          <w:szCs w:val="22"/>
        </w:rPr>
      </w:pPr>
      <w:r w:rsidRPr="006E2DBF">
        <w:rPr>
          <w:rFonts w:ascii="Palatino Linotype" w:eastAsia="Palatino Linotype" w:hAnsi="Palatino Linotype" w:cs="Palatino Linotype"/>
          <w:b/>
          <w:bCs/>
          <w:sz w:val="22"/>
          <w:szCs w:val="22"/>
        </w:rPr>
        <w:t xml:space="preserve">Acuerdo que emita el Comité de Transparencia mediante el que declare formalmente la inexistencia de los documentos donde conste o se advierta el número de valoraciones o dictámenes de riesgo para el derribo, poda o trasplante de árboles en banquetas del Municipio de Ecatepec de Morelos, en el ejercicio 2023, en términos de los artículos 19, 49, fracciones II y XIII, 169 y 170 de la Ley de Transparencia y Acceso a la Información Pública del Estado de México y Municipios. </w:t>
      </w:r>
    </w:p>
    <w:p w14:paraId="25BF3FE8" w14:textId="77777777" w:rsidR="00675A20" w:rsidRPr="006E2DBF" w:rsidRDefault="00675A20">
      <w:pPr>
        <w:pBdr>
          <w:top w:val="nil"/>
          <w:left w:val="nil"/>
          <w:bottom w:val="nil"/>
          <w:right w:val="nil"/>
          <w:between w:val="nil"/>
        </w:pBdr>
        <w:spacing w:line="276" w:lineRule="auto"/>
        <w:jc w:val="both"/>
        <w:rPr>
          <w:rFonts w:ascii="Palatino Linotype" w:eastAsia="Palatino Linotype" w:hAnsi="Palatino Linotype" w:cs="Palatino Linotype"/>
          <w:i/>
          <w:iCs/>
          <w:sz w:val="22"/>
          <w:szCs w:val="22"/>
        </w:rPr>
      </w:pPr>
    </w:p>
    <w:p w14:paraId="35036A1E"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sz w:val="22"/>
          <w:szCs w:val="22"/>
        </w:rPr>
        <w:t xml:space="preserve">Tercero. Notifíquese </w:t>
      </w:r>
      <w:r w:rsidRPr="006E2DBF">
        <w:rPr>
          <w:rFonts w:ascii="Palatino Linotype" w:eastAsia="Palatino Linotype" w:hAnsi="Palatino Linotype" w:cs="Palatino Linotype"/>
          <w:sz w:val="22"/>
          <w:szCs w:val="22"/>
        </w:rPr>
        <w:t>vía</w:t>
      </w:r>
      <w:r w:rsidRPr="006E2DBF">
        <w:rPr>
          <w:rFonts w:ascii="Palatino Linotype" w:eastAsia="Palatino Linotype" w:hAnsi="Palatino Linotype" w:cs="Palatino Linotype"/>
          <w:b/>
          <w:bCs/>
          <w:sz w:val="22"/>
          <w:szCs w:val="22"/>
        </w:rPr>
        <w:t xml:space="preserve"> SAIMEX, </w:t>
      </w:r>
      <w:r w:rsidRPr="006E2DBF">
        <w:rPr>
          <w:rFonts w:ascii="Palatino Linotype" w:eastAsia="Palatino Linotype" w:hAnsi="Palatino Linotype" w:cs="Palatino Linotype"/>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F0ADBA3"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3E98D4C8"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sz w:val="22"/>
          <w:szCs w:val="22"/>
        </w:rPr>
        <w:t xml:space="preserve">Cuarto. </w:t>
      </w:r>
      <w:r w:rsidRPr="006E2DBF">
        <w:rPr>
          <w:rFonts w:ascii="Palatino Linotype" w:eastAsia="Palatino Linotype" w:hAnsi="Palatino Linotype" w:cs="Palatino Linotype"/>
          <w:sz w:val="22"/>
          <w:szCs w:val="22"/>
        </w:rPr>
        <w:t>De conformidad con el artículo 198 de la Ley de Transparencia y Acceso a la Información Pública del Estado de México y Municipios, de considerarlo procedente, el</w:t>
      </w:r>
      <w:r w:rsidRPr="006E2DBF">
        <w:rPr>
          <w:rFonts w:ascii="Palatino Linotype" w:eastAsia="Palatino Linotype" w:hAnsi="Palatino Linotype" w:cs="Palatino Linotype"/>
          <w:b/>
          <w:bCs/>
          <w:sz w:val="22"/>
          <w:szCs w:val="22"/>
        </w:rPr>
        <w:t xml:space="preserve"> Sujeto Obligado</w:t>
      </w:r>
      <w:r w:rsidRPr="006E2DBF">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0827CAF6"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79A1EBB9" w14:textId="77777777" w:rsidR="00675A20" w:rsidRPr="006E2DBF"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b/>
          <w:bCs/>
          <w:sz w:val="22"/>
          <w:szCs w:val="22"/>
        </w:rPr>
        <w:t xml:space="preserve">Quinto. Notifíquese </w:t>
      </w:r>
      <w:r w:rsidRPr="006E2DBF">
        <w:rPr>
          <w:rFonts w:ascii="Palatino Linotype" w:eastAsia="Palatino Linotype" w:hAnsi="Palatino Linotype" w:cs="Palatino Linotype"/>
          <w:sz w:val="22"/>
          <w:szCs w:val="22"/>
        </w:rPr>
        <w:t xml:space="preserve">vía </w:t>
      </w:r>
      <w:r w:rsidRPr="006E2DBF">
        <w:rPr>
          <w:rFonts w:ascii="Palatino Linotype" w:eastAsia="Palatino Linotype" w:hAnsi="Palatino Linotype" w:cs="Palatino Linotype"/>
          <w:b/>
          <w:bCs/>
          <w:sz w:val="22"/>
          <w:szCs w:val="22"/>
        </w:rPr>
        <w:t xml:space="preserve">SAIMEX, </w:t>
      </w:r>
      <w:r w:rsidRPr="006E2DBF">
        <w:rPr>
          <w:rFonts w:ascii="Palatino Linotype" w:eastAsia="Palatino Linotype" w:hAnsi="Palatino Linotype" w:cs="Palatino Linotype"/>
          <w:sz w:val="22"/>
          <w:szCs w:val="22"/>
        </w:rPr>
        <w:t>a la parte</w:t>
      </w:r>
      <w:r w:rsidRPr="006E2DBF">
        <w:rPr>
          <w:rFonts w:ascii="Palatino Linotype" w:eastAsia="Palatino Linotype" w:hAnsi="Palatino Linotype" w:cs="Palatino Linotype"/>
          <w:b/>
          <w:bCs/>
          <w:sz w:val="22"/>
          <w:szCs w:val="22"/>
        </w:rPr>
        <w:t xml:space="preserve"> Recurrente</w:t>
      </w:r>
      <w:r w:rsidRPr="006E2DBF">
        <w:rPr>
          <w:rFonts w:ascii="Palatino Linotype" w:eastAsia="Palatino Linotype" w:hAnsi="Palatino Linotype" w:cs="Palatino Linotype"/>
          <w:sz w:val="22"/>
          <w:szCs w:val="22"/>
        </w:rPr>
        <w:t xml:space="preserve"> la presente resolución, así como que podrá impugnar vía Juicio de Amparo en los términos de las leyes aplicables, de conformidad con lo establecido en el artículo 196 de la Ley de Transparencia y Acceso a la Información Pública del Estado de México y Municipios. </w:t>
      </w:r>
    </w:p>
    <w:p w14:paraId="53DD066D" w14:textId="77777777" w:rsidR="00675A20" w:rsidRPr="006E2DBF" w:rsidRDefault="00675A20">
      <w:pPr>
        <w:spacing w:line="360" w:lineRule="auto"/>
        <w:jc w:val="both"/>
        <w:rPr>
          <w:rFonts w:ascii="Palatino Linotype" w:eastAsia="Palatino Linotype" w:hAnsi="Palatino Linotype" w:cs="Palatino Linotype"/>
          <w:sz w:val="22"/>
          <w:szCs w:val="22"/>
        </w:rPr>
      </w:pPr>
    </w:p>
    <w:p w14:paraId="614C64EE" w14:textId="77777777" w:rsidR="00675A20" w:rsidRPr="00CE182D" w:rsidRDefault="008D3090">
      <w:pPr>
        <w:spacing w:line="360" w:lineRule="auto"/>
        <w:jc w:val="both"/>
        <w:rPr>
          <w:rFonts w:ascii="Palatino Linotype" w:eastAsia="Palatino Linotype" w:hAnsi="Palatino Linotype" w:cs="Palatino Linotype"/>
          <w:sz w:val="22"/>
          <w:szCs w:val="22"/>
        </w:rPr>
      </w:pPr>
      <w:r w:rsidRPr="006E2DBF">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p>
    <w:p w14:paraId="4AC8D66D" w14:textId="77777777" w:rsidR="00675A20" w:rsidRPr="00CE182D" w:rsidRDefault="00675A20">
      <w:pPr>
        <w:rPr>
          <w:rFonts w:ascii="Palatino Linotype" w:eastAsia="Palatino Linotype" w:hAnsi="Palatino Linotype" w:cs="Palatino Linotype"/>
          <w:sz w:val="22"/>
          <w:szCs w:val="22"/>
        </w:rPr>
      </w:pPr>
    </w:p>
    <w:p w14:paraId="15D6F6E1"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72C9E310" w14:textId="77777777" w:rsidR="00675A20" w:rsidRPr="00CE182D" w:rsidRDefault="00675A20">
      <w:pPr>
        <w:spacing w:line="360" w:lineRule="auto"/>
        <w:jc w:val="both"/>
        <w:rPr>
          <w:rFonts w:ascii="Palatino Linotype" w:eastAsia="Palatino Linotype" w:hAnsi="Palatino Linotype" w:cs="Palatino Linotype"/>
          <w:sz w:val="22"/>
          <w:szCs w:val="22"/>
        </w:rPr>
      </w:pPr>
      <w:bookmarkStart w:id="12" w:name="_heading=h.1t3h5sf" w:colFirst="0" w:colLast="0"/>
      <w:bookmarkEnd w:id="12"/>
    </w:p>
    <w:p w14:paraId="4618C809"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3FBED869"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17811781"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4E6F5DCB"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216E1BDA"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182F2B47"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649BF54B"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4E1E286B"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76017978"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319DE050"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10B33050"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455118F8"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5337CCDE"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1EBB3445"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0ED109D2"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04726D19"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34D00737" w14:textId="5D19B4A8" w:rsidR="00675A20" w:rsidRPr="00CE182D" w:rsidRDefault="00675A20">
      <w:pPr>
        <w:spacing w:line="360" w:lineRule="auto"/>
        <w:jc w:val="both"/>
        <w:rPr>
          <w:rFonts w:ascii="Palatino Linotype" w:eastAsia="Palatino Linotype" w:hAnsi="Palatino Linotype" w:cs="Palatino Linotype"/>
          <w:sz w:val="22"/>
          <w:szCs w:val="22"/>
        </w:rPr>
      </w:pPr>
    </w:p>
    <w:p w14:paraId="3E3469F9" w14:textId="7BD2403B" w:rsidR="00CE182D" w:rsidRPr="00CE182D" w:rsidRDefault="00CE182D">
      <w:pPr>
        <w:spacing w:line="360" w:lineRule="auto"/>
        <w:jc w:val="both"/>
        <w:rPr>
          <w:rFonts w:ascii="Palatino Linotype" w:eastAsia="Palatino Linotype" w:hAnsi="Palatino Linotype" w:cs="Palatino Linotype"/>
          <w:sz w:val="22"/>
          <w:szCs w:val="22"/>
        </w:rPr>
      </w:pPr>
    </w:p>
    <w:p w14:paraId="4BF72246" w14:textId="62EAC798" w:rsidR="00CE182D" w:rsidRPr="00CE182D" w:rsidRDefault="00CE182D">
      <w:pPr>
        <w:spacing w:line="360" w:lineRule="auto"/>
        <w:jc w:val="both"/>
        <w:rPr>
          <w:rFonts w:ascii="Palatino Linotype" w:eastAsia="Palatino Linotype" w:hAnsi="Palatino Linotype" w:cs="Palatino Linotype"/>
          <w:sz w:val="22"/>
          <w:szCs w:val="22"/>
        </w:rPr>
      </w:pPr>
    </w:p>
    <w:p w14:paraId="63F80F33" w14:textId="3E6BF078" w:rsidR="00CE182D" w:rsidRPr="00CE182D" w:rsidRDefault="00CE182D">
      <w:pPr>
        <w:spacing w:line="360" w:lineRule="auto"/>
        <w:jc w:val="both"/>
        <w:rPr>
          <w:rFonts w:ascii="Palatino Linotype" w:eastAsia="Palatino Linotype" w:hAnsi="Palatino Linotype" w:cs="Palatino Linotype"/>
          <w:sz w:val="22"/>
          <w:szCs w:val="22"/>
        </w:rPr>
      </w:pPr>
    </w:p>
    <w:p w14:paraId="4DF4F65F" w14:textId="499C7EFE" w:rsidR="00CE182D" w:rsidRPr="00CE182D" w:rsidRDefault="00CE182D">
      <w:pPr>
        <w:spacing w:line="360" w:lineRule="auto"/>
        <w:jc w:val="both"/>
        <w:rPr>
          <w:rFonts w:ascii="Palatino Linotype" w:eastAsia="Palatino Linotype" w:hAnsi="Palatino Linotype" w:cs="Palatino Linotype"/>
          <w:sz w:val="22"/>
          <w:szCs w:val="22"/>
        </w:rPr>
      </w:pPr>
    </w:p>
    <w:p w14:paraId="13C0A002" w14:textId="5FC71603" w:rsidR="00CE182D" w:rsidRPr="00CE182D" w:rsidRDefault="00CE182D">
      <w:pPr>
        <w:spacing w:line="360" w:lineRule="auto"/>
        <w:jc w:val="both"/>
        <w:rPr>
          <w:rFonts w:ascii="Palatino Linotype" w:eastAsia="Palatino Linotype" w:hAnsi="Palatino Linotype" w:cs="Palatino Linotype"/>
          <w:sz w:val="22"/>
          <w:szCs w:val="22"/>
        </w:rPr>
      </w:pPr>
    </w:p>
    <w:p w14:paraId="73A44E26" w14:textId="77777777" w:rsidR="00CE182D" w:rsidRPr="00CE182D" w:rsidRDefault="00CE182D">
      <w:pPr>
        <w:spacing w:line="360" w:lineRule="auto"/>
        <w:jc w:val="both"/>
        <w:rPr>
          <w:rFonts w:ascii="Palatino Linotype" w:eastAsia="Palatino Linotype" w:hAnsi="Palatino Linotype" w:cs="Palatino Linotype"/>
          <w:sz w:val="22"/>
          <w:szCs w:val="22"/>
        </w:rPr>
      </w:pPr>
    </w:p>
    <w:p w14:paraId="2BB18620"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5473357E"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62D801A1" w14:textId="77777777" w:rsidR="00675A20" w:rsidRPr="00CE182D" w:rsidRDefault="00675A20">
      <w:pPr>
        <w:spacing w:line="360" w:lineRule="auto"/>
        <w:jc w:val="both"/>
        <w:rPr>
          <w:rFonts w:ascii="Palatino Linotype" w:eastAsia="Palatino Linotype" w:hAnsi="Palatino Linotype" w:cs="Palatino Linotype"/>
          <w:sz w:val="22"/>
          <w:szCs w:val="22"/>
        </w:rPr>
      </w:pPr>
    </w:p>
    <w:p w14:paraId="13C37C0C" w14:textId="77777777" w:rsidR="00675A20" w:rsidRPr="00CE182D" w:rsidRDefault="00675A20">
      <w:pPr>
        <w:spacing w:line="360" w:lineRule="auto"/>
        <w:jc w:val="both"/>
        <w:rPr>
          <w:rFonts w:ascii="Palatino Linotype" w:eastAsia="Palatino Linotype" w:hAnsi="Palatino Linotype" w:cs="Palatino Linotype"/>
          <w:sz w:val="22"/>
          <w:szCs w:val="22"/>
        </w:rPr>
      </w:pPr>
    </w:p>
    <w:sectPr w:rsidR="00675A20" w:rsidRPr="00CE182D">
      <w:headerReference w:type="default" r:id="rId8"/>
      <w:footerReference w:type="default" r:id="rId9"/>
      <w:headerReference w:type="first" r:id="rId10"/>
      <w:footerReference w:type="first" r:id="rId11"/>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A8BB8" w14:textId="77777777" w:rsidR="005123D1" w:rsidRDefault="005123D1">
      <w:r>
        <w:separator/>
      </w:r>
    </w:p>
  </w:endnote>
  <w:endnote w:type="continuationSeparator" w:id="0">
    <w:p w14:paraId="797FA969" w14:textId="77777777" w:rsidR="005123D1" w:rsidRDefault="0051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C8F96CB9-D107-4435-88C4-0B9F6D72E7B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73ACCAB-6C05-47C1-A1DF-2E35CAFA85AF}"/>
    <w:embedBold r:id="rId3" w:fontKey="{845457EE-C4B4-49AA-BF04-988077C89884}"/>
  </w:font>
  <w:font w:name="Cambria">
    <w:panose1 w:val="02040503050406030204"/>
    <w:charset w:val="00"/>
    <w:family w:val="roman"/>
    <w:pitch w:val="variable"/>
    <w:sig w:usb0="E00006FF" w:usb1="420024FF" w:usb2="02000000" w:usb3="00000000" w:csb0="0000019F" w:csb1="00000000"/>
    <w:embedRegular r:id="rId4" w:fontKey="{861E4162-EB7B-4668-87AC-1B2EC27D1A32}"/>
    <w:embedBold r:id="rId5" w:fontKey="{6DF26465-FDB9-459B-A5FC-F0BC59DDE32F}"/>
    <w:embedBoldItalic r:id="rId6" w:fontKey="{9341B14E-8DD0-4843-88C3-3E6EF21C0109}"/>
  </w:font>
  <w:font w:name="Segoe UI">
    <w:panose1 w:val="020B0502040204020203"/>
    <w:charset w:val="00"/>
    <w:family w:val="swiss"/>
    <w:pitch w:val="variable"/>
    <w:sig w:usb0="E4002EFF" w:usb1="C000E47F" w:usb2="00000009" w:usb3="00000000" w:csb0="000001FF" w:csb1="00000000"/>
    <w:embedRegular r:id="rId7" w:fontKey="{32B6A70A-0888-43A6-BC28-F35CB338E5C4}"/>
  </w:font>
  <w:font w:name="Georgia">
    <w:panose1 w:val="02040502050405020303"/>
    <w:charset w:val="00"/>
    <w:family w:val="roman"/>
    <w:pitch w:val="variable"/>
    <w:sig w:usb0="00000287" w:usb1="00000000" w:usb2="00000000" w:usb3="00000000" w:csb0="0000009F" w:csb1="00000000"/>
    <w:embedItalic r:id="rId8" w:fontKey="{9F87ACE5-3186-481E-9E78-CC796509A72E}"/>
  </w:font>
  <w:font w:name="Palatino Linotype">
    <w:panose1 w:val="02040502050505030304"/>
    <w:charset w:val="00"/>
    <w:family w:val="roman"/>
    <w:pitch w:val="variable"/>
    <w:sig w:usb0="E0000287" w:usb1="40000013" w:usb2="00000000" w:usb3="00000000" w:csb0="0000019F" w:csb1="00000000"/>
    <w:embedRegular r:id="rId9" w:fontKey="{82F99B5D-522E-46A9-9CFF-47DF4EC5CEEC}"/>
    <w:embedBold r:id="rId10" w:fontKey="{A7D8239D-7C32-4D6E-8E7E-671CA6D69177}"/>
    <w:embedItalic r:id="rId11" w:fontKey="{E8B9F6F6-1DD8-49FC-85EC-69E3F62FF95E}"/>
    <w:embedBoldItalic r:id="rId12" w:fontKey="{489C5E32-4292-4F02-BCED-CB75430D89B8}"/>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FBE37" w14:textId="7711BD47" w:rsidR="00675A20" w:rsidRDefault="008D3090">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EB7B9A">
      <w:rPr>
        <w:rFonts w:ascii="Palatino Linotype" w:eastAsia="Palatino Linotype" w:hAnsi="Palatino Linotype" w:cs="Palatino Linotype"/>
        <w:b/>
        <w:bCs/>
        <w:noProof/>
        <w:color w:val="000000"/>
        <w:sz w:val="20"/>
        <w:szCs w:val="20"/>
      </w:rPr>
      <w:t>23</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EB7B9A">
      <w:rPr>
        <w:rFonts w:ascii="Palatino Linotype" w:eastAsia="Palatino Linotype" w:hAnsi="Palatino Linotype" w:cs="Palatino Linotype"/>
        <w:b/>
        <w:bCs/>
        <w:noProof/>
        <w:color w:val="000000"/>
        <w:sz w:val="20"/>
        <w:szCs w:val="20"/>
      </w:rPr>
      <w:t>32</w:t>
    </w:r>
    <w:r>
      <w:rPr>
        <w:rFonts w:ascii="Palatino Linotype" w:eastAsia="Palatino Linotype" w:hAnsi="Palatino Linotype" w:cs="Palatino Linotype"/>
        <w:b/>
        <w:bCs/>
        <w:color w:val="000000"/>
        <w:sz w:val="20"/>
        <w:szCs w:val="20"/>
      </w:rPr>
      <w:fldChar w:fldCharType="end"/>
    </w:r>
  </w:p>
  <w:p w14:paraId="55012FCD" w14:textId="77777777" w:rsidR="00675A20" w:rsidRDefault="00675A20">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D50B3" w14:textId="01E2F2BC" w:rsidR="00675A20" w:rsidRDefault="008D3090">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EB7B9A">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EB7B9A">
      <w:rPr>
        <w:rFonts w:ascii="Palatino Linotype" w:eastAsia="Palatino Linotype" w:hAnsi="Palatino Linotype" w:cs="Palatino Linotype"/>
        <w:b/>
        <w:bCs/>
        <w:noProof/>
        <w:color w:val="000000"/>
        <w:sz w:val="20"/>
        <w:szCs w:val="20"/>
      </w:rPr>
      <w:t>32</w:t>
    </w:r>
    <w:r>
      <w:rPr>
        <w:rFonts w:ascii="Palatino Linotype" w:eastAsia="Palatino Linotype" w:hAnsi="Palatino Linotype" w:cs="Palatino Linotype"/>
        <w:b/>
        <w:bCs/>
        <w:color w:val="000000"/>
        <w:sz w:val="20"/>
        <w:szCs w:val="20"/>
      </w:rPr>
      <w:fldChar w:fldCharType="end"/>
    </w:r>
  </w:p>
  <w:p w14:paraId="74DDB3B9" w14:textId="77777777" w:rsidR="00675A20" w:rsidRDefault="00675A20">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2E613" w14:textId="77777777" w:rsidR="005123D1" w:rsidRDefault="005123D1">
      <w:r>
        <w:separator/>
      </w:r>
    </w:p>
  </w:footnote>
  <w:footnote w:type="continuationSeparator" w:id="0">
    <w:p w14:paraId="45630E5F" w14:textId="77777777" w:rsidR="005123D1" w:rsidRDefault="005123D1">
      <w:r>
        <w:continuationSeparator/>
      </w:r>
    </w:p>
  </w:footnote>
  <w:footnote w:id="1">
    <w:p w14:paraId="1EE3AC50" w14:textId="77777777" w:rsidR="00675A20" w:rsidRDefault="008D3090">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1F5646C4" w14:textId="77777777" w:rsidR="00675A20" w:rsidRDefault="008D309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4BE58E8A" w14:textId="77777777" w:rsidR="00675A20" w:rsidRDefault="008D3090">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bCs/>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409A2CF5" w14:textId="77777777" w:rsidR="00675A20" w:rsidRDefault="008D3090">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05FDC" w14:textId="77777777" w:rsidR="00675A20" w:rsidRDefault="00675A20">
    <w:pPr>
      <w:rPr>
        <w:rFonts w:ascii="Cambria" w:eastAsia="Cambria" w:hAnsi="Cambria" w:cs="Cambria"/>
        <w:color w:val="000000"/>
      </w:rPr>
    </w:pPr>
  </w:p>
  <w:tbl>
    <w:tblPr>
      <w:tblStyle w:val="a7"/>
      <w:tblW w:w="7290" w:type="dxa"/>
      <w:tblInd w:w="3066" w:type="dxa"/>
      <w:tblLayout w:type="fixed"/>
      <w:tblLook w:val="0400" w:firstRow="0" w:lastRow="0" w:firstColumn="0" w:lastColumn="0" w:noHBand="0" w:noVBand="1"/>
    </w:tblPr>
    <w:tblGrid>
      <w:gridCol w:w="2685"/>
      <w:gridCol w:w="4605"/>
    </w:tblGrid>
    <w:tr w:rsidR="00675A20" w14:paraId="76EAFA1B" w14:textId="77777777">
      <w:tc>
        <w:tcPr>
          <w:tcW w:w="2685" w:type="dxa"/>
          <w:shd w:val="clear" w:color="auto" w:fill="auto"/>
        </w:tcPr>
        <w:p w14:paraId="553A6458" w14:textId="77777777" w:rsidR="00675A20" w:rsidRDefault="008D3090">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605" w:type="dxa"/>
          <w:shd w:val="clear" w:color="auto" w:fill="auto"/>
          <w:vAlign w:val="center"/>
        </w:tcPr>
        <w:p w14:paraId="3C2873B0" w14:textId="77777777" w:rsidR="00675A20" w:rsidRDefault="008D3090">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08559/INFOEM/IP/RR/2025</w:t>
          </w:r>
          <w:r>
            <w:rPr>
              <w:noProof/>
            </w:rPr>
            <w:drawing>
              <wp:anchor distT="0" distB="0" distL="0" distR="0" simplePos="0" relativeHeight="251658240" behindDoc="1" locked="0" layoutInCell="1" hidden="0" allowOverlap="1" wp14:anchorId="5AAB2346" wp14:editId="72750EDE">
                <wp:simplePos x="0" y="0"/>
                <wp:positionH relativeFrom="column">
                  <wp:posOffset>-4305299</wp:posOffset>
                </wp:positionH>
                <wp:positionV relativeFrom="paragraph">
                  <wp:posOffset>-666114</wp:posOffset>
                </wp:positionV>
                <wp:extent cx="7809865" cy="10165715"/>
                <wp:effectExtent l="0" t="0" r="0" b="0"/>
                <wp:wrapNone/>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c>
    </w:tr>
    <w:tr w:rsidR="00675A20" w14:paraId="13DFB550" w14:textId="77777777">
      <w:trPr>
        <w:trHeight w:val="228"/>
      </w:trPr>
      <w:tc>
        <w:tcPr>
          <w:tcW w:w="2685" w:type="dxa"/>
          <w:shd w:val="clear" w:color="auto" w:fill="auto"/>
          <w:vAlign w:val="center"/>
        </w:tcPr>
        <w:p w14:paraId="2F89CF7A" w14:textId="77777777" w:rsidR="00675A20" w:rsidRDefault="008D3090">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605" w:type="dxa"/>
          <w:shd w:val="clear" w:color="auto" w:fill="auto"/>
          <w:vAlign w:val="center"/>
        </w:tcPr>
        <w:p w14:paraId="54E943ED" w14:textId="77777777" w:rsidR="00675A20" w:rsidRDefault="008D3090">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Ecatepec de Morelos</w:t>
          </w:r>
        </w:p>
      </w:tc>
    </w:tr>
    <w:tr w:rsidR="00675A20" w14:paraId="7134D54C" w14:textId="77777777">
      <w:tc>
        <w:tcPr>
          <w:tcW w:w="2685" w:type="dxa"/>
          <w:shd w:val="clear" w:color="auto" w:fill="auto"/>
          <w:vAlign w:val="center"/>
        </w:tcPr>
        <w:p w14:paraId="083B8C37" w14:textId="77777777" w:rsidR="00675A20" w:rsidRDefault="008D3090">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605" w:type="dxa"/>
          <w:shd w:val="clear" w:color="auto" w:fill="auto"/>
          <w:vAlign w:val="center"/>
        </w:tcPr>
        <w:p w14:paraId="6F7EDEC3" w14:textId="77777777" w:rsidR="00675A20" w:rsidRDefault="008D3090">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12E7CB8F" w14:textId="77777777" w:rsidR="00675A20" w:rsidRDefault="008D3090">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D2663" w14:textId="77777777" w:rsidR="00675A20" w:rsidRDefault="008D3090">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0FC83DB5" wp14:editId="0FF40154">
          <wp:simplePos x="0" y="0"/>
          <wp:positionH relativeFrom="column">
            <wp:posOffset>-1079484</wp:posOffset>
          </wp:positionH>
          <wp:positionV relativeFrom="paragraph">
            <wp:posOffset>-328912</wp:posOffset>
          </wp:positionV>
          <wp:extent cx="7809865" cy="10165715"/>
          <wp:effectExtent l="0" t="0" r="0" b="0"/>
          <wp:wrapNone/>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8"/>
      <w:tblW w:w="6945" w:type="dxa"/>
      <w:tblInd w:w="3261" w:type="dxa"/>
      <w:tblLayout w:type="fixed"/>
      <w:tblLook w:val="0400" w:firstRow="0" w:lastRow="0" w:firstColumn="0" w:lastColumn="0" w:noHBand="0" w:noVBand="1"/>
    </w:tblPr>
    <w:tblGrid>
      <w:gridCol w:w="2551"/>
      <w:gridCol w:w="4394"/>
    </w:tblGrid>
    <w:tr w:rsidR="00675A20" w14:paraId="5E865955" w14:textId="77777777">
      <w:tc>
        <w:tcPr>
          <w:tcW w:w="2551" w:type="dxa"/>
          <w:shd w:val="clear" w:color="auto" w:fill="auto"/>
          <w:vAlign w:val="center"/>
        </w:tcPr>
        <w:p w14:paraId="50667B41" w14:textId="77777777" w:rsidR="00675A20" w:rsidRDefault="008D3090">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394" w:type="dxa"/>
          <w:shd w:val="clear" w:color="auto" w:fill="auto"/>
          <w:vAlign w:val="center"/>
        </w:tcPr>
        <w:p w14:paraId="06935DE9" w14:textId="77777777" w:rsidR="00675A20" w:rsidRDefault="008D3090">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08559/INFOEM/IP/RR/2025</w:t>
          </w:r>
        </w:p>
      </w:tc>
    </w:tr>
    <w:tr w:rsidR="00675A20" w14:paraId="4310D1E6" w14:textId="77777777">
      <w:trPr>
        <w:trHeight w:val="130"/>
      </w:trPr>
      <w:tc>
        <w:tcPr>
          <w:tcW w:w="2551" w:type="dxa"/>
          <w:shd w:val="clear" w:color="auto" w:fill="auto"/>
          <w:vAlign w:val="center"/>
        </w:tcPr>
        <w:p w14:paraId="631DF9BA" w14:textId="77777777" w:rsidR="00675A20" w:rsidRDefault="008D3090">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4394" w:type="dxa"/>
          <w:shd w:val="clear" w:color="auto" w:fill="auto"/>
          <w:vAlign w:val="center"/>
        </w:tcPr>
        <w:p w14:paraId="10024B56" w14:textId="22D9C3DF" w:rsidR="00675A20" w:rsidRDefault="00EB7B9A" w:rsidP="00EB7B9A">
          <w:pPr>
            <w:ind w:left="-45" w:right="1444"/>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XXXXX XXX XXXXXXX XXXXXX XXXXXXX </w:t>
          </w:r>
        </w:p>
      </w:tc>
    </w:tr>
    <w:tr w:rsidR="00675A20" w14:paraId="6AED2E00" w14:textId="77777777">
      <w:trPr>
        <w:trHeight w:val="228"/>
      </w:trPr>
      <w:tc>
        <w:tcPr>
          <w:tcW w:w="2551" w:type="dxa"/>
          <w:shd w:val="clear" w:color="auto" w:fill="auto"/>
          <w:vAlign w:val="center"/>
        </w:tcPr>
        <w:p w14:paraId="77512C1C" w14:textId="77777777" w:rsidR="00675A20" w:rsidRDefault="008D3090">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394" w:type="dxa"/>
          <w:shd w:val="clear" w:color="auto" w:fill="auto"/>
          <w:vAlign w:val="center"/>
        </w:tcPr>
        <w:p w14:paraId="001619EC" w14:textId="77777777" w:rsidR="00675A20" w:rsidRDefault="008D3090">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Ecatepec de Morelos</w:t>
          </w:r>
        </w:p>
      </w:tc>
    </w:tr>
    <w:tr w:rsidR="00675A20" w14:paraId="123CA7F3" w14:textId="77777777">
      <w:tc>
        <w:tcPr>
          <w:tcW w:w="2551" w:type="dxa"/>
          <w:shd w:val="clear" w:color="auto" w:fill="auto"/>
          <w:vAlign w:val="center"/>
        </w:tcPr>
        <w:p w14:paraId="280AA9D8" w14:textId="77777777" w:rsidR="00675A20" w:rsidRDefault="008D3090">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394" w:type="dxa"/>
          <w:shd w:val="clear" w:color="auto" w:fill="auto"/>
          <w:vAlign w:val="center"/>
        </w:tcPr>
        <w:p w14:paraId="3C227DB0" w14:textId="77777777" w:rsidR="00675A20" w:rsidRDefault="008D3090">
          <w:pPr>
            <w:ind w:left="-45" w:right="-533"/>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3C03D50B" w14:textId="77777777" w:rsidR="00675A20" w:rsidRDefault="00675A20">
    <w:pPr>
      <w:pBdr>
        <w:top w:val="nil"/>
        <w:left w:val="nil"/>
        <w:bottom w:val="nil"/>
        <w:right w:val="nil"/>
        <w:between w:val="nil"/>
      </w:pBdr>
      <w:tabs>
        <w:tab w:val="center" w:pos="4252"/>
        <w:tab w:val="right" w:pos="8504"/>
      </w:tabs>
      <w:rPr>
        <w:rFonts w:ascii="Cambria" w:eastAsia="Cambria" w:hAnsi="Cambria" w:cs="Cambria"/>
        <w:color w:val="000000"/>
      </w:rPr>
    </w:pPr>
  </w:p>
  <w:p w14:paraId="7A10D093" w14:textId="77777777" w:rsidR="00675A20" w:rsidRDefault="00675A2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5747E"/>
    <w:multiLevelType w:val="multilevel"/>
    <w:tmpl w:val="B366FD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B262D57"/>
    <w:multiLevelType w:val="multilevel"/>
    <w:tmpl w:val="49C8F6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991496D"/>
    <w:multiLevelType w:val="multilevel"/>
    <w:tmpl w:val="2E2E0B32"/>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219276C"/>
    <w:multiLevelType w:val="multilevel"/>
    <w:tmpl w:val="357C3AE0"/>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643A3FF2"/>
    <w:multiLevelType w:val="multilevel"/>
    <w:tmpl w:val="B2AAD6B8"/>
    <w:lvl w:ilvl="0">
      <w:start w:val="2"/>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A20"/>
    <w:rsid w:val="005123D1"/>
    <w:rsid w:val="00675A20"/>
    <w:rsid w:val="006E2DBF"/>
    <w:rsid w:val="008D3090"/>
    <w:rsid w:val="00CE182D"/>
    <w:rsid w:val="00EB7B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40217"/>
  <w15:docId w15:val="{67C2B3D0-74A0-4799-B8C0-35C00AF2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0"/>
    <w:tblPr>
      <w:tblStyleRowBandSize w:val="1"/>
      <w:tblStyleColBandSize w:val="1"/>
      <w:tblCellMar>
        <w:left w:w="115" w:type="dxa"/>
        <w:right w:w="115" w:type="dxa"/>
      </w:tblCellMar>
    </w:tblPr>
  </w:style>
  <w:style w:type="table" w:customStyle="1" w:styleId="7">
    <w:name w:val="7"/>
    <w:basedOn w:val="TableNormal40"/>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5"/>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Gb/E3/lYuqJF813gVLhXK19sMw==">CgMxLjAyCWguMWZvYjl0ZTIJaC40ZDM0b2c4MghoLmdqZGd4czIJaC4zZHk2dmttMgloLjMwajB6bGwyCWguMnM4ZXlvMTIIaC50eWpjd3QyCWguMXk4MTB0dzIOaC51MHBlcXlsYnpxZmEyCWguMTdkcDh2dTIOaC5rZWxnczI0MjhvYTYyCWguMXQzaDVzZjgAciExcTFjS2lFdGUwT3lJQ1ZaaDNGWUlmbXRxVDVFQk4ySHc=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8219</Words>
  <Characters>45208</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Maricela Villagómez Martínez</cp:lastModifiedBy>
  <cp:revision>2</cp:revision>
  <cp:lastPrinted>2026-02-27T18:08:00Z</cp:lastPrinted>
  <dcterms:created xsi:type="dcterms:W3CDTF">2026-04-06T22:40:00Z</dcterms:created>
  <dcterms:modified xsi:type="dcterms:W3CDTF">2026-04-06T22:40:00Z</dcterms:modified>
</cp:coreProperties>
</file>