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169" w:rsidRDefault="006926CF">
      <w:pPr>
        <w:spacing w:before="240" w:after="240" w:line="360" w:lineRule="auto"/>
        <w:ind w:right="-1017"/>
        <w:jc w:val="both"/>
        <w:rPr>
          <w:rFonts w:ascii="Palatino Linotype" w:eastAsia="Palatino Linotype" w:hAnsi="Palatino Linotype" w:cs="Palatino Linotype"/>
          <w:b/>
          <w:bCs/>
          <w:sz w:val="24"/>
          <w:szCs w:val="24"/>
        </w:rPr>
      </w:pPr>
      <w:bookmarkStart w:id="0" w:name="_heading=h.tnlzlshd195d" w:colFirst="0" w:colLast="0"/>
      <w:bookmarkEnd w:id="0"/>
      <w:r>
        <w:rPr>
          <w:rFonts w:ascii="Palatino Linotype" w:eastAsia="Palatino Linotype" w:hAnsi="Palatino Linotype" w:cs="Palatino Linotype"/>
          <w:sz w:val="24"/>
          <w:szCs w:val="24"/>
        </w:rPr>
        <w:t xml:space="preserve">Resolución del Pleno del Instituto de Transparencia, Acceso a  la Información Pública y Protección de Datos Personales del Estado de México y Municipios, con domicilio en Metepec, Estado de México; de </w:t>
      </w:r>
      <w:r w:rsidR="0057359E">
        <w:rPr>
          <w:rFonts w:ascii="Palatino Linotype" w:eastAsia="Palatino Linotype" w:hAnsi="Palatino Linotype" w:cs="Palatino Linotype"/>
          <w:b/>
          <w:bCs/>
          <w:sz w:val="24"/>
          <w:szCs w:val="24"/>
        </w:rPr>
        <w:t>fecha uno</w:t>
      </w:r>
      <w:r w:rsidR="00C06B81">
        <w:rPr>
          <w:rFonts w:ascii="Palatino Linotype" w:eastAsia="Palatino Linotype" w:hAnsi="Palatino Linotype" w:cs="Palatino Linotype"/>
          <w:b/>
          <w:bCs/>
          <w:sz w:val="24"/>
          <w:szCs w:val="24"/>
        </w:rPr>
        <w:t xml:space="preserve"> (01)</w:t>
      </w:r>
      <w:r w:rsidR="0057359E">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 xml:space="preserve">de julio de dos mil veintiséis.  </w:t>
      </w:r>
    </w:p>
    <w:p w:rsidR="004E2169" w:rsidRDefault="006926CF">
      <w:pPr>
        <w:pBdr>
          <w:top w:val="nil"/>
          <w:left w:val="nil"/>
          <w:bottom w:val="nil"/>
          <w:right w:val="nil"/>
          <w:between w:val="nil"/>
        </w:pBdr>
        <w:tabs>
          <w:tab w:val="center" w:pos="4419"/>
          <w:tab w:val="right" w:pos="8838"/>
        </w:tabs>
        <w:spacing w:line="360" w:lineRule="auto"/>
        <w:ind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VISTO el</w:t>
      </w:r>
      <w:r>
        <w:rPr>
          <w:rFonts w:ascii="Palatino Linotype" w:eastAsia="Palatino Linotype" w:hAnsi="Palatino Linotype" w:cs="Palatino Linotype"/>
          <w:color w:val="000000"/>
          <w:sz w:val="24"/>
          <w:szCs w:val="24"/>
        </w:rPr>
        <w:t xml:space="preserve"> expediente electrónico formado con motivo del recurso de revisión </w:t>
      </w:r>
      <w:r>
        <w:rPr>
          <w:rFonts w:ascii="Palatino Linotype" w:eastAsia="Palatino Linotype" w:hAnsi="Palatino Linotype" w:cs="Palatino Linotype"/>
          <w:b/>
          <w:bCs/>
          <w:color w:val="000000"/>
          <w:sz w:val="24"/>
          <w:szCs w:val="24"/>
        </w:rPr>
        <w:t xml:space="preserve">01708/INFOEM/IP/RR/2026, </w:t>
      </w:r>
      <w:r>
        <w:rPr>
          <w:rFonts w:ascii="Palatino Linotype" w:eastAsia="Palatino Linotype" w:hAnsi="Palatino Linotype" w:cs="Palatino Linotype"/>
          <w:color w:val="000000"/>
          <w:sz w:val="24"/>
          <w:szCs w:val="24"/>
        </w:rPr>
        <w:t xml:space="preserve">promovido por </w:t>
      </w:r>
      <w:r w:rsidR="007D4BC5">
        <w:rPr>
          <w:rFonts w:ascii="Palatino Linotype" w:eastAsia="Palatino Linotype" w:hAnsi="Palatino Linotype" w:cs="Palatino Linotype"/>
          <w:b/>
          <w:sz w:val="24"/>
          <w:szCs w:val="24"/>
        </w:rPr>
        <w:t>XXXX</w:t>
      </w:r>
      <w:r w:rsidR="0057359E">
        <w:rPr>
          <w:rFonts w:ascii="Palatino Linotype" w:eastAsia="Palatino Linotype" w:hAnsi="Palatino Linotype" w:cs="Palatino Linotype"/>
          <w:color w:val="000000"/>
          <w:sz w:val="24"/>
          <w:szCs w:val="24"/>
        </w:rPr>
        <w:t>, que en lo</w:t>
      </w:r>
      <w:r>
        <w:rPr>
          <w:rFonts w:ascii="Palatino Linotype" w:eastAsia="Palatino Linotype" w:hAnsi="Palatino Linotype" w:cs="Palatino Linotype"/>
          <w:color w:val="000000"/>
          <w:sz w:val="24"/>
          <w:szCs w:val="24"/>
        </w:rPr>
        <w:t xml:space="preserve"> subsecuente será denominado como </w:t>
      </w:r>
      <w:r>
        <w:rPr>
          <w:rFonts w:ascii="Palatino Linotype" w:eastAsia="Palatino Linotype" w:hAnsi="Palatino Linotype" w:cs="Palatino Linotype"/>
          <w:b/>
          <w:bCs/>
          <w:color w:val="000000"/>
          <w:sz w:val="24"/>
          <w:szCs w:val="24"/>
        </w:rPr>
        <w:t>RECURRENTE</w:t>
      </w:r>
      <w:r>
        <w:rPr>
          <w:rFonts w:ascii="Palatino Linotype" w:eastAsia="Palatino Linotype" w:hAnsi="Palatino Linotype" w:cs="Palatino Linotype"/>
          <w:color w:val="000000"/>
          <w:sz w:val="24"/>
          <w:szCs w:val="24"/>
        </w:rPr>
        <w:t xml:space="preserve">, en contra de la falta de respuesta del </w:t>
      </w:r>
      <w:r>
        <w:rPr>
          <w:rFonts w:ascii="Palatino Linotype" w:eastAsia="Palatino Linotype" w:hAnsi="Palatino Linotype" w:cs="Palatino Linotype"/>
          <w:b/>
          <w:bCs/>
          <w:color w:val="000000"/>
          <w:sz w:val="24"/>
          <w:szCs w:val="24"/>
        </w:rPr>
        <w:t>Ayuntamiento de Luvianos</w:t>
      </w:r>
      <w:r>
        <w:rPr>
          <w:rFonts w:ascii="Palatino Linotype" w:eastAsia="Palatino Linotype" w:hAnsi="Palatino Linotype" w:cs="Palatino Linotype"/>
          <w:color w:val="000000"/>
          <w:sz w:val="24"/>
          <w:szCs w:val="24"/>
        </w:rPr>
        <w:t>,</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color w:val="000000"/>
          <w:sz w:val="24"/>
          <w:szCs w:val="24"/>
        </w:rPr>
        <w:t>en lo sucesivo el</w:t>
      </w:r>
      <w:r>
        <w:rPr>
          <w:rFonts w:ascii="Palatino Linotype" w:eastAsia="Palatino Linotype" w:hAnsi="Palatino Linotype" w:cs="Palatino Linotype"/>
          <w:b/>
          <w:bCs/>
          <w:color w:val="000000"/>
          <w:sz w:val="24"/>
          <w:szCs w:val="24"/>
        </w:rPr>
        <w:t xml:space="preserve"> SUJETO OBLIGADO, </w:t>
      </w:r>
      <w:r>
        <w:rPr>
          <w:rFonts w:ascii="Palatino Linotype" w:eastAsia="Palatino Linotype" w:hAnsi="Palatino Linotype" w:cs="Palatino Linotype"/>
          <w:color w:val="000000"/>
          <w:sz w:val="24"/>
          <w:szCs w:val="24"/>
        </w:rPr>
        <w:t>se procede a dictar la presente resolución, con base en los siguientes:</w:t>
      </w:r>
    </w:p>
    <w:p w:rsidR="004E2169" w:rsidRDefault="006926CF">
      <w:pPr>
        <w:pStyle w:val="Ttulo1"/>
        <w:ind w:right="-1017"/>
        <w:jc w:val="center"/>
        <w:rPr>
          <w:rFonts w:ascii="Palatino Linotype" w:eastAsia="Palatino Linotype" w:hAnsi="Palatino Linotype" w:cs="Palatino Linotype"/>
          <w:b/>
          <w:bCs/>
          <w:color w:val="000000"/>
          <w:sz w:val="24"/>
          <w:szCs w:val="24"/>
        </w:rPr>
      </w:pPr>
      <w:bookmarkStart w:id="1" w:name="_heading=h.gjdgxs" w:colFirst="0" w:colLast="0"/>
      <w:bookmarkEnd w:id="1"/>
      <w:r>
        <w:rPr>
          <w:rFonts w:ascii="Palatino Linotype" w:eastAsia="Palatino Linotype" w:hAnsi="Palatino Linotype" w:cs="Palatino Linotype"/>
          <w:b/>
          <w:bCs/>
          <w:color w:val="000000"/>
          <w:sz w:val="24"/>
          <w:szCs w:val="24"/>
        </w:rPr>
        <w:t>A N T E C E D E N T E S</w:t>
      </w:r>
    </w:p>
    <w:p w:rsidR="004E2169" w:rsidRDefault="004E2169">
      <w:pPr>
        <w:ind w:right="-1017"/>
        <w:rPr>
          <w:rFonts w:ascii="Palatino Linotype" w:eastAsia="Palatino Linotype" w:hAnsi="Palatino Linotype" w:cs="Palatino Linotype"/>
          <w:sz w:val="24"/>
          <w:szCs w:val="24"/>
        </w:rPr>
      </w:pPr>
    </w:p>
    <w:p w:rsidR="004E2169" w:rsidRDefault="006926CF">
      <w:pPr>
        <w:numPr>
          <w:ilvl w:val="0"/>
          <w:numId w:val="2"/>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trece de enero de dos mil veintiséis,</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b/>
          <w:bCs/>
          <w:color w:val="000000"/>
          <w:sz w:val="24"/>
          <w:szCs w:val="24"/>
        </w:rPr>
        <w:t xml:space="preserve">EL RECURRENTE </w:t>
      </w:r>
      <w:r>
        <w:rPr>
          <w:rFonts w:ascii="Palatino Linotype" w:eastAsia="Palatino Linotype" w:hAnsi="Palatino Linotype" w:cs="Palatino Linotype"/>
          <w:color w:val="000000"/>
          <w:sz w:val="24"/>
          <w:szCs w:val="24"/>
        </w:rPr>
        <w:t>presentó</w:t>
      </w:r>
      <w:r>
        <w:rPr>
          <w:rFonts w:ascii="Palatino Linotype" w:eastAsia="Palatino Linotype" w:hAnsi="Palatino Linotype" w:cs="Palatino Linotype"/>
          <w:b/>
          <w:bCs/>
          <w:color w:val="000000"/>
          <w:sz w:val="24"/>
          <w:szCs w:val="24"/>
        </w:rPr>
        <w:t>,</w:t>
      </w:r>
      <w:r>
        <w:rPr>
          <w:rFonts w:ascii="Palatino Linotype" w:eastAsia="Palatino Linotype" w:hAnsi="Palatino Linotype" w:cs="Palatino Linotype"/>
          <w:color w:val="000000"/>
          <w:sz w:val="24"/>
          <w:szCs w:val="24"/>
        </w:rPr>
        <w:t xml:space="preserve"> ante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vía Sistema de Acceso a la Información Mexiquense (</w:t>
      </w:r>
      <w:r>
        <w:rPr>
          <w:rFonts w:ascii="Palatino Linotype" w:eastAsia="Palatino Linotype" w:hAnsi="Palatino Linotype" w:cs="Palatino Linotype"/>
          <w:b/>
          <w:bCs/>
          <w:color w:val="000000"/>
          <w:sz w:val="24"/>
          <w:szCs w:val="24"/>
        </w:rPr>
        <w:t>SAIMEX)</w:t>
      </w:r>
      <w:r>
        <w:rPr>
          <w:rFonts w:ascii="Palatino Linotype" w:eastAsia="Palatino Linotype" w:hAnsi="Palatino Linotype" w:cs="Palatino Linotype"/>
          <w:color w:val="000000"/>
          <w:sz w:val="24"/>
          <w:szCs w:val="24"/>
        </w:rPr>
        <w:t xml:space="preserve">, la solicitud de información pública registrada con el número </w:t>
      </w:r>
      <w:r>
        <w:rPr>
          <w:rFonts w:ascii="Palatino Linotype" w:eastAsia="Palatino Linotype" w:hAnsi="Palatino Linotype" w:cs="Palatino Linotype"/>
          <w:b/>
          <w:bCs/>
          <w:color w:val="000000"/>
          <w:sz w:val="24"/>
          <w:szCs w:val="24"/>
        </w:rPr>
        <w:t xml:space="preserve">00002/LUVIANOS/IP/2026, </w:t>
      </w:r>
      <w:r>
        <w:rPr>
          <w:rFonts w:ascii="Palatino Linotype" w:eastAsia="Palatino Linotype" w:hAnsi="Palatino Linotype" w:cs="Palatino Linotype"/>
          <w:sz w:val="24"/>
          <w:szCs w:val="24"/>
        </w:rPr>
        <w:t xml:space="preserve">en la que se </w:t>
      </w:r>
      <w:r>
        <w:rPr>
          <w:rFonts w:ascii="Palatino Linotype" w:eastAsia="Palatino Linotype" w:hAnsi="Palatino Linotype" w:cs="Palatino Linotype"/>
          <w:color w:val="000000"/>
          <w:sz w:val="24"/>
          <w:szCs w:val="24"/>
        </w:rPr>
        <w:t>solicitó lo siguiente:</w:t>
      </w:r>
      <w:bookmarkStart w:id="2" w:name="_GoBack"/>
      <w:bookmarkEnd w:id="2"/>
    </w:p>
    <w:p w:rsidR="004E2169" w:rsidRDefault="004E2169">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sz w:val="24"/>
          <w:szCs w:val="24"/>
        </w:rPr>
      </w:pPr>
    </w:p>
    <w:p w:rsidR="004E2169" w:rsidRDefault="006926CF">
      <w:pPr>
        <w:spacing w:line="276" w:lineRule="auto"/>
        <w:ind w:left="851"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“Buenas tardes, necesito recopilar algunos indicadores económicos del municipio de Luvianos, en este sentido, solicito amablemente a quien corresponda de acuerdo a la estructura orgánica del sujeto obligado, todas y cada una de las licencias de funcionamiento de las unidades económicas que funcionan en Luvianos, emitidas durante todo el año 2013 y todo el año 2014, por favor incluir todas las licencias de funcionamiento de las unidades económicas sin omitir aquellas que requieran evaluación de impacto estatal y/o dictamen de giro. Solicito tambien el envío de el Registro Municipal de Unidades Económicas correspondiente al año 2013 y 2014. La entrega de la información debe de ser unicamente por este medio. Por su atención, gracias.” (Sic)</w:t>
      </w:r>
    </w:p>
    <w:p w:rsidR="004E2169" w:rsidRDefault="004E2169">
      <w:pPr>
        <w:spacing w:line="276" w:lineRule="auto"/>
        <w:ind w:left="851" w:right="-1017"/>
        <w:jc w:val="both"/>
        <w:rPr>
          <w:rFonts w:ascii="Palatino Linotype" w:eastAsia="Palatino Linotype" w:hAnsi="Palatino Linotype" w:cs="Palatino Linotype"/>
          <w:i/>
          <w:iCs/>
          <w:sz w:val="24"/>
          <w:szCs w:val="24"/>
        </w:rPr>
      </w:pPr>
    </w:p>
    <w:p w:rsidR="00C06B81" w:rsidRDefault="00C06B81">
      <w:pPr>
        <w:spacing w:line="276" w:lineRule="auto"/>
        <w:ind w:left="851" w:right="-1017"/>
        <w:jc w:val="both"/>
        <w:rPr>
          <w:rFonts w:ascii="Palatino Linotype" w:eastAsia="Palatino Linotype" w:hAnsi="Palatino Linotype" w:cs="Palatino Linotype"/>
          <w:i/>
          <w:iCs/>
          <w:sz w:val="24"/>
          <w:szCs w:val="24"/>
        </w:rPr>
      </w:pPr>
    </w:p>
    <w:p w:rsidR="004E2169" w:rsidRDefault="006926CF">
      <w:pPr>
        <w:numPr>
          <w:ilvl w:val="0"/>
          <w:numId w:val="2"/>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sz w:val="24"/>
          <w:szCs w:val="24"/>
        </w:rPr>
        <w:lastRenderedPageBreak/>
        <w:t>Señaló como modalidad de entrega de la información a través de SAIMEX</w:t>
      </w:r>
      <w:r>
        <w:rPr>
          <w:rFonts w:ascii="Palatino Linotype" w:eastAsia="Palatino Linotype" w:hAnsi="Palatino Linotype" w:cs="Palatino Linotype"/>
          <w:b/>
          <w:bCs/>
          <w:color w:val="000000"/>
          <w:sz w:val="24"/>
          <w:szCs w:val="24"/>
        </w:rPr>
        <w:t>.</w:t>
      </w:r>
    </w:p>
    <w:p w:rsidR="004E2169" w:rsidRDefault="004E2169">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sz w:val="24"/>
          <w:szCs w:val="24"/>
        </w:rPr>
      </w:pPr>
    </w:p>
    <w:p w:rsidR="004E2169" w:rsidRDefault="006926CF">
      <w:pPr>
        <w:numPr>
          <w:ilvl w:val="0"/>
          <w:numId w:val="2"/>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sz w:val="24"/>
          <w:szCs w:val="24"/>
        </w:rPr>
        <w:t>El Sujeto Obligado no emitió respuesta a la solicitud.</w:t>
      </w:r>
    </w:p>
    <w:p w:rsidR="004E2169" w:rsidRDefault="004E2169">
      <w:pPr>
        <w:pBdr>
          <w:top w:val="nil"/>
          <w:left w:val="nil"/>
          <w:bottom w:val="nil"/>
          <w:right w:val="nil"/>
          <w:between w:val="nil"/>
        </w:pBdr>
        <w:ind w:left="720" w:right="-1017"/>
        <w:rPr>
          <w:rFonts w:ascii="Palatino Linotype" w:eastAsia="Palatino Linotype" w:hAnsi="Palatino Linotype" w:cs="Palatino Linotype"/>
          <w:color w:val="000000"/>
          <w:sz w:val="24"/>
          <w:szCs w:val="24"/>
        </w:rPr>
      </w:pPr>
    </w:p>
    <w:p w:rsidR="004E2169" w:rsidRDefault="006926CF">
      <w:pPr>
        <w:numPr>
          <w:ilvl w:val="0"/>
          <w:numId w:val="2"/>
        </w:numPr>
        <w:pBdr>
          <w:top w:val="nil"/>
          <w:left w:val="nil"/>
          <w:bottom w:val="nil"/>
          <w:right w:val="nil"/>
          <w:between w:val="nil"/>
        </w:pBdr>
        <w:spacing w:line="360" w:lineRule="auto"/>
        <w:ind w:left="0" w:right="-1017" w:firstLine="0"/>
        <w:jc w:val="both"/>
        <w:rPr>
          <w:color w:val="000000"/>
        </w:rPr>
      </w:pPr>
      <w:bookmarkStart w:id="3" w:name="_heading=h.30j0zll" w:colFirst="0" w:colLast="0"/>
      <w:bookmarkEnd w:id="3"/>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diez de febrero de dos mil veintiséis</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b/>
          <w:bCs/>
          <w:color w:val="000000"/>
          <w:sz w:val="24"/>
          <w:szCs w:val="24"/>
        </w:rPr>
        <w:t>EL RECURRENTE</w:t>
      </w:r>
      <w:r>
        <w:rPr>
          <w:rFonts w:ascii="Palatino Linotype" w:eastAsia="Palatino Linotype" w:hAnsi="Palatino Linotype" w:cs="Palatino Linotype"/>
          <w:color w:val="000000"/>
          <w:sz w:val="24"/>
          <w:szCs w:val="24"/>
        </w:rPr>
        <w:t xml:space="preserve"> interpuso el recurso de revisión, en contra de la falta de respuesta y, señaló como:</w:t>
      </w:r>
    </w:p>
    <w:p w:rsidR="004E2169" w:rsidRDefault="004E2169">
      <w:pPr>
        <w:pBdr>
          <w:top w:val="nil"/>
          <w:left w:val="nil"/>
          <w:bottom w:val="nil"/>
          <w:right w:val="nil"/>
          <w:between w:val="nil"/>
        </w:pBdr>
        <w:ind w:left="720" w:right="-1017"/>
        <w:rPr>
          <w:rFonts w:ascii="Palatino Linotype" w:eastAsia="Palatino Linotype" w:hAnsi="Palatino Linotype" w:cs="Palatino Linotype"/>
          <w:i/>
          <w:iCs/>
          <w:color w:val="000000"/>
          <w:sz w:val="24"/>
          <w:szCs w:val="24"/>
        </w:rPr>
      </w:pPr>
    </w:p>
    <w:p w:rsidR="004E2169" w:rsidRDefault="006926CF">
      <w:pPr>
        <w:numPr>
          <w:ilvl w:val="0"/>
          <w:numId w:val="5"/>
        </w:numPr>
        <w:pBdr>
          <w:top w:val="nil"/>
          <w:left w:val="nil"/>
          <w:bottom w:val="nil"/>
          <w:right w:val="nil"/>
          <w:between w:val="nil"/>
        </w:pBdr>
        <w:spacing w:line="360" w:lineRule="auto"/>
        <w:ind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 xml:space="preserve">Acto impugnado: </w:t>
      </w:r>
      <w:r>
        <w:rPr>
          <w:rFonts w:ascii="Palatino Linotype" w:eastAsia="Palatino Linotype" w:hAnsi="Palatino Linotype" w:cs="Palatino Linotype"/>
          <w:i/>
          <w:iCs/>
          <w:color w:val="000000"/>
          <w:sz w:val="24"/>
          <w:szCs w:val="24"/>
        </w:rPr>
        <w:t>“La omisión por parte del sujeto obligado a dar respuesta y proporcionar la información solicitada mediante la solicitud de información número 00002/LUVIANOS/IP/2026” (sic) y;</w:t>
      </w:r>
    </w:p>
    <w:p w:rsidR="004E2169" w:rsidRDefault="004E2169">
      <w:pPr>
        <w:pBdr>
          <w:top w:val="nil"/>
          <w:left w:val="nil"/>
          <w:bottom w:val="nil"/>
          <w:right w:val="nil"/>
          <w:between w:val="nil"/>
        </w:pBdr>
        <w:spacing w:line="360" w:lineRule="auto"/>
        <w:ind w:left="851" w:right="-1017"/>
        <w:jc w:val="both"/>
        <w:rPr>
          <w:rFonts w:ascii="Palatino Linotype" w:eastAsia="Palatino Linotype" w:hAnsi="Palatino Linotype" w:cs="Palatino Linotype"/>
          <w:i/>
          <w:iCs/>
          <w:color w:val="000000"/>
          <w:sz w:val="24"/>
          <w:szCs w:val="24"/>
        </w:rPr>
      </w:pPr>
    </w:p>
    <w:p w:rsidR="004E2169" w:rsidRDefault="006926CF">
      <w:pPr>
        <w:numPr>
          <w:ilvl w:val="0"/>
          <w:numId w:val="1"/>
        </w:numPr>
        <w:pBdr>
          <w:top w:val="nil"/>
          <w:left w:val="nil"/>
          <w:bottom w:val="nil"/>
          <w:right w:val="nil"/>
          <w:between w:val="nil"/>
        </w:pBdr>
        <w:spacing w:line="360" w:lineRule="auto"/>
        <w:ind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Razones o Motivos de Inconformidad: “</w:t>
      </w:r>
      <w:r>
        <w:rPr>
          <w:rFonts w:ascii="Palatino Linotype" w:eastAsia="Palatino Linotype" w:hAnsi="Palatino Linotype" w:cs="Palatino Linotype"/>
          <w:i/>
          <w:iCs/>
          <w:color w:val="000000"/>
          <w:sz w:val="24"/>
          <w:szCs w:val="24"/>
        </w:rPr>
        <w:t xml:space="preserve">El sujeto obligado no dio respuesta a la solicitud y en consecuencia tampoco hizo entrega de la información solicitada, toda la información solicitada es pública y efectivamente está en poder del sujeto obligado sin que medie impedimento alguno para su entrega, ya que en términos del artículo 31 fracciones XXIV Quáter, XXIV Quinques y XXIV Sexties y artículo 48 fracción XIII Quáter de la Ley Orgánica Municipal del Estado de México es atribución de los ayuntamientos el aprobar y emitir las licencias de funcionamiento de las unidades económicas que funcionan dentro de su demarcación territorial incluidas aquellas licencias que requieran una evaluación de impacto estatal y/o un dictamen de giro. Por otra parte el sujeto obligado en términos de las fracciones XIX y XX del artículo 96 Quáter de la la Ley Orgánica Municipal del Estado de México cuenta con la obligación de integrar, operar y actualizar el Registro Municipal de Unidades Económicas. Solicito atentamente se vincule al sujeto obligado para que haga entrega de la información solicitada apercibiéndolo de las sanciones </w:t>
      </w:r>
      <w:r>
        <w:rPr>
          <w:rFonts w:ascii="Palatino Linotype" w:eastAsia="Palatino Linotype" w:hAnsi="Palatino Linotype" w:cs="Palatino Linotype"/>
          <w:i/>
          <w:iCs/>
          <w:color w:val="000000"/>
          <w:sz w:val="24"/>
          <w:szCs w:val="24"/>
        </w:rPr>
        <w:lastRenderedPageBreak/>
        <w:t>que por su omisión incurre y de entregarla la información tal cual se le solicitó, de manera completa, sin cambiar la modalidad de entrega que es por vía del SAIMEX y de manera inmediata, pues de este momento ya se encuentra en incumplimiento. Haciendo de conocimiento del sujeto obligado la disposición por parte del solicitante de la información de desistir del Recurso de Revisión ante una eventual entrega de la información siempre que esta sea de manera completa y por la vía solicitada.” (sic)</w:t>
      </w:r>
    </w:p>
    <w:p w:rsidR="004E2169" w:rsidRDefault="004E2169">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sz w:val="24"/>
          <w:szCs w:val="24"/>
        </w:rPr>
      </w:pPr>
    </w:p>
    <w:p w:rsidR="004E2169" w:rsidRDefault="006926CF">
      <w:pPr>
        <w:numPr>
          <w:ilvl w:val="0"/>
          <w:numId w:val="2"/>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Se registró el recurso de revisión bajo el número de expediente al rubro indicado, asimismo con fundamento en lo dispuesto por el artículo 185 fracción I de la </w:t>
      </w:r>
      <w:r>
        <w:rPr>
          <w:rFonts w:ascii="Palatino Linotype" w:eastAsia="Palatino Linotype" w:hAnsi="Palatino Linotype" w:cs="Palatino Linotype"/>
          <w:b/>
          <w:bCs/>
          <w:color w:val="000000"/>
          <w:sz w:val="24"/>
          <w:szCs w:val="24"/>
        </w:rPr>
        <w:t xml:space="preserve">Ley de Transparencia y Acceso a la Información Pública del Estado de México y Municipios </w:t>
      </w:r>
      <w:r>
        <w:rPr>
          <w:rFonts w:ascii="Palatino Linotype" w:eastAsia="Palatino Linotype" w:hAnsi="Palatino Linotype" w:cs="Palatino Linotype"/>
          <w:color w:val="000000"/>
          <w:sz w:val="24"/>
          <w:szCs w:val="24"/>
        </w:rPr>
        <w:t xml:space="preserve">se </w:t>
      </w:r>
      <w:r>
        <w:rPr>
          <w:rFonts w:ascii="Palatino Linotype" w:eastAsia="Palatino Linotype" w:hAnsi="Palatino Linotype" w:cs="Palatino Linotype"/>
          <w:sz w:val="24"/>
          <w:szCs w:val="24"/>
        </w:rPr>
        <w:t>turna</w:t>
      </w:r>
      <w:r>
        <w:rPr>
          <w:rFonts w:ascii="Palatino Linotype" w:eastAsia="Palatino Linotype" w:hAnsi="Palatino Linotype" w:cs="Palatino Linotype"/>
          <w:color w:val="000000"/>
          <w:sz w:val="24"/>
          <w:szCs w:val="24"/>
        </w:rPr>
        <w:t xml:space="preserve"> a la </w:t>
      </w:r>
      <w:r>
        <w:rPr>
          <w:rFonts w:ascii="Palatino Linotype" w:eastAsia="Palatino Linotype" w:hAnsi="Palatino Linotype" w:cs="Palatino Linotype"/>
          <w:b/>
          <w:bCs/>
          <w:color w:val="000000"/>
          <w:sz w:val="24"/>
          <w:szCs w:val="24"/>
        </w:rPr>
        <w:t xml:space="preserve">Comisionada María del Rosario Mejía Ayala, </w:t>
      </w:r>
      <w:r w:rsidR="00C06B81">
        <w:rPr>
          <w:rFonts w:ascii="Palatino Linotype" w:eastAsia="Palatino Linotype" w:hAnsi="Palatino Linotype" w:cs="Palatino Linotype"/>
          <w:color w:val="000000"/>
          <w:sz w:val="24"/>
          <w:szCs w:val="24"/>
        </w:rPr>
        <w:t>para</w:t>
      </w:r>
      <w:r>
        <w:rPr>
          <w:rFonts w:ascii="Palatino Linotype" w:eastAsia="Palatino Linotype" w:hAnsi="Palatino Linotype" w:cs="Palatino Linotype"/>
          <w:color w:val="000000"/>
          <w:sz w:val="24"/>
          <w:szCs w:val="24"/>
        </w:rPr>
        <w:t xml:space="preserve"> su análisis.</w:t>
      </w:r>
    </w:p>
    <w:p w:rsidR="004E2169" w:rsidRDefault="004E2169">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sz w:val="24"/>
          <w:szCs w:val="24"/>
        </w:rPr>
      </w:pPr>
    </w:p>
    <w:p w:rsidR="004E2169" w:rsidRDefault="006926CF">
      <w:pPr>
        <w:numPr>
          <w:ilvl w:val="0"/>
          <w:numId w:val="2"/>
        </w:numPr>
        <w:pBdr>
          <w:top w:val="nil"/>
          <w:left w:val="nil"/>
          <w:bottom w:val="nil"/>
          <w:right w:val="nil"/>
          <w:between w:val="nil"/>
        </w:pBdr>
        <w:spacing w:after="240" w:line="360" w:lineRule="auto"/>
        <w:ind w:left="0" w:right="-1017" w:firstLine="0"/>
        <w:jc w:val="both"/>
        <w:rPr>
          <w:color w:val="000000"/>
        </w:rPr>
      </w:pPr>
      <w:r>
        <w:rPr>
          <w:rFonts w:ascii="Palatino Linotype" w:eastAsia="Palatino Linotype" w:hAnsi="Palatino Linotype" w:cs="Palatino Linotype"/>
          <w:color w:val="000000"/>
          <w:sz w:val="24"/>
          <w:szCs w:val="24"/>
        </w:rPr>
        <w:t>La Comisionada Ponente con fundamento en lo dispuesto por el artículo 185 fracción II de la ley de la materia, a través del acuerdo de admisión del</w:t>
      </w:r>
      <w:r>
        <w:rPr>
          <w:rFonts w:ascii="Palatino Linotype" w:eastAsia="Palatino Linotype" w:hAnsi="Palatino Linotype" w:cs="Palatino Linotype"/>
          <w:b/>
          <w:bCs/>
          <w:color w:val="000000"/>
          <w:sz w:val="24"/>
          <w:szCs w:val="24"/>
        </w:rPr>
        <w:t xml:space="preserve"> doce de febrero de dos mil veintiséis</w:t>
      </w:r>
      <w:r>
        <w:rPr>
          <w:rFonts w:ascii="Palatino Linotype" w:eastAsia="Palatino Linotype" w:hAnsi="Palatino Linotype" w:cs="Palatino Linotype"/>
          <w:color w:val="000000"/>
          <w:sz w:val="24"/>
          <w:szCs w:val="24"/>
        </w:rPr>
        <w:t xml:space="preserve">, puso a disposición de las partes el expediente electrónico vía </w:t>
      </w:r>
      <w:r>
        <w:rPr>
          <w:rFonts w:ascii="Palatino Linotype" w:eastAsia="Palatino Linotype" w:hAnsi="Palatino Linotype" w:cs="Palatino Linotype"/>
          <w:b/>
          <w:bCs/>
          <w:color w:val="000000"/>
          <w:sz w:val="24"/>
          <w:szCs w:val="24"/>
        </w:rPr>
        <w:t xml:space="preserve">SAIMEX </w:t>
      </w:r>
      <w:r>
        <w:rPr>
          <w:rFonts w:ascii="Palatino Linotype" w:eastAsia="Palatino Linotype" w:hAnsi="Palatino Linotype" w:cs="Palatino Linotype"/>
          <w:color w:val="000000"/>
          <w:sz w:val="24"/>
          <w:szCs w:val="24"/>
        </w:rPr>
        <w:t xml:space="preserve">a efecto de que en un plazo máximo de siete días </w:t>
      </w:r>
      <w:r>
        <w:rPr>
          <w:rFonts w:ascii="Palatino Linotype" w:eastAsia="Palatino Linotype" w:hAnsi="Palatino Linotype" w:cs="Palatino Linotype"/>
          <w:sz w:val="24"/>
          <w:szCs w:val="24"/>
        </w:rPr>
        <w:t>manifestara</w:t>
      </w:r>
      <w:r>
        <w:rPr>
          <w:rFonts w:ascii="Palatino Linotype" w:eastAsia="Palatino Linotype" w:hAnsi="Palatino Linotype" w:cs="Palatino Linotype"/>
          <w:color w:val="000000"/>
          <w:sz w:val="24"/>
          <w:szCs w:val="24"/>
        </w:rPr>
        <w:t xml:space="preserve"> lo que a derecho </w:t>
      </w:r>
      <w:r>
        <w:rPr>
          <w:rFonts w:ascii="Palatino Linotype" w:eastAsia="Palatino Linotype" w:hAnsi="Palatino Linotype" w:cs="Palatino Linotype"/>
          <w:sz w:val="24"/>
          <w:szCs w:val="24"/>
        </w:rPr>
        <w:t>conviniera</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sz w:val="24"/>
          <w:szCs w:val="24"/>
        </w:rPr>
        <w:t>ofreciera</w:t>
      </w:r>
      <w:r>
        <w:rPr>
          <w:rFonts w:ascii="Palatino Linotype" w:eastAsia="Palatino Linotype" w:hAnsi="Palatino Linotype" w:cs="Palatino Linotype"/>
          <w:color w:val="000000"/>
          <w:sz w:val="24"/>
          <w:szCs w:val="24"/>
        </w:rPr>
        <w:t xml:space="preserve"> pruebas y alegatos según corresponda al caso concreto, de esta forma para que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sz w:val="24"/>
          <w:szCs w:val="24"/>
        </w:rPr>
        <w:t>presentará</w:t>
      </w:r>
      <w:r>
        <w:rPr>
          <w:rFonts w:ascii="Palatino Linotype" w:eastAsia="Palatino Linotype" w:hAnsi="Palatino Linotype" w:cs="Palatino Linotype"/>
          <w:color w:val="000000"/>
          <w:sz w:val="24"/>
          <w:szCs w:val="24"/>
        </w:rPr>
        <w:t xml:space="preserve"> el informe justificado procedente.</w:t>
      </w:r>
    </w:p>
    <w:p w:rsidR="004E2169" w:rsidRDefault="006926CF">
      <w:pPr>
        <w:numPr>
          <w:ilvl w:val="0"/>
          <w:numId w:val="2"/>
        </w:numPr>
        <w:tabs>
          <w:tab w:val="left" w:pos="284"/>
        </w:tabs>
        <w:spacing w:before="240" w:line="360" w:lineRule="auto"/>
        <w:ind w:left="0" w:right="-1017" w:firstLine="0"/>
        <w:jc w:val="both"/>
        <w:rPr>
          <w:color w:val="000000"/>
        </w:rPr>
      </w:pPr>
      <w:r>
        <w:rPr>
          <w:rFonts w:ascii="Palatino Linotype" w:eastAsia="Palatino Linotype" w:hAnsi="Palatino Linotype" w:cs="Palatino Linotype"/>
          <w:sz w:val="24"/>
          <w:szCs w:val="24"/>
        </w:rPr>
        <w:t xml:space="preserve">De las constancias que integran el expediente electrónico, se advierte que el Recurrente no realizó manifestaciones; por su parte, el Sujeto Obligado entregó informe justificado el </w:t>
      </w:r>
      <w:r>
        <w:rPr>
          <w:rFonts w:ascii="Palatino Linotype" w:eastAsia="Palatino Linotype" w:hAnsi="Palatino Linotype" w:cs="Palatino Linotype"/>
          <w:b/>
          <w:bCs/>
          <w:sz w:val="24"/>
          <w:szCs w:val="24"/>
        </w:rPr>
        <w:t xml:space="preserve">veintitrés de febrero de dos mil veintiséis, mismo que fue puesto a la vista del Recurrente el ocho de junio del mismo año y que consta del archivo </w:t>
      </w:r>
      <w:hyperlink r:id="rId8">
        <w:r>
          <w:rPr>
            <w:rFonts w:ascii="Palatino Linotype" w:eastAsia="Palatino Linotype" w:hAnsi="Palatino Linotype" w:cs="Palatino Linotype"/>
            <w:b/>
            <w:bCs/>
            <w:color w:val="0563C1"/>
            <w:sz w:val="24"/>
            <w:szCs w:val="24"/>
            <w:u w:val="single"/>
          </w:rPr>
          <w:t>Oficio de Respuesta 00002-LUVIANOS-IP-2026.pdf</w:t>
        </w:r>
      </w:hyperlink>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sz w:val="24"/>
          <w:szCs w:val="24"/>
        </w:rPr>
        <w:t xml:space="preserve">en el que se advierte el oficio número </w:t>
      </w:r>
      <w:r>
        <w:rPr>
          <w:rFonts w:ascii="Palatino Linotype" w:eastAsia="Palatino Linotype" w:hAnsi="Palatino Linotype" w:cs="Palatino Linotype"/>
          <w:b/>
          <w:bCs/>
          <w:sz w:val="24"/>
          <w:szCs w:val="24"/>
        </w:rPr>
        <w:t>SA/09/2026</w:t>
      </w:r>
      <w:r>
        <w:rPr>
          <w:rFonts w:ascii="Palatino Linotype" w:eastAsia="Palatino Linotype" w:hAnsi="Palatino Linotype" w:cs="Palatino Linotype"/>
          <w:sz w:val="24"/>
          <w:szCs w:val="24"/>
        </w:rPr>
        <w:t xml:space="preserve"> de fecha veintitrés de febrero de dos </w:t>
      </w:r>
      <w:r>
        <w:rPr>
          <w:rFonts w:ascii="Palatino Linotype" w:eastAsia="Palatino Linotype" w:hAnsi="Palatino Linotype" w:cs="Palatino Linotype"/>
          <w:sz w:val="24"/>
          <w:szCs w:val="24"/>
        </w:rPr>
        <w:lastRenderedPageBreak/>
        <w:t xml:space="preserve">mil veintiséis, suscrito por el Secretario del Ayuntamiento quien señaló que derivado de una búsqueda exhaustiva no se cuenta con la información solicitada posiblemente por la antigüedad de los registros o la falta de la digitalización de los mismos.  </w:t>
      </w:r>
    </w:p>
    <w:p w:rsidR="004E2169" w:rsidRDefault="004E2169">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sz w:val="24"/>
          <w:szCs w:val="24"/>
        </w:rPr>
      </w:pPr>
    </w:p>
    <w:p w:rsidR="004E2169" w:rsidRDefault="006926CF">
      <w:pPr>
        <w:numPr>
          <w:ilvl w:val="0"/>
          <w:numId w:val="2"/>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veintinueve de mayo de dos mil veintiséis</w:t>
      </w:r>
      <w:r>
        <w:rPr>
          <w:rFonts w:ascii="Palatino Linotype" w:eastAsia="Palatino Linotype" w:hAnsi="Palatino Linotype" w:cs="Palatino Linotype"/>
          <w:color w:val="000000"/>
          <w:sz w:val="24"/>
          <w:szCs w:val="24"/>
        </w:rPr>
        <w:t xml:space="preserve">, se notificó el acuerdo mediante el cual se aprobó la ampliación de plazo para emitir resolución. </w:t>
      </w:r>
    </w:p>
    <w:p w:rsidR="004E2169" w:rsidRDefault="004E2169">
      <w:pPr>
        <w:pBdr>
          <w:top w:val="nil"/>
          <w:left w:val="nil"/>
          <w:bottom w:val="nil"/>
          <w:right w:val="nil"/>
          <w:between w:val="nil"/>
        </w:pBdr>
        <w:ind w:left="720" w:right="-1017"/>
        <w:rPr>
          <w:rFonts w:ascii="Palatino Linotype" w:eastAsia="Palatino Linotype" w:hAnsi="Palatino Linotype" w:cs="Palatino Linotype"/>
          <w:color w:val="000000"/>
          <w:sz w:val="24"/>
          <w:szCs w:val="24"/>
        </w:rPr>
      </w:pPr>
    </w:p>
    <w:p w:rsidR="004E2169" w:rsidRDefault="006926CF">
      <w:pPr>
        <w:numPr>
          <w:ilvl w:val="0"/>
          <w:numId w:val="2"/>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veinticinco de junio de dos mil veintiséis</w:t>
      </w:r>
      <w:r>
        <w:rPr>
          <w:rFonts w:ascii="Palatino Linotype" w:eastAsia="Palatino Linotype" w:hAnsi="Palatino Linotype" w:cs="Palatino Linotype"/>
          <w:color w:val="000000"/>
          <w:sz w:val="24"/>
          <w:szCs w:val="24"/>
        </w:rPr>
        <w:t>, la Comisionada Ponente notificó el acuerdo mediante el cual se decretó el cierre de instrucción. Por lo que turnó la presente resolución para su aprobación y</w:t>
      </w:r>
    </w:p>
    <w:p w:rsidR="004E2169" w:rsidRDefault="006926CF">
      <w:pPr>
        <w:pStyle w:val="Ttulo1"/>
        <w:ind w:right="-1017"/>
        <w:jc w:val="center"/>
        <w:rPr>
          <w:rFonts w:ascii="Palatino Linotype" w:eastAsia="Palatino Linotype" w:hAnsi="Palatino Linotype" w:cs="Palatino Linotype"/>
          <w:b/>
          <w:bCs/>
          <w:color w:val="000000"/>
          <w:sz w:val="24"/>
          <w:szCs w:val="24"/>
        </w:rPr>
      </w:pPr>
      <w:bookmarkStart w:id="4" w:name="_heading=h.1fob9te" w:colFirst="0" w:colLast="0"/>
      <w:bookmarkEnd w:id="4"/>
      <w:r>
        <w:rPr>
          <w:rFonts w:ascii="Palatino Linotype" w:eastAsia="Palatino Linotype" w:hAnsi="Palatino Linotype" w:cs="Palatino Linotype"/>
          <w:b/>
          <w:bCs/>
          <w:color w:val="000000"/>
          <w:sz w:val="24"/>
          <w:szCs w:val="24"/>
        </w:rPr>
        <w:t xml:space="preserve">C O N S I D E R A N D O </w:t>
      </w:r>
    </w:p>
    <w:p w:rsidR="004E2169" w:rsidRDefault="004E2169">
      <w:pPr>
        <w:ind w:right="-1017"/>
        <w:rPr>
          <w:sz w:val="24"/>
          <w:szCs w:val="24"/>
        </w:rPr>
      </w:pPr>
    </w:p>
    <w:p w:rsidR="004E2169" w:rsidRDefault="006926CF">
      <w:pPr>
        <w:pStyle w:val="Ttulo2"/>
        <w:ind w:right="-1017"/>
        <w:rPr>
          <w:rFonts w:ascii="Palatino Linotype" w:eastAsia="Palatino Linotype" w:hAnsi="Palatino Linotype" w:cs="Palatino Linotype"/>
          <w:b/>
          <w:bCs/>
          <w:color w:val="000000"/>
          <w:sz w:val="24"/>
          <w:szCs w:val="24"/>
        </w:rPr>
      </w:pPr>
      <w:bookmarkStart w:id="5" w:name="_heading=h.3znysh7" w:colFirst="0" w:colLast="0"/>
      <w:bookmarkEnd w:id="5"/>
      <w:r>
        <w:rPr>
          <w:rFonts w:ascii="Palatino Linotype" w:eastAsia="Palatino Linotype" w:hAnsi="Palatino Linotype" w:cs="Palatino Linotype"/>
          <w:b/>
          <w:bCs/>
          <w:color w:val="000000"/>
          <w:sz w:val="24"/>
          <w:szCs w:val="24"/>
        </w:rPr>
        <w:t>PRIMERO. De la competencia</w:t>
      </w:r>
    </w:p>
    <w:p w:rsidR="004E2169" w:rsidRDefault="006926CF">
      <w:pPr>
        <w:numPr>
          <w:ilvl w:val="0"/>
          <w:numId w:val="2"/>
        </w:numPr>
        <w:pBdr>
          <w:top w:val="nil"/>
          <w:left w:val="nil"/>
          <w:bottom w:val="nil"/>
          <w:right w:val="nil"/>
          <w:between w:val="nil"/>
        </w:pBdr>
        <w:spacing w:before="240" w:after="240"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4E2169" w:rsidRDefault="006926CF">
      <w:pPr>
        <w:pStyle w:val="Ttulo2"/>
        <w:ind w:right="-1017"/>
        <w:rPr>
          <w:rFonts w:ascii="Palatino Linotype" w:eastAsia="Palatino Linotype" w:hAnsi="Palatino Linotype" w:cs="Palatino Linotype"/>
          <w:b/>
          <w:bCs/>
          <w:color w:val="000000"/>
          <w:sz w:val="24"/>
          <w:szCs w:val="24"/>
        </w:rPr>
      </w:pPr>
      <w:bookmarkStart w:id="6" w:name="_heading=h.2et92p0" w:colFirst="0" w:colLast="0"/>
      <w:bookmarkEnd w:id="6"/>
      <w:r>
        <w:rPr>
          <w:rFonts w:ascii="Palatino Linotype" w:eastAsia="Palatino Linotype" w:hAnsi="Palatino Linotype" w:cs="Palatino Linotype"/>
          <w:b/>
          <w:bCs/>
          <w:color w:val="000000"/>
          <w:sz w:val="24"/>
          <w:szCs w:val="24"/>
        </w:rPr>
        <w:lastRenderedPageBreak/>
        <w:t>SEGUNDO. De la oportunidad y procedencia.</w:t>
      </w:r>
    </w:p>
    <w:p w:rsidR="00C06B81" w:rsidRPr="00C06B81" w:rsidRDefault="006926CF">
      <w:pPr>
        <w:numPr>
          <w:ilvl w:val="0"/>
          <w:numId w:val="2"/>
        </w:numPr>
        <w:tabs>
          <w:tab w:val="left" w:pos="284"/>
        </w:tabs>
        <w:spacing w:line="360" w:lineRule="auto"/>
        <w:ind w:left="0" w:right="-1017" w:firstLine="0"/>
        <w:jc w:val="both"/>
        <w:rPr>
          <w:color w:val="000000"/>
        </w:rPr>
      </w:pPr>
      <w:r>
        <w:rPr>
          <w:rFonts w:ascii="Palatino Linotype" w:eastAsia="Palatino Linotype" w:hAnsi="Palatino Linotype" w:cs="Palatino Linotype"/>
          <w:sz w:val="24"/>
          <w:szCs w:val="24"/>
        </w:rPr>
        <w:t xml:space="preserve">Es de precisar, que la Ley de Transparencia y Acceso a la Información Pública del Estado de México y Municipios, en el artículo 178 describe la procedencia del recurso de revisión, asimismo señala que el plazo del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xml:space="preserve"> para entregar la respuesta a una solicitud de información pública, es de quince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 </w:t>
      </w:r>
    </w:p>
    <w:p w:rsidR="004E2169" w:rsidRDefault="006926CF" w:rsidP="00C06B81">
      <w:pPr>
        <w:tabs>
          <w:tab w:val="left" w:pos="284"/>
        </w:tabs>
        <w:spacing w:line="360" w:lineRule="auto"/>
        <w:ind w:right="-1017"/>
        <w:jc w:val="both"/>
        <w:rPr>
          <w:color w:val="000000"/>
        </w:rPr>
      </w:pPr>
      <w:r>
        <w:rPr>
          <w:rFonts w:ascii="Palatino Linotype" w:eastAsia="Palatino Linotype" w:hAnsi="Palatino Linotype" w:cs="Palatino Linotype"/>
          <w:sz w:val="24"/>
          <w:szCs w:val="24"/>
        </w:rPr>
        <w:t xml:space="preserve"> </w:t>
      </w:r>
    </w:p>
    <w:p w:rsidR="004E2169" w:rsidRDefault="006926CF">
      <w:pPr>
        <w:numPr>
          <w:ilvl w:val="0"/>
          <w:numId w:val="2"/>
        </w:numPr>
        <w:tabs>
          <w:tab w:val="left" w:pos="284"/>
        </w:tabs>
        <w:spacing w:line="360" w:lineRule="auto"/>
        <w:ind w:left="0" w:right="-1017" w:firstLine="0"/>
        <w:jc w:val="both"/>
        <w:rPr>
          <w:color w:val="000000"/>
        </w:rPr>
      </w:pPr>
      <w:r>
        <w:rPr>
          <w:rFonts w:ascii="Palatino Linotype" w:eastAsia="Palatino Linotype" w:hAnsi="Palatino Linotype" w:cs="Palatino Linotype"/>
          <w:sz w:val="24"/>
          <w:szCs w:val="24"/>
        </w:rPr>
        <w:t xml:space="preserve">Por ende, se constituye la figura jurídica de la </w:t>
      </w:r>
      <w:r>
        <w:rPr>
          <w:rFonts w:ascii="Palatino Linotype" w:eastAsia="Palatino Linotype" w:hAnsi="Palatino Linotype" w:cs="Palatino Linotype"/>
          <w:i/>
          <w:iCs/>
          <w:sz w:val="24"/>
          <w:szCs w:val="24"/>
        </w:rPr>
        <w:t>negativa ficta</w:t>
      </w:r>
      <w:r>
        <w:rPr>
          <w:rFonts w:ascii="Palatino Linotype" w:eastAsia="Palatino Linotype" w:hAnsi="Palatino Linotype" w:cs="Palatino Linotype"/>
          <w:sz w:val="24"/>
          <w:szCs w:val="24"/>
        </w:rPr>
        <w:t xml:space="preserve">, cuya esencia es atribuir un efecto negativo al silencio de la autoridad administrativa frente a las instancias y solicitudes que hagan los particulares, lo cual encuentra sustento en lo que establece el artículo </w:t>
      </w:r>
      <w:r>
        <w:rPr>
          <w:rFonts w:ascii="Palatino Linotype" w:eastAsia="Palatino Linotype" w:hAnsi="Palatino Linotype" w:cs="Palatino Linotype"/>
          <w:b/>
          <w:bCs/>
          <w:sz w:val="24"/>
          <w:szCs w:val="24"/>
        </w:rPr>
        <w:t>178</w:t>
      </w:r>
      <w:r>
        <w:rPr>
          <w:rFonts w:ascii="Palatino Linotype" w:eastAsia="Palatino Linotype" w:hAnsi="Palatino Linotype" w:cs="Palatino Linotype"/>
          <w:sz w:val="24"/>
          <w:szCs w:val="24"/>
        </w:rPr>
        <w:t xml:space="preserve"> segundo párrafo de </w:t>
      </w:r>
      <w:r>
        <w:rPr>
          <w:rFonts w:ascii="Palatino Linotype" w:eastAsia="Palatino Linotype" w:hAnsi="Palatino Linotype" w:cs="Palatino Linotype"/>
          <w:b/>
          <w:bCs/>
          <w:sz w:val="24"/>
          <w:szCs w:val="24"/>
        </w:rPr>
        <w:t>Ley de Transparencia y Acceso a la Información Pública del Estado de México y Municipios</w:t>
      </w:r>
      <w:r>
        <w:rPr>
          <w:rFonts w:ascii="Palatino Linotype" w:eastAsia="Palatino Linotype" w:hAnsi="Palatino Linotype" w:cs="Palatino Linotype"/>
          <w:color w:val="000000"/>
          <w:sz w:val="24"/>
          <w:szCs w:val="24"/>
        </w:rPr>
        <w:t xml:space="preserve">, que dispone; ante la falta de respuesta del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dentro de los plazos establecidos en esta Ley, a una solicitud de acceso a la información pública, el recurso </w:t>
      </w:r>
      <w:r>
        <w:rPr>
          <w:rFonts w:ascii="Palatino Linotype" w:eastAsia="Palatino Linotype" w:hAnsi="Palatino Linotype" w:cs="Palatino Linotype"/>
          <w:b/>
          <w:bCs/>
          <w:color w:val="000000"/>
          <w:sz w:val="24"/>
          <w:szCs w:val="24"/>
        </w:rPr>
        <w:t xml:space="preserve">podrá ser interpuesto en cualquier momento. </w:t>
      </w:r>
    </w:p>
    <w:p w:rsidR="004E2169" w:rsidRDefault="004E2169">
      <w:pPr>
        <w:tabs>
          <w:tab w:val="left" w:pos="284"/>
        </w:tabs>
        <w:ind w:right="-1017"/>
        <w:rPr>
          <w:rFonts w:ascii="Palatino Linotype" w:eastAsia="Palatino Linotype" w:hAnsi="Palatino Linotype" w:cs="Palatino Linotype"/>
          <w:color w:val="000000"/>
          <w:sz w:val="24"/>
          <w:szCs w:val="24"/>
        </w:rPr>
      </w:pPr>
    </w:p>
    <w:p w:rsidR="004E2169" w:rsidRDefault="006926CF">
      <w:pPr>
        <w:numPr>
          <w:ilvl w:val="0"/>
          <w:numId w:val="2"/>
        </w:numPr>
        <w:tabs>
          <w:tab w:val="left" w:pos="284"/>
        </w:tabs>
        <w:spacing w:line="360" w:lineRule="auto"/>
        <w:ind w:left="0" w:right="-1017" w:firstLine="0"/>
        <w:jc w:val="both"/>
        <w:rPr>
          <w:color w:val="000000"/>
        </w:rPr>
      </w:pPr>
      <w:r>
        <w:rPr>
          <w:rFonts w:ascii="Palatino Linotype" w:eastAsia="Palatino Linotype" w:hAnsi="Palatino Linotype" w:cs="Palatino Linotype"/>
          <w:sz w:val="24"/>
          <w:szCs w:val="24"/>
        </w:rPr>
        <w:t xml:space="preserve">Por lo que, tratándose de la </w:t>
      </w:r>
      <w:r>
        <w:rPr>
          <w:rFonts w:ascii="Palatino Linotype" w:eastAsia="Palatino Linotype" w:hAnsi="Palatino Linotype" w:cs="Palatino Linotype"/>
          <w:i/>
          <w:iCs/>
          <w:sz w:val="24"/>
          <w:szCs w:val="24"/>
        </w:rPr>
        <w:t>negativa ficta</w:t>
      </w:r>
      <w:r>
        <w:rPr>
          <w:rFonts w:ascii="Palatino Linotype" w:eastAsia="Palatino Linotype" w:hAnsi="Palatino Linotype" w:cs="Palatino Linotype"/>
          <w:sz w:val="24"/>
          <w:szCs w:val="24"/>
        </w:rPr>
        <w:t xml:space="preserve"> no existe respuesta que se haga del conocimiento al particular, a partir de la cual pueda computarse el plazo legal establecido, por tal motivo es pertinente señalar que no existe plazo para la interposición del recurso de revisión, sirviendo de apoyo a lo anterior lo que dispone el Criterio de Interpretación en el orden administrativo número 001-15, emitido por el Pleno del Instituto de Transparencia y Acceso a la Información Pública del Estado de México y Municipios, en la Sexta Sesión Ordinaria, y publicada en el </w:t>
      </w:r>
      <w:r>
        <w:rPr>
          <w:rFonts w:ascii="Palatino Linotype" w:eastAsia="Palatino Linotype" w:hAnsi="Palatino Linotype" w:cs="Palatino Linotype"/>
          <w:sz w:val="24"/>
          <w:szCs w:val="24"/>
        </w:rPr>
        <w:lastRenderedPageBreak/>
        <w:t xml:space="preserve">Periódico Oficial “Gaceta del Gobierno” el veintitrés de abril de dos mil quince, relativo a la interposición del recurso de revisión en cualquier tiempo cuando exista </w:t>
      </w:r>
      <w:r>
        <w:rPr>
          <w:rFonts w:ascii="Palatino Linotype" w:eastAsia="Palatino Linotype" w:hAnsi="Palatino Linotype" w:cs="Palatino Linotype"/>
          <w:i/>
          <w:iCs/>
          <w:sz w:val="24"/>
          <w:szCs w:val="24"/>
        </w:rPr>
        <w:t>negativa ficta</w:t>
      </w:r>
      <w:r>
        <w:rPr>
          <w:rFonts w:ascii="Palatino Linotype" w:eastAsia="Palatino Linotype" w:hAnsi="Palatino Linotype" w:cs="Palatino Linotype"/>
          <w:sz w:val="24"/>
          <w:szCs w:val="24"/>
        </w:rPr>
        <w:t>, que señala:</w:t>
      </w:r>
    </w:p>
    <w:p w:rsidR="004E2169" w:rsidRDefault="006926CF">
      <w:pPr>
        <w:tabs>
          <w:tab w:val="left" w:pos="284"/>
          <w:tab w:val="left" w:pos="7655"/>
        </w:tabs>
        <w:spacing w:after="240" w:line="360" w:lineRule="auto"/>
        <w:ind w:left="567" w:right="-1017"/>
        <w:jc w:val="center"/>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Criterio 0001-15</w:t>
      </w:r>
    </w:p>
    <w:p w:rsidR="004E2169" w:rsidRDefault="006926CF">
      <w:pPr>
        <w:tabs>
          <w:tab w:val="left" w:pos="284"/>
          <w:tab w:val="left" w:pos="7655"/>
        </w:tabs>
        <w:spacing w:before="240" w:after="240" w:line="360" w:lineRule="auto"/>
        <w:ind w:left="567"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NEGATIVA FICTA. PLAZO PARA INTERPONER EL RECURSO DE REVISIÓN TRATÁNDOSE DE.</w:t>
      </w:r>
      <w:r>
        <w:rPr>
          <w:rFonts w:ascii="Palatino Linotype" w:eastAsia="Palatino Linotype" w:hAnsi="Palatino Linotype" w:cs="Palatino Linotype"/>
          <w:i/>
          <w:iCs/>
          <w:sz w:val="24"/>
          <w:szCs w:val="24"/>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rsidR="004E2169" w:rsidRDefault="006926CF">
      <w:pPr>
        <w:numPr>
          <w:ilvl w:val="0"/>
          <w:numId w:val="2"/>
        </w:numPr>
        <w:tabs>
          <w:tab w:val="left" w:pos="284"/>
        </w:tabs>
        <w:spacing w:before="240"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Lo anterior, se explica porque la </w:t>
      </w:r>
      <w:r>
        <w:rPr>
          <w:rFonts w:ascii="Palatino Linotype" w:eastAsia="Palatino Linotype" w:hAnsi="Palatino Linotype" w:cs="Palatino Linotype"/>
          <w:b/>
          <w:bCs/>
          <w:color w:val="000000"/>
          <w:sz w:val="24"/>
          <w:szCs w:val="24"/>
          <w:u w:val="single"/>
        </w:rPr>
        <w:t>posible ausencia</w:t>
      </w:r>
      <w:r>
        <w:rPr>
          <w:rFonts w:ascii="Palatino Linotype" w:eastAsia="Palatino Linotype" w:hAnsi="Palatino Linotype" w:cs="Palatino Linotype"/>
          <w:color w:val="000000"/>
          <w:sz w:val="24"/>
          <w:szCs w:val="24"/>
        </w:rPr>
        <w:t xml:space="preserve"> de una respuesta en la solicitud constituye un acto que vulnera el derecho de manera continua y actualizable cada día en tanto, no se emita la respuesta a la que esté impuesto 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w:t>
      </w:r>
    </w:p>
    <w:p w:rsidR="004E2169" w:rsidRDefault="004E2169">
      <w:pPr>
        <w:tabs>
          <w:tab w:val="left" w:pos="284"/>
        </w:tabs>
        <w:ind w:right="-1017"/>
        <w:rPr>
          <w:rFonts w:ascii="Palatino Linotype" w:eastAsia="Palatino Linotype" w:hAnsi="Palatino Linotype" w:cs="Palatino Linotype"/>
          <w:color w:val="000000"/>
          <w:sz w:val="24"/>
          <w:szCs w:val="24"/>
        </w:rPr>
      </w:pPr>
    </w:p>
    <w:p w:rsidR="004E2169" w:rsidRDefault="006926CF">
      <w:pPr>
        <w:numPr>
          <w:ilvl w:val="0"/>
          <w:numId w:val="2"/>
        </w:numPr>
        <w:tabs>
          <w:tab w:val="left" w:pos="284"/>
        </w:tabs>
        <w:spacing w:after="240" w:line="360" w:lineRule="auto"/>
        <w:ind w:left="0" w:right="-1017" w:firstLine="0"/>
        <w:jc w:val="both"/>
        <w:rPr>
          <w:rFonts w:ascii="Palatino Linotype" w:eastAsia="Palatino Linotype" w:hAnsi="Palatino Linotype" w:cs="Palatino Linotype"/>
          <w:b/>
          <w:bCs/>
        </w:rPr>
      </w:pPr>
      <w:r>
        <w:rPr>
          <w:rFonts w:ascii="Palatino Linotype" w:eastAsia="Palatino Linotype" w:hAnsi="Palatino Linotype" w:cs="Palatino Linotype"/>
          <w:sz w:val="24"/>
          <w:szCs w:val="24"/>
        </w:rPr>
        <w:t xml:space="preserve">Expuesto lo anterior, el escrito contiene las formalidades previstas por el artículo 180 último párrafo de la Ley de la materia actual, por lo que es procedente que este Instituto de </w:t>
      </w:r>
      <w:r>
        <w:rPr>
          <w:rFonts w:ascii="Palatino Linotype" w:eastAsia="Palatino Linotype" w:hAnsi="Palatino Linotype" w:cs="Palatino Linotype"/>
          <w:sz w:val="24"/>
          <w:szCs w:val="24"/>
        </w:rPr>
        <w:lastRenderedPageBreak/>
        <w:t>Transparencia, Acceso a la Información Pública y Protección de Datos Personales del Estado de México y Municipios, conozca y resuelva el presente recurso.</w:t>
      </w:r>
    </w:p>
    <w:p w:rsidR="004E2169" w:rsidRDefault="006926CF">
      <w:pPr>
        <w:pStyle w:val="Ttulo1"/>
        <w:ind w:right="-1017"/>
        <w:rPr>
          <w:rFonts w:ascii="Palatino Linotype" w:eastAsia="Palatino Linotype" w:hAnsi="Palatino Linotype" w:cs="Palatino Linotype"/>
          <w:b/>
          <w:bCs/>
          <w:color w:val="000000"/>
          <w:sz w:val="24"/>
          <w:szCs w:val="24"/>
        </w:rPr>
      </w:pPr>
      <w:bookmarkStart w:id="7" w:name="_heading=h.tyjcwt" w:colFirst="0" w:colLast="0"/>
      <w:bookmarkEnd w:id="7"/>
      <w:r>
        <w:rPr>
          <w:rFonts w:ascii="Palatino Linotype" w:eastAsia="Palatino Linotype" w:hAnsi="Palatino Linotype" w:cs="Palatino Linotype"/>
          <w:b/>
          <w:bCs/>
          <w:color w:val="000000"/>
          <w:sz w:val="24"/>
          <w:szCs w:val="24"/>
        </w:rPr>
        <w:t xml:space="preserve">TERCERO. Planteamiento de la Litis </w:t>
      </w:r>
    </w:p>
    <w:p w:rsidR="004E2169" w:rsidRDefault="006926CF">
      <w:pPr>
        <w:numPr>
          <w:ilvl w:val="0"/>
          <w:numId w:val="2"/>
        </w:numPr>
        <w:pBdr>
          <w:top w:val="nil"/>
          <w:left w:val="nil"/>
          <w:bottom w:val="nil"/>
          <w:right w:val="nil"/>
          <w:between w:val="nil"/>
        </w:pBdr>
        <w:spacing w:before="240"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El recurrente solicitó las licencias de funcionamiento de las unidades económicas que siguen en funcionamiento, emitidas en el año 2013 y 2014 y el registro municipal de unidades económicas correspondientes al año 2013 y 2014. </w:t>
      </w:r>
    </w:p>
    <w:p w:rsidR="004E2169" w:rsidRDefault="004E2169">
      <w:pPr>
        <w:pBdr>
          <w:top w:val="nil"/>
          <w:left w:val="nil"/>
          <w:bottom w:val="nil"/>
          <w:right w:val="nil"/>
          <w:between w:val="nil"/>
        </w:pBdr>
        <w:spacing w:line="360" w:lineRule="auto"/>
        <w:ind w:right="-1017"/>
        <w:jc w:val="both"/>
        <w:rPr>
          <w:rFonts w:ascii="Palatino Linotype" w:eastAsia="Palatino Linotype" w:hAnsi="Palatino Linotype" w:cs="Palatino Linotype"/>
          <w:i/>
          <w:iCs/>
          <w:color w:val="000000"/>
          <w:sz w:val="24"/>
          <w:szCs w:val="24"/>
        </w:rPr>
      </w:pPr>
    </w:p>
    <w:p w:rsidR="004E2169" w:rsidRDefault="006926CF">
      <w:pPr>
        <w:numPr>
          <w:ilvl w:val="0"/>
          <w:numId w:val="2"/>
        </w:numPr>
        <w:pBdr>
          <w:top w:val="nil"/>
          <w:left w:val="nil"/>
          <w:bottom w:val="nil"/>
          <w:right w:val="nil"/>
          <w:between w:val="nil"/>
        </w:pBdr>
        <w:spacing w:after="240" w:line="360" w:lineRule="auto"/>
        <w:ind w:left="0" w:right="-1017" w:firstLine="0"/>
        <w:jc w:val="both"/>
        <w:rPr>
          <w:color w:val="000000"/>
        </w:rPr>
      </w:pPr>
      <w:r>
        <w:rPr>
          <w:rFonts w:ascii="Palatino Linotype" w:eastAsia="Palatino Linotype" w:hAnsi="Palatino Linotype" w:cs="Palatino Linotype"/>
          <w:color w:val="000000"/>
          <w:sz w:val="24"/>
          <w:szCs w:val="24"/>
        </w:rPr>
        <w:t>El Sujeto Obligado no entregó respuesta a la solicitud, motivo de inconformidad el recurrente.</w:t>
      </w:r>
    </w:p>
    <w:p w:rsidR="004E2169" w:rsidRDefault="006926CF">
      <w:pPr>
        <w:numPr>
          <w:ilvl w:val="0"/>
          <w:numId w:val="2"/>
        </w:numPr>
        <w:tabs>
          <w:tab w:val="left" w:pos="284"/>
        </w:tabs>
        <w:spacing w:before="240" w:after="240" w:line="360" w:lineRule="auto"/>
        <w:ind w:left="0" w:right="-1017" w:firstLine="0"/>
        <w:jc w:val="both"/>
      </w:pPr>
      <w:r>
        <w:rPr>
          <w:rFonts w:ascii="Palatino Linotype" w:eastAsia="Palatino Linotype" w:hAnsi="Palatino Linotype" w:cs="Palatino Linotype"/>
          <w:sz w:val="24"/>
          <w:szCs w:val="24"/>
        </w:rPr>
        <w:t>Por lo tanto, el presente recurso de revisión se circunscribe en determinar si se actualiza las causales de procedencia</w:t>
      </w:r>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sz w:val="24"/>
          <w:szCs w:val="24"/>
        </w:rPr>
        <w:t xml:space="preserve">contenidas en el artículo 179 fracciones I y VII de la </w:t>
      </w:r>
      <w:r>
        <w:rPr>
          <w:rFonts w:ascii="Palatino Linotype" w:eastAsia="Palatino Linotype" w:hAnsi="Palatino Linotype" w:cs="Palatino Linotype"/>
          <w:b/>
          <w:bCs/>
          <w:sz w:val="24"/>
          <w:szCs w:val="24"/>
        </w:rPr>
        <w:t>Ley de Transparencia y Acceso a la Información Pública del Estado de México y Municipios</w:t>
      </w:r>
      <w:r>
        <w:rPr>
          <w:rFonts w:ascii="Palatino Linotype" w:eastAsia="Palatino Linotype" w:hAnsi="Palatino Linotype" w:cs="Palatino Linotype"/>
          <w:sz w:val="24"/>
          <w:szCs w:val="24"/>
        </w:rPr>
        <w:t xml:space="preserve">, que refieren la negativa de la información solicitada y la falta de respuesta a una solicitud de acceso a la información. </w:t>
      </w:r>
    </w:p>
    <w:p w:rsidR="004E2169" w:rsidRDefault="006926CF">
      <w:pPr>
        <w:pStyle w:val="Ttulo1"/>
        <w:spacing w:before="0" w:line="360" w:lineRule="auto"/>
        <w:ind w:right="-1017"/>
        <w:rPr>
          <w:rFonts w:ascii="Palatino Linotype" w:eastAsia="Palatino Linotype" w:hAnsi="Palatino Linotype" w:cs="Palatino Linotype"/>
          <w:b/>
          <w:bCs/>
          <w:color w:val="000000"/>
          <w:sz w:val="24"/>
          <w:szCs w:val="24"/>
        </w:rPr>
      </w:pPr>
      <w:bookmarkStart w:id="8" w:name="_heading=h.3dy6vkm" w:colFirst="0" w:colLast="0"/>
      <w:bookmarkEnd w:id="8"/>
      <w:r>
        <w:rPr>
          <w:rFonts w:ascii="Palatino Linotype" w:eastAsia="Palatino Linotype" w:hAnsi="Palatino Linotype" w:cs="Palatino Linotype"/>
          <w:b/>
          <w:bCs/>
          <w:color w:val="000000"/>
          <w:sz w:val="24"/>
          <w:szCs w:val="24"/>
        </w:rPr>
        <w:t>CUARTO. Estudio y resolución del asunto</w:t>
      </w:r>
    </w:p>
    <w:p w:rsidR="004E2169" w:rsidRDefault="006926CF">
      <w:pPr>
        <w:numPr>
          <w:ilvl w:val="0"/>
          <w:numId w:val="2"/>
        </w:numPr>
        <w:spacing w:line="360" w:lineRule="auto"/>
        <w:ind w:left="0" w:right="-1017" w:firstLine="0"/>
        <w:jc w:val="both"/>
      </w:pPr>
      <w:r>
        <w:rPr>
          <w:rFonts w:ascii="Palatino Linotype" w:eastAsia="Palatino Linotype" w:hAnsi="Palatino Linotype" w:cs="Palatino Linotype"/>
          <w:sz w:val="24"/>
          <w:szCs w:val="24"/>
        </w:rPr>
        <w:t>Se procede analizar el contenido íntegro de las actuaciones que obran en el expediente electrónico, y así este Órgano Garante dicte la resolución correspondiente, apegándose en todo momento al principio de máxima publicidad de acuerdo con lo establecido en el artículo 8 de la Ley de Transparencia y Acceso a la Información Pública del Estado de México y Municipios.</w:t>
      </w:r>
    </w:p>
    <w:p w:rsidR="004E2169" w:rsidRDefault="004E2169">
      <w:pPr>
        <w:pBdr>
          <w:top w:val="nil"/>
          <w:left w:val="nil"/>
          <w:bottom w:val="nil"/>
          <w:right w:val="nil"/>
          <w:between w:val="nil"/>
        </w:pBdr>
        <w:spacing w:line="360" w:lineRule="auto"/>
        <w:ind w:right="-1017"/>
        <w:jc w:val="both"/>
        <w:rPr>
          <w:rFonts w:ascii="Palatino Linotype" w:eastAsia="Palatino Linotype" w:hAnsi="Palatino Linotype" w:cs="Palatino Linotype"/>
          <w:b/>
          <w:bCs/>
          <w:color w:val="000000"/>
          <w:sz w:val="24"/>
          <w:szCs w:val="24"/>
        </w:rPr>
      </w:pPr>
    </w:p>
    <w:p w:rsidR="004E2169" w:rsidRDefault="006926CF">
      <w:pPr>
        <w:numPr>
          <w:ilvl w:val="0"/>
          <w:numId w:val="2"/>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Recordemos que el Recurrente solicitó las licencias de funcionamiento de las unidades económicas que siguen en funcionamiento, emitidas en el año 2013 y 2014 y el registro municipal </w:t>
      </w:r>
      <w:r>
        <w:rPr>
          <w:rFonts w:ascii="Palatino Linotype" w:eastAsia="Palatino Linotype" w:hAnsi="Palatino Linotype" w:cs="Palatino Linotype"/>
          <w:color w:val="000000"/>
          <w:sz w:val="24"/>
          <w:szCs w:val="24"/>
        </w:rPr>
        <w:lastRenderedPageBreak/>
        <w:t xml:space="preserve">de unidades económicas correspondientes al año 2013 y 2014. Cabe señalar que el Sujeto Obligado no emitió respuesta, posteriormente, a través de informe justificado, el Secretario del Ayuntamiento señaló que derivado de la búsqueda exhaustiva no se localizó la información solicitada en razón de la antigüedad de la información o la falta de digitalización. </w:t>
      </w:r>
    </w:p>
    <w:p w:rsidR="004E2169" w:rsidRDefault="004E2169">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sz w:val="24"/>
          <w:szCs w:val="24"/>
        </w:rPr>
      </w:pPr>
    </w:p>
    <w:p w:rsidR="004E2169" w:rsidRDefault="006926CF">
      <w:pPr>
        <w:numPr>
          <w:ilvl w:val="0"/>
          <w:numId w:val="2"/>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sz w:val="24"/>
          <w:szCs w:val="24"/>
        </w:rPr>
        <w:t xml:space="preserve">Ahora bien, primeramente debemos mencionar que el acceso a la información es un derecho humano constitucional y convencionalmente reconocido y para tal efecto el párrafo tercero del artículo primero de la Constitución Política de los Estados Unidos Mexicanos establece que el deber de todas las autoridades, </w:t>
      </w:r>
      <w:r>
        <w:rPr>
          <w:rFonts w:ascii="Palatino Linotype" w:eastAsia="Palatino Linotype" w:hAnsi="Palatino Linotype" w:cs="Palatino Linotype"/>
          <w:i/>
          <w:iCs/>
          <w:sz w:val="24"/>
          <w:szCs w:val="24"/>
        </w:rPr>
        <w:t xml:space="preserve">en el ámbito de sus atribuciones, de promover, respetar, proteger y </w:t>
      </w:r>
      <w:r>
        <w:rPr>
          <w:rFonts w:ascii="Palatino Linotype" w:eastAsia="Palatino Linotype" w:hAnsi="Palatino Linotype" w:cs="Palatino Linotype"/>
          <w:b/>
          <w:bCs/>
          <w:i/>
          <w:iCs/>
          <w:sz w:val="24"/>
          <w:szCs w:val="24"/>
        </w:rPr>
        <w:t>garantizar</w:t>
      </w:r>
      <w:r>
        <w:rPr>
          <w:rFonts w:ascii="Palatino Linotype" w:eastAsia="Palatino Linotype" w:hAnsi="Palatino Linotype" w:cs="Palatino Linotype"/>
          <w:i/>
          <w:iCs/>
          <w:sz w:val="24"/>
          <w:szCs w:val="24"/>
        </w:rPr>
        <w:t xml:space="preserve"> los derechos humanos. </w:t>
      </w:r>
      <w:r>
        <w:rPr>
          <w:rFonts w:ascii="Palatino Linotype" w:eastAsia="Palatino Linotype" w:hAnsi="Palatino Linotype" w:cs="Palatino Linotype"/>
          <w:b/>
          <w:bCs/>
          <w:i/>
          <w:iCs/>
          <w:sz w:val="24"/>
          <w:szCs w:val="24"/>
        </w:rPr>
        <w:t>En cuanto al derecho de acceso a la información, la Ley de Transparencia y Acceso a la Información Pública del Estado de México y Municipios prevé establece que e</w:t>
      </w:r>
      <w:r>
        <w:rPr>
          <w:rFonts w:ascii="Palatino Linotype" w:eastAsia="Palatino Linotype" w:hAnsi="Palatino Linotype" w:cs="Palatino Linotype"/>
          <w:i/>
          <w:iCs/>
          <w:sz w:val="24"/>
          <w:szCs w:val="24"/>
        </w:rPr>
        <w:t>l procedimiento de acceso a la información es la garantía primaria del derecho en cuestión y se rige por los principios de simplicidad, rapidez y gratuidad del procedimiento, auxilio y orientación a los particulares</w:t>
      </w:r>
      <w:r>
        <w:rPr>
          <w:i/>
          <w:iCs/>
          <w:sz w:val="24"/>
          <w:szCs w:val="24"/>
          <w:vertAlign w:val="superscript"/>
        </w:rPr>
        <w:footnoteReference w:id="1"/>
      </w:r>
      <w:r>
        <w:rPr>
          <w:rFonts w:ascii="Palatino Linotype" w:eastAsia="Palatino Linotype" w:hAnsi="Palatino Linotype" w:cs="Palatino Linotype"/>
          <w:i/>
          <w:iCs/>
          <w:sz w:val="24"/>
          <w:szCs w:val="24"/>
        </w:rPr>
        <w:t xml:space="preserve">, </w:t>
      </w:r>
      <w:r>
        <w:rPr>
          <w:rFonts w:ascii="Palatino Linotype" w:eastAsia="Palatino Linotype" w:hAnsi="Palatino Linotype" w:cs="Palatino Linotype"/>
          <w:sz w:val="24"/>
          <w:szCs w:val="24"/>
        </w:rPr>
        <w:t>asimismo establece</w:t>
      </w:r>
      <w:r>
        <w:rPr>
          <w:rFonts w:ascii="Palatino Linotype" w:eastAsia="Palatino Linotype" w:hAnsi="Palatino Linotype" w:cs="Palatino Linotype"/>
          <w:i/>
          <w:iCs/>
          <w:sz w:val="24"/>
          <w:szCs w:val="24"/>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4E2169" w:rsidRDefault="004E2169">
      <w:pPr>
        <w:pBdr>
          <w:top w:val="nil"/>
          <w:left w:val="nil"/>
          <w:bottom w:val="nil"/>
          <w:right w:val="nil"/>
          <w:between w:val="nil"/>
        </w:pBdr>
        <w:ind w:left="720" w:right="-1017"/>
        <w:rPr>
          <w:rFonts w:ascii="Palatino Linotype" w:eastAsia="Palatino Linotype" w:hAnsi="Palatino Linotype" w:cs="Palatino Linotype"/>
          <w:color w:val="000000"/>
          <w:sz w:val="24"/>
          <w:szCs w:val="24"/>
        </w:rPr>
      </w:pPr>
    </w:p>
    <w:p w:rsidR="004E2169" w:rsidRDefault="006926CF">
      <w:pPr>
        <w:numPr>
          <w:ilvl w:val="0"/>
          <w:numId w:val="2"/>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Por lo que, las actuaciones diligentes que lleven a cabo en un primer momento las Unidades de Transparencia y posteriormente  cada servidor público en su área es fundamental para la correcta tutela y el eficaz cumplimiento al derecho de acceso a la información, pues los primeros son el vínculo entre los particulares y los servidores públicos que generan, </w:t>
      </w:r>
      <w:r>
        <w:rPr>
          <w:rFonts w:ascii="Palatino Linotype" w:eastAsia="Palatino Linotype" w:hAnsi="Palatino Linotype" w:cs="Palatino Linotype"/>
          <w:sz w:val="24"/>
          <w:szCs w:val="24"/>
        </w:rPr>
        <w:t>administran</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color w:val="000000"/>
          <w:sz w:val="24"/>
          <w:szCs w:val="24"/>
        </w:rPr>
        <w:lastRenderedPageBreak/>
        <w:t>o poseen la información, mientras que los segundos tienen la responsabilidad de realizar una correcta gestión documental que permita localizar de manera rápida los documentos que se soliciten o bien, simplemente para el desarrollo de sus facultades, competencias y atribuciones que a diario desempeñan.</w:t>
      </w:r>
    </w:p>
    <w:p w:rsidR="004E2169" w:rsidRDefault="004E2169">
      <w:pPr>
        <w:pBdr>
          <w:top w:val="nil"/>
          <w:left w:val="nil"/>
          <w:bottom w:val="nil"/>
          <w:right w:val="nil"/>
          <w:between w:val="nil"/>
        </w:pBdr>
        <w:ind w:left="720" w:right="-1017"/>
        <w:rPr>
          <w:rFonts w:ascii="Palatino Linotype" w:eastAsia="Palatino Linotype" w:hAnsi="Palatino Linotype" w:cs="Palatino Linotype"/>
          <w:color w:val="000000"/>
          <w:sz w:val="24"/>
          <w:szCs w:val="24"/>
        </w:rPr>
      </w:pPr>
    </w:p>
    <w:p w:rsidR="004E2169" w:rsidRDefault="006926CF">
      <w:pPr>
        <w:numPr>
          <w:ilvl w:val="0"/>
          <w:numId w:val="2"/>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Es así que, su obligación es </w:t>
      </w:r>
      <w:r>
        <w:rPr>
          <w:rFonts w:ascii="Palatino Linotype" w:eastAsia="Palatino Linotype" w:hAnsi="Palatino Linotype" w:cs="Palatino Linotype"/>
          <w:i/>
          <w:iCs/>
          <w:color w:val="000000"/>
          <w:sz w:val="24"/>
          <w:szCs w:val="24"/>
        </w:rPr>
        <w:t>realizar, con efectividad, los trámites internos necesarios para la atención de las solicitudes de información</w:t>
      </w:r>
      <w:r>
        <w:rPr>
          <w:rFonts w:ascii="Century Gothic" w:eastAsia="Century Gothic" w:hAnsi="Century Gothic" w:cs="Century Gothic"/>
          <w:color w:val="000000"/>
          <w:sz w:val="24"/>
          <w:szCs w:val="24"/>
          <w:vertAlign w:val="superscript"/>
        </w:rPr>
        <w:footnoteReference w:id="2"/>
      </w:r>
      <w:r>
        <w:rPr>
          <w:rFonts w:ascii="Palatino Linotype" w:eastAsia="Palatino Linotype" w:hAnsi="Palatino Linotype" w:cs="Palatino Linotype"/>
          <w:color w:val="000000"/>
          <w:sz w:val="24"/>
          <w:szCs w:val="24"/>
        </w:rPr>
        <w:t>, es decir, deben otorgar respuestas concisas, contundentes y sobre todo que den la certeza de los actos que realizan.</w:t>
      </w:r>
    </w:p>
    <w:p w:rsidR="004E2169" w:rsidRDefault="004E2169">
      <w:pPr>
        <w:pBdr>
          <w:top w:val="nil"/>
          <w:left w:val="nil"/>
          <w:bottom w:val="nil"/>
          <w:right w:val="nil"/>
          <w:between w:val="nil"/>
        </w:pBdr>
        <w:ind w:right="-1017"/>
        <w:rPr>
          <w:rFonts w:ascii="Palatino Linotype" w:eastAsia="Palatino Linotype" w:hAnsi="Palatino Linotype" w:cs="Palatino Linotype"/>
          <w:color w:val="000000"/>
          <w:sz w:val="24"/>
          <w:szCs w:val="24"/>
        </w:rPr>
      </w:pPr>
    </w:p>
    <w:p w:rsidR="004E2169" w:rsidRDefault="006926CF">
      <w:pPr>
        <w:numPr>
          <w:ilvl w:val="0"/>
          <w:numId w:val="2"/>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sz w:val="24"/>
          <w:szCs w:val="24"/>
        </w:rPr>
        <w:t>Al respecto, es menester hacer referencia a lo establecido en los artículos 50, 53 fracciones II, IV y V, 58, 59 fracciones I y II, y 162 de la Ley de Transparencia y Acceso a la Información del Estado de México y Municipios, que a la letra estipulan lo siguiente:</w:t>
      </w:r>
    </w:p>
    <w:p w:rsidR="004E2169" w:rsidRDefault="006926CF">
      <w:pPr>
        <w:ind w:left="851"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 xml:space="preserve">Artículo 50. </w:t>
      </w:r>
      <w:r>
        <w:rPr>
          <w:rFonts w:ascii="Palatino Linotype" w:eastAsia="Palatino Linotype" w:hAnsi="Palatino Linotype" w:cs="Palatino Linotype"/>
          <w:i/>
          <w:iCs/>
          <w:sz w:val="24"/>
          <w:szCs w:val="24"/>
        </w:rPr>
        <w:t>Los sujetos obligados contarán con un área responsable para la atención de las solicitudes de información, a la que se le denominará Unidad de Transparencia.</w:t>
      </w:r>
    </w:p>
    <w:p w:rsidR="004E2169" w:rsidRDefault="004E2169">
      <w:pPr>
        <w:ind w:left="851" w:right="-1017"/>
        <w:jc w:val="both"/>
        <w:rPr>
          <w:rFonts w:ascii="Palatino Linotype" w:eastAsia="Palatino Linotype" w:hAnsi="Palatino Linotype" w:cs="Palatino Linotype"/>
          <w:i/>
          <w:iCs/>
          <w:sz w:val="24"/>
          <w:szCs w:val="24"/>
        </w:rPr>
      </w:pPr>
    </w:p>
    <w:p w:rsidR="004E2169" w:rsidRDefault="006926CF">
      <w:pPr>
        <w:ind w:left="851"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 xml:space="preserve">Artículo 53. </w:t>
      </w:r>
      <w:r>
        <w:rPr>
          <w:rFonts w:ascii="Palatino Linotype" w:eastAsia="Palatino Linotype" w:hAnsi="Palatino Linotype" w:cs="Palatino Linotype"/>
          <w:i/>
          <w:iCs/>
          <w:sz w:val="24"/>
          <w:szCs w:val="24"/>
        </w:rPr>
        <w:t>Las Unidades de Transparencia tendrán las siguientes funciones:</w:t>
      </w:r>
    </w:p>
    <w:p w:rsidR="004E2169" w:rsidRDefault="006926CF">
      <w:pPr>
        <w:ind w:left="851"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4E2169" w:rsidRDefault="006926CF">
      <w:pPr>
        <w:ind w:left="851"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II.</w:t>
      </w:r>
      <w:r>
        <w:rPr>
          <w:rFonts w:ascii="Palatino Linotype" w:eastAsia="Palatino Linotype" w:hAnsi="Palatino Linotype" w:cs="Palatino Linotype"/>
          <w:i/>
          <w:iCs/>
          <w:sz w:val="24"/>
          <w:szCs w:val="24"/>
        </w:rPr>
        <w:t xml:space="preserve"> Recibir, tramitar y dar respuesta a las solicitudes de acceso a la información;</w:t>
      </w:r>
    </w:p>
    <w:p w:rsidR="004E2169" w:rsidRDefault="006926CF">
      <w:pPr>
        <w:ind w:left="851"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4E2169" w:rsidRDefault="006926CF">
      <w:pPr>
        <w:ind w:left="851"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IV.</w:t>
      </w:r>
      <w:r>
        <w:rPr>
          <w:rFonts w:ascii="Palatino Linotype" w:eastAsia="Palatino Linotype" w:hAnsi="Palatino Linotype" w:cs="Palatino Linotype"/>
          <w:i/>
          <w:iCs/>
          <w:sz w:val="24"/>
          <w:szCs w:val="24"/>
        </w:rPr>
        <w:t xml:space="preserve"> Realizar, con efectividad, los trámites internos necesarios para la atención de las solicitudes de acceso a la información;</w:t>
      </w:r>
    </w:p>
    <w:p w:rsidR="004E2169" w:rsidRDefault="006926CF">
      <w:pPr>
        <w:ind w:left="851"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V.</w:t>
      </w:r>
      <w:r>
        <w:rPr>
          <w:rFonts w:ascii="Palatino Linotype" w:eastAsia="Palatino Linotype" w:hAnsi="Palatino Linotype" w:cs="Palatino Linotype"/>
          <w:i/>
          <w:iCs/>
          <w:sz w:val="24"/>
          <w:szCs w:val="24"/>
        </w:rPr>
        <w:t xml:space="preserve"> Entregar, en su caso, a los particulares la información solicitada;</w:t>
      </w:r>
    </w:p>
    <w:p w:rsidR="004E2169" w:rsidRDefault="006926CF">
      <w:pPr>
        <w:ind w:left="851"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4E2169" w:rsidRDefault="004E2169">
      <w:pPr>
        <w:ind w:left="851" w:right="-1017"/>
        <w:jc w:val="both"/>
        <w:rPr>
          <w:rFonts w:ascii="Palatino Linotype" w:eastAsia="Palatino Linotype" w:hAnsi="Palatino Linotype" w:cs="Palatino Linotype"/>
          <w:i/>
          <w:iCs/>
          <w:sz w:val="24"/>
          <w:szCs w:val="24"/>
        </w:rPr>
      </w:pPr>
    </w:p>
    <w:p w:rsidR="004E2169" w:rsidRDefault="006926CF">
      <w:pPr>
        <w:ind w:left="851"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 xml:space="preserve">Artículo 58. </w:t>
      </w:r>
      <w:r>
        <w:rPr>
          <w:rFonts w:ascii="Palatino Linotype" w:eastAsia="Palatino Linotype" w:hAnsi="Palatino Linotype" w:cs="Palatino Linotype"/>
          <w:i/>
          <w:iCs/>
          <w:sz w:val="24"/>
          <w:szCs w:val="24"/>
        </w:rPr>
        <w:t>Los servidores públicos habilitados serán designados por el titular del sujeto obligado a propuesta del responsable de la Unidad de Transparencia.</w:t>
      </w:r>
    </w:p>
    <w:p w:rsidR="004E2169" w:rsidRDefault="004E2169">
      <w:pPr>
        <w:ind w:left="851" w:right="-1017"/>
        <w:jc w:val="both"/>
        <w:rPr>
          <w:rFonts w:ascii="Palatino Linotype" w:eastAsia="Palatino Linotype" w:hAnsi="Palatino Linotype" w:cs="Palatino Linotype"/>
          <w:i/>
          <w:iCs/>
          <w:sz w:val="24"/>
          <w:szCs w:val="24"/>
        </w:rPr>
      </w:pPr>
    </w:p>
    <w:p w:rsidR="004E2169" w:rsidRDefault="006926CF">
      <w:pPr>
        <w:ind w:left="851"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 xml:space="preserve">Artículo 59. </w:t>
      </w:r>
      <w:r>
        <w:rPr>
          <w:rFonts w:ascii="Palatino Linotype" w:eastAsia="Palatino Linotype" w:hAnsi="Palatino Linotype" w:cs="Palatino Linotype"/>
          <w:i/>
          <w:iCs/>
          <w:sz w:val="24"/>
          <w:szCs w:val="24"/>
        </w:rPr>
        <w:t>Los servidores públicos habilitados tendrán las funciones siguientes:</w:t>
      </w:r>
    </w:p>
    <w:p w:rsidR="004E2169" w:rsidRDefault="004E2169">
      <w:pPr>
        <w:ind w:left="851" w:right="-1017"/>
        <w:jc w:val="both"/>
        <w:rPr>
          <w:rFonts w:ascii="Palatino Linotype" w:eastAsia="Palatino Linotype" w:hAnsi="Palatino Linotype" w:cs="Palatino Linotype"/>
          <w:i/>
          <w:iCs/>
          <w:sz w:val="24"/>
          <w:szCs w:val="24"/>
        </w:rPr>
      </w:pPr>
    </w:p>
    <w:p w:rsidR="004E2169" w:rsidRDefault="006926CF">
      <w:pPr>
        <w:ind w:left="851"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I.</w:t>
      </w:r>
      <w:r>
        <w:rPr>
          <w:rFonts w:ascii="Palatino Linotype" w:eastAsia="Palatino Linotype" w:hAnsi="Palatino Linotype" w:cs="Palatino Linotype"/>
          <w:i/>
          <w:iCs/>
          <w:sz w:val="24"/>
          <w:szCs w:val="24"/>
        </w:rPr>
        <w:t xml:space="preserve"> Localizar la información que le solicite la Unidad de Transparencia;</w:t>
      </w:r>
    </w:p>
    <w:p w:rsidR="004E2169" w:rsidRDefault="006926CF">
      <w:pPr>
        <w:ind w:left="851"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II.</w:t>
      </w:r>
      <w:r>
        <w:rPr>
          <w:rFonts w:ascii="Palatino Linotype" w:eastAsia="Palatino Linotype" w:hAnsi="Palatino Linotype" w:cs="Palatino Linotype"/>
          <w:i/>
          <w:iCs/>
          <w:sz w:val="24"/>
          <w:szCs w:val="24"/>
        </w:rPr>
        <w:t xml:space="preserve"> Proporcionar la información que obre en los archivos y que le sea solicitada por la Unidad de Transparencia;</w:t>
      </w:r>
    </w:p>
    <w:p w:rsidR="004E2169" w:rsidRDefault="006926CF">
      <w:pPr>
        <w:ind w:left="851"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4E2169" w:rsidRDefault="004E2169">
      <w:pPr>
        <w:ind w:left="851" w:right="-1017"/>
        <w:jc w:val="both"/>
        <w:rPr>
          <w:rFonts w:ascii="Palatino Linotype" w:eastAsia="Palatino Linotype" w:hAnsi="Palatino Linotype" w:cs="Palatino Linotype"/>
          <w:i/>
          <w:iCs/>
          <w:sz w:val="24"/>
          <w:szCs w:val="24"/>
        </w:rPr>
      </w:pPr>
    </w:p>
    <w:p w:rsidR="004E2169" w:rsidRDefault="006926CF">
      <w:pPr>
        <w:ind w:left="851"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 xml:space="preserve">Artículo 162. </w:t>
      </w:r>
      <w:r>
        <w:rPr>
          <w:rFonts w:ascii="Palatino Linotype" w:eastAsia="Palatino Linotype" w:hAnsi="Palatino Linotype" w:cs="Palatino Linotype"/>
          <w:i/>
          <w:iCs/>
          <w:sz w:val="24"/>
          <w:szCs w:val="24"/>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4E2169" w:rsidRDefault="004E2169">
      <w:pPr>
        <w:spacing w:line="360" w:lineRule="auto"/>
        <w:ind w:right="-1017"/>
        <w:jc w:val="both"/>
        <w:rPr>
          <w:rFonts w:ascii="Palatino Linotype" w:eastAsia="Palatino Linotype" w:hAnsi="Palatino Linotype" w:cs="Palatino Linotype"/>
          <w:sz w:val="24"/>
          <w:szCs w:val="24"/>
        </w:rPr>
      </w:pPr>
    </w:p>
    <w:p w:rsidR="004E2169" w:rsidRDefault="006926CF">
      <w:pPr>
        <w:numPr>
          <w:ilvl w:val="0"/>
          <w:numId w:val="2"/>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De los artículos citados se desprende que las Unidades de Transparencia de los sujetos obligados son las encargadas de tramitar internamente las solicitudes de información y tienen, entre otras funciones, las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 Por su parte, los servidores públicos habilitados </w:t>
      </w:r>
      <w:r>
        <w:rPr>
          <w:rFonts w:ascii="Palatino Linotype" w:eastAsia="Palatino Linotype" w:hAnsi="Palatino Linotype" w:cs="Palatino Linotype"/>
          <w:sz w:val="24"/>
          <w:szCs w:val="24"/>
        </w:rPr>
        <w:t>auxiliarán</w:t>
      </w:r>
      <w:r>
        <w:rPr>
          <w:rFonts w:ascii="Palatino Linotype" w:eastAsia="Palatino Linotype" w:hAnsi="Palatino Linotype" w:cs="Palatino Linotype"/>
          <w:color w:val="000000"/>
          <w:sz w:val="24"/>
          <w:szCs w:val="24"/>
        </w:rPr>
        <w:t xml:space="preserve"> a las Unidades de Transparencia localizando la información solicitada y proporcionando la misma que obre en sus archivos. Asimismo, es una obligación de las Unidades de Transparencia turnar a todas las áreas que se consideren competentes para que realicen una búsqueda exhaustiva y razonable de la información solicitada a fin de que ésta sea entregada a los solicitantes.</w:t>
      </w:r>
    </w:p>
    <w:p w:rsidR="004E2169" w:rsidRDefault="004E2169">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sz w:val="24"/>
          <w:szCs w:val="24"/>
        </w:rPr>
      </w:pPr>
    </w:p>
    <w:p w:rsidR="004E2169" w:rsidRDefault="006926CF">
      <w:pPr>
        <w:numPr>
          <w:ilvl w:val="0"/>
          <w:numId w:val="2"/>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sz w:val="24"/>
          <w:szCs w:val="24"/>
        </w:rPr>
        <w:t>Así, se debe entender que el trámite interno que se realice a las solicitudes de acceso a la información, es con el propósito de que se realice una búsqueda exhaustiva y razonable de la información entre sus archivos y, en su caso, se entregue la información de interés para el particular.</w:t>
      </w:r>
    </w:p>
    <w:p w:rsidR="004E2169" w:rsidRDefault="004E2169">
      <w:pPr>
        <w:pBdr>
          <w:top w:val="nil"/>
          <w:left w:val="nil"/>
          <w:bottom w:val="nil"/>
          <w:right w:val="nil"/>
          <w:between w:val="nil"/>
        </w:pBdr>
        <w:ind w:left="720" w:right="-1017"/>
        <w:rPr>
          <w:rFonts w:ascii="Palatino Linotype" w:eastAsia="Palatino Linotype" w:hAnsi="Palatino Linotype" w:cs="Palatino Linotype"/>
          <w:color w:val="000000"/>
          <w:sz w:val="24"/>
          <w:szCs w:val="24"/>
        </w:rPr>
      </w:pPr>
    </w:p>
    <w:p w:rsidR="004E2169" w:rsidRDefault="006926CF">
      <w:pPr>
        <w:numPr>
          <w:ilvl w:val="0"/>
          <w:numId w:val="2"/>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sz w:val="24"/>
          <w:szCs w:val="24"/>
        </w:rPr>
        <w:lastRenderedPageBreak/>
        <w:t xml:space="preserve">Ahora bien, recordemos que el Sujeto Obligado no entregó respuesta, sin embargo, a través de informe justificado se pronunció el Secretario del Ayuntamiento quien de acuerdo al Manual de Organización de la </w:t>
      </w:r>
      <w:r>
        <w:rPr>
          <w:rFonts w:ascii="Palatino Linotype" w:eastAsia="Palatino Linotype" w:hAnsi="Palatino Linotype" w:cs="Palatino Linotype"/>
          <w:sz w:val="24"/>
          <w:szCs w:val="24"/>
        </w:rPr>
        <w:t>Secretaría</w:t>
      </w:r>
      <w:r>
        <w:rPr>
          <w:rFonts w:ascii="Palatino Linotype" w:eastAsia="Palatino Linotype" w:hAnsi="Palatino Linotype" w:cs="Palatino Linotype"/>
          <w:color w:val="000000"/>
          <w:sz w:val="24"/>
          <w:szCs w:val="24"/>
        </w:rPr>
        <w:t xml:space="preserve"> del Ayuntamiento, tiene a su cargo el archivo general del Ayuntamiento, es decir, que es el área que de acuerdo a sus facultades puede tener en sus posesión la información solicitada debido a la temporalidad que se solicitó. </w:t>
      </w:r>
    </w:p>
    <w:p w:rsidR="004E2169" w:rsidRDefault="004E2169">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sz w:val="24"/>
          <w:szCs w:val="24"/>
        </w:rPr>
      </w:pPr>
    </w:p>
    <w:p w:rsidR="004E2169" w:rsidRDefault="006926CF">
      <w:pPr>
        <w:numPr>
          <w:ilvl w:val="0"/>
          <w:numId w:val="2"/>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En ese contexto, se concluye que se realizó una búsqueda exhaustiva en los archivos del Sujeto Obligado, ya que no se turnó al área que pudiera tener la información. </w:t>
      </w:r>
    </w:p>
    <w:p w:rsidR="004E2169" w:rsidRDefault="004E2169">
      <w:pPr>
        <w:pBdr>
          <w:top w:val="nil"/>
          <w:left w:val="nil"/>
          <w:bottom w:val="nil"/>
          <w:right w:val="nil"/>
          <w:between w:val="nil"/>
        </w:pBdr>
        <w:ind w:left="720" w:right="-1017"/>
        <w:rPr>
          <w:rFonts w:ascii="Palatino Linotype" w:eastAsia="Palatino Linotype" w:hAnsi="Palatino Linotype" w:cs="Palatino Linotype"/>
          <w:color w:val="000000"/>
          <w:sz w:val="24"/>
          <w:szCs w:val="24"/>
        </w:rPr>
      </w:pPr>
    </w:p>
    <w:p w:rsidR="004E2169" w:rsidRDefault="006926CF">
      <w:pPr>
        <w:numPr>
          <w:ilvl w:val="0"/>
          <w:numId w:val="2"/>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Ahora bien, conviene señalar </w:t>
      </w:r>
      <w:r>
        <w:rPr>
          <w:rFonts w:ascii="Palatino Linotype" w:eastAsia="Palatino Linotype" w:hAnsi="Palatino Linotype" w:cs="Palatino Linotype"/>
          <w:sz w:val="24"/>
          <w:szCs w:val="24"/>
        </w:rPr>
        <w:t>que atendiendo</w:t>
      </w:r>
      <w:r>
        <w:rPr>
          <w:rFonts w:ascii="Palatino Linotype" w:eastAsia="Palatino Linotype" w:hAnsi="Palatino Linotype" w:cs="Palatino Linotype"/>
          <w:color w:val="000000"/>
          <w:sz w:val="24"/>
          <w:szCs w:val="24"/>
        </w:rPr>
        <w:t xml:space="preserve"> a la temporalidad de la información solicitada, </w:t>
      </w:r>
      <w:r>
        <w:rPr>
          <w:rFonts w:ascii="Palatino Linotype" w:eastAsia="Palatino Linotype" w:hAnsi="Palatino Linotype" w:cs="Palatino Linotype"/>
          <w:sz w:val="24"/>
          <w:szCs w:val="24"/>
        </w:rPr>
        <w:t xml:space="preserve">es necesario delimitar los inventarios de archivos de trámite, concentración e histórico como partes del ciclo vital de los documentos, que pueden ser definido como las etapas por las que atraviesan los documentos de archivo desde su producción o recepción hasta su baja documental o transferencia a un archivo histórico. </w:t>
      </w:r>
    </w:p>
    <w:p w:rsidR="004E2169" w:rsidRDefault="004E2169">
      <w:pPr>
        <w:tabs>
          <w:tab w:val="left" w:pos="0"/>
        </w:tabs>
        <w:spacing w:line="360" w:lineRule="auto"/>
        <w:ind w:right="-1017"/>
        <w:jc w:val="both"/>
        <w:rPr>
          <w:rFonts w:ascii="Palatino Linotype" w:eastAsia="Palatino Linotype" w:hAnsi="Palatino Linotype" w:cs="Palatino Linotype"/>
          <w:sz w:val="24"/>
          <w:szCs w:val="24"/>
        </w:rPr>
      </w:pPr>
    </w:p>
    <w:p w:rsidR="004E2169" w:rsidRDefault="006926CF">
      <w:pPr>
        <w:numPr>
          <w:ilvl w:val="0"/>
          <w:numId w:val="2"/>
        </w:numPr>
        <w:pBdr>
          <w:top w:val="nil"/>
          <w:left w:val="nil"/>
          <w:bottom w:val="nil"/>
          <w:right w:val="nil"/>
          <w:between w:val="nil"/>
        </w:pBdr>
        <w:tabs>
          <w:tab w:val="left" w:pos="0"/>
        </w:tabs>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Es entonces que tenemos en primera etapa, el archivo de trámite, que está integrado por documentos de archivo de uso cotidiano y necesario para el ejercicio de las atribuciones y funciones de las áreas de los Sujetos Obligados, por lo que se identifica, que los Sujetos Obligados se encuentran constreñidos a contar un archivo de trámite en términos del artículo 30 de la Ley General de Archivos, una segunda etapa, que es cuando dejan de ser útiles para las actividades cotidianas de las áreas, es cuando se transfieren de manera primaria, a los archivos de concentración, el que está integrado por documentos transferidos desde las áreas o unidades productoras, cuyo uso y consulta es esporádica y que permanecen en él hasta su disposición documental, que de igual manera se considera como un deber jurídico de cada Sujeto Obligado </w:t>
      </w:r>
      <w:r>
        <w:rPr>
          <w:rFonts w:ascii="Palatino Linotype" w:eastAsia="Palatino Linotype" w:hAnsi="Palatino Linotype" w:cs="Palatino Linotype"/>
          <w:color w:val="000000"/>
          <w:sz w:val="24"/>
          <w:szCs w:val="24"/>
        </w:rPr>
        <w:lastRenderedPageBreak/>
        <w:t>en términos de lo contemplado por el artículo 31 de la Ley General de Archivos y aquí, nos encontramos en la tercera etapa del ciclo vital documental, que es cuando dejan de tener un valor de consulta y un órgano al interior del Sujeto Obligado, determinar o bien su baja documental o su conservación en el archivo histórico, definido como el archivo que se encuentra integrado por documentos de conservación permanente y de relevancia para la memoria nacional, regional o local de carácter público (artículo 4° fracción VIII de la Ley General de Archivos), archivo que de conformidad a lo contemplado en el respectivo artículo 32 de la Ley en cita, se considera como facultativo.</w:t>
      </w:r>
    </w:p>
    <w:p w:rsidR="004E2169" w:rsidRDefault="004E2169">
      <w:pPr>
        <w:tabs>
          <w:tab w:val="left" w:pos="0"/>
        </w:tabs>
        <w:spacing w:line="360" w:lineRule="auto"/>
        <w:ind w:right="-1017"/>
        <w:jc w:val="both"/>
        <w:rPr>
          <w:rFonts w:ascii="Palatino Linotype" w:eastAsia="Palatino Linotype" w:hAnsi="Palatino Linotype" w:cs="Palatino Linotype"/>
          <w:sz w:val="24"/>
          <w:szCs w:val="24"/>
        </w:rPr>
      </w:pPr>
    </w:p>
    <w:p w:rsidR="004E2169" w:rsidRDefault="006926CF">
      <w:pPr>
        <w:numPr>
          <w:ilvl w:val="0"/>
          <w:numId w:val="2"/>
        </w:numPr>
        <w:pBdr>
          <w:top w:val="nil"/>
          <w:left w:val="nil"/>
          <w:bottom w:val="nil"/>
          <w:right w:val="nil"/>
          <w:between w:val="nil"/>
        </w:pBdr>
        <w:tabs>
          <w:tab w:val="left" w:pos="0"/>
        </w:tabs>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Se hace la precisión de que los inventarios de baja documental, sirven para identificar los documentos que ya no cuentan con valor al interior del Sujeto Obligado, ya sea de consulta, para el desarrollo de actividades ni histórico. </w:t>
      </w:r>
    </w:p>
    <w:p w:rsidR="004E2169" w:rsidRDefault="004E2169">
      <w:pPr>
        <w:tabs>
          <w:tab w:val="left" w:pos="0"/>
        </w:tabs>
        <w:spacing w:line="360" w:lineRule="auto"/>
        <w:ind w:right="-1017"/>
        <w:jc w:val="both"/>
        <w:rPr>
          <w:rFonts w:ascii="Palatino Linotype" w:eastAsia="Palatino Linotype" w:hAnsi="Palatino Linotype" w:cs="Palatino Linotype"/>
          <w:sz w:val="24"/>
          <w:szCs w:val="24"/>
        </w:rPr>
      </w:pPr>
    </w:p>
    <w:p w:rsidR="004E2169" w:rsidRDefault="006926CF">
      <w:pPr>
        <w:numPr>
          <w:ilvl w:val="0"/>
          <w:numId w:val="2"/>
        </w:numPr>
        <w:pBdr>
          <w:top w:val="nil"/>
          <w:left w:val="nil"/>
          <w:bottom w:val="nil"/>
          <w:right w:val="nil"/>
          <w:between w:val="nil"/>
        </w:pBdr>
        <w:tabs>
          <w:tab w:val="left" w:pos="0"/>
        </w:tabs>
        <w:spacing w:line="360" w:lineRule="auto"/>
        <w:ind w:left="0" w:right="-1017" w:firstLine="0"/>
        <w:jc w:val="both"/>
        <w:rPr>
          <w:color w:val="000000"/>
        </w:rPr>
      </w:pPr>
      <w:r>
        <w:rPr>
          <w:rFonts w:ascii="Palatino Linotype" w:eastAsia="Palatino Linotype" w:hAnsi="Palatino Linotype" w:cs="Palatino Linotype"/>
          <w:color w:val="000000"/>
          <w:sz w:val="24"/>
          <w:szCs w:val="24"/>
        </w:rPr>
        <w:t>Ahora bien, para generar certeza del contenido de cada acervo documental, se debe contar con un inventario, el que es obligatorio en términos del artículo 13 de la Ley General multicitada que a la letra establece:</w:t>
      </w:r>
    </w:p>
    <w:p w:rsidR="004E2169" w:rsidRDefault="006926CF">
      <w:pPr>
        <w:pBdr>
          <w:top w:val="nil"/>
          <w:left w:val="nil"/>
          <w:bottom w:val="nil"/>
          <w:right w:val="nil"/>
          <w:between w:val="nil"/>
        </w:pBdr>
        <w:tabs>
          <w:tab w:val="left" w:pos="851"/>
        </w:tabs>
        <w:spacing w:line="360"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r>
        <w:rPr>
          <w:rFonts w:ascii="Palatino Linotype" w:eastAsia="Palatino Linotype" w:hAnsi="Palatino Linotype" w:cs="Palatino Linotype"/>
          <w:b/>
          <w:bCs/>
          <w:i/>
          <w:iCs/>
          <w:color w:val="000000"/>
          <w:sz w:val="24"/>
          <w:szCs w:val="24"/>
        </w:rPr>
        <w:t>Artículo 13.</w:t>
      </w:r>
      <w:r>
        <w:rPr>
          <w:rFonts w:ascii="Palatino Linotype" w:eastAsia="Palatino Linotype" w:hAnsi="Palatino Linotype" w:cs="Palatino Linotype"/>
          <w:i/>
          <w:iCs/>
          <w:color w:val="000000"/>
          <w:sz w:val="24"/>
          <w:szCs w:val="24"/>
        </w:rPr>
        <w:t xml:space="preserve"> Los sujetos obligados deberán contar con los instrumentos de control y de consulta archivísticos conforme a sus atribuciones y funciones, manteniéndolos actualizados y disponibles; y contarán al menos con los siguientes: </w:t>
      </w:r>
    </w:p>
    <w:p w:rsidR="004E2169" w:rsidRDefault="006926CF">
      <w:pPr>
        <w:pBdr>
          <w:top w:val="nil"/>
          <w:left w:val="nil"/>
          <w:bottom w:val="nil"/>
          <w:right w:val="nil"/>
          <w:between w:val="nil"/>
        </w:pBdr>
        <w:tabs>
          <w:tab w:val="left" w:pos="851"/>
        </w:tabs>
        <w:spacing w:line="360"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I.</w:t>
      </w:r>
      <w:r>
        <w:rPr>
          <w:rFonts w:ascii="Palatino Linotype" w:eastAsia="Palatino Linotype" w:hAnsi="Palatino Linotype" w:cs="Palatino Linotype"/>
          <w:i/>
          <w:iCs/>
          <w:color w:val="000000"/>
          <w:sz w:val="24"/>
          <w:szCs w:val="24"/>
        </w:rPr>
        <w:t xml:space="preserve"> Cuadro general de clasificación archivística; </w:t>
      </w:r>
    </w:p>
    <w:p w:rsidR="004E2169" w:rsidRDefault="006926CF">
      <w:pPr>
        <w:pBdr>
          <w:top w:val="nil"/>
          <w:left w:val="nil"/>
          <w:bottom w:val="nil"/>
          <w:right w:val="nil"/>
          <w:between w:val="nil"/>
        </w:pBdr>
        <w:tabs>
          <w:tab w:val="left" w:pos="851"/>
        </w:tabs>
        <w:spacing w:line="360"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II.</w:t>
      </w:r>
      <w:r>
        <w:rPr>
          <w:rFonts w:ascii="Palatino Linotype" w:eastAsia="Palatino Linotype" w:hAnsi="Palatino Linotype" w:cs="Palatino Linotype"/>
          <w:i/>
          <w:iCs/>
          <w:color w:val="000000"/>
          <w:sz w:val="24"/>
          <w:szCs w:val="24"/>
        </w:rPr>
        <w:t xml:space="preserve"> Catálogo de disposición documental, y </w:t>
      </w:r>
    </w:p>
    <w:p w:rsidR="004E2169" w:rsidRDefault="006926CF">
      <w:pPr>
        <w:pBdr>
          <w:top w:val="nil"/>
          <w:left w:val="nil"/>
          <w:bottom w:val="nil"/>
          <w:right w:val="nil"/>
          <w:between w:val="nil"/>
        </w:pBdr>
        <w:tabs>
          <w:tab w:val="left" w:pos="851"/>
        </w:tabs>
        <w:spacing w:line="360"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III.</w:t>
      </w:r>
      <w:r>
        <w:rPr>
          <w:rFonts w:ascii="Palatino Linotype" w:eastAsia="Palatino Linotype" w:hAnsi="Palatino Linotype" w:cs="Palatino Linotype"/>
          <w:i/>
          <w:iCs/>
          <w:color w:val="000000"/>
          <w:sz w:val="24"/>
          <w:szCs w:val="24"/>
        </w:rPr>
        <w:t xml:space="preserve"> </w:t>
      </w:r>
      <w:r>
        <w:rPr>
          <w:rFonts w:ascii="Palatino Linotype" w:eastAsia="Palatino Linotype" w:hAnsi="Palatino Linotype" w:cs="Palatino Linotype"/>
          <w:b/>
          <w:bCs/>
          <w:i/>
          <w:iCs/>
          <w:color w:val="000000"/>
          <w:sz w:val="24"/>
          <w:szCs w:val="24"/>
        </w:rPr>
        <w:t>Inventarios documentales</w:t>
      </w:r>
      <w:r>
        <w:rPr>
          <w:rFonts w:ascii="Palatino Linotype" w:eastAsia="Palatino Linotype" w:hAnsi="Palatino Linotype" w:cs="Palatino Linotype"/>
          <w:i/>
          <w:iCs/>
          <w:color w:val="000000"/>
          <w:sz w:val="24"/>
          <w:szCs w:val="24"/>
        </w:rPr>
        <w:t xml:space="preserve">. </w:t>
      </w:r>
    </w:p>
    <w:p w:rsidR="004E2169" w:rsidRDefault="004E2169">
      <w:pPr>
        <w:pBdr>
          <w:top w:val="nil"/>
          <w:left w:val="nil"/>
          <w:bottom w:val="nil"/>
          <w:right w:val="nil"/>
          <w:between w:val="nil"/>
        </w:pBdr>
        <w:tabs>
          <w:tab w:val="left" w:pos="851"/>
        </w:tabs>
        <w:spacing w:line="360" w:lineRule="auto"/>
        <w:ind w:left="851" w:right="-1017"/>
        <w:jc w:val="both"/>
        <w:rPr>
          <w:rFonts w:ascii="Palatino Linotype" w:eastAsia="Palatino Linotype" w:hAnsi="Palatino Linotype" w:cs="Palatino Linotype"/>
          <w:i/>
          <w:iCs/>
          <w:color w:val="000000"/>
          <w:sz w:val="24"/>
          <w:szCs w:val="24"/>
        </w:rPr>
      </w:pPr>
    </w:p>
    <w:p w:rsidR="004E2169" w:rsidRDefault="006926CF">
      <w:pPr>
        <w:pBdr>
          <w:top w:val="nil"/>
          <w:left w:val="nil"/>
          <w:bottom w:val="nil"/>
          <w:right w:val="nil"/>
          <w:between w:val="nil"/>
        </w:pBdr>
        <w:tabs>
          <w:tab w:val="left" w:pos="851"/>
        </w:tabs>
        <w:spacing w:line="360"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lastRenderedPageBreak/>
        <w:t>La estructura del cuadro general de clasificación archivística atenderá los niveles de fondo, sección y serie, sin que esto excluya la posibilidad de que existan niveles intermedios, los cuales, serán identificados mediante una clave alfanumérica.</w:t>
      </w:r>
    </w:p>
    <w:p w:rsidR="004E2169" w:rsidRDefault="004E2169">
      <w:pPr>
        <w:tabs>
          <w:tab w:val="left" w:pos="0"/>
        </w:tabs>
        <w:spacing w:line="360" w:lineRule="auto"/>
        <w:ind w:right="-1017"/>
        <w:jc w:val="both"/>
        <w:rPr>
          <w:rFonts w:ascii="Palatino Linotype" w:eastAsia="Palatino Linotype" w:hAnsi="Palatino Linotype" w:cs="Palatino Linotype"/>
          <w:i/>
          <w:iCs/>
          <w:color w:val="000000"/>
          <w:sz w:val="24"/>
          <w:szCs w:val="24"/>
        </w:rPr>
      </w:pPr>
    </w:p>
    <w:p w:rsidR="004E2169" w:rsidRDefault="006926CF">
      <w:pPr>
        <w:numPr>
          <w:ilvl w:val="0"/>
          <w:numId w:val="2"/>
        </w:numPr>
        <w:pBdr>
          <w:top w:val="nil"/>
          <w:left w:val="nil"/>
          <w:bottom w:val="nil"/>
          <w:right w:val="nil"/>
          <w:between w:val="nil"/>
        </w:pBdr>
        <w:tabs>
          <w:tab w:val="left" w:pos="0"/>
        </w:tabs>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Estos instrumentos de consulta son definidos como aquellos que describen las series documentales y expedientes de un archivo y que permiten su localización (inventario general), para las transferencias (inventario de transferencia) o para la baja documental (inventario de baja documental), es entonces, que se cuenta con inventarios generales dentro de los archivos de trámite, concentración e históricos, inventarios de transferencias (primaria y secundaria) así como los inventarios topográficos, estos últimos, identificables en los Lineamientos para la Administración de Documentos en el Estado de México, que en su artículo 4°, fracción XLVI, los define como el instrumento de control que relaciona el contenido de cada una de las cajas archivadoras con su ubicación dentro de la sala de depósito en que se encuentra, es decir, el archivo de concentración. </w:t>
      </w:r>
    </w:p>
    <w:p w:rsidR="004E2169" w:rsidRDefault="004E2169">
      <w:pPr>
        <w:pBdr>
          <w:top w:val="nil"/>
          <w:left w:val="nil"/>
          <w:bottom w:val="nil"/>
          <w:right w:val="nil"/>
          <w:between w:val="nil"/>
        </w:pBdr>
        <w:tabs>
          <w:tab w:val="left" w:pos="0"/>
        </w:tabs>
        <w:spacing w:line="360" w:lineRule="auto"/>
        <w:ind w:right="-1017"/>
        <w:jc w:val="both"/>
        <w:rPr>
          <w:rFonts w:ascii="Palatino Linotype" w:eastAsia="Palatino Linotype" w:hAnsi="Palatino Linotype" w:cs="Palatino Linotype"/>
          <w:color w:val="000000"/>
          <w:sz w:val="24"/>
          <w:szCs w:val="24"/>
        </w:rPr>
      </w:pPr>
    </w:p>
    <w:p w:rsidR="004E2169" w:rsidRDefault="006926CF">
      <w:pPr>
        <w:numPr>
          <w:ilvl w:val="0"/>
          <w:numId w:val="2"/>
        </w:numPr>
        <w:pBdr>
          <w:top w:val="nil"/>
          <w:left w:val="nil"/>
          <w:bottom w:val="nil"/>
          <w:right w:val="nil"/>
          <w:between w:val="nil"/>
        </w:pBdr>
        <w:tabs>
          <w:tab w:val="left" w:pos="0"/>
        </w:tabs>
        <w:spacing w:line="360" w:lineRule="auto"/>
        <w:ind w:left="0" w:right="-1017" w:firstLine="0"/>
        <w:jc w:val="both"/>
        <w:rPr>
          <w:color w:val="000000"/>
        </w:rPr>
      </w:pPr>
      <w:r>
        <w:rPr>
          <w:rFonts w:ascii="Palatino Linotype" w:eastAsia="Palatino Linotype" w:hAnsi="Palatino Linotype" w:cs="Palatino Linotype"/>
          <w:color w:val="000000"/>
          <w:sz w:val="24"/>
          <w:szCs w:val="24"/>
        </w:rPr>
        <w:t>Se debe resaltar, que por mandato de ley debería contar con archivo de trámite y de concentración, toda vez que dentro del ciclo vital de los documentos, se prevé que transiten de archivo de trámite, posteriormente, mediante la transferencia primaria a archivo de concentración y en transferencia secundaria al archivo histórico, resulta pertinente traer a colación los siguientes preceptos de la Ley General de Archivos para mayor referencia:</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r>
        <w:rPr>
          <w:rFonts w:ascii="Palatino Linotype" w:eastAsia="Palatino Linotype" w:hAnsi="Palatino Linotype" w:cs="Palatino Linotype"/>
          <w:b/>
          <w:bCs/>
          <w:i/>
          <w:iCs/>
          <w:color w:val="000000"/>
          <w:sz w:val="24"/>
          <w:szCs w:val="24"/>
        </w:rPr>
        <w:t>Artículo 30. Cada área o unidad administrativa debe contar con un archivo de trámite que tendrá las siguientes funciones:</w:t>
      </w:r>
      <w:r>
        <w:rPr>
          <w:rFonts w:ascii="Palatino Linotype" w:eastAsia="Palatino Linotype" w:hAnsi="Palatino Linotype" w:cs="Palatino Linotype"/>
          <w:i/>
          <w:iCs/>
          <w:color w:val="000000"/>
          <w:sz w:val="24"/>
          <w:szCs w:val="24"/>
        </w:rPr>
        <w:t xml:space="preserve"> </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 xml:space="preserve">I. Integrar y organizar los expedientes que cada área o unidad produzca, use y reciba; </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lastRenderedPageBreak/>
        <w:t>II.</w:t>
      </w:r>
      <w:r>
        <w:rPr>
          <w:rFonts w:ascii="Palatino Linotype" w:eastAsia="Palatino Linotype" w:hAnsi="Palatino Linotype" w:cs="Palatino Linotype"/>
          <w:i/>
          <w:iCs/>
          <w:color w:val="000000"/>
          <w:sz w:val="24"/>
          <w:szCs w:val="24"/>
        </w:rPr>
        <w:t xml:space="preserve"> </w:t>
      </w:r>
      <w:r>
        <w:rPr>
          <w:rFonts w:ascii="Palatino Linotype" w:eastAsia="Palatino Linotype" w:hAnsi="Palatino Linotype" w:cs="Palatino Linotype"/>
          <w:b/>
          <w:bCs/>
          <w:i/>
          <w:iCs/>
          <w:color w:val="000000"/>
          <w:sz w:val="24"/>
          <w:szCs w:val="24"/>
        </w:rPr>
        <w:t xml:space="preserve">Asegurar la localización y consulta de los expedientes mediante la elaboración de los inventarios documentales; </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III.</w:t>
      </w:r>
      <w:r>
        <w:rPr>
          <w:rFonts w:ascii="Palatino Linotype" w:eastAsia="Palatino Linotype" w:hAnsi="Palatino Linotype" w:cs="Palatino Linotype"/>
          <w:i/>
          <w:iCs/>
          <w:color w:val="000000"/>
          <w:sz w:val="24"/>
          <w:szCs w:val="24"/>
        </w:rPr>
        <w:t xml:space="preserve"> Resguardar los archivos y la información que haya sido clasificada de acuerdo con la legislación en materia de transparencia y acceso a la información pública, en tanto conserve tal carácter; </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IV.</w:t>
      </w:r>
      <w:r>
        <w:rPr>
          <w:rFonts w:ascii="Palatino Linotype" w:eastAsia="Palatino Linotype" w:hAnsi="Palatino Linotype" w:cs="Palatino Linotype"/>
          <w:i/>
          <w:iCs/>
          <w:color w:val="000000"/>
          <w:sz w:val="24"/>
          <w:szCs w:val="24"/>
        </w:rPr>
        <w:t xml:space="preserve"> Colaborar con el área coordinadora de archivos en la elaboración de los instrumentos de control archivístico previstos en esta Ley, las leyes locales y sus disposiciones reglamentarias; </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V.</w:t>
      </w:r>
      <w:r>
        <w:rPr>
          <w:rFonts w:ascii="Palatino Linotype" w:eastAsia="Palatino Linotype" w:hAnsi="Palatino Linotype" w:cs="Palatino Linotype"/>
          <w:i/>
          <w:iCs/>
          <w:color w:val="000000"/>
          <w:sz w:val="24"/>
          <w:szCs w:val="24"/>
        </w:rPr>
        <w:t xml:space="preserve"> Trabajar de acuerdo con los criterios específicos y recomendaciones dictados por el área coordinadora de archivos; </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VI. Realizar las transferencias primarias al archivo de concentración, y</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VII.</w:t>
      </w:r>
      <w:r>
        <w:rPr>
          <w:rFonts w:ascii="Palatino Linotype" w:eastAsia="Palatino Linotype" w:hAnsi="Palatino Linotype" w:cs="Palatino Linotype"/>
          <w:i/>
          <w:iCs/>
          <w:color w:val="000000"/>
          <w:sz w:val="24"/>
          <w:szCs w:val="24"/>
        </w:rPr>
        <w:t xml:space="preserve"> Las que establezcan las disposiciones jurí  dicas aplicables. </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 </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Artículo 31.</w:t>
      </w:r>
      <w:r>
        <w:rPr>
          <w:rFonts w:ascii="Palatino Linotype" w:eastAsia="Palatino Linotype" w:hAnsi="Palatino Linotype" w:cs="Palatino Linotype"/>
          <w:i/>
          <w:iCs/>
          <w:color w:val="000000"/>
          <w:sz w:val="24"/>
          <w:szCs w:val="24"/>
        </w:rPr>
        <w:t xml:space="preserve"> </w:t>
      </w:r>
      <w:r>
        <w:rPr>
          <w:rFonts w:ascii="Palatino Linotype" w:eastAsia="Palatino Linotype" w:hAnsi="Palatino Linotype" w:cs="Palatino Linotype"/>
          <w:b/>
          <w:bCs/>
          <w:i/>
          <w:iCs/>
          <w:color w:val="000000"/>
          <w:sz w:val="24"/>
          <w:szCs w:val="24"/>
        </w:rPr>
        <w:t>Cada sujeto obligado debe contar con un archivo de concentración,</w:t>
      </w:r>
      <w:r>
        <w:rPr>
          <w:rFonts w:ascii="Palatino Linotype" w:eastAsia="Palatino Linotype" w:hAnsi="Palatino Linotype" w:cs="Palatino Linotype"/>
          <w:i/>
          <w:iCs/>
          <w:color w:val="000000"/>
          <w:sz w:val="24"/>
          <w:szCs w:val="24"/>
        </w:rPr>
        <w:t xml:space="preserve"> que tendrá las siguientes funciones: </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I.</w:t>
      </w:r>
      <w:r>
        <w:rPr>
          <w:rFonts w:ascii="Palatino Linotype" w:eastAsia="Palatino Linotype" w:hAnsi="Palatino Linotype" w:cs="Palatino Linotype"/>
          <w:i/>
          <w:iCs/>
          <w:color w:val="000000"/>
          <w:sz w:val="24"/>
          <w:szCs w:val="24"/>
        </w:rPr>
        <w:t xml:space="preserve"> Asegurar y describir los fondos bajo su resguardo, así como la consulta de los expedientes; </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II.</w:t>
      </w:r>
      <w:r>
        <w:rPr>
          <w:rFonts w:ascii="Palatino Linotype" w:eastAsia="Palatino Linotype" w:hAnsi="Palatino Linotype" w:cs="Palatino Linotype"/>
          <w:i/>
          <w:iCs/>
          <w:color w:val="000000"/>
          <w:sz w:val="24"/>
          <w:szCs w:val="24"/>
        </w:rPr>
        <w:t xml:space="preserve"> </w:t>
      </w:r>
      <w:r>
        <w:rPr>
          <w:rFonts w:ascii="Palatino Linotype" w:eastAsia="Palatino Linotype" w:hAnsi="Palatino Linotype" w:cs="Palatino Linotype"/>
          <w:b/>
          <w:bCs/>
          <w:i/>
          <w:iCs/>
          <w:color w:val="000000"/>
          <w:sz w:val="24"/>
          <w:szCs w:val="24"/>
        </w:rPr>
        <w:t xml:space="preserve">Recibir las transferencias primarias y brindar servicios de préstamo y consulta a las unidades o áreas administrativas productoras de la documentación que resguarda; </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III.</w:t>
      </w:r>
      <w:r>
        <w:rPr>
          <w:rFonts w:ascii="Palatino Linotype" w:eastAsia="Palatino Linotype" w:hAnsi="Palatino Linotype" w:cs="Palatino Linotype"/>
          <w:i/>
          <w:iCs/>
          <w:color w:val="000000"/>
          <w:sz w:val="24"/>
          <w:szCs w:val="24"/>
        </w:rPr>
        <w:t xml:space="preserve"> Conservar los expedientes hasta cumplir su vigencia documental de acuerdo con lo establecido en el catálogo de disposición documental; </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 xml:space="preserve">IV. </w:t>
      </w:r>
      <w:r>
        <w:rPr>
          <w:rFonts w:ascii="Palatino Linotype" w:eastAsia="Palatino Linotype" w:hAnsi="Palatino Linotype" w:cs="Palatino Linotype"/>
          <w:i/>
          <w:iCs/>
          <w:color w:val="000000"/>
          <w:sz w:val="24"/>
          <w:szCs w:val="24"/>
        </w:rPr>
        <w:t xml:space="preserve">Colaborar con el área coordinadora de archivos en la elaboración de los instrumentos de control archivístico previstos en esta Ley, las leyes locales y en sus disposiciones reglamentarias; </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V.</w:t>
      </w:r>
      <w:r>
        <w:rPr>
          <w:rFonts w:ascii="Palatino Linotype" w:eastAsia="Palatino Linotype" w:hAnsi="Palatino Linotype" w:cs="Palatino Linotype"/>
          <w:i/>
          <w:iCs/>
          <w:color w:val="000000"/>
          <w:sz w:val="24"/>
          <w:szCs w:val="24"/>
        </w:rPr>
        <w:t xml:space="preserve"> Participar con el área coordinadora de archivos en la elaboración de los criterios de valoración documental y disposición documental; </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VI.</w:t>
      </w:r>
      <w:r>
        <w:rPr>
          <w:rFonts w:ascii="Palatino Linotype" w:eastAsia="Palatino Linotype" w:hAnsi="Palatino Linotype" w:cs="Palatino Linotype"/>
          <w:i/>
          <w:iCs/>
          <w:color w:val="000000"/>
          <w:sz w:val="24"/>
          <w:szCs w:val="24"/>
        </w:rPr>
        <w:t xml:space="preserve"> Promover la baja documental de los expedientes que integran las series documentales que hayan cumplido su vigencia documental y, en su caso, plazos de conservación y que no posean valores históricos, conforme a las disposiciones jurídicas aplicables; </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VII. Identificar los expedientes que integran las series documentales que hayan cumplido su vigencia documental y que cuenten con valores históricos, y que serán transferidos a los archivos históricos de los sujetos obligados, según corresponda;</w:t>
      </w:r>
      <w:r>
        <w:rPr>
          <w:rFonts w:ascii="Palatino Linotype" w:eastAsia="Palatino Linotype" w:hAnsi="Palatino Linotype" w:cs="Palatino Linotype"/>
          <w:i/>
          <w:iCs/>
          <w:color w:val="000000"/>
          <w:sz w:val="24"/>
          <w:szCs w:val="24"/>
        </w:rPr>
        <w:t xml:space="preserve"> </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lastRenderedPageBreak/>
        <w:t>VIII.</w:t>
      </w:r>
      <w:r>
        <w:rPr>
          <w:rFonts w:ascii="Palatino Linotype" w:eastAsia="Palatino Linotype" w:hAnsi="Palatino Linotype" w:cs="Palatino Linotype"/>
          <w:i/>
          <w:iCs/>
          <w:color w:val="000000"/>
          <w:sz w:val="24"/>
          <w:szCs w:val="24"/>
        </w:rPr>
        <w:t xml:space="preserve"> Integrar a sus respectivos expedientes, el registro de los procesos de disposición documental, incluyendo dictámenes, actas e inventarios; </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 xml:space="preserve">IX. </w:t>
      </w:r>
      <w:r>
        <w:rPr>
          <w:rFonts w:ascii="Palatino Linotype" w:eastAsia="Palatino Linotype" w:hAnsi="Palatino Linotype" w:cs="Palatino Linotype"/>
          <w:i/>
          <w:iCs/>
          <w:color w:val="000000"/>
          <w:sz w:val="24"/>
          <w:szCs w:val="24"/>
        </w:rPr>
        <w:t xml:space="preserve">Publicar, al final de cada año, los dictámenes y actas de baja documental y transferencia secundaria, en los términos que establezcan las disposiciones en la materia y conservarlos en el archivo de concentración por un periodo mínimo de siete años a partir de la fecha de su elaboración; </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X. Realizar la transferencia secundaria de las series documentales que hayan cumplido su vigencia documental y posean valores evidenciales, testimoniales e informativos al archivo histórico del sujeto obligado,</w:t>
      </w:r>
      <w:r>
        <w:rPr>
          <w:rFonts w:ascii="Palatino Linotype" w:eastAsia="Palatino Linotype" w:hAnsi="Palatino Linotype" w:cs="Palatino Linotype"/>
          <w:i/>
          <w:iCs/>
          <w:color w:val="000000"/>
          <w:sz w:val="24"/>
          <w:szCs w:val="24"/>
        </w:rPr>
        <w:t xml:space="preserve"> o al Archivo General, o equivalente en las entidades federativas, según corresponda, y</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XI</w:t>
      </w:r>
      <w:r>
        <w:rPr>
          <w:rFonts w:ascii="Palatino Linotype" w:eastAsia="Palatino Linotype" w:hAnsi="Palatino Linotype" w:cs="Palatino Linotype"/>
          <w:i/>
          <w:iCs/>
          <w:color w:val="000000"/>
          <w:sz w:val="24"/>
          <w:szCs w:val="24"/>
        </w:rPr>
        <w:t>. Las que establezca el Consejo Nacional y las disposiciones jurídicas aplicables.</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(Énfasis añadido)</w:t>
      </w:r>
    </w:p>
    <w:p w:rsidR="004E2169" w:rsidRDefault="004E2169">
      <w:pPr>
        <w:tabs>
          <w:tab w:val="left" w:pos="0"/>
        </w:tabs>
        <w:spacing w:line="360" w:lineRule="auto"/>
        <w:ind w:right="-1017"/>
        <w:jc w:val="both"/>
        <w:rPr>
          <w:rFonts w:ascii="Palatino Linotype" w:eastAsia="Palatino Linotype" w:hAnsi="Palatino Linotype" w:cs="Palatino Linotype"/>
          <w:i/>
          <w:iCs/>
          <w:color w:val="000000"/>
          <w:sz w:val="24"/>
          <w:szCs w:val="24"/>
        </w:rPr>
      </w:pPr>
    </w:p>
    <w:p w:rsidR="004E2169" w:rsidRDefault="006926CF">
      <w:pPr>
        <w:numPr>
          <w:ilvl w:val="0"/>
          <w:numId w:val="2"/>
        </w:numPr>
        <w:pBdr>
          <w:top w:val="nil"/>
          <w:left w:val="nil"/>
          <w:bottom w:val="nil"/>
          <w:right w:val="nil"/>
          <w:between w:val="nil"/>
        </w:pBdr>
        <w:tabs>
          <w:tab w:val="left" w:pos="0"/>
        </w:tabs>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De los preceptos anteriormente citados, se desprende que los Sujetos Obligados deberán contar con archivo de trámite, de concentración y de archivo histórico, por lo que en el asunto que nos ocupa, el SUJETO OBLIGADO deberá contar con los inventarios de archivo de trámite, concentración e histórico, así como sus respectivos instrumentos de consulta, entendidos como aquellos que describen series, expedientes o documentos de archivo y que permiten la localización, transferencia o baja documental, por lo que es dable ordenar la entrega los formatos del inventario de archivo de trámite, del inventario de transferencia primaria y del formato institucional del inventario de baja documental. </w:t>
      </w:r>
    </w:p>
    <w:p w:rsidR="004E2169" w:rsidRDefault="004E2169">
      <w:pPr>
        <w:tabs>
          <w:tab w:val="left" w:pos="0"/>
        </w:tabs>
        <w:spacing w:line="360" w:lineRule="auto"/>
        <w:ind w:right="-1017"/>
        <w:jc w:val="both"/>
        <w:rPr>
          <w:rFonts w:ascii="Palatino Linotype" w:eastAsia="Palatino Linotype" w:hAnsi="Palatino Linotype" w:cs="Palatino Linotype"/>
          <w:sz w:val="24"/>
          <w:szCs w:val="24"/>
        </w:rPr>
      </w:pPr>
    </w:p>
    <w:p w:rsidR="004E2169" w:rsidRDefault="006926CF">
      <w:pPr>
        <w:numPr>
          <w:ilvl w:val="0"/>
          <w:numId w:val="2"/>
        </w:numPr>
        <w:pBdr>
          <w:top w:val="nil"/>
          <w:left w:val="nil"/>
          <w:bottom w:val="nil"/>
          <w:right w:val="nil"/>
          <w:between w:val="nil"/>
        </w:pBdr>
        <w:tabs>
          <w:tab w:val="left" w:pos="0"/>
        </w:tabs>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Por lo que hace a los inventarios del archivo de trámite, el Lineamiento Vigésimo Segundo, fracción III de los Lineamientos, dispone que los responsables de los archivos de trámite deben elaborar inventarios documentales que permitan llevar el control de los expedientes en trámite que se encuentren bajo custodia del productor de la información. </w:t>
      </w:r>
    </w:p>
    <w:p w:rsidR="004E2169" w:rsidRDefault="006926CF">
      <w:pPr>
        <w:numPr>
          <w:ilvl w:val="0"/>
          <w:numId w:val="2"/>
        </w:numPr>
        <w:pBdr>
          <w:top w:val="nil"/>
          <w:left w:val="nil"/>
          <w:bottom w:val="nil"/>
          <w:right w:val="nil"/>
          <w:between w:val="nil"/>
        </w:pBdr>
        <w:tabs>
          <w:tab w:val="left" w:pos="0"/>
        </w:tabs>
        <w:spacing w:line="360" w:lineRule="auto"/>
        <w:ind w:left="0" w:right="-1017" w:firstLine="0"/>
        <w:jc w:val="both"/>
        <w:rPr>
          <w:color w:val="000000"/>
        </w:rPr>
      </w:pPr>
      <w:r>
        <w:rPr>
          <w:rFonts w:ascii="Palatino Linotype" w:eastAsia="Palatino Linotype" w:hAnsi="Palatino Linotype" w:cs="Palatino Linotype"/>
          <w:color w:val="000000"/>
          <w:sz w:val="24"/>
          <w:szCs w:val="24"/>
        </w:rPr>
        <w:lastRenderedPageBreak/>
        <w:t xml:space="preserve">En el mismo tenor, el artículo 30, fracción II de la Ley General de Archivos, y la Ley Local contemplan la obligación de cada área o unidad administrativa de contar con un archivo de trámite, debiendo asegurar la localización y consulta de los expedientes mediante la elaboración de los inventarios documentales. </w:t>
      </w:r>
    </w:p>
    <w:p w:rsidR="004E2169" w:rsidRDefault="004E2169">
      <w:pPr>
        <w:pBdr>
          <w:top w:val="nil"/>
          <w:left w:val="nil"/>
          <w:bottom w:val="nil"/>
          <w:right w:val="nil"/>
          <w:between w:val="nil"/>
        </w:pBdr>
        <w:tabs>
          <w:tab w:val="left" w:pos="0"/>
        </w:tabs>
        <w:spacing w:line="360" w:lineRule="auto"/>
        <w:ind w:right="-1017"/>
        <w:jc w:val="both"/>
        <w:rPr>
          <w:rFonts w:ascii="Palatino Linotype" w:eastAsia="Palatino Linotype" w:hAnsi="Palatino Linotype" w:cs="Palatino Linotype"/>
          <w:color w:val="000000"/>
          <w:sz w:val="24"/>
          <w:szCs w:val="24"/>
        </w:rPr>
      </w:pPr>
    </w:p>
    <w:p w:rsidR="004E2169" w:rsidRDefault="006926CF">
      <w:pPr>
        <w:numPr>
          <w:ilvl w:val="0"/>
          <w:numId w:val="2"/>
        </w:numPr>
        <w:pBdr>
          <w:top w:val="nil"/>
          <w:left w:val="nil"/>
          <w:bottom w:val="nil"/>
          <w:right w:val="nil"/>
          <w:between w:val="nil"/>
        </w:pBdr>
        <w:tabs>
          <w:tab w:val="left" w:pos="0"/>
        </w:tabs>
        <w:spacing w:line="360" w:lineRule="auto"/>
        <w:ind w:left="0" w:right="-1017" w:firstLine="0"/>
        <w:jc w:val="both"/>
        <w:rPr>
          <w:color w:val="000000"/>
        </w:rPr>
      </w:pPr>
      <w:r>
        <w:rPr>
          <w:rFonts w:ascii="Palatino Linotype" w:eastAsia="Palatino Linotype" w:hAnsi="Palatino Linotype" w:cs="Palatino Linotype"/>
          <w:color w:val="000000"/>
          <w:sz w:val="24"/>
          <w:szCs w:val="24"/>
        </w:rPr>
        <w:t>Ahora bien el artículo 4, fracción XLVI, de los Lineamientos para la Administración de Documentos en el Estado de México, precisa que el inventario topográfico es el instrumento de control que relaciona el contenido de cada una de las cajas archivadoras con su ubicación dentro de la sala de depósito en que se encuentra, es decir, el archivo de concentración.</w:t>
      </w:r>
    </w:p>
    <w:p w:rsidR="004E2169" w:rsidRDefault="004E2169">
      <w:pPr>
        <w:tabs>
          <w:tab w:val="left" w:pos="0"/>
        </w:tabs>
        <w:spacing w:line="360" w:lineRule="auto"/>
        <w:ind w:right="-1017"/>
        <w:jc w:val="both"/>
        <w:rPr>
          <w:rFonts w:ascii="Palatino Linotype" w:eastAsia="Palatino Linotype" w:hAnsi="Palatino Linotype" w:cs="Palatino Linotype"/>
          <w:sz w:val="24"/>
          <w:szCs w:val="24"/>
        </w:rPr>
      </w:pPr>
    </w:p>
    <w:p w:rsidR="004E2169" w:rsidRDefault="006926CF">
      <w:pPr>
        <w:numPr>
          <w:ilvl w:val="0"/>
          <w:numId w:val="2"/>
        </w:numPr>
        <w:pBdr>
          <w:top w:val="nil"/>
          <w:left w:val="nil"/>
          <w:bottom w:val="nil"/>
          <w:right w:val="nil"/>
          <w:between w:val="nil"/>
        </w:pBdr>
        <w:tabs>
          <w:tab w:val="left" w:pos="0"/>
        </w:tabs>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Por su parte, el artículo 59, fracción XI, de los Lineamientos para la Administración de Documentos del Estado de México, dispone lo siguiente: </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“Artículo 59:</w:t>
      </w:r>
      <w:r>
        <w:rPr>
          <w:rFonts w:ascii="Palatino Linotype" w:eastAsia="Palatino Linotype" w:hAnsi="Palatino Linotype" w:cs="Palatino Linotype"/>
          <w:i/>
          <w:iCs/>
          <w:color w:val="000000"/>
          <w:sz w:val="24"/>
          <w:szCs w:val="24"/>
        </w:rPr>
        <w:t xml:space="preserve"> Los Archivos de los Sujetos Obligados contarán, al menos, con los siguientes instrumentos de control y consulta:</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XI.</w:t>
      </w:r>
      <w:r>
        <w:rPr>
          <w:rFonts w:ascii="Palatino Linotype" w:eastAsia="Palatino Linotype" w:hAnsi="Palatino Linotype" w:cs="Palatino Linotype"/>
          <w:i/>
          <w:iCs/>
          <w:color w:val="000000"/>
          <w:sz w:val="24"/>
          <w:szCs w:val="24"/>
        </w:rPr>
        <w:t xml:space="preserve"> Inventario Topográfico, de los fondos documentales de los Archivos de Concentración e Históricos; y</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p>
    <w:p w:rsidR="004E2169" w:rsidRDefault="006926CF">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(Énfasis añadido) </w:t>
      </w:r>
    </w:p>
    <w:p w:rsidR="004E2169" w:rsidRDefault="004E2169">
      <w:pPr>
        <w:pBdr>
          <w:top w:val="nil"/>
          <w:left w:val="nil"/>
          <w:bottom w:val="nil"/>
          <w:right w:val="nil"/>
          <w:between w:val="nil"/>
        </w:pBdr>
        <w:tabs>
          <w:tab w:val="left" w:pos="0"/>
        </w:tabs>
        <w:spacing w:line="360" w:lineRule="auto"/>
        <w:ind w:right="-1017"/>
        <w:jc w:val="both"/>
        <w:rPr>
          <w:rFonts w:ascii="Palatino Linotype" w:eastAsia="Palatino Linotype" w:hAnsi="Palatino Linotype" w:cs="Palatino Linotype"/>
          <w:i/>
          <w:iCs/>
          <w:color w:val="000000"/>
          <w:sz w:val="24"/>
          <w:szCs w:val="24"/>
        </w:rPr>
      </w:pPr>
    </w:p>
    <w:p w:rsidR="004E2169" w:rsidRDefault="006926CF">
      <w:pPr>
        <w:numPr>
          <w:ilvl w:val="0"/>
          <w:numId w:val="2"/>
        </w:numPr>
        <w:pBdr>
          <w:top w:val="nil"/>
          <w:left w:val="nil"/>
          <w:bottom w:val="nil"/>
          <w:right w:val="nil"/>
          <w:between w:val="nil"/>
        </w:pBdr>
        <w:tabs>
          <w:tab w:val="left" w:pos="0"/>
        </w:tabs>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En tal sentido, se percibe que </w:t>
      </w:r>
      <w:r>
        <w:rPr>
          <w:rFonts w:ascii="Palatino Linotype" w:eastAsia="Palatino Linotype" w:hAnsi="Palatino Linotype" w:cs="Palatino Linotype"/>
          <w:b/>
          <w:bCs/>
          <w:color w:val="000000"/>
          <w:sz w:val="24"/>
          <w:szCs w:val="24"/>
        </w:rPr>
        <w:t>EL SUJETO OBLIGADO</w:t>
      </w:r>
      <w:r>
        <w:rPr>
          <w:rFonts w:ascii="Palatino Linotype" w:eastAsia="Palatino Linotype" w:hAnsi="Palatino Linotype" w:cs="Palatino Linotype"/>
          <w:color w:val="000000"/>
          <w:sz w:val="24"/>
          <w:szCs w:val="24"/>
        </w:rPr>
        <w:t xml:space="preserve"> se encuentra constreñido a contar con inventarios documentales del archivo de trámite, concentración e histórico.</w:t>
      </w:r>
    </w:p>
    <w:p w:rsidR="004E2169" w:rsidRDefault="006926CF">
      <w:pPr>
        <w:pBdr>
          <w:top w:val="nil"/>
          <w:left w:val="nil"/>
          <w:bottom w:val="nil"/>
          <w:right w:val="nil"/>
          <w:between w:val="nil"/>
        </w:pBdr>
        <w:tabs>
          <w:tab w:val="left" w:pos="0"/>
        </w:tabs>
        <w:spacing w:line="360" w:lineRule="auto"/>
        <w:ind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   </w:t>
      </w:r>
    </w:p>
    <w:p w:rsidR="004E2169" w:rsidRDefault="006926CF">
      <w:pPr>
        <w:numPr>
          <w:ilvl w:val="0"/>
          <w:numId w:val="2"/>
        </w:numPr>
        <w:pBdr>
          <w:top w:val="nil"/>
          <w:left w:val="nil"/>
          <w:bottom w:val="nil"/>
          <w:right w:val="nil"/>
          <w:between w:val="nil"/>
        </w:pBdr>
        <w:tabs>
          <w:tab w:val="left" w:pos="0"/>
          <w:tab w:val="left" w:pos="426"/>
        </w:tabs>
        <w:spacing w:line="360" w:lineRule="auto"/>
        <w:ind w:left="0" w:right="-1017" w:firstLine="0"/>
        <w:jc w:val="both"/>
        <w:rPr>
          <w:color w:val="000000"/>
        </w:rPr>
      </w:pPr>
      <w:r>
        <w:rPr>
          <w:rFonts w:ascii="Palatino Linotype" w:eastAsia="Palatino Linotype" w:hAnsi="Palatino Linotype" w:cs="Palatino Linotype"/>
          <w:color w:val="000000"/>
          <w:sz w:val="24"/>
          <w:szCs w:val="24"/>
        </w:rPr>
        <w:t xml:space="preserve">Ahora bien, si el Sujeto Obligado no cuenta con el inventario del archivo histórico, </w:t>
      </w:r>
      <w:r>
        <w:rPr>
          <w:rFonts w:ascii="Palatino Linotype" w:eastAsia="Palatino Linotype" w:hAnsi="Palatino Linotype" w:cs="Palatino Linotype"/>
          <w:color w:val="222222"/>
          <w:sz w:val="24"/>
          <w:szCs w:val="24"/>
        </w:rPr>
        <w:t xml:space="preserve">deberá elaborar y poner a disposición del particular un acuerdo mediante el cual se declare la </w:t>
      </w:r>
      <w:r>
        <w:rPr>
          <w:rFonts w:ascii="Palatino Linotype" w:eastAsia="Palatino Linotype" w:hAnsi="Palatino Linotype" w:cs="Palatino Linotype"/>
          <w:color w:val="222222"/>
          <w:sz w:val="24"/>
          <w:szCs w:val="24"/>
        </w:rPr>
        <w:lastRenderedPageBreak/>
        <w:t>inexistencia de la información. Por lo que es necesario traer a contexto lo que dispone la</w:t>
      </w:r>
      <w:r>
        <w:rPr>
          <w:rFonts w:ascii="Palatino Linotype" w:eastAsia="Palatino Linotype" w:hAnsi="Palatino Linotype" w:cs="Palatino Linotype"/>
          <w:b/>
          <w:bCs/>
          <w:color w:val="222222"/>
          <w:sz w:val="24"/>
          <w:szCs w:val="24"/>
        </w:rPr>
        <w:t xml:space="preserve"> Ley de Transparencia y Acceso a la Información Pública del Estado de México y Municipios</w:t>
      </w:r>
      <w:r>
        <w:rPr>
          <w:rFonts w:ascii="Palatino Linotype" w:eastAsia="Palatino Linotype" w:hAnsi="Palatino Linotype" w:cs="Palatino Linotype"/>
          <w:color w:val="222222"/>
          <w:sz w:val="24"/>
          <w:szCs w:val="24"/>
        </w:rPr>
        <w:t> en su 169, fracción III, señala:</w:t>
      </w:r>
    </w:p>
    <w:p w:rsidR="004E2169" w:rsidRDefault="006926CF">
      <w:pPr>
        <w:shd w:val="clear" w:color="auto" w:fill="FFFFFF"/>
        <w:tabs>
          <w:tab w:val="left" w:pos="851"/>
        </w:tabs>
        <w:spacing w:before="240" w:after="240" w:line="276" w:lineRule="auto"/>
        <w:ind w:left="851"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color w:val="222222"/>
          <w:sz w:val="24"/>
          <w:szCs w:val="24"/>
        </w:rPr>
        <w:t> “</w:t>
      </w:r>
      <w:r>
        <w:rPr>
          <w:rFonts w:ascii="Palatino Linotype" w:eastAsia="Palatino Linotype" w:hAnsi="Palatino Linotype" w:cs="Palatino Linotype"/>
          <w:b/>
          <w:bCs/>
          <w:i/>
          <w:iCs/>
          <w:sz w:val="24"/>
          <w:szCs w:val="24"/>
        </w:rPr>
        <w:t xml:space="preserve">Artículo 169. </w:t>
      </w:r>
      <w:r>
        <w:rPr>
          <w:rFonts w:ascii="Palatino Linotype" w:eastAsia="Palatino Linotype" w:hAnsi="Palatino Linotype" w:cs="Palatino Linotype"/>
          <w:i/>
          <w:iCs/>
          <w:sz w:val="24"/>
          <w:szCs w:val="24"/>
        </w:rPr>
        <w:t>Cuando la información no se encuentre en los archivos del sujeto obligado, el Comité de Transparencia:</w:t>
      </w:r>
    </w:p>
    <w:p w:rsidR="004E2169" w:rsidRDefault="006926CF">
      <w:pPr>
        <w:tabs>
          <w:tab w:val="left" w:pos="851"/>
        </w:tabs>
        <w:spacing w:line="276" w:lineRule="auto"/>
        <w:ind w:left="851"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 xml:space="preserve">I. </w:t>
      </w:r>
      <w:r>
        <w:rPr>
          <w:rFonts w:ascii="Palatino Linotype" w:eastAsia="Palatino Linotype" w:hAnsi="Palatino Linotype" w:cs="Palatino Linotype"/>
          <w:i/>
          <w:iCs/>
          <w:sz w:val="24"/>
          <w:szCs w:val="24"/>
        </w:rPr>
        <w:t>Analizará el caso y tomará las medidas necesarias para localizar la información;</w:t>
      </w:r>
    </w:p>
    <w:p w:rsidR="004E2169" w:rsidRDefault="006926CF">
      <w:pPr>
        <w:tabs>
          <w:tab w:val="left" w:pos="851"/>
        </w:tabs>
        <w:spacing w:line="276" w:lineRule="auto"/>
        <w:ind w:left="851"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 xml:space="preserve">II. </w:t>
      </w:r>
      <w:r>
        <w:rPr>
          <w:rFonts w:ascii="Palatino Linotype" w:eastAsia="Palatino Linotype" w:hAnsi="Palatino Linotype" w:cs="Palatino Linotype"/>
          <w:i/>
          <w:iCs/>
          <w:sz w:val="24"/>
          <w:szCs w:val="24"/>
        </w:rPr>
        <w:t>Expedirá una resolución que confirme la inexistencia del documento;</w:t>
      </w:r>
    </w:p>
    <w:p w:rsidR="004E2169" w:rsidRDefault="006926CF">
      <w:pPr>
        <w:tabs>
          <w:tab w:val="left" w:pos="851"/>
        </w:tabs>
        <w:spacing w:line="276" w:lineRule="auto"/>
        <w:ind w:left="851"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 xml:space="preserve">III. </w:t>
      </w:r>
      <w:r>
        <w:rPr>
          <w:rFonts w:ascii="Palatino Linotype" w:eastAsia="Palatino Linotype" w:hAnsi="Palatino Linotype" w:cs="Palatino Linotype"/>
          <w:i/>
          <w:iCs/>
          <w:sz w:val="24"/>
          <w:szCs w:val="24"/>
        </w:rPr>
        <w:t>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rsidR="004E2169" w:rsidRDefault="006926CF">
      <w:pPr>
        <w:tabs>
          <w:tab w:val="left" w:pos="851"/>
        </w:tabs>
        <w:spacing w:line="276" w:lineRule="auto"/>
        <w:ind w:left="851"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 xml:space="preserve">IV. </w:t>
      </w:r>
      <w:r>
        <w:rPr>
          <w:rFonts w:ascii="Palatino Linotype" w:eastAsia="Palatino Linotype" w:hAnsi="Palatino Linotype" w:cs="Palatino Linotype"/>
          <w:i/>
          <w:iCs/>
          <w:sz w:val="24"/>
          <w:szCs w:val="24"/>
        </w:rPr>
        <w:t>Notificará al órgano interno de control o equivalente del sujeto obligado quien, en su caso, deberá iniciar el procedimiento de responsabilidad administrativa que corresponda.</w:t>
      </w:r>
    </w:p>
    <w:p w:rsidR="004E2169" w:rsidRDefault="004E2169">
      <w:pPr>
        <w:tabs>
          <w:tab w:val="left" w:pos="851"/>
        </w:tabs>
        <w:spacing w:line="276" w:lineRule="auto"/>
        <w:ind w:left="851" w:right="-1017"/>
        <w:jc w:val="both"/>
        <w:rPr>
          <w:rFonts w:ascii="Palatino Linotype" w:eastAsia="Palatino Linotype" w:hAnsi="Palatino Linotype" w:cs="Palatino Linotype"/>
          <w:i/>
          <w:iCs/>
          <w:sz w:val="24"/>
          <w:szCs w:val="24"/>
        </w:rPr>
      </w:pPr>
    </w:p>
    <w:p w:rsidR="004E2169" w:rsidRDefault="006926CF">
      <w:pPr>
        <w:tabs>
          <w:tab w:val="left" w:pos="851"/>
        </w:tabs>
        <w:spacing w:line="276" w:lineRule="auto"/>
        <w:ind w:left="851" w:right="-1017"/>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La Unidad de Transparencia deberá notificarlo al solicitante por escrito, en un plazo que no exceda de quince días hábiles contados a partir del día siguiente a la presentación de la solicitud.</w:t>
      </w:r>
    </w:p>
    <w:p w:rsidR="004E2169" w:rsidRDefault="004E2169">
      <w:pPr>
        <w:tabs>
          <w:tab w:val="left" w:pos="851"/>
        </w:tabs>
        <w:spacing w:line="276" w:lineRule="auto"/>
        <w:ind w:left="851" w:right="-1017"/>
        <w:jc w:val="both"/>
        <w:rPr>
          <w:rFonts w:ascii="Palatino Linotype" w:eastAsia="Palatino Linotype" w:hAnsi="Palatino Linotype" w:cs="Palatino Linotype"/>
          <w:i/>
          <w:iCs/>
          <w:sz w:val="24"/>
          <w:szCs w:val="24"/>
        </w:rPr>
      </w:pPr>
    </w:p>
    <w:p w:rsidR="004E2169" w:rsidRDefault="006926CF">
      <w:pPr>
        <w:tabs>
          <w:tab w:val="left" w:pos="851"/>
        </w:tabs>
        <w:spacing w:line="276" w:lineRule="auto"/>
        <w:ind w:left="851" w:right="-1017"/>
        <w:jc w:val="both"/>
        <w:rPr>
          <w:rFonts w:ascii="Palatino Linotype" w:eastAsia="Palatino Linotype" w:hAnsi="Palatino Linotype" w:cs="Palatino Linotype"/>
          <w:i/>
          <w:iCs/>
          <w:color w:val="222222"/>
          <w:sz w:val="24"/>
          <w:szCs w:val="24"/>
        </w:rPr>
      </w:pPr>
      <w:r>
        <w:rPr>
          <w:rFonts w:ascii="Palatino Linotype" w:eastAsia="Palatino Linotype" w:hAnsi="Palatino Linotype" w:cs="Palatino Linotype"/>
          <w:i/>
          <w:iCs/>
          <w:sz w:val="24"/>
          <w:szCs w:val="24"/>
        </w:rPr>
        <w:t>Este plazo podrá ampliarse hasta por otros siete días hábiles, siempre que existan razones para ello, debiendo notificarse por escrito al solicitante.” (Sic)</w:t>
      </w:r>
    </w:p>
    <w:p w:rsidR="004E2169" w:rsidRDefault="006926CF">
      <w:pPr>
        <w:numPr>
          <w:ilvl w:val="0"/>
          <w:numId w:val="2"/>
        </w:numPr>
        <w:pBdr>
          <w:top w:val="nil"/>
          <w:left w:val="nil"/>
          <w:bottom w:val="nil"/>
          <w:right w:val="nil"/>
          <w:between w:val="nil"/>
        </w:pBdr>
        <w:shd w:val="clear" w:color="auto" w:fill="FFFFFF"/>
        <w:tabs>
          <w:tab w:val="left" w:pos="0"/>
        </w:tabs>
        <w:spacing w:before="240" w:after="240" w:line="360" w:lineRule="auto"/>
        <w:ind w:left="0" w:right="-1017" w:firstLine="0"/>
        <w:jc w:val="both"/>
        <w:rPr>
          <w:color w:val="222222"/>
        </w:rPr>
      </w:pPr>
      <w:r>
        <w:rPr>
          <w:rFonts w:ascii="Palatino Linotype" w:eastAsia="Palatino Linotype" w:hAnsi="Palatino Linotype" w:cs="Palatino Linotype"/>
          <w:color w:val="222222"/>
          <w:sz w:val="24"/>
          <w:szCs w:val="24"/>
        </w:rPr>
        <w:t>Del precepto antes transcrito se advierte claramente que cuando la información no se encuentre en los archivos del Sujeto Obligado, el Comité de Transparencia deberá ordenar que se genere la información en caso de que ésta tuviera que existir en la medida que deriva del ejercicio de sus facultades, competencias o funciones.</w:t>
      </w:r>
    </w:p>
    <w:p w:rsidR="004E2169" w:rsidRDefault="006926CF">
      <w:pPr>
        <w:numPr>
          <w:ilvl w:val="0"/>
          <w:numId w:val="2"/>
        </w:numPr>
        <w:shd w:val="clear" w:color="auto" w:fill="FFFFFF"/>
        <w:tabs>
          <w:tab w:val="left" w:pos="0"/>
        </w:tabs>
        <w:spacing w:before="240" w:after="240" w:line="360" w:lineRule="auto"/>
        <w:ind w:left="0" w:right="-1017" w:firstLine="0"/>
        <w:jc w:val="both"/>
        <w:rPr>
          <w:color w:val="222222"/>
        </w:rPr>
      </w:pPr>
      <w:r>
        <w:rPr>
          <w:rFonts w:ascii="Palatino Linotype" w:eastAsia="Palatino Linotype" w:hAnsi="Palatino Linotype" w:cs="Palatino Linotype"/>
          <w:color w:val="222222"/>
          <w:sz w:val="24"/>
          <w:szCs w:val="24"/>
        </w:rPr>
        <w:lastRenderedPageBreak/>
        <w:t>Ahora bien, es importante señalar que en el caso de que no se pueda generar la información, </w:t>
      </w:r>
      <w:r>
        <w:rPr>
          <w:rFonts w:ascii="Palatino Linotype" w:eastAsia="Palatino Linotype" w:hAnsi="Palatino Linotype" w:cs="Palatino Linotype"/>
          <w:b/>
          <w:bCs/>
          <w:color w:val="222222"/>
          <w:sz w:val="24"/>
          <w:szCs w:val="24"/>
        </w:rPr>
        <w:t>se ordena al Sujeto Obligado </w:t>
      </w:r>
      <w:r>
        <w:rPr>
          <w:rFonts w:ascii="Palatino Linotype" w:eastAsia="Palatino Linotype" w:hAnsi="Palatino Linotype" w:cs="Palatino Linotype"/>
          <w:color w:val="222222"/>
          <w:sz w:val="24"/>
          <w:szCs w:val="24"/>
        </w:rPr>
        <w:t>hacer entrega de un Acuerdo de su Comité de Transparencia en donde conste la declaratoria de inexistencia de la información.</w:t>
      </w:r>
    </w:p>
    <w:p w:rsidR="004E2169" w:rsidRDefault="006926CF">
      <w:pPr>
        <w:numPr>
          <w:ilvl w:val="0"/>
          <w:numId w:val="2"/>
        </w:numPr>
        <w:shd w:val="clear" w:color="auto" w:fill="FFFFFF"/>
        <w:tabs>
          <w:tab w:val="left" w:pos="0"/>
        </w:tabs>
        <w:spacing w:before="240" w:after="240" w:line="360" w:lineRule="auto"/>
        <w:ind w:left="0" w:right="-1017" w:firstLine="0"/>
        <w:jc w:val="both"/>
        <w:rPr>
          <w:color w:val="222222"/>
        </w:rPr>
      </w:pPr>
      <w:r>
        <w:rPr>
          <w:rFonts w:ascii="Palatino Linotype" w:eastAsia="Palatino Linotype" w:hAnsi="Palatino Linotype" w:cs="Palatino Linotype"/>
          <w:color w:val="222222"/>
          <w:sz w:val="24"/>
          <w:szCs w:val="24"/>
        </w:rPr>
        <w:t>Previo a observar las formalidades que han de observarse en dicho acuerdo y para mayor entendimiento sobre el concepto de inexistencia en materia de acceso a la información pública, es necesario señalar que el </w:t>
      </w:r>
      <w:r>
        <w:rPr>
          <w:rFonts w:ascii="Palatino Linotype" w:eastAsia="Palatino Linotype" w:hAnsi="Palatino Linotype" w:cs="Palatino Linotype"/>
          <w:color w:val="222222"/>
          <w:sz w:val="24"/>
          <w:szCs w:val="24"/>
          <w:highlight w:val="white"/>
        </w:rPr>
        <w:t>Instituto Nacional de Transparencia, Acceso a la Información y Protección de Datos Personales </w:t>
      </w:r>
      <w:r>
        <w:rPr>
          <w:rFonts w:ascii="Palatino Linotype" w:eastAsia="Palatino Linotype" w:hAnsi="Palatino Linotype" w:cs="Palatino Linotype"/>
          <w:color w:val="222222"/>
          <w:sz w:val="24"/>
          <w:szCs w:val="24"/>
        </w:rPr>
        <w:t>emitió el criterio número 14-17, que es de la literalidad siguiente:</w:t>
      </w:r>
    </w:p>
    <w:p w:rsidR="004E2169" w:rsidRDefault="006926CF">
      <w:pPr>
        <w:shd w:val="clear" w:color="auto" w:fill="FFFFFF"/>
        <w:tabs>
          <w:tab w:val="left" w:pos="851"/>
        </w:tabs>
        <w:spacing w:line="360" w:lineRule="auto"/>
        <w:ind w:left="851" w:right="-1017"/>
        <w:jc w:val="center"/>
        <w:rPr>
          <w:rFonts w:ascii="Palatino Linotype" w:eastAsia="Palatino Linotype" w:hAnsi="Palatino Linotype" w:cs="Palatino Linotype"/>
          <w:b/>
          <w:bCs/>
          <w:i/>
          <w:iCs/>
          <w:color w:val="222222"/>
          <w:sz w:val="24"/>
          <w:szCs w:val="24"/>
        </w:rPr>
      </w:pPr>
      <w:r>
        <w:rPr>
          <w:rFonts w:ascii="Palatino Linotype" w:eastAsia="Palatino Linotype" w:hAnsi="Palatino Linotype" w:cs="Palatino Linotype"/>
          <w:b/>
          <w:bCs/>
          <w:i/>
          <w:iCs/>
          <w:color w:val="222222"/>
          <w:sz w:val="24"/>
          <w:szCs w:val="24"/>
        </w:rPr>
        <w:t>“Criterio 14/17</w:t>
      </w:r>
    </w:p>
    <w:p w:rsidR="004E2169" w:rsidRDefault="004E2169">
      <w:pPr>
        <w:shd w:val="clear" w:color="auto" w:fill="FFFFFF"/>
        <w:tabs>
          <w:tab w:val="left" w:pos="851"/>
        </w:tabs>
        <w:spacing w:line="360" w:lineRule="auto"/>
        <w:ind w:left="851" w:right="-1017"/>
        <w:jc w:val="center"/>
        <w:rPr>
          <w:rFonts w:ascii="Palatino Linotype" w:eastAsia="Palatino Linotype" w:hAnsi="Palatino Linotype" w:cs="Palatino Linotype"/>
          <w:color w:val="222222"/>
          <w:sz w:val="24"/>
          <w:szCs w:val="24"/>
        </w:rPr>
      </w:pPr>
    </w:p>
    <w:p w:rsidR="004E2169" w:rsidRDefault="006926CF">
      <w:pPr>
        <w:shd w:val="clear" w:color="auto" w:fill="FFFFFF"/>
        <w:tabs>
          <w:tab w:val="left" w:pos="851"/>
        </w:tabs>
        <w:spacing w:line="360" w:lineRule="auto"/>
        <w:ind w:left="851" w:right="-1017"/>
        <w:jc w:val="both"/>
        <w:rPr>
          <w:rFonts w:ascii="Palatino Linotype" w:eastAsia="Palatino Linotype" w:hAnsi="Palatino Linotype" w:cs="Palatino Linotype"/>
          <w:color w:val="222222"/>
          <w:sz w:val="24"/>
          <w:szCs w:val="24"/>
        </w:rPr>
      </w:pPr>
      <w:r>
        <w:rPr>
          <w:rFonts w:ascii="Palatino Linotype" w:eastAsia="Palatino Linotype" w:hAnsi="Palatino Linotype" w:cs="Palatino Linotype"/>
          <w:i/>
          <w:iCs/>
          <w:color w:val="222222"/>
          <w:sz w:val="24"/>
          <w:szCs w:val="24"/>
        </w:rPr>
        <w:t>Inexistencia. La inexistencia es una cuestión de hecho que se atribuye a la información solicitada e implica que ésta </w:t>
      </w:r>
      <w:r>
        <w:rPr>
          <w:rFonts w:ascii="Palatino Linotype" w:eastAsia="Palatino Linotype" w:hAnsi="Palatino Linotype" w:cs="Palatino Linotype"/>
          <w:b/>
          <w:bCs/>
          <w:i/>
          <w:iCs/>
          <w:color w:val="222222"/>
          <w:sz w:val="24"/>
          <w:szCs w:val="24"/>
        </w:rPr>
        <w:t>no se encuentra en los archivos del sujeto obligado, no obstante que cuenta con facultades para poseerla</w:t>
      </w:r>
      <w:r>
        <w:rPr>
          <w:rFonts w:ascii="Palatino Linotype" w:eastAsia="Palatino Linotype" w:hAnsi="Palatino Linotype" w:cs="Palatino Linotype"/>
          <w:i/>
          <w:iCs/>
          <w:color w:val="222222"/>
          <w:sz w:val="24"/>
          <w:szCs w:val="24"/>
        </w:rPr>
        <w:t>.</w:t>
      </w:r>
    </w:p>
    <w:p w:rsidR="004E2169" w:rsidRDefault="006926CF">
      <w:pPr>
        <w:shd w:val="clear" w:color="auto" w:fill="FFFFFF"/>
        <w:tabs>
          <w:tab w:val="left" w:pos="851"/>
        </w:tabs>
        <w:spacing w:line="360" w:lineRule="auto"/>
        <w:ind w:left="851" w:right="-1017"/>
        <w:jc w:val="both"/>
        <w:rPr>
          <w:rFonts w:ascii="Palatino Linotype" w:eastAsia="Palatino Linotype" w:hAnsi="Palatino Linotype" w:cs="Palatino Linotype"/>
          <w:color w:val="222222"/>
          <w:sz w:val="24"/>
          <w:szCs w:val="24"/>
        </w:rPr>
      </w:pPr>
      <w:r>
        <w:rPr>
          <w:rFonts w:ascii="Palatino Linotype" w:eastAsia="Palatino Linotype" w:hAnsi="Palatino Linotype" w:cs="Palatino Linotype"/>
          <w:i/>
          <w:iCs/>
          <w:color w:val="222222"/>
          <w:sz w:val="24"/>
          <w:szCs w:val="24"/>
        </w:rPr>
        <w:t> </w:t>
      </w:r>
    </w:p>
    <w:p w:rsidR="004E2169" w:rsidRDefault="006926CF">
      <w:pPr>
        <w:shd w:val="clear" w:color="auto" w:fill="FFFFFF"/>
        <w:tabs>
          <w:tab w:val="left" w:pos="851"/>
        </w:tabs>
        <w:spacing w:line="360" w:lineRule="auto"/>
        <w:ind w:left="851" w:right="-1017"/>
        <w:jc w:val="both"/>
        <w:rPr>
          <w:rFonts w:ascii="Palatino Linotype" w:eastAsia="Palatino Linotype" w:hAnsi="Palatino Linotype" w:cs="Palatino Linotype"/>
          <w:color w:val="222222"/>
          <w:sz w:val="24"/>
          <w:szCs w:val="24"/>
        </w:rPr>
      </w:pPr>
      <w:r>
        <w:rPr>
          <w:rFonts w:ascii="Palatino Linotype" w:eastAsia="Palatino Linotype" w:hAnsi="Palatino Linotype" w:cs="Palatino Linotype"/>
          <w:i/>
          <w:iCs/>
          <w:color w:val="222222"/>
          <w:sz w:val="24"/>
          <w:szCs w:val="24"/>
        </w:rPr>
        <w:t>Resoluciones: </w:t>
      </w:r>
      <w:r>
        <w:rPr>
          <w:rFonts w:ascii="Palatino Linotype" w:eastAsia="Palatino Linotype" w:hAnsi="Palatino Linotype" w:cs="Palatino Linotype"/>
          <w:color w:val="222222"/>
          <w:sz w:val="24"/>
          <w:szCs w:val="24"/>
        </w:rPr>
        <w:t>·</w:t>
      </w:r>
      <w:r>
        <w:rPr>
          <w:rFonts w:ascii="Palatino Linotype" w:eastAsia="Palatino Linotype" w:hAnsi="Palatino Linotype" w:cs="Palatino Linotype"/>
          <w:i/>
          <w:iCs/>
          <w:color w:val="222222"/>
          <w:sz w:val="24"/>
          <w:szCs w:val="24"/>
        </w:rPr>
        <w:t> RRA 4669/16. Instituto Nacional Electoral. 18 de enero de 2017. Por unanimidad. Comisionado Ponente Joel Salas Suárez. </w:t>
      </w:r>
      <w:r>
        <w:rPr>
          <w:rFonts w:ascii="Palatino Linotype" w:eastAsia="Palatino Linotype" w:hAnsi="Palatino Linotype" w:cs="Palatino Linotype"/>
          <w:color w:val="222222"/>
          <w:sz w:val="24"/>
          <w:szCs w:val="24"/>
        </w:rPr>
        <w:t>·</w:t>
      </w:r>
      <w:r>
        <w:rPr>
          <w:rFonts w:ascii="Palatino Linotype" w:eastAsia="Palatino Linotype" w:hAnsi="Palatino Linotype" w:cs="Palatino Linotype"/>
          <w:i/>
          <w:iCs/>
          <w:color w:val="222222"/>
          <w:sz w:val="24"/>
          <w:szCs w:val="24"/>
        </w:rPr>
        <w:t> RRA 0183/17. Nueva Alianza. 01 de febrero de 2017. Por unanimidad. Comisionado Ponente Francisco Javier Acuña Llamas. </w:t>
      </w:r>
      <w:r>
        <w:rPr>
          <w:rFonts w:ascii="Palatino Linotype" w:eastAsia="Palatino Linotype" w:hAnsi="Palatino Linotype" w:cs="Palatino Linotype"/>
          <w:color w:val="222222"/>
          <w:sz w:val="24"/>
          <w:szCs w:val="24"/>
        </w:rPr>
        <w:t>·</w:t>
      </w:r>
      <w:r>
        <w:rPr>
          <w:rFonts w:ascii="Palatino Linotype" w:eastAsia="Palatino Linotype" w:hAnsi="Palatino Linotype" w:cs="Palatino Linotype"/>
          <w:i/>
          <w:iCs/>
          <w:color w:val="222222"/>
          <w:sz w:val="24"/>
          <w:szCs w:val="24"/>
        </w:rPr>
        <w:t> RRA 4484/16. Instituto Nacional de Migración. 16 de febrero de 2017. Por mayoría de seis votos a favor y uno en contra de la Comisionada Areli Cano Guadiana. Comisionada Ponente María Patricia Kurczyn Villalobos.”</w:t>
      </w:r>
    </w:p>
    <w:p w:rsidR="004E2169" w:rsidRDefault="006926CF">
      <w:pPr>
        <w:shd w:val="clear" w:color="auto" w:fill="FFFFFF"/>
        <w:tabs>
          <w:tab w:val="left" w:pos="0"/>
        </w:tabs>
        <w:spacing w:line="360" w:lineRule="auto"/>
        <w:ind w:right="-1017"/>
        <w:jc w:val="both"/>
        <w:rPr>
          <w:rFonts w:ascii="Palatino Linotype" w:eastAsia="Palatino Linotype" w:hAnsi="Palatino Linotype" w:cs="Palatino Linotype"/>
          <w:color w:val="222222"/>
          <w:sz w:val="24"/>
          <w:szCs w:val="24"/>
        </w:rPr>
      </w:pPr>
      <w:r>
        <w:rPr>
          <w:rFonts w:ascii="Palatino Linotype" w:eastAsia="Palatino Linotype" w:hAnsi="Palatino Linotype" w:cs="Palatino Linotype"/>
          <w:color w:val="000000"/>
          <w:sz w:val="24"/>
          <w:szCs w:val="24"/>
        </w:rPr>
        <w:t> </w:t>
      </w:r>
    </w:p>
    <w:p w:rsidR="004E2169" w:rsidRDefault="006926CF">
      <w:pPr>
        <w:numPr>
          <w:ilvl w:val="0"/>
          <w:numId w:val="2"/>
        </w:numPr>
        <w:shd w:val="clear" w:color="auto" w:fill="FFFFFF"/>
        <w:tabs>
          <w:tab w:val="left" w:pos="0"/>
        </w:tabs>
        <w:spacing w:after="160" w:line="360" w:lineRule="auto"/>
        <w:ind w:left="0" w:right="-1017" w:firstLine="0"/>
        <w:jc w:val="both"/>
        <w:rPr>
          <w:color w:val="222222"/>
        </w:rPr>
      </w:pPr>
      <w:r>
        <w:rPr>
          <w:rFonts w:ascii="Palatino Linotype" w:eastAsia="Palatino Linotype" w:hAnsi="Palatino Linotype" w:cs="Palatino Linotype"/>
          <w:color w:val="000000"/>
          <w:sz w:val="24"/>
          <w:szCs w:val="24"/>
        </w:rPr>
        <w:t>Además como consecuencia de las disposiciones legales contenidas en la </w:t>
      </w:r>
      <w:r>
        <w:rPr>
          <w:rFonts w:ascii="Palatino Linotype" w:eastAsia="Palatino Linotype" w:hAnsi="Palatino Linotype" w:cs="Palatino Linotype"/>
          <w:b/>
          <w:bCs/>
          <w:color w:val="000000"/>
          <w:sz w:val="24"/>
          <w:szCs w:val="24"/>
        </w:rPr>
        <w:t>Ley General de Transparencia y Acceso a la Información Pública</w:t>
      </w:r>
      <w:r>
        <w:rPr>
          <w:rFonts w:ascii="Palatino Linotype" w:eastAsia="Palatino Linotype" w:hAnsi="Palatino Linotype" w:cs="Palatino Linotype"/>
          <w:color w:val="000000"/>
          <w:sz w:val="24"/>
          <w:szCs w:val="24"/>
        </w:rPr>
        <w:t xml:space="preserve">, es que existe el mandato expreso de que en </w:t>
      </w:r>
      <w:r>
        <w:rPr>
          <w:rFonts w:ascii="Palatino Linotype" w:eastAsia="Palatino Linotype" w:hAnsi="Palatino Linotype" w:cs="Palatino Linotype"/>
          <w:color w:val="000000"/>
          <w:sz w:val="24"/>
          <w:szCs w:val="24"/>
        </w:rPr>
        <w:lastRenderedPageBreak/>
        <w:t>caso de no existir la documentación que debió, por mandato de ley, generarse, administrarse o poseerse, es obligación de la autoridad emitir una declaratoria formal que debe reunir los requisitos señalados en la propia norma jurídica,</w:t>
      </w:r>
      <w:r>
        <w:rPr>
          <w:rFonts w:ascii="Palatino Linotype" w:eastAsia="Palatino Linotype" w:hAnsi="Palatino Linotype" w:cs="Palatino Linotype"/>
          <w:color w:val="000000"/>
          <w:sz w:val="24"/>
          <w:szCs w:val="24"/>
          <w:vertAlign w:val="superscript"/>
        </w:rPr>
        <w:footnoteReference w:id="3"/>
      </w:r>
      <w:r>
        <w:rPr>
          <w:rFonts w:ascii="Palatino Linotype" w:eastAsia="Palatino Linotype" w:hAnsi="Palatino Linotype" w:cs="Palatino Linotype"/>
          <w:color w:val="000000"/>
          <w:sz w:val="24"/>
          <w:szCs w:val="24"/>
        </w:rPr>
        <w:t>según puede apreciarse a continuación:</w:t>
      </w:r>
    </w:p>
    <w:p w:rsidR="004E2169" w:rsidRDefault="006926CF">
      <w:pPr>
        <w:shd w:val="clear" w:color="auto" w:fill="FFFFFF"/>
        <w:tabs>
          <w:tab w:val="left" w:pos="851"/>
        </w:tabs>
        <w:spacing w:before="240" w:after="360" w:line="276" w:lineRule="auto"/>
        <w:ind w:left="851" w:right="-1017"/>
        <w:jc w:val="both"/>
        <w:rPr>
          <w:rFonts w:ascii="Palatino Linotype" w:eastAsia="Palatino Linotype" w:hAnsi="Palatino Linotype" w:cs="Palatino Linotype"/>
          <w:color w:val="222222"/>
          <w:sz w:val="24"/>
          <w:szCs w:val="24"/>
        </w:rPr>
      </w:pPr>
      <w:r>
        <w:rPr>
          <w:rFonts w:ascii="Palatino Linotype" w:eastAsia="Palatino Linotype" w:hAnsi="Palatino Linotype" w:cs="Palatino Linotype"/>
          <w:b/>
          <w:bCs/>
          <w:i/>
          <w:iCs/>
          <w:color w:val="000000"/>
          <w:sz w:val="24"/>
          <w:szCs w:val="24"/>
        </w:rPr>
        <w:t>“Artículo 19.</w:t>
      </w:r>
      <w:r>
        <w:rPr>
          <w:rFonts w:ascii="Palatino Linotype" w:eastAsia="Palatino Linotype" w:hAnsi="Palatino Linotype" w:cs="Palatino Linotype"/>
          <w:i/>
          <w:iCs/>
          <w:color w:val="000000"/>
          <w:sz w:val="24"/>
          <w:szCs w:val="24"/>
        </w:rPr>
        <w:t> Se presume que la información debe existir si se refiere a las facultades, competencias y funciones que los ordenamientos jurídicos aplicables otorgan a los sujetos obligados.</w:t>
      </w:r>
    </w:p>
    <w:p w:rsidR="004E2169" w:rsidRDefault="006926CF">
      <w:pPr>
        <w:shd w:val="clear" w:color="auto" w:fill="FFFFFF"/>
        <w:tabs>
          <w:tab w:val="left" w:pos="851"/>
        </w:tabs>
        <w:spacing w:before="240" w:after="240" w:line="276" w:lineRule="auto"/>
        <w:ind w:left="851" w:right="-101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En los casos en que ciertas facultades, competencias o funciones no se hayan ejercido, se debe motivar la respuesta en función de las causas que motiven la inexistencia.</w:t>
      </w:r>
    </w:p>
    <w:p w:rsidR="004E2169" w:rsidRDefault="006926CF">
      <w:pPr>
        <w:shd w:val="clear" w:color="auto" w:fill="FFFFFF"/>
        <w:tabs>
          <w:tab w:val="left" w:pos="851"/>
        </w:tabs>
        <w:spacing w:before="240" w:after="240" w:line="276" w:lineRule="auto"/>
        <w:ind w:left="851" w:right="-1017"/>
        <w:jc w:val="both"/>
        <w:rPr>
          <w:rFonts w:ascii="Palatino Linotype" w:eastAsia="Palatino Linotype" w:hAnsi="Palatino Linotype" w:cs="Palatino Linotype"/>
          <w:color w:val="222222"/>
          <w:sz w:val="24"/>
          <w:szCs w:val="24"/>
        </w:rPr>
      </w:pPr>
      <w:r>
        <w:rPr>
          <w:rFonts w:ascii="Palatino Linotype" w:eastAsia="Palatino Linotype" w:hAnsi="Palatino Linotype" w:cs="Palatino Linotype"/>
          <w:i/>
          <w:iCs/>
          <w:color w:val="000000"/>
          <w:sz w:val="24"/>
          <w:szCs w:val="24"/>
        </w:rPr>
        <w:t>(…)</w:t>
      </w:r>
    </w:p>
    <w:p w:rsidR="004E2169" w:rsidRPr="00C06B81" w:rsidRDefault="006926CF">
      <w:pPr>
        <w:numPr>
          <w:ilvl w:val="0"/>
          <w:numId w:val="2"/>
        </w:numPr>
        <w:shd w:val="clear" w:color="auto" w:fill="FFFFFF"/>
        <w:tabs>
          <w:tab w:val="left" w:pos="0"/>
        </w:tabs>
        <w:spacing w:after="160" w:line="360" w:lineRule="auto"/>
        <w:ind w:left="0" w:right="-1017" w:firstLine="0"/>
        <w:jc w:val="both"/>
        <w:rPr>
          <w:color w:val="222222"/>
        </w:rPr>
      </w:pPr>
      <w:r>
        <w:rPr>
          <w:rFonts w:ascii="Palatino Linotype" w:eastAsia="Palatino Linotype" w:hAnsi="Palatino Linotype" w:cs="Palatino Linotype"/>
          <w:color w:val="000000"/>
          <w:sz w:val="24"/>
          <w:szCs w:val="24"/>
        </w:rPr>
        <w:t>Y por cuanto hace a la normatividad local debe aplicarse lo establecido en los LINEAMIENTOS PARA LA RECEPCIÓN, TRÁMITE Y RESOLUCIÓN DE LAS SOLICITUDES DE ACCESO A LA INFORMACIÓN PÚBLICA, ACCESO, MODIFICACIÓN, SUSTITUCIÓN, RECTIFICACIÓN O SUPRESIÓN PARCIAL O TOTAL DE DATOS PERSONALES, ASÍ COMO DE LOS RECURSOS DE REVISIÓN QUE DEBERÁN OBSERVAR LOS SUJETOS OBLIGADOS POR LA LEY DE TRANSPARENCIA Y ACCESO A LA INFORMACIÓN PÚBLICA DEL ESTADO DE MÉXICO Y MUNICIPIOS, en su numeral CUARENTA Y CUATRO, así como, CUARENTA Y CINCO, y el criterio 0004-11 aprobado por el Pleno de este Órgano Garante, en la sesión ordinaria de fecha 25 de agosto del año 2011, que demuestran claramente el concepto de inexistencia, y en qué circunstancias debe emitirse la declaratoria respectiva:</w:t>
      </w:r>
    </w:p>
    <w:p w:rsidR="00C06B81" w:rsidRDefault="00C06B81" w:rsidP="00C06B81">
      <w:pPr>
        <w:shd w:val="clear" w:color="auto" w:fill="FFFFFF"/>
        <w:tabs>
          <w:tab w:val="left" w:pos="0"/>
        </w:tabs>
        <w:spacing w:after="160" w:line="360" w:lineRule="auto"/>
        <w:ind w:right="-1017"/>
        <w:jc w:val="both"/>
        <w:rPr>
          <w:color w:val="222222"/>
        </w:rPr>
      </w:pPr>
    </w:p>
    <w:p w:rsidR="004E2169" w:rsidRDefault="006926CF">
      <w:pPr>
        <w:shd w:val="clear" w:color="auto" w:fill="FFFFFF"/>
        <w:tabs>
          <w:tab w:val="left" w:pos="851"/>
        </w:tabs>
        <w:spacing w:line="360" w:lineRule="auto"/>
        <w:ind w:left="851" w:right="-1017"/>
        <w:jc w:val="center"/>
        <w:rPr>
          <w:rFonts w:ascii="Palatino Linotype" w:eastAsia="Palatino Linotype" w:hAnsi="Palatino Linotype" w:cs="Palatino Linotype"/>
          <w:color w:val="222222"/>
          <w:sz w:val="24"/>
          <w:szCs w:val="24"/>
        </w:rPr>
      </w:pPr>
      <w:r>
        <w:rPr>
          <w:rFonts w:ascii="Palatino Linotype" w:eastAsia="Palatino Linotype" w:hAnsi="Palatino Linotype" w:cs="Palatino Linotype"/>
          <w:b/>
          <w:bCs/>
          <w:i/>
          <w:iCs/>
          <w:color w:val="000000"/>
          <w:sz w:val="24"/>
          <w:szCs w:val="24"/>
        </w:rPr>
        <w:lastRenderedPageBreak/>
        <w:t>“CRITERIO 0004-11</w:t>
      </w:r>
    </w:p>
    <w:p w:rsidR="004E2169" w:rsidRDefault="006926CF">
      <w:pPr>
        <w:shd w:val="clear" w:color="auto" w:fill="FFFFFF"/>
        <w:tabs>
          <w:tab w:val="left" w:pos="851"/>
        </w:tabs>
        <w:spacing w:line="360" w:lineRule="auto"/>
        <w:ind w:left="851" w:right="-1017"/>
        <w:jc w:val="both"/>
        <w:rPr>
          <w:rFonts w:ascii="Palatino Linotype" w:eastAsia="Palatino Linotype" w:hAnsi="Palatino Linotype" w:cs="Palatino Linotype"/>
          <w:color w:val="222222"/>
          <w:sz w:val="24"/>
          <w:szCs w:val="24"/>
        </w:rPr>
      </w:pPr>
      <w:r>
        <w:rPr>
          <w:rFonts w:ascii="Palatino Linotype" w:eastAsia="Palatino Linotype" w:hAnsi="Palatino Linotype" w:cs="Palatino Linotype"/>
          <w:b/>
          <w:bCs/>
          <w:i/>
          <w:iCs/>
          <w:color w:val="000000"/>
          <w:sz w:val="24"/>
          <w:szCs w:val="24"/>
        </w:rPr>
        <w:t>INEXISTENCIA. DECLARATORIA DE LA. ALCANCES Y PROCEDIMIENTOS</w:t>
      </w:r>
      <w:r>
        <w:rPr>
          <w:rFonts w:ascii="Palatino Linotype" w:eastAsia="Palatino Linotype" w:hAnsi="Palatino Linotype" w:cs="Palatino Linotype"/>
          <w:i/>
          <w:iCs/>
          <w:color w:val="000000"/>
          <w:sz w:val="24"/>
          <w:szCs w:val="24"/>
        </w:rPr>
        <w:t>. De la interpretación de los artículos 29 y 30, fracción VIII, de la Ley de Transparencia y Acceso a la Información Pública del Estado de México y Municipios, se concluye que cuando el Titular de la Unidad de Información no localice la documentación solicitada, a pesar de haber sido generada, poseída o administrada por el Sujeto Obligado, turnará la solicitud al Comité de Información el cual es el único competente para conocer y deliberar mediante resolución el dictamen de declaratoria de inexistencia, la cual tiene como propósito que el particular tenga la certeza jurídica de que el Sujeto Obligado realizó una búsqueda exhaustiva y minuciosa de la información en los archivos a cargo. En consecuencia, es deber del Comité de Información instruir una búsqueda exhaustiva a todas y cada una de las áreas que integran orgánica o funcionalmente al Sujeto Obligado, para localizar los documentos que contengan la información materia de una solicitud, así como la de supervisar que esa búsqueda se lleve a cabo en todas y cada una de las áreas mencionadas. Dicha búsqueda exhaustiva implicará que el Comité acuerde las medidas pertinentes para la debida localización de la información requerida dentro de la estructura del Sujeto Obligado y, en general, el de adoptar cualquier otra previsión que considere conducente para tales efectos y velar por la certeza en el derecho de acceso a la información.</w:t>
      </w:r>
    </w:p>
    <w:p w:rsidR="004E2169" w:rsidRDefault="006926CF">
      <w:pPr>
        <w:shd w:val="clear" w:color="auto" w:fill="FFFFFF"/>
        <w:tabs>
          <w:tab w:val="left" w:pos="851"/>
        </w:tabs>
        <w:spacing w:line="360" w:lineRule="auto"/>
        <w:ind w:left="851" w:right="-1017"/>
        <w:jc w:val="both"/>
        <w:rPr>
          <w:rFonts w:ascii="Palatino Linotype" w:eastAsia="Palatino Linotype" w:hAnsi="Palatino Linotype" w:cs="Palatino Linotype"/>
          <w:color w:val="222222"/>
          <w:sz w:val="24"/>
          <w:szCs w:val="24"/>
        </w:rPr>
      </w:pPr>
      <w:r>
        <w:rPr>
          <w:rFonts w:ascii="Palatino Linotype" w:eastAsia="Palatino Linotype" w:hAnsi="Palatino Linotype" w:cs="Palatino Linotype"/>
          <w:i/>
          <w:iCs/>
          <w:color w:val="000000"/>
          <w:sz w:val="24"/>
          <w:szCs w:val="24"/>
        </w:rPr>
        <w:t>Bajo el entendido de que dicha búsqueda exhaustiva permitirá dos determinaciones:</w:t>
      </w:r>
    </w:p>
    <w:p w:rsidR="004E2169" w:rsidRDefault="006926CF">
      <w:pPr>
        <w:shd w:val="clear" w:color="auto" w:fill="FFFFFF"/>
        <w:tabs>
          <w:tab w:val="left" w:pos="851"/>
        </w:tabs>
        <w:spacing w:line="360" w:lineRule="auto"/>
        <w:ind w:left="851" w:right="-1017"/>
        <w:jc w:val="both"/>
        <w:rPr>
          <w:rFonts w:ascii="Palatino Linotype" w:eastAsia="Palatino Linotype" w:hAnsi="Palatino Linotype" w:cs="Palatino Linotype"/>
          <w:color w:val="222222"/>
          <w:sz w:val="24"/>
          <w:szCs w:val="24"/>
        </w:rPr>
      </w:pPr>
      <w:r>
        <w:rPr>
          <w:rFonts w:ascii="Palatino Linotype" w:eastAsia="Palatino Linotype" w:hAnsi="Palatino Linotype" w:cs="Palatino Linotype"/>
          <w:i/>
          <w:iCs/>
          <w:color w:val="000000"/>
          <w:sz w:val="24"/>
          <w:szCs w:val="24"/>
        </w:rPr>
        <w:t>1ª) Que se localice la documentación que contenga la información solicitada y de ser así la información pueda entregarse al solicitante en la forma en que se encuentra disponible, o</w:t>
      </w:r>
    </w:p>
    <w:p w:rsidR="004E2169" w:rsidRDefault="006926CF">
      <w:pPr>
        <w:shd w:val="clear" w:color="auto" w:fill="FFFFFF"/>
        <w:tabs>
          <w:tab w:val="left" w:pos="851"/>
        </w:tabs>
        <w:spacing w:line="360" w:lineRule="auto"/>
        <w:ind w:left="851" w:right="-1017"/>
        <w:jc w:val="both"/>
        <w:rPr>
          <w:rFonts w:ascii="Palatino Linotype" w:eastAsia="Palatino Linotype" w:hAnsi="Palatino Linotype" w:cs="Palatino Linotype"/>
          <w:color w:val="222222"/>
          <w:sz w:val="24"/>
          <w:szCs w:val="24"/>
        </w:rPr>
      </w:pPr>
      <w:r>
        <w:rPr>
          <w:rFonts w:ascii="Palatino Linotype" w:eastAsia="Palatino Linotype" w:hAnsi="Palatino Linotype" w:cs="Palatino Linotype"/>
          <w:i/>
          <w:iCs/>
          <w:color w:val="000000"/>
          <w:sz w:val="24"/>
          <w:szCs w:val="24"/>
        </w:rPr>
        <w:t>2ª) Que no se haya encontrado documento alguno que contenga la información requerida, por lo que agotadas las medidas necesarias de búsqueda de la información y de no encontrarla, el Comité de Información deba emitir el dictamen de declaratoria de inexistencia y notificarlo al interesado.</w:t>
      </w:r>
    </w:p>
    <w:p w:rsidR="004E2169" w:rsidRDefault="006926CF">
      <w:pPr>
        <w:shd w:val="clear" w:color="auto" w:fill="FFFFFF"/>
        <w:tabs>
          <w:tab w:val="left" w:pos="851"/>
        </w:tabs>
        <w:spacing w:line="360" w:lineRule="auto"/>
        <w:ind w:left="851" w:right="-1017"/>
        <w:jc w:val="both"/>
        <w:rPr>
          <w:rFonts w:ascii="Palatino Linotype" w:eastAsia="Palatino Linotype" w:hAnsi="Palatino Linotype" w:cs="Palatino Linotype"/>
          <w:color w:val="222222"/>
          <w:sz w:val="24"/>
          <w:szCs w:val="24"/>
        </w:rPr>
      </w:pPr>
      <w:r>
        <w:rPr>
          <w:rFonts w:ascii="Palatino Linotype" w:eastAsia="Palatino Linotype" w:hAnsi="Palatino Linotype" w:cs="Palatino Linotype"/>
          <w:i/>
          <w:iCs/>
          <w:color w:val="000000"/>
          <w:sz w:val="24"/>
          <w:szCs w:val="24"/>
        </w:rPr>
        <w:lastRenderedPageBreak/>
        <w:t>Aunado a lo anterior, en el dictamen de declaratoria de inexistencia el Comité de Información deberá motivar o precisar las razones por las que se buscó la información, las áreas en las que se instruyó la búsqueda, las respuestas otorgadas por los Servidores Públicos Habilitados y en general, todas aquéllas circunstancias que se tomaron en cuenta para llegar a determinar que la información requerida no obra en los archivos a cargo.” (Sic)</w:t>
      </w:r>
    </w:p>
    <w:p w:rsidR="004E2169" w:rsidRDefault="006926CF">
      <w:pPr>
        <w:numPr>
          <w:ilvl w:val="0"/>
          <w:numId w:val="2"/>
        </w:numPr>
        <w:shd w:val="clear" w:color="auto" w:fill="FFFFFF"/>
        <w:tabs>
          <w:tab w:val="left" w:pos="0"/>
        </w:tabs>
        <w:spacing w:before="240" w:after="240" w:line="360" w:lineRule="auto"/>
        <w:ind w:left="0" w:right="-1017" w:firstLine="0"/>
        <w:jc w:val="both"/>
        <w:rPr>
          <w:color w:val="222222"/>
        </w:rPr>
      </w:pPr>
      <w:r>
        <w:rPr>
          <w:rFonts w:ascii="Palatino Linotype" w:eastAsia="Palatino Linotype" w:hAnsi="Palatino Linotype" w:cs="Palatino Linotype"/>
          <w:color w:val="000000"/>
          <w:sz w:val="24"/>
          <w:szCs w:val="24"/>
        </w:rPr>
        <w:t>Bajo éste tenor se debe destacar que para que se declare la inexistencia de la información, debió haber existencia previa de la documentación y la falta posterior de la misma en los archivos del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esto es que la información se generó, poseyó o administró en el marco de las atribuciones conferidas a al Sujeto Obligado, pero no la conserva por diversas razones (destrucción física, desaparición física, sustracción ilícita, baja documental, etcétera). </w:t>
      </w:r>
    </w:p>
    <w:p w:rsidR="004E2169" w:rsidRDefault="006926CF">
      <w:pPr>
        <w:numPr>
          <w:ilvl w:val="0"/>
          <w:numId w:val="2"/>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sz w:val="24"/>
          <w:szCs w:val="24"/>
        </w:rPr>
        <w:t xml:space="preserve">Derivado de lo anteriormente señalado, se concluye que resultan fundadas las razones o motivos de inconformidad hechos valer por el </w:t>
      </w:r>
      <w:r>
        <w:rPr>
          <w:rFonts w:ascii="Palatino Linotype" w:eastAsia="Palatino Linotype" w:hAnsi="Palatino Linotype" w:cs="Palatino Linotype"/>
          <w:b/>
          <w:bCs/>
          <w:sz w:val="24"/>
          <w:szCs w:val="24"/>
        </w:rPr>
        <w:t>RECURRENTE</w:t>
      </w:r>
      <w:r>
        <w:rPr>
          <w:rFonts w:ascii="Palatino Linotype" w:eastAsia="Palatino Linotype" w:hAnsi="Palatino Linotype" w:cs="Palatino Linotype"/>
          <w:sz w:val="24"/>
          <w:szCs w:val="24"/>
        </w:rPr>
        <w:t xml:space="preserve"> dentro del recurso de revisión </w:t>
      </w:r>
      <w:r>
        <w:rPr>
          <w:rFonts w:ascii="Palatino Linotype" w:eastAsia="Palatino Linotype" w:hAnsi="Palatino Linotype" w:cs="Palatino Linotype"/>
          <w:b/>
          <w:bCs/>
          <w:sz w:val="24"/>
          <w:szCs w:val="24"/>
        </w:rPr>
        <w:t>01708/INFOEM/IP/RR/2026</w:t>
      </w:r>
      <w:r>
        <w:rPr>
          <w:rFonts w:ascii="Palatino Linotype" w:eastAsia="Palatino Linotype" w:hAnsi="Palatino Linotype" w:cs="Palatino Linotype"/>
          <w:sz w:val="24"/>
          <w:szCs w:val="24"/>
        </w:rPr>
        <w:t xml:space="preserve">; por ello, es procedente </w:t>
      </w:r>
      <w:r>
        <w:rPr>
          <w:rFonts w:ascii="Palatino Linotype" w:eastAsia="Palatino Linotype" w:hAnsi="Palatino Linotype" w:cs="Palatino Linotype"/>
          <w:b/>
          <w:bCs/>
          <w:sz w:val="24"/>
          <w:szCs w:val="24"/>
        </w:rPr>
        <w:t>ORDENAR</w:t>
      </w:r>
      <w:r>
        <w:rPr>
          <w:rFonts w:ascii="Palatino Linotype" w:eastAsia="Palatino Linotype" w:hAnsi="Palatino Linotype" w:cs="Palatino Linotype"/>
          <w:sz w:val="24"/>
          <w:szCs w:val="24"/>
        </w:rPr>
        <w:t xml:space="preserve"> al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la entrega de lo siguiente:</w:t>
      </w:r>
    </w:p>
    <w:p w:rsidR="004E2169" w:rsidRDefault="006926CF">
      <w:pPr>
        <w:numPr>
          <w:ilvl w:val="0"/>
          <w:numId w:val="4"/>
        </w:numPr>
        <w:pBdr>
          <w:top w:val="nil"/>
          <w:left w:val="nil"/>
          <w:bottom w:val="nil"/>
          <w:right w:val="nil"/>
          <w:between w:val="nil"/>
        </w:pBdr>
        <w:spacing w:line="360" w:lineRule="auto"/>
        <w:ind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 xml:space="preserve">Acuerdo emitido por el Comité de Transparencia en el que se declare la inexistencia en términos del artículo 19, párrafo tercero de la Ley de Transparencia y Acceso a la Información Pública del Estado de México y Municipios. </w:t>
      </w:r>
    </w:p>
    <w:p w:rsidR="004E2169" w:rsidRDefault="004E2169">
      <w:pPr>
        <w:pBdr>
          <w:top w:val="nil"/>
          <w:left w:val="nil"/>
          <w:bottom w:val="nil"/>
          <w:right w:val="nil"/>
          <w:between w:val="nil"/>
        </w:pBdr>
        <w:spacing w:line="360" w:lineRule="auto"/>
        <w:ind w:left="1211" w:right="-1017"/>
        <w:jc w:val="both"/>
        <w:rPr>
          <w:rFonts w:ascii="Palatino Linotype" w:eastAsia="Palatino Linotype" w:hAnsi="Palatino Linotype" w:cs="Palatino Linotype"/>
          <w:color w:val="000000"/>
          <w:sz w:val="24"/>
          <w:szCs w:val="24"/>
        </w:rPr>
      </w:pPr>
    </w:p>
    <w:p w:rsidR="004E2169" w:rsidRDefault="006926CF">
      <w:pPr>
        <w:numPr>
          <w:ilvl w:val="0"/>
          <w:numId w:val="2"/>
        </w:numPr>
        <w:pBdr>
          <w:top w:val="nil"/>
          <w:left w:val="nil"/>
          <w:bottom w:val="nil"/>
          <w:right w:val="nil"/>
          <w:between w:val="nil"/>
        </w:pBdr>
        <w:tabs>
          <w:tab w:val="left" w:pos="426"/>
          <w:tab w:val="left" w:pos="567"/>
        </w:tabs>
        <w:spacing w:line="360" w:lineRule="auto"/>
        <w:ind w:left="0" w:right="-1017" w:firstLine="0"/>
        <w:jc w:val="both"/>
        <w:rPr>
          <w:color w:val="000000"/>
        </w:rPr>
      </w:pPr>
      <w:bookmarkStart w:id="9" w:name="_heading=h.4d34og8" w:colFirst="0" w:colLast="0"/>
      <w:bookmarkEnd w:id="9"/>
      <w:r>
        <w:rPr>
          <w:rFonts w:ascii="Palatino Linotype" w:eastAsia="Palatino Linotype" w:hAnsi="Palatino Linotype" w:cs="Palatino Linotype"/>
          <w:color w:val="000000"/>
          <w:sz w:val="24"/>
          <w:szCs w:val="24"/>
        </w:rPr>
        <w:t xml:space="preserve">Por lo anteriormente expuesto y fundado, este </w:t>
      </w:r>
      <w:r>
        <w:rPr>
          <w:rFonts w:ascii="Palatino Linotype" w:eastAsia="Palatino Linotype" w:hAnsi="Palatino Linotype" w:cs="Palatino Linotype"/>
          <w:b/>
          <w:bCs/>
          <w:color w:val="000000"/>
          <w:sz w:val="24"/>
          <w:szCs w:val="24"/>
        </w:rPr>
        <w:t>ÓRGANO GARANTE</w:t>
      </w:r>
      <w:r>
        <w:rPr>
          <w:rFonts w:ascii="Palatino Linotype" w:eastAsia="Palatino Linotype" w:hAnsi="Palatino Linotype" w:cs="Palatino Linotype"/>
          <w:color w:val="000000"/>
          <w:sz w:val="24"/>
          <w:szCs w:val="24"/>
        </w:rPr>
        <w:t xml:space="preserve"> emite los siguientes:</w:t>
      </w:r>
    </w:p>
    <w:p w:rsidR="004E2169" w:rsidRDefault="004E2169">
      <w:pPr>
        <w:pBdr>
          <w:top w:val="nil"/>
          <w:left w:val="nil"/>
          <w:bottom w:val="nil"/>
          <w:right w:val="nil"/>
          <w:between w:val="nil"/>
        </w:pBdr>
        <w:tabs>
          <w:tab w:val="left" w:pos="426"/>
          <w:tab w:val="left" w:pos="567"/>
        </w:tabs>
        <w:spacing w:line="360" w:lineRule="auto"/>
        <w:ind w:right="-1017"/>
        <w:jc w:val="both"/>
        <w:rPr>
          <w:rFonts w:ascii="Palatino Linotype" w:eastAsia="Palatino Linotype" w:hAnsi="Palatino Linotype" w:cs="Palatino Linotype"/>
          <w:color w:val="000000"/>
          <w:sz w:val="24"/>
          <w:szCs w:val="24"/>
        </w:rPr>
      </w:pPr>
    </w:p>
    <w:p w:rsidR="00C06B81" w:rsidRDefault="00C06B81">
      <w:pPr>
        <w:pBdr>
          <w:top w:val="nil"/>
          <w:left w:val="nil"/>
          <w:bottom w:val="nil"/>
          <w:right w:val="nil"/>
          <w:between w:val="nil"/>
        </w:pBdr>
        <w:tabs>
          <w:tab w:val="left" w:pos="426"/>
          <w:tab w:val="left" w:pos="567"/>
        </w:tabs>
        <w:spacing w:line="360" w:lineRule="auto"/>
        <w:ind w:right="-1017"/>
        <w:jc w:val="both"/>
        <w:rPr>
          <w:rFonts w:ascii="Palatino Linotype" w:eastAsia="Palatino Linotype" w:hAnsi="Palatino Linotype" w:cs="Palatino Linotype"/>
          <w:color w:val="000000"/>
          <w:sz w:val="24"/>
          <w:szCs w:val="24"/>
        </w:rPr>
      </w:pPr>
    </w:p>
    <w:p w:rsidR="004E2169" w:rsidRDefault="006926CF">
      <w:pPr>
        <w:pStyle w:val="Ttulo1"/>
        <w:spacing w:before="0" w:line="360" w:lineRule="auto"/>
        <w:ind w:right="-1017"/>
        <w:jc w:val="center"/>
        <w:rPr>
          <w:rFonts w:ascii="Palatino Linotype" w:eastAsia="Palatino Linotype" w:hAnsi="Palatino Linotype" w:cs="Palatino Linotype"/>
          <w:b/>
          <w:bCs/>
          <w:color w:val="000000"/>
          <w:sz w:val="24"/>
          <w:szCs w:val="24"/>
        </w:rPr>
      </w:pPr>
      <w:bookmarkStart w:id="10" w:name="_heading=h.2s8eyo1" w:colFirst="0" w:colLast="0"/>
      <w:bookmarkEnd w:id="10"/>
      <w:r>
        <w:rPr>
          <w:rFonts w:ascii="Palatino Linotype" w:eastAsia="Palatino Linotype" w:hAnsi="Palatino Linotype" w:cs="Palatino Linotype"/>
          <w:b/>
          <w:bCs/>
          <w:color w:val="000000"/>
          <w:sz w:val="24"/>
          <w:szCs w:val="24"/>
        </w:rPr>
        <w:lastRenderedPageBreak/>
        <w:t>R E S O L U T I V O S</w:t>
      </w:r>
    </w:p>
    <w:p w:rsidR="004E2169" w:rsidRDefault="004E2169">
      <w:pPr>
        <w:ind w:right="-1017"/>
        <w:rPr>
          <w:rFonts w:ascii="Palatino Linotype" w:eastAsia="Palatino Linotype" w:hAnsi="Palatino Linotype" w:cs="Palatino Linotype"/>
          <w:sz w:val="24"/>
          <w:szCs w:val="24"/>
        </w:rPr>
      </w:pPr>
    </w:p>
    <w:p w:rsidR="004E2169" w:rsidRDefault="006926CF">
      <w:pPr>
        <w:spacing w:line="360" w:lineRule="auto"/>
        <w:ind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PRIMERO. </w:t>
      </w:r>
      <w:r>
        <w:rPr>
          <w:rFonts w:ascii="Palatino Linotype" w:eastAsia="Palatino Linotype" w:hAnsi="Palatino Linotype" w:cs="Palatino Linotype"/>
          <w:sz w:val="24"/>
          <w:szCs w:val="24"/>
        </w:rPr>
        <w:t>Resultan fundadas las</w:t>
      </w:r>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sz w:val="24"/>
          <w:szCs w:val="24"/>
        </w:rPr>
        <w:t>razones o motivos de inconformidad hechos valer en el recurso de revisión</w:t>
      </w:r>
      <w:r>
        <w:rPr>
          <w:rFonts w:ascii="Palatino Linotype" w:eastAsia="Palatino Linotype" w:hAnsi="Palatino Linotype" w:cs="Palatino Linotype"/>
          <w:b/>
          <w:bCs/>
          <w:sz w:val="24"/>
          <w:szCs w:val="24"/>
        </w:rPr>
        <w:t xml:space="preserve"> 01708/INFOEM/IP/RR/2026 </w:t>
      </w:r>
      <w:r>
        <w:rPr>
          <w:rFonts w:ascii="Palatino Linotype" w:eastAsia="Palatino Linotype" w:hAnsi="Palatino Linotype" w:cs="Palatino Linotype"/>
          <w:sz w:val="24"/>
          <w:szCs w:val="24"/>
        </w:rPr>
        <w:t xml:space="preserve">en términos del </w:t>
      </w:r>
      <w:r>
        <w:rPr>
          <w:rFonts w:ascii="Palatino Linotype" w:eastAsia="Palatino Linotype" w:hAnsi="Palatino Linotype" w:cs="Palatino Linotype"/>
          <w:b/>
          <w:bCs/>
          <w:sz w:val="24"/>
          <w:szCs w:val="24"/>
        </w:rPr>
        <w:t xml:space="preserve">Considerando CUARTO </w:t>
      </w:r>
      <w:r>
        <w:rPr>
          <w:rFonts w:ascii="Palatino Linotype" w:eastAsia="Palatino Linotype" w:hAnsi="Palatino Linotype" w:cs="Palatino Linotype"/>
          <w:sz w:val="24"/>
          <w:szCs w:val="24"/>
        </w:rPr>
        <w:t>de la presente resolución.</w:t>
      </w:r>
    </w:p>
    <w:p w:rsidR="004E2169" w:rsidRDefault="004E2169">
      <w:pPr>
        <w:spacing w:line="360" w:lineRule="auto"/>
        <w:ind w:right="-1017"/>
        <w:jc w:val="both"/>
        <w:rPr>
          <w:rFonts w:ascii="Palatino Linotype" w:eastAsia="Palatino Linotype" w:hAnsi="Palatino Linotype" w:cs="Palatino Linotype"/>
          <w:b/>
          <w:bCs/>
          <w:sz w:val="24"/>
          <w:szCs w:val="24"/>
        </w:rPr>
      </w:pPr>
    </w:p>
    <w:p w:rsidR="004E2169" w:rsidRDefault="006926CF">
      <w:pPr>
        <w:spacing w:line="360" w:lineRule="auto"/>
        <w:ind w:right="-1017"/>
        <w:jc w:val="both"/>
        <w:rPr>
          <w:rFonts w:ascii="Palatino Linotype" w:eastAsia="Palatino Linotype" w:hAnsi="Palatino Linotype" w:cs="Palatino Linotype"/>
          <w:sz w:val="24"/>
          <w:szCs w:val="24"/>
        </w:rPr>
      </w:pPr>
      <w:bookmarkStart w:id="11" w:name="_heading=h.17dp8vu" w:colFirst="0" w:colLast="0"/>
      <w:bookmarkEnd w:id="11"/>
      <w:r>
        <w:rPr>
          <w:rFonts w:ascii="Palatino Linotype" w:eastAsia="Palatino Linotype" w:hAnsi="Palatino Linotype" w:cs="Palatino Linotype"/>
          <w:b/>
          <w:bCs/>
          <w:sz w:val="24"/>
          <w:szCs w:val="24"/>
        </w:rPr>
        <w:t>SEGUNDO.</w:t>
      </w:r>
      <w:r>
        <w:rPr>
          <w:rFonts w:ascii="Palatino Linotype" w:eastAsia="Palatino Linotype" w:hAnsi="Palatino Linotype" w:cs="Palatino Linotype"/>
          <w:color w:val="2F5496"/>
          <w:sz w:val="24"/>
          <w:szCs w:val="24"/>
        </w:rPr>
        <w:t xml:space="preserve"> </w:t>
      </w:r>
      <w:r>
        <w:rPr>
          <w:rFonts w:ascii="Palatino Linotype" w:eastAsia="Palatino Linotype" w:hAnsi="Palatino Linotype" w:cs="Palatino Linotype"/>
          <w:sz w:val="24"/>
          <w:szCs w:val="24"/>
        </w:rPr>
        <w:t>Se</w:t>
      </w:r>
      <w:r>
        <w:rPr>
          <w:rFonts w:ascii="Palatino Linotype" w:eastAsia="Palatino Linotype" w:hAnsi="Palatino Linotype" w:cs="Palatino Linotype"/>
          <w:b/>
          <w:bCs/>
          <w:sz w:val="24"/>
          <w:szCs w:val="24"/>
        </w:rPr>
        <w:t xml:space="preserve"> ORDENA </w:t>
      </w:r>
      <w:r>
        <w:rPr>
          <w:rFonts w:ascii="Palatino Linotype" w:eastAsia="Palatino Linotype" w:hAnsi="Palatino Linotype" w:cs="Palatino Linotype"/>
          <w:sz w:val="24"/>
          <w:szCs w:val="24"/>
        </w:rPr>
        <w:t xml:space="preserve">al </w:t>
      </w:r>
      <w:r>
        <w:rPr>
          <w:rFonts w:ascii="Palatino Linotype" w:eastAsia="Palatino Linotype" w:hAnsi="Palatino Linotype" w:cs="Palatino Linotype"/>
          <w:b/>
          <w:bCs/>
          <w:sz w:val="24"/>
          <w:szCs w:val="24"/>
        </w:rPr>
        <w:t xml:space="preserve">Ayuntamiento de Luvianos, </w:t>
      </w:r>
      <w:r>
        <w:rPr>
          <w:rFonts w:ascii="Palatino Linotype" w:eastAsia="Palatino Linotype" w:hAnsi="Palatino Linotype" w:cs="Palatino Linotype"/>
          <w:sz w:val="24"/>
          <w:szCs w:val="24"/>
        </w:rPr>
        <w:t xml:space="preserve">dar atención a la solicitud de información </w:t>
      </w:r>
      <w:r>
        <w:rPr>
          <w:rFonts w:ascii="Palatino Linotype" w:eastAsia="Palatino Linotype" w:hAnsi="Palatino Linotype" w:cs="Palatino Linotype"/>
          <w:b/>
          <w:bCs/>
          <w:sz w:val="24"/>
          <w:szCs w:val="24"/>
        </w:rPr>
        <w:t xml:space="preserve">00002/LUVIANOS/IP/2026, </w:t>
      </w:r>
      <w:r>
        <w:rPr>
          <w:rFonts w:ascii="Palatino Linotype" w:eastAsia="Palatino Linotype" w:hAnsi="Palatino Linotype" w:cs="Palatino Linotype"/>
          <w:sz w:val="24"/>
          <w:szCs w:val="24"/>
        </w:rPr>
        <w:t xml:space="preserve">y entregar vía Sistema de Acceso a la Información Mexiquense </w:t>
      </w:r>
      <w:r>
        <w:rPr>
          <w:rFonts w:ascii="Palatino Linotype" w:eastAsia="Palatino Linotype" w:hAnsi="Palatino Linotype" w:cs="Palatino Linotype"/>
          <w:b/>
          <w:bCs/>
          <w:sz w:val="24"/>
          <w:szCs w:val="24"/>
        </w:rPr>
        <w:t xml:space="preserve">(SAIMEX), </w:t>
      </w:r>
      <w:r>
        <w:rPr>
          <w:rFonts w:ascii="Palatino Linotype" w:eastAsia="Palatino Linotype" w:hAnsi="Palatino Linotype" w:cs="Palatino Linotype"/>
          <w:sz w:val="24"/>
          <w:szCs w:val="24"/>
        </w:rPr>
        <w:t>la siguiente información:</w:t>
      </w:r>
    </w:p>
    <w:p w:rsidR="004E2169" w:rsidRDefault="004E2169">
      <w:pPr>
        <w:spacing w:line="360" w:lineRule="auto"/>
        <w:ind w:right="-1017"/>
        <w:jc w:val="both"/>
        <w:rPr>
          <w:rFonts w:ascii="Palatino Linotype" w:eastAsia="Palatino Linotype" w:hAnsi="Palatino Linotype" w:cs="Palatino Linotype"/>
          <w:b/>
          <w:bCs/>
          <w:color w:val="000000"/>
          <w:sz w:val="24"/>
          <w:szCs w:val="24"/>
        </w:rPr>
      </w:pPr>
    </w:p>
    <w:p w:rsidR="004E2169" w:rsidRDefault="006926CF">
      <w:pPr>
        <w:numPr>
          <w:ilvl w:val="0"/>
          <w:numId w:val="3"/>
        </w:numPr>
        <w:pBdr>
          <w:top w:val="nil"/>
          <w:left w:val="nil"/>
          <w:bottom w:val="nil"/>
          <w:right w:val="nil"/>
          <w:between w:val="nil"/>
        </w:pBdr>
        <w:spacing w:line="360" w:lineRule="auto"/>
        <w:ind w:right="-101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 xml:space="preserve">Acuerdo emitido por el Comité de Transparencia en el que se declare la inexistencia en términos del artículo 19, párrafo tercero de la Ley de Transparencia y Acceso a la Información Pública del Estado de México y Municipios. </w:t>
      </w:r>
    </w:p>
    <w:p w:rsidR="004E2169" w:rsidRDefault="004E2169">
      <w:pPr>
        <w:spacing w:line="360" w:lineRule="auto"/>
        <w:ind w:right="-1017"/>
        <w:jc w:val="both"/>
        <w:rPr>
          <w:rFonts w:ascii="Palatino Linotype" w:eastAsia="Palatino Linotype" w:hAnsi="Palatino Linotype" w:cs="Palatino Linotype"/>
          <w:sz w:val="24"/>
          <w:szCs w:val="24"/>
        </w:rPr>
      </w:pPr>
    </w:p>
    <w:p w:rsidR="004E2169" w:rsidRDefault="006926CF">
      <w:pPr>
        <w:tabs>
          <w:tab w:val="left" w:pos="8080"/>
        </w:tabs>
        <w:spacing w:line="360" w:lineRule="auto"/>
        <w:ind w:right="-1017"/>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 xml:space="preserve">TERCERO. </w:t>
      </w:r>
      <w:r>
        <w:rPr>
          <w:rFonts w:ascii="Palatino Linotype" w:eastAsia="Palatino Linotype" w:hAnsi="Palatino Linotype" w:cs="Palatino Linotype"/>
          <w:b/>
          <w:bCs/>
          <w:color w:val="000000"/>
          <w:sz w:val="24"/>
          <w:szCs w:val="24"/>
        </w:rPr>
        <w:t>Notifíquese</w:t>
      </w:r>
      <w:r>
        <w:rPr>
          <w:rFonts w:ascii="Palatino Linotype" w:eastAsia="Palatino Linotype" w:hAnsi="Palatino Linotype" w:cs="Palatino Linotype"/>
          <w:color w:val="000000"/>
          <w:sz w:val="24"/>
          <w:szCs w:val="24"/>
        </w:rPr>
        <w:t xml:space="preserve"> al </w:t>
      </w:r>
      <w:r>
        <w:rPr>
          <w:rFonts w:ascii="Palatino Linotype" w:eastAsia="Palatino Linotype" w:hAnsi="Palatino Linotype" w:cs="Palatino Linotype"/>
          <w:color w:val="222222"/>
          <w:sz w:val="24"/>
          <w:szCs w:val="24"/>
        </w:rPr>
        <w:t xml:space="preserve">Titular de la Unidad de Transparencia del </w:t>
      </w:r>
      <w:r>
        <w:rPr>
          <w:rFonts w:ascii="Palatino Linotype" w:eastAsia="Palatino Linotype" w:hAnsi="Palatino Linotype" w:cs="Palatino Linotype"/>
          <w:b/>
          <w:bCs/>
          <w:color w:val="222222"/>
          <w:sz w:val="24"/>
          <w:szCs w:val="24"/>
        </w:rPr>
        <w:t>SUJETO OBLIGADO</w:t>
      </w:r>
      <w:r>
        <w:rPr>
          <w:rFonts w:ascii="Palatino Linotype" w:eastAsia="Palatino Linotype" w:hAnsi="Palatino Linotype" w:cs="Palatino Linotype"/>
          <w:color w:val="222222"/>
          <w:sz w:val="24"/>
          <w:szCs w:val="24"/>
        </w:rPr>
        <w:t xml:space="preserve">, vía SAIMEX, la presente resolución,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sz w:val="24"/>
          <w:szCs w:val="24"/>
        </w:rPr>
        <w:t>dé cumplimiento a lo ordenado dentro del plazo de diez días hábiles</w:t>
      </w:r>
      <w:r>
        <w:rPr>
          <w:rFonts w:ascii="Palatino Linotype" w:eastAsia="Palatino Linotype" w:hAnsi="Palatino Linotype" w:cs="Palatino Linotype"/>
          <w:color w:val="222222"/>
          <w:sz w:val="24"/>
          <w:szCs w:val="24"/>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r>
        <w:rPr>
          <w:rFonts w:ascii="Palatino Linotype" w:eastAsia="Palatino Linotype" w:hAnsi="Palatino Linotype" w:cs="Palatino Linotype"/>
          <w:sz w:val="24"/>
          <w:szCs w:val="24"/>
        </w:rPr>
        <w:t>.</w:t>
      </w:r>
    </w:p>
    <w:p w:rsidR="004E2169" w:rsidRDefault="004E2169">
      <w:pPr>
        <w:shd w:val="clear" w:color="auto" w:fill="FFFFFF"/>
        <w:spacing w:line="360" w:lineRule="auto"/>
        <w:ind w:right="-1017"/>
        <w:jc w:val="both"/>
        <w:rPr>
          <w:rFonts w:ascii="Palatino Linotype" w:eastAsia="Palatino Linotype" w:hAnsi="Palatino Linotype" w:cs="Palatino Linotype"/>
          <w:b/>
          <w:bCs/>
          <w:sz w:val="24"/>
          <w:szCs w:val="24"/>
        </w:rPr>
      </w:pPr>
    </w:p>
    <w:p w:rsidR="004E2169" w:rsidRDefault="006926CF">
      <w:pPr>
        <w:shd w:val="clear" w:color="auto" w:fill="FFFFFF"/>
        <w:spacing w:line="360" w:lineRule="auto"/>
        <w:ind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lastRenderedPageBreak/>
        <w:t xml:space="preserve">CUARTO. </w:t>
      </w:r>
      <w:r>
        <w:rPr>
          <w:rFonts w:ascii="Palatino Linotype" w:eastAsia="Palatino Linotype" w:hAnsi="Palatino Linotype" w:cs="Palatino Linotype"/>
          <w:sz w:val="24"/>
          <w:szCs w:val="24"/>
        </w:rPr>
        <w:t xml:space="preserve">Notifíquese al </w:t>
      </w:r>
      <w:r>
        <w:rPr>
          <w:rFonts w:ascii="Palatino Linotype" w:eastAsia="Palatino Linotype" w:hAnsi="Palatino Linotype" w:cs="Palatino Linotype"/>
          <w:b/>
          <w:bCs/>
          <w:sz w:val="24"/>
          <w:szCs w:val="24"/>
        </w:rPr>
        <w:t xml:space="preserve">RECURRENTE </w:t>
      </w:r>
      <w:r>
        <w:rPr>
          <w:rFonts w:ascii="Palatino Linotype" w:eastAsia="Palatino Linotype" w:hAnsi="Palatino Linotype" w:cs="Palatino Linotype"/>
          <w:sz w:val="24"/>
          <w:szCs w:val="24"/>
        </w:rPr>
        <w:t xml:space="preserve">la presente resolución vía Sistema de Acceso a Información Mexiquense </w:t>
      </w:r>
      <w:r>
        <w:rPr>
          <w:rFonts w:ascii="Palatino Linotype" w:eastAsia="Palatino Linotype" w:hAnsi="Palatino Linotype" w:cs="Palatino Linotype"/>
          <w:b/>
          <w:bCs/>
          <w:sz w:val="24"/>
          <w:szCs w:val="24"/>
        </w:rPr>
        <w:t>(SAIMEX).</w:t>
      </w:r>
    </w:p>
    <w:p w:rsidR="004E2169" w:rsidRDefault="004E2169">
      <w:pPr>
        <w:shd w:val="clear" w:color="auto" w:fill="FFFFFF"/>
        <w:spacing w:line="360" w:lineRule="auto"/>
        <w:ind w:right="-1017"/>
        <w:jc w:val="both"/>
        <w:rPr>
          <w:rFonts w:ascii="Palatino Linotype" w:eastAsia="Palatino Linotype" w:hAnsi="Palatino Linotype" w:cs="Palatino Linotype"/>
          <w:sz w:val="24"/>
          <w:szCs w:val="24"/>
        </w:rPr>
      </w:pPr>
    </w:p>
    <w:p w:rsidR="004E2169" w:rsidRDefault="006926CF">
      <w:pPr>
        <w:shd w:val="clear" w:color="auto" w:fill="FFFFFF"/>
        <w:spacing w:line="360" w:lineRule="auto"/>
        <w:ind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QUINTO.</w:t>
      </w:r>
      <w:r>
        <w:rPr>
          <w:rFonts w:ascii="Palatino Linotype" w:eastAsia="Palatino Linotype" w:hAnsi="Palatino Linotype" w:cs="Palatino Linotype"/>
          <w:sz w:val="24"/>
          <w:szCs w:val="24"/>
        </w:rPr>
        <w:t xml:space="preserve"> Se hace del conocimiento del </w:t>
      </w:r>
      <w:r>
        <w:rPr>
          <w:rFonts w:ascii="Palatino Linotype" w:eastAsia="Palatino Linotype" w:hAnsi="Palatino Linotype" w:cs="Palatino Linotype"/>
          <w:b/>
          <w:bCs/>
          <w:sz w:val="24"/>
          <w:szCs w:val="24"/>
        </w:rPr>
        <w:t xml:space="preserve">RECURRENTE </w:t>
      </w:r>
      <w:r>
        <w:rPr>
          <w:rFonts w:ascii="Palatino Linotype" w:eastAsia="Palatino Linotype" w:hAnsi="Palatino Linotype" w:cs="Palatino Linotype"/>
          <w:sz w:val="24"/>
          <w:szCs w:val="24"/>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4E2169" w:rsidRDefault="004E2169">
      <w:pPr>
        <w:shd w:val="clear" w:color="auto" w:fill="FFFFFF"/>
        <w:spacing w:line="360" w:lineRule="auto"/>
        <w:ind w:right="-1017"/>
        <w:jc w:val="both"/>
        <w:rPr>
          <w:rFonts w:ascii="Palatino Linotype" w:eastAsia="Palatino Linotype" w:hAnsi="Palatino Linotype" w:cs="Palatino Linotype"/>
          <w:sz w:val="24"/>
          <w:szCs w:val="24"/>
        </w:rPr>
      </w:pPr>
    </w:p>
    <w:p w:rsidR="004E2169" w:rsidRDefault="006926CF">
      <w:pPr>
        <w:spacing w:line="360" w:lineRule="auto"/>
        <w:ind w:right="-1017"/>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SEXTO. </w:t>
      </w:r>
      <w:r>
        <w:rPr>
          <w:rFonts w:ascii="Palatino Linotype" w:eastAsia="Palatino Linotype" w:hAnsi="Palatino Linotype" w:cs="Palatino Linotype"/>
          <w:sz w:val="24"/>
          <w:szCs w:val="24"/>
        </w:rPr>
        <w:t>Hágase del conocimiento del</w:t>
      </w:r>
      <w:r>
        <w:rPr>
          <w:rFonts w:ascii="Palatino Linotype" w:eastAsia="Palatino Linotype" w:hAnsi="Palatino Linotype" w:cs="Palatino Linotype"/>
          <w:b/>
          <w:bCs/>
          <w:sz w:val="24"/>
          <w:szCs w:val="24"/>
        </w:rPr>
        <w:t xml:space="preserve"> RECURRENTE</w:t>
      </w:r>
      <w:r>
        <w:rPr>
          <w:rFonts w:ascii="Palatino Linotype" w:eastAsia="Palatino Linotype" w:hAnsi="Palatino Linotype" w:cs="Palatino Linotype"/>
          <w:sz w:val="24"/>
          <w:szCs w:val="24"/>
        </w:rPr>
        <w:t xml:space="preserve"> que la respuesta que dé el</w:t>
      </w:r>
      <w:r>
        <w:rPr>
          <w:rFonts w:ascii="Palatino Linotype" w:eastAsia="Palatino Linotype" w:hAnsi="Palatino Linotype" w:cs="Palatino Linotype"/>
          <w:b/>
          <w:bCs/>
          <w:sz w:val="24"/>
          <w:szCs w:val="24"/>
        </w:rPr>
        <w:t xml:space="preserve"> SUJETO OBLIGADO</w:t>
      </w:r>
      <w:r>
        <w:rPr>
          <w:rFonts w:ascii="Palatino Linotype" w:eastAsia="Palatino Linotype" w:hAnsi="Palatino Linotype" w:cs="Palatino Linotype"/>
          <w:sz w:val="24"/>
          <w:szCs w:val="24"/>
        </w:rPr>
        <w:t xml:space="preserve"> derivada de la presente resolución es susceptible de ser impugnada nuevamente, mediante recurso de revisión, ante el Instituto, en términos del artículo 179, último párrafo de la Ley de Transparencia y Acceso a la Información Pública del Estado de México y Municipios.</w:t>
      </w:r>
    </w:p>
    <w:p w:rsidR="004E2169" w:rsidRDefault="004E2169">
      <w:pPr>
        <w:spacing w:line="360" w:lineRule="auto"/>
        <w:ind w:right="-1017"/>
        <w:jc w:val="both"/>
        <w:rPr>
          <w:rFonts w:ascii="Palatino Linotype" w:eastAsia="Palatino Linotype" w:hAnsi="Palatino Linotype" w:cs="Palatino Linotype"/>
          <w:sz w:val="24"/>
          <w:szCs w:val="24"/>
        </w:rPr>
      </w:pPr>
    </w:p>
    <w:p w:rsidR="004E2169" w:rsidRDefault="006926CF">
      <w:pPr>
        <w:spacing w:line="360" w:lineRule="auto"/>
        <w:ind w:right="-1017"/>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SÉPTIMO.</w:t>
      </w:r>
      <w:r>
        <w:rPr>
          <w:rFonts w:ascii="Palatino Linotype" w:eastAsia="Palatino Linotype" w:hAnsi="Palatino Linotype" w:cs="Palatino Linotype"/>
          <w:sz w:val="24"/>
          <w:szCs w:val="24"/>
        </w:rPr>
        <w:t xml:space="preserve"> Gírese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determine lo conducente, en términos de lo señalado en el </w:t>
      </w:r>
      <w:r>
        <w:rPr>
          <w:rFonts w:ascii="Palatino Linotype" w:eastAsia="Palatino Linotype" w:hAnsi="Palatino Linotype" w:cs="Palatino Linotype"/>
          <w:b/>
          <w:bCs/>
          <w:sz w:val="24"/>
          <w:szCs w:val="24"/>
        </w:rPr>
        <w:t>Considerando SEXTO</w:t>
      </w:r>
      <w:r>
        <w:rPr>
          <w:rFonts w:ascii="Palatino Linotype" w:eastAsia="Palatino Linotype" w:hAnsi="Palatino Linotype" w:cs="Palatino Linotype"/>
          <w:sz w:val="24"/>
          <w:szCs w:val="24"/>
        </w:rPr>
        <w:t xml:space="preserve"> de la presente Resolución</w:t>
      </w:r>
      <w:r>
        <w:rPr>
          <w:rFonts w:ascii="Palatino Linotype" w:eastAsia="Palatino Linotype" w:hAnsi="Palatino Linotype" w:cs="Palatino Linotype"/>
          <w:b/>
          <w:bCs/>
          <w:sz w:val="24"/>
          <w:szCs w:val="24"/>
        </w:rPr>
        <w:t>.</w:t>
      </w:r>
    </w:p>
    <w:p w:rsidR="004E2169" w:rsidRDefault="004E2169">
      <w:pPr>
        <w:spacing w:line="360" w:lineRule="auto"/>
        <w:ind w:right="-1017"/>
        <w:jc w:val="both"/>
        <w:rPr>
          <w:rFonts w:ascii="Palatino Linotype" w:eastAsia="Palatino Linotype" w:hAnsi="Palatino Linotype" w:cs="Palatino Linotype"/>
          <w:b/>
          <w:bCs/>
          <w:sz w:val="24"/>
          <w:szCs w:val="24"/>
        </w:rPr>
      </w:pPr>
    </w:p>
    <w:p w:rsidR="0057359E" w:rsidRPr="0057359E" w:rsidRDefault="0057359E" w:rsidP="0057359E">
      <w:pPr>
        <w:spacing w:before="240" w:after="240" w:line="360" w:lineRule="auto"/>
        <w:ind w:right="-1021" w:firstLine="1"/>
        <w:jc w:val="both"/>
        <w:rPr>
          <w:rFonts w:ascii="Palatino Linotype" w:hAnsi="Palatino Linotype"/>
          <w:sz w:val="24"/>
        </w:rPr>
      </w:pPr>
      <w:bookmarkStart w:id="12" w:name="_Hlk99014733"/>
      <w:r w:rsidRPr="0057359E">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w:t>
      </w:r>
      <w:r w:rsidRPr="0057359E">
        <w:rPr>
          <w:rFonts w:ascii="Palatino Linotype" w:hAnsi="Palatino Linotype" w:cs="Palatino Linotype"/>
          <w:sz w:val="24"/>
        </w:rPr>
        <w:lastRenderedPageBreak/>
        <w:t xml:space="preserve">SHARON CRISTINA MORALES MARTÍNEZ, LUIS GUSTAVO PARRA NORIEGA Y GUADALUPE RAMÍREZ PEÑA; EN LA VIGÉSIMA CUARTA SESIÓN ORDINARIA, CELEBRADA EL UNO (01) DE JULIO DE DOS MIL VEINTISÉIS, ANTE EL SECRETARIO TÉCNICO DEL PLENO </w:t>
      </w:r>
      <w:r w:rsidRPr="0057359E">
        <w:rPr>
          <w:rFonts w:ascii="Palatino Linotype" w:hAnsi="Palatino Linotype" w:cs="Palatino Linotype"/>
          <w:color w:val="000000" w:themeColor="text1"/>
          <w:sz w:val="24"/>
        </w:rPr>
        <w:t>ALEXIS TAPIA RAMÍREZ.</w:t>
      </w:r>
    </w:p>
    <w:bookmarkEnd w:id="12"/>
    <w:p w:rsidR="004E2169" w:rsidRPr="0057359E" w:rsidRDefault="004E2169" w:rsidP="0057359E">
      <w:pPr>
        <w:spacing w:before="240" w:after="360" w:line="360" w:lineRule="auto"/>
        <w:ind w:right="-1021"/>
        <w:jc w:val="both"/>
        <w:rPr>
          <w:rFonts w:ascii="Palatino Linotype" w:eastAsia="Palatino Linotype" w:hAnsi="Palatino Linotype" w:cs="Palatino Linotype"/>
          <w:color w:val="222222"/>
          <w:sz w:val="32"/>
          <w:szCs w:val="24"/>
        </w:rPr>
      </w:pPr>
    </w:p>
    <w:p w:rsidR="004E2169" w:rsidRDefault="004E2169">
      <w:pPr>
        <w:spacing w:before="240" w:after="360" w:line="360" w:lineRule="auto"/>
        <w:ind w:right="-1017"/>
        <w:jc w:val="both"/>
        <w:rPr>
          <w:rFonts w:ascii="Palatino Linotype" w:eastAsia="Palatino Linotype" w:hAnsi="Palatino Linotype" w:cs="Palatino Linotype"/>
          <w:color w:val="222222"/>
          <w:sz w:val="24"/>
          <w:szCs w:val="24"/>
        </w:rPr>
      </w:pPr>
    </w:p>
    <w:p w:rsidR="00C06B81" w:rsidRDefault="00C06B81">
      <w:pPr>
        <w:spacing w:before="240" w:after="360" w:line="360" w:lineRule="auto"/>
        <w:ind w:right="-1017"/>
        <w:jc w:val="both"/>
        <w:rPr>
          <w:rFonts w:ascii="Palatino Linotype" w:eastAsia="Palatino Linotype" w:hAnsi="Palatino Linotype" w:cs="Palatino Linotype"/>
          <w:color w:val="222222"/>
          <w:sz w:val="24"/>
          <w:szCs w:val="24"/>
        </w:rPr>
      </w:pPr>
    </w:p>
    <w:p w:rsidR="00C06B81" w:rsidRDefault="00C06B81">
      <w:pPr>
        <w:spacing w:before="240" w:after="360" w:line="360" w:lineRule="auto"/>
        <w:ind w:right="-1017"/>
        <w:jc w:val="both"/>
        <w:rPr>
          <w:rFonts w:ascii="Palatino Linotype" w:eastAsia="Palatino Linotype" w:hAnsi="Palatino Linotype" w:cs="Palatino Linotype"/>
          <w:color w:val="222222"/>
          <w:sz w:val="24"/>
          <w:szCs w:val="24"/>
        </w:rPr>
      </w:pPr>
    </w:p>
    <w:p w:rsidR="00C06B81" w:rsidRDefault="00C06B81">
      <w:pPr>
        <w:spacing w:before="240" w:after="360" w:line="360" w:lineRule="auto"/>
        <w:ind w:right="-1017"/>
        <w:jc w:val="both"/>
        <w:rPr>
          <w:rFonts w:ascii="Palatino Linotype" w:eastAsia="Palatino Linotype" w:hAnsi="Palatino Linotype" w:cs="Palatino Linotype"/>
          <w:color w:val="222222"/>
          <w:sz w:val="24"/>
          <w:szCs w:val="24"/>
        </w:rPr>
      </w:pPr>
    </w:p>
    <w:p w:rsidR="00C06B81" w:rsidRDefault="00C06B81">
      <w:pPr>
        <w:spacing w:before="240" w:after="360" w:line="360" w:lineRule="auto"/>
        <w:ind w:right="-1017"/>
        <w:jc w:val="both"/>
        <w:rPr>
          <w:rFonts w:ascii="Palatino Linotype" w:eastAsia="Palatino Linotype" w:hAnsi="Palatino Linotype" w:cs="Palatino Linotype"/>
          <w:color w:val="222222"/>
          <w:sz w:val="24"/>
          <w:szCs w:val="24"/>
        </w:rPr>
      </w:pPr>
    </w:p>
    <w:p w:rsidR="00C06B81" w:rsidRDefault="00C06B81">
      <w:pPr>
        <w:spacing w:before="240" w:after="360" w:line="360" w:lineRule="auto"/>
        <w:ind w:right="-1017"/>
        <w:jc w:val="both"/>
        <w:rPr>
          <w:rFonts w:ascii="Palatino Linotype" w:eastAsia="Palatino Linotype" w:hAnsi="Palatino Linotype" w:cs="Palatino Linotype"/>
          <w:color w:val="222222"/>
          <w:sz w:val="24"/>
          <w:szCs w:val="24"/>
        </w:rPr>
      </w:pPr>
    </w:p>
    <w:p w:rsidR="00C06B81" w:rsidRDefault="00C06B81">
      <w:pPr>
        <w:spacing w:before="240" w:after="360" w:line="360" w:lineRule="auto"/>
        <w:ind w:right="-1017"/>
        <w:jc w:val="both"/>
        <w:rPr>
          <w:rFonts w:ascii="Palatino Linotype" w:eastAsia="Palatino Linotype" w:hAnsi="Palatino Linotype" w:cs="Palatino Linotype"/>
          <w:color w:val="222222"/>
          <w:sz w:val="24"/>
          <w:szCs w:val="24"/>
        </w:rPr>
      </w:pPr>
    </w:p>
    <w:p w:rsidR="00C06B81" w:rsidRDefault="00C06B81">
      <w:pPr>
        <w:spacing w:before="240" w:after="360" w:line="360" w:lineRule="auto"/>
        <w:ind w:right="-1017"/>
        <w:jc w:val="both"/>
        <w:rPr>
          <w:rFonts w:ascii="Palatino Linotype" w:eastAsia="Palatino Linotype" w:hAnsi="Palatino Linotype" w:cs="Palatino Linotype"/>
          <w:color w:val="222222"/>
          <w:sz w:val="24"/>
          <w:szCs w:val="24"/>
        </w:rPr>
      </w:pPr>
    </w:p>
    <w:p w:rsidR="00C06B81" w:rsidRDefault="00C06B81">
      <w:pPr>
        <w:spacing w:before="240" w:after="360" w:line="360" w:lineRule="auto"/>
        <w:ind w:right="-1017"/>
        <w:jc w:val="both"/>
        <w:rPr>
          <w:rFonts w:ascii="Palatino Linotype" w:eastAsia="Palatino Linotype" w:hAnsi="Palatino Linotype" w:cs="Palatino Linotype"/>
          <w:color w:val="222222"/>
          <w:sz w:val="24"/>
          <w:szCs w:val="24"/>
        </w:rPr>
      </w:pPr>
    </w:p>
    <w:p w:rsidR="004E2169" w:rsidRDefault="004E2169">
      <w:pPr>
        <w:spacing w:before="240" w:after="360" w:line="360" w:lineRule="auto"/>
        <w:ind w:right="-1017"/>
        <w:jc w:val="both"/>
        <w:rPr>
          <w:rFonts w:ascii="Palatino Linotype" w:eastAsia="Palatino Linotype" w:hAnsi="Palatino Linotype" w:cs="Palatino Linotype"/>
          <w:color w:val="222222"/>
          <w:sz w:val="24"/>
          <w:szCs w:val="24"/>
        </w:rPr>
      </w:pPr>
    </w:p>
    <w:p w:rsidR="004E2169" w:rsidRDefault="004E2169">
      <w:pPr>
        <w:spacing w:before="240" w:after="360" w:line="360" w:lineRule="auto"/>
        <w:ind w:right="-1017"/>
        <w:jc w:val="both"/>
        <w:rPr>
          <w:rFonts w:ascii="Palatino Linotype" w:eastAsia="Palatino Linotype" w:hAnsi="Palatino Linotype" w:cs="Palatino Linotype"/>
          <w:color w:val="222222"/>
          <w:sz w:val="24"/>
          <w:szCs w:val="24"/>
        </w:rPr>
      </w:pPr>
    </w:p>
    <w:p w:rsidR="004E2169" w:rsidRDefault="004E2169">
      <w:pPr>
        <w:spacing w:before="240" w:after="360" w:line="360" w:lineRule="auto"/>
        <w:ind w:right="-1017"/>
        <w:jc w:val="both"/>
        <w:rPr>
          <w:rFonts w:ascii="Palatino Linotype" w:eastAsia="Palatino Linotype" w:hAnsi="Palatino Linotype" w:cs="Palatino Linotype"/>
          <w:color w:val="222222"/>
          <w:sz w:val="24"/>
          <w:szCs w:val="24"/>
        </w:rPr>
      </w:pPr>
    </w:p>
    <w:p w:rsidR="004E2169" w:rsidRDefault="004E2169">
      <w:pPr>
        <w:spacing w:before="240" w:after="360" w:line="360" w:lineRule="auto"/>
        <w:ind w:right="-1017"/>
        <w:jc w:val="both"/>
        <w:rPr>
          <w:rFonts w:ascii="Palatino Linotype" w:eastAsia="Palatino Linotype" w:hAnsi="Palatino Linotype" w:cs="Palatino Linotype"/>
          <w:color w:val="222222"/>
          <w:sz w:val="24"/>
          <w:szCs w:val="24"/>
        </w:rPr>
      </w:pPr>
    </w:p>
    <w:p w:rsidR="004E2169" w:rsidRDefault="004E2169">
      <w:pPr>
        <w:ind w:right="-1017"/>
        <w:rPr>
          <w:rFonts w:ascii="Palatino Linotype" w:eastAsia="Palatino Linotype" w:hAnsi="Palatino Linotype" w:cs="Palatino Linotype"/>
          <w:sz w:val="24"/>
          <w:szCs w:val="24"/>
        </w:rPr>
      </w:pPr>
    </w:p>
    <w:p w:rsidR="004E2169" w:rsidRDefault="004E2169">
      <w:pPr>
        <w:ind w:right="-1017"/>
        <w:rPr>
          <w:sz w:val="24"/>
          <w:szCs w:val="24"/>
        </w:rPr>
      </w:pPr>
    </w:p>
    <w:p w:rsidR="004E2169" w:rsidRDefault="004E2169">
      <w:pPr>
        <w:ind w:right="-1017"/>
        <w:rPr>
          <w:sz w:val="24"/>
          <w:szCs w:val="24"/>
        </w:rPr>
      </w:pPr>
    </w:p>
    <w:p w:rsidR="004E2169" w:rsidRDefault="004E2169">
      <w:pPr>
        <w:ind w:right="-1017"/>
        <w:rPr>
          <w:sz w:val="24"/>
          <w:szCs w:val="24"/>
        </w:rPr>
      </w:pPr>
    </w:p>
    <w:p w:rsidR="004E2169" w:rsidRDefault="004E2169">
      <w:pPr>
        <w:ind w:right="-1017"/>
        <w:rPr>
          <w:sz w:val="24"/>
          <w:szCs w:val="24"/>
        </w:rPr>
      </w:pPr>
    </w:p>
    <w:p w:rsidR="004E2169" w:rsidRDefault="006926CF">
      <w:pPr>
        <w:ind w:right="-1017"/>
        <w:rPr>
          <w:sz w:val="24"/>
          <w:szCs w:val="24"/>
        </w:rPr>
      </w:pPr>
      <w:r>
        <w:rPr>
          <w:sz w:val="24"/>
          <w:szCs w:val="24"/>
        </w:rPr>
        <w:t xml:space="preserve"> </w:t>
      </w:r>
    </w:p>
    <w:p w:rsidR="004E2169" w:rsidRDefault="004E2169">
      <w:pPr>
        <w:ind w:right="-1017"/>
        <w:rPr>
          <w:sz w:val="24"/>
          <w:szCs w:val="24"/>
        </w:rPr>
      </w:pPr>
    </w:p>
    <w:p w:rsidR="004E2169" w:rsidRDefault="004E2169">
      <w:pPr>
        <w:ind w:right="-1017"/>
        <w:rPr>
          <w:sz w:val="24"/>
          <w:szCs w:val="24"/>
        </w:rPr>
      </w:pPr>
    </w:p>
    <w:sectPr w:rsidR="004E2169">
      <w:headerReference w:type="even" r:id="rId9"/>
      <w:headerReference w:type="default" r:id="rId10"/>
      <w:footerReference w:type="default" r:id="rId11"/>
      <w:headerReference w:type="first" r:id="rId12"/>
      <w:footerReference w:type="first" r:id="rId13"/>
      <w:pgSz w:w="12240" w:h="15840"/>
      <w:pgMar w:top="80" w:right="1608" w:bottom="1418"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B63" w:rsidRDefault="008C2B63">
      <w:r>
        <w:separator/>
      </w:r>
    </w:p>
  </w:endnote>
  <w:endnote w:type="continuationSeparator" w:id="0">
    <w:p w:rsidR="008C2B63" w:rsidRDefault="008C2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12EF7D82-0FFE-4E17-A388-6D565788DBAF}"/>
    <w:embedBold r:id="rId2" w:fontKey="{3E5A5E9C-68E9-4D1D-A6C3-EEA1D2311656}"/>
    <w:embedItalic r:id="rId3" w:fontKey="{D0634273-0510-4CBC-BA37-2FE434B252F8}"/>
    <w:embedBoldItalic r:id="rId4" w:fontKey="{C84B2D6D-DE1C-4644-AEC8-06EC8B8990B9}"/>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5" w:fontKey="{E1DED4BD-3CFD-4DC4-AFB5-76B73C8C407C}"/>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3B98F397-CCFB-45A0-AB88-83652FF6C189}"/>
    <w:embedItalic r:id="rId7" w:fontKey="{DE22F400-E2FF-42CD-AEF6-23A4A8DBA3FD}"/>
  </w:font>
  <w:font w:name="Georgia">
    <w:panose1 w:val="02040502050405020303"/>
    <w:charset w:val="00"/>
    <w:family w:val="roman"/>
    <w:pitch w:val="variable"/>
    <w:sig w:usb0="00000287" w:usb1="00000000" w:usb2="00000000" w:usb3="00000000" w:csb0="0000009F" w:csb1="00000000"/>
    <w:embedItalic r:id="rId8" w:fontKey="{814B252B-1943-4C9A-A510-F7EBF0AC09AE}"/>
  </w:font>
  <w:font w:name="Century Gothic">
    <w:panose1 w:val="020B0502020202020204"/>
    <w:charset w:val="00"/>
    <w:family w:val="swiss"/>
    <w:pitch w:val="variable"/>
    <w:sig w:usb0="00000287" w:usb1="00000000" w:usb2="00000000" w:usb3="00000000" w:csb0="0000009F" w:csb1="00000000"/>
    <w:embedRegular r:id="rId9" w:fontKey="{77BFDC28-C2E2-4BB9-ABE4-32BA92134EE7}"/>
  </w:font>
  <w:font w:name="Garamond">
    <w:panose1 w:val="02020404030301010803"/>
    <w:charset w:val="00"/>
    <w:family w:val="roman"/>
    <w:pitch w:val="variable"/>
    <w:sig w:usb0="00000287" w:usb1="00000000" w:usb2="00000000" w:usb3="00000000" w:csb0="0000009F" w:csb1="00000000"/>
    <w:embedRegular r:id="rId10" w:fontKey="{67871BC4-555E-45A8-A663-B27C7BEA264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1" w:fontKey="{46385AEC-91BD-42F1-8D3A-98833592138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169" w:rsidRDefault="004E2169">
    <w:pPr>
      <w:pBdr>
        <w:top w:val="nil"/>
        <w:left w:val="nil"/>
        <w:bottom w:val="nil"/>
        <w:right w:val="nil"/>
        <w:between w:val="nil"/>
      </w:pBdr>
      <w:tabs>
        <w:tab w:val="center" w:pos="4419"/>
        <w:tab w:val="right" w:pos="8838"/>
      </w:tabs>
      <w:jc w:val="right"/>
      <w:rPr>
        <w:color w:val="000000"/>
      </w:rPr>
    </w:pPr>
  </w:p>
  <w:p w:rsidR="004E2169" w:rsidRDefault="006926CF">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7D4BC5">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7D4BC5">
      <w:rPr>
        <w:rFonts w:ascii="Palatino Linotype" w:eastAsia="Palatino Linotype" w:hAnsi="Palatino Linotype" w:cs="Palatino Linotype"/>
        <w:b/>
        <w:bCs/>
        <w:noProof/>
        <w:color w:val="000000"/>
        <w:sz w:val="22"/>
        <w:szCs w:val="22"/>
      </w:rPr>
      <w:t>25</w:t>
    </w:r>
    <w:r>
      <w:rPr>
        <w:rFonts w:ascii="Palatino Linotype" w:eastAsia="Palatino Linotype" w:hAnsi="Palatino Linotype" w:cs="Palatino Linotype"/>
        <w:b/>
        <w:bCs/>
        <w:color w:val="000000"/>
        <w:sz w:val="22"/>
        <w:szCs w:val="22"/>
      </w:rPr>
      <w:fldChar w:fldCharType="end"/>
    </w:r>
  </w:p>
  <w:p w:rsidR="004E2169" w:rsidRDefault="004E2169">
    <w:pPr>
      <w:pBdr>
        <w:top w:val="nil"/>
        <w:left w:val="nil"/>
        <w:bottom w:val="nil"/>
        <w:right w:val="nil"/>
        <w:between w:val="nil"/>
      </w:pBdr>
      <w:tabs>
        <w:tab w:val="center" w:pos="4419"/>
        <w:tab w:val="right" w:pos="8838"/>
      </w:tabs>
      <w:rPr>
        <w:color w:val="000000"/>
      </w:rPr>
    </w:pPr>
  </w:p>
  <w:p w:rsidR="004E2169" w:rsidRDefault="004E2169"/>
  <w:p w:rsidR="004E2169" w:rsidRDefault="004E2169"/>
  <w:p w:rsidR="004E2169" w:rsidRDefault="004E216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169" w:rsidRPr="00C06B81" w:rsidRDefault="006926CF">
    <w:pPr>
      <w:pBdr>
        <w:top w:val="nil"/>
        <w:left w:val="nil"/>
        <w:bottom w:val="nil"/>
        <w:right w:val="nil"/>
        <w:between w:val="nil"/>
      </w:pBdr>
      <w:tabs>
        <w:tab w:val="center" w:pos="4419"/>
        <w:tab w:val="right" w:pos="8838"/>
      </w:tabs>
      <w:jc w:val="right"/>
      <w:rPr>
        <w:rFonts w:ascii="Palatino Linotype" w:hAnsi="Palatino Linotype"/>
        <w:color w:val="000000"/>
        <w:sz w:val="22"/>
        <w:szCs w:val="22"/>
      </w:rPr>
    </w:pPr>
    <w:r w:rsidRPr="00C06B81">
      <w:rPr>
        <w:rFonts w:ascii="Palatino Linotype" w:hAnsi="Palatino Linotype"/>
        <w:color w:val="000000"/>
        <w:sz w:val="22"/>
        <w:szCs w:val="22"/>
      </w:rPr>
      <w:t xml:space="preserve">Página </w:t>
    </w:r>
    <w:r w:rsidRPr="00C06B81">
      <w:rPr>
        <w:rFonts w:ascii="Palatino Linotype" w:hAnsi="Palatino Linotype"/>
        <w:b/>
        <w:bCs/>
        <w:color w:val="000000"/>
        <w:sz w:val="22"/>
        <w:szCs w:val="22"/>
      </w:rPr>
      <w:fldChar w:fldCharType="begin"/>
    </w:r>
    <w:r w:rsidRPr="00C06B81">
      <w:rPr>
        <w:rFonts w:ascii="Palatino Linotype" w:hAnsi="Palatino Linotype"/>
        <w:b/>
        <w:bCs/>
        <w:color w:val="000000"/>
        <w:sz w:val="22"/>
        <w:szCs w:val="22"/>
      </w:rPr>
      <w:instrText>PAGE</w:instrText>
    </w:r>
    <w:r w:rsidRPr="00C06B81">
      <w:rPr>
        <w:rFonts w:ascii="Palatino Linotype" w:hAnsi="Palatino Linotype"/>
        <w:b/>
        <w:bCs/>
        <w:color w:val="000000"/>
        <w:sz w:val="22"/>
        <w:szCs w:val="22"/>
      </w:rPr>
      <w:fldChar w:fldCharType="separate"/>
    </w:r>
    <w:r w:rsidR="007D4BC5">
      <w:rPr>
        <w:rFonts w:ascii="Palatino Linotype" w:hAnsi="Palatino Linotype"/>
        <w:b/>
        <w:bCs/>
        <w:noProof/>
        <w:color w:val="000000"/>
        <w:sz w:val="22"/>
        <w:szCs w:val="22"/>
      </w:rPr>
      <w:t>1</w:t>
    </w:r>
    <w:r w:rsidRPr="00C06B81">
      <w:rPr>
        <w:rFonts w:ascii="Palatino Linotype" w:hAnsi="Palatino Linotype"/>
        <w:b/>
        <w:bCs/>
        <w:color w:val="000000"/>
        <w:sz w:val="22"/>
        <w:szCs w:val="22"/>
      </w:rPr>
      <w:fldChar w:fldCharType="end"/>
    </w:r>
    <w:r w:rsidRPr="00C06B81">
      <w:rPr>
        <w:rFonts w:ascii="Palatino Linotype" w:hAnsi="Palatino Linotype"/>
        <w:color w:val="000000"/>
        <w:sz w:val="22"/>
        <w:szCs w:val="22"/>
      </w:rPr>
      <w:t xml:space="preserve"> de </w:t>
    </w:r>
    <w:r w:rsidRPr="00C06B81">
      <w:rPr>
        <w:rFonts w:ascii="Palatino Linotype" w:hAnsi="Palatino Linotype"/>
        <w:b/>
        <w:bCs/>
        <w:color w:val="000000"/>
        <w:sz w:val="22"/>
        <w:szCs w:val="22"/>
      </w:rPr>
      <w:fldChar w:fldCharType="begin"/>
    </w:r>
    <w:r w:rsidRPr="00C06B81">
      <w:rPr>
        <w:rFonts w:ascii="Palatino Linotype" w:hAnsi="Palatino Linotype"/>
        <w:b/>
        <w:bCs/>
        <w:color w:val="000000"/>
        <w:sz w:val="22"/>
        <w:szCs w:val="22"/>
      </w:rPr>
      <w:instrText>NUMPAGES</w:instrText>
    </w:r>
    <w:r w:rsidRPr="00C06B81">
      <w:rPr>
        <w:rFonts w:ascii="Palatino Linotype" w:hAnsi="Palatino Linotype"/>
        <w:b/>
        <w:bCs/>
        <w:color w:val="000000"/>
        <w:sz w:val="22"/>
        <w:szCs w:val="22"/>
      </w:rPr>
      <w:fldChar w:fldCharType="separate"/>
    </w:r>
    <w:r w:rsidR="007D4BC5">
      <w:rPr>
        <w:rFonts w:ascii="Palatino Linotype" w:hAnsi="Palatino Linotype"/>
        <w:b/>
        <w:bCs/>
        <w:noProof/>
        <w:color w:val="000000"/>
        <w:sz w:val="22"/>
        <w:szCs w:val="22"/>
      </w:rPr>
      <w:t>25</w:t>
    </w:r>
    <w:r w:rsidRPr="00C06B81">
      <w:rPr>
        <w:rFonts w:ascii="Palatino Linotype" w:hAnsi="Palatino Linotype"/>
        <w:b/>
        <w:bCs/>
        <w:color w:val="000000"/>
        <w:sz w:val="22"/>
        <w:szCs w:val="22"/>
      </w:rPr>
      <w:fldChar w:fldCharType="end"/>
    </w:r>
  </w:p>
  <w:p w:rsidR="004E2169" w:rsidRDefault="004E2169">
    <w:pPr>
      <w:pBdr>
        <w:top w:val="nil"/>
        <w:left w:val="nil"/>
        <w:bottom w:val="nil"/>
        <w:right w:val="nil"/>
        <w:between w:val="nil"/>
      </w:pBdr>
      <w:tabs>
        <w:tab w:val="center" w:pos="4419"/>
        <w:tab w:val="right" w:pos="8838"/>
      </w:tabs>
      <w:rPr>
        <w:color w:val="000000"/>
      </w:rPr>
    </w:pPr>
  </w:p>
  <w:p w:rsidR="004E2169" w:rsidRDefault="004E2169"/>
  <w:p w:rsidR="004E2169" w:rsidRDefault="004E2169"/>
  <w:p w:rsidR="004E2169" w:rsidRDefault="004E216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B63" w:rsidRDefault="008C2B63">
      <w:r>
        <w:separator/>
      </w:r>
    </w:p>
  </w:footnote>
  <w:footnote w:type="continuationSeparator" w:id="0">
    <w:p w:rsidR="008C2B63" w:rsidRDefault="008C2B63">
      <w:r>
        <w:continuationSeparator/>
      </w:r>
    </w:p>
  </w:footnote>
  <w:footnote w:id="1">
    <w:p w:rsidR="004E2169" w:rsidRDefault="006926CF">
      <w:pPr>
        <w:pBdr>
          <w:top w:val="nil"/>
          <w:left w:val="nil"/>
          <w:bottom w:val="nil"/>
          <w:right w:val="nil"/>
          <w:between w:val="nil"/>
        </w:pBdr>
        <w:rPr>
          <w:rFonts w:ascii="Calibri" w:eastAsia="Calibri" w:hAnsi="Calibri" w:cs="Calibri"/>
          <w:color w:val="000000"/>
        </w:rPr>
      </w:pPr>
      <w:r>
        <w:rPr>
          <w:vertAlign w:val="superscript"/>
        </w:rPr>
        <w:footnoteRef/>
      </w:r>
      <w:r>
        <w:rPr>
          <w:rFonts w:ascii="Calibri" w:eastAsia="Calibri" w:hAnsi="Calibri" w:cs="Calibri"/>
          <w:color w:val="000000"/>
        </w:rPr>
        <w:t xml:space="preserve"> Artículo 150. Ley de Transparencia y Acceso a la Información Pública del Estado de México y Municipios.</w:t>
      </w:r>
    </w:p>
    <w:p w:rsidR="004E2169" w:rsidRDefault="006926C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Artículo 151. Ibídem.</w:t>
      </w:r>
    </w:p>
  </w:footnote>
  <w:footnote w:id="2">
    <w:p w:rsidR="004E2169" w:rsidRDefault="006926CF">
      <w:pPr>
        <w:pBdr>
          <w:top w:val="nil"/>
          <w:left w:val="nil"/>
          <w:bottom w:val="nil"/>
          <w:right w:val="nil"/>
          <w:between w:val="nil"/>
        </w:pBdr>
        <w:rPr>
          <w:rFonts w:ascii="Calibri" w:eastAsia="Calibri" w:hAnsi="Calibri" w:cs="Calibri"/>
          <w:color w:val="000000"/>
        </w:rPr>
      </w:pPr>
      <w:r>
        <w:rPr>
          <w:vertAlign w:val="superscript"/>
        </w:rPr>
        <w:footnoteRef/>
      </w:r>
      <w:r>
        <w:rPr>
          <w:rFonts w:ascii="Calibri" w:eastAsia="Calibri" w:hAnsi="Calibri" w:cs="Calibri"/>
          <w:color w:val="000000"/>
        </w:rPr>
        <w:t xml:space="preserve"> Fracción IV. Artículo 53. Ibídem.</w:t>
      </w:r>
    </w:p>
  </w:footnote>
  <w:footnote w:id="3">
    <w:p w:rsidR="004E2169" w:rsidRDefault="006926CF">
      <w:pPr>
        <w:pBdr>
          <w:top w:val="nil"/>
          <w:left w:val="nil"/>
          <w:bottom w:val="nil"/>
          <w:right w:val="nil"/>
          <w:between w:val="nil"/>
        </w:pBdr>
        <w:rPr>
          <w:rFonts w:ascii="Calibri" w:eastAsia="Calibri" w:hAnsi="Calibri" w:cs="Calibri"/>
          <w:color w:val="000000"/>
        </w:rPr>
      </w:pPr>
      <w:r>
        <w:rPr>
          <w:vertAlign w:val="superscript"/>
        </w:rPr>
        <w:footnoteRef/>
      </w:r>
      <w:r>
        <w:rPr>
          <w:rFonts w:ascii="Calibri" w:eastAsia="Calibri" w:hAnsi="Calibri" w:cs="Calibri"/>
          <w:color w:val="000000"/>
        </w:rPr>
        <w:t xml:space="preserve"> </w:t>
      </w:r>
      <w:r>
        <w:rPr>
          <w:rFonts w:ascii="Calibri" w:eastAsia="Calibri" w:hAnsi="Calibri" w:cs="Calibri"/>
          <w:color w:val="222222"/>
        </w:rPr>
        <w:t>Lo anterior es incluso un requerimiento del sistema interamericano de protección a los derechos humanos. </w:t>
      </w:r>
      <w:r>
        <w:rPr>
          <w:rFonts w:ascii="Calibri" w:eastAsia="Calibri" w:hAnsi="Calibri" w:cs="Calibri"/>
          <w:i/>
          <w:iCs/>
          <w:color w:val="222222"/>
        </w:rPr>
        <w:t>Ibídem</w:t>
      </w:r>
      <w:r>
        <w:rPr>
          <w:rFonts w:ascii="Calibri" w:eastAsia="Calibri" w:hAnsi="Calibri" w:cs="Calibri"/>
          <w:color w:val="222222"/>
        </w:rPr>
        <w:t>. Párr. 113.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169" w:rsidRDefault="008C2B63">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63.5pt;height:12in;z-index:-251657728;mso-position-horizontal:center;mso-position-horizontal-relative:margin;mso-position-vertical:center;mso-position-vertical-relative:margin">
          <v:imagedata r:id="rId1" o:title="image1"/>
          <w10:wrap anchorx="margin" anchory="margin"/>
        </v:shape>
      </w:pict>
    </w:r>
  </w:p>
  <w:p w:rsidR="004E2169" w:rsidRDefault="004E2169"/>
  <w:p w:rsidR="004E2169" w:rsidRDefault="004E2169"/>
  <w:p w:rsidR="004E2169" w:rsidRDefault="004E216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455" w:type="dxa"/>
      <w:tblInd w:w="0" w:type="dxa"/>
      <w:tblLayout w:type="fixed"/>
      <w:tblLook w:val="0400" w:firstRow="0" w:lastRow="0" w:firstColumn="0" w:lastColumn="0" w:noHBand="0" w:noVBand="1"/>
    </w:tblPr>
    <w:tblGrid>
      <w:gridCol w:w="1845"/>
      <w:gridCol w:w="8610"/>
    </w:tblGrid>
    <w:tr w:rsidR="004E2169">
      <w:trPr>
        <w:trHeight w:val="1435"/>
      </w:trPr>
      <w:tc>
        <w:tcPr>
          <w:tcW w:w="1845" w:type="dxa"/>
          <w:shd w:val="clear" w:color="auto" w:fill="auto"/>
        </w:tcPr>
        <w:p w:rsidR="004E2169" w:rsidRDefault="006926CF">
          <w:pPr>
            <w:tabs>
              <w:tab w:val="right" w:pos="4273"/>
            </w:tabs>
            <w:rPr>
              <w:rFonts w:ascii="Garamond" w:eastAsia="Garamond" w:hAnsi="Garamond" w:cs="Garamond"/>
              <w:sz w:val="16"/>
              <w:szCs w:val="16"/>
            </w:rPr>
          </w:pPr>
          <w:r>
            <w:rPr>
              <w:rFonts w:ascii="Garamond" w:eastAsia="Garamond" w:hAnsi="Garamond" w:cs="Garamond"/>
              <w:sz w:val="16"/>
              <w:szCs w:val="16"/>
            </w:rPr>
            <w:t xml:space="preserve"> </w:t>
          </w:r>
        </w:p>
      </w:tc>
      <w:tc>
        <w:tcPr>
          <w:tcW w:w="8610" w:type="dxa"/>
          <w:shd w:val="clear" w:color="auto" w:fill="auto"/>
        </w:tcPr>
        <w:tbl>
          <w:tblPr>
            <w:tblStyle w:val="a0"/>
            <w:tblW w:w="7095" w:type="dxa"/>
            <w:tblInd w:w="1868" w:type="dxa"/>
            <w:tblBorders>
              <w:top w:val="nil"/>
              <w:left w:val="nil"/>
              <w:bottom w:val="nil"/>
              <w:right w:val="nil"/>
              <w:insideH w:val="nil"/>
              <w:insideV w:val="nil"/>
            </w:tblBorders>
            <w:tblLayout w:type="fixed"/>
            <w:tblLook w:val="0400" w:firstRow="0" w:lastRow="0" w:firstColumn="0" w:lastColumn="0" w:noHBand="0" w:noVBand="1"/>
          </w:tblPr>
          <w:tblGrid>
            <w:gridCol w:w="2942"/>
            <w:gridCol w:w="4153"/>
          </w:tblGrid>
          <w:tr w:rsidR="004E2169" w:rsidTr="00C06B81">
            <w:trPr>
              <w:trHeight w:val="338"/>
            </w:trPr>
            <w:tc>
              <w:tcPr>
                <w:tcW w:w="2942" w:type="dxa"/>
              </w:tcPr>
              <w:p w:rsidR="004E2169" w:rsidRPr="0057359E" w:rsidRDefault="006926CF">
                <w:pPr>
                  <w:tabs>
                    <w:tab w:val="right" w:pos="8838"/>
                  </w:tabs>
                  <w:ind w:right="-105"/>
                  <w:rPr>
                    <w:rFonts w:ascii="Palatino Linotype" w:eastAsia="Palatino Linotype" w:hAnsi="Palatino Linotype" w:cs="Palatino Linotype"/>
                    <w:b/>
                    <w:bCs/>
                    <w:sz w:val="24"/>
                    <w:szCs w:val="24"/>
                  </w:rPr>
                </w:pPr>
                <w:r w:rsidRPr="0057359E">
                  <w:rPr>
                    <w:rFonts w:ascii="Palatino Linotype" w:eastAsia="Palatino Linotype" w:hAnsi="Palatino Linotype" w:cs="Palatino Linotype"/>
                    <w:b/>
                    <w:bCs/>
                    <w:sz w:val="24"/>
                    <w:szCs w:val="24"/>
                  </w:rPr>
                  <w:t>Recurso de Revisión:</w:t>
                </w:r>
              </w:p>
            </w:tc>
            <w:tc>
              <w:tcPr>
                <w:tcW w:w="4153" w:type="dxa"/>
              </w:tcPr>
              <w:p w:rsidR="004E2169" w:rsidRPr="0057359E" w:rsidRDefault="006926CF">
                <w:pPr>
                  <w:tabs>
                    <w:tab w:val="right" w:pos="8838"/>
                  </w:tabs>
                  <w:ind w:right="-105" w:hanging="101"/>
                  <w:rPr>
                    <w:rFonts w:ascii="Palatino Linotype" w:eastAsia="Palatino Linotype" w:hAnsi="Palatino Linotype" w:cs="Palatino Linotype"/>
                    <w:sz w:val="24"/>
                    <w:szCs w:val="24"/>
                  </w:rPr>
                </w:pPr>
                <w:r w:rsidRPr="0057359E">
                  <w:rPr>
                    <w:rFonts w:ascii="Palatino Linotype" w:eastAsia="Palatino Linotype" w:hAnsi="Palatino Linotype" w:cs="Palatino Linotype"/>
                    <w:sz w:val="24"/>
                    <w:szCs w:val="24"/>
                  </w:rPr>
                  <w:t>01708/INFOEM/IP/RR/2026</w:t>
                </w:r>
              </w:p>
            </w:tc>
          </w:tr>
          <w:tr w:rsidR="004E2169" w:rsidTr="00C06B81">
            <w:trPr>
              <w:trHeight w:val="283"/>
            </w:trPr>
            <w:tc>
              <w:tcPr>
                <w:tcW w:w="2942" w:type="dxa"/>
              </w:tcPr>
              <w:p w:rsidR="004E2169" w:rsidRPr="0057359E" w:rsidRDefault="006926CF">
                <w:pPr>
                  <w:tabs>
                    <w:tab w:val="right" w:pos="8838"/>
                  </w:tabs>
                  <w:ind w:right="-105"/>
                  <w:rPr>
                    <w:rFonts w:ascii="Palatino Linotype" w:eastAsia="Palatino Linotype" w:hAnsi="Palatino Linotype" w:cs="Palatino Linotype"/>
                    <w:b/>
                    <w:bCs/>
                    <w:sz w:val="24"/>
                    <w:szCs w:val="24"/>
                  </w:rPr>
                </w:pPr>
                <w:bookmarkStart w:id="13" w:name="_heading=h.3rdcrjn" w:colFirst="0" w:colLast="0"/>
                <w:bookmarkEnd w:id="13"/>
                <w:r w:rsidRPr="0057359E">
                  <w:rPr>
                    <w:rFonts w:ascii="Palatino Linotype" w:eastAsia="Palatino Linotype" w:hAnsi="Palatino Linotype" w:cs="Palatino Linotype"/>
                    <w:b/>
                    <w:bCs/>
                    <w:sz w:val="24"/>
                    <w:szCs w:val="24"/>
                  </w:rPr>
                  <w:t>Sujeto Obligado:</w:t>
                </w:r>
              </w:p>
            </w:tc>
            <w:tc>
              <w:tcPr>
                <w:tcW w:w="4153" w:type="dxa"/>
              </w:tcPr>
              <w:p w:rsidR="004E2169" w:rsidRPr="0057359E" w:rsidRDefault="006926CF">
                <w:pPr>
                  <w:tabs>
                    <w:tab w:val="left" w:pos="2834"/>
                    <w:tab w:val="right" w:pos="8838"/>
                  </w:tabs>
                  <w:ind w:left="-113" w:right="229"/>
                  <w:rPr>
                    <w:rFonts w:ascii="Palatino Linotype" w:eastAsia="Palatino Linotype" w:hAnsi="Palatino Linotype" w:cs="Palatino Linotype"/>
                    <w:sz w:val="24"/>
                    <w:szCs w:val="24"/>
                  </w:rPr>
                </w:pPr>
                <w:r w:rsidRPr="0057359E">
                  <w:rPr>
                    <w:rFonts w:ascii="Palatino Linotype" w:eastAsia="Palatino Linotype" w:hAnsi="Palatino Linotype" w:cs="Palatino Linotype"/>
                    <w:sz w:val="24"/>
                    <w:szCs w:val="24"/>
                  </w:rPr>
                  <w:t>Ayuntamiento de Luvianos</w:t>
                </w:r>
              </w:p>
            </w:tc>
          </w:tr>
          <w:tr w:rsidR="004E2169" w:rsidTr="00C06B81">
            <w:trPr>
              <w:trHeight w:val="283"/>
            </w:trPr>
            <w:tc>
              <w:tcPr>
                <w:tcW w:w="2942" w:type="dxa"/>
              </w:tcPr>
              <w:p w:rsidR="004E2169" w:rsidRPr="0057359E" w:rsidRDefault="006926CF">
                <w:pPr>
                  <w:tabs>
                    <w:tab w:val="right" w:pos="8838"/>
                  </w:tabs>
                  <w:ind w:right="-105"/>
                  <w:rPr>
                    <w:rFonts w:ascii="Palatino Linotype" w:eastAsia="Palatino Linotype" w:hAnsi="Palatino Linotype" w:cs="Palatino Linotype"/>
                    <w:b/>
                    <w:bCs/>
                    <w:sz w:val="24"/>
                    <w:szCs w:val="24"/>
                  </w:rPr>
                </w:pPr>
                <w:r w:rsidRPr="0057359E">
                  <w:rPr>
                    <w:rFonts w:ascii="Palatino Linotype" w:eastAsia="Palatino Linotype" w:hAnsi="Palatino Linotype" w:cs="Palatino Linotype"/>
                    <w:b/>
                    <w:bCs/>
                    <w:sz w:val="24"/>
                    <w:szCs w:val="24"/>
                  </w:rPr>
                  <w:t>Comisionada Ponente:</w:t>
                </w:r>
              </w:p>
            </w:tc>
            <w:tc>
              <w:tcPr>
                <w:tcW w:w="4153" w:type="dxa"/>
              </w:tcPr>
              <w:p w:rsidR="004E2169" w:rsidRPr="0057359E" w:rsidRDefault="006926CF">
                <w:pPr>
                  <w:tabs>
                    <w:tab w:val="right" w:pos="8838"/>
                  </w:tabs>
                  <w:ind w:left="-113" w:right="-105"/>
                  <w:rPr>
                    <w:rFonts w:ascii="Palatino Linotype" w:eastAsia="Palatino Linotype" w:hAnsi="Palatino Linotype" w:cs="Palatino Linotype"/>
                    <w:sz w:val="24"/>
                    <w:szCs w:val="24"/>
                  </w:rPr>
                </w:pPr>
                <w:r w:rsidRPr="0057359E">
                  <w:rPr>
                    <w:rFonts w:ascii="Palatino Linotype" w:eastAsia="Palatino Linotype" w:hAnsi="Palatino Linotype" w:cs="Palatino Linotype"/>
                    <w:sz w:val="24"/>
                    <w:szCs w:val="24"/>
                  </w:rPr>
                  <w:t>María del Rosario Mejía Ayala</w:t>
                </w:r>
              </w:p>
            </w:tc>
          </w:tr>
        </w:tbl>
        <w:p w:rsidR="004E2169" w:rsidRDefault="004E2169">
          <w:pPr>
            <w:tabs>
              <w:tab w:val="right" w:pos="8838"/>
            </w:tabs>
            <w:ind w:left="-28"/>
            <w:jc w:val="both"/>
            <w:rPr>
              <w:rFonts w:ascii="Arial" w:eastAsia="Arial" w:hAnsi="Arial" w:cs="Arial"/>
              <w:b/>
              <w:bCs/>
              <w:sz w:val="22"/>
              <w:szCs w:val="22"/>
            </w:rPr>
          </w:pPr>
        </w:p>
      </w:tc>
    </w:tr>
  </w:tbl>
  <w:p w:rsidR="004E2169" w:rsidRPr="00C06B81" w:rsidRDefault="008C2B63" w:rsidP="00C06B81">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7pt;margin-top:-127.55pt;width:663.5pt;height:12in;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590" w:type="dxa"/>
      <w:tblInd w:w="0" w:type="dxa"/>
      <w:tblLayout w:type="fixed"/>
      <w:tblLook w:val="0400" w:firstRow="0" w:lastRow="0" w:firstColumn="0" w:lastColumn="0" w:noHBand="0" w:noVBand="1"/>
    </w:tblPr>
    <w:tblGrid>
      <w:gridCol w:w="1560"/>
      <w:gridCol w:w="9030"/>
    </w:tblGrid>
    <w:tr w:rsidR="004E2169">
      <w:trPr>
        <w:trHeight w:val="1435"/>
      </w:trPr>
      <w:tc>
        <w:tcPr>
          <w:tcW w:w="1560" w:type="dxa"/>
          <w:shd w:val="clear" w:color="auto" w:fill="auto"/>
        </w:tcPr>
        <w:p w:rsidR="004E2169" w:rsidRDefault="004E2169">
          <w:pPr>
            <w:tabs>
              <w:tab w:val="right" w:pos="4273"/>
            </w:tabs>
            <w:rPr>
              <w:rFonts w:ascii="Garamond" w:eastAsia="Garamond" w:hAnsi="Garamond" w:cs="Garamond"/>
              <w:sz w:val="22"/>
              <w:szCs w:val="22"/>
            </w:rPr>
          </w:pPr>
        </w:p>
      </w:tc>
      <w:tc>
        <w:tcPr>
          <w:tcW w:w="9030" w:type="dxa"/>
          <w:shd w:val="clear" w:color="auto" w:fill="auto"/>
        </w:tcPr>
        <w:tbl>
          <w:tblPr>
            <w:tblStyle w:val="a2"/>
            <w:tblW w:w="10497" w:type="dxa"/>
            <w:tblInd w:w="1879" w:type="dxa"/>
            <w:tblBorders>
              <w:top w:val="nil"/>
              <w:left w:val="nil"/>
              <w:bottom w:val="nil"/>
              <w:right w:val="nil"/>
              <w:insideH w:val="nil"/>
              <w:insideV w:val="nil"/>
            </w:tblBorders>
            <w:tblLayout w:type="fixed"/>
            <w:tblLook w:val="0400" w:firstRow="0" w:lastRow="0" w:firstColumn="0" w:lastColumn="0" w:noHBand="0" w:noVBand="1"/>
          </w:tblPr>
          <w:tblGrid>
            <w:gridCol w:w="2942"/>
            <w:gridCol w:w="4153"/>
            <w:gridCol w:w="3402"/>
          </w:tblGrid>
          <w:tr w:rsidR="004E2169">
            <w:trPr>
              <w:trHeight w:val="144"/>
            </w:trPr>
            <w:tc>
              <w:tcPr>
                <w:tcW w:w="2942" w:type="dxa"/>
              </w:tcPr>
              <w:p w:rsidR="004E2169" w:rsidRPr="0057359E" w:rsidRDefault="006926CF">
                <w:pPr>
                  <w:tabs>
                    <w:tab w:val="right" w:pos="8838"/>
                  </w:tabs>
                  <w:ind w:left="-74" w:right="-105"/>
                  <w:rPr>
                    <w:rFonts w:ascii="Palatino Linotype" w:eastAsia="Palatino Linotype" w:hAnsi="Palatino Linotype" w:cs="Palatino Linotype"/>
                    <w:b/>
                    <w:bCs/>
                    <w:sz w:val="24"/>
                    <w:szCs w:val="24"/>
                  </w:rPr>
                </w:pPr>
                <w:bookmarkStart w:id="14" w:name="_heading=h.26in1rg" w:colFirst="0" w:colLast="0"/>
                <w:bookmarkEnd w:id="14"/>
                <w:r w:rsidRPr="0057359E">
                  <w:rPr>
                    <w:rFonts w:ascii="Palatino Linotype" w:eastAsia="Palatino Linotype" w:hAnsi="Palatino Linotype" w:cs="Palatino Linotype"/>
                    <w:b/>
                    <w:bCs/>
                    <w:sz w:val="24"/>
                    <w:szCs w:val="24"/>
                  </w:rPr>
                  <w:t>Recurso de Revisión:</w:t>
                </w:r>
              </w:p>
            </w:tc>
            <w:tc>
              <w:tcPr>
                <w:tcW w:w="4153" w:type="dxa"/>
              </w:tcPr>
              <w:p w:rsidR="004E2169" w:rsidRPr="0057359E" w:rsidRDefault="006926CF">
                <w:pPr>
                  <w:tabs>
                    <w:tab w:val="right" w:pos="8838"/>
                  </w:tabs>
                  <w:ind w:left="-3" w:right="-105"/>
                  <w:rPr>
                    <w:rFonts w:ascii="Palatino Linotype" w:eastAsia="Palatino Linotype" w:hAnsi="Palatino Linotype" w:cs="Palatino Linotype"/>
                    <w:sz w:val="24"/>
                    <w:szCs w:val="24"/>
                  </w:rPr>
                </w:pPr>
                <w:r w:rsidRPr="0057359E">
                  <w:rPr>
                    <w:rFonts w:ascii="Palatino Linotype" w:eastAsia="Palatino Linotype" w:hAnsi="Palatino Linotype" w:cs="Palatino Linotype"/>
                    <w:sz w:val="24"/>
                    <w:szCs w:val="24"/>
                  </w:rPr>
                  <w:t>01708/INFOEM/IP/RR/2026</w:t>
                </w:r>
              </w:p>
            </w:tc>
            <w:tc>
              <w:tcPr>
                <w:tcW w:w="3402" w:type="dxa"/>
              </w:tcPr>
              <w:p w:rsidR="004E2169" w:rsidRDefault="004E2169">
                <w:pPr>
                  <w:tabs>
                    <w:tab w:val="right" w:pos="8838"/>
                  </w:tabs>
                  <w:ind w:left="-74" w:right="-105"/>
                  <w:jc w:val="both"/>
                  <w:rPr>
                    <w:rFonts w:ascii="Palatino Linotype" w:eastAsia="Palatino Linotype" w:hAnsi="Palatino Linotype" w:cs="Palatino Linotype"/>
                    <w:sz w:val="22"/>
                    <w:szCs w:val="22"/>
                  </w:rPr>
                </w:pPr>
              </w:p>
            </w:tc>
          </w:tr>
          <w:tr w:rsidR="004E2169">
            <w:trPr>
              <w:trHeight w:val="144"/>
            </w:trPr>
            <w:tc>
              <w:tcPr>
                <w:tcW w:w="2942" w:type="dxa"/>
              </w:tcPr>
              <w:p w:rsidR="004E2169" w:rsidRPr="0057359E" w:rsidRDefault="006926CF">
                <w:pPr>
                  <w:tabs>
                    <w:tab w:val="right" w:pos="8838"/>
                  </w:tabs>
                  <w:ind w:left="-74" w:right="-105"/>
                  <w:rPr>
                    <w:rFonts w:ascii="Palatino Linotype" w:eastAsia="Palatino Linotype" w:hAnsi="Palatino Linotype" w:cs="Palatino Linotype"/>
                    <w:b/>
                    <w:bCs/>
                    <w:sz w:val="24"/>
                    <w:szCs w:val="24"/>
                  </w:rPr>
                </w:pPr>
                <w:bookmarkStart w:id="15" w:name="_heading=h.lnxbz9" w:colFirst="0" w:colLast="0"/>
                <w:bookmarkEnd w:id="15"/>
                <w:r w:rsidRPr="0057359E">
                  <w:rPr>
                    <w:rFonts w:ascii="Palatino Linotype" w:eastAsia="Palatino Linotype" w:hAnsi="Palatino Linotype" w:cs="Palatino Linotype"/>
                    <w:b/>
                    <w:bCs/>
                    <w:sz w:val="24"/>
                    <w:szCs w:val="24"/>
                  </w:rPr>
                  <w:t>Recurrente:</w:t>
                </w:r>
              </w:p>
            </w:tc>
            <w:tc>
              <w:tcPr>
                <w:tcW w:w="4153" w:type="dxa"/>
              </w:tcPr>
              <w:p w:rsidR="004E2169" w:rsidRPr="0057359E" w:rsidRDefault="007D4BC5">
                <w:pPr>
                  <w:tabs>
                    <w:tab w:val="left" w:pos="3122"/>
                    <w:tab w:val="right" w:pos="8838"/>
                  </w:tabs>
                  <w:ind w:right="1457"/>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57359E">
                  <w:rPr>
                    <w:rFonts w:ascii="Palatino Linotype" w:eastAsia="Palatino Linotype" w:hAnsi="Palatino Linotype" w:cs="Palatino Linotype"/>
                    <w:sz w:val="24"/>
                    <w:szCs w:val="24"/>
                  </w:rPr>
                  <w:t xml:space="preserve"> </w:t>
                </w:r>
              </w:p>
            </w:tc>
            <w:tc>
              <w:tcPr>
                <w:tcW w:w="3402" w:type="dxa"/>
              </w:tcPr>
              <w:p w:rsidR="004E2169" w:rsidRDefault="004E2169">
                <w:pPr>
                  <w:tabs>
                    <w:tab w:val="left" w:pos="3122"/>
                    <w:tab w:val="right" w:pos="8838"/>
                  </w:tabs>
                  <w:ind w:right="-105"/>
                  <w:jc w:val="both"/>
                  <w:rPr>
                    <w:rFonts w:ascii="Palatino Linotype" w:eastAsia="Palatino Linotype" w:hAnsi="Palatino Linotype" w:cs="Palatino Linotype"/>
                    <w:sz w:val="22"/>
                    <w:szCs w:val="22"/>
                  </w:rPr>
                </w:pPr>
              </w:p>
            </w:tc>
          </w:tr>
          <w:tr w:rsidR="004E2169">
            <w:trPr>
              <w:trHeight w:val="283"/>
            </w:trPr>
            <w:tc>
              <w:tcPr>
                <w:tcW w:w="2942" w:type="dxa"/>
              </w:tcPr>
              <w:p w:rsidR="004E2169" w:rsidRPr="0057359E" w:rsidRDefault="006926CF">
                <w:pPr>
                  <w:tabs>
                    <w:tab w:val="right" w:pos="8838"/>
                  </w:tabs>
                  <w:ind w:left="-74" w:right="-105"/>
                  <w:rPr>
                    <w:rFonts w:ascii="Palatino Linotype" w:eastAsia="Palatino Linotype" w:hAnsi="Palatino Linotype" w:cs="Palatino Linotype"/>
                    <w:b/>
                    <w:bCs/>
                    <w:sz w:val="24"/>
                    <w:szCs w:val="24"/>
                  </w:rPr>
                </w:pPr>
                <w:r w:rsidRPr="0057359E">
                  <w:rPr>
                    <w:rFonts w:ascii="Palatino Linotype" w:eastAsia="Palatino Linotype" w:hAnsi="Palatino Linotype" w:cs="Palatino Linotype"/>
                    <w:b/>
                    <w:bCs/>
                    <w:sz w:val="24"/>
                    <w:szCs w:val="24"/>
                  </w:rPr>
                  <w:t>Sujeto Obligado:</w:t>
                </w:r>
              </w:p>
            </w:tc>
            <w:tc>
              <w:tcPr>
                <w:tcW w:w="4153" w:type="dxa"/>
              </w:tcPr>
              <w:p w:rsidR="004E2169" w:rsidRPr="0057359E" w:rsidRDefault="006926CF">
                <w:pPr>
                  <w:tabs>
                    <w:tab w:val="right" w:pos="8838"/>
                  </w:tabs>
                  <w:ind w:left="-3" w:right="88"/>
                  <w:rPr>
                    <w:rFonts w:ascii="Palatino Linotype" w:eastAsia="Palatino Linotype" w:hAnsi="Palatino Linotype" w:cs="Palatino Linotype"/>
                    <w:sz w:val="24"/>
                    <w:szCs w:val="24"/>
                  </w:rPr>
                </w:pPr>
                <w:r w:rsidRPr="0057359E">
                  <w:rPr>
                    <w:rFonts w:ascii="Palatino Linotype" w:eastAsia="Palatino Linotype" w:hAnsi="Palatino Linotype" w:cs="Palatino Linotype"/>
                    <w:sz w:val="24"/>
                    <w:szCs w:val="24"/>
                  </w:rPr>
                  <w:t>Ayuntamiento de Luvianos</w:t>
                </w:r>
              </w:p>
            </w:tc>
            <w:tc>
              <w:tcPr>
                <w:tcW w:w="3402" w:type="dxa"/>
              </w:tcPr>
              <w:p w:rsidR="004E2169" w:rsidRDefault="004E2169">
                <w:pPr>
                  <w:tabs>
                    <w:tab w:val="left" w:pos="2834"/>
                    <w:tab w:val="right" w:pos="8838"/>
                  </w:tabs>
                  <w:ind w:left="-74" w:right="-105"/>
                  <w:jc w:val="both"/>
                  <w:rPr>
                    <w:rFonts w:ascii="Palatino Linotype" w:eastAsia="Palatino Linotype" w:hAnsi="Palatino Linotype" w:cs="Palatino Linotype"/>
                    <w:sz w:val="22"/>
                    <w:szCs w:val="22"/>
                  </w:rPr>
                </w:pPr>
              </w:p>
            </w:tc>
          </w:tr>
          <w:tr w:rsidR="004E2169">
            <w:trPr>
              <w:trHeight w:val="283"/>
            </w:trPr>
            <w:tc>
              <w:tcPr>
                <w:tcW w:w="2942" w:type="dxa"/>
              </w:tcPr>
              <w:p w:rsidR="004E2169" w:rsidRPr="0057359E" w:rsidRDefault="006926CF">
                <w:pPr>
                  <w:tabs>
                    <w:tab w:val="right" w:pos="8838"/>
                  </w:tabs>
                  <w:ind w:left="-74" w:right="-105"/>
                  <w:rPr>
                    <w:rFonts w:ascii="Palatino Linotype" w:eastAsia="Palatino Linotype" w:hAnsi="Palatino Linotype" w:cs="Palatino Linotype"/>
                    <w:b/>
                    <w:bCs/>
                    <w:sz w:val="24"/>
                    <w:szCs w:val="24"/>
                  </w:rPr>
                </w:pPr>
                <w:r w:rsidRPr="0057359E">
                  <w:rPr>
                    <w:rFonts w:ascii="Palatino Linotype" w:eastAsia="Palatino Linotype" w:hAnsi="Palatino Linotype" w:cs="Palatino Linotype"/>
                    <w:b/>
                    <w:bCs/>
                    <w:sz w:val="24"/>
                    <w:szCs w:val="24"/>
                  </w:rPr>
                  <w:t>Comisionada Ponente:</w:t>
                </w:r>
              </w:p>
            </w:tc>
            <w:tc>
              <w:tcPr>
                <w:tcW w:w="4153" w:type="dxa"/>
              </w:tcPr>
              <w:p w:rsidR="004E2169" w:rsidRPr="0057359E" w:rsidRDefault="006926CF">
                <w:pPr>
                  <w:tabs>
                    <w:tab w:val="right" w:pos="8838"/>
                  </w:tabs>
                  <w:ind w:left="-3" w:right="-105"/>
                  <w:rPr>
                    <w:rFonts w:ascii="Palatino Linotype" w:eastAsia="Palatino Linotype" w:hAnsi="Palatino Linotype" w:cs="Palatino Linotype"/>
                    <w:sz w:val="24"/>
                    <w:szCs w:val="24"/>
                  </w:rPr>
                </w:pPr>
                <w:r w:rsidRPr="0057359E">
                  <w:rPr>
                    <w:rFonts w:ascii="Palatino Linotype" w:eastAsia="Palatino Linotype" w:hAnsi="Palatino Linotype" w:cs="Palatino Linotype"/>
                    <w:sz w:val="24"/>
                    <w:szCs w:val="24"/>
                  </w:rPr>
                  <w:t>María del Rosario Mejía Ayala</w:t>
                </w:r>
              </w:p>
            </w:tc>
            <w:tc>
              <w:tcPr>
                <w:tcW w:w="3402" w:type="dxa"/>
              </w:tcPr>
              <w:p w:rsidR="004E2169" w:rsidRDefault="004E2169">
                <w:pPr>
                  <w:tabs>
                    <w:tab w:val="right" w:pos="8838"/>
                  </w:tabs>
                  <w:ind w:left="-74" w:right="-105"/>
                  <w:jc w:val="both"/>
                  <w:rPr>
                    <w:rFonts w:ascii="Palatino Linotype" w:eastAsia="Palatino Linotype" w:hAnsi="Palatino Linotype" w:cs="Palatino Linotype"/>
                    <w:sz w:val="22"/>
                    <w:szCs w:val="22"/>
                  </w:rPr>
                </w:pPr>
              </w:p>
            </w:tc>
          </w:tr>
        </w:tbl>
        <w:p w:rsidR="004E2169" w:rsidRDefault="004E2169">
          <w:pPr>
            <w:tabs>
              <w:tab w:val="right" w:pos="8838"/>
            </w:tabs>
            <w:ind w:left="-28"/>
            <w:jc w:val="both"/>
            <w:rPr>
              <w:rFonts w:ascii="Arial" w:eastAsia="Arial" w:hAnsi="Arial" w:cs="Arial"/>
              <w:b/>
              <w:bCs/>
              <w:sz w:val="22"/>
              <w:szCs w:val="22"/>
            </w:rPr>
          </w:pPr>
        </w:p>
      </w:tc>
    </w:tr>
  </w:tbl>
  <w:p w:rsidR="004E2169" w:rsidRDefault="007D4BC5">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6.5pt;margin-top:-137.35pt;width:663.5pt;height:12in;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31F7A"/>
    <w:multiLevelType w:val="multilevel"/>
    <w:tmpl w:val="A7700F5C"/>
    <w:lvl w:ilvl="0">
      <w:start w:val="1"/>
      <w:numFmt w:val="decimal"/>
      <w:lvlText w:val="%1."/>
      <w:lvlJc w:val="left"/>
      <w:pPr>
        <w:ind w:left="4613" w:hanging="360"/>
      </w:pPr>
      <w:rPr>
        <w:rFonts w:ascii="Palatino Linotype" w:eastAsia="Palatino Linotype" w:hAnsi="Palatino Linotype" w:cs="Palatino Linotype"/>
        <w:b/>
        <w:bCs/>
        <w:i w:val="0"/>
        <w:iCs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bCs/>
        <w:color w:val="000000"/>
      </w:rPr>
    </w:lvl>
    <w:lvl w:ilvl="2">
      <w:start w:val="4"/>
      <w:numFmt w:val="lowerRoman"/>
      <w:lvlText w:val="%3."/>
      <w:lvlJc w:val="right"/>
      <w:pPr>
        <w:ind w:left="2160" w:hanging="180"/>
      </w:pPr>
    </w:lvl>
    <w:lvl w:ilvl="3">
      <w:start w:val="1"/>
      <w:numFmt w:val="lowerLetter"/>
      <w:lvlText w:val="%4)"/>
      <w:lvlJc w:val="left"/>
      <w:pPr>
        <w:ind w:left="2880" w:hanging="360"/>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1AB05A6"/>
    <w:multiLevelType w:val="multilevel"/>
    <w:tmpl w:val="D3D674BA"/>
    <w:lvl w:ilvl="0">
      <w:start w:val="7"/>
      <w:numFmt w:val="bullet"/>
      <w:lvlText w:val="-"/>
      <w:lvlJc w:val="left"/>
      <w:pPr>
        <w:ind w:left="720" w:hanging="360"/>
      </w:pPr>
      <w:rPr>
        <w:rFonts w:ascii="Palatino Linotype" w:eastAsia="Palatino Linotype" w:hAnsi="Palatino Linotype" w:cs="Palatino Linotype"/>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2497EDA"/>
    <w:multiLevelType w:val="multilevel"/>
    <w:tmpl w:val="A5622D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5F8D7CA5"/>
    <w:multiLevelType w:val="multilevel"/>
    <w:tmpl w:val="19DEC17E"/>
    <w:lvl w:ilvl="0">
      <w:start w:val="1"/>
      <w:numFmt w:val="upperLetter"/>
      <w:lvlText w:val="%1."/>
      <w:lvlJc w:val="left"/>
      <w:pPr>
        <w:ind w:left="1211" w:hanging="360"/>
      </w:pPr>
      <w:rPr>
        <w:b/>
        <w:bCs/>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 w15:restartNumberingAfterBreak="0">
    <w:nsid w:val="7A08533D"/>
    <w:multiLevelType w:val="multilevel"/>
    <w:tmpl w:val="134CC33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169"/>
    <w:rsid w:val="0046138D"/>
    <w:rsid w:val="004E2169"/>
    <w:rsid w:val="0057359E"/>
    <w:rsid w:val="006926CF"/>
    <w:rsid w:val="007D4BC5"/>
    <w:rsid w:val="008022E1"/>
    <w:rsid w:val="008C2B63"/>
    <w:rsid w:val="00C06B81"/>
    <w:rsid w:val="00E47C7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E65D27B-B4CE-440F-A161-95A4C56BA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57359E"/>
    <w:pPr>
      <w:tabs>
        <w:tab w:val="center" w:pos="4419"/>
        <w:tab w:val="right" w:pos="8838"/>
      </w:tabs>
    </w:pPr>
  </w:style>
  <w:style w:type="character" w:customStyle="1" w:styleId="PiedepginaCar">
    <w:name w:val="Pie de página Car"/>
    <w:basedOn w:val="Fuentedeprrafopredeter"/>
    <w:link w:val="Piedepgina"/>
    <w:uiPriority w:val="99"/>
    <w:rsid w:val="00573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mex.org.mx/saimex/solicitud/downloadAttach/2693147.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oAblvZA6dceitpukD72bIG8Sqw==">CgMxLjAyDmgudG5semxzaGQxOTVkMghoLmdqZGd4czIJaC4zMGowemxsMgloLjFmb2I5dGUyCWguM3pueXNoNzIJaC4yZXQ5MnAwMghoLnR5amN3dDIJaC4zZHk2dmttMgloLjRkMzRvZzgyCWguMnM4ZXlvMTIJaC4xN2RwOHZ1MgloLjNyZGNyam4yCWguMjZpbjFyZzIIaC5sbnhiejk4AHIhMW53WmJUbkhjNDJBMi02VjJUT2tiYl9NS3FLWVJHSy00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25</Pages>
  <Words>6014</Words>
  <Characters>33081</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39017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2026-07-03T15:59:00Z</cp:lastPrinted>
  <dcterms:created xsi:type="dcterms:W3CDTF">2026-07-01T19:55:00Z</dcterms:created>
  <dcterms:modified xsi:type="dcterms:W3CDTF">2026-07-07T22:38:00Z</dcterms:modified>
</cp:coreProperties>
</file>